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浙江中医药大学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28"/>
          <w:szCs w:val="28"/>
          <w:highlight w:val="none"/>
        </w:rPr>
      </w:pPr>
      <w:r>
        <w:rPr>
          <w:rFonts w:hint="eastAsia" w:ascii="宋体" w:hAnsi="宋体" w:cs="宋体"/>
          <w:b/>
          <w:bCs/>
          <w:color w:val="auto"/>
          <w:sz w:val="32"/>
          <w:szCs w:val="32"/>
          <w:highlight w:val="none"/>
        </w:rPr>
        <w:t>项目名称：人工智能病理辅助诊断系统等</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确认书号：[2019]48761号、[2019]49787号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ZJWSBJ-ZYY-201934G-4</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人：浙江中医药大学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时    间：二〇一九年十月</w:t>
      </w:r>
    </w:p>
    <w:p>
      <w:pPr>
        <w:ind w:firstLine="480"/>
        <w:rPr>
          <w:color w:val="auto"/>
          <w:highlight w:val="none"/>
        </w:rPr>
      </w:pPr>
      <w:r>
        <w:rPr>
          <w:color w:val="auto"/>
          <w:highlight w:val="none"/>
        </w:rPr>
        <w:br w:type="page"/>
      </w:r>
    </w:p>
    <w:p>
      <w:pPr>
        <w:pStyle w:val="2"/>
        <w:rPr>
          <w:color w:val="auto"/>
          <w:highlight w:val="none"/>
        </w:rPr>
      </w:pP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32"/>
          <w:szCs w:val="44"/>
          <w:highlight w:val="none"/>
          <w:lang w:val="zh-CN"/>
        </w:rPr>
        <w:t>目</w:t>
      </w:r>
      <w:r>
        <w:rPr>
          <w:rFonts w:hint="eastAsia" w:ascii="宋体" w:hAnsi="宋体" w:cs="宋体"/>
          <w:b/>
          <w:bCs/>
          <w:color w:val="auto"/>
          <w:sz w:val="32"/>
          <w:szCs w:val="44"/>
          <w:highlight w:val="none"/>
        </w:rPr>
        <w:t xml:space="preserve">  </w:t>
      </w:r>
      <w:r>
        <w:rPr>
          <w:rFonts w:hint="eastAsia" w:ascii="宋体" w:hAnsi="宋体" w:cs="宋体"/>
          <w:b/>
          <w:bCs/>
          <w:color w:val="auto"/>
          <w:sz w:val="32"/>
          <w:szCs w:val="44"/>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"_Toc14931" </w:instrText>
      </w:r>
      <w:r>
        <w:rPr>
          <w:color w:val="auto"/>
          <w:highlight w:val="none"/>
        </w:rPr>
        <w:fldChar w:fldCharType="separate"/>
      </w:r>
      <w:r>
        <w:rPr>
          <w:rFonts w:hint="eastAsia" w:cs="宋体"/>
          <w:color w:val="auto"/>
          <w:sz w:val="32"/>
          <w:szCs w:val="32"/>
          <w:highlight w:val="none"/>
        </w:rPr>
        <w:t>第一章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_Toc14931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"_Toc22967" </w:instrText>
      </w:r>
      <w:r>
        <w:rPr>
          <w:color w:val="auto"/>
          <w:highlight w:val="none"/>
        </w:rPr>
        <w:fldChar w:fldCharType="separate"/>
      </w:r>
      <w:r>
        <w:rPr>
          <w:rFonts w:hint="eastAsia" w:cs="宋体"/>
          <w:color w:val="auto"/>
          <w:sz w:val="32"/>
          <w:szCs w:val="32"/>
          <w:highlight w:val="none"/>
        </w:rPr>
        <w:t>第二章 项目需求说明</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_Toc22967 </w:instrText>
      </w:r>
      <w:r>
        <w:rPr>
          <w:color w:val="auto"/>
          <w:sz w:val="32"/>
          <w:szCs w:val="32"/>
          <w:highlight w:val="none"/>
        </w:rPr>
        <w:fldChar w:fldCharType="separate"/>
      </w:r>
      <w:r>
        <w:rPr>
          <w:color w:val="auto"/>
          <w:sz w:val="32"/>
          <w:szCs w:val="32"/>
          <w:highlight w:val="none"/>
        </w:rPr>
        <w:t>4</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"_Toc25392" </w:instrText>
      </w:r>
      <w:r>
        <w:rPr>
          <w:color w:val="auto"/>
          <w:highlight w:val="none"/>
        </w:rPr>
        <w:fldChar w:fldCharType="separate"/>
      </w:r>
      <w:r>
        <w:rPr>
          <w:rFonts w:hint="eastAsia" w:cs="宋体"/>
          <w:color w:val="auto"/>
          <w:sz w:val="32"/>
          <w:szCs w:val="32"/>
          <w:highlight w:val="none"/>
        </w:rPr>
        <w:t>第三章 投标人须知</w:t>
      </w:r>
      <w:r>
        <w:rPr>
          <w:color w:val="auto"/>
          <w:sz w:val="32"/>
          <w:szCs w:val="32"/>
          <w:highlight w:val="none"/>
        </w:rPr>
        <w:tab/>
      </w:r>
      <w:bookmarkStart w:id="125" w:name="_GoBack"/>
      <w:bookmarkEnd w:id="125"/>
      <w:r>
        <w:rPr>
          <w:color w:val="auto"/>
          <w:sz w:val="32"/>
          <w:szCs w:val="32"/>
          <w:highlight w:val="none"/>
        </w:rPr>
        <w:fldChar w:fldCharType="begin"/>
      </w:r>
      <w:r>
        <w:rPr>
          <w:color w:val="auto"/>
          <w:sz w:val="32"/>
          <w:szCs w:val="32"/>
          <w:highlight w:val="none"/>
        </w:rPr>
        <w:instrText xml:space="preserve"> PAGEREF _Toc25392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"_Toc22886" </w:instrText>
      </w:r>
      <w:r>
        <w:rPr>
          <w:color w:val="auto"/>
          <w:highlight w:val="none"/>
        </w:rPr>
        <w:fldChar w:fldCharType="separate"/>
      </w:r>
      <w:r>
        <w:rPr>
          <w:rFonts w:hint="eastAsia" w:cs="宋体"/>
          <w:color w:val="auto"/>
          <w:sz w:val="32"/>
          <w:szCs w:val="32"/>
          <w:highlight w:val="none"/>
        </w:rPr>
        <w:t>第四章 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_Toc22886 </w:instrText>
      </w:r>
      <w:r>
        <w:rPr>
          <w:color w:val="auto"/>
          <w:sz w:val="32"/>
          <w:szCs w:val="32"/>
          <w:highlight w:val="none"/>
        </w:rPr>
        <w:fldChar w:fldCharType="separate"/>
      </w:r>
      <w:r>
        <w:rPr>
          <w:color w:val="auto"/>
          <w:sz w:val="32"/>
          <w:szCs w:val="32"/>
          <w:highlight w:val="none"/>
        </w:rPr>
        <w:t>31</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"_Toc9368" </w:instrText>
      </w:r>
      <w:r>
        <w:rPr>
          <w:color w:val="auto"/>
          <w:highlight w:val="none"/>
        </w:rPr>
        <w:fldChar w:fldCharType="separate"/>
      </w:r>
      <w:r>
        <w:rPr>
          <w:rFonts w:hint="eastAsia" w:cs="宋体"/>
          <w:color w:val="auto"/>
          <w:sz w:val="32"/>
          <w:szCs w:val="40"/>
          <w:highlight w:val="none"/>
        </w:rPr>
        <w:t>第五章 合同格式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_Toc9368 </w:instrText>
      </w:r>
      <w:r>
        <w:rPr>
          <w:color w:val="auto"/>
          <w:sz w:val="32"/>
          <w:szCs w:val="32"/>
          <w:highlight w:val="none"/>
        </w:rPr>
        <w:fldChar w:fldCharType="separate"/>
      </w:r>
      <w:r>
        <w:rPr>
          <w:color w:val="auto"/>
          <w:sz w:val="32"/>
          <w:szCs w:val="32"/>
          <w:highlight w:val="none"/>
        </w:rPr>
        <w:t>33</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"_Toc17612" </w:instrText>
      </w:r>
      <w:r>
        <w:rPr>
          <w:color w:val="auto"/>
          <w:highlight w:val="none"/>
        </w:rPr>
        <w:fldChar w:fldCharType="separate"/>
      </w:r>
      <w:r>
        <w:rPr>
          <w:rFonts w:hint="eastAsia" w:cs="宋体"/>
          <w:color w:val="auto"/>
          <w:sz w:val="32"/>
          <w:szCs w:val="32"/>
          <w:highlight w:val="none"/>
        </w:rPr>
        <w:t>第六章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_Toc17612 </w:instrText>
      </w:r>
      <w:r>
        <w:rPr>
          <w:color w:val="auto"/>
          <w:sz w:val="32"/>
          <w:szCs w:val="32"/>
          <w:highlight w:val="none"/>
        </w:rPr>
        <w:fldChar w:fldCharType="separate"/>
      </w:r>
      <w:r>
        <w:rPr>
          <w:color w:val="auto"/>
          <w:sz w:val="32"/>
          <w:szCs w:val="32"/>
          <w:highlight w:val="none"/>
        </w:rPr>
        <w:t>39</w:t>
      </w:r>
      <w:r>
        <w:rPr>
          <w:color w:val="auto"/>
          <w:sz w:val="32"/>
          <w:szCs w:val="32"/>
          <w:highlight w:val="none"/>
        </w:rPr>
        <w:fldChar w:fldCharType="end"/>
      </w:r>
      <w:r>
        <w:rPr>
          <w:color w:val="auto"/>
          <w:sz w:val="32"/>
          <w:szCs w:val="32"/>
          <w:highlight w:val="none"/>
        </w:rPr>
        <w:fldChar w:fldCharType="end"/>
      </w:r>
    </w:p>
    <w:p>
      <w:pPr>
        <w:pStyle w:val="32"/>
        <w:tabs>
          <w:tab w:val="right" w:leader="dot" w:pos="8306"/>
          <w:tab w:val="clear" w:pos="8296"/>
        </w:tabs>
        <w:ind w:left="480"/>
        <w:jc w:val="center"/>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14931"/>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[2019]48761号、[2019]49787号的批准，浙江五石工程咨询有限公司受浙江中医药大学委托，就</w:t>
      </w:r>
      <w:r>
        <w:rPr>
          <w:rFonts w:hint="eastAsia"/>
          <w:color w:val="auto"/>
          <w:highlight w:val="none"/>
          <w:u w:val="single"/>
        </w:rPr>
        <w:t>人工智能病理辅助诊断系统等</w:t>
      </w:r>
      <w:r>
        <w:rPr>
          <w:rFonts w:hint="eastAsia"/>
          <w:color w:val="auto"/>
          <w:highlight w:val="none"/>
        </w:rPr>
        <w:t>进行公开招标采购，欢迎国内合格的供应商前来投标。具体如下：</w:t>
      </w:r>
    </w:p>
    <w:p>
      <w:pPr>
        <w:pStyle w:val="5"/>
        <w:rPr>
          <w:rFonts w:hint="eastAsia" w:ascii="宋体" w:hAnsi="宋体" w:eastAsia="宋体" w:cs="宋体"/>
          <w:color w:val="auto"/>
          <w:sz w:val="24"/>
          <w:szCs w:val="24"/>
          <w:highlight w:val="none"/>
          <w:lang w:eastAsia="zh-CN"/>
        </w:rPr>
      </w:pPr>
      <w:bookmarkStart w:id="4" w:name="_Toc5584"/>
      <w:bookmarkStart w:id="5" w:name="_Toc29586"/>
      <w:r>
        <w:rPr>
          <w:rStyle w:val="42"/>
          <w:rFonts w:hint="eastAsia" w:ascii="宋体" w:hAnsi="宋体" w:cs="宋体"/>
          <w:b/>
          <w:color w:val="auto"/>
          <w:sz w:val="24"/>
          <w:szCs w:val="24"/>
          <w:highlight w:val="none"/>
        </w:rPr>
        <w:t>一、招标编号：</w:t>
      </w:r>
      <w:bookmarkEnd w:id="4"/>
      <w:bookmarkEnd w:id="5"/>
      <w:r>
        <w:rPr>
          <w:rFonts w:hint="eastAsia" w:ascii="宋体" w:hAnsi="宋体" w:cs="宋体"/>
          <w:color w:val="auto"/>
          <w:sz w:val="24"/>
          <w:szCs w:val="24"/>
          <w:highlight w:val="none"/>
          <w:lang w:eastAsia="zh-CN"/>
        </w:rPr>
        <w:t>ZJWSBJ-ZYY-201934G-4</w:t>
      </w:r>
    </w:p>
    <w:p>
      <w:pPr>
        <w:pStyle w:val="5"/>
        <w:rPr>
          <w:rFonts w:ascii="宋体" w:hAnsi="宋体" w:cs="宋体"/>
          <w:color w:val="auto"/>
          <w:sz w:val="24"/>
          <w:szCs w:val="24"/>
          <w:highlight w:val="none"/>
        </w:rPr>
      </w:pPr>
      <w:bookmarkStart w:id="6" w:name="_Toc21401"/>
      <w:bookmarkStart w:id="7" w:name="_Toc11203"/>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6"/>
      <w:bookmarkEnd w:id="7"/>
    </w:p>
    <w:p>
      <w:pPr>
        <w:pStyle w:val="5"/>
        <w:rPr>
          <w:rFonts w:ascii="宋体" w:hAnsi="宋体" w:cs="宋体"/>
          <w:color w:val="auto"/>
          <w:sz w:val="24"/>
          <w:szCs w:val="24"/>
          <w:highlight w:val="none"/>
        </w:rPr>
      </w:pPr>
      <w:bookmarkStart w:id="8" w:name="_Toc5262"/>
      <w:bookmarkStart w:id="9" w:name="_Toc561"/>
      <w:r>
        <w:rPr>
          <w:rStyle w:val="42"/>
          <w:rFonts w:hint="eastAsia" w:ascii="宋体" w:hAnsi="宋体" w:cs="宋体"/>
          <w:b/>
          <w:color w:val="auto"/>
          <w:sz w:val="24"/>
          <w:szCs w:val="24"/>
          <w:highlight w:val="none"/>
        </w:rPr>
        <w:t>三、项目概况</w:t>
      </w:r>
      <w:bookmarkEnd w:id="8"/>
      <w:bookmarkEnd w:id="9"/>
    </w:p>
    <w:tbl>
      <w:tblPr>
        <w:tblStyle w:val="39"/>
        <w:tblW w:w="9712" w:type="dxa"/>
        <w:tblInd w:w="0" w:type="dxa"/>
        <w:tblLayout w:type="fixed"/>
        <w:tblCellMar>
          <w:top w:w="15" w:type="dxa"/>
          <w:left w:w="15" w:type="dxa"/>
          <w:bottom w:w="15" w:type="dxa"/>
          <w:right w:w="15" w:type="dxa"/>
        </w:tblCellMar>
      </w:tblPr>
      <w:tblGrid>
        <w:gridCol w:w="681"/>
        <w:gridCol w:w="2013"/>
        <w:gridCol w:w="1705"/>
        <w:gridCol w:w="1274"/>
        <w:gridCol w:w="1534"/>
        <w:gridCol w:w="1539"/>
        <w:gridCol w:w="966"/>
      </w:tblGrid>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20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7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项目编号</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sz w:val="22"/>
                <w:szCs w:val="22"/>
                <w:highlight w:val="none"/>
              </w:rPr>
              <w:t>（单位</w:t>
            </w:r>
            <w:r>
              <w:rPr>
                <w:rFonts w:hint="eastAsia" w:ascii="宋体" w:hAnsi="宋体" w:cs="宋体"/>
                <w:color w:val="auto"/>
                <w:kern w:val="0"/>
                <w:highlight w:val="none"/>
              </w:rPr>
              <w:t>）</w:t>
            </w:r>
          </w:p>
        </w:tc>
        <w:tc>
          <w:tcPr>
            <w:tcW w:w="15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预算金额(万元)</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20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人工智能病理辅助诊断系统等</w:t>
            </w:r>
          </w:p>
        </w:tc>
        <w:tc>
          <w:tcPr>
            <w:tcW w:w="17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ZJWSBJ-ZYY-201934G-4</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1批</w:t>
            </w:r>
          </w:p>
        </w:tc>
        <w:tc>
          <w:tcPr>
            <w:tcW w:w="1534" w:type="dxa"/>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ascii="宋体" w:hAnsi="宋体" w:cs="宋体"/>
                <w:color w:val="auto"/>
                <w:highlight w:val="none"/>
              </w:rPr>
              <w:t>详见采购文件需求部分</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108.76</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进口+国产</w:t>
            </w:r>
          </w:p>
        </w:tc>
      </w:tr>
    </w:tbl>
    <w:p>
      <w:pPr>
        <w:pStyle w:val="5"/>
        <w:rPr>
          <w:rFonts w:ascii="宋体" w:hAnsi="宋体" w:cs="宋体"/>
          <w:color w:val="auto"/>
          <w:sz w:val="24"/>
          <w:szCs w:val="24"/>
          <w:highlight w:val="none"/>
        </w:rPr>
      </w:pPr>
      <w:bookmarkStart w:id="10" w:name="_Toc24393"/>
      <w:bookmarkStart w:id="11" w:name="_Toc29819"/>
      <w:r>
        <w:rPr>
          <w:rStyle w:val="42"/>
          <w:rFonts w:hint="eastAsia" w:ascii="宋体" w:hAnsi="宋体" w:cs="宋体"/>
          <w:b/>
          <w:color w:val="auto"/>
          <w:sz w:val="24"/>
          <w:szCs w:val="24"/>
          <w:highlight w:val="none"/>
        </w:rPr>
        <w:t>四、投标人资格要求:</w:t>
      </w:r>
      <w:bookmarkEnd w:id="10"/>
      <w:bookmarkEnd w:id="11"/>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color w:val="auto"/>
          <w:highlight w:val="none"/>
        </w:rPr>
      </w:pPr>
      <w:r>
        <w:rPr>
          <w:rFonts w:hint="eastAsia" w:ascii="宋体" w:hAnsi="宋体" w:cs="宋体"/>
          <w:color w:val="auto"/>
          <w:highlight w:val="none"/>
        </w:rPr>
        <w:t>（二）特定资格要求：无。</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2019-10-24至2019-10-31（上午：09:00-11:30；下午：13:30-16:30）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color w:val="auto"/>
          <w:highlight w:val="none"/>
        </w:rPr>
      </w:pPr>
      <w:r>
        <w:rPr>
          <w:rStyle w:val="42"/>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 xml:space="preserve">4.招标文件售价：500元/本（售后不退）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lang w:bidi="ar"/>
        </w:rPr>
      </w:pPr>
      <w:bookmarkStart w:id="12" w:name="_Toc1080"/>
      <w:bookmarkStart w:id="13" w:name="_Toc16792"/>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12"/>
      <w:bookmarkEnd w:id="13"/>
    </w:p>
    <w:p>
      <w:pPr>
        <w:pStyle w:val="5"/>
        <w:ind w:firstLine="482" w:firstLineChars="200"/>
        <w:rPr>
          <w:rFonts w:ascii="宋体" w:hAnsi="宋体" w:cs="宋体"/>
          <w:b w:val="0"/>
          <w:bCs w:val="0"/>
          <w:color w:val="auto"/>
          <w:sz w:val="24"/>
          <w:szCs w:val="24"/>
          <w:highlight w:val="none"/>
        </w:rPr>
      </w:pPr>
      <w:bookmarkStart w:id="14" w:name="_Toc2231"/>
      <w:bookmarkStart w:id="15" w:name="_Toc21443"/>
      <w:r>
        <w:rPr>
          <w:rStyle w:val="42"/>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bookmarkEnd w:id="14"/>
      <w:r>
        <w:rPr>
          <w:rFonts w:hint="eastAsia" w:ascii="宋体" w:hAnsi="宋体" w:cs="宋体"/>
          <w:b w:val="0"/>
          <w:bCs w:val="0"/>
          <w:color w:val="auto"/>
          <w:sz w:val="24"/>
          <w:szCs w:val="24"/>
          <w:highlight w:val="none"/>
        </w:rPr>
        <w:t>2019-11-13  09:30:00</w:t>
      </w:r>
      <w:bookmarkEnd w:id="15"/>
    </w:p>
    <w:p>
      <w:pPr>
        <w:pStyle w:val="5"/>
        <w:ind w:firstLine="482" w:firstLineChars="200"/>
        <w:rPr>
          <w:rStyle w:val="42"/>
          <w:rFonts w:ascii="宋体" w:hAnsi="宋体" w:cs="宋体"/>
          <w:b w:val="0"/>
          <w:bCs w:val="0"/>
          <w:color w:val="auto"/>
          <w:sz w:val="24"/>
          <w:szCs w:val="24"/>
          <w:highlight w:val="none"/>
        </w:rPr>
      </w:pPr>
      <w:bookmarkStart w:id="16" w:name="_Toc22852"/>
      <w:bookmarkStart w:id="17" w:name="_Toc16496"/>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 xml:space="preserve"> </w:t>
      </w:r>
      <w:bookmarkEnd w:id="16"/>
      <w:r>
        <w:rPr>
          <w:rStyle w:val="42"/>
          <w:rFonts w:hint="eastAsia" w:ascii="宋体" w:hAnsi="宋体" w:cs="宋体"/>
          <w:b w:val="0"/>
          <w:bCs w:val="0"/>
          <w:color w:val="auto"/>
          <w:sz w:val="24"/>
          <w:szCs w:val="24"/>
          <w:highlight w:val="none"/>
        </w:rPr>
        <w:t>2019-11-13  09:30:00</w:t>
      </w:r>
      <w:bookmarkEnd w:id="17"/>
    </w:p>
    <w:p>
      <w:pPr>
        <w:pStyle w:val="5"/>
        <w:ind w:firstLine="482" w:firstLineChars="200"/>
        <w:rPr>
          <w:rStyle w:val="42"/>
          <w:rFonts w:ascii="宋体" w:hAnsi="宋体" w:cs="宋体"/>
          <w:b w:val="0"/>
          <w:bCs w:val="0"/>
          <w:color w:val="auto"/>
          <w:sz w:val="24"/>
          <w:szCs w:val="24"/>
          <w:highlight w:val="none"/>
        </w:rPr>
      </w:pPr>
      <w:bookmarkStart w:id="18" w:name="_Toc26036"/>
      <w:bookmarkStart w:id="19" w:name="_Toc8652"/>
      <w:r>
        <w:rPr>
          <w:rStyle w:val="42"/>
          <w:rFonts w:hint="eastAsia" w:ascii="宋体" w:hAnsi="宋体" w:cs="宋体"/>
          <w:b/>
          <w:color w:val="auto"/>
          <w:sz w:val="24"/>
          <w:szCs w:val="24"/>
          <w:highlight w:val="none"/>
        </w:rPr>
        <w:t>3.开标地点：</w:t>
      </w:r>
      <w:bookmarkEnd w:id="18"/>
      <w:r>
        <w:rPr>
          <w:rStyle w:val="42"/>
          <w:rFonts w:hint="eastAsia" w:ascii="宋体" w:hAnsi="宋体" w:cs="宋体"/>
          <w:b/>
          <w:color w:val="auto"/>
          <w:sz w:val="24"/>
          <w:szCs w:val="24"/>
          <w:highlight w:val="none"/>
        </w:rPr>
        <w:t>杭州市滨江区东信大道66号东方通信科技园启迪楼2楼会议室（2）</w:t>
      </w:r>
      <w:bookmarkEnd w:id="19"/>
    </w:p>
    <w:p>
      <w:pPr>
        <w:pStyle w:val="5"/>
        <w:rPr>
          <w:rFonts w:ascii="宋体" w:hAnsi="宋体" w:cs="宋体"/>
          <w:color w:val="auto"/>
          <w:sz w:val="24"/>
          <w:szCs w:val="24"/>
          <w:highlight w:val="none"/>
        </w:rPr>
      </w:pPr>
      <w:bookmarkStart w:id="20" w:name="_Toc5315"/>
      <w:bookmarkStart w:id="21" w:name="_Toc15758"/>
      <w:r>
        <w:rPr>
          <w:rStyle w:val="42"/>
          <w:rFonts w:hint="eastAsia" w:ascii="宋体" w:hAnsi="宋体" w:cs="宋体"/>
          <w:b/>
          <w:color w:val="auto"/>
          <w:sz w:val="24"/>
          <w:szCs w:val="24"/>
          <w:highlight w:val="none"/>
        </w:rPr>
        <w:t>八、投标保证金：无</w:t>
      </w:r>
      <w:bookmarkEnd w:id="20"/>
      <w:bookmarkEnd w:id="21"/>
    </w:p>
    <w:p>
      <w:pPr>
        <w:pStyle w:val="5"/>
        <w:rPr>
          <w:rFonts w:ascii="宋体" w:hAnsi="宋体" w:cs="宋体"/>
          <w:color w:val="auto"/>
          <w:sz w:val="24"/>
          <w:szCs w:val="24"/>
          <w:highlight w:val="none"/>
        </w:rPr>
      </w:pPr>
      <w:bookmarkStart w:id="22" w:name="_Toc3884"/>
      <w:bookmarkStart w:id="23" w:name="_Toc6191"/>
      <w:r>
        <w:rPr>
          <w:rStyle w:val="42"/>
          <w:rFonts w:hint="eastAsia" w:ascii="宋体" w:hAnsi="宋体" w:cs="宋体"/>
          <w:b/>
          <w:color w:val="auto"/>
          <w:sz w:val="24"/>
          <w:szCs w:val="24"/>
          <w:highlight w:val="none"/>
        </w:rPr>
        <w:t>九、其他事项：</w:t>
      </w:r>
      <w:bookmarkEnd w:id="22"/>
      <w:bookmarkEnd w:id="2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24" w:name="_Toc7350"/>
      <w:bookmarkStart w:id="25" w:name="_Toc5293"/>
      <w:r>
        <w:rPr>
          <w:rStyle w:val="42"/>
          <w:rFonts w:hint="eastAsia" w:ascii="宋体" w:hAnsi="宋体" w:cs="宋体"/>
          <w:b/>
          <w:color w:val="auto"/>
          <w:sz w:val="24"/>
          <w:szCs w:val="24"/>
          <w:highlight w:val="none"/>
        </w:rPr>
        <w:t>十、联系方式</w:t>
      </w:r>
      <w:bookmarkEnd w:id="24"/>
      <w:bookmarkEnd w:id="25"/>
    </w:p>
    <w:p>
      <w:pPr>
        <w:ind w:firstLine="480"/>
        <w:rPr>
          <w:rFonts w:ascii="宋体" w:hAnsi="宋体"/>
          <w:color w:val="auto"/>
          <w:highlight w:val="none"/>
        </w:rPr>
      </w:pPr>
      <w:r>
        <w:rPr>
          <w:rFonts w:hint="eastAsia" w:ascii="宋体" w:hAnsi="宋体"/>
          <w:color w:val="auto"/>
          <w:kern w:val="0"/>
          <w:highlight w:val="none"/>
        </w:rPr>
        <w:t>1.采购人名称：</w:t>
      </w:r>
      <w:r>
        <w:rPr>
          <w:rFonts w:hint="eastAsia" w:ascii="宋体" w:hAnsi="宋体"/>
          <w:color w:val="auto"/>
          <w:highlight w:val="none"/>
        </w:rPr>
        <w:t>浙江中医药大学</w:t>
      </w:r>
    </w:p>
    <w:p>
      <w:pPr>
        <w:ind w:firstLine="480"/>
        <w:rPr>
          <w:rFonts w:ascii="宋体" w:hAnsi="宋体"/>
          <w:color w:val="auto"/>
          <w:kern w:val="0"/>
          <w:highlight w:val="none"/>
        </w:rPr>
      </w:pPr>
      <w:r>
        <w:rPr>
          <w:rFonts w:hint="eastAsia" w:ascii="宋体" w:hAnsi="宋体"/>
          <w:color w:val="auto"/>
          <w:kern w:val="0"/>
          <w:highlight w:val="none"/>
        </w:rPr>
        <w:t>联系人：汪佳丽</w:t>
      </w:r>
    </w:p>
    <w:p>
      <w:pPr>
        <w:ind w:firstLine="480"/>
        <w:rPr>
          <w:rFonts w:ascii="宋体" w:hAnsi="宋体"/>
          <w:color w:val="auto"/>
          <w:kern w:val="0"/>
          <w:highlight w:val="none"/>
        </w:rPr>
      </w:pPr>
      <w:r>
        <w:rPr>
          <w:rFonts w:hint="eastAsia" w:ascii="宋体" w:hAnsi="宋体"/>
          <w:color w:val="auto"/>
          <w:kern w:val="0"/>
          <w:highlight w:val="none"/>
        </w:rPr>
        <w:t>联系电话：</w:t>
      </w:r>
      <w:r>
        <w:rPr>
          <w:rFonts w:hint="eastAsia" w:ascii="宋体" w:hAnsi="宋体"/>
          <w:color w:val="auto"/>
          <w:highlight w:val="none"/>
        </w:rPr>
        <w:t>0571-86633113</w:t>
      </w:r>
    </w:p>
    <w:p>
      <w:pPr>
        <w:ind w:firstLine="480"/>
        <w:rPr>
          <w:rFonts w:ascii="宋体" w:hAnsi="宋体"/>
          <w:color w:val="auto"/>
          <w:kern w:val="0"/>
          <w:highlight w:val="none"/>
        </w:rPr>
      </w:pPr>
      <w:r>
        <w:rPr>
          <w:rFonts w:hint="eastAsia" w:ascii="宋体" w:hAnsi="宋体"/>
          <w:color w:val="auto"/>
          <w:kern w:val="0"/>
          <w:highlight w:val="none"/>
        </w:rPr>
        <w:t>地址：杭州市滨江区滨文路548号</w:t>
      </w:r>
    </w:p>
    <w:p>
      <w:pPr>
        <w:ind w:firstLine="480"/>
        <w:rPr>
          <w:rFonts w:ascii="宋体" w:hAnsi="宋体"/>
          <w:color w:val="auto"/>
          <w:kern w:val="0"/>
          <w:highlight w:val="none"/>
        </w:rPr>
      </w:pPr>
      <w:r>
        <w:rPr>
          <w:rFonts w:hint="eastAsia" w:ascii="宋体" w:hAnsi="宋体"/>
          <w:color w:val="auto"/>
          <w:kern w:val="0"/>
          <w:highlight w:val="none"/>
        </w:rPr>
        <w:t>采购项目联系人：盛老师</w:t>
      </w:r>
    </w:p>
    <w:p>
      <w:pPr>
        <w:ind w:firstLine="480"/>
        <w:rPr>
          <w:rFonts w:ascii="宋体" w:hAnsi="宋体"/>
          <w:color w:val="auto"/>
          <w:kern w:val="0"/>
          <w:highlight w:val="none"/>
        </w:rPr>
      </w:pPr>
      <w:r>
        <w:rPr>
          <w:rFonts w:hint="eastAsia" w:ascii="宋体" w:hAnsi="宋体"/>
          <w:color w:val="auto"/>
          <w:kern w:val="0"/>
          <w:highlight w:val="none"/>
        </w:rPr>
        <w:t>联系电话：15356673652</w:t>
      </w:r>
    </w:p>
    <w:p>
      <w:pPr>
        <w:ind w:firstLine="480"/>
        <w:rPr>
          <w:rFonts w:ascii="宋体" w:hAnsi="宋体"/>
          <w:color w:val="auto"/>
          <w:kern w:val="0"/>
          <w:highlight w:val="none"/>
        </w:rPr>
      </w:pPr>
      <w:r>
        <w:rPr>
          <w:rFonts w:hint="eastAsia" w:ascii="宋体" w:hAnsi="宋体"/>
          <w:color w:val="auto"/>
          <w:kern w:val="0"/>
          <w:highlight w:val="none"/>
        </w:rPr>
        <w:t>地址：杭州市滨江区滨文路548号</w:t>
      </w:r>
    </w:p>
    <w:p>
      <w:pPr>
        <w:ind w:firstLine="480"/>
        <w:rPr>
          <w:rFonts w:ascii="宋体" w:hAnsi="宋体"/>
          <w:color w:val="auto"/>
          <w:kern w:val="0"/>
          <w:highlight w:val="none"/>
        </w:rPr>
      </w:pPr>
      <w:r>
        <w:rPr>
          <w:rFonts w:hint="eastAsia" w:ascii="宋体" w:hAnsi="宋体"/>
          <w:color w:val="auto"/>
          <w:kern w:val="0"/>
          <w:highlight w:val="none"/>
        </w:rPr>
        <w:t xml:space="preserve">2.代理机构名称：浙江五石工程咨询有限公司 </w:t>
      </w:r>
      <w:r>
        <w:rPr>
          <w:rFonts w:ascii="宋体" w:hAnsi="宋体"/>
          <w:color w:val="auto"/>
          <w:kern w:val="0"/>
          <w:highlight w:val="none"/>
        </w:rPr>
        <w:t xml:space="preserve"> </w:t>
      </w:r>
    </w:p>
    <w:p>
      <w:pPr>
        <w:ind w:firstLine="480"/>
        <w:rPr>
          <w:rFonts w:ascii="宋体" w:hAnsi="宋体"/>
          <w:color w:val="auto"/>
          <w:kern w:val="0"/>
          <w:highlight w:val="none"/>
        </w:rPr>
      </w:pPr>
      <w:r>
        <w:rPr>
          <w:rFonts w:hint="eastAsia" w:ascii="宋体" w:hAnsi="宋体"/>
          <w:color w:val="auto"/>
          <w:kern w:val="0"/>
          <w:highlight w:val="none"/>
        </w:rPr>
        <w:t>项目联系人：陈工</w:t>
      </w:r>
    </w:p>
    <w:p>
      <w:pPr>
        <w:ind w:firstLine="480"/>
        <w:rPr>
          <w:rFonts w:ascii="宋体" w:hAnsi="宋体"/>
          <w:color w:val="auto"/>
          <w:kern w:val="0"/>
          <w:highlight w:val="none"/>
        </w:rPr>
      </w:pPr>
      <w:r>
        <w:rPr>
          <w:rFonts w:hint="eastAsia" w:ascii="宋体" w:hAnsi="宋体"/>
          <w:color w:val="auto"/>
          <w:kern w:val="0"/>
          <w:highlight w:val="none"/>
        </w:rPr>
        <w:t>联系电话：0571-86098397-808</w:t>
      </w:r>
    </w:p>
    <w:p>
      <w:pPr>
        <w:ind w:firstLine="480"/>
        <w:rPr>
          <w:rFonts w:ascii="宋体" w:hAnsi="宋体"/>
          <w:color w:val="auto"/>
          <w:kern w:val="0"/>
          <w:highlight w:val="none"/>
        </w:rPr>
      </w:pPr>
      <w:r>
        <w:rPr>
          <w:rFonts w:hint="eastAsia" w:ascii="宋体" w:hAnsi="宋体"/>
          <w:color w:val="auto"/>
          <w:kern w:val="0"/>
          <w:highlight w:val="none"/>
        </w:rPr>
        <w:t>报名联系人：梁工</w:t>
      </w:r>
    </w:p>
    <w:p>
      <w:pPr>
        <w:ind w:firstLine="480"/>
        <w:rPr>
          <w:rFonts w:ascii="宋体" w:hAnsi="宋体"/>
          <w:color w:val="auto"/>
          <w:kern w:val="0"/>
          <w:highlight w:val="none"/>
        </w:rPr>
      </w:pPr>
      <w:r>
        <w:rPr>
          <w:rFonts w:hint="eastAsia" w:ascii="宋体" w:hAnsi="宋体"/>
          <w:color w:val="auto"/>
          <w:kern w:val="0"/>
          <w:highlight w:val="none"/>
        </w:rPr>
        <w:t>联系电话：17746806483</w:t>
      </w:r>
    </w:p>
    <w:p>
      <w:pPr>
        <w:ind w:firstLine="480"/>
        <w:rPr>
          <w:rFonts w:ascii="宋体" w:hAnsi="宋体"/>
          <w:color w:val="auto"/>
          <w:kern w:val="0"/>
          <w:highlight w:val="none"/>
        </w:rPr>
      </w:pPr>
      <w:r>
        <w:rPr>
          <w:rFonts w:hint="eastAsia" w:ascii="宋体" w:hAnsi="宋体"/>
          <w:color w:val="auto"/>
          <w:kern w:val="0"/>
          <w:highlight w:val="none"/>
        </w:rPr>
        <w:t>邮箱：2810140286@qq.com</w:t>
      </w:r>
    </w:p>
    <w:p>
      <w:pPr>
        <w:ind w:firstLine="480"/>
        <w:rPr>
          <w:rFonts w:ascii="宋体" w:hAnsi="宋体"/>
          <w:color w:val="auto"/>
          <w:kern w:val="0"/>
          <w:highlight w:val="none"/>
        </w:rPr>
      </w:pPr>
      <w:r>
        <w:rPr>
          <w:rFonts w:hint="eastAsia" w:ascii="宋体" w:hAnsi="宋体"/>
          <w:color w:val="auto"/>
          <w:kern w:val="0"/>
          <w:highlight w:val="none"/>
        </w:rPr>
        <w:t>质疑联系人及电话：毛工/0571-87805727</w:t>
      </w:r>
    </w:p>
    <w:p>
      <w:pPr>
        <w:ind w:firstLine="480"/>
        <w:rPr>
          <w:rFonts w:ascii="宋体" w:hAnsi="宋体"/>
          <w:color w:val="auto"/>
          <w:kern w:val="0"/>
          <w:highlight w:val="none"/>
        </w:rPr>
      </w:pPr>
      <w:r>
        <w:rPr>
          <w:rFonts w:hint="eastAsia" w:ascii="宋体" w:hAnsi="宋体"/>
          <w:color w:val="auto"/>
          <w:kern w:val="0"/>
          <w:highlight w:val="none"/>
        </w:rPr>
        <w:t>浙江五石工程咨询有限公司官网：http://zjwsbidding.com/</w:t>
      </w:r>
    </w:p>
    <w:p>
      <w:pPr>
        <w:ind w:firstLine="480"/>
        <w:rPr>
          <w:rFonts w:ascii="宋体" w:hAnsi="宋体"/>
          <w:color w:val="auto"/>
          <w:kern w:val="0"/>
          <w:highlight w:val="none"/>
        </w:rPr>
      </w:pPr>
      <w:r>
        <w:rPr>
          <w:rFonts w:hint="eastAsia" w:ascii="宋体" w:hAnsi="宋体"/>
          <w:color w:val="auto"/>
          <w:kern w:val="0"/>
          <w:highlight w:val="none"/>
        </w:rPr>
        <w:t>地址：杭州市滨江区东方通信科技园启迪楼2楼1207室</w:t>
      </w:r>
    </w:p>
    <w:p>
      <w:pPr>
        <w:ind w:firstLine="480"/>
        <w:rPr>
          <w:rFonts w:ascii="宋体" w:hAnsi="宋体"/>
          <w:color w:val="auto"/>
          <w:kern w:val="0"/>
          <w:highlight w:val="none"/>
        </w:rPr>
      </w:pPr>
      <w:r>
        <w:rPr>
          <w:rFonts w:hint="eastAsia" w:ascii="宋体" w:hAnsi="宋体"/>
          <w:color w:val="auto"/>
          <w:kern w:val="0"/>
          <w:highlight w:val="none"/>
        </w:rPr>
        <w:t>3.同级政府采购监督管理部门名称：浙江省财政厅政府采购监管处</w:t>
      </w:r>
    </w:p>
    <w:p>
      <w:pPr>
        <w:ind w:firstLine="480"/>
        <w:rPr>
          <w:rFonts w:ascii="宋体" w:hAnsi="宋体"/>
          <w:color w:val="auto"/>
          <w:kern w:val="0"/>
          <w:highlight w:val="none"/>
        </w:rPr>
      </w:pPr>
      <w:r>
        <w:rPr>
          <w:rFonts w:hint="eastAsia" w:ascii="宋体" w:hAnsi="宋体"/>
          <w:color w:val="auto"/>
          <w:kern w:val="0"/>
          <w:highlight w:val="none"/>
        </w:rPr>
        <w:t>联系人：倪老师</w:t>
      </w:r>
    </w:p>
    <w:p>
      <w:pPr>
        <w:ind w:firstLine="480"/>
        <w:rPr>
          <w:rFonts w:ascii="宋体" w:hAnsi="宋体"/>
          <w:color w:val="auto"/>
          <w:kern w:val="0"/>
          <w:highlight w:val="none"/>
        </w:rPr>
      </w:pPr>
      <w:r>
        <w:rPr>
          <w:rFonts w:hint="eastAsia" w:ascii="宋体" w:hAnsi="宋体"/>
          <w:color w:val="auto"/>
          <w:kern w:val="0"/>
          <w:highlight w:val="none"/>
        </w:rPr>
        <w:t>监督投诉电话：0571-87057615</w:t>
      </w:r>
    </w:p>
    <w:p>
      <w:pPr>
        <w:ind w:firstLine="480"/>
        <w:rPr>
          <w:color w:val="auto"/>
          <w:highlight w:val="none"/>
        </w:rPr>
      </w:pPr>
      <w:r>
        <w:rPr>
          <w:rFonts w:hint="eastAsia" w:ascii="宋体" w:hAnsi="宋体"/>
          <w:color w:val="auto"/>
          <w:kern w:val="0"/>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2019年10月</w:t>
      </w:r>
    </w:p>
    <w:p>
      <w:pPr>
        <w:pStyle w:val="2"/>
        <w:rPr>
          <w:rFonts w:ascii="宋体" w:hAnsi="宋体" w:eastAsia="宋体" w:cs="宋体"/>
          <w:color w:val="auto"/>
          <w:highlight w:val="none"/>
        </w:rPr>
        <w:sectPr>
          <w:footerReference r:id="rId9"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26" w:name="_Toc22967"/>
      <w:r>
        <w:rPr>
          <w:rFonts w:hint="eastAsia" w:cs="宋体"/>
          <w:color w:val="auto"/>
          <w:highlight w:val="none"/>
        </w:rPr>
        <w:t>第二章 项目需求说明</w:t>
      </w:r>
      <w:bookmarkEnd w:id="26"/>
    </w:p>
    <w:p>
      <w:pPr>
        <w:pStyle w:val="5"/>
        <w:rPr>
          <w:rFonts w:ascii="宋体" w:hAnsi="宋体" w:cs="宋体"/>
          <w:color w:val="auto"/>
          <w:sz w:val="24"/>
          <w:szCs w:val="40"/>
          <w:highlight w:val="none"/>
        </w:rPr>
      </w:pPr>
      <w:bookmarkStart w:id="27" w:name="_Toc7691"/>
      <w:bookmarkStart w:id="28" w:name="_Toc18187"/>
      <w:bookmarkStart w:id="29" w:name="_Toc21112"/>
      <w:bookmarkStart w:id="30" w:name="_Toc450840085"/>
      <w:r>
        <w:rPr>
          <w:rFonts w:hint="eastAsia" w:ascii="宋体" w:hAnsi="宋体" w:cs="宋体"/>
          <w:color w:val="auto"/>
          <w:sz w:val="24"/>
          <w:szCs w:val="40"/>
          <w:highlight w:val="none"/>
        </w:rPr>
        <w:t>一、货物或产品的说明和具体技术要求</w:t>
      </w:r>
      <w:bookmarkEnd w:id="27"/>
      <w:bookmarkEnd w:id="28"/>
      <w:bookmarkEnd w:id="29"/>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color w:val="auto"/>
          <w:szCs w:val="40"/>
          <w:highlight w:val="none"/>
        </w:rPr>
      </w:pPr>
      <w:r>
        <w:rPr>
          <w:rFonts w:hint="eastAsia"/>
          <w:color w:val="auto"/>
          <w:szCs w:val="40"/>
          <w:highlight w:val="none"/>
        </w:rPr>
        <w:t>2、具体技术要求</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4"/>
              </w:numPr>
              <w:spacing w:before="120" w:beforeLines="50" w:after="120" w:afterLines="50"/>
              <w:ind w:firstLineChars="0"/>
              <w:jc w:val="center"/>
              <w:rPr>
                <w:color w:val="auto"/>
                <w:highlight w:val="none"/>
              </w:rPr>
            </w:pPr>
          </w:p>
        </w:tc>
        <w:tc>
          <w:tcPr>
            <w:tcW w:w="1409" w:type="dxa"/>
            <w:shd w:val="clear" w:color="auto" w:fill="auto"/>
            <w:vAlign w:val="center"/>
          </w:tcPr>
          <w:p>
            <w:pPr>
              <w:widowControl/>
              <w:ind w:firstLine="0" w:firstLineChars="0"/>
              <w:jc w:val="center"/>
              <w:rPr>
                <w:color w:val="auto"/>
                <w:highlight w:val="none"/>
              </w:rPr>
            </w:pPr>
            <w:r>
              <w:rPr>
                <w:rFonts w:hint="eastAsia" w:ascii="宋体" w:hAnsi="宋体"/>
                <w:b/>
                <w:bCs/>
                <w:color w:val="auto"/>
                <w:kern w:val="0"/>
                <w:highlight w:val="none"/>
              </w:rPr>
              <w:t>人工智能病理分析系统（核心产品）</w:t>
            </w:r>
          </w:p>
        </w:tc>
        <w:tc>
          <w:tcPr>
            <w:tcW w:w="5862" w:type="dxa"/>
            <w:shd w:val="clear" w:color="auto" w:fill="auto"/>
            <w:vAlign w:val="center"/>
          </w:tcPr>
          <w:p>
            <w:pPr>
              <w:widowControl/>
              <w:numPr>
                <w:ilvl w:val="0"/>
                <w:numId w:val="5"/>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数字病理切片扫描主机：</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1.1一体化、箱式数字病理切片扫描主机，集成化整机，无物镜、相机等核心原件外露；</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1.2可扫描的切片尺寸：24.5mm～26.25mm；长度: 72.0mm～80.0mm；厚度: 0.8mm～1.5mm；</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1.3  15mm × 15mm区域扫描平均时间 ≤ 40s；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1.4  单位距离扫描形变误差≤ ±5um；</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1.5  自动照明控制；</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1.6  扫描图像自动拼接；</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1.7  重量≤ 5kg。</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2.数字病理管理系统：</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2.1 支持信息列表展示；</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2.2 支持添加、编辑、删除信息</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2.3 支持扫描图像格式：tiff、jpg、bmp、png、mrxs、kif、nidp</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2.4 容量可扩展，支持海量数字化病理切片图像上传存储功能。</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 数字病理切片浏览系统：</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3.1 毫秒级图像加载速度；</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3.2 分析范围按需设置，支持高效全场图分析与自定义热区框选处理相结合；</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3.3 自定义缩放数字化病理切片图像；</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3.4 支持1：1还原扫描图像倍率，高清晰展示细胞组织特征；</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 数字病理分析系统：</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4.1含细胞检测、细胞分割、免疫组化的自动化分析相关模块；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4.2精准的基于D-Avatar引擎的病理全场图WSI细胞检测及分割功能；</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4.3针对动物病理相关科研项目定向研发的免疫组化核、浆、膜染色定量分析模块；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4.4支持标尺随机测量组织、细胞大小；</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4.5可按需显示或隐藏或者删除图像上的结果或标记，支持一键选取删除视野结果或标记；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4.6自定义生成诊断报告，报告可打印。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5.细胞检测模块：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5.2处理结果：细胞个数计数；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5.3 识别准确率：≥ 99%。</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6.细胞分割模块：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6.2处理结果：分割细胞轮廓、细胞个数计数；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6.3识别准确率：≥ 99%。</w:t>
            </w:r>
          </w:p>
          <w:p>
            <w:pPr>
              <w:widowControl/>
              <w:numPr>
                <w:ilvl w:val="0"/>
                <w:numId w:val="6"/>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免疫组化核染：</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7.1 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7.2处理结果：阳性肿瘤细胞计数、阴性肿瘤细胞计数、KI-67指数计数；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7.3识别准确率：≥ 98%。</w:t>
            </w:r>
          </w:p>
          <w:p>
            <w:pPr>
              <w:widowControl/>
              <w:numPr>
                <w:ilvl w:val="0"/>
                <w:numId w:val="6"/>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免疫组化膜染：</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8.2处理结果：肿瘤区域划分、阳性肿瘤细胞计数、阴性肿瘤细胞计数、PD-L1指数计数；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8.3识别准确率：≥ 98%。</w:t>
            </w:r>
          </w:p>
          <w:p>
            <w:pPr>
              <w:snapToGrid w:val="0"/>
              <w:spacing w:line="240" w:lineRule="atLeast"/>
              <w:ind w:firstLine="0" w:firstLineChars="0"/>
              <w:rPr>
                <w:rFonts w:ascii="Times New Roman" w:hAnsi="宋体"/>
                <w:color w:val="auto"/>
                <w:szCs w:val="21"/>
                <w:highlight w:val="none"/>
              </w:rPr>
            </w:pPr>
            <w:r>
              <w:rPr>
                <w:color w:val="auto"/>
                <w:highlight w:val="none"/>
              </w:rPr>
              <w:t>9.</w:t>
            </w:r>
            <w:r>
              <w:rPr>
                <w:rFonts w:hint="eastAsia" w:ascii="宋体" w:hAnsi="宋体"/>
                <w:color w:val="auto"/>
                <w:highlight w:val="none"/>
              </w:rPr>
              <w:t xml:space="preserve">工作站1套及打印输出设备1套 </w:t>
            </w:r>
            <w:r>
              <w:rPr>
                <w:rFonts w:ascii="宋体" w:hAnsi="宋体"/>
                <w:color w:val="auto"/>
                <w:highlight w:val="none"/>
              </w:rPr>
              <w:t>(</w:t>
            </w:r>
            <w:r>
              <w:rPr>
                <w:rFonts w:hint="eastAsia" w:ascii="Times New Roman" w:hAnsi="宋体"/>
                <w:color w:val="auto"/>
                <w:szCs w:val="21"/>
                <w:highlight w:val="none"/>
              </w:rPr>
              <w:t>配置要求</w:t>
            </w:r>
            <w:r>
              <w:rPr>
                <w:rFonts w:ascii="Times New Roman" w:hAnsi="宋体"/>
                <w:color w:val="auto"/>
                <w:szCs w:val="21"/>
                <w:highlight w:val="none"/>
              </w:rPr>
              <w:t>戴尔T7920 图形工作站台式机</w:t>
            </w:r>
            <w:r>
              <w:rPr>
                <w:rFonts w:hint="eastAsia" w:ascii="Times New Roman" w:hAnsi="宋体"/>
                <w:color w:val="auto"/>
                <w:szCs w:val="21"/>
                <w:highlight w:val="none"/>
              </w:rPr>
              <w:t>或同级别以上: CPU双至强银牌4110; 光驱DVD-RW光驱；内存：32GB DDR4 ；硬盘：512</w:t>
            </w:r>
            <w:r>
              <w:rPr>
                <w:rFonts w:ascii="Times New Roman" w:hAnsi="宋体"/>
                <w:color w:val="auto"/>
                <w:szCs w:val="21"/>
                <w:highlight w:val="none"/>
              </w:rPr>
              <w:t xml:space="preserve">GB </w:t>
            </w:r>
            <w:r>
              <w:rPr>
                <w:rFonts w:hint="eastAsia" w:ascii="Times New Roman" w:hAnsi="宋体"/>
                <w:color w:val="auto"/>
                <w:szCs w:val="21"/>
                <w:highlight w:val="none"/>
              </w:rPr>
              <w:t>SSD+</w:t>
            </w:r>
            <w:r>
              <w:rPr>
                <w:rFonts w:ascii="Times New Roman" w:hAnsi="宋体"/>
                <w:color w:val="auto"/>
                <w:szCs w:val="21"/>
                <w:highlight w:val="none"/>
              </w:rPr>
              <w:t>2</w:t>
            </w:r>
            <w:r>
              <w:rPr>
                <w:rFonts w:hint="eastAsia" w:ascii="Times New Roman" w:hAnsi="宋体"/>
                <w:color w:val="auto"/>
                <w:szCs w:val="21"/>
                <w:highlight w:val="none"/>
              </w:rPr>
              <w:t>TB；显卡：独立显卡，独立显存4G以上，Nvidia Quadro P2000及以上，27 寸LCD显示器）及打印输出设备一套）</w:t>
            </w:r>
          </w:p>
          <w:p>
            <w:pPr>
              <w:snapToGrid w:val="0"/>
              <w:spacing w:line="240" w:lineRule="atLeast"/>
              <w:ind w:firstLine="0" w:firstLineChars="0"/>
              <w:rPr>
                <w:rFonts w:ascii="宋体" w:hAnsi="宋体"/>
                <w:color w:val="auto"/>
                <w:highlight w:val="none"/>
              </w:rPr>
            </w:pPr>
            <w:r>
              <w:rPr>
                <w:rFonts w:hint="eastAsia" w:ascii="宋体" w:hAnsi="宋体"/>
                <w:color w:val="auto"/>
                <w:highlight w:val="none"/>
              </w:rPr>
              <w:t>1</w:t>
            </w:r>
            <w:r>
              <w:rPr>
                <w:rFonts w:ascii="宋体" w:hAnsi="宋体"/>
                <w:color w:val="auto"/>
                <w:highlight w:val="none"/>
              </w:rPr>
              <w:t xml:space="preserve">0. </w:t>
            </w:r>
            <w:r>
              <w:rPr>
                <w:rFonts w:hint="eastAsia" w:ascii="宋体" w:hAnsi="宋体"/>
                <w:color w:val="auto"/>
                <w:highlight w:val="none"/>
              </w:rPr>
              <w:t>外置硬盘柜（含硬盘容量≥5</w:t>
            </w:r>
            <w:r>
              <w:rPr>
                <w:rFonts w:ascii="宋体" w:hAnsi="宋体"/>
                <w:color w:val="auto"/>
                <w:highlight w:val="none"/>
              </w:rPr>
              <w:t>T</w:t>
            </w:r>
            <w:r>
              <w:rPr>
                <w:rFonts w:hint="eastAsia" w:ascii="宋体" w:hAnsi="宋体"/>
                <w:color w:val="auto"/>
                <w:highlight w:val="none"/>
              </w:rPr>
              <w:t>）</w:t>
            </w:r>
          </w:p>
          <w:p>
            <w:pPr>
              <w:ind w:firstLine="0" w:firstLineChars="0"/>
              <w:rPr>
                <w:color w:val="auto"/>
                <w:highlight w:val="none"/>
              </w:rPr>
            </w:pPr>
            <w:r>
              <w:rPr>
                <w:rFonts w:hint="eastAsia" w:ascii="宋体" w:hAnsi="宋体"/>
                <w:color w:val="auto"/>
                <w:highlight w:val="none"/>
              </w:rPr>
              <w:t>1</w:t>
            </w:r>
            <w:r>
              <w:rPr>
                <w:rFonts w:ascii="宋体" w:hAnsi="宋体"/>
                <w:color w:val="auto"/>
                <w:highlight w:val="none"/>
              </w:rPr>
              <w:t xml:space="preserve">1. </w:t>
            </w:r>
            <w:r>
              <w:rPr>
                <w:rFonts w:hint="eastAsia" w:ascii="宋体" w:hAnsi="宋体"/>
                <w:color w:val="auto"/>
                <w:highlight w:val="none"/>
              </w:rPr>
              <w:t>质保期：三年，</w:t>
            </w:r>
            <w:r>
              <w:rPr>
                <w:rFonts w:hint="eastAsia" w:ascii="宋体" w:hAnsi="宋体"/>
                <w:b/>
                <w:bCs/>
                <w:color w:val="auto"/>
                <w:highlight w:val="none"/>
              </w:rPr>
              <w:t>软件终身免费升级。</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widowControl/>
              <w:ind w:firstLine="0" w:firstLineChars="0"/>
              <w:jc w:val="center"/>
              <w:rPr>
                <w:color w:val="auto"/>
                <w:szCs w:val="21"/>
                <w:highlight w:val="none"/>
              </w:rPr>
            </w:pPr>
            <w:r>
              <w:rPr>
                <w:rFonts w:ascii="Times New Roman" w:hAnsi="Times New Roman"/>
                <w:color w:val="auto"/>
                <w:kern w:val="0"/>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蛋白转印系统</w:t>
            </w:r>
          </w:p>
        </w:tc>
        <w:tc>
          <w:tcPr>
            <w:tcW w:w="5862" w:type="dxa"/>
            <w:vAlign w:val="center"/>
          </w:tcPr>
          <w:p>
            <w:pPr>
              <w:widowControl/>
              <w:numPr>
                <w:ilvl w:val="0"/>
                <w:numId w:val="7"/>
              </w:numPr>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转印通量：4块小胶或2块中型胶；2个转印盘设计，可运行2</w:t>
            </w:r>
            <w:r>
              <w:rPr>
                <w:rFonts w:hint="eastAsia" w:ascii="宋体" w:hAnsi="宋体"/>
                <w:color w:val="auto"/>
                <w:kern w:val="0"/>
                <w:szCs w:val="21"/>
                <w:highlight w:val="none"/>
              </w:rPr>
              <w:t>个。</w:t>
            </w:r>
          </w:p>
          <w:p>
            <w:pPr>
              <w:widowControl/>
              <w:numPr>
                <w:ilvl w:val="0"/>
                <w:numId w:val="7"/>
              </w:numPr>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独立的转印程序</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转印速度：3分钟内完成2块TGX小胶的转印；7分钟内完成4</w:t>
            </w:r>
            <w:r>
              <w:rPr>
                <w:rFonts w:hint="eastAsia" w:ascii="宋体" w:hAnsi="宋体"/>
                <w:color w:val="auto"/>
                <w:kern w:val="0"/>
                <w:szCs w:val="21"/>
                <w:highlight w:val="none"/>
              </w:rPr>
              <w:t>块</w:t>
            </w:r>
          </w:p>
          <w:p>
            <w:pPr>
              <w:widowControl/>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普通小胶或2块中型胶的转印</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用户界面：显示屏程序化操作，可实现在无人照看下的程序自动运行监控；有预设程序帮助指导实验设计，并可根据实际需要人为修改</w:t>
            </w:r>
          </w:p>
          <w:p>
            <w:pPr>
              <w:widowControl/>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程序并存储调用</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应用性：可兼容传统实验试剂和耗材</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使用便捷：有即用型转印耗材包，无需人工准备缓冲液和膜</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耗材对环境无害，无需废物处理成本；单次使用耗材，减少不必要的浪费</w:t>
            </w:r>
          </w:p>
          <w:p>
            <w:pPr>
              <w:pStyle w:val="2"/>
              <w:rPr>
                <w:color w:val="auto"/>
                <w:highlight w:val="none"/>
              </w:rPr>
            </w:pPr>
            <w:r>
              <w:rPr>
                <w:bCs/>
                <w:color w:val="auto"/>
                <w:szCs w:val="21"/>
                <w:highlight w:val="none"/>
              </w:rPr>
              <w:t>8.售后服务要求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旋转蒸发仪</w:t>
            </w:r>
          </w:p>
        </w:tc>
        <w:tc>
          <w:tcPr>
            <w:tcW w:w="5862" w:type="dxa"/>
            <w:vAlign w:val="center"/>
          </w:tcPr>
          <w:p>
            <w:pPr>
              <w:widowControl/>
              <w:numPr>
                <w:ilvl w:val="0"/>
                <w:numId w:val="8"/>
              </w:numPr>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加热锅设有可调安全回路，可根据需要进行独立操作，并可根据需要提供安全防护罩</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设计符合人体工程学，操作方便、安全</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马达升降， 具有安全停止功能，电源中断时，马达将蒸发瓶自动提升至加热锅以上位置</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可调升降终点识别功能，有效防止玻璃组件碰碎</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ascii="宋体" w:hAnsi="宋体" w:cs="宋体"/>
                <w:color w:val="auto"/>
                <w:kern w:val="0"/>
                <w:szCs w:val="21"/>
                <w:highlight w:val="none"/>
              </w:rPr>
              <w:t>马达转速数字显示</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ascii="Arial" w:hAnsi="Arial" w:cs="Arial"/>
                <w:color w:val="auto"/>
                <w:highlight w:val="none"/>
                <w:shd w:val="clear" w:color="auto" w:fill="FFFFFF"/>
              </w:rPr>
              <w:t>▲</w:t>
            </w:r>
            <w:r>
              <w:rPr>
                <w:rFonts w:hint="eastAsia" w:ascii="宋体" w:hAnsi="宋体" w:cs="宋体"/>
                <w:color w:val="auto"/>
                <w:kern w:val="0"/>
                <w:szCs w:val="21"/>
                <w:highlight w:val="none"/>
              </w:rPr>
              <w:t>6.</w:t>
            </w:r>
            <w:r>
              <w:rPr>
                <w:rFonts w:ascii="宋体" w:hAnsi="宋体" w:cs="宋体"/>
                <w:color w:val="auto"/>
                <w:kern w:val="0"/>
                <w:szCs w:val="21"/>
                <w:highlight w:val="none"/>
              </w:rPr>
              <w:t>间歇性的左右旋转用于粉末状样品的干燥处理</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7.</w:t>
            </w:r>
            <w:r>
              <w:rPr>
                <w:rFonts w:ascii="宋体" w:hAnsi="宋体" w:cs="宋体"/>
                <w:color w:val="auto"/>
                <w:kern w:val="0"/>
                <w:szCs w:val="21"/>
                <w:highlight w:val="none"/>
              </w:rPr>
              <w:t>电子定时功能用于定时自动操作</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8.</w:t>
            </w:r>
            <w:r>
              <w:rPr>
                <w:rFonts w:ascii="宋体" w:hAnsi="宋体" w:cs="宋体"/>
                <w:color w:val="auto"/>
                <w:kern w:val="0"/>
                <w:szCs w:val="21"/>
                <w:highlight w:val="none"/>
              </w:rPr>
              <w:t>转速范围：20</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8</w:t>
            </w:r>
            <w:r>
              <w:rPr>
                <w:rFonts w:ascii="宋体" w:hAnsi="宋体" w:cs="宋体"/>
                <w:color w:val="auto"/>
                <w:kern w:val="0"/>
                <w:szCs w:val="21"/>
                <w:highlight w:val="none"/>
              </w:rPr>
              <w:t>0 rpm</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9浴槽最大容量：≥3 L；</w:t>
            </w:r>
          </w:p>
          <w:p>
            <w:pPr>
              <w:widowControl/>
              <w:numPr>
                <w:ilvl w:val="0"/>
                <w:numId w:val="9"/>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冷凝面积：≥</w:t>
            </w:r>
            <w:r>
              <w:rPr>
                <w:rFonts w:ascii="宋体" w:hAnsi="宋体" w:cs="宋体"/>
                <w:color w:val="auto"/>
                <w:kern w:val="0"/>
                <w:szCs w:val="21"/>
                <w:highlight w:val="none"/>
              </w:rPr>
              <w:t>1</w:t>
            </w:r>
            <w:r>
              <w:rPr>
                <w:rFonts w:hint="eastAsia" w:ascii="宋体" w:hAnsi="宋体" w:cs="宋体"/>
                <w:color w:val="auto"/>
                <w:kern w:val="0"/>
                <w:szCs w:val="21"/>
                <w:highlight w:val="none"/>
              </w:rPr>
              <w:t>5</w:t>
            </w:r>
            <w:r>
              <w:rPr>
                <w:rFonts w:ascii="宋体" w:hAnsi="宋体" w:cs="宋体"/>
                <w:color w:val="auto"/>
                <w:kern w:val="0"/>
                <w:szCs w:val="21"/>
                <w:highlight w:val="none"/>
              </w:rPr>
              <w:t>00 cm²</w:t>
            </w:r>
            <w:r>
              <w:rPr>
                <w:rFonts w:hint="eastAsia" w:ascii="宋体" w:hAnsi="宋体" w:cs="宋体"/>
                <w:color w:val="auto"/>
                <w:kern w:val="0"/>
                <w:szCs w:val="21"/>
                <w:highlight w:val="none"/>
              </w:rPr>
              <w:t>；</w:t>
            </w:r>
          </w:p>
          <w:p>
            <w:pPr>
              <w:widowControl/>
              <w:numPr>
                <w:ilvl w:val="0"/>
                <w:numId w:val="9"/>
              </w:numPr>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温度控制：RT～180℃；</w:t>
            </w:r>
          </w:p>
          <w:p>
            <w:pPr>
              <w:widowControl/>
              <w:numPr>
                <w:ilvl w:val="0"/>
                <w:numId w:val="9"/>
              </w:numPr>
              <w:spacing w:line="240" w:lineRule="auto"/>
              <w:ind w:firstLine="0" w:firstLineChars="0"/>
              <w:rPr>
                <w:color w:val="auto"/>
                <w:szCs w:val="21"/>
                <w:highlight w:val="none"/>
              </w:rPr>
            </w:pPr>
            <w:r>
              <w:rPr>
                <w:rFonts w:hint="eastAsia" w:ascii="宋体" w:hAnsi="宋体" w:cs="宋体"/>
                <w:color w:val="auto"/>
                <w:kern w:val="0"/>
                <w:szCs w:val="21"/>
                <w:highlight w:val="none"/>
              </w:rPr>
              <w:t xml:space="preserve"> 配置要求：数显型旋转蒸发仪主机1台，玻璃组件1套：包含冷凝管、接收瓶、蒸发瓶，数显加热锅1台</w:t>
            </w:r>
          </w:p>
          <w:p>
            <w:pPr>
              <w:widowControl/>
              <w:tabs>
                <w:tab w:val="left" w:pos="312"/>
              </w:tabs>
              <w:spacing w:line="240" w:lineRule="auto"/>
              <w:ind w:firstLine="0" w:firstLineChars="0"/>
              <w:rPr>
                <w:color w:val="auto"/>
                <w:szCs w:val="21"/>
                <w:highlight w:val="none"/>
              </w:rPr>
            </w:pPr>
            <w:r>
              <w:rPr>
                <w:rFonts w:hint="eastAsia"/>
                <w:color w:val="auto"/>
                <w:szCs w:val="21"/>
                <w:highlight w:val="none"/>
              </w:rPr>
              <w:t>真空泵1台，循环冷却器1台。</w:t>
            </w:r>
          </w:p>
          <w:p>
            <w:pPr>
              <w:pStyle w:val="2"/>
              <w:rPr>
                <w:color w:val="auto"/>
                <w:highlight w:val="none"/>
              </w:rPr>
            </w:pPr>
            <w:r>
              <w:rPr>
                <w:rFonts w:hint="eastAsia"/>
                <w:bCs/>
                <w:color w:val="auto"/>
                <w:szCs w:val="21"/>
                <w:highlight w:val="none"/>
              </w:rPr>
              <w:t>1</w:t>
            </w:r>
            <w:r>
              <w:rPr>
                <w:bCs/>
                <w:color w:val="auto"/>
                <w:szCs w:val="21"/>
                <w:highlight w:val="none"/>
              </w:rPr>
              <w:t>3.售后服务要求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3年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恒温振荡器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1.采用微电脑控制轻触薄膜开关设定速度、温度、时间，LED显示，操作简单快捷；</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2.振荡速度：20-300rpm；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3.速度控制：无级调速；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4.温度控制：5～50℃；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5.定时控制：0～99.99h；</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6.振荡模式：水平圆周回转；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7.制冷机：进口压缩机；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8.配件：不锈钢弹簧网架（标配）</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垂直旋转混合器</w:t>
            </w:r>
          </w:p>
        </w:tc>
        <w:tc>
          <w:tcPr>
            <w:tcW w:w="5862" w:type="dxa"/>
            <w:vAlign w:val="center"/>
          </w:tcPr>
          <w:p>
            <w:pPr>
              <w:widowControl/>
              <w:numPr>
                <w:ilvl w:val="0"/>
                <w:numId w:val="10"/>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数显型转盘混匀器，可实现平稳但有效的混合；</w:t>
            </w:r>
          </w:p>
          <w:p>
            <w:pPr>
              <w:widowControl/>
              <w:numPr>
                <w:ilvl w:val="0"/>
                <w:numId w:val="10"/>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运行方式：旋转；</w:t>
            </w:r>
          </w:p>
          <w:p>
            <w:pPr>
              <w:widowControl/>
              <w:numPr>
                <w:ilvl w:val="0"/>
                <w:numId w:val="10"/>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转速范围：0～80rpm；</w:t>
            </w:r>
          </w:p>
          <w:p>
            <w:pPr>
              <w:widowControl/>
              <w:numPr>
                <w:ilvl w:val="0"/>
                <w:numId w:val="10"/>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定时范围：1s～5999min；</w:t>
            </w:r>
          </w:p>
          <w:p>
            <w:pPr>
              <w:widowControl/>
              <w:numPr>
                <w:ilvl w:val="0"/>
                <w:numId w:val="10"/>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易于拆卸的附件允许简单快速地清洁溢出样品；</w:t>
            </w:r>
          </w:p>
          <w:p>
            <w:pPr>
              <w:widowControl/>
              <w:numPr>
                <w:ilvl w:val="0"/>
                <w:numId w:val="10"/>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多种夹具可选。</w:t>
            </w:r>
          </w:p>
          <w:p>
            <w:pPr>
              <w:pStyle w:val="2"/>
              <w:rPr>
                <w:color w:val="auto"/>
                <w:highlight w:val="none"/>
              </w:rPr>
            </w:pPr>
            <w:r>
              <w:rPr>
                <w:bCs/>
                <w:color w:val="auto"/>
                <w:szCs w:val="21"/>
                <w:highlight w:val="none"/>
              </w:rPr>
              <w:t>7.售后服务要求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万分之一天平</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1.坚固的金属机架；</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加固的机身实现过载保护</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自动内部校准技术</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多种内置应用程序</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醒目的背光显示屏能够显示超大数字，让您在所有工作环境中都能轻松读取</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6.</w:t>
            </w:r>
            <w:r>
              <w:rPr>
                <w:rFonts w:ascii="宋体" w:hAnsi="宋体" w:cs="宋体"/>
                <w:color w:val="auto"/>
                <w:kern w:val="0"/>
                <w:szCs w:val="21"/>
                <w:highlight w:val="none"/>
              </w:rPr>
              <w:t>内置的时间与日期标识，确保称量、校准和校正的数据符合ISO/GLP文档的记录要求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最大称量值：</w:t>
            </w:r>
            <w:r>
              <w:rPr>
                <w:rFonts w:hint="eastAsia" w:ascii="宋体" w:hAnsi="宋体" w:cs="宋体"/>
                <w:color w:val="auto"/>
                <w:kern w:val="0"/>
                <w:szCs w:val="21"/>
                <w:highlight w:val="none"/>
              </w:rPr>
              <w:t>220g；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8.可读性：0.1mg；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9.线性误差：0.2mg；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10.稳定时间：2s；</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11.</w:t>
            </w:r>
            <w:r>
              <w:rPr>
                <w:rFonts w:ascii="宋体" w:hAnsi="宋体" w:cs="宋体"/>
                <w:color w:val="auto"/>
                <w:kern w:val="0"/>
                <w:szCs w:val="21"/>
                <w:highlight w:val="none"/>
              </w:rPr>
              <w:t>应用程序</w:t>
            </w:r>
            <w:r>
              <w:rPr>
                <w:rFonts w:hint="eastAsia" w:ascii="宋体" w:hAnsi="宋体" w:cs="宋体"/>
                <w:color w:val="auto"/>
                <w:kern w:val="0"/>
                <w:szCs w:val="21"/>
                <w:highlight w:val="none"/>
              </w:rPr>
              <w:t>：</w:t>
            </w:r>
            <w:r>
              <w:rPr>
                <w:rFonts w:ascii="宋体" w:hAnsi="宋体" w:cs="宋体"/>
                <w:color w:val="auto"/>
                <w:kern w:val="0"/>
                <w:szCs w:val="21"/>
                <w:highlight w:val="none"/>
              </w:rPr>
              <w:t>配方称量、求和称量、动态称量、计件称量、密度测定、百分比称量、检重称量、统计称量、自由因子称量</w:t>
            </w:r>
          </w:p>
          <w:p>
            <w:pPr>
              <w:pStyle w:val="2"/>
              <w:rPr>
                <w:color w:val="auto"/>
                <w:highlight w:val="none"/>
              </w:rPr>
            </w:pPr>
            <w:r>
              <w:rPr>
                <w:rFonts w:hint="eastAsia"/>
                <w:bCs/>
                <w:color w:val="auto"/>
                <w:szCs w:val="21"/>
                <w:highlight w:val="none"/>
              </w:rPr>
              <w:t>1</w:t>
            </w:r>
            <w:r>
              <w:rPr>
                <w:bCs/>
                <w:color w:val="auto"/>
                <w:szCs w:val="21"/>
                <w:highlight w:val="none"/>
              </w:rPr>
              <w:t>2.售后服务要求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旋转混合器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1.独有的可调旋转架组合；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2.多种旋转方式，从温和旋转到翻跟头式旋转；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3.可提供3种离心夹具；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4.旋转时，用手轻按旋转夹具，可实现正反旋转；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5.转速：10～40r/min；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6.定时范围：1s～999min</w:t>
            </w:r>
          </w:p>
          <w:p>
            <w:pPr>
              <w:pStyle w:val="2"/>
              <w:rPr>
                <w:color w:val="auto"/>
                <w:highlight w:val="none"/>
              </w:rPr>
            </w:pPr>
            <w:r>
              <w:rPr>
                <w:bCs/>
                <w:color w:val="auto"/>
                <w:szCs w:val="21"/>
                <w:highlight w:val="none"/>
              </w:rPr>
              <w:t>7.售后服务要求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实验室冷藏柜</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1.容量≥395L；</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2.标配6个隔架，隔架间距可调；</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3.数字温度控制显示；</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4.风冷，无霜；</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5.温度范围+2℃至+8℃可调；</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6.具有高温、低温、传感器故警、开门、断电报警等多种功能；</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7.配备门锁，防止随意开启，存储物品安全</w:t>
            </w:r>
          </w:p>
          <w:p>
            <w:pPr>
              <w:pStyle w:val="2"/>
              <w:rPr>
                <w:color w:val="auto"/>
                <w:highlight w:val="none"/>
              </w:rPr>
            </w:pPr>
            <w:r>
              <w:rPr>
                <w:rFonts w:hint="eastAsia"/>
                <w:color w:val="auto"/>
                <w:highlight w:val="none"/>
              </w:rPr>
              <w:t>8</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自动液液萃取装置</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采用标准分液漏斗，通用性、互换性强，装卸方便</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三种时间设置方式，方便不同用户使用</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操作简单方便，有时间设定记忆功能，减少重复设置的麻烦</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振荡方式：双侧垂直或倾斜上下往返振荡（0</w:t>
            </w:r>
            <w:r>
              <w:rPr>
                <w:rFonts w:hint="eastAsia" w:ascii="宋体" w:hAnsi="宋体" w:cs="宋体"/>
                <w:color w:val="auto"/>
                <w:kern w:val="0"/>
                <w:szCs w:val="21"/>
                <w:highlight w:val="none"/>
              </w:rPr>
              <w:t>～</w:t>
            </w:r>
            <w:r>
              <w:rPr>
                <w:rFonts w:ascii="宋体" w:hAnsi="宋体" w:cs="宋体"/>
                <w:color w:val="auto"/>
                <w:kern w:val="0"/>
                <w:szCs w:val="21"/>
                <w:highlight w:val="none"/>
              </w:rPr>
              <w:t>15°可调）</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振荡速度：0</w:t>
            </w:r>
            <w:r>
              <w:rPr>
                <w:rFonts w:hint="eastAsia" w:ascii="宋体" w:hAnsi="宋体" w:cs="宋体"/>
                <w:color w:val="auto"/>
                <w:kern w:val="0"/>
                <w:szCs w:val="21"/>
                <w:highlight w:val="none"/>
              </w:rPr>
              <w:t>～</w:t>
            </w:r>
            <w:r>
              <w:rPr>
                <w:rFonts w:ascii="宋体" w:hAnsi="宋体" w:cs="宋体"/>
                <w:color w:val="auto"/>
                <w:kern w:val="0"/>
                <w:szCs w:val="21"/>
                <w:highlight w:val="none"/>
              </w:rPr>
              <w:t>300/min</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萃取数量：2</w:t>
            </w:r>
            <w:r>
              <w:rPr>
                <w:rFonts w:hint="eastAsia" w:ascii="宋体" w:hAnsi="宋体" w:cs="宋体"/>
                <w:color w:val="auto"/>
                <w:kern w:val="0"/>
                <w:szCs w:val="21"/>
                <w:highlight w:val="none"/>
              </w:rPr>
              <w:t>～</w:t>
            </w:r>
            <w:r>
              <w:rPr>
                <w:rFonts w:ascii="宋体" w:hAnsi="宋体" w:cs="宋体"/>
                <w:color w:val="auto"/>
                <w:kern w:val="0"/>
                <w:szCs w:val="21"/>
                <w:highlight w:val="none"/>
              </w:rPr>
              <w:t>10个</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萃取效率：95</w:t>
            </w:r>
            <w:r>
              <w:rPr>
                <w:rFonts w:hint="eastAsia" w:ascii="宋体" w:hAnsi="宋体" w:cs="宋体"/>
                <w:color w:val="auto"/>
                <w:kern w:val="0"/>
                <w:szCs w:val="21"/>
                <w:highlight w:val="none"/>
              </w:rPr>
              <w:t>～</w:t>
            </w:r>
            <w:r>
              <w:rPr>
                <w:rFonts w:ascii="宋体" w:hAnsi="宋体" w:cs="宋体"/>
                <w:color w:val="auto"/>
                <w:kern w:val="0"/>
                <w:szCs w:val="21"/>
                <w:highlight w:val="none"/>
              </w:rPr>
              <w:t>110%</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分液漏斗规格：50</w:t>
            </w:r>
            <w:r>
              <w:rPr>
                <w:rFonts w:hint="eastAsia" w:ascii="宋体" w:hAnsi="宋体" w:cs="宋体"/>
                <w:color w:val="auto"/>
                <w:kern w:val="0"/>
                <w:szCs w:val="21"/>
                <w:highlight w:val="none"/>
              </w:rPr>
              <w:t>～</w:t>
            </w:r>
            <w:r>
              <w:rPr>
                <w:rFonts w:ascii="宋体" w:hAnsi="宋体" w:cs="宋体"/>
                <w:color w:val="auto"/>
                <w:kern w:val="0"/>
                <w:szCs w:val="21"/>
                <w:highlight w:val="none"/>
              </w:rPr>
              <w:t>2000ml</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多功能摇床</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防滑垫—避免容器滑动</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2.运行方式</w:t>
            </w:r>
            <w:r>
              <w:rPr>
                <w:rFonts w:ascii="宋体" w:hAnsi="宋体" w:cs="宋体"/>
                <w:color w:val="auto"/>
                <w:kern w:val="0"/>
                <w:szCs w:val="21"/>
                <w:highlight w:val="none"/>
              </w:rPr>
              <w:t>：</w:t>
            </w:r>
            <w:r>
              <w:rPr>
                <w:rFonts w:hint="eastAsia" w:ascii="宋体" w:hAnsi="宋体" w:cs="宋体"/>
                <w:color w:val="auto"/>
                <w:kern w:val="0"/>
                <w:szCs w:val="21"/>
                <w:highlight w:val="none"/>
              </w:rPr>
              <w:t>翻滚；</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3.速率范围:0～80 rpm；</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4.三维往复旋转模式转角: 0～15°；</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5.定时范围：1s～99h59min；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6.振荡板可堆叠</w:t>
            </w:r>
          </w:p>
          <w:p>
            <w:pPr>
              <w:pStyle w:val="2"/>
              <w:rPr>
                <w:color w:val="auto"/>
                <w:highlight w:val="none"/>
              </w:rPr>
            </w:pPr>
            <w:r>
              <w:rPr>
                <w:rFonts w:hint="eastAsia"/>
                <w:color w:val="auto"/>
                <w:highlight w:val="none"/>
              </w:rPr>
              <w:t>7</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试管旋转混合器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1.运行方式</w:t>
            </w:r>
            <w:r>
              <w:rPr>
                <w:rFonts w:ascii="宋体" w:hAnsi="宋体" w:cs="宋体"/>
                <w:color w:val="auto"/>
                <w:kern w:val="0"/>
                <w:szCs w:val="21"/>
                <w:highlight w:val="none"/>
              </w:rPr>
              <w:t>：</w:t>
            </w:r>
            <w:r>
              <w:rPr>
                <w:rFonts w:hint="eastAsia" w:ascii="宋体" w:hAnsi="宋体" w:cs="宋体"/>
                <w:color w:val="auto"/>
                <w:kern w:val="0"/>
                <w:szCs w:val="21"/>
                <w:highlight w:val="none"/>
              </w:rPr>
              <w:t>顶置式；</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2.翻转方式：水平翻转；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3.速率范围:5～80 rpm；</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4.定时范围：1s～99h59min；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5.多种夹具可选</w:t>
            </w:r>
          </w:p>
          <w:p>
            <w:pPr>
              <w:pStyle w:val="2"/>
              <w:rPr>
                <w:color w:val="auto"/>
                <w:highlight w:val="none"/>
              </w:rPr>
            </w:pPr>
            <w:r>
              <w:rPr>
                <w:bCs/>
                <w:color w:val="auto"/>
                <w:szCs w:val="21"/>
                <w:highlight w:val="none"/>
              </w:rPr>
              <w:t>6. 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凯氏定氮仪</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1. 测定范围： 0.1mg～240mg氮</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2. 样品质量：固体0.3～1g；液体2～5ml；</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3. 测试精度：相对差1%；</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4. 重复性：平行差≤0.2%；</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5. 回收率：≥99.5%；</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6. 速 度：蒸馏25 ml/min；</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7. 防溅管采用高性能耐强酸碱塑料模具一次成型</w:t>
            </w:r>
          </w:p>
          <w:p>
            <w:pPr>
              <w:pStyle w:val="2"/>
              <w:rPr>
                <w:color w:val="auto"/>
                <w:highlight w:val="none"/>
              </w:rPr>
            </w:pPr>
            <w:r>
              <w:rPr>
                <w:rFonts w:hint="eastAsia"/>
                <w:color w:val="auto"/>
                <w:highlight w:val="none"/>
              </w:rPr>
              <w:t>8</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pStyle w:val="4"/>
              <w:widowControl/>
              <w:spacing w:after="300" w:line="315" w:lineRule="atLeast"/>
              <w:rPr>
                <w:color w:val="auto"/>
                <w:sz w:val="24"/>
                <w:szCs w:val="24"/>
                <w:highlight w:val="none"/>
              </w:rPr>
            </w:pPr>
            <w:bookmarkStart w:id="31" w:name="_Toc6168"/>
            <w:r>
              <w:rPr>
                <w:b w:val="0"/>
                <w:color w:val="auto"/>
                <w:kern w:val="0"/>
                <w:sz w:val="24"/>
                <w:szCs w:val="24"/>
                <w:highlight w:val="none"/>
              </w:rPr>
              <w:t>恒温水浴</w:t>
            </w:r>
            <w:bookmarkEnd w:id="31"/>
          </w:p>
        </w:tc>
        <w:tc>
          <w:tcPr>
            <w:tcW w:w="5862" w:type="dxa"/>
            <w:vAlign w:val="center"/>
          </w:tcPr>
          <w:p>
            <w:pPr>
              <w:widowControl/>
              <w:numPr>
                <w:ilvl w:val="0"/>
                <w:numId w:val="11"/>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先进的微处理控制器技术来扩展更多功能；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2.声音报警确保您的工作安全；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3.四个温度预设值方便保存常用设置；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4.水浴配备透明的聚碳酸酯尖顶盖，各式样品架，排水管；</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5.浴槽容积：</w:t>
            </w:r>
            <w:r>
              <w:rPr>
                <w:rFonts w:ascii="宋体" w:hAnsi="宋体" w:cs="宋体"/>
                <w:color w:val="auto"/>
                <w:kern w:val="0"/>
                <w:szCs w:val="21"/>
                <w:highlight w:val="none"/>
              </w:rPr>
              <w:t>≥</w:t>
            </w:r>
            <w:r>
              <w:rPr>
                <w:rFonts w:hint="eastAsia" w:ascii="宋体" w:hAnsi="宋体" w:cs="宋体"/>
                <w:color w:val="auto"/>
                <w:kern w:val="0"/>
                <w:szCs w:val="21"/>
                <w:highlight w:val="none"/>
              </w:rPr>
              <w:t>5L；</w:t>
            </w:r>
          </w:p>
          <w:p>
            <w:pPr>
              <w:widowControl/>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6.</w:t>
            </w:r>
            <w:r>
              <w:rPr>
                <w:rFonts w:hint="eastAsia" w:ascii="宋体" w:hAnsi="宋体"/>
                <w:color w:val="auto"/>
                <w:kern w:val="0"/>
                <w:szCs w:val="21"/>
                <w:highlight w:val="none"/>
              </w:rPr>
              <w:t>温控范围：RT～200℃；</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7.温度波动：±0.1℃；</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8.温度均一性：±0.2℃</w:t>
            </w:r>
          </w:p>
          <w:p>
            <w:pPr>
              <w:pStyle w:val="2"/>
              <w:rPr>
                <w:color w:val="auto"/>
                <w:highlight w:val="none"/>
              </w:rPr>
            </w:pPr>
            <w:r>
              <w:rPr>
                <w:rFonts w:hint="eastAsia"/>
                <w:color w:val="auto"/>
                <w:highlight w:val="none"/>
              </w:rPr>
              <w:t>9</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千分之一天平</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1.坚固的金属机架；</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加固的机身实现过载保护</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内部校准技术</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内置的时间与日期标识，确保称量、校准和校正的数据符合ISO/GLP文档的记录要求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最大称量值：</w:t>
            </w:r>
            <w:r>
              <w:rPr>
                <w:rFonts w:hint="eastAsia" w:ascii="宋体" w:hAnsi="宋体" w:cs="宋体"/>
                <w:color w:val="auto"/>
                <w:kern w:val="0"/>
                <w:szCs w:val="21"/>
                <w:highlight w:val="none"/>
              </w:rPr>
              <w:t>220g；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6.可读性：0.0010g；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7.线性误差：0.0020g</w:t>
            </w:r>
          </w:p>
          <w:p>
            <w:pPr>
              <w:pStyle w:val="2"/>
              <w:rPr>
                <w:color w:val="auto"/>
                <w:highlight w:val="none"/>
              </w:rPr>
            </w:pPr>
            <w:r>
              <w:rPr>
                <w:rFonts w:hint="eastAsia"/>
                <w:color w:val="auto"/>
                <w:highlight w:val="none"/>
              </w:rPr>
              <w:t>8</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真空干燥箱</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1.工作室采用优质钢板或不锈钢板；</w:t>
            </w:r>
            <w:r>
              <w:rPr>
                <w:rFonts w:ascii="宋体" w:hAnsi="宋体" w:cs="宋体"/>
                <w:color w:val="auto"/>
                <w:kern w:val="0"/>
                <w:szCs w:val="21"/>
                <w:highlight w:val="none"/>
              </w:rPr>
              <w:br w:type="textWrapping"/>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箱门闭合松紧能调节，整体成型的硅橡胶门封圈，确保箱内高真空度</w:t>
            </w:r>
            <w:r>
              <w:rPr>
                <w:rFonts w:hint="eastAsia" w:ascii="宋体" w:hAnsi="宋体" w:cs="宋体"/>
                <w:color w:val="auto"/>
                <w:kern w:val="0"/>
                <w:szCs w:val="21"/>
                <w:highlight w:val="none"/>
              </w:rPr>
              <w:t>；</w:t>
            </w:r>
            <w:r>
              <w:rPr>
                <w:rFonts w:ascii="宋体" w:hAnsi="宋体" w:cs="宋体"/>
                <w:color w:val="auto"/>
                <w:kern w:val="0"/>
                <w:szCs w:val="21"/>
                <w:highlight w:val="none"/>
              </w:rPr>
              <w:t> </w:t>
            </w:r>
            <w:r>
              <w:rPr>
                <w:rFonts w:ascii="宋体" w:hAnsi="宋体" w:cs="宋体"/>
                <w:color w:val="auto"/>
                <w:kern w:val="0"/>
                <w:szCs w:val="21"/>
                <w:highlight w:val="none"/>
              </w:rPr>
              <w:br w:type="textWrapping"/>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微电脑智能控温仪，具有设定</w:t>
            </w:r>
            <w:r>
              <w:rPr>
                <w:rFonts w:hint="eastAsia" w:ascii="宋体" w:hAnsi="宋体" w:cs="宋体"/>
                <w:color w:val="auto"/>
                <w:kern w:val="0"/>
                <w:szCs w:val="21"/>
                <w:highlight w:val="none"/>
              </w:rPr>
              <w:t>、</w:t>
            </w:r>
            <w:r>
              <w:rPr>
                <w:rFonts w:ascii="宋体" w:hAnsi="宋体" w:cs="宋体"/>
                <w:color w:val="auto"/>
                <w:kern w:val="0"/>
                <w:szCs w:val="21"/>
                <w:highlight w:val="none"/>
              </w:rPr>
              <w:t>测定温度双数字显示和PID自整定功能，控温精确，可靠。</w:t>
            </w:r>
            <w:r>
              <w:rPr>
                <w:rFonts w:ascii="宋体" w:hAnsi="宋体" w:cs="宋体"/>
                <w:color w:val="auto"/>
                <w:kern w:val="0"/>
                <w:szCs w:val="21"/>
                <w:highlight w:val="none"/>
              </w:rPr>
              <w:br w:type="textWrapping"/>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ascii="宋体" w:hAnsi="宋体" w:cs="宋体"/>
                <w:color w:val="auto"/>
                <w:kern w:val="0"/>
                <w:szCs w:val="21"/>
                <w:highlight w:val="none"/>
              </w:rPr>
              <w:t>加热功率比例可任意调节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5.温度控制：RT+10～200℃；</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6.温度波动：±1℃</w:t>
            </w:r>
          </w:p>
          <w:p>
            <w:pPr>
              <w:pStyle w:val="2"/>
              <w:rPr>
                <w:color w:val="auto"/>
                <w:highlight w:val="none"/>
              </w:rPr>
            </w:pPr>
            <w:r>
              <w:rPr>
                <w:rFonts w:hint="eastAsia"/>
                <w:color w:val="auto"/>
                <w:highlight w:val="none"/>
              </w:rPr>
              <w:t>7</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磁力搅拌器</w:t>
            </w:r>
          </w:p>
        </w:tc>
        <w:tc>
          <w:tcPr>
            <w:tcW w:w="5862" w:type="dxa"/>
            <w:vAlign w:val="center"/>
          </w:tcPr>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安全控制型加热磁力搅拌器，适合无人操作；</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高抛光铝合金加热盘面，热传递速度快；</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随机配置PT1000温度传感器；</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搅拌点位数目：1点位；</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最大搅拌量：20L；</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速度控制：50～1500rpm；</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温度控制：RT+盘面自热～310℃；</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工作盘材质：铝合金</w:t>
            </w:r>
          </w:p>
          <w:p>
            <w:pPr>
              <w:pStyle w:val="2"/>
              <w:rPr>
                <w:color w:val="auto"/>
                <w:highlight w:val="none"/>
              </w:rPr>
            </w:pPr>
            <w:r>
              <w:rPr>
                <w:rFonts w:hint="eastAsia"/>
                <w:color w:val="auto"/>
                <w:highlight w:val="none"/>
              </w:rPr>
              <w:t>9</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超声波清洗器</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1.清洗器外壳采用优质不锈钢板制作，美观大方；</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2.清洗槽及篮子采用优质不锈钢一次冲压成形，无焊接处，防水性能更好；</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3.超声波功率转换效率高、功率强劲、清洗效果好；</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4.容量：≥10L；</w:t>
            </w:r>
          </w:p>
          <w:p>
            <w:pPr>
              <w:widowControl/>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5.定时：1</w:t>
            </w:r>
            <w:r>
              <w:rPr>
                <w:rFonts w:hint="eastAsia" w:ascii="宋体" w:hAnsi="宋体" w:cs="宋体"/>
                <w:color w:val="auto"/>
                <w:kern w:val="0"/>
                <w:szCs w:val="21"/>
                <w:highlight w:val="none"/>
              </w:rPr>
              <w:t>～999min；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6.温度控制：0～80℃</w:t>
            </w:r>
          </w:p>
          <w:p>
            <w:pPr>
              <w:widowControl/>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7.</w:t>
            </w:r>
            <w:r>
              <w:rPr>
                <w:rFonts w:hint="eastAsia" w:ascii="宋体" w:hAnsi="宋体"/>
                <w:color w:val="auto"/>
                <w:kern w:val="0"/>
                <w:szCs w:val="21"/>
                <w:highlight w:val="none"/>
              </w:rPr>
              <w:t>工作频率：40KHZ和59KHZ之间相互转换。</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8.随机配置排水管与水槽盖</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迷你离心机</w:t>
            </w:r>
          </w:p>
        </w:tc>
        <w:tc>
          <w:tcPr>
            <w:tcW w:w="5862" w:type="dxa"/>
            <w:vAlign w:val="center"/>
          </w:tcPr>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1.双锁设计，锁定更安全；</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2.最大转速/离心力：15000rpm/21380g，时间设定30s～99min；</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3.快速加速和减速，LCD直观显示离心时间和速度；</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5.双风冷设计，马达产热少，噪音小，改善实验环境；</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6.稳速后开始计时，分离时间更准确；</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7.不平衡保护功能，RPM/RCF自动快速切换；</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8.高强度生物密封转头，耐受无数次高温高压消毒，24×1.5/2.0定角转子，可配置0.5适配器；</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9.定角PCR八联管转子，适合4条八联管同时离心；</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10.运行结束后自动开盖，便于样品降温，节省操作时间</w:t>
            </w:r>
          </w:p>
          <w:p>
            <w:pPr>
              <w:pStyle w:val="2"/>
              <w:rPr>
                <w:color w:val="auto"/>
                <w:highlight w:val="none"/>
              </w:rPr>
            </w:pPr>
            <w:r>
              <w:rPr>
                <w:rFonts w:hint="eastAsia"/>
                <w:color w:val="auto"/>
                <w:highlight w:val="none"/>
              </w:rPr>
              <w:t>1</w:t>
            </w:r>
            <w:r>
              <w:rPr>
                <w:color w:val="auto"/>
                <w:highlight w:val="none"/>
              </w:rPr>
              <w:t>0.</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4</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微孔板恒温振荡器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1.LCD液晶显示；</w:t>
            </w:r>
            <w:r>
              <w:rPr>
                <w:rFonts w:hint="eastAsia" w:ascii="宋体" w:hAnsi="宋体"/>
                <w:color w:val="auto"/>
                <w:kern w:val="0"/>
                <w:szCs w:val="21"/>
                <w:highlight w:val="none"/>
              </w:rPr>
              <w:br w:type="textWrapping"/>
            </w:r>
            <w:r>
              <w:rPr>
                <w:rFonts w:hint="eastAsia" w:ascii="宋体" w:hAnsi="宋体"/>
                <w:color w:val="auto"/>
                <w:kern w:val="0"/>
                <w:szCs w:val="21"/>
                <w:highlight w:val="none"/>
              </w:rPr>
              <w:t>2.具有对微孔板进行上下加热功能；</w:t>
            </w:r>
            <w:r>
              <w:rPr>
                <w:rFonts w:hint="eastAsia" w:ascii="宋体" w:hAnsi="宋体"/>
                <w:color w:val="auto"/>
                <w:kern w:val="0"/>
                <w:szCs w:val="21"/>
                <w:highlight w:val="none"/>
              </w:rPr>
              <w:br w:type="textWrapping"/>
            </w:r>
            <w:r>
              <w:rPr>
                <w:rFonts w:hint="eastAsia" w:ascii="宋体" w:hAnsi="宋体"/>
                <w:color w:val="auto"/>
                <w:kern w:val="0"/>
                <w:szCs w:val="21"/>
                <w:highlight w:val="none"/>
              </w:rPr>
              <w:t>3.微处理器控制温度、转速和时间，温控线性好、振荡转速准确、波动小；</w:t>
            </w:r>
            <w:r>
              <w:rPr>
                <w:rFonts w:hint="eastAsia" w:ascii="宋体" w:hAnsi="宋体"/>
                <w:color w:val="auto"/>
                <w:kern w:val="0"/>
                <w:szCs w:val="21"/>
                <w:highlight w:val="none"/>
              </w:rPr>
              <w:br w:type="textWrapping"/>
            </w:r>
            <w:r>
              <w:rPr>
                <w:rFonts w:hint="eastAsia" w:ascii="宋体" w:hAnsi="宋体"/>
                <w:color w:val="auto"/>
                <w:kern w:val="0"/>
                <w:szCs w:val="21"/>
                <w:highlight w:val="none"/>
              </w:rPr>
              <w:t>4.可同时显示设置和实际温度、时间和振荡速度参数； </w:t>
            </w:r>
            <w:r>
              <w:rPr>
                <w:rFonts w:hint="eastAsia" w:ascii="宋体" w:hAnsi="宋体"/>
                <w:color w:val="auto"/>
                <w:kern w:val="0"/>
                <w:szCs w:val="21"/>
                <w:highlight w:val="none"/>
              </w:rPr>
              <w:br w:type="textWrapping"/>
            </w:r>
            <w:r>
              <w:rPr>
                <w:rFonts w:hint="eastAsia" w:ascii="宋体" w:hAnsi="宋体"/>
                <w:color w:val="auto"/>
                <w:kern w:val="0"/>
                <w:szCs w:val="21"/>
                <w:highlight w:val="none"/>
              </w:rPr>
              <w:t>5.可放4个标准酶标板和微孔板； </w:t>
            </w:r>
            <w:r>
              <w:rPr>
                <w:rFonts w:hint="eastAsia" w:ascii="宋体" w:hAnsi="宋体"/>
                <w:color w:val="auto"/>
                <w:kern w:val="0"/>
                <w:szCs w:val="21"/>
                <w:highlight w:val="none"/>
              </w:rPr>
              <w:br w:type="textWrapping"/>
            </w:r>
            <w:r>
              <w:rPr>
                <w:rFonts w:hint="eastAsia" w:ascii="宋体" w:hAnsi="宋体"/>
                <w:color w:val="auto"/>
                <w:kern w:val="0"/>
                <w:szCs w:val="21"/>
                <w:highlight w:val="none"/>
              </w:rPr>
              <w:t>6.温控范围：</w:t>
            </w:r>
            <w:r>
              <w:rPr>
                <w:rFonts w:hint="eastAsia" w:ascii="宋体" w:hAnsi="宋体" w:cs="宋体"/>
                <w:color w:val="auto"/>
                <w:kern w:val="0"/>
                <w:szCs w:val="21"/>
                <w:highlight w:val="none"/>
              </w:rPr>
              <w:t>RT+5～70℃；</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7.定时：1min～99h59min；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8.振荡转速范围：100～1500 rpm</w:t>
            </w:r>
          </w:p>
          <w:p>
            <w:pPr>
              <w:pStyle w:val="2"/>
              <w:rPr>
                <w:color w:val="auto"/>
                <w:highlight w:val="none"/>
              </w:rPr>
            </w:pPr>
            <w:r>
              <w:rPr>
                <w:rFonts w:hint="eastAsia"/>
                <w:color w:val="auto"/>
                <w:highlight w:val="none"/>
              </w:rPr>
              <w:t>9</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台式鼓风干燥箱</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1.工作室采用优质钢板或不锈钢板；</w:t>
            </w:r>
            <w:r>
              <w:rPr>
                <w:rFonts w:ascii="宋体" w:hAnsi="宋体"/>
                <w:color w:val="auto"/>
                <w:kern w:val="0"/>
                <w:szCs w:val="21"/>
                <w:highlight w:val="none"/>
              </w:rPr>
              <w:t> </w:t>
            </w:r>
            <w:r>
              <w:rPr>
                <w:rFonts w:ascii="宋体" w:hAnsi="宋体"/>
                <w:color w:val="auto"/>
                <w:kern w:val="0"/>
                <w:szCs w:val="21"/>
                <w:highlight w:val="none"/>
              </w:rPr>
              <w:br w:type="textWrapping"/>
            </w:r>
            <w:r>
              <w:rPr>
                <w:rFonts w:ascii="宋体" w:hAnsi="宋体"/>
                <w:color w:val="auto"/>
                <w:kern w:val="0"/>
                <w:szCs w:val="21"/>
                <w:highlight w:val="none"/>
              </w:rPr>
              <w:t>2</w:t>
            </w:r>
            <w:r>
              <w:rPr>
                <w:rFonts w:hint="eastAsia" w:ascii="宋体" w:hAnsi="宋体"/>
                <w:color w:val="auto"/>
                <w:kern w:val="0"/>
                <w:szCs w:val="21"/>
                <w:highlight w:val="none"/>
              </w:rPr>
              <w:t>.</w:t>
            </w:r>
            <w:r>
              <w:rPr>
                <w:rFonts w:ascii="宋体" w:hAnsi="宋体"/>
                <w:color w:val="auto"/>
                <w:kern w:val="0"/>
                <w:szCs w:val="21"/>
                <w:highlight w:val="none"/>
              </w:rPr>
              <w:t>微电脑智慧控温仪，具有设定，测定温度双数字显、定时、功率抑制和自整定功能</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3.温控范围：RT+10～200℃；</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4.定时：0～9999min；</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5.温度波动 ±1℃；</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6.工作尺寸：≥600×550×645mm</w:t>
            </w:r>
          </w:p>
          <w:p>
            <w:pPr>
              <w:pStyle w:val="2"/>
              <w:rPr>
                <w:color w:val="auto"/>
                <w:highlight w:val="none"/>
              </w:rPr>
            </w:pPr>
            <w:r>
              <w:rPr>
                <w:rFonts w:hint="eastAsia"/>
                <w:color w:val="auto"/>
                <w:highlight w:val="none"/>
              </w:rPr>
              <w:t>7</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低温紫外聚合箱</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1.箱体坚固耐用，厚度能抵抗-40℃下低温环境导致的铝合金蠕变效应；</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2.聚合箱整体美观，表面处理细腻，耐划伤；</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3.内壁表面光洁，反光效应明显，紫外光均匀分布，实现样品聚合程度的一致性要求；</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4.长方体型内腔（长×宽×高）：≥ 250mm×150mm×190mm；</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5.全金属封闭式，无紫外泄露，无UV敏感材料（如塑料，PC，PVC等），抗UV老化，经久耐用；</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6.多点均匀分布半导体UVLED发光芯片形成面光源，恒流源（IF=20mA)驱动，光源更均匀、稳定和高效</w:t>
            </w:r>
          </w:p>
          <w:p>
            <w:pPr>
              <w:pStyle w:val="2"/>
              <w:rPr>
                <w:color w:val="auto"/>
                <w:highlight w:val="none"/>
              </w:rPr>
            </w:pPr>
            <w:r>
              <w:rPr>
                <w:rFonts w:hint="eastAsia"/>
                <w:color w:val="auto"/>
                <w:highlight w:val="none"/>
              </w:rPr>
              <w:t>7</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镊子</w:t>
            </w:r>
          </w:p>
        </w:tc>
        <w:tc>
          <w:tcPr>
            <w:tcW w:w="5862" w:type="dxa"/>
            <w:vAlign w:val="center"/>
          </w:tcPr>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无磁不锈钢镊子；</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材质：</w:t>
            </w:r>
            <w:r>
              <w:rPr>
                <w:rFonts w:hint="eastAsia" w:ascii="宋体" w:hAnsi="宋体"/>
                <w:color w:val="auto"/>
                <w:kern w:val="0"/>
                <w:szCs w:val="21"/>
                <w:highlight w:val="none"/>
              </w:rPr>
              <w:t>NM-SS；</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总长度：≥105mm；</w:t>
            </w:r>
          </w:p>
          <w:p>
            <w:pPr>
              <w:widowControl/>
              <w:numPr>
                <w:ilvl w:val="0"/>
                <w:numId w:val="13"/>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镊尖规格（宽×厚）：≤0.08×0.04mm。</w:t>
            </w:r>
          </w:p>
          <w:p>
            <w:pPr>
              <w:pStyle w:val="2"/>
              <w:rPr>
                <w:rFonts w:hint="eastAsia"/>
                <w:color w:val="auto"/>
                <w:highlight w:val="none"/>
              </w:rPr>
            </w:pP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个</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4"/>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微珠</w:t>
            </w:r>
          </w:p>
        </w:tc>
        <w:tc>
          <w:tcPr>
            <w:tcW w:w="5862" w:type="dxa"/>
            <w:vAlign w:val="center"/>
          </w:tcPr>
          <w:p>
            <w:pPr>
              <w:widowControl/>
              <w:numPr>
                <w:ilvl w:val="0"/>
                <w:numId w:val="14"/>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用途：取代水做实验室温育试剂有助于预防污染；</w:t>
            </w:r>
          </w:p>
          <w:p>
            <w:pPr>
              <w:widowControl/>
              <w:numPr>
                <w:ilvl w:val="0"/>
                <w:numId w:val="14"/>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基本特点：惰性、反光、光滑；</w:t>
            </w:r>
          </w:p>
          <w:p>
            <w:pPr>
              <w:widowControl/>
              <w:numPr>
                <w:ilvl w:val="0"/>
                <w:numId w:val="14"/>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直径：5mm；</w:t>
            </w:r>
          </w:p>
          <w:p>
            <w:pPr>
              <w:widowControl/>
              <w:numPr>
                <w:ilvl w:val="0"/>
                <w:numId w:val="14"/>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水分和气体防渗透。</w:t>
            </w:r>
          </w:p>
          <w:p>
            <w:pPr>
              <w:pStyle w:val="2"/>
              <w:rPr>
                <w:rFonts w:hint="eastAsia"/>
                <w:color w:val="auto"/>
                <w:highlight w:val="none"/>
              </w:rPr>
            </w:pP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bl>
    <w:p>
      <w:pPr>
        <w:ind w:firstLine="480"/>
        <w:rPr>
          <w:color w:val="auto"/>
          <w:highlight w:val="none"/>
        </w:rPr>
      </w:pPr>
    </w:p>
    <w:p>
      <w:pPr>
        <w:pStyle w:val="5"/>
        <w:rPr>
          <w:color w:val="auto"/>
          <w:highlight w:val="none"/>
        </w:rPr>
      </w:pPr>
      <w:bookmarkStart w:id="32" w:name="_Toc6282"/>
      <w:bookmarkStart w:id="33" w:name="_Toc4802"/>
      <w:bookmarkStart w:id="34" w:name="_Toc4822"/>
      <w:r>
        <w:rPr>
          <w:rFonts w:hint="eastAsia" w:ascii="宋体" w:hAnsi="宋体" w:cs="宋体"/>
          <w:color w:val="auto"/>
          <w:sz w:val="24"/>
          <w:szCs w:val="40"/>
          <w:highlight w:val="none"/>
        </w:rPr>
        <w:t>二、商务要求</w:t>
      </w:r>
      <w:bookmarkEnd w:id="32"/>
      <w:bookmarkEnd w:id="33"/>
      <w:bookmarkEnd w:id="34"/>
    </w:p>
    <w:p>
      <w:pPr>
        <w:ind w:firstLine="480"/>
        <w:rPr>
          <w:rFonts w:ascii="宋体" w:hAnsi="宋体"/>
          <w:b/>
          <w:color w:val="auto"/>
          <w:highlight w:val="none"/>
        </w:rPr>
      </w:pPr>
      <w:r>
        <w:rPr>
          <w:rFonts w:hint="eastAsia" w:ascii="宋体" w:hAnsi="宋体" w:cs="宋体"/>
          <w:color w:val="auto"/>
          <w:kern w:val="0"/>
          <w:szCs w:val="21"/>
          <w:highlight w:val="none"/>
        </w:rPr>
        <w:t>★</w:t>
      </w:r>
      <w:r>
        <w:rPr>
          <w:rFonts w:hint="eastAsia" w:ascii="宋体" w:hAnsi="宋体"/>
          <w:b/>
          <w:color w:val="auto"/>
          <w:highlight w:val="none"/>
        </w:rPr>
        <w:t>(一)交货期及交货地点</w:t>
      </w:r>
    </w:p>
    <w:p>
      <w:pPr>
        <w:pStyle w:val="167"/>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交货</w:t>
      </w:r>
      <w:r>
        <w:rPr>
          <w:rFonts w:hint="eastAsia" w:cs="宋体"/>
          <w:color w:val="auto"/>
          <w:szCs w:val="24"/>
          <w:highlight w:val="none"/>
        </w:rPr>
        <w:t xml:space="preserve">时间：国产货物合同签订生效之日起 </w:t>
      </w:r>
      <w:r>
        <w:rPr>
          <w:rFonts w:cs="宋体"/>
          <w:color w:val="auto"/>
          <w:szCs w:val="24"/>
          <w:highlight w:val="none"/>
        </w:rPr>
        <w:t>30</w:t>
      </w:r>
      <w:r>
        <w:rPr>
          <w:rFonts w:hint="eastAsia" w:cs="宋体"/>
          <w:color w:val="auto"/>
          <w:szCs w:val="24"/>
          <w:highlight w:val="none"/>
        </w:rPr>
        <w:t>天内交付并安装完毕，进口货物</w:t>
      </w:r>
      <w:r>
        <w:rPr>
          <w:rFonts w:hint="eastAsia" w:ascii="宋体" w:hAnsi="宋体" w:cs="宋体"/>
          <w:color w:val="auto"/>
          <w:szCs w:val="24"/>
          <w:highlight w:val="none"/>
        </w:rPr>
        <w:t>合同签订后9</w:t>
      </w:r>
      <w:r>
        <w:rPr>
          <w:rFonts w:ascii="宋体" w:hAnsi="宋体" w:cs="宋体"/>
          <w:color w:val="auto"/>
          <w:szCs w:val="24"/>
          <w:highlight w:val="none"/>
        </w:rPr>
        <w:t>0</w:t>
      </w:r>
      <w:r>
        <w:rPr>
          <w:rFonts w:hint="eastAsia" w:ascii="宋体" w:hAnsi="宋体" w:cs="宋体"/>
          <w:color w:val="auto"/>
          <w:szCs w:val="24"/>
          <w:highlight w:val="none"/>
        </w:rPr>
        <w:t>日内交付并安装完毕。</w:t>
      </w:r>
    </w:p>
    <w:p>
      <w:pPr>
        <w:tabs>
          <w:tab w:val="left" w:pos="839"/>
        </w:tabs>
        <w:ind w:firstLine="480"/>
        <w:rPr>
          <w:rFonts w:ascii="宋体" w:hAnsi="宋体"/>
          <w:color w:val="auto"/>
          <w:highlight w:val="none"/>
          <w:u w:val="single"/>
        </w:rPr>
      </w:pPr>
      <w:r>
        <w:rPr>
          <w:rFonts w:hint="eastAsia" w:ascii="宋体" w:hAnsi="宋体"/>
          <w:color w:val="auto"/>
          <w:highlight w:val="none"/>
        </w:rPr>
        <w:t>地点：浙江中医药大学，甲方指定地点。</w:t>
      </w:r>
    </w:p>
    <w:p>
      <w:pPr>
        <w:ind w:firstLine="456"/>
        <w:rPr>
          <w:color w:val="auto"/>
          <w:highlight w:val="none"/>
        </w:rPr>
      </w:pPr>
      <w:r>
        <w:rPr>
          <w:rFonts w:hint="eastAsia" w:ascii="宋体" w:hAnsi="宋体"/>
          <w:color w:val="auto"/>
          <w:spacing w:val="-6"/>
          <w:highlight w:val="none"/>
        </w:rPr>
        <w:t>★</w:t>
      </w:r>
      <w:r>
        <w:rPr>
          <w:rFonts w:hint="eastAsia" w:ascii="宋体" w:hAnsi="宋体"/>
          <w:b/>
          <w:bCs/>
          <w:color w:val="auto"/>
          <w:highlight w:val="none"/>
        </w:rPr>
        <w:t>质保期：质保期要求详见每个招标</w:t>
      </w:r>
      <w:r>
        <w:rPr>
          <w:rFonts w:ascii="宋体" w:hAnsi="宋体"/>
          <w:b/>
          <w:bCs/>
          <w:color w:val="auto"/>
          <w:highlight w:val="none"/>
        </w:rPr>
        <w:t>参数</w:t>
      </w:r>
      <w:r>
        <w:rPr>
          <w:rFonts w:hint="eastAsia" w:ascii="宋体" w:hAnsi="宋体"/>
          <w:b/>
          <w:bCs/>
          <w:color w:val="auto"/>
          <w:highlight w:val="none"/>
        </w:rPr>
        <w:t>要求，从验收合格第二个月开始算起。</w:t>
      </w:r>
    </w:p>
    <w:p>
      <w:pPr>
        <w:ind w:firstLine="482"/>
        <w:rPr>
          <w:rFonts w:ascii="宋体" w:hAnsi="宋体"/>
          <w:b/>
          <w:color w:val="auto"/>
          <w:highlight w:val="none"/>
        </w:rPr>
      </w:pPr>
      <w:r>
        <w:rPr>
          <w:rFonts w:hint="eastAsia" w:ascii="宋体" w:hAnsi="宋体"/>
          <w:b/>
          <w:color w:val="auto"/>
          <w:highlight w:val="none"/>
        </w:rPr>
        <w:t>(三)验收标准</w:t>
      </w:r>
    </w:p>
    <w:p>
      <w:pPr>
        <w:pStyle w:val="167"/>
        <w:numPr>
          <w:ilvl w:val="1"/>
          <w:numId w:val="15"/>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成交供应商应提供合同货物的有效检验文件，经采购人认可后，与合同的性能指标一起作为合同货物验收标准。采购人对合同货物验收合格后，双方共同签署验收合格证书，验收中发现合同货物达不到验收标准或合同规定的性能指标，成交供应商必须更换合同货物，并负担由此给采购人造成的损失，直到验收合格为止。</w:t>
      </w:r>
    </w:p>
    <w:p>
      <w:pPr>
        <w:pStyle w:val="167"/>
        <w:numPr>
          <w:ilvl w:val="1"/>
          <w:numId w:val="15"/>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供应商应于响应文件中提供合同货物的验收标准和检测办法，并在验收中提供采购人认可的相应检测手段，验收标准应符合中国有关的国家、地方、行业的标准，如若成交，经采购人确认后作为验收的依据。</w:t>
      </w:r>
    </w:p>
    <w:p>
      <w:pPr>
        <w:pStyle w:val="167"/>
        <w:numPr>
          <w:ilvl w:val="1"/>
          <w:numId w:val="15"/>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如成交供应商委托国内代理（或其他机构）负责安装或配合安装，应在签约时指明，但成交供应商仍要对合同货物及其安装质量负全部责任。</w:t>
      </w:r>
    </w:p>
    <w:p>
      <w:pPr>
        <w:pStyle w:val="167"/>
        <w:numPr>
          <w:ilvl w:val="1"/>
          <w:numId w:val="15"/>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验收费用由成交供应商承担。</w:t>
      </w:r>
    </w:p>
    <w:p>
      <w:pPr>
        <w:ind w:firstLine="482"/>
        <w:rPr>
          <w:rFonts w:ascii="宋体" w:hAnsi="宋体"/>
          <w:b/>
          <w:color w:val="auto"/>
          <w:highlight w:val="none"/>
        </w:rPr>
      </w:pPr>
      <w:r>
        <w:rPr>
          <w:rFonts w:hint="eastAsia" w:ascii="宋体" w:hAnsi="宋体"/>
          <w:b/>
          <w:color w:val="auto"/>
          <w:highlight w:val="none"/>
        </w:rPr>
        <w:t>(四)售后服务</w:t>
      </w:r>
    </w:p>
    <w:p>
      <w:pPr>
        <w:pStyle w:val="167"/>
        <w:numPr>
          <w:ilvl w:val="1"/>
          <w:numId w:val="16"/>
        </w:numPr>
        <w:spacing w:line="408" w:lineRule="auto"/>
        <w:ind w:firstLineChars="0"/>
        <w:jc w:val="left"/>
        <w:rPr>
          <w:rFonts w:ascii="宋体" w:hAnsi="宋体" w:cs="宋体"/>
          <w:color w:val="auto"/>
          <w:szCs w:val="24"/>
          <w:highlight w:val="none"/>
        </w:rPr>
      </w:pPr>
      <w:r>
        <w:rPr>
          <w:rFonts w:hint="eastAsia" w:ascii="宋体" w:hAnsi="宋体" w:cs="宋体"/>
          <w:color w:val="auto"/>
          <w:szCs w:val="24"/>
          <w:highlight w:val="none"/>
        </w:rPr>
        <w:t>免费提供原厂商培训指导（若需要培训，投标商应在技术文件中写明详细的培训方案）</w:t>
      </w:r>
    </w:p>
    <w:p>
      <w:pPr>
        <w:pStyle w:val="167"/>
        <w:numPr>
          <w:ilvl w:val="1"/>
          <w:numId w:val="16"/>
        </w:numPr>
        <w:spacing w:line="408" w:lineRule="auto"/>
        <w:ind w:firstLineChars="0"/>
        <w:jc w:val="left"/>
        <w:rPr>
          <w:rFonts w:ascii="宋体" w:hAnsi="宋体" w:cs="宋体"/>
          <w:color w:val="auto"/>
          <w:szCs w:val="24"/>
          <w:highlight w:val="none"/>
        </w:rPr>
      </w:pPr>
      <w:r>
        <w:rPr>
          <w:rFonts w:hint="eastAsia" w:ascii="宋体" w:hAnsi="宋体" w:cs="宋体"/>
          <w:color w:val="auto"/>
          <w:szCs w:val="24"/>
          <w:highlight w:val="none"/>
        </w:rPr>
        <w:t>质保期内因不能排除的故障而影响工作的情况每发生一次，其质保期相应延长60天，质保期内因货物本身缺陷造成各种故障应由成交供应商免费予以更换，否则将扣除质量保证金作为对采购人的补偿。</w:t>
      </w:r>
    </w:p>
    <w:p>
      <w:pPr>
        <w:ind w:firstLine="480"/>
        <w:rPr>
          <w:rFonts w:ascii="宋体" w:hAnsi="宋体"/>
          <w:b/>
          <w:color w:val="auto"/>
          <w:highlight w:val="none"/>
        </w:rPr>
      </w:pPr>
      <w:r>
        <w:rPr>
          <w:rFonts w:hint="eastAsia" w:ascii="宋体" w:hAnsi="宋体" w:cs="宋体"/>
          <w:color w:val="auto"/>
          <w:kern w:val="0"/>
          <w:szCs w:val="21"/>
          <w:highlight w:val="none"/>
        </w:rPr>
        <w:t>★</w:t>
      </w:r>
      <w:r>
        <w:rPr>
          <w:rFonts w:hint="eastAsia" w:ascii="宋体" w:hAnsi="宋体"/>
          <w:b/>
          <w:color w:val="auto"/>
          <w:highlight w:val="none"/>
        </w:rPr>
        <w:t>(五)履约（质量）保证金及付款方式</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进口设备部分：</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1）合同总价的5%作为履约保证金，合同签订后七个工作日内由供应商交入采购人账户，货物验收合格交付采购人正常使用12个月后，经采购人书面确认货物无质量问题、无售后服务问题和无约行为后，由采购人无息退回。</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2）合同总价的10%作为履约保证金，合同签订后两天内由进口代理机构提交给采购人账户，供应商同意采购人将100%货款支付给进口代理机构，同时进口代理机构及时对外支付30%货款；货物经采购人验收合格后，进口代理机构收到采购人支付指令后方可对外支付70%货款。采购人付款后，进口代理机构应及时开具并向采购人交付正规发票。进口代理机构与供应商的结算，与采购人无涉。合同履行完毕经采购人确认进口代理机构无违约行为后无息退回进口代理机构方的履约保证金。</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国产设备部分：</w:t>
      </w:r>
    </w:p>
    <w:p>
      <w:pPr>
        <w:ind w:firstLine="480"/>
        <w:rPr>
          <w:rFonts w:ascii="宋体" w:hAnsi="宋体" w:cs="宋体"/>
          <w:color w:val="auto"/>
          <w:szCs w:val="32"/>
          <w:highlight w:val="none"/>
        </w:rPr>
      </w:pPr>
      <w:r>
        <w:rPr>
          <w:rFonts w:hint="eastAsia" w:ascii="宋体" w:hAnsi="宋体" w:cs="宋体"/>
          <w:color w:val="auto"/>
          <w:szCs w:val="32"/>
          <w:highlight w:val="none"/>
        </w:rPr>
        <w:t>中标单位须于合同签订后向采购人支付合同总价5% 的履约保证金，履约保证金在交货验收后自动转为质量保证金。质量保证金自货物交付验收合格后12个月内无质量问题索赔和售后服务问题，无息退回，质量保证金应以银行转账或电汇形式。</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ind w:firstLine="480"/>
        <w:rPr>
          <w:rFonts w:ascii="宋体" w:hAnsi="宋体" w:cs="宋体"/>
          <w:color w:val="auto"/>
          <w:szCs w:val="32"/>
          <w:highlight w:val="none"/>
        </w:rPr>
      </w:pPr>
      <w:r>
        <w:rPr>
          <w:rFonts w:ascii="宋体" w:hAnsi="宋体" w:cs="宋体"/>
          <w:color w:val="auto"/>
          <w:szCs w:val="32"/>
          <w:highlight w:val="none"/>
        </w:rPr>
        <w:t>货到安装、调试验收合格后15个工作日内，由中标人提供中标人开具的全额发票后，采购人向中标人支付合同总价100%的货款。</w:t>
      </w:r>
    </w:p>
    <w:p>
      <w:pPr>
        <w:ind w:firstLine="482"/>
        <w:rPr>
          <w:rFonts w:ascii="宋体" w:hAnsi="宋体"/>
          <w:b/>
          <w:color w:val="auto"/>
          <w:highlight w:val="none"/>
        </w:rPr>
      </w:pPr>
      <w:r>
        <w:rPr>
          <w:rFonts w:hint="eastAsia" w:ascii="宋体" w:hAnsi="宋体"/>
          <w:b/>
          <w:color w:val="auto"/>
          <w:highlight w:val="none"/>
        </w:rPr>
        <w:t>(六)培训：</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对采购人的操作人员、维修人员免费进行培训，提供相应的培训计划。</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供应商应对上述内容的实现方式、地点、人数、时间在投标文件中详细说明。</w:t>
      </w:r>
    </w:p>
    <w:p>
      <w:pPr>
        <w:ind w:firstLine="482"/>
        <w:rPr>
          <w:rFonts w:ascii="宋体" w:hAnsi="宋体"/>
          <w:b/>
          <w:color w:val="auto"/>
          <w:highlight w:val="none"/>
        </w:rPr>
      </w:pPr>
      <w:bookmarkStart w:id="35" w:name="_Toc1878"/>
      <w:r>
        <w:rPr>
          <w:rFonts w:hint="eastAsia" w:ascii="宋体" w:hAnsi="宋体"/>
          <w:b/>
          <w:color w:val="auto"/>
          <w:highlight w:val="none"/>
        </w:rPr>
        <w:t>（七）安装调试</w:t>
      </w:r>
      <w:bookmarkEnd w:id="35"/>
    </w:p>
    <w:p>
      <w:pPr>
        <w:ind w:firstLine="480"/>
        <w:rPr>
          <w:rFonts w:ascii="宋体" w:hAnsi="宋体"/>
          <w:bCs/>
          <w:color w:val="auto"/>
          <w:szCs w:val="21"/>
          <w:highlight w:val="none"/>
        </w:rPr>
      </w:pPr>
      <w:r>
        <w:rPr>
          <w:rFonts w:hint="eastAsia" w:ascii="宋体" w:hAnsi="宋体"/>
          <w:bCs/>
          <w:color w:val="auto"/>
          <w:szCs w:val="21"/>
          <w:highlight w:val="none"/>
        </w:rPr>
        <w:t>安装地点：采购人指定地点。</w:t>
      </w:r>
    </w:p>
    <w:p>
      <w:pPr>
        <w:ind w:firstLine="480"/>
        <w:rPr>
          <w:rFonts w:ascii="宋体" w:hAnsi="宋体"/>
          <w:bCs/>
          <w:color w:val="auto"/>
          <w:szCs w:val="21"/>
          <w:highlight w:val="none"/>
        </w:rPr>
      </w:pPr>
      <w:r>
        <w:rPr>
          <w:rFonts w:hint="eastAsia" w:ascii="宋体" w:hAnsi="宋体"/>
          <w:bCs/>
          <w:color w:val="auto"/>
          <w:szCs w:val="21"/>
          <w:highlight w:val="none"/>
        </w:rPr>
        <w:t>安装完成时间：接到用户电话通知后在7日内完成安装和调试（“投标人须知前附表”有规定的除外），如在规定的时间内由于中标人的原因不能完成安装和调试，中标人应承担由此给采购人造成的损失。</w:t>
      </w:r>
    </w:p>
    <w:p>
      <w:pPr>
        <w:ind w:firstLine="480"/>
        <w:rPr>
          <w:rFonts w:ascii="宋体" w:hAnsi="宋体"/>
          <w:bCs/>
          <w:color w:val="auto"/>
          <w:szCs w:val="21"/>
          <w:highlight w:val="none"/>
        </w:rPr>
      </w:pPr>
      <w:r>
        <w:rPr>
          <w:rFonts w:hint="eastAsia" w:ascii="宋体" w:hAnsi="宋体"/>
          <w:bCs/>
          <w:color w:val="auto"/>
          <w:szCs w:val="21"/>
          <w:highlight w:val="none"/>
        </w:rPr>
        <w:t>安装标准：符合我国国家有关技术规范要求和技术标准，所有的软件和硬件必须保证同时安装到位。</w:t>
      </w:r>
    </w:p>
    <w:p>
      <w:pPr>
        <w:ind w:firstLine="480"/>
        <w:rPr>
          <w:rFonts w:ascii="宋体" w:hAnsi="宋体"/>
          <w:bCs/>
          <w:color w:val="auto"/>
          <w:szCs w:val="21"/>
          <w:highlight w:val="none"/>
        </w:rPr>
      </w:pPr>
      <w:r>
        <w:rPr>
          <w:rFonts w:hint="eastAsia" w:ascii="宋体" w:hAnsi="宋体"/>
          <w:bCs/>
          <w:color w:val="auto"/>
          <w:szCs w:val="21"/>
          <w:highlight w:val="none"/>
        </w:rPr>
        <w:t>中标人应免费提供合同货物的安装服务。</w:t>
      </w:r>
    </w:p>
    <w:p>
      <w:pPr>
        <w:ind w:firstLine="480"/>
        <w:rPr>
          <w:rFonts w:ascii="宋体" w:hAnsi="宋体"/>
          <w:bCs/>
          <w:color w:val="auto"/>
          <w:szCs w:val="21"/>
          <w:highlight w:val="none"/>
        </w:rPr>
      </w:pPr>
      <w:r>
        <w:rPr>
          <w:rFonts w:hint="eastAsia" w:ascii="宋体" w:hAnsi="宋体"/>
          <w:bCs/>
          <w:color w:val="auto"/>
          <w:szCs w:val="21"/>
          <w:highlight w:val="none"/>
        </w:rPr>
        <w:t>中标人在投标文件中应提供安装调试计划、对安装场地和环境的要求。</w:t>
      </w:r>
    </w:p>
    <w:p>
      <w:pPr>
        <w:ind w:firstLine="482"/>
        <w:rPr>
          <w:rFonts w:ascii="宋体" w:hAnsi="宋体"/>
          <w:b/>
          <w:color w:val="auto"/>
          <w:highlight w:val="none"/>
        </w:rPr>
      </w:pPr>
      <w:r>
        <w:rPr>
          <w:rFonts w:hint="eastAsia" w:ascii="宋体" w:hAnsi="宋体"/>
          <w:b/>
          <w:color w:val="auto"/>
          <w:highlight w:val="none"/>
        </w:rPr>
        <w:t>（八）合同履行</w:t>
      </w:r>
    </w:p>
    <w:p>
      <w:pPr>
        <w:ind w:firstLine="480"/>
        <w:rPr>
          <w:rFonts w:ascii="宋体" w:hAnsi="宋体"/>
          <w:bCs/>
          <w:color w:val="auto"/>
          <w:szCs w:val="21"/>
          <w:highlight w:val="none"/>
        </w:rPr>
      </w:pPr>
      <w:r>
        <w:rPr>
          <w:rFonts w:hint="eastAsia" w:ascii="宋体" w:hAnsi="宋体"/>
          <w:color w:val="auto"/>
          <w:highlight w:val="none"/>
        </w:rPr>
        <w:t>必须由投标主体履行合同。</w:t>
      </w:r>
    </w:p>
    <w:p>
      <w:pPr>
        <w:pStyle w:val="2"/>
        <w:rPr>
          <w:rFonts w:ascii="宋体" w:hAnsi="宋体" w:cs="宋体"/>
          <w:color w:val="auto"/>
          <w:highlight w:val="none"/>
        </w:rPr>
      </w:pPr>
    </w:p>
    <w:p>
      <w:pPr>
        <w:pStyle w:val="2"/>
        <w:rPr>
          <w:rFonts w:ascii="宋体" w:hAnsi="宋体" w:cs="宋体"/>
          <w:color w:val="auto"/>
          <w:highlight w:val="none"/>
        </w:rPr>
        <w:sectPr>
          <w:headerReference r:id="rId10" w:type="first"/>
          <w:footerReference r:id="rId12" w:type="first"/>
          <w:footerReference r:id="rId11" w:type="default"/>
          <w:pgSz w:w="11907" w:h="16840"/>
          <w:pgMar w:top="1247" w:right="1304" w:bottom="1021" w:left="1304" w:header="720" w:footer="720" w:gutter="0"/>
          <w:cols w:space="720" w:num="1"/>
          <w:docGrid w:linePitch="326" w:charSpace="0"/>
        </w:sectPr>
      </w:pPr>
    </w:p>
    <w:bookmarkEnd w:id="30"/>
    <w:p>
      <w:pPr>
        <w:pStyle w:val="4"/>
        <w:rPr>
          <w:color w:val="auto"/>
          <w:highlight w:val="none"/>
        </w:rPr>
      </w:pPr>
      <w:bookmarkStart w:id="36" w:name="_Toc25392"/>
      <w:r>
        <w:rPr>
          <w:rFonts w:hint="eastAsia" w:cs="宋体"/>
          <w:color w:val="auto"/>
          <w:highlight w:val="none"/>
        </w:rPr>
        <w:t>第三章 投标人须知</w:t>
      </w:r>
      <w:bookmarkEnd w:id="36"/>
    </w:p>
    <w:p>
      <w:pPr>
        <w:pStyle w:val="5"/>
        <w:jc w:val="center"/>
        <w:rPr>
          <w:rFonts w:ascii="宋体" w:hAnsi="宋体" w:cs="宋体"/>
          <w:color w:val="auto"/>
          <w:highlight w:val="none"/>
        </w:rPr>
      </w:pPr>
      <w:bookmarkStart w:id="37" w:name="_Toc9363"/>
      <w:bookmarkStart w:id="38" w:name="_Toc2290"/>
      <w:bookmarkStart w:id="39" w:name="_Toc21699"/>
      <w:bookmarkStart w:id="40" w:name="_Toc452457413"/>
      <w:r>
        <w:rPr>
          <w:rFonts w:hint="eastAsia" w:ascii="宋体" w:hAnsi="宋体" w:cs="宋体"/>
          <w:color w:val="auto"/>
          <w:highlight w:val="none"/>
        </w:rPr>
        <w:t>前 附 表</w:t>
      </w:r>
      <w:bookmarkEnd w:id="37"/>
      <w:bookmarkEnd w:id="38"/>
      <w:bookmarkEnd w:id="39"/>
      <w:bookmarkEnd w:id="40"/>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12" w:lineRule="auto"/>
              <w:ind w:firstLine="480"/>
              <w:rPr>
                <w:rFonts w:ascii="宋体" w:hAnsi="宋体"/>
                <w:color w:val="auto"/>
                <w:highlight w:val="none"/>
              </w:rPr>
            </w:pPr>
            <w:r>
              <w:rPr>
                <w:rFonts w:hint="eastAsia" w:ascii="宋体" w:hAnsi="宋体"/>
                <w:color w:val="auto"/>
                <w:highlight w:val="none"/>
              </w:rPr>
              <w:t>★1.投标文件只允许有一个报价，投标报价应按采购文件中相关附表格式填报；报价条件为CIP浙江中医药大学，即所有的投标报价均为货物到采购人指定的工地价。</w:t>
            </w:r>
          </w:p>
          <w:p>
            <w:pPr>
              <w:spacing w:line="312" w:lineRule="auto"/>
              <w:ind w:firstLine="480"/>
              <w:rPr>
                <w:rFonts w:ascii="宋体" w:hAnsi="宋体"/>
                <w:color w:val="auto"/>
                <w:highlight w:val="none"/>
              </w:rPr>
            </w:pPr>
            <w:r>
              <w:rPr>
                <w:rFonts w:hint="eastAsia" w:ascii="宋体" w:hAnsi="宋体"/>
                <w:color w:val="auto"/>
                <w:highlight w:val="none"/>
              </w:rPr>
              <w:t>★2.凡投标进口设备采用美元报价，国产设备采用人民币报价，对于根据国家相关规定不能享受进口免税政策的设备采用人民币报价，对于不能免税的部分也应予以明示。</w:t>
            </w:r>
          </w:p>
          <w:p>
            <w:pPr>
              <w:spacing w:line="312" w:lineRule="auto"/>
              <w:ind w:firstLine="480"/>
              <w:rPr>
                <w:rFonts w:ascii="宋体" w:hAnsi="宋体"/>
                <w:color w:val="auto"/>
                <w:highlight w:val="none"/>
              </w:rPr>
            </w:pPr>
            <w:r>
              <w:rPr>
                <w:rFonts w:hint="eastAsia" w:ascii="宋体" w:hAnsi="宋体"/>
                <w:color w:val="auto"/>
                <w:highlight w:val="none"/>
              </w:rPr>
              <w:t>3. 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spacing w:line="312" w:lineRule="auto"/>
              <w:ind w:firstLine="480"/>
              <w:rPr>
                <w:rFonts w:ascii="宋体" w:hAnsi="宋体"/>
                <w:color w:val="auto"/>
                <w:highlight w:val="none"/>
              </w:rPr>
            </w:pPr>
            <w:r>
              <w:rPr>
                <w:rFonts w:hint="eastAsia" w:ascii="宋体" w:hAnsi="宋体"/>
                <w:color w:val="auto"/>
                <w:highlight w:val="none"/>
              </w:rPr>
              <w:t>（1）根据《财政部 海关总署 国家税务总局关于公布进口科学研究、科技开发和教学用品免税清单的通知》（财关税〔2016〕72号）文件的规定，采购人浙江中医药大学进口该文件附件“进口科学研究、科技开发和教学用品免税清单”所列产品均可予免征进口关税和进口环节增值税、消费税，投标供应商的投标报价不得包含进口关税及进口环节增值税、消费税。</w:t>
            </w:r>
          </w:p>
          <w:p>
            <w:pPr>
              <w:spacing w:line="312" w:lineRule="auto"/>
              <w:ind w:firstLine="480"/>
              <w:rPr>
                <w:rFonts w:ascii="宋体" w:hAnsi="宋体"/>
                <w:color w:val="auto"/>
                <w:highlight w:val="none"/>
              </w:rPr>
            </w:pPr>
            <w:r>
              <w:rPr>
                <w:rFonts w:hint="eastAsia" w:ascii="宋体" w:hAnsi="宋体"/>
                <w:color w:val="auto"/>
                <w:highlight w:val="none"/>
              </w:rPr>
              <w:t>★（2）进口代理机构由采购人指定，外贸代理费由投标人支付，外贸代理费（人民币）不高于美元报价*0.15，评审价及实际结算均以响应文件开启时中国银行美元现钞卖出价换算，换算方式为：人民币价格=投标外币价*（开标当日现钞卖出价+0.15）；进口设备如遇免税无法办出则采购人有权终止合同。</w:t>
            </w:r>
          </w:p>
          <w:p>
            <w:pPr>
              <w:spacing w:line="312" w:lineRule="auto"/>
              <w:ind w:firstLine="480"/>
              <w:rPr>
                <w:rFonts w:ascii="宋体" w:hAnsi="宋体"/>
                <w:color w:val="auto"/>
                <w:highlight w:val="none"/>
              </w:rPr>
            </w:pPr>
            <w:r>
              <w:rPr>
                <w:rFonts w:hint="eastAsia" w:ascii="宋体" w:hAnsi="宋体"/>
                <w:color w:val="auto"/>
                <w:highlight w:val="none"/>
              </w:rPr>
              <w:t>★（3）因贸易战产生的额外关税由投标人承担。</w:t>
            </w:r>
          </w:p>
          <w:p>
            <w:pPr>
              <w:spacing w:line="312" w:lineRule="auto"/>
              <w:ind w:firstLine="480"/>
              <w:rPr>
                <w:rFonts w:ascii="宋体" w:hAnsi="宋体"/>
                <w:color w:val="auto"/>
                <w:highlight w:val="none"/>
              </w:rPr>
            </w:pPr>
            <w:r>
              <w:rPr>
                <w:rFonts w:hint="eastAsia" w:ascii="宋体" w:hAnsi="宋体"/>
                <w:color w:val="auto"/>
                <w:highlight w:val="none"/>
              </w:rPr>
              <w:t>4. 若既有国产设备，又有进口设备，须按照人民币、美元分别报价。</w:t>
            </w:r>
          </w:p>
          <w:p>
            <w:pPr>
              <w:spacing w:line="312" w:lineRule="auto"/>
              <w:ind w:firstLine="480"/>
              <w:rPr>
                <w:rFonts w:ascii="宋体" w:hAnsi="宋体"/>
                <w:color w:val="auto"/>
                <w:highlight w:val="none"/>
              </w:rPr>
            </w:pPr>
            <w:r>
              <w:rPr>
                <w:rFonts w:hint="eastAsia" w:ascii="宋体" w:hAnsi="宋体"/>
                <w:color w:val="auto"/>
                <w:highlight w:val="none"/>
              </w:rPr>
              <w:t>5.合同履行过程中的汇率风险由成交供应商承担，由进口代理机构与成交供应商结算。</w:t>
            </w:r>
          </w:p>
          <w:p>
            <w:pPr>
              <w:ind w:firstLine="480"/>
              <w:rPr>
                <w:rFonts w:ascii="仿宋" w:hAnsi="仿宋" w:eastAsia="仿宋" w:cs="仿宋_GB2312"/>
                <w:b/>
                <w:color w:val="auto"/>
                <w:highlight w:val="none"/>
              </w:rPr>
            </w:pPr>
            <w:r>
              <w:rPr>
                <w:rFonts w:hint="eastAsia" w:ascii="宋体" w:hAnsi="宋体"/>
                <w:color w:val="auto"/>
                <w:highlight w:val="none"/>
              </w:rPr>
              <w:t>6. 进口产品原则上要求从国外直接发货，在中国境内保税区发货的，若产生额外报关费用由供应商承担。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w:t>
            </w:r>
            <w:r>
              <w:rPr>
                <w:rFonts w:hint="eastAsia"/>
                <w:color w:val="auto"/>
                <w:highlight w:val="none"/>
              </w:rPr>
              <w:t>及浙江中医药大学官网http://www.zcmu.edu.cn/</w:t>
            </w:r>
            <w:r>
              <w:rPr>
                <w:rFonts w:hint="eastAsia" w:ascii="宋体" w:hAnsi="宋体" w:cs="宋体"/>
                <w:color w:val="auto"/>
                <w:szCs w:val="32"/>
                <w:highlight w:val="none"/>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18"/>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（1）纸质版：资格证明文件正本一份，副本无需提供；报价文件正本一份，副本四份；商务技术文件正本一份，副本四份。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numPr>
                <w:ilvl w:val="0"/>
                <w:numId w:val="19"/>
              </w:numPr>
              <w:ind w:firstLine="0" w:firstLineChars="0"/>
              <w:rPr>
                <w:color w:val="auto"/>
                <w:highlight w:val="none"/>
              </w:rPr>
            </w:pPr>
            <w:r>
              <w:rPr>
                <w:rFonts w:hint="eastAsia"/>
                <w:color w:val="auto"/>
                <w:highlight w:val="none"/>
              </w:rPr>
              <w:t>参照浙价服[2003]77号文规定的招标费率6.3折收取，按照中标通知书确定的金额，向中标人收取服务费，不足2000按2000收取。</w:t>
            </w:r>
          </w:p>
          <w:p>
            <w:pPr>
              <w:numPr>
                <w:ilvl w:val="0"/>
                <w:numId w:val="19"/>
              </w:numPr>
              <w:ind w:firstLine="0" w:firstLineChars="0"/>
              <w:rPr>
                <w:color w:val="auto"/>
                <w:highlight w:val="none"/>
              </w:rPr>
            </w:pPr>
            <w:r>
              <w:rPr>
                <w:rFonts w:hint="eastAsia"/>
                <w:color w:val="auto"/>
                <w:highlight w:val="none"/>
              </w:rPr>
              <w:t>中标人在领取中标通知书前，应向采购代理机构交纳招标代理服务费。</w:t>
            </w:r>
          </w:p>
          <w:p>
            <w:pPr>
              <w:numPr>
                <w:ilvl w:val="0"/>
                <w:numId w:val="19"/>
              </w:numPr>
              <w:ind w:firstLine="0" w:firstLineChars="0"/>
              <w:rPr>
                <w:color w:val="auto"/>
                <w:highlight w:val="none"/>
              </w:rPr>
            </w:pPr>
            <w:r>
              <w:rPr>
                <w:rFonts w:hint="eastAsia"/>
                <w:color w:val="auto"/>
                <w:highlight w:val="none"/>
              </w:rPr>
              <w:t>招标代理服务费以电汇方式支付。</w:t>
            </w:r>
          </w:p>
          <w:p>
            <w:pPr>
              <w:numPr>
                <w:ilvl w:val="0"/>
                <w:numId w:val="19"/>
              </w:numPr>
              <w:ind w:firstLine="0" w:firstLineChars="0"/>
              <w:rPr>
                <w:color w:val="auto"/>
                <w:highlight w:val="none"/>
              </w:rPr>
            </w:pPr>
            <w:r>
              <w:rPr>
                <w:rFonts w:hint="eastAsia"/>
                <w:color w:val="auto"/>
                <w:highlight w:val="none"/>
              </w:rPr>
              <w:t>服务费缴纳账号：</w:t>
            </w:r>
          </w:p>
          <w:p>
            <w:pPr>
              <w:ind w:firstLine="0" w:firstLineChars="0"/>
              <w:rPr>
                <w:color w:val="auto"/>
                <w:highlight w:val="none"/>
              </w:rPr>
            </w:pPr>
            <w:r>
              <w:rPr>
                <w:rFonts w:hint="eastAsia"/>
                <w:color w:val="auto"/>
                <w:highlight w:val="none"/>
              </w:rPr>
              <w:t>单位名称：浙江五石工程咨询有限公司萧山分公司</w:t>
            </w:r>
          </w:p>
          <w:p>
            <w:pPr>
              <w:ind w:firstLine="0" w:firstLineChars="0"/>
              <w:rPr>
                <w:color w:val="auto"/>
                <w:highlight w:val="none"/>
              </w:rPr>
            </w:pPr>
            <w:r>
              <w:rPr>
                <w:rFonts w:hint="eastAsia"/>
                <w:color w:val="auto"/>
                <w:highlight w:val="none"/>
              </w:rPr>
              <w:t>开户银行：浙江民泰商业银行杭州钱江新城支行</w:t>
            </w:r>
          </w:p>
          <w:p>
            <w:pPr>
              <w:ind w:firstLine="0" w:firstLineChars="0"/>
              <w:rPr>
                <w:rFonts w:ascii="宋体" w:hAnsi="宋体" w:cs="宋体"/>
                <w:color w:val="auto"/>
                <w:highlight w:val="none"/>
              </w:rPr>
            </w:pPr>
            <w:r>
              <w:rPr>
                <w:rFonts w:hint="eastAsia"/>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20"/>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20"/>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20"/>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17"/>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7"/>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17"/>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41" w:name="_Toc452457414"/>
      <w:bookmarkStart w:id="42" w:name="_Toc296602420"/>
      <w:bookmarkStart w:id="43" w:name="_Toc246996918"/>
      <w:bookmarkStart w:id="44" w:name="_Toc144974497"/>
      <w:bookmarkStart w:id="45" w:name="_Toc152045529"/>
      <w:bookmarkStart w:id="46" w:name="_Toc152042305"/>
      <w:bookmarkStart w:id="47" w:name="_Toc179632546"/>
      <w:bookmarkStart w:id="48" w:name="_Toc247085689"/>
      <w:bookmarkStart w:id="49" w:name="_Toc246996175"/>
      <w:r>
        <w:rPr>
          <w:rFonts w:hint="eastAsia" w:ascii="宋体" w:hAnsi="宋体" w:cs="宋体"/>
          <w:color w:val="auto"/>
          <w:highlight w:val="none"/>
        </w:rPr>
        <w:br w:type="page"/>
      </w:r>
      <w:bookmarkEnd w:id="41"/>
      <w:bookmarkEnd w:id="42"/>
      <w:bookmarkEnd w:id="43"/>
      <w:bookmarkEnd w:id="44"/>
      <w:bookmarkEnd w:id="45"/>
      <w:bookmarkEnd w:id="46"/>
      <w:bookmarkEnd w:id="47"/>
      <w:bookmarkEnd w:id="48"/>
      <w:bookmarkEnd w:id="49"/>
      <w:bookmarkStart w:id="50" w:name="_Toc11415"/>
      <w:bookmarkStart w:id="51" w:name="_Toc22147"/>
      <w:bookmarkStart w:id="52" w:name="_Toc2440"/>
      <w:bookmarkStart w:id="53" w:name="_Toc152042306"/>
      <w:bookmarkStart w:id="54" w:name="_Toc296602421"/>
      <w:bookmarkStart w:id="55" w:name="_Toc246996176"/>
      <w:bookmarkStart w:id="56" w:name="_Toc246996919"/>
      <w:bookmarkStart w:id="57" w:name="_Toc179632547"/>
      <w:bookmarkStart w:id="58" w:name="_Toc144974498"/>
      <w:bookmarkStart w:id="59" w:name="_Toc247085690"/>
      <w:bookmarkStart w:id="60" w:name="_Toc152045530"/>
      <w:r>
        <w:rPr>
          <w:rFonts w:hint="eastAsia" w:ascii="宋体" w:hAnsi="宋体" w:cs="宋体"/>
          <w:color w:val="auto"/>
          <w:highlight w:val="none"/>
        </w:rPr>
        <w:t>第一节 总 则</w:t>
      </w:r>
      <w:bookmarkEnd w:id="50"/>
      <w:bookmarkEnd w:id="51"/>
      <w:bookmarkEnd w:id="52"/>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1.“采购人”系指浙江中医药大学。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2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2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2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22"/>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22"/>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22"/>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22"/>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23"/>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1" w:name="_Toc91899879"/>
      <w:bookmarkStart w:id="62" w:name="_Toc16985"/>
      <w:bookmarkStart w:id="63" w:name="_Toc17266"/>
      <w:r>
        <w:rPr>
          <w:rFonts w:hint="eastAsia" w:ascii="宋体" w:hAnsi="宋体" w:cs="宋体"/>
          <w:b/>
          <w:bCs/>
          <w:color w:val="auto"/>
          <w:sz w:val="28"/>
          <w:szCs w:val="32"/>
          <w:highlight w:val="none"/>
        </w:rPr>
        <w:t>第二节 招标文件</w:t>
      </w:r>
      <w:bookmarkEnd w:id="61"/>
      <w:r>
        <w:rPr>
          <w:rFonts w:hint="eastAsia" w:ascii="宋体" w:hAnsi="宋体" w:cs="宋体"/>
          <w:b/>
          <w:bCs/>
          <w:color w:val="auto"/>
          <w:sz w:val="28"/>
          <w:szCs w:val="32"/>
          <w:highlight w:val="none"/>
        </w:rPr>
        <w:t>的构成、澄清、修改</w:t>
      </w:r>
      <w:bookmarkEnd w:id="62"/>
      <w:bookmarkEnd w:id="63"/>
    </w:p>
    <w:p>
      <w:pPr>
        <w:pStyle w:val="6"/>
        <w:rPr>
          <w:rFonts w:ascii="宋体" w:hAnsi="宋体" w:cs="宋体"/>
          <w:color w:val="auto"/>
          <w:highlight w:val="none"/>
        </w:rPr>
      </w:pPr>
      <w:bookmarkStart w:id="64" w:name="_Toc91899880"/>
      <w:bookmarkStart w:id="65" w:name="_Hlt74730307"/>
      <w:r>
        <w:rPr>
          <w:rFonts w:hint="eastAsia" w:ascii="宋体" w:hAnsi="宋体" w:cs="宋体"/>
          <w:color w:val="auto"/>
          <w:highlight w:val="none"/>
        </w:rPr>
        <w:t>一、招标文件的构成</w:t>
      </w:r>
      <w:bookmarkEnd w:id="64"/>
    </w:p>
    <w:bookmarkEnd w:id="65"/>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24"/>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24"/>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24"/>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24"/>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24"/>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24"/>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66" w:name="_Toc82338241"/>
      <w:bookmarkStart w:id="67" w:name="_Toc82873324"/>
      <w:bookmarkStart w:id="68" w:name="_Toc1096"/>
      <w:bookmarkStart w:id="69" w:name="_Toc450840075"/>
      <w:bookmarkStart w:id="70" w:name="_Toc30686"/>
      <w:bookmarkStart w:id="71" w:name="_Toc204"/>
      <w:r>
        <w:rPr>
          <w:rFonts w:hint="eastAsia" w:ascii="宋体" w:hAnsi="宋体" w:cs="宋体"/>
          <w:color w:val="auto"/>
          <w:highlight w:val="none"/>
        </w:rPr>
        <w:t>第三节 投标文件</w:t>
      </w:r>
      <w:bookmarkEnd w:id="66"/>
      <w:bookmarkEnd w:id="67"/>
      <w:bookmarkEnd w:id="68"/>
      <w:bookmarkEnd w:id="69"/>
      <w:bookmarkEnd w:id="70"/>
      <w:bookmarkEnd w:id="71"/>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法定代表人资格证明书和法定代表人授权委托书（投标人的代表若为非法定代表人的，必须提交法人资格证明书和法定代表人授权书；身份证复印件、授权委托人社保证明（至少开标前三个月任1个月的社保证明）；（附件五）</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25"/>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25"/>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货物配置清单（不含报价，包含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投标产品技术支持资料</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项目实施方案</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保期满后备品备件的配置清单</w:t>
      </w:r>
    </w:p>
    <w:p>
      <w:pPr>
        <w:numPr>
          <w:ilvl w:val="0"/>
          <w:numId w:val="25"/>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72" w:name="_Toc12521"/>
      <w:bookmarkStart w:id="73" w:name="_Toc7823"/>
      <w:bookmarkStart w:id="74" w:name="_Toc1"/>
      <w:r>
        <w:rPr>
          <w:rFonts w:hint="eastAsia" w:ascii="宋体" w:hAnsi="宋体" w:cs="宋体"/>
          <w:color w:val="auto"/>
          <w:highlight w:val="none"/>
        </w:rPr>
        <w:t>第四节 投标文件的递交</w:t>
      </w:r>
      <w:bookmarkEnd w:id="72"/>
      <w:bookmarkEnd w:id="73"/>
      <w:bookmarkEnd w:id="74"/>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75" w:name="_Toc20835"/>
      <w:bookmarkStart w:id="76" w:name="_Toc27893"/>
      <w:bookmarkStart w:id="77" w:name="_Toc4563"/>
      <w:r>
        <w:rPr>
          <w:rFonts w:hint="eastAsia" w:ascii="宋体" w:hAnsi="宋体" w:cs="宋体"/>
          <w:color w:val="auto"/>
          <w:highlight w:val="none"/>
        </w:rPr>
        <w:t>第五节 开标</w:t>
      </w:r>
      <w:bookmarkEnd w:id="75"/>
      <w:bookmarkEnd w:id="76"/>
      <w:bookmarkEnd w:id="77"/>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78" w:name="_Toc13357"/>
      <w:bookmarkStart w:id="79" w:name="_Toc10353"/>
      <w:bookmarkStart w:id="80" w:name="_Toc13687"/>
      <w:r>
        <w:rPr>
          <w:rFonts w:hint="eastAsia" w:ascii="宋体" w:hAnsi="宋体" w:cs="宋体"/>
          <w:color w:val="auto"/>
          <w:highlight w:val="none"/>
        </w:rPr>
        <w:t>第六节 评标</w:t>
      </w:r>
      <w:bookmarkEnd w:id="78"/>
      <w:bookmarkEnd w:id="79"/>
      <w:bookmarkEnd w:id="80"/>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型号产品且通过资格审查、符合性审查的不同投标人参加同一合同项下投标的，按一家投标人计算，评审后得分最高的同品牌型号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81" w:name="_Toc24239"/>
      <w:bookmarkStart w:id="82" w:name="_Toc31535"/>
      <w:bookmarkStart w:id="83" w:name="_Toc24580"/>
      <w:r>
        <w:rPr>
          <w:rFonts w:hint="eastAsia" w:ascii="宋体" w:hAnsi="宋体" w:cs="宋体"/>
          <w:color w:val="auto"/>
          <w:highlight w:val="none"/>
        </w:rPr>
        <w:t>第七节 授予合同</w:t>
      </w:r>
      <w:bookmarkEnd w:id="81"/>
      <w:bookmarkEnd w:id="82"/>
      <w:bookmarkEnd w:id="83"/>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2.采购代理机构自中标供应商确定之日起2个工作日内，发出中标通知书，并在浙江中医药大学采购网等相关网站或媒体上公告中标结果。中标公告期限为1个工作日。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5"/>
        <w:jc w:val="center"/>
        <w:rPr>
          <w:rFonts w:ascii="宋体" w:hAnsi="宋体" w:cs="宋体"/>
          <w:color w:val="auto"/>
          <w:highlight w:val="none"/>
        </w:rPr>
      </w:pPr>
      <w:bookmarkStart w:id="84" w:name="_Toc12481"/>
      <w:bookmarkStart w:id="85" w:name="_Toc8433"/>
      <w:bookmarkStart w:id="86" w:name="_Toc15220"/>
      <w:r>
        <w:rPr>
          <w:rFonts w:hint="eastAsia" w:ascii="宋体" w:hAnsi="宋体" w:cs="宋体"/>
          <w:color w:val="auto"/>
          <w:highlight w:val="none"/>
        </w:rPr>
        <w:t>第八节 例外处理</w:t>
      </w:r>
      <w:bookmarkEnd w:id="84"/>
      <w:bookmarkEnd w:id="85"/>
      <w:bookmarkEnd w:id="86"/>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3"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87" w:name="_Toc82338233"/>
      <w:bookmarkStart w:id="88" w:name="_Toc450840079"/>
      <w:bookmarkStart w:id="89" w:name="_Toc82873316"/>
      <w:bookmarkStart w:id="90" w:name="_Toc22886"/>
      <w:r>
        <w:rPr>
          <w:rFonts w:hint="eastAsia" w:cs="宋体"/>
          <w:color w:val="auto"/>
          <w:highlight w:val="none"/>
        </w:rPr>
        <w:t xml:space="preserve">第四章 </w:t>
      </w:r>
      <w:bookmarkEnd w:id="87"/>
      <w:bookmarkEnd w:id="88"/>
      <w:bookmarkEnd w:id="89"/>
      <w:r>
        <w:rPr>
          <w:rFonts w:hint="eastAsia" w:cs="宋体"/>
          <w:color w:val="auto"/>
          <w:highlight w:val="none"/>
        </w:rPr>
        <w:t>评标办法及评分标准</w:t>
      </w:r>
      <w:bookmarkEnd w:id="90"/>
    </w:p>
    <w:p>
      <w:pPr>
        <w:pStyle w:val="5"/>
        <w:rPr>
          <w:rFonts w:ascii="宋体" w:hAnsi="宋体" w:cs="宋体"/>
          <w:color w:val="auto"/>
          <w:highlight w:val="none"/>
        </w:rPr>
      </w:pPr>
      <w:bookmarkStart w:id="91" w:name="_Toc3811"/>
      <w:bookmarkStart w:id="92" w:name="_Toc11391"/>
      <w:bookmarkStart w:id="93" w:name="_Toc26565"/>
      <w:bookmarkStart w:id="94" w:name="_Toc3110"/>
      <w:bookmarkStart w:id="95" w:name="OLE_LINK3"/>
      <w:r>
        <w:rPr>
          <w:rFonts w:hint="eastAsia" w:ascii="宋体" w:hAnsi="宋体" w:cs="宋体"/>
          <w:color w:val="auto"/>
          <w:highlight w:val="none"/>
        </w:rPr>
        <w:t>一、评分总则</w:t>
      </w:r>
      <w:bookmarkEnd w:id="91"/>
      <w:bookmarkEnd w:id="92"/>
      <w:bookmarkEnd w:id="93"/>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96" w:name="_Toc7789"/>
      <w:bookmarkStart w:id="97" w:name="_Toc22816"/>
      <w:r>
        <w:rPr>
          <w:rFonts w:hint="eastAsia" w:ascii="宋体" w:hAnsi="宋体" w:cs="宋体"/>
          <w:color w:val="auto"/>
          <w:highlight w:val="none"/>
        </w:rPr>
        <w:t>二、评分内容及标准</w:t>
      </w:r>
      <w:bookmarkEnd w:id="94"/>
      <w:bookmarkEnd w:id="96"/>
      <w:bookmarkEnd w:id="97"/>
    </w:p>
    <w:bookmarkEnd w:id="95"/>
    <w:p>
      <w:pPr>
        <w:ind w:firstLine="480"/>
        <w:rPr>
          <w:rFonts w:ascii="宋体" w:hAnsi="宋体" w:cs="宋体"/>
          <w:color w:val="auto"/>
          <w:szCs w:val="32"/>
          <w:highlight w:val="none"/>
        </w:rPr>
      </w:pPr>
      <w:bookmarkStart w:id="98" w:name="_Toc82873317"/>
      <w:bookmarkStart w:id="99" w:name="_Toc82338234"/>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100"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（30分）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价格分=（评标基准价/投标报价）×30%×100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30。</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所投产品属于品目清单范围，且提供国家确定的认证机构出具的处于有效期之内的节能产品认证证书（复印件加盖公章），得1分；所投产品属于品目清单范围，且提供国家确定的认证机构出具的处于有效期之内的环境标志产品认证证书（复印件加盖公章），得1分；</w:t>
            </w:r>
          </w:p>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否则得0分。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（60分）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投标产品的基本功能、技术指标与需求的吻合程度和偏差情况（除★以外）（包括所投标产品的详细配置、主要技术参数、随机软件等，是否能够满足投标文件要求。</w:t>
            </w:r>
          </w:p>
          <w:p>
            <w:pPr>
              <w:autoSpaceDE w:val="0"/>
              <w:autoSpaceDN w:val="0"/>
              <w:adjustRightInd w:val="0"/>
              <w:snapToGrid w:val="0"/>
              <w:spacing w:line="312" w:lineRule="auto"/>
              <w:ind w:firstLine="0" w:firstLineChars="0"/>
              <w:rPr>
                <w:color w:val="auto"/>
                <w:highlight w:val="none"/>
              </w:rPr>
            </w:pPr>
            <w:r>
              <w:rPr>
                <w:rFonts w:hint="eastAsia"/>
                <w:color w:val="auto"/>
                <w:highlight w:val="none"/>
              </w:rPr>
              <w:t>全部满足或明显优于招标文件要求得30分；(非标注“</w:t>
            </w:r>
            <w:r>
              <w:rPr>
                <w:rFonts w:ascii="Arial" w:hAnsi="Arial" w:cs="Arial"/>
                <w:color w:val="auto"/>
                <w:highlight w:val="none"/>
              </w:rPr>
              <w:t>▲</w:t>
            </w:r>
            <w:r>
              <w:rPr>
                <w:rFonts w:hint="eastAsia"/>
                <w:color w:val="auto"/>
                <w:highlight w:val="none"/>
              </w:rPr>
              <w:t>”技术条款低于技术要求（负偏离）的每条扣1分,标注“</w:t>
            </w:r>
            <w:r>
              <w:rPr>
                <w:rFonts w:ascii="Arial" w:hAnsi="Arial" w:cs="Arial"/>
                <w:color w:val="auto"/>
                <w:highlight w:val="none"/>
              </w:rPr>
              <w:t>▲</w:t>
            </w:r>
            <w:r>
              <w:rPr>
                <w:rFonts w:hint="eastAsia"/>
                <w:color w:val="auto"/>
                <w:highlight w:val="none"/>
              </w:rPr>
              <w:t>”的技术条款低于技术要求（负偏离）的每条扣3分，扣完为止。（采购需求偏离表技术要求中响应规格与技术资料不一致的经评标委员会讨论后可被认定为负偏离）。每个标项下允许偏离的技术条款低于技术要求（负偏离）达到１６条以上的投标无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投标产品的技术支持资料数量、技术详尽程度。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投标产品的技术支持资料对响应技术指标的佐证程度。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投标产品配置的先进性、完整性和适用性。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项目实施计划、生产排期详细完整程度，符合项目进度要求，投入人员数量和综合素质。</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售后服务方案的完整性、合理性、针对性，专业服务力量和服务保障方案的详细程度。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技术服务、培训计划内容合理性、详细程度，培训范围，实施计划的针对性。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4" w:type="default"/>
          <w:pgSz w:w="11907" w:h="16840"/>
          <w:pgMar w:top="1247" w:right="1304" w:bottom="1021" w:left="1304" w:header="720" w:footer="720" w:gutter="0"/>
          <w:cols w:space="720" w:num="1"/>
          <w:docGrid w:linePitch="286" w:charSpace="0"/>
        </w:sectPr>
      </w:pPr>
    </w:p>
    <w:bookmarkEnd w:id="98"/>
    <w:bookmarkEnd w:id="99"/>
    <w:bookmarkEnd w:id="100"/>
    <w:p>
      <w:pPr>
        <w:pStyle w:val="4"/>
        <w:ind w:firstLine="643"/>
        <w:rPr>
          <w:color w:val="auto"/>
          <w:szCs w:val="24"/>
          <w:highlight w:val="none"/>
        </w:rPr>
      </w:pPr>
      <w:bookmarkStart w:id="101" w:name="_Toc9368"/>
      <w:r>
        <w:rPr>
          <w:rFonts w:hint="eastAsia" w:cs="宋体"/>
          <w:color w:val="auto"/>
          <w:szCs w:val="32"/>
          <w:highlight w:val="none"/>
        </w:rPr>
        <w:t>第五章 合同格式</w:t>
      </w:r>
      <w:bookmarkEnd w:id="101"/>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288" w:lineRule="auto"/>
        <w:ind w:firstLine="538"/>
        <w:jc w:val="center"/>
        <w:rPr>
          <w:rFonts w:ascii="Times New Roman" w:hAnsi="Times New Roman"/>
          <w:b/>
          <w:bCs/>
          <w:color w:val="auto"/>
          <w:spacing w:val="-6"/>
          <w:sz w:val="28"/>
          <w:szCs w:val="28"/>
          <w:highlight w:val="none"/>
        </w:rPr>
      </w:pPr>
      <w:bookmarkStart w:id="102" w:name="_Toc450840088"/>
      <w:r>
        <w:rPr>
          <w:rFonts w:hint="eastAsia" w:ascii="Times New Roman" w:hAnsi="Times New Roman"/>
          <w:b/>
          <w:bCs/>
          <w:color w:val="auto"/>
          <w:spacing w:val="-6"/>
          <w:sz w:val="28"/>
          <w:szCs w:val="28"/>
          <w:highlight w:val="none"/>
        </w:rPr>
        <w:t>进口货物合同</w:t>
      </w:r>
    </w:p>
    <w:p>
      <w:pPr>
        <w:spacing w:line="288" w:lineRule="auto"/>
        <w:ind w:firstLine="416"/>
        <w:rPr>
          <w:rFonts w:ascii="Times New Roman" w:hAnsi="Times New Roman"/>
          <w:color w:val="auto"/>
          <w:spacing w:val="-6"/>
          <w:sz w:val="22"/>
          <w:szCs w:val="22"/>
          <w:highlight w:val="none"/>
        </w:rPr>
      </w:pPr>
    </w:p>
    <w:p>
      <w:pPr>
        <w:spacing w:line="288" w:lineRule="auto"/>
        <w:ind w:firstLine="416"/>
        <w:rPr>
          <w:rFonts w:ascii="Times New Roman" w:hAnsi="Times New Roman"/>
          <w:color w:val="auto"/>
          <w:spacing w:val="-6"/>
          <w:sz w:val="22"/>
          <w:szCs w:val="22"/>
          <w:highlight w:val="none"/>
        </w:rPr>
      </w:pPr>
      <w:r>
        <w:rPr>
          <w:rFonts w:hint="eastAsia" w:ascii="Times New Roman" w:hAnsi="Times New Roman"/>
          <w:color w:val="auto"/>
          <w:spacing w:val="-6"/>
          <w:sz w:val="22"/>
          <w:szCs w:val="22"/>
          <w:highlight w:val="none"/>
        </w:rPr>
        <w:t>确认书号：[2019]48761号、[2019]49787号</w:t>
      </w:r>
    </w:p>
    <w:p>
      <w:pPr>
        <w:spacing w:line="288" w:lineRule="auto"/>
        <w:ind w:firstLine="416"/>
        <w:rPr>
          <w:rFonts w:hint="eastAsia" w:ascii="Times New Roman" w:hAnsi="Times New Roman" w:eastAsia="宋体"/>
          <w:color w:val="auto"/>
          <w:spacing w:val="-6"/>
          <w:sz w:val="22"/>
          <w:szCs w:val="22"/>
          <w:highlight w:val="none"/>
          <w:lang w:eastAsia="zh-CN"/>
        </w:rPr>
      </w:pPr>
      <w:r>
        <w:rPr>
          <w:rFonts w:hint="eastAsia" w:ascii="Times New Roman" w:hAnsi="Times New Roman"/>
          <w:color w:val="auto"/>
          <w:spacing w:val="-6"/>
          <w:sz w:val="22"/>
          <w:szCs w:val="22"/>
          <w:highlight w:val="none"/>
        </w:rPr>
        <w:t>招标编号：</w:t>
      </w:r>
      <w:r>
        <w:rPr>
          <w:rFonts w:hint="eastAsia" w:ascii="Times New Roman" w:hAnsi="Times New Roman"/>
          <w:color w:val="auto"/>
          <w:spacing w:val="-6"/>
          <w:sz w:val="22"/>
          <w:szCs w:val="22"/>
          <w:highlight w:val="none"/>
          <w:lang w:eastAsia="zh-CN"/>
        </w:rPr>
        <w:t>ZJWSBJ-ZYY-201934G-4</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甲方（需方）：浙江中医药大学</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 xml:space="preserve">乙方（供方）： </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丙方（进口代理机构）：</w:t>
      </w:r>
      <w:r>
        <w:rPr>
          <w:rFonts w:ascii="Times New Roman" w:hAnsi="Times New Roman"/>
          <w:color w:val="auto"/>
          <w:sz w:val="22"/>
          <w:szCs w:val="22"/>
          <w:highlight w:val="none"/>
        </w:rPr>
        <w:t>浙江省科学器材进出口有限责任公司</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采购代理机构（鉴证方）：</w:t>
      </w:r>
      <w:r>
        <w:rPr>
          <w:rFonts w:hint="eastAsia" w:ascii="Times New Roman" w:hAnsi="Times New Roman"/>
          <w:color w:val="auto"/>
          <w:spacing w:val="-6"/>
          <w:sz w:val="22"/>
          <w:szCs w:val="22"/>
          <w:highlight w:val="none"/>
        </w:rPr>
        <w:t>浙江五石工程咨询有限公司</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经政府采购代理机构（鉴证方）对</w:t>
      </w:r>
      <w:r>
        <w:rPr>
          <w:rFonts w:hint="eastAsia" w:ascii="Times New Roman" w:hAnsi="Times New Roman"/>
          <w:color w:val="auto"/>
          <w:spacing w:val="-6"/>
          <w:sz w:val="22"/>
          <w:szCs w:val="22"/>
          <w:highlight w:val="none"/>
          <w:u w:val="single"/>
        </w:rPr>
        <w:t xml:space="preserve">      </w:t>
      </w:r>
      <w:r>
        <w:rPr>
          <w:rFonts w:hint="eastAsia" w:ascii="Times New Roman" w:hAnsi="Times New Roman"/>
          <w:color w:val="auto"/>
          <w:spacing w:val="-6"/>
          <w:sz w:val="22"/>
          <w:szCs w:val="22"/>
          <w:highlight w:val="none"/>
        </w:rPr>
        <w:t>项目</w:t>
      </w:r>
      <w:r>
        <w:rPr>
          <w:rFonts w:ascii="Times New Roman" w:hAnsi="Times New Roman"/>
          <w:color w:val="auto"/>
          <w:spacing w:val="-6"/>
          <w:sz w:val="22"/>
          <w:szCs w:val="22"/>
          <w:highlight w:val="none"/>
        </w:rPr>
        <w:t>经过</w:t>
      </w:r>
      <w:r>
        <w:rPr>
          <w:rFonts w:hint="eastAsia" w:ascii="Times New Roman" w:hAnsi="Times New Roman"/>
          <w:color w:val="auto"/>
          <w:spacing w:val="-6"/>
          <w:sz w:val="22"/>
          <w:szCs w:val="22"/>
          <w:highlight w:val="none"/>
        </w:rPr>
        <w:t>公开招标</w:t>
      </w:r>
      <w:r>
        <w:rPr>
          <w:rFonts w:ascii="Times New Roman" w:hAnsi="Times New Roman"/>
          <w:color w:val="auto"/>
          <w:spacing w:val="-6"/>
          <w:sz w:val="22"/>
          <w:szCs w:val="22"/>
          <w:highlight w:val="none"/>
        </w:rPr>
        <w:t>方式采购，确定</w:t>
      </w:r>
      <w:r>
        <w:rPr>
          <w:rFonts w:hint="eastAsia"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为</w:t>
      </w:r>
      <w:r>
        <w:rPr>
          <w:rFonts w:hint="eastAsia" w:ascii="Times New Roman" w:hAnsi="Times New Roman"/>
          <w:color w:val="auto"/>
          <w:spacing w:val="-6"/>
          <w:sz w:val="22"/>
          <w:szCs w:val="22"/>
          <w:highlight w:val="none"/>
        </w:rPr>
        <w:t>中标</w:t>
      </w:r>
      <w:r>
        <w:rPr>
          <w:rFonts w:ascii="Times New Roman" w:hAnsi="Times New Roman"/>
          <w:color w:val="auto"/>
          <w:spacing w:val="-6"/>
          <w:sz w:val="22"/>
          <w:szCs w:val="22"/>
          <w:highlight w:val="none"/>
        </w:rPr>
        <w:t>供应商</w:t>
      </w:r>
      <w:r>
        <w:rPr>
          <w:rFonts w:hint="eastAsia" w:ascii="Times New Roman" w:hAnsi="Times New Roman"/>
          <w:color w:val="auto"/>
          <w:spacing w:val="-6"/>
          <w:sz w:val="22"/>
          <w:szCs w:val="22"/>
          <w:highlight w:val="none"/>
        </w:rPr>
        <w:t>，</w:t>
      </w:r>
      <w:r>
        <w:rPr>
          <w:rFonts w:ascii="Times New Roman" w:hAnsi="Times New Roman"/>
          <w:color w:val="auto"/>
          <w:spacing w:val="-6"/>
          <w:sz w:val="22"/>
          <w:szCs w:val="22"/>
          <w:highlight w:val="none"/>
        </w:rPr>
        <w:t>由丙方代理进口本合同乙方提供的进口商品</w:t>
      </w:r>
      <w:r>
        <w:rPr>
          <w:rFonts w:hint="eastAsia" w:ascii="Times New Roman" w:hAnsi="Times New Roman"/>
          <w:color w:val="auto"/>
          <w:spacing w:val="-6"/>
          <w:sz w:val="22"/>
          <w:szCs w:val="22"/>
          <w:highlight w:val="none"/>
        </w:rPr>
        <w:t>。</w:t>
      </w:r>
      <w:r>
        <w:rPr>
          <w:rFonts w:ascii="Times New Roman" w:hAnsi="Times New Roman"/>
          <w:color w:val="auto"/>
          <w:spacing w:val="-6"/>
          <w:sz w:val="22"/>
          <w:szCs w:val="22"/>
          <w:highlight w:val="none"/>
        </w:rPr>
        <w:t>甲方、乙方、丙方和鉴证方四方根据采购结果，签署本合同。</w:t>
      </w:r>
    </w:p>
    <w:p>
      <w:pPr>
        <w:spacing w:line="288" w:lineRule="auto"/>
        <w:ind w:firstLine="418"/>
        <w:rPr>
          <w:rFonts w:ascii="Times New Roman" w:hAnsi="Times New Roman"/>
          <w:b/>
          <w:bCs/>
          <w:color w:val="auto"/>
          <w:spacing w:val="-6"/>
          <w:sz w:val="22"/>
          <w:szCs w:val="22"/>
          <w:highlight w:val="none"/>
        </w:rPr>
      </w:pPr>
      <w:r>
        <w:rPr>
          <w:rFonts w:ascii="Times New Roman" w:hAnsi="Times New Roman"/>
          <w:b/>
          <w:bCs/>
          <w:color w:val="auto"/>
          <w:spacing w:val="-6"/>
          <w:sz w:val="22"/>
          <w:szCs w:val="22"/>
          <w:highlight w:val="none"/>
        </w:rPr>
        <w:t>第一条：采购商品清单及合同价格</w:t>
      </w:r>
    </w:p>
    <w:tbl>
      <w:tblPr>
        <w:tblStyle w:val="39"/>
        <w:tblW w:w="9432" w:type="dxa"/>
        <w:jc w:val="center"/>
        <w:tblInd w:w="0" w:type="dxa"/>
        <w:tblLayout w:type="fixed"/>
        <w:tblCellMar>
          <w:top w:w="0" w:type="dxa"/>
          <w:left w:w="10" w:type="dxa"/>
          <w:bottom w:w="0" w:type="dxa"/>
          <w:right w:w="10" w:type="dxa"/>
        </w:tblCellMar>
      </w:tblPr>
      <w:tblGrid>
        <w:gridCol w:w="605"/>
        <w:gridCol w:w="808"/>
        <w:gridCol w:w="1135"/>
        <w:gridCol w:w="992"/>
        <w:gridCol w:w="992"/>
        <w:gridCol w:w="791"/>
        <w:gridCol w:w="343"/>
        <w:gridCol w:w="1276"/>
        <w:gridCol w:w="1418"/>
        <w:gridCol w:w="1072"/>
      </w:tblGrid>
      <w:tr>
        <w:tblPrEx>
          <w:tblLayout w:type="fixed"/>
          <w:tblCellMar>
            <w:top w:w="0" w:type="dxa"/>
            <w:left w:w="10" w:type="dxa"/>
            <w:bottom w:w="0" w:type="dxa"/>
            <w:right w:w="10" w:type="dxa"/>
          </w:tblCellMar>
        </w:tblPrEx>
        <w:trPr>
          <w:trHeight w:val="340" w:hRule="atLeast"/>
          <w:jc w:val="center"/>
        </w:trPr>
        <w:tc>
          <w:tcPr>
            <w:tcW w:w="60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序号</w:t>
            </w:r>
          </w:p>
        </w:tc>
        <w:tc>
          <w:tcPr>
            <w:tcW w:w="80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进口货物名称</w:t>
            </w:r>
          </w:p>
        </w:tc>
        <w:tc>
          <w:tcPr>
            <w:tcW w:w="113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厂家</w:t>
            </w:r>
            <w:r>
              <w:rPr>
                <w:rFonts w:hint="eastAsia" w:ascii="Times New Roman" w:hAnsi="Times New Roman"/>
                <w:b/>
                <w:bCs/>
                <w:color w:val="auto"/>
                <w:sz w:val="22"/>
                <w:szCs w:val="22"/>
                <w:highlight w:val="none"/>
              </w:rPr>
              <w:t>（全称）</w:t>
            </w: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品牌</w:t>
            </w: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规格型号</w:t>
            </w:r>
          </w:p>
        </w:tc>
        <w:tc>
          <w:tcPr>
            <w:tcW w:w="791"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产地</w:t>
            </w:r>
          </w:p>
        </w:tc>
        <w:tc>
          <w:tcPr>
            <w:tcW w:w="343"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数量</w:t>
            </w:r>
          </w:p>
        </w:tc>
        <w:tc>
          <w:tcPr>
            <w:tcW w:w="1276"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中标价</w:t>
            </w:r>
          </w:p>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（USD）</w:t>
            </w:r>
          </w:p>
        </w:tc>
        <w:tc>
          <w:tcPr>
            <w:tcW w:w="141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含税总价</w:t>
            </w:r>
          </w:p>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（人民币元）</w:t>
            </w:r>
          </w:p>
        </w:tc>
        <w:tc>
          <w:tcPr>
            <w:tcW w:w="1072" w:type="dxa"/>
            <w:tcBorders>
              <w:top w:val="single" w:color="auto" w:sz="4" w:space="0"/>
              <w:left w:val="single" w:color="auto" w:sz="4" w:space="0"/>
              <w:righ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外贸</w:t>
            </w:r>
          </w:p>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合同号</w:t>
            </w:r>
          </w:p>
        </w:tc>
      </w:tr>
      <w:tr>
        <w:tblPrEx>
          <w:tblLayout w:type="fixed"/>
          <w:tblCellMar>
            <w:top w:w="0" w:type="dxa"/>
            <w:left w:w="10" w:type="dxa"/>
            <w:bottom w:w="0" w:type="dxa"/>
            <w:right w:w="10" w:type="dxa"/>
          </w:tblCellMar>
        </w:tblPrEx>
        <w:trPr>
          <w:trHeight w:val="340" w:hRule="atLeast"/>
          <w:jc w:val="center"/>
        </w:trPr>
        <w:tc>
          <w:tcPr>
            <w:tcW w:w="60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rPr>
              <w:t>1</w:t>
            </w:r>
          </w:p>
        </w:tc>
        <w:tc>
          <w:tcPr>
            <w:tcW w:w="80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113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791"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343"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1276"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1418" w:type="dxa"/>
            <w:tcBorders>
              <w:top w:val="single" w:color="auto" w:sz="4" w:space="0"/>
              <w:left w:val="single" w:color="auto" w:sz="4" w:space="0"/>
            </w:tcBorders>
            <w:shd w:val="clear" w:color="auto" w:fill="FFFFFF"/>
            <w:vAlign w:val="center"/>
          </w:tcPr>
          <w:p>
            <w:pPr>
              <w:widowControl/>
              <w:spacing w:line="288" w:lineRule="auto"/>
              <w:ind w:firstLine="0" w:firstLineChars="0"/>
              <w:jc w:val="center"/>
              <w:textAlignment w:val="center"/>
              <w:rPr>
                <w:rFonts w:ascii="Times New Roman" w:hAnsi="Times New Roman"/>
                <w:color w:val="auto"/>
                <w:sz w:val="22"/>
                <w:szCs w:val="22"/>
                <w:highlight w:val="none"/>
              </w:rPr>
            </w:pPr>
          </w:p>
        </w:tc>
        <w:tc>
          <w:tcPr>
            <w:tcW w:w="1072" w:type="dxa"/>
            <w:tcBorders>
              <w:top w:val="single" w:color="auto" w:sz="4" w:space="0"/>
              <w:left w:val="single" w:color="auto" w:sz="4" w:space="0"/>
              <w:righ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r>
      <w:tr>
        <w:tblPrEx>
          <w:tblLayout w:type="fixed"/>
          <w:tblCellMar>
            <w:top w:w="0" w:type="dxa"/>
            <w:left w:w="10" w:type="dxa"/>
            <w:bottom w:w="0" w:type="dxa"/>
            <w:right w:w="10" w:type="dxa"/>
          </w:tblCellMar>
        </w:tblPrEx>
        <w:trPr>
          <w:trHeight w:val="340" w:hRule="atLeast"/>
          <w:jc w:val="center"/>
        </w:trPr>
        <w:tc>
          <w:tcPr>
            <w:tcW w:w="1413" w:type="dxa"/>
            <w:gridSpan w:val="2"/>
            <w:tcBorders>
              <w:top w:val="single" w:color="auto" w:sz="4" w:space="0"/>
              <w:left w:val="single" w:color="auto" w:sz="4" w:space="0"/>
              <w:bottom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r>
              <w:rPr>
                <w:rFonts w:ascii="Times New Roman" w:hAnsi="Times New Roman"/>
                <w:color w:val="auto"/>
                <w:spacing w:val="-6"/>
                <w:sz w:val="22"/>
                <w:szCs w:val="22"/>
                <w:highlight w:val="none"/>
              </w:rPr>
              <w:t>含税合同总价</w:t>
            </w:r>
          </w:p>
        </w:tc>
        <w:tc>
          <w:tcPr>
            <w:tcW w:w="801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ind w:firstLine="0" w:firstLineChars="0"/>
              <w:rPr>
                <w:rFonts w:ascii="Times New Roman" w:hAnsi="Times New Roman"/>
                <w:color w:val="auto"/>
                <w:sz w:val="22"/>
                <w:szCs w:val="22"/>
                <w:highlight w:val="none"/>
              </w:rPr>
            </w:pPr>
            <w:r>
              <w:rPr>
                <w:rFonts w:hint="eastAsia" w:ascii="Times New Roman" w:hAnsi="Times New Roman"/>
                <w:color w:val="auto"/>
                <w:spacing w:val="-6"/>
                <w:sz w:val="22"/>
                <w:szCs w:val="22"/>
                <w:highlight w:val="none"/>
              </w:rPr>
              <w:t>美金：USD</w:t>
            </w:r>
            <w:r>
              <w:rPr>
                <w:rFonts w:ascii="Times New Roman" w:hAnsi="Times New Roman"/>
                <w:color w:val="auto"/>
                <w:spacing w:val="-6"/>
                <w:sz w:val="22"/>
                <w:szCs w:val="22"/>
                <w:highlight w:val="none"/>
              </w:rPr>
              <w:t xml:space="preserve"> </w:t>
            </w:r>
            <w:r>
              <w:rPr>
                <w:rFonts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 xml:space="preserve">  RMB：</w:t>
            </w:r>
            <w:r>
              <w:rPr>
                <w:rFonts w:hint="eastAsia" w:ascii="Times New Roman" w:hAnsi="Times New Roman"/>
                <w:color w:val="auto"/>
                <w:spacing w:val="-6"/>
                <w:sz w:val="22"/>
                <w:szCs w:val="22"/>
                <w:highlight w:val="none"/>
                <w:u w:val="single"/>
              </w:rPr>
              <w:t xml:space="preserve">     </w:t>
            </w:r>
            <w:r>
              <w:rPr>
                <w:rFonts w:hint="eastAsia" w:ascii="Times New Roman" w:hAnsi="Times New Roman"/>
                <w:color w:val="auto"/>
                <w:spacing w:val="-6"/>
                <w:sz w:val="22"/>
                <w:szCs w:val="22"/>
                <w:highlight w:val="none"/>
              </w:rPr>
              <w:t>元</w:t>
            </w:r>
            <w:r>
              <w:rPr>
                <w:rFonts w:ascii="Times New Roman" w:hAnsi="Times New Roman"/>
                <w:color w:val="auto"/>
                <w:spacing w:val="-6"/>
                <w:sz w:val="22"/>
                <w:szCs w:val="22"/>
                <w:highlight w:val="none"/>
              </w:rPr>
              <w:t>，人民币大写</w:t>
            </w:r>
            <w:r>
              <w:rPr>
                <w:rFonts w:hint="eastAsia"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元整</w:t>
            </w:r>
          </w:p>
        </w:tc>
      </w:tr>
    </w:tbl>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注：1.</w:t>
      </w:r>
      <w:r>
        <w:rPr>
          <w:rFonts w:ascii="Times New Roman" w:hAnsi="Times New Roman"/>
          <w:color w:val="auto"/>
          <w:sz w:val="22"/>
          <w:szCs w:val="22"/>
          <w:highlight w:val="none"/>
        </w:rPr>
        <w:t>合同总价系以响应文件开启当日外汇美元牌价1：</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rPr>
        <w:t>计算，并已加0.15个点计算的外贸代理费，即乙方、丙方系按1：</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rPr>
        <w:t>的美元人民币兑换比与甲方结算合同价款。2.配置清单和服务承诺详见附件。</w:t>
      </w:r>
      <w:r>
        <w:rPr>
          <w:rFonts w:ascii="Times New Roman" w:hAnsi="Times New Roman"/>
          <w:color w:val="auto"/>
          <w:spacing w:val="-6"/>
          <w:sz w:val="22"/>
          <w:szCs w:val="22"/>
          <w:highlight w:val="none"/>
        </w:rPr>
        <w:t>3.</w:t>
      </w:r>
      <w:r>
        <w:rPr>
          <w:rFonts w:ascii="Times New Roman" w:hAnsi="Times New Roman"/>
          <w:color w:val="auto"/>
          <w:sz w:val="22"/>
          <w:szCs w:val="22"/>
          <w:highlight w:val="none"/>
        </w:rPr>
        <w:t>合同履行过程中的汇率风险由乙方承担，丙方与乙方的款项结算由其自行办理。</w:t>
      </w:r>
    </w:p>
    <w:p>
      <w:pPr>
        <w:spacing w:line="288" w:lineRule="auto"/>
        <w:ind w:firstLine="418"/>
        <w:rPr>
          <w:rFonts w:ascii="Times New Roman" w:hAnsi="Times New Roman"/>
          <w:b/>
          <w:bCs/>
          <w:color w:val="auto"/>
          <w:spacing w:val="-6"/>
          <w:sz w:val="22"/>
          <w:szCs w:val="22"/>
          <w:highlight w:val="none"/>
        </w:rPr>
      </w:pPr>
      <w:r>
        <w:rPr>
          <w:rFonts w:ascii="Times New Roman" w:hAnsi="Times New Roman"/>
          <w:b/>
          <w:bCs/>
          <w:color w:val="auto"/>
          <w:spacing w:val="-6"/>
          <w:sz w:val="22"/>
          <w:szCs w:val="22"/>
          <w:highlight w:val="none"/>
        </w:rPr>
        <w:t>第二条：质量保证及售后服务</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乙方应按照磋商文件规定的性能、技术要求、质量标准向甲方提供未经使用、符合国家法律规定和技术标准的原厂最新生产的全新原装合格产品；进口商品是获得国家商检局颁布安全许可证的出厂原装进口合格产品。如发生所供商品与合同不符，甲方有权拒收或随时退货，乙方应全额退还甲方所付款项，并按合同价款金额的10%支付违约金，由此产生的其他一切责任和后果也由乙方承担。</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2.乙方提供的货物在质保期内因货物本身的质量问题发生故障，乙方应负责免费更换。对达不到技术要求者，根据实际情况，甲方有权自行选择以下办法处理：</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（1）更换：由乙方在10个工作日内负责更换，并承担所发生的全部费用。</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（2）退货处理：乙方应全额退还甲方支付的价款，同时应承担该货物的直接费用（运输、保险、检验、货款利息及银行手续费等），并支付合同价款20%的违约金。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3.如在使用过程中发生质量问题，乙方在接到甲方通知后在</w:t>
      </w:r>
      <w:r>
        <w:rPr>
          <w:rFonts w:hint="eastAsia"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小时内到达甲方现场，最迟在个工作日内解决，同时采取临时替换等措施，以确保甲方的正常使用。</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4.在质保期内，乙方应对货物出现的质量及安全问题负责处理解决并承担一切费用。</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5.货物自验收合格交付使用后</w:t>
      </w:r>
      <w:r>
        <w:rPr>
          <w:rFonts w:ascii="Times New Roman" w:hAnsi="Times New Roman"/>
          <w:color w:val="auto"/>
          <w:spacing w:val="-6"/>
          <w:sz w:val="22"/>
          <w:szCs w:val="22"/>
          <w:highlight w:val="none"/>
          <w:u w:val="single"/>
        </w:rPr>
        <w:t>1</w:t>
      </w:r>
      <w:r>
        <w:rPr>
          <w:rFonts w:ascii="Times New Roman" w:hAnsi="Times New Roman"/>
          <w:color w:val="auto"/>
          <w:spacing w:val="-6"/>
          <w:sz w:val="22"/>
          <w:szCs w:val="22"/>
          <w:highlight w:val="none"/>
        </w:rPr>
        <w:t>年内确保制造商原厂或有资质售后工程师上门质保。软件终身免费升级。故障响应时间</w:t>
      </w:r>
      <w:r>
        <w:rPr>
          <w:rFonts w:ascii="Times New Roman" w:hAnsi="Times New Roman"/>
          <w:color w:val="auto"/>
          <w:spacing w:val="-6"/>
          <w:sz w:val="22"/>
          <w:szCs w:val="22"/>
          <w:highlight w:val="none"/>
          <w:u w:val="single"/>
        </w:rPr>
        <w:t>4</w:t>
      </w:r>
      <w:r>
        <w:rPr>
          <w:rFonts w:ascii="Times New Roman" w:hAnsi="Times New Roman"/>
          <w:color w:val="auto"/>
          <w:spacing w:val="-6"/>
          <w:sz w:val="22"/>
          <w:szCs w:val="22"/>
          <w:highlight w:val="none"/>
        </w:rPr>
        <w:t>小时以内，每日24小时电话技术支持；若需上门，则</w:t>
      </w:r>
      <w:r>
        <w:rPr>
          <w:rFonts w:ascii="Times New Roman" w:hAnsi="Times New Roman"/>
          <w:color w:val="auto"/>
          <w:spacing w:val="-6"/>
          <w:sz w:val="22"/>
          <w:szCs w:val="22"/>
          <w:highlight w:val="none"/>
          <w:u w:val="single"/>
        </w:rPr>
        <w:t>12</w:t>
      </w:r>
      <w:r>
        <w:rPr>
          <w:rFonts w:ascii="Times New Roman" w:hAnsi="Times New Roman"/>
          <w:color w:val="auto"/>
          <w:spacing w:val="-6"/>
          <w:sz w:val="22"/>
          <w:szCs w:val="22"/>
          <w:highlight w:val="none"/>
        </w:rPr>
        <w:t>小时内到达现场并完成故障排除；保修期后，乙方继续为甲方服务，仅收取零配件成本费。保修期内出现无法排除的故障，乙方须无条件为甲方更换同型号全新产品，并承担相应违约责任。保修或维保应确保2天内排除故障。</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第三条：技术资料</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1.乙方应按磋商文件规定的时间向甲方提供合同货物的有关技术资料和必备的附件，进口产品还需提供全套中英文对照的技术资料。</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第四条：知识产权</w:t>
      </w:r>
    </w:p>
    <w:p>
      <w:pPr>
        <w:pStyle w:val="174"/>
        <w:spacing w:line="288" w:lineRule="auto"/>
        <w:ind w:firstLine="396"/>
        <w:rPr>
          <w:rFonts w:ascii="Times New Roman" w:hAnsi="Times New Roman" w:cs="Times New Roman"/>
          <w:color w:val="auto"/>
          <w:spacing w:val="-6"/>
          <w:sz w:val="21"/>
          <w:szCs w:val="22"/>
          <w:highlight w:val="none"/>
        </w:rPr>
      </w:pPr>
      <w:r>
        <w:rPr>
          <w:rFonts w:ascii="Times New Roman" w:hAnsi="Times New Roman" w:cs="Times New Roman"/>
          <w:color w:val="auto"/>
          <w:spacing w:val="-6"/>
          <w:sz w:val="21"/>
          <w:szCs w:val="22"/>
          <w:highlight w:val="none"/>
        </w:rPr>
        <w:t>乙方应保证所提供的货物含软件或其任何一部分均不会侵犯任何第三方的知识产权，否则乙方应承担包括但不限于侵权赔偿款、诉讼费、律师费、向甲方退还已收全款并按合同总价的20%支付违约金等责任。</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第五条：交货时间、地点</w:t>
      </w:r>
    </w:p>
    <w:p>
      <w:pPr>
        <w:pStyle w:val="174"/>
        <w:spacing w:line="288" w:lineRule="auto"/>
        <w:ind w:firstLine="420"/>
        <w:rPr>
          <w:rFonts w:ascii="Times New Roman" w:hAnsi="Times New Roman" w:cs="Times New Roman"/>
          <w:color w:val="auto"/>
          <w:spacing w:val="-6"/>
          <w:sz w:val="21"/>
          <w:szCs w:val="22"/>
          <w:highlight w:val="none"/>
        </w:rPr>
      </w:pPr>
      <w:r>
        <w:rPr>
          <w:rFonts w:ascii="Times New Roman" w:hAnsi="Times New Roman" w:cs="Times New Roman"/>
          <w:color w:val="auto"/>
          <w:sz w:val="21"/>
          <w:szCs w:val="22"/>
          <w:highlight w:val="none"/>
        </w:rPr>
        <w:t>乙方应于</w:t>
      </w:r>
      <w:r>
        <w:rPr>
          <w:rFonts w:hint="eastAsia" w:ascii="Times New Roman" w:hAnsi="Times New Roman" w:cs="Times New Roman"/>
          <w:color w:val="auto"/>
          <w:sz w:val="21"/>
          <w:szCs w:val="22"/>
          <w:highlight w:val="none"/>
        </w:rPr>
        <w:t>本</w:t>
      </w:r>
      <w:r>
        <w:rPr>
          <w:rFonts w:ascii="Times New Roman" w:hAnsi="Times New Roman" w:cs="Times New Roman"/>
          <w:color w:val="auto"/>
          <w:spacing w:val="-6"/>
          <w:sz w:val="21"/>
          <w:szCs w:val="22"/>
          <w:highlight w:val="none"/>
        </w:rPr>
        <w:t>合同签订后</w:t>
      </w:r>
      <w:r>
        <w:rPr>
          <w:rFonts w:ascii="Times New Roman" w:hAnsi="Times New Roman" w:cs="Times New Roman"/>
          <w:color w:val="auto"/>
          <w:spacing w:val="-6"/>
          <w:sz w:val="21"/>
          <w:szCs w:val="22"/>
          <w:highlight w:val="none"/>
          <w:u w:val="single"/>
        </w:rPr>
        <w:t>90</w:t>
      </w:r>
      <w:r>
        <w:rPr>
          <w:rFonts w:ascii="Times New Roman" w:hAnsi="Times New Roman" w:cs="Times New Roman"/>
          <w:color w:val="auto"/>
          <w:spacing w:val="-6"/>
          <w:sz w:val="21"/>
          <w:szCs w:val="22"/>
          <w:highlight w:val="none"/>
        </w:rPr>
        <w:t>天内</w:t>
      </w:r>
      <w:r>
        <w:rPr>
          <w:rFonts w:ascii="Times New Roman" w:hAnsi="Times New Roman" w:cs="Times New Roman"/>
          <w:color w:val="auto"/>
          <w:sz w:val="21"/>
          <w:szCs w:val="22"/>
          <w:highlight w:val="none"/>
        </w:rPr>
        <w:t>将所供商品按时、安全运至甲方指定地点，并于一周内安装调试完毕后交甲方验收。</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第六条：调试与验收</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甲方对乙方提交的货物依据磋商文件上的技术规格要求和有关质量标准进行现场到货验收，外观、说明书符合磋商文件技术要求的，给予签收，到货验收不合格的不予签收。到货验收并非最终验收，乙方安装调试完毕后的验收方为最终验收。</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2.乙方交货前应对产品作出全面检查和对验收文件进行整理，并列出清单，作为甲方收货验收和使用的技术条件依据，检验的结果应随货物交甲方。</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甲方对乙方提供的货物在使用前进行调试时，乙方须事先负责安装达到合同规定的技术要求，同时负责培训甲方的使用操作人员，做好甲方现场调试的指导，直到符合技术要求，甲方才进行交付验收，在交付验收合格前，乙方负责承担相应风险。</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4.对技术复杂的货物，甲方应请国家认可的专业检测机构参与到货验收及交付验收，并由其出具质量检测报告。</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5.验收时乙方必须在现场，验收完毕后作出验收结果报告；验收费用由乙方负责。</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6.合同商品从验收合格交付使用次日起30天内，出现非甲方人为因素造成的无法排除的故障，由乙方予以整机调换或者退货退款，并承担相应的违约责任。</w:t>
      </w:r>
    </w:p>
    <w:p>
      <w:pPr>
        <w:pStyle w:val="174"/>
        <w:spacing w:line="288" w:lineRule="auto"/>
        <w:ind w:firstLine="396"/>
        <w:rPr>
          <w:rFonts w:ascii="Times New Roman" w:hAnsi="Times New Roman" w:cs="Times New Roman"/>
          <w:color w:val="auto"/>
          <w:spacing w:val="-6"/>
          <w:sz w:val="21"/>
          <w:szCs w:val="22"/>
          <w:highlight w:val="none"/>
        </w:rPr>
      </w:pPr>
      <w:r>
        <w:rPr>
          <w:rFonts w:ascii="Times New Roman" w:hAnsi="Times New Roman" w:cs="Times New Roman"/>
          <w:color w:val="auto"/>
          <w:spacing w:val="-6"/>
          <w:sz w:val="21"/>
          <w:szCs w:val="22"/>
          <w:highlight w:val="none"/>
        </w:rPr>
        <w:t>7.如发现有重大的质量问题，甲乙双方均同意提请国家法定检测机构鉴定，如检测结果证明产品无质量问题，由甲方承担检测费用；如检测结果证明产品有质量问题，由乙方承担检测费用，同时乙方同意甲方无条件退货，乙方应退还甲方全款并支付总价款20%的赔偿金。</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第七条：货款的支付</w:t>
      </w:r>
    </w:p>
    <w:p>
      <w:pPr>
        <w:spacing w:line="288" w:lineRule="auto"/>
        <w:ind w:firstLine="440"/>
        <w:rPr>
          <w:rFonts w:ascii="Times New Roman" w:hAnsi="Times New Roman"/>
          <w:color w:val="auto"/>
          <w:sz w:val="22"/>
          <w:szCs w:val="22"/>
          <w:highlight w:val="none"/>
        </w:rPr>
      </w:pPr>
      <w:r>
        <w:rPr>
          <w:rFonts w:ascii="Times New Roman" w:hAnsi="Times New Roman"/>
          <w:color w:val="auto"/>
          <w:sz w:val="22"/>
          <w:szCs w:val="22"/>
          <w:highlight w:val="none"/>
        </w:rPr>
        <w:t>1.合同总价的5%作为履约保证金，合同签订后七个工作日内由乙方</w:t>
      </w:r>
      <w:r>
        <w:rPr>
          <w:rFonts w:hint="eastAsia" w:ascii="Times New Roman" w:hAnsi="Times New Roman"/>
          <w:color w:val="auto"/>
          <w:sz w:val="22"/>
          <w:szCs w:val="22"/>
          <w:highlight w:val="none"/>
        </w:rPr>
        <w:t>支付</w:t>
      </w:r>
      <w:r>
        <w:rPr>
          <w:rFonts w:ascii="Times New Roman" w:hAnsi="Times New Roman"/>
          <w:color w:val="auto"/>
          <w:sz w:val="22"/>
          <w:szCs w:val="22"/>
          <w:highlight w:val="none"/>
        </w:rPr>
        <w:t>给甲方，货物验收合格</w:t>
      </w:r>
      <w:r>
        <w:rPr>
          <w:rFonts w:hint="eastAsia" w:ascii="Times New Roman" w:hAnsi="Times New Roman"/>
          <w:color w:val="auto"/>
          <w:sz w:val="22"/>
          <w:szCs w:val="22"/>
          <w:highlight w:val="none"/>
        </w:rPr>
        <w:t>交付甲方正常使用</w:t>
      </w:r>
      <w:r>
        <w:rPr>
          <w:rFonts w:ascii="Times New Roman" w:hAnsi="Times New Roman"/>
          <w:color w:val="auto"/>
          <w:sz w:val="22"/>
          <w:szCs w:val="22"/>
          <w:highlight w:val="none"/>
        </w:rPr>
        <w:t>12个月</w:t>
      </w:r>
      <w:r>
        <w:rPr>
          <w:rFonts w:hint="eastAsia" w:ascii="Times New Roman" w:hAnsi="Times New Roman"/>
          <w:color w:val="auto"/>
          <w:sz w:val="22"/>
          <w:szCs w:val="22"/>
          <w:highlight w:val="none"/>
        </w:rPr>
        <w:t>后，经甲方书面确认货物</w:t>
      </w:r>
      <w:r>
        <w:rPr>
          <w:rFonts w:ascii="Times New Roman" w:hAnsi="Times New Roman"/>
          <w:color w:val="auto"/>
          <w:sz w:val="22"/>
          <w:szCs w:val="22"/>
          <w:highlight w:val="none"/>
        </w:rPr>
        <w:t>无质量问题</w:t>
      </w:r>
      <w:r>
        <w:rPr>
          <w:rFonts w:hint="eastAsia" w:ascii="Times New Roman" w:hAnsi="Times New Roman"/>
          <w:color w:val="auto"/>
          <w:sz w:val="22"/>
          <w:szCs w:val="22"/>
          <w:highlight w:val="none"/>
        </w:rPr>
        <w:t>、无</w:t>
      </w:r>
      <w:r>
        <w:rPr>
          <w:rFonts w:ascii="Times New Roman" w:hAnsi="Times New Roman"/>
          <w:color w:val="auto"/>
          <w:sz w:val="22"/>
          <w:szCs w:val="22"/>
          <w:highlight w:val="none"/>
        </w:rPr>
        <w:t>售后服务问题和</w:t>
      </w:r>
      <w:r>
        <w:rPr>
          <w:rFonts w:hint="eastAsia" w:ascii="Times New Roman" w:hAnsi="Times New Roman"/>
          <w:color w:val="auto"/>
          <w:sz w:val="22"/>
          <w:szCs w:val="22"/>
          <w:highlight w:val="none"/>
        </w:rPr>
        <w:t>乙方无</w:t>
      </w:r>
      <w:r>
        <w:rPr>
          <w:rFonts w:ascii="Times New Roman" w:hAnsi="Times New Roman"/>
          <w:color w:val="auto"/>
          <w:sz w:val="22"/>
          <w:szCs w:val="22"/>
          <w:highlight w:val="none"/>
        </w:rPr>
        <w:t>违约行为</w:t>
      </w:r>
      <w:r>
        <w:rPr>
          <w:rFonts w:hint="eastAsia" w:ascii="Times New Roman" w:hAnsi="Times New Roman"/>
          <w:color w:val="auto"/>
          <w:sz w:val="22"/>
          <w:szCs w:val="22"/>
          <w:highlight w:val="none"/>
        </w:rPr>
        <w:t>后</w:t>
      </w:r>
      <w:r>
        <w:rPr>
          <w:rFonts w:ascii="Times New Roman" w:hAnsi="Times New Roman"/>
          <w:color w:val="auto"/>
          <w:sz w:val="22"/>
          <w:szCs w:val="22"/>
          <w:highlight w:val="none"/>
        </w:rPr>
        <w:t>，由甲方无息退回乙方。</w:t>
      </w:r>
    </w:p>
    <w:p>
      <w:pPr>
        <w:spacing w:line="288" w:lineRule="auto"/>
        <w:ind w:firstLine="440"/>
        <w:rPr>
          <w:rFonts w:ascii="Times New Roman" w:hAnsi="Times New Roman"/>
          <w:color w:val="auto"/>
          <w:sz w:val="22"/>
          <w:szCs w:val="22"/>
          <w:highlight w:val="none"/>
        </w:rPr>
      </w:pPr>
      <w:r>
        <w:rPr>
          <w:rFonts w:ascii="Times New Roman" w:hAnsi="Times New Roman"/>
          <w:color w:val="auto"/>
          <w:sz w:val="22"/>
          <w:szCs w:val="22"/>
          <w:highlight w:val="none"/>
        </w:rPr>
        <w:t>2.合同总价的10%作为履约保证金，合同签订后两天内由丙方提交给甲方，乙方同意甲方将100%货款支付给丙方，同时丙方及时对外支付30%货款；货物</w:t>
      </w:r>
      <w:r>
        <w:rPr>
          <w:rFonts w:hint="eastAsia" w:ascii="Times New Roman" w:hAnsi="Times New Roman"/>
          <w:color w:val="auto"/>
          <w:sz w:val="22"/>
          <w:szCs w:val="22"/>
          <w:highlight w:val="none"/>
        </w:rPr>
        <w:t>经甲方</w:t>
      </w:r>
      <w:r>
        <w:rPr>
          <w:rFonts w:ascii="Times New Roman" w:hAnsi="Times New Roman"/>
          <w:color w:val="auto"/>
          <w:sz w:val="22"/>
          <w:szCs w:val="22"/>
          <w:highlight w:val="none"/>
        </w:rPr>
        <w:t>验收合格后，丙方收到甲方支付指令后方可对外支付70%货款。甲方付款后，丙方应及时开具并向甲方交付正规发票。丙方与乙方的结算，与甲方无涉。合同履行完毕经甲方确认丙方无违约行为后无息退回丙方的履约保证金。</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第八条：其他条款约定</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1.甲方、乙方协助丙方做好有关进口审批及到货前办理好进口免税手续。</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2.乙方负责根据本次采购结果向丙方提供已确认的进口货物的品名、型号规格、配置配件、技术要求、价格、制造厂商或生产国别、售后服务等相关书面资料，以便丙方及时对外签订进口合同。</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3.丙方负责对外签订合同、协助商谈运输方式、到货地点，办理法定商检、对外承付货款、办理进口报关、到货后通知乙方安装调试并送货上门等事宜。</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4.丙方应根据进口合同积极实施对外履约，并及时向甲方和乙方书面通报进口合同的执行情况，特别是货物备妥期、装运期、预计抵达情况，以便甲方及时了解供货进度，乙方及时做好接货准备。</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5.对需办理《机电产品进口许可证》的设备，丙方应协助甲方办理网上申报等有关事宜，并及时领取进口批件。</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6.丙方应协助甲方催缴供应商的履约保证金。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7.进口设备到货后，丙方应向甲方提供一套完整的进口单证。如进口设备发生质量、数量与进口合同不符，应协助甲方和乙方做好商检，并及时启动索赔程序，负责向有关责任人交涉及索赔，责任人赔付后，丙方应立即将款项拨付给甲方。</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8.如由于丙方工作失误，造成进口货物不能及时清关而产生的海关滞报金，超期仓储费等额外费用由丙方自行承担。</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9.丙方应协助甲方完成海关等政府主管部门履行年检、抽检及其他相关工作并提供相关检查资料。</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第九条：违约责任</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1.乙方具有不按合同要求供货、提供的货物未经甲方就本合同委托丙方办理进口审批、单方面不履行合同义务等违约行为的，乙方除退还甲方所付全部款项外，还应支付给甲方合同总货款20%的违约赔偿金。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2.乙方逾期履行合同义务的，自逾期之日起，向甲方偿付合同总价万分之五每日的违约金。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3.甲方逾期支付价款的，自逾期之日起，向乙方偿付逾期价款万分之五每日的违约金。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如验收不能达到质量功能（性能）标准，合同标的物由乙方在验收后一周内运离安装地点，所需费用由乙方承担。如乙方在一个月内不处理（搬走）合同标的物，视为乙方放弃其所有权，甲方有权自行处置（包括作废物处理）。同时，乙方除退还甲方</w:t>
      </w:r>
      <w:r>
        <w:rPr>
          <w:rFonts w:hint="eastAsia" w:ascii="Times New Roman" w:hAnsi="Times New Roman"/>
          <w:color w:val="auto"/>
          <w:spacing w:val="-6"/>
          <w:sz w:val="22"/>
          <w:szCs w:val="22"/>
          <w:highlight w:val="none"/>
        </w:rPr>
        <w:t>已</w:t>
      </w:r>
      <w:r>
        <w:rPr>
          <w:rFonts w:ascii="Times New Roman" w:hAnsi="Times New Roman"/>
          <w:color w:val="auto"/>
          <w:spacing w:val="-6"/>
          <w:sz w:val="22"/>
          <w:szCs w:val="22"/>
          <w:highlight w:val="none"/>
        </w:rPr>
        <w:t>付全部款项外，还应支付给甲方总货款20%的违约赔偿金。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乙方所交的货物品种、型号、规格、技术参数、质量不符合合同规定及磋商文件规定标准的，甲方有权拒收或随时退还该货物，乙方愿意更换货物但逾期交货的，按乙方逾期交货处理。乙方拒绝更换货物的，甲方可单方面解除合同，要求乙方退还</w:t>
      </w:r>
      <w:r>
        <w:rPr>
          <w:rFonts w:hint="eastAsia" w:ascii="Times New Roman" w:hAnsi="Times New Roman"/>
          <w:color w:val="auto"/>
          <w:spacing w:val="-6"/>
          <w:sz w:val="22"/>
          <w:szCs w:val="22"/>
          <w:highlight w:val="none"/>
        </w:rPr>
        <w:t>甲方已付</w:t>
      </w:r>
      <w:r>
        <w:rPr>
          <w:rFonts w:ascii="Times New Roman" w:hAnsi="Times New Roman"/>
          <w:color w:val="auto"/>
          <w:spacing w:val="-6"/>
          <w:sz w:val="22"/>
          <w:szCs w:val="22"/>
          <w:highlight w:val="none"/>
        </w:rPr>
        <w:t>合同价款并</w:t>
      </w:r>
      <w:r>
        <w:rPr>
          <w:rFonts w:hint="eastAsia" w:ascii="Times New Roman" w:hAnsi="Times New Roman"/>
          <w:color w:val="auto"/>
          <w:spacing w:val="-6"/>
          <w:sz w:val="22"/>
          <w:szCs w:val="22"/>
          <w:highlight w:val="none"/>
        </w:rPr>
        <w:t>按合同</w:t>
      </w:r>
      <w:r>
        <w:rPr>
          <w:rFonts w:ascii="Times New Roman" w:hAnsi="Times New Roman"/>
          <w:color w:val="auto"/>
          <w:spacing w:val="-6"/>
          <w:sz w:val="22"/>
          <w:szCs w:val="22"/>
          <w:highlight w:val="none"/>
        </w:rPr>
        <w:t>总价款的20%</w:t>
      </w:r>
      <w:r>
        <w:rPr>
          <w:rFonts w:hint="eastAsia" w:ascii="Times New Roman" w:hAnsi="Times New Roman"/>
          <w:color w:val="auto"/>
          <w:spacing w:val="-6"/>
          <w:sz w:val="22"/>
          <w:szCs w:val="22"/>
          <w:highlight w:val="none"/>
        </w:rPr>
        <w:t>向甲方支付</w:t>
      </w:r>
      <w:r>
        <w:rPr>
          <w:rFonts w:ascii="Times New Roman" w:hAnsi="Times New Roman"/>
          <w:color w:val="auto"/>
          <w:spacing w:val="-6"/>
          <w:sz w:val="22"/>
          <w:szCs w:val="22"/>
          <w:highlight w:val="none"/>
        </w:rPr>
        <w:t>违约金，同时没收乙方的履约保证金。</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第十条：不可抗力事件处理</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1.在合同有效期内，任何一方因不可抗力事件导致不能履行合同，则合同履行期可延长，其延长期与不可抗力影响期相同。</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2.不可抗力事件发生后，应立即通知对方，并寄送有关权威机构出具的证明。</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3.不可抗力事件延续20天以上，双方应通过友好协商，确定是否继续履行合同。</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第十一条：争议解决</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本合同未尽事宜及纠纷由四方协商解决，并签订书面协议。如协商不成，由甲方所在地人民法院诉讼解决。</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第十二条：合同生效</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1.合同经甲、乙、丙和鉴证方(采购代理机构)四方法定代表人或授权代表签字并加盖单位公章，乙方履约保证金提交后生效。</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3.本合同未尽事宜，遵照《中华人民共和国合同法》有关条文执行。</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4.本合同一式捌份，甲方执伍份，乙方、丙方、鉴证方(采购代理机构)各执壹份，具有同等法律效力。</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5.相关磋商文件、响应文件、磋商记录、产品配置清单等与本合同具有同等法律效力。</w:t>
      </w:r>
    </w:p>
    <w:tbl>
      <w:tblPr>
        <w:tblStyle w:val="39"/>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4"/>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844" w:type="dxa"/>
            <w:vAlign w:val="center"/>
          </w:tcPr>
          <w:p>
            <w:pPr>
              <w:ind w:firstLine="0" w:firstLineChars="0"/>
              <w:rPr>
                <w:rFonts w:ascii="Times New Roman" w:hAnsi="Times New Roman"/>
                <w:b/>
                <w:bCs/>
                <w:color w:val="auto"/>
                <w:sz w:val="22"/>
                <w:szCs w:val="22"/>
                <w:highlight w:val="none"/>
              </w:rPr>
            </w:pPr>
            <w:r>
              <w:rPr>
                <w:rFonts w:ascii="Times New Roman" w:hAnsi="Times New Roman"/>
                <w:b/>
                <w:bCs/>
                <w:color w:val="auto"/>
                <w:sz w:val="22"/>
                <w:szCs w:val="22"/>
                <w:highlight w:val="none"/>
              </w:rPr>
              <w:t>甲方（盖章）：浙江中医药大学</w:t>
            </w:r>
          </w:p>
        </w:tc>
        <w:tc>
          <w:tcPr>
            <w:tcW w:w="4856" w:type="dxa"/>
            <w:vAlign w:val="center"/>
          </w:tcPr>
          <w:p>
            <w:pPr>
              <w:ind w:firstLine="0" w:firstLineChars="0"/>
              <w:rPr>
                <w:rFonts w:ascii="Times New Roman" w:hAnsi="Times New Roman"/>
                <w:b/>
                <w:bCs/>
                <w:color w:val="auto"/>
                <w:sz w:val="22"/>
                <w:szCs w:val="22"/>
                <w:highlight w:val="none"/>
              </w:rPr>
            </w:pPr>
            <w:r>
              <w:rPr>
                <w:rFonts w:ascii="Times New Roman" w:hAnsi="Times New Roman"/>
                <w:b/>
                <w:color w:val="auto"/>
                <w:spacing w:val="-6"/>
                <w:sz w:val="22"/>
                <w:szCs w:val="22"/>
                <w:highlight w:val="none"/>
              </w:rPr>
              <w:t>乙方（盖章）:</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甲方法定代表人或受委托人(签字）：</w:t>
            </w:r>
          </w:p>
        </w:tc>
        <w:tc>
          <w:tcPr>
            <w:tcW w:w="4856" w:type="dxa"/>
            <w:vAlign w:val="center"/>
          </w:tcPr>
          <w:p>
            <w:pPr>
              <w:spacing w:line="360" w:lineRule="exact"/>
              <w:ind w:firstLine="0" w:firstLineChars="0"/>
              <w:jc w:val="left"/>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乙方法定代表人或受委托人（签字）：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地址：杭州市滨文路548号</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地址：</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电话：0571-86633113</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电话：</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传真：</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传真：</w:t>
            </w:r>
            <w:r>
              <w:rPr>
                <w:rFonts w:hint="eastAsia" w:ascii="Times New Roman" w:hAnsi="Times New Roman"/>
                <w:color w:val="auto"/>
                <w:spacing w:val="-6"/>
                <w:sz w:val="22"/>
                <w:szCs w:val="22"/>
                <w:highlight w:val="none"/>
              </w:rPr>
              <w:t xml:space="preserve"> </w:t>
            </w:r>
            <w:r>
              <w:rPr>
                <w:rFonts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开户银行：工商银行景江苑支行</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开户银行：</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帐号：12020 23419100001174</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帐号：</w:t>
            </w:r>
            <w:r>
              <w:rPr>
                <w:rFonts w:hint="eastAsia" w:ascii="Times New Roman" w:hAnsi="Times New Roman"/>
                <w:color w:val="auto"/>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签字日期：</w:t>
            </w:r>
            <w:r>
              <w:rPr>
                <w:rFonts w:hint="eastAsia" w:ascii="Times New Roman" w:hAnsi="Times New Roman"/>
                <w:color w:val="auto"/>
                <w:sz w:val="22"/>
                <w:szCs w:val="22"/>
                <w:highlight w:val="none"/>
              </w:rPr>
              <w:t xml:space="preserve">            2019</w:t>
            </w:r>
            <w:r>
              <w:rPr>
                <w:rFonts w:ascii="Times New Roman" w:hAnsi="Times New Roman"/>
                <w:color w:val="auto"/>
                <w:sz w:val="22"/>
                <w:szCs w:val="22"/>
                <w:highlight w:val="none"/>
              </w:rPr>
              <w:t>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签字日期：</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2019年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b/>
                <w:bCs/>
                <w:color w:val="auto"/>
                <w:sz w:val="22"/>
                <w:szCs w:val="22"/>
                <w:highlight w:val="none"/>
              </w:rPr>
            </w:pPr>
            <w:r>
              <w:rPr>
                <w:rFonts w:ascii="Times New Roman" w:hAnsi="Times New Roman"/>
                <w:b/>
                <w:bCs/>
                <w:color w:val="auto"/>
                <w:sz w:val="22"/>
                <w:szCs w:val="22"/>
                <w:highlight w:val="none"/>
              </w:rPr>
              <w:t>丙方(盖章)：浙江省科学器材进出口有限责任公司</w:t>
            </w:r>
          </w:p>
        </w:tc>
        <w:tc>
          <w:tcPr>
            <w:tcW w:w="4856" w:type="dxa"/>
            <w:vAlign w:val="center"/>
          </w:tcPr>
          <w:p>
            <w:pPr>
              <w:ind w:firstLine="0" w:firstLineChars="0"/>
              <w:rPr>
                <w:rFonts w:ascii="Times New Roman" w:hAnsi="Times New Roman"/>
                <w:b/>
                <w:bCs/>
                <w:color w:val="auto"/>
                <w:sz w:val="22"/>
                <w:szCs w:val="22"/>
                <w:highlight w:val="none"/>
              </w:rPr>
            </w:pPr>
            <w:r>
              <w:rPr>
                <w:rFonts w:ascii="Times New Roman" w:hAnsi="Times New Roman"/>
                <w:b/>
                <w:bCs/>
                <w:color w:val="auto"/>
                <w:sz w:val="22"/>
                <w:szCs w:val="22"/>
                <w:highlight w:val="none"/>
              </w:rPr>
              <w:t>鉴证方（采购代理机构）（盖章）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法定代表人或受委托人：（签字）</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地址：天目山路97号</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地址：</w:t>
            </w:r>
            <w:r>
              <w:rPr>
                <w:rFonts w:hint="eastAsia" w:ascii="Times New Roman" w:hAnsi="Times New Roman"/>
                <w:color w:val="auto"/>
                <w:sz w:val="22"/>
                <w:szCs w:val="22"/>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邮编：310000</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邮编：310007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电话：0571-87967088</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电话：0571-8</w:t>
            </w:r>
            <w:r>
              <w:rPr>
                <w:rFonts w:hint="eastAsia" w:ascii="Times New Roman" w:hAnsi="Times New Roman"/>
                <w:color w:val="auto"/>
                <w:sz w:val="22"/>
                <w:szCs w:val="22"/>
                <w:highlight w:val="none"/>
              </w:rPr>
              <w:t>6098397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传真：0571-87967115</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开户银行：工行保俶支行</w:t>
            </w:r>
          </w:p>
        </w:tc>
        <w:tc>
          <w:tcPr>
            <w:tcW w:w="4856" w:type="dxa"/>
            <w:vAlign w:val="center"/>
          </w:tcPr>
          <w:p>
            <w:pPr>
              <w:ind w:firstLine="0" w:firstLineChars="0"/>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帐号：1202022709006500176</w:t>
            </w:r>
          </w:p>
        </w:tc>
        <w:tc>
          <w:tcPr>
            <w:tcW w:w="4856" w:type="dxa"/>
            <w:vAlign w:val="center"/>
          </w:tcPr>
          <w:p>
            <w:pPr>
              <w:ind w:firstLine="0" w:firstLineChars="0"/>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签约时间：</w:t>
            </w:r>
            <w:r>
              <w:rPr>
                <w:rFonts w:hint="eastAsia" w:ascii="Times New Roman" w:hAnsi="Times New Roman"/>
                <w:color w:val="auto"/>
                <w:sz w:val="22"/>
                <w:szCs w:val="22"/>
                <w:highlight w:val="none"/>
              </w:rPr>
              <w:t xml:space="preserve">               2019</w:t>
            </w:r>
            <w:r>
              <w:rPr>
                <w:rFonts w:ascii="Times New Roman" w:hAnsi="Times New Roman"/>
                <w:color w:val="auto"/>
                <w:sz w:val="22"/>
                <w:szCs w:val="22"/>
                <w:highlight w:val="none"/>
              </w:rPr>
              <w:t>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鉴证时间：</w:t>
            </w:r>
            <w:r>
              <w:rPr>
                <w:rFonts w:hint="eastAsia" w:ascii="Times New Roman" w:hAnsi="Times New Roman"/>
                <w:color w:val="auto"/>
                <w:sz w:val="22"/>
                <w:szCs w:val="22"/>
                <w:highlight w:val="none"/>
              </w:rPr>
              <w:t xml:space="preserve">             2019</w:t>
            </w:r>
            <w:r>
              <w:rPr>
                <w:rFonts w:ascii="Times New Roman" w:hAnsi="Times New Roman"/>
                <w:color w:val="auto"/>
                <w:sz w:val="22"/>
                <w:szCs w:val="22"/>
                <w:highlight w:val="none"/>
              </w:rPr>
              <w:t>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r>
    </w:tbl>
    <w:p>
      <w:pPr>
        <w:spacing w:line="288" w:lineRule="auto"/>
        <w:ind w:firstLine="560"/>
        <w:rPr>
          <w:rFonts w:ascii="Times New Roman" w:hAnsi="Times New Roman"/>
          <w:color w:val="auto"/>
          <w:sz w:val="28"/>
          <w:szCs w:val="32"/>
          <w:highlight w:val="none"/>
        </w:rPr>
      </w:pPr>
    </w:p>
    <w:p>
      <w:pPr>
        <w:spacing w:line="288" w:lineRule="auto"/>
        <w:ind w:firstLine="560"/>
        <w:rPr>
          <w:rFonts w:ascii="Times New Roman" w:hAnsi="Times New Roman"/>
          <w:color w:val="auto"/>
          <w:sz w:val="28"/>
          <w:szCs w:val="32"/>
          <w:highlight w:val="none"/>
        </w:rPr>
      </w:pPr>
    </w:p>
    <w:p>
      <w:pPr>
        <w:spacing w:line="288" w:lineRule="auto"/>
        <w:ind w:firstLine="560"/>
        <w:rPr>
          <w:rFonts w:ascii="Times New Roman" w:hAnsi="Times New Roman"/>
          <w:color w:val="auto"/>
          <w:sz w:val="28"/>
          <w:szCs w:val="32"/>
          <w:highlight w:val="none"/>
        </w:rPr>
      </w:pPr>
      <w:r>
        <w:rPr>
          <w:rFonts w:ascii="Times New Roman" w:hAnsi="Times New Roman"/>
          <w:color w:val="auto"/>
          <w:sz w:val="28"/>
          <w:szCs w:val="32"/>
          <w:highlight w:val="none"/>
        </w:rPr>
        <w:t>附件：</w:t>
      </w:r>
    </w:p>
    <w:p>
      <w:pPr>
        <w:numPr>
          <w:ilvl w:val="0"/>
          <w:numId w:val="26"/>
        </w:numPr>
        <w:spacing w:line="288" w:lineRule="auto"/>
        <w:ind w:firstLine="442"/>
        <w:rPr>
          <w:rFonts w:ascii="Times New Roman" w:hAnsi="Times New Roman"/>
          <w:b/>
          <w:color w:val="auto"/>
          <w:sz w:val="22"/>
          <w:szCs w:val="22"/>
          <w:highlight w:val="none"/>
        </w:rPr>
      </w:pPr>
      <w:bookmarkStart w:id="103" w:name="_Toc27825"/>
      <w:r>
        <w:rPr>
          <w:rFonts w:ascii="Times New Roman" w:hAnsi="Times New Roman"/>
          <w:b/>
          <w:color w:val="auto"/>
          <w:sz w:val="22"/>
          <w:szCs w:val="22"/>
          <w:highlight w:val="none"/>
        </w:rPr>
        <w:t>配置清单</w:t>
      </w:r>
      <w:bookmarkEnd w:id="103"/>
    </w:p>
    <w:p>
      <w:pPr>
        <w:pStyle w:val="2"/>
        <w:rPr>
          <w:color w:val="auto"/>
          <w:highlight w:val="none"/>
        </w:rPr>
      </w:pPr>
    </w:p>
    <w:p>
      <w:pPr>
        <w:spacing w:line="288" w:lineRule="auto"/>
        <w:ind w:firstLine="442"/>
        <w:rPr>
          <w:rFonts w:ascii="Times New Roman" w:hAnsi="Times New Roman"/>
          <w:b/>
          <w:color w:val="auto"/>
          <w:sz w:val="22"/>
          <w:szCs w:val="22"/>
          <w:highlight w:val="none"/>
        </w:rPr>
      </w:pPr>
      <w:bookmarkStart w:id="104" w:name="_Toc16974"/>
      <w:r>
        <w:rPr>
          <w:rFonts w:ascii="Times New Roman" w:hAnsi="Times New Roman"/>
          <w:b/>
          <w:color w:val="auto"/>
          <w:sz w:val="22"/>
          <w:szCs w:val="22"/>
          <w:highlight w:val="none"/>
        </w:rPr>
        <w:t>二、服务承诺</w:t>
      </w:r>
      <w:bookmarkEnd w:id="104"/>
    </w:p>
    <w:p>
      <w:pPr>
        <w:ind w:firstLine="538"/>
        <w:rPr>
          <w:rFonts w:ascii="Times New Roman" w:hAnsi="Times New Roman"/>
          <w:b/>
          <w:bCs/>
          <w:color w:val="auto"/>
          <w:spacing w:val="-6"/>
          <w:sz w:val="28"/>
          <w:szCs w:val="28"/>
          <w:highlight w:val="none"/>
        </w:rPr>
      </w:pPr>
      <w:r>
        <w:rPr>
          <w:rFonts w:hint="eastAsia" w:ascii="Times New Roman" w:hAnsi="Times New Roman"/>
          <w:b/>
          <w:bCs/>
          <w:color w:val="auto"/>
          <w:spacing w:val="-6"/>
          <w:sz w:val="28"/>
          <w:szCs w:val="28"/>
          <w:highlight w:val="none"/>
        </w:rPr>
        <w:br w:type="page"/>
      </w:r>
    </w:p>
    <w:p>
      <w:pPr>
        <w:spacing w:line="288" w:lineRule="auto"/>
        <w:ind w:firstLine="618"/>
        <w:jc w:val="center"/>
        <w:rPr>
          <w:b/>
          <w:bCs/>
          <w:color w:val="auto"/>
          <w:spacing w:val="-6"/>
          <w:sz w:val="32"/>
          <w:szCs w:val="32"/>
          <w:highlight w:val="none"/>
        </w:rPr>
      </w:pPr>
      <w:r>
        <w:rPr>
          <w:b/>
          <w:bCs/>
          <w:color w:val="auto"/>
          <w:spacing w:val="-6"/>
          <w:sz w:val="32"/>
          <w:szCs w:val="32"/>
          <w:highlight w:val="none"/>
        </w:rPr>
        <w:t>货物采购合同</w:t>
      </w:r>
    </w:p>
    <w:p>
      <w:pPr>
        <w:spacing w:line="288" w:lineRule="auto"/>
        <w:ind w:left="5841" w:hanging="5841" w:hangingChars="2950"/>
        <w:rPr>
          <w:color w:val="auto"/>
          <w:spacing w:val="-6"/>
          <w:sz w:val="21"/>
          <w:szCs w:val="21"/>
          <w:highlight w:val="none"/>
        </w:rPr>
      </w:pPr>
    </w:p>
    <w:p>
      <w:pPr>
        <w:spacing w:line="288" w:lineRule="auto"/>
        <w:ind w:firstLine="396"/>
        <w:rPr>
          <w:color w:val="auto"/>
          <w:spacing w:val="-6"/>
          <w:sz w:val="21"/>
          <w:szCs w:val="21"/>
          <w:highlight w:val="none"/>
        </w:rPr>
      </w:pPr>
      <w:r>
        <w:rPr>
          <w:rFonts w:hint="eastAsia"/>
          <w:color w:val="auto"/>
          <w:spacing w:val="-6"/>
          <w:sz w:val="21"/>
          <w:szCs w:val="21"/>
          <w:highlight w:val="none"/>
        </w:rPr>
        <w:t>确认书号：[2019]48761号、[2019]49787号                   标段：</w:t>
      </w:r>
    </w:p>
    <w:p>
      <w:pPr>
        <w:spacing w:line="288" w:lineRule="auto"/>
        <w:ind w:firstLine="396"/>
        <w:rPr>
          <w:rFonts w:hint="eastAsia" w:eastAsia="宋体"/>
          <w:color w:val="auto"/>
          <w:spacing w:val="-6"/>
          <w:sz w:val="21"/>
          <w:szCs w:val="21"/>
          <w:highlight w:val="none"/>
          <w:lang w:eastAsia="zh-CN"/>
        </w:rPr>
      </w:pPr>
      <w:r>
        <w:rPr>
          <w:rFonts w:hint="eastAsia"/>
          <w:color w:val="auto"/>
          <w:spacing w:val="-6"/>
          <w:sz w:val="21"/>
          <w:szCs w:val="21"/>
          <w:highlight w:val="none"/>
        </w:rPr>
        <w:t>招标编号：</w:t>
      </w:r>
      <w:r>
        <w:rPr>
          <w:rFonts w:hint="eastAsia"/>
          <w:color w:val="auto"/>
          <w:spacing w:val="-6"/>
          <w:sz w:val="21"/>
          <w:szCs w:val="21"/>
          <w:highlight w:val="none"/>
          <w:lang w:eastAsia="zh-CN"/>
        </w:rPr>
        <w:t>ZJWSBJ-ZYY-201934G-4</w:t>
      </w:r>
    </w:p>
    <w:p>
      <w:pPr>
        <w:spacing w:line="288" w:lineRule="auto"/>
        <w:ind w:firstLine="396"/>
        <w:rPr>
          <w:color w:val="auto"/>
          <w:spacing w:val="-6"/>
          <w:sz w:val="21"/>
          <w:szCs w:val="21"/>
          <w:highlight w:val="none"/>
        </w:rPr>
      </w:pPr>
      <w:r>
        <w:rPr>
          <w:color w:val="auto"/>
          <w:spacing w:val="-6"/>
          <w:sz w:val="21"/>
          <w:szCs w:val="21"/>
          <w:highlight w:val="none"/>
        </w:rPr>
        <w:t>甲方（采购人）：</w:t>
      </w:r>
      <w:r>
        <w:rPr>
          <w:color w:val="auto"/>
          <w:spacing w:val="-6"/>
          <w:sz w:val="21"/>
          <w:szCs w:val="21"/>
          <w:highlight w:val="none"/>
          <w:u w:val="single"/>
        </w:rPr>
        <w:t>浙江中医药大学</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105"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u w:val="single"/>
        </w:rPr>
        <w:t xml:space="preserve">             </w:t>
      </w:r>
      <w:r>
        <w:rPr>
          <w:rFonts w:hint="eastAsia"/>
          <w:color w:val="auto"/>
          <w:sz w:val="21"/>
          <w:szCs w:val="21"/>
          <w:highlight w:val="none"/>
        </w:rPr>
        <w:t>采购项目</w:t>
      </w:r>
      <w:r>
        <w:rPr>
          <w:color w:val="auto"/>
          <w:sz w:val="21"/>
          <w:szCs w:val="21"/>
          <w:highlight w:val="none"/>
        </w:rPr>
        <w:t>通过</w:t>
      </w:r>
      <w:r>
        <w:rPr>
          <w:color w:val="auto"/>
          <w:sz w:val="21"/>
          <w:szCs w:val="21"/>
          <w:highlight w:val="none"/>
          <w:u w:val="single"/>
        </w:rPr>
        <w:t xml:space="preserve"> </w:t>
      </w:r>
      <w:r>
        <w:rPr>
          <w:rFonts w:hint="eastAsia"/>
          <w:color w:val="auto"/>
          <w:sz w:val="21"/>
          <w:szCs w:val="21"/>
          <w:highlight w:val="none"/>
          <w:u w:val="single"/>
        </w:rPr>
        <w:t xml:space="preserve"> 公开招标   </w:t>
      </w:r>
      <w:r>
        <w:rPr>
          <w:color w:val="auto"/>
          <w:sz w:val="21"/>
          <w:szCs w:val="21"/>
          <w:highlight w:val="none"/>
        </w:rPr>
        <w:t>方式采购</w:t>
      </w:r>
      <w:bookmarkEnd w:id="105"/>
      <w:r>
        <w:rPr>
          <w:color w:val="auto"/>
          <w:sz w:val="21"/>
          <w:szCs w:val="21"/>
          <w:highlight w:val="none"/>
        </w:rPr>
        <w:t>，确定</w:t>
      </w:r>
      <w:r>
        <w:rPr>
          <w:rFonts w:hint="eastAsia"/>
          <w:color w:val="auto"/>
          <w:spacing w:val="-6"/>
          <w:sz w:val="21"/>
          <w:szCs w:val="21"/>
          <w:highlight w:val="none"/>
          <w:u w:val="single"/>
        </w:rPr>
        <w:t xml:space="preserve">           </w:t>
      </w:r>
      <w:r>
        <w:rPr>
          <w:color w:val="auto"/>
          <w:sz w:val="21"/>
          <w:szCs w:val="21"/>
          <w:highlight w:val="none"/>
        </w:rPr>
        <w:t>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第一条：采购商品清单及合同价格</w:t>
      </w:r>
      <w:r>
        <w:rPr>
          <w:rFonts w:ascii="Times New Roman" w:hAnsi="Times New Roman"/>
          <w:b/>
          <w:color w:val="auto"/>
          <w:szCs w:val="21"/>
          <w:highlight w:val="none"/>
        </w:rPr>
        <w:t xml:space="preserve">     </w:t>
      </w:r>
      <w:r>
        <w:rPr>
          <w:rFonts w:ascii="Times New Roman" w:hAnsi="Times New Roman"/>
          <w:color w:val="auto"/>
          <w:szCs w:val="21"/>
          <w:highlight w:val="none"/>
        </w:rPr>
        <w:t xml:space="preserve">                               </w:t>
      </w:r>
      <w:r>
        <w:rPr>
          <w:rFonts w:hAnsi="宋体"/>
          <w:color w:val="auto"/>
          <w:szCs w:val="21"/>
          <w:highlight w:val="none"/>
        </w:rPr>
        <w:t>单位：元</w:t>
      </w:r>
    </w:p>
    <w:tbl>
      <w:tblPr>
        <w:tblStyle w:val="39"/>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vAlign w:val="center"/>
          </w:tcPr>
          <w:p>
            <w:pPr>
              <w:spacing w:line="288" w:lineRule="auto"/>
              <w:ind w:firstLine="0" w:firstLineChars="0"/>
              <w:jc w:val="center"/>
              <w:rPr>
                <w:color w:val="auto"/>
                <w:sz w:val="21"/>
                <w:szCs w:val="21"/>
                <w:highlight w:val="none"/>
              </w:rPr>
            </w:pPr>
            <w:r>
              <w:rPr>
                <w:color w:val="auto"/>
                <w:sz w:val="21"/>
                <w:szCs w:val="21"/>
                <w:highlight w:val="none"/>
              </w:rPr>
              <w:t>产品名称</w:t>
            </w:r>
          </w:p>
        </w:tc>
        <w:tc>
          <w:tcPr>
            <w:tcW w:w="1276" w:type="dxa"/>
            <w:vAlign w:val="center"/>
          </w:tcPr>
          <w:p>
            <w:pPr>
              <w:spacing w:line="288" w:lineRule="auto"/>
              <w:ind w:firstLine="0" w:firstLineChars="0"/>
              <w:jc w:val="center"/>
              <w:rPr>
                <w:color w:val="auto"/>
                <w:sz w:val="21"/>
                <w:szCs w:val="21"/>
                <w:highlight w:val="none"/>
              </w:rPr>
            </w:pPr>
            <w:r>
              <w:rPr>
                <w:color w:val="auto"/>
                <w:sz w:val="21"/>
                <w:szCs w:val="21"/>
                <w:highlight w:val="none"/>
              </w:rPr>
              <w:t>厂家</w:t>
            </w:r>
            <w:r>
              <w:rPr>
                <w:rFonts w:hint="eastAsia"/>
                <w:color w:val="auto"/>
                <w:sz w:val="21"/>
                <w:szCs w:val="21"/>
                <w:highlight w:val="none"/>
              </w:rPr>
              <w:t>（全称）</w:t>
            </w:r>
          </w:p>
        </w:tc>
        <w:tc>
          <w:tcPr>
            <w:tcW w:w="850" w:type="dxa"/>
            <w:vAlign w:val="center"/>
          </w:tcPr>
          <w:p>
            <w:pPr>
              <w:spacing w:line="288" w:lineRule="auto"/>
              <w:ind w:firstLine="0" w:firstLineChars="0"/>
              <w:jc w:val="center"/>
              <w:rPr>
                <w:color w:val="auto"/>
                <w:sz w:val="21"/>
                <w:szCs w:val="21"/>
                <w:highlight w:val="none"/>
              </w:rPr>
            </w:pPr>
            <w:r>
              <w:rPr>
                <w:color w:val="auto"/>
                <w:sz w:val="21"/>
                <w:szCs w:val="21"/>
                <w:highlight w:val="none"/>
              </w:rPr>
              <w:t>品牌</w:t>
            </w:r>
          </w:p>
        </w:tc>
        <w:tc>
          <w:tcPr>
            <w:tcW w:w="1843" w:type="dxa"/>
            <w:vAlign w:val="center"/>
          </w:tcPr>
          <w:p>
            <w:pPr>
              <w:spacing w:line="288" w:lineRule="auto"/>
              <w:ind w:firstLine="0" w:firstLineChars="0"/>
              <w:jc w:val="center"/>
              <w:rPr>
                <w:color w:val="auto"/>
                <w:sz w:val="21"/>
                <w:szCs w:val="21"/>
                <w:highlight w:val="none"/>
              </w:rPr>
            </w:pPr>
            <w:r>
              <w:rPr>
                <w:color w:val="auto"/>
                <w:sz w:val="21"/>
                <w:szCs w:val="21"/>
                <w:highlight w:val="none"/>
              </w:rPr>
              <w:t>规格型号</w:t>
            </w:r>
            <w:r>
              <w:rPr>
                <w:rFonts w:hint="eastAsia"/>
                <w:color w:val="auto"/>
                <w:sz w:val="21"/>
                <w:szCs w:val="21"/>
                <w:highlight w:val="none"/>
              </w:rPr>
              <w:t>、</w:t>
            </w:r>
            <w:r>
              <w:rPr>
                <w:color w:val="auto"/>
                <w:sz w:val="21"/>
                <w:szCs w:val="21"/>
                <w:highlight w:val="none"/>
              </w:rPr>
              <w:t>材质</w:t>
            </w:r>
          </w:p>
        </w:tc>
        <w:tc>
          <w:tcPr>
            <w:tcW w:w="992" w:type="dxa"/>
            <w:vAlign w:val="center"/>
          </w:tcPr>
          <w:p>
            <w:pPr>
              <w:spacing w:line="288" w:lineRule="auto"/>
              <w:ind w:firstLine="0" w:firstLineChars="0"/>
              <w:jc w:val="center"/>
              <w:rPr>
                <w:color w:val="auto"/>
                <w:sz w:val="21"/>
                <w:szCs w:val="21"/>
                <w:highlight w:val="none"/>
              </w:rPr>
            </w:pPr>
            <w:r>
              <w:rPr>
                <w:color w:val="auto"/>
                <w:sz w:val="21"/>
                <w:szCs w:val="21"/>
                <w:highlight w:val="none"/>
              </w:rPr>
              <w:t>数量</w:t>
            </w:r>
          </w:p>
        </w:tc>
        <w:tc>
          <w:tcPr>
            <w:tcW w:w="1160" w:type="dxa"/>
            <w:vAlign w:val="center"/>
          </w:tcPr>
          <w:p>
            <w:pPr>
              <w:spacing w:line="288" w:lineRule="auto"/>
              <w:ind w:firstLine="0" w:firstLineChars="0"/>
              <w:jc w:val="center"/>
              <w:rPr>
                <w:color w:val="auto"/>
                <w:sz w:val="21"/>
                <w:szCs w:val="21"/>
                <w:highlight w:val="none"/>
              </w:rPr>
            </w:pPr>
            <w:r>
              <w:rPr>
                <w:color w:val="auto"/>
                <w:sz w:val="21"/>
                <w:szCs w:val="21"/>
                <w:highlight w:val="none"/>
              </w:rPr>
              <w:t>含税单价</w:t>
            </w:r>
          </w:p>
        </w:tc>
        <w:tc>
          <w:tcPr>
            <w:tcW w:w="1327" w:type="dxa"/>
            <w:vAlign w:val="center"/>
          </w:tcPr>
          <w:p>
            <w:pPr>
              <w:spacing w:line="288" w:lineRule="auto"/>
              <w:ind w:firstLine="0" w:firstLineChars="0"/>
              <w:jc w:val="center"/>
              <w:rPr>
                <w:color w:val="auto"/>
                <w:sz w:val="21"/>
                <w:szCs w:val="21"/>
                <w:highlight w:val="none"/>
              </w:rPr>
            </w:pPr>
            <w:r>
              <w:rPr>
                <w:rFonts w:hint="eastAsia"/>
                <w:color w:val="auto"/>
                <w:sz w:val="21"/>
                <w:szCs w:val="21"/>
                <w:highlight w:val="none"/>
              </w:rPr>
              <w:t>含税</w:t>
            </w:r>
            <w:r>
              <w:rPr>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vAlign w:val="center"/>
          </w:tcPr>
          <w:p>
            <w:pPr>
              <w:adjustRightInd w:val="0"/>
              <w:snapToGrid w:val="0"/>
              <w:ind w:firstLine="0" w:firstLineChars="0"/>
              <w:jc w:val="left"/>
              <w:rPr>
                <w:color w:val="auto"/>
                <w:spacing w:val="20"/>
                <w:sz w:val="21"/>
                <w:szCs w:val="21"/>
                <w:highlight w:val="none"/>
              </w:rPr>
            </w:pPr>
          </w:p>
        </w:tc>
        <w:tc>
          <w:tcPr>
            <w:tcW w:w="1276" w:type="dxa"/>
            <w:vAlign w:val="center"/>
          </w:tcPr>
          <w:p>
            <w:pPr>
              <w:widowControl/>
              <w:ind w:firstLine="0" w:firstLineChars="0"/>
              <w:jc w:val="center"/>
              <w:rPr>
                <w:color w:val="auto"/>
                <w:kern w:val="0"/>
                <w:sz w:val="21"/>
                <w:szCs w:val="21"/>
                <w:highlight w:val="none"/>
              </w:rPr>
            </w:pPr>
          </w:p>
        </w:tc>
        <w:tc>
          <w:tcPr>
            <w:tcW w:w="850" w:type="dxa"/>
            <w:vAlign w:val="center"/>
          </w:tcPr>
          <w:p>
            <w:pPr>
              <w:widowControl/>
              <w:ind w:firstLine="0" w:firstLineChars="0"/>
              <w:jc w:val="center"/>
              <w:rPr>
                <w:color w:val="auto"/>
                <w:kern w:val="0"/>
                <w:sz w:val="21"/>
                <w:szCs w:val="21"/>
                <w:highlight w:val="none"/>
              </w:rPr>
            </w:pPr>
          </w:p>
        </w:tc>
        <w:tc>
          <w:tcPr>
            <w:tcW w:w="1843" w:type="dxa"/>
            <w:vAlign w:val="center"/>
          </w:tcPr>
          <w:p>
            <w:pPr>
              <w:widowControl/>
              <w:ind w:left="-118" w:leftChars="-49" w:firstLine="0" w:firstLineChars="0"/>
              <w:jc w:val="center"/>
              <w:rPr>
                <w:color w:val="auto"/>
                <w:kern w:val="0"/>
                <w:sz w:val="21"/>
                <w:szCs w:val="21"/>
                <w:highlight w:val="none"/>
              </w:rPr>
            </w:pPr>
          </w:p>
        </w:tc>
        <w:tc>
          <w:tcPr>
            <w:tcW w:w="992" w:type="dxa"/>
            <w:vAlign w:val="center"/>
          </w:tcPr>
          <w:p>
            <w:pPr>
              <w:adjustRightInd w:val="0"/>
              <w:snapToGrid w:val="0"/>
              <w:ind w:firstLine="0" w:firstLineChars="0"/>
              <w:jc w:val="center"/>
              <w:rPr>
                <w:color w:val="auto"/>
                <w:spacing w:val="20"/>
                <w:sz w:val="21"/>
                <w:szCs w:val="21"/>
                <w:highlight w:val="none"/>
              </w:rPr>
            </w:pPr>
          </w:p>
        </w:tc>
        <w:tc>
          <w:tcPr>
            <w:tcW w:w="1160" w:type="dxa"/>
            <w:vAlign w:val="center"/>
          </w:tcPr>
          <w:p>
            <w:pPr>
              <w:widowControl/>
              <w:ind w:firstLine="0" w:firstLineChars="0"/>
              <w:rPr>
                <w:color w:val="auto"/>
                <w:kern w:val="0"/>
                <w:sz w:val="21"/>
                <w:szCs w:val="21"/>
                <w:highlight w:val="none"/>
              </w:rPr>
            </w:pPr>
          </w:p>
        </w:tc>
        <w:tc>
          <w:tcPr>
            <w:tcW w:w="1327" w:type="dxa"/>
            <w:vAlign w:val="center"/>
          </w:tcPr>
          <w:p>
            <w:pPr>
              <w:widowControl/>
              <w:ind w:firstLine="0" w:firstLineChars="0"/>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vAlign w:val="center"/>
          </w:tcPr>
          <w:p>
            <w:pPr>
              <w:spacing w:line="288" w:lineRule="auto"/>
              <w:ind w:firstLine="0" w:firstLineChars="0"/>
              <w:rPr>
                <w:color w:val="auto"/>
                <w:sz w:val="21"/>
                <w:szCs w:val="21"/>
                <w:highlight w:val="none"/>
              </w:rPr>
            </w:pPr>
            <w:r>
              <w:rPr>
                <w:color w:val="auto"/>
                <w:sz w:val="21"/>
                <w:szCs w:val="21"/>
                <w:highlight w:val="none"/>
              </w:rPr>
              <w:t>合计：</w:t>
            </w:r>
          </w:p>
        </w:tc>
        <w:tc>
          <w:tcPr>
            <w:tcW w:w="1327" w:type="dxa"/>
            <w:vAlign w:val="center"/>
          </w:tcPr>
          <w:p>
            <w:pPr>
              <w:spacing w:line="288" w:lineRule="auto"/>
              <w:ind w:firstLine="0" w:firstLineChars="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vAlign w:val="center"/>
          </w:tcPr>
          <w:p>
            <w:pPr>
              <w:spacing w:line="288" w:lineRule="auto"/>
              <w:ind w:firstLine="0" w:firstLineChars="0"/>
              <w:rPr>
                <w:color w:val="auto"/>
                <w:sz w:val="21"/>
                <w:szCs w:val="21"/>
                <w:highlight w:val="none"/>
              </w:rPr>
            </w:pPr>
            <w:r>
              <w:rPr>
                <w:color w:val="auto"/>
                <w:sz w:val="21"/>
                <w:szCs w:val="21"/>
                <w:highlight w:val="none"/>
              </w:rPr>
              <w:t xml:space="preserve">合同总价（人民币大写）： </w:t>
            </w:r>
          </w:p>
        </w:tc>
      </w:tr>
    </w:tbl>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注：以上合同总价包括完成所有产品供货及履行所有规定服务所产生的全部税费，型号规格材质在清单中未标明的，以投标文件、招标文件标注的为准。</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r>
        <w:rPr>
          <w:rFonts w:hAnsi="宋体"/>
          <w:color w:val="auto"/>
          <w:szCs w:val="21"/>
          <w:highlight w:val="none"/>
        </w:rPr>
        <w:t>乙方保证所供货物是</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rPr>
        <w:t xml:space="preserve">  </w:t>
      </w:r>
      <w:r>
        <w:rPr>
          <w:rFonts w:hAnsi="宋体"/>
          <w:color w:val="auto"/>
          <w:szCs w:val="21"/>
          <w:highlight w:val="none"/>
        </w:rPr>
        <w:t>年</w:t>
      </w:r>
      <w:r>
        <w:rPr>
          <w:rFonts w:hint="eastAsia" w:ascii="Times New Roman" w:hAnsi="Times New Roman"/>
          <w:color w:val="auto"/>
          <w:szCs w:val="21"/>
          <w:highlight w:val="none"/>
          <w:u w:val="single"/>
        </w:rPr>
        <w:t xml:space="preserve">   </w:t>
      </w:r>
      <w:r>
        <w:rPr>
          <w:rFonts w:hAnsi="宋体"/>
          <w:color w:val="auto"/>
          <w:szCs w:val="21"/>
          <w:highlight w:val="none"/>
        </w:rPr>
        <w:t>月份后生产的符合本合同约定和国家技术标准的原厂全新合格产品；否则，甲方有权拒收或有权随时退货并要求乙方退还全款和支付总价款</w:t>
      </w:r>
      <w:r>
        <w:rPr>
          <w:rFonts w:ascii="Times New Roman" w:hAnsi="Times New Roman"/>
          <w:color w:val="auto"/>
          <w:szCs w:val="21"/>
          <w:highlight w:val="none"/>
        </w:rPr>
        <w:t>20%</w:t>
      </w:r>
      <w:r>
        <w:rPr>
          <w:rFonts w:hAnsi="宋体"/>
          <w:color w:val="auto"/>
          <w:szCs w:val="21"/>
          <w:highlight w:val="none"/>
        </w:rPr>
        <w:t>的违约金，由此产生的一切责任和后果由乙方承担。</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乙方应根据运输距离及货物防潮、防锈、防震、防水、防破损等要求对货物实行包装，确保货物安全、完好送达甲方。</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left="34" w:firstLine="420" w:firstLineChars="200"/>
        <w:rPr>
          <w:rFonts w:ascii="Times New Roman" w:hAnsi="Times New Roman"/>
          <w:color w:val="auto"/>
          <w:szCs w:val="21"/>
          <w:highlight w:val="none"/>
        </w:rPr>
      </w:pPr>
      <w:r>
        <w:rPr>
          <w:rFonts w:hAnsi="宋体"/>
          <w:color w:val="auto"/>
          <w:szCs w:val="21"/>
          <w:highlight w:val="none"/>
        </w:rPr>
        <w:t>乙方应在</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rPr>
        <w:t xml:space="preserve">  </w:t>
      </w:r>
      <w:r>
        <w:rPr>
          <w:rFonts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rPr>
        <w:t>月</w:t>
      </w:r>
      <w:r>
        <w:rPr>
          <w:rFonts w:hint="eastAsia" w:ascii="Times New Roman" w:hAnsi="Times New Roman"/>
          <w:color w:val="auto"/>
          <w:szCs w:val="21"/>
          <w:highlight w:val="none"/>
          <w:u w:val="single"/>
        </w:rPr>
        <w:t xml:space="preserve">    </w:t>
      </w:r>
      <w:r>
        <w:rPr>
          <w:rFonts w:hAnsi="宋体"/>
          <w:color w:val="auto"/>
          <w:szCs w:val="21"/>
          <w:highlight w:val="none"/>
        </w:rPr>
        <w:t>日前，将货物运送至甲方</w:t>
      </w:r>
      <w:r>
        <w:rPr>
          <w:rFonts w:hint="eastAsia" w:hAnsi="宋体"/>
          <w:color w:val="auto"/>
          <w:szCs w:val="21"/>
          <w:highlight w:val="none"/>
          <w:u w:val="single"/>
        </w:rPr>
        <w:t xml:space="preserve">     </w:t>
      </w:r>
      <w:r>
        <w:rPr>
          <w:rFonts w:hint="eastAsia" w:hAnsi="宋体"/>
          <w:color w:val="auto"/>
          <w:szCs w:val="21"/>
          <w:highlight w:val="none"/>
        </w:rPr>
        <w:t>校区</w:t>
      </w:r>
      <w:r>
        <w:rPr>
          <w:rFonts w:hAnsi="宋体"/>
          <w:color w:val="auto"/>
          <w:szCs w:val="21"/>
          <w:highlight w:val="none"/>
        </w:rPr>
        <w:t>所在地，并完成安装调试摆放</w:t>
      </w:r>
      <w:r>
        <w:rPr>
          <w:rFonts w:hint="eastAsia" w:hAnsi="宋体"/>
          <w:color w:val="auto"/>
          <w:szCs w:val="21"/>
          <w:highlight w:val="none"/>
        </w:rPr>
        <w:t>，经甲方验收合格</w:t>
      </w:r>
      <w:r>
        <w:rPr>
          <w:rFonts w:hAnsi="宋体"/>
          <w:color w:val="auto"/>
          <w:szCs w:val="21"/>
          <w:highlight w:val="none"/>
        </w:rPr>
        <w:t>。同时向甲方提供货物的</w:t>
      </w:r>
      <w:r>
        <w:rPr>
          <w:rFonts w:hint="eastAsia" w:hAnsi="宋体"/>
          <w:color w:val="auto"/>
          <w:szCs w:val="21"/>
          <w:highlight w:val="none"/>
        </w:rPr>
        <w:t>合格证、质量保证书或保修卡</w:t>
      </w:r>
      <w:r>
        <w:rPr>
          <w:rFonts w:hAnsi="宋体"/>
          <w:color w:val="auto"/>
          <w:szCs w:val="21"/>
          <w:highlight w:val="none"/>
        </w:rPr>
        <w:t>、使用说明等必备资料和必备配附件。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乙方提供的货物质保期为</w:t>
      </w:r>
      <w:r>
        <w:rPr>
          <w:rFonts w:hint="eastAsia" w:ascii="Times New Roman" w:hAnsi="Times New Roman"/>
          <w:color w:val="auto"/>
          <w:szCs w:val="21"/>
          <w:highlight w:val="none"/>
          <w:u w:val="single"/>
        </w:rPr>
        <w:t xml:space="preserve">    </w:t>
      </w:r>
      <w:r>
        <w:rPr>
          <w:rFonts w:hAnsi="宋体"/>
          <w:color w:val="auto"/>
          <w:szCs w:val="21"/>
          <w:highlight w:val="none"/>
        </w:rPr>
        <w:t>年，从货物验收合格交付甲方</w:t>
      </w:r>
      <w:r>
        <w:rPr>
          <w:rFonts w:hint="eastAsia" w:hAnsi="宋体"/>
          <w:color w:val="auto"/>
          <w:szCs w:val="21"/>
          <w:highlight w:val="none"/>
        </w:rPr>
        <w:t>正常</w:t>
      </w:r>
      <w:r>
        <w:rPr>
          <w:rFonts w:hAnsi="宋体"/>
          <w:color w:val="auto"/>
          <w:szCs w:val="21"/>
          <w:highlight w:val="none"/>
        </w:rPr>
        <w:t>使用之日起算，除人为原因造成的故障外，保修包换；质保期满后，乙方负责提供配件和维修服务，酌收备件成本费用，易损件长期提供。</w:t>
      </w:r>
    </w:p>
    <w:p>
      <w:pPr>
        <w:pStyle w:val="20"/>
        <w:spacing w:line="288" w:lineRule="auto"/>
        <w:ind w:right="-125" w:rightChars="-52"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乙方保证所供货物发生故障时，最迟在</w:t>
      </w:r>
      <w:r>
        <w:rPr>
          <w:rFonts w:ascii="Times New Roman" w:hAnsi="Times New Roman"/>
          <w:color w:val="auto"/>
          <w:szCs w:val="21"/>
          <w:highlight w:val="none"/>
        </w:rPr>
        <w:t>48</w:t>
      </w:r>
      <w:r>
        <w:rPr>
          <w:rFonts w:hAnsi="宋体"/>
          <w:color w:val="auto"/>
          <w:szCs w:val="21"/>
          <w:highlight w:val="none"/>
        </w:rPr>
        <w:t>小时内修复，并采取提供临时替用品等措施，以保证甲方的正常工作。</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第五条：验收</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乙方将所供货物运至甲方并完成安装调试后，由甲方组织验收。货物从验收合格交付甲方使用次日起</w:t>
      </w:r>
      <w:r>
        <w:rPr>
          <w:rFonts w:ascii="Times New Roman" w:hAnsi="Times New Roman"/>
          <w:color w:val="auto"/>
          <w:szCs w:val="21"/>
          <w:highlight w:val="none"/>
        </w:rPr>
        <w:t>30</w:t>
      </w:r>
      <w:r>
        <w:rPr>
          <w:rFonts w:hAnsi="宋体"/>
          <w:color w:val="auto"/>
          <w:szCs w:val="21"/>
          <w:highlight w:val="none"/>
        </w:rPr>
        <w:t>天内（不含修理期），出现非甲方人为因素造成的无法排除的故障，或经两次修理后仍不能使用的，乙方除调换或退货外，还应向甲方支付合同总价款</w:t>
      </w:r>
      <w:r>
        <w:rPr>
          <w:rFonts w:ascii="Times New Roman" w:hAnsi="Times New Roman"/>
          <w:color w:val="auto"/>
          <w:szCs w:val="21"/>
          <w:highlight w:val="none"/>
        </w:rPr>
        <w:t>20%</w:t>
      </w:r>
      <w:r>
        <w:rPr>
          <w:rFonts w:hAnsi="宋体"/>
          <w:color w:val="auto"/>
          <w:szCs w:val="21"/>
          <w:highlight w:val="none"/>
        </w:rPr>
        <w:t>的违约金。</w:t>
      </w:r>
    </w:p>
    <w:p>
      <w:pPr>
        <w:spacing w:line="288" w:lineRule="auto"/>
        <w:ind w:firstLine="422"/>
        <w:rPr>
          <w:rFonts w:ascii="宋体" w:hAnsi="宋体" w:cs="宋体"/>
          <w:b/>
          <w:color w:val="auto"/>
          <w:sz w:val="21"/>
          <w:szCs w:val="21"/>
          <w:highlight w:val="none"/>
        </w:rPr>
      </w:pPr>
      <w:r>
        <w:rPr>
          <w:rFonts w:hint="eastAsia" w:ascii="宋体" w:hAnsi="宋体" w:cs="宋体"/>
          <w:b/>
          <w:color w:val="auto"/>
          <w:sz w:val="21"/>
          <w:szCs w:val="21"/>
          <w:highlight w:val="none"/>
        </w:rPr>
        <w:t>第六条：履约保证金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合同总价的5%作为履约保证金，合同签订后七个工作日内由乙方交入甲方账户，在甲方验收合格并正常使用满一年后确认乙方无违约行为后无息返还给乙方（遇寒暑假及国定假日顺延）。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第七条：付款方式</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货物自乙方送达甲方指定地点，安装调试摆放完毕并经甲方验收合格和正常运行</w:t>
      </w:r>
      <w:r>
        <w:rPr>
          <w:rFonts w:hint="eastAsia" w:hAnsi="宋体"/>
          <w:color w:val="auto"/>
          <w:szCs w:val="21"/>
          <w:highlight w:val="none"/>
        </w:rPr>
        <w:t>（使用）</w:t>
      </w:r>
      <w:r>
        <w:rPr>
          <w:rFonts w:hAnsi="宋体"/>
          <w:color w:val="auto"/>
          <w:szCs w:val="21"/>
          <w:highlight w:val="none"/>
        </w:rPr>
        <w:t>后的两周内，甲方收到乙方开具的正规发票后向乙方全额支付合同总额，即</w:t>
      </w:r>
      <w:r>
        <w:rPr>
          <w:rFonts w:ascii="Times New Roman" w:hAnsi="Times New Roman"/>
          <w:color w:val="auto"/>
          <w:szCs w:val="21"/>
          <w:highlight w:val="none"/>
        </w:rPr>
        <w:t>¥</w:t>
      </w:r>
      <w:r>
        <w:rPr>
          <w:rFonts w:hint="eastAsia" w:ascii="Times New Roman" w:hAnsi="Times New Roman"/>
          <w:color w:val="auto"/>
          <w:szCs w:val="21"/>
          <w:highlight w:val="none"/>
          <w:u w:val="single"/>
        </w:rPr>
        <w:t xml:space="preserve">    </w:t>
      </w:r>
      <w:r>
        <w:rPr>
          <w:rFonts w:hAnsi="宋体"/>
          <w:color w:val="auto"/>
          <w:szCs w:val="21"/>
          <w:highlight w:val="none"/>
        </w:rPr>
        <w:t>元（大写：</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整 </w:t>
      </w:r>
      <w:r>
        <w:rPr>
          <w:rFonts w:hAnsi="宋体"/>
          <w:color w:val="auto"/>
          <w:szCs w:val="21"/>
          <w:highlight w:val="none"/>
        </w:rPr>
        <w:t>）。</w:t>
      </w:r>
    </w:p>
    <w:p>
      <w:pPr>
        <w:pStyle w:val="20"/>
        <w:spacing w:line="288" w:lineRule="auto"/>
        <w:ind w:firstLine="422" w:firstLineChars="200"/>
        <w:rPr>
          <w:rFonts w:hAnsi="宋体"/>
          <w:b/>
          <w:color w:val="auto"/>
          <w:szCs w:val="21"/>
          <w:highlight w:val="none"/>
        </w:rPr>
      </w:pPr>
      <w:r>
        <w:rPr>
          <w:rFonts w:hAnsi="宋体"/>
          <w:b/>
          <w:color w:val="auto"/>
          <w:szCs w:val="21"/>
          <w:highlight w:val="none"/>
        </w:rPr>
        <w:t>第八条：违约责任</w:t>
      </w:r>
    </w:p>
    <w:p>
      <w:pPr>
        <w:pStyle w:val="20"/>
        <w:spacing w:line="288"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1.乙方具有不按合同要求供货、单方面不履行合同义务等违约行为的，乙方除退还甲方所付全部款项外，还应支付给甲方合同总货款20％的违约赔偿金。</w:t>
      </w:r>
    </w:p>
    <w:p>
      <w:pPr>
        <w:pStyle w:val="20"/>
        <w:spacing w:line="288"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w:t>
      </w:r>
      <w:r>
        <w:rPr>
          <w:rFonts w:hAnsi="宋体"/>
          <w:color w:val="auto"/>
          <w:szCs w:val="21"/>
          <w:highlight w:val="none"/>
        </w:rPr>
        <w:t>乙方逾期履行合同义务的，应向甲方偿付合同总价万分之五每日的违约金。</w:t>
      </w:r>
      <w:r>
        <w:rPr>
          <w:rFonts w:hint="eastAsia" w:hAnsi="宋体"/>
          <w:color w:val="auto"/>
          <w:szCs w:val="21"/>
          <w:highlight w:val="none"/>
        </w:rPr>
        <w:t>逾期超5天以上的，逾期部分应向甲方偿付合同总价千分之五每日的违约金。</w:t>
      </w:r>
    </w:p>
    <w:p>
      <w:pPr>
        <w:pStyle w:val="20"/>
        <w:spacing w:line="288"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w:t>
      </w:r>
      <w:r>
        <w:rPr>
          <w:rFonts w:hAnsi="宋体"/>
          <w:color w:val="auto"/>
          <w:szCs w:val="21"/>
          <w:highlight w:val="none"/>
        </w:rPr>
        <w:t>甲方逾期支付合同</w:t>
      </w:r>
      <w:r>
        <w:rPr>
          <w:rFonts w:hint="eastAsia" w:hAnsi="宋体"/>
          <w:color w:val="auto"/>
          <w:szCs w:val="21"/>
          <w:highlight w:val="none"/>
        </w:rPr>
        <w:t>价款</w:t>
      </w:r>
      <w:r>
        <w:rPr>
          <w:rFonts w:hAnsi="宋体"/>
          <w:color w:val="auto"/>
          <w:szCs w:val="21"/>
          <w:highlight w:val="none"/>
        </w:rPr>
        <w:t>的，应向乙方偿付逾期金额万分之五每日的</w:t>
      </w:r>
      <w:r>
        <w:rPr>
          <w:rFonts w:hint="eastAsia" w:hAnsi="宋体"/>
          <w:color w:val="auto"/>
          <w:szCs w:val="21"/>
          <w:highlight w:val="none"/>
        </w:rPr>
        <w:t>违约金</w:t>
      </w:r>
      <w:r>
        <w:rPr>
          <w:rFonts w:hAnsi="宋体"/>
          <w:color w:val="auto"/>
          <w:szCs w:val="21"/>
          <w:highlight w:val="none"/>
        </w:rPr>
        <w:t>。</w:t>
      </w:r>
    </w:p>
    <w:p>
      <w:pPr>
        <w:pStyle w:val="20"/>
        <w:spacing w:line="288" w:lineRule="auto"/>
        <w:ind w:firstLine="420" w:firstLineChars="200"/>
        <w:rPr>
          <w:rFonts w:hAnsi="宋体"/>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w:t>
      </w:r>
      <w:r>
        <w:rPr>
          <w:rFonts w:hAnsi="宋体"/>
          <w:color w:val="auto"/>
          <w:szCs w:val="21"/>
          <w:highlight w:val="none"/>
        </w:rPr>
        <w:t>货物验收合格交付正常使用之日起一年内，乙方未能全面履行合同约定或有违约行为的，履约保证金不予退还，并按合同价款的</w:t>
      </w:r>
      <w:r>
        <w:rPr>
          <w:rFonts w:hint="eastAsia" w:hAnsi="宋体"/>
          <w:color w:val="auto"/>
          <w:szCs w:val="21"/>
          <w:highlight w:val="none"/>
        </w:rPr>
        <w:t>20%支付违约金</w:t>
      </w:r>
      <w:r>
        <w:rPr>
          <w:rFonts w:hAnsi="宋体"/>
          <w:color w:val="auto"/>
          <w:szCs w:val="21"/>
          <w:highlight w:val="none"/>
        </w:rPr>
        <w:t>。</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5.本合同货物须由乙方直接供应，不得转让、转包、分包他人供应；否则，甲方有权解除合同、拒付（或要求退还）合同价款、没收履约保证金，并要求乙方支付合同价款20%的违约金。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rPr>
        <w:t>6.乙方所供货物侵犯第三方知识产权的，乙方应承担由此造成的所有损失（包括但不限于侵权赔偿款、诉讼费、律师费、向甲方退还已收全款并按合同价款的20%支付违约金等）。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第九条：争议的解决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本合同一式陆份，甲方执肆份，乙方和鉴证方各执壹份，具有同等法律效力。</w:t>
      </w:r>
    </w:p>
    <w:p>
      <w:pPr>
        <w:pStyle w:val="20"/>
        <w:spacing w:line="288" w:lineRule="auto"/>
        <w:ind w:firstLine="420" w:firstLineChars="200"/>
        <w:rPr>
          <w:rFonts w:hAnsi="宋体"/>
          <w:color w:val="auto"/>
          <w:szCs w:val="21"/>
          <w:highlight w:val="none"/>
        </w:rPr>
      </w:pPr>
      <w:r>
        <w:rPr>
          <w:rFonts w:ascii="Times New Roman" w:hAnsi="Times New Roman"/>
          <w:color w:val="auto"/>
          <w:szCs w:val="21"/>
          <w:highlight w:val="none"/>
        </w:rPr>
        <w:t>3.</w:t>
      </w:r>
      <w:r>
        <w:rPr>
          <w:rFonts w:hAnsi="宋体"/>
          <w:color w:val="auto"/>
          <w:szCs w:val="21"/>
          <w:highlight w:val="none"/>
        </w:rPr>
        <w:t>本合同附件及双方的</w:t>
      </w:r>
      <w:r>
        <w:rPr>
          <w:rFonts w:hint="eastAsia" w:hAnsi="宋体"/>
          <w:color w:val="auto"/>
          <w:szCs w:val="21"/>
          <w:highlight w:val="none"/>
        </w:rPr>
        <w:t>招标</w:t>
      </w:r>
      <w:r>
        <w:rPr>
          <w:rFonts w:hAnsi="宋体"/>
          <w:color w:val="auto"/>
          <w:szCs w:val="21"/>
          <w:highlight w:val="none"/>
        </w:rPr>
        <w:t>文件、响应文件、</w:t>
      </w:r>
      <w:r>
        <w:rPr>
          <w:rFonts w:hint="eastAsia" w:hAnsi="宋体"/>
          <w:color w:val="auto"/>
          <w:szCs w:val="21"/>
          <w:highlight w:val="none"/>
        </w:rPr>
        <w:t>询标纪要</w:t>
      </w:r>
      <w:r>
        <w:rPr>
          <w:rFonts w:hAnsi="宋体"/>
          <w:color w:val="auto"/>
          <w:szCs w:val="21"/>
          <w:highlight w:val="none"/>
        </w:rPr>
        <w:t>等系本合同的组成部分。</w:t>
      </w:r>
    </w:p>
    <w:tbl>
      <w:tblPr>
        <w:tblStyle w:val="39"/>
        <w:tblpPr w:leftFromText="180" w:rightFromText="180" w:vertAnchor="text" w:horzAnchor="page" w:tblpX="1255" w:tblpY="13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Ansi="宋体"/>
                <w:b/>
                <w:bCs/>
                <w:color w:val="auto"/>
                <w:sz w:val="21"/>
                <w:szCs w:val="21"/>
                <w:highlight w:val="none"/>
              </w:rPr>
              <w:t>浙江中医药大学</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地址：浙江省杭州市滨江滨文路</w:t>
            </w:r>
            <w:r>
              <w:rPr>
                <w:color w:val="auto"/>
                <w:spacing w:val="-6"/>
                <w:sz w:val="21"/>
                <w:szCs w:val="21"/>
                <w:highlight w:val="none"/>
              </w:rPr>
              <w:t>548</w:t>
            </w:r>
            <w:r>
              <w:rPr>
                <w:rFonts w:hAnsi="宋体"/>
                <w:color w:val="auto"/>
                <w:spacing w:val="-6"/>
                <w:sz w:val="21"/>
                <w:szCs w:val="21"/>
                <w:highlight w:val="none"/>
              </w:rPr>
              <w:t>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r>
              <w:rPr>
                <w:color w:val="auto"/>
                <w:sz w:val="21"/>
                <w:szCs w:val="21"/>
                <w:highlight w:val="none"/>
              </w:rPr>
              <w:t>310053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r>
              <w:rPr>
                <w:color w:val="auto"/>
                <w:sz w:val="21"/>
                <w:szCs w:val="21"/>
                <w:highlight w:val="none"/>
              </w:rPr>
              <w:t>0571--86613563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r>
              <w:rPr>
                <w:color w:val="auto"/>
                <w:sz w:val="21"/>
                <w:szCs w:val="21"/>
                <w:highlight w:val="none"/>
              </w:rPr>
              <w:t>0571--86613563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r>
              <w:rPr>
                <w:rFonts w:hAnsi="宋体"/>
                <w:color w:val="auto"/>
                <w:sz w:val="21"/>
                <w:szCs w:val="21"/>
                <w:highlight w:val="none"/>
              </w:rPr>
              <w:t>工商银行景江苑支行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r>
              <w:rPr>
                <w:color w:val="auto"/>
                <w:sz w:val="21"/>
                <w:szCs w:val="21"/>
                <w:highlight w:val="none"/>
              </w:rPr>
              <w:t>1202023419100001174</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合同签订地点：浙江省杭州市滨江滨文路</w:t>
            </w:r>
            <w:r>
              <w:rPr>
                <w:color w:val="auto"/>
                <w:spacing w:val="-6"/>
                <w:sz w:val="21"/>
                <w:szCs w:val="21"/>
                <w:highlight w:val="none"/>
              </w:rPr>
              <w:t>548</w:t>
            </w:r>
            <w:r>
              <w:rPr>
                <w:rFonts w:hAnsi="宋体"/>
                <w:color w:val="auto"/>
                <w:spacing w:val="-6"/>
                <w:sz w:val="21"/>
                <w:szCs w:val="21"/>
                <w:highlight w:val="none"/>
              </w:rPr>
              <w:t>号</w:t>
            </w:r>
            <w:r>
              <w:rPr>
                <w:color w:val="auto"/>
                <w:spacing w:val="-6"/>
                <w:sz w:val="21"/>
                <w:szCs w:val="21"/>
                <w:highlight w:val="none"/>
              </w:rPr>
              <w:t xml:space="preserve">              </w:t>
            </w:r>
            <w:r>
              <w:rPr>
                <w:rFonts w:hAnsi="宋体"/>
                <w:color w:val="auto"/>
                <w:spacing w:val="-6"/>
                <w:sz w:val="21"/>
                <w:szCs w:val="21"/>
                <w:highlight w:val="none"/>
              </w:rPr>
              <w:t>签订时间：</w:t>
            </w:r>
            <w:r>
              <w:rPr>
                <w:color w:val="auto"/>
                <w:spacing w:val="-6"/>
                <w:sz w:val="21"/>
                <w:szCs w:val="21"/>
                <w:highlight w:val="none"/>
              </w:rPr>
              <w:t xml:space="preserve">      </w:t>
            </w:r>
            <w:r>
              <w:rPr>
                <w:rFonts w:hint="eastAsia"/>
                <w:color w:val="auto"/>
                <w:spacing w:val="-6"/>
                <w:sz w:val="21"/>
                <w:szCs w:val="21"/>
                <w:highlight w:val="none"/>
              </w:rPr>
              <w:t xml:space="preserve"> </w:t>
            </w:r>
            <w:r>
              <w:rPr>
                <w:rFonts w:hAnsi="宋体"/>
                <w:color w:val="auto"/>
                <w:spacing w:val="-6"/>
                <w:sz w:val="21"/>
                <w:szCs w:val="21"/>
                <w:highlight w:val="none"/>
              </w:rPr>
              <w:t>年</w:t>
            </w:r>
            <w:r>
              <w:rPr>
                <w:color w:val="auto"/>
                <w:spacing w:val="-6"/>
                <w:sz w:val="21"/>
                <w:szCs w:val="21"/>
                <w:highlight w:val="none"/>
              </w:rPr>
              <w:t xml:space="preserve"> </w:t>
            </w:r>
            <w:r>
              <w:rPr>
                <w:rFonts w:hint="eastAsia"/>
                <w:color w:val="auto"/>
                <w:spacing w:val="-6"/>
                <w:sz w:val="21"/>
                <w:szCs w:val="21"/>
                <w:highlight w:val="none"/>
              </w:rPr>
              <w:t xml:space="preserve"> </w:t>
            </w:r>
            <w:r>
              <w:rPr>
                <w:color w:val="auto"/>
                <w:spacing w:val="-6"/>
                <w:sz w:val="21"/>
                <w:szCs w:val="21"/>
                <w:highlight w:val="none"/>
              </w:rPr>
              <w:t xml:space="preserve"> </w:t>
            </w:r>
            <w:r>
              <w:rPr>
                <w:rFonts w:hAnsi="宋体"/>
                <w:color w:val="auto"/>
                <w:spacing w:val="-6"/>
                <w:sz w:val="21"/>
                <w:szCs w:val="21"/>
                <w:highlight w:val="none"/>
              </w:rPr>
              <w:t>月</w:t>
            </w:r>
            <w:r>
              <w:rPr>
                <w:color w:val="auto"/>
                <w:spacing w:val="-6"/>
                <w:sz w:val="21"/>
                <w:szCs w:val="21"/>
                <w:highlight w:val="none"/>
              </w:rPr>
              <w:t xml:space="preserve"> </w:t>
            </w:r>
            <w:r>
              <w:rPr>
                <w:rFonts w:hint="eastAsia"/>
                <w:color w:val="auto"/>
                <w:spacing w:val="-6"/>
                <w:sz w:val="21"/>
                <w:szCs w:val="21"/>
                <w:highlight w:val="none"/>
              </w:rPr>
              <w:t xml:space="preserve"> </w:t>
            </w:r>
            <w:r>
              <w:rPr>
                <w:color w:val="auto"/>
                <w:spacing w:val="-6"/>
                <w:sz w:val="21"/>
                <w:szCs w:val="21"/>
                <w:highlight w:val="none"/>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color w:val="auto"/>
                <w:spacing w:val="-6"/>
                <w:sz w:val="21"/>
                <w:szCs w:val="21"/>
                <w:highlight w:val="none"/>
              </w:rPr>
              <w:t xml:space="preserve">                                </w:t>
            </w:r>
            <w:r>
              <w:rPr>
                <w:rFonts w:hAnsi="宋体"/>
                <w:color w:val="auto"/>
                <w:spacing w:val="-6"/>
                <w:sz w:val="21"/>
                <w:szCs w:val="21"/>
                <w:highlight w:val="none"/>
              </w:rPr>
              <w:t>鉴证时间：</w:t>
            </w:r>
            <w:r>
              <w:rPr>
                <w:color w:val="auto"/>
                <w:spacing w:val="-6"/>
                <w:sz w:val="21"/>
                <w:szCs w:val="21"/>
                <w:highlight w:val="none"/>
              </w:rPr>
              <w:t xml:space="preserve">    </w:t>
            </w:r>
            <w:r>
              <w:rPr>
                <w:rFonts w:hAnsi="宋体"/>
                <w:color w:val="auto"/>
                <w:spacing w:val="-6"/>
                <w:sz w:val="21"/>
                <w:szCs w:val="21"/>
                <w:highlight w:val="none"/>
              </w:rPr>
              <w:t>年</w:t>
            </w:r>
            <w:r>
              <w:rPr>
                <w:color w:val="auto"/>
                <w:spacing w:val="-6"/>
                <w:sz w:val="21"/>
                <w:szCs w:val="21"/>
                <w:highlight w:val="none"/>
              </w:rPr>
              <w:t xml:space="preserve">   </w:t>
            </w:r>
            <w:r>
              <w:rPr>
                <w:rFonts w:hAnsi="宋体"/>
                <w:color w:val="auto"/>
                <w:spacing w:val="-6"/>
                <w:sz w:val="21"/>
                <w:szCs w:val="21"/>
                <w:highlight w:val="none"/>
              </w:rPr>
              <w:t>月</w:t>
            </w:r>
            <w:r>
              <w:rPr>
                <w:color w:val="auto"/>
                <w:spacing w:val="-6"/>
                <w:sz w:val="21"/>
                <w:szCs w:val="21"/>
                <w:highlight w:val="none"/>
              </w:rPr>
              <w:t xml:space="preserve">   </w:t>
            </w:r>
            <w:r>
              <w:rPr>
                <w:rFonts w:hAnsi="宋体"/>
                <w:color w:val="auto"/>
                <w:spacing w:val="-6"/>
                <w:sz w:val="21"/>
                <w:szCs w:val="21"/>
                <w:highlight w:val="none"/>
              </w:rPr>
              <w:t>日</w:t>
            </w:r>
          </w:p>
        </w:tc>
      </w:tr>
    </w:tbl>
    <w:p>
      <w:pPr>
        <w:ind w:firstLine="440"/>
        <w:rPr>
          <w:color w:val="auto"/>
          <w:sz w:val="22"/>
          <w:szCs w:val="22"/>
          <w:highlight w:val="none"/>
        </w:rPr>
      </w:pPr>
      <w:r>
        <w:rPr>
          <w:color w:val="auto"/>
          <w:sz w:val="22"/>
          <w:szCs w:val="22"/>
          <w:highlight w:val="none"/>
        </w:rPr>
        <w:t>附件</w:t>
      </w:r>
      <w:r>
        <w:rPr>
          <w:rFonts w:hint="eastAsia"/>
          <w:color w:val="auto"/>
          <w:sz w:val="22"/>
          <w:szCs w:val="22"/>
          <w:highlight w:val="none"/>
        </w:rPr>
        <w:t>（</w:t>
      </w:r>
      <w:r>
        <w:rPr>
          <w:rFonts w:hint="eastAsia"/>
          <w:b/>
          <w:color w:val="auto"/>
          <w:sz w:val="22"/>
          <w:szCs w:val="22"/>
          <w:highlight w:val="none"/>
        </w:rPr>
        <w:t>请严格按照投标文件和询标纪要填写</w:t>
      </w:r>
      <w:r>
        <w:rPr>
          <w:rFonts w:hint="eastAsia"/>
          <w:color w:val="auto"/>
          <w:sz w:val="22"/>
          <w:szCs w:val="22"/>
          <w:highlight w:val="none"/>
        </w:rPr>
        <w:t>配置清单和服务承诺）：</w:t>
      </w:r>
    </w:p>
    <w:p>
      <w:pPr>
        <w:ind w:firstLine="442"/>
        <w:rPr>
          <w:b/>
          <w:color w:val="auto"/>
          <w:sz w:val="22"/>
          <w:szCs w:val="22"/>
          <w:highlight w:val="none"/>
        </w:rPr>
      </w:pPr>
      <w:r>
        <w:rPr>
          <w:rFonts w:hint="eastAsia"/>
          <w:b/>
          <w:color w:val="auto"/>
          <w:sz w:val="22"/>
          <w:szCs w:val="22"/>
          <w:highlight w:val="none"/>
        </w:rPr>
        <w:t>一、配置清单</w:t>
      </w:r>
    </w:p>
    <w:p>
      <w:pPr>
        <w:ind w:firstLine="442"/>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b/>
          <w:color w:val="auto"/>
          <w:sz w:val="22"/>
          <w:szCs w:val="22"/>
          <w:highlight w:val="none"/>
        </w:rPr>
        <w:t>二、服务承诺</w:t>
      </w:r>
      <w:r>
        <w:rPr>
          <w:rFonts w:hint="eastAsia"/>
          <w:color w:val="auto"/>
          <w:highlight w:val="none"/>
        </w:rPr>
        <w:br w:type="page"/>
      </w:r>
    </w:p>
    <w:p>
      <w:pPr>
        <w:pStyle w:val="4"/>
        <w:rPr>
          <w:color w:val="auto"/>
          <w:highlight w:val="none"/>
        </w:rPr>
      </w:pPr>
      <w:bookmarkStart w:id="106" w:name="_Toc17612"/>
      <w:r>
        <w:rPr>
          <w:rFonts w:hint="eastAsia" w:cs="宋体"/>
          <w:color w:val="auto"/>
          <w:highlight w:val="none"/>
        </w:rPr>
        <w:t>第六章 投标文件格式</w:t>
      </w:r>
      <w:bookmarkEnd w:id="102"/>
      <w:bookmarkEnd w:id="106"/>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27"/>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27"/>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27"/>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27"/>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27"/>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28"/>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28"/>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28"/>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28"/>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29"/>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29"/>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29"/>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29"/>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29"/>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numPr>
                <w:ilvl w:val="0"/>
                <w:numId w:val="30"/>
              </w:numPr>
              <w:ind w:firstLine="0" w:firstLineChars="0"/>
              <w:rPr>
                <w:rFonts w:ascii="宋体" w:hAnsi="宋体"/>
                <w:color w:val="auto"/>
                <w:kern w:val="0"/>
                <w:sz w:val="22"/>
                <w:szCs w:val="22"/>
                <w:highlight w:val="none"/>
              </w:rPr>
            </w:pPr>
            <w:r>
              <w:rPr>
                <w:rFonts w:hint="eastAsia" w:ascii="宋体" w:hAnsi="宋体"/>
                <w:color w:val="auto"/>
                <w:kern w:val="0"/>
                <w:sz w:val="22"/>
                <w:szCs w:val="22"/>
                <w:highlight w:val="none"/>
              </w:rPr>
              <w:t>提供响应文件递交截止日前1日历天17:00（北京时间）的查询信息网站截图，查询渠道：“国家企业信用信息公示系统”（w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Fonts w:hint="eastAsia" w:ascii="宋体" w:hAnsi="宋体"/>
                <w:color w:val="auto"/>
                <w:kern w:val="0"/>
                <w:sz w:val="22"/>
                <w:szCs w:val="22"/>
                <w:highlight w:val="none"/>
              </w:rPr>
              <w:t>ww.gsxt.gov.cn/corp-query-homepage.html</w:t>
            </w:r>
            <w:r>
              <w:rPr>
                <w:rFonts w:hint="eastAsia" w:ascii="宋体" w:hAnsi="宋体"/>
                <w:color w:val="auto"/>
                <w:kern w:val="0"/>
                <w:sz w:val="22"/>
                <w:szCs w:val="22"/>
                <w:highlight w:val="none"/>
              </w:rPr>
              <w:fldChar w:fldCharType="end"/>
            </w:r>
            <w:r>
              <w:rPr>
                <w:rFonts w:hint="eastAsia" w:ascii="宋体" w:hAnsi="宋体"/>
                <w:color w:val="auto"/>
                <w:kern w:val="0"/>
                <w:sz w:val="22"/>
                <w:szCs w:val="22"/>
                <w:highlight w:val="none"/>
              </w:rPr>
              <w:t>）</w:t>
            </w:r>
          </w:p>
          <w:p>
            <w:pPr>
              <w:numPr>
                <w:ilvl w:val="0"/>
                <w:numId w:val="30"/>
              </w:numPr>
              <w:ind w:firstLine="0" w:firstLineChars="0"/>
              <w:rPr>
                <w:color w:val="auto"/>
                <w:highlight w:val="none"/>
              </w:rPr>
            </w:pPr>
            <w:r>
              <w:rPr>
                <w:rFonts w:hint="eastAsia" w:ascii="宋体" w:hAnsi="宋体"/>
                <w:color w:val="auto"/>
                <w:kern w:val="0"/>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本项目不接受联合图投标。</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浙江中医药大学、浙江五石工程咨询有限公司：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浙江中医药大学、浙江五石工程咨询有限公司：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浙江中医药大学、浙江五石工程咨询有限公司：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s="宋体"/>
          <w:color w:val="auto"/>
          <w:sz w:val="30"/>
          <w:szCs w:val="30"/>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107" w:name="_Toc30921"/>
      <w:bookmarkStart w:id="108" w:name="_Toc6136"/>
      <w:r>
        <w:rPr>
          <w:rFonts w:hint="eastAsia" w:ascii="宋体" w:hAnsi="宋体" w:cs="宋体"/>
          <w:b/>
          <w:color w:val="auto"/>
          <w:kern w:val="0"/>
          <w:sz w:val="36"/>
          <w:highlight w:val="none"/>
        </w:rPr>
        <w:t>报价文件目录</w:t>
      </w:r>
      <w:bookmarkEnd w:id="107"/>
      <w:bookmarkEnd w:id="108"/>
    </w:p>
    <w:p>
      <w:pPr>
        <w:ind w:firstLine="480"/>
        <w:outlineLvl w:val="0"/>
        <w:rPr>
          <w:rFonts w:ascii="宋体" w:hAnsi="宋体" w:cs="宋体"/>
          <w:color w:val="auto"/>
          <w:kern w:val="0"/>
          <w:highlight w:val="none"/>
        </w:rPr>
      </w:pPr>
      <w:bookmarkStart w:id="109" w:name="_Toc16666"/>
      <w:bookmarkStart w:id="110" w:name="_Toc2482"/>
      <w:r>
        <w:rPr>
          <w:rFonts w:hint="eastAsia" w:ascii="宋体" w:hAnsi="宋体" w:cs="宋体"/>
          <w:color w:val="auto"/>
          <w:kern w:val="0"/>
          <w:highlight w:val="none"/>
        </w:rPr>
        <w:t>（1）投标响应函………………………………………………………………（页码）</w:t>
      </w:r>
      <w:bookmarkEnd w:id="109"/>
      <w:bookmarkEnd w:id="110"/>
    </w:p>
    <w:p>
      <w:pPr>
        <w:ind w:firstLine="480"/>
        <w:outlineLvl w:val="0"/>
        <w:rPr>
          <w:rFonts w:ascii="宋体" w:hAnsi="宋体" w:cs="宋体"/>
          <w:color w:val="auto"/>
          <w:kern w:val="0"/>
          <w:highlight w:val="none"/>
        </w:rPr>
      </w:pPr>
      <w:bookmarkStart w:id="111" w:name="_Toc9814"/>
      <w:bookmarkStart w:id="112" w:name="_Toc20554"/>
      <w:r>
        <w:rPr>
          <w:rFonts w:hint="eastAsia" w:ascii="宋体" w:hAnsi="宋体" w:cs="宋体"/>
          <w:color w:val="auto"/>
          <w:kern w:val="0"/>
          <w:highlight w:val="none"/>
        </w:rPr>
        <w:t>（2）开标一览表………………………………………………………………（页码）</w:t>
      </w:r>
      <w:bookmarkEnd w:id="111"/>
      <w:bookmarkEnd w:id="112"/>
    </w:p>
    <w:p>
      <w:pPr>
        <w:ind w:firstLine="480"/>
        <w:outlineLvl w:val="0"/>
        <w:rPr>
          <w:rFonts w:ascii="宋体" w:hAnsi="宋体" w:cs="宋体"/>
          <w:color w:val="auto"/>
          <w:kern w:val="0"/>
          <w:highlight w:val="none"/>
        </w:rPr>
      </w:pPr>
      <w:bookmarkStart w:id="113" w:name="_Toc10349"/>
      <w:bookmarkStart w:id="114" w:name="_Toc20667"/>
      <w:r>
        <w:rPr>
          <w:rFonts w:hint="eastAsia" w:ascii="宋体" w:hAnsi="宋体" w:cs="宋体"/>
          <w:color w:val="auto"/>
          <w:kern w:val="0"/>
          <w:highlight w:val="none"/>
        </w:rPr>
        <w:t>（3）投标报价明细表…………………………………………………………（页码）</w:t>
      </w:r>
      <w:bookmarkEnd w:id="113"/>
      <w:bookmarkEnd w:id="114"/>
    </w:p>
    <w:p>
      <w:pPr>
        <w:ind w:firstLine="480"/>
        <w:outlineLvl w:val="0"/>
        <w:rPr>
          <w:rFonts w:ascii="宋体" w:hAnsi="宋体" w:cs="宋体"/>
          <w:color w:val="auto"/>
          <w:highlight w:val="none"/>
        </w:rPr>
      </w:pPr>
      <w:bookmarkStart w:id="115" w:name="_Toc20916"/>
      <w:bookmarkStart w:id="116" w:name="_Toc21037"/>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15"/>
      <w:bookmarkEnd w:id="116"/>
    </w:p>
    <w:p>
      <w:pPr>
        <w:pStyle w:val="6"/>
        <w:rPr>
          <w:rFonts w:ascii="宋体" w:hAnsi="宋体" w:cs="宋体"/>
          <w:color w:val="auto"/>
          <w:highlight w:val="none"/>
        </w:rPr>
        <w:sectPr>
          <w:headerReference r:id="rId15" w:type="default"/>
          <w:footerReference r:id="rId16"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浙江中医药大学、浙江五石工程咨询有限公司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17" w:name="_Toc1847"/>
      <w:bookmarkStart w:id="118" w:name="_Toc14446"/>
      <w:r>
        <w:rPr>
          <w:rFonts w:hint="eastAsia" w:ascii="宋体" w:hAnsi="宋体" w:eastAsia="宋体" w:cs="宋体"/>
          <w:bCs/>
          <w:color w:val="auto"/>
          <w:kern w:val="2"/>
          <w:sz w:val="24"/>
          <w:szCs w:val="32"/>
          <w:highlight w:val="none"/>
        </w:rPr>
        <w:t>开标一览表</w:t>
      </w:r>
      <w:bookmarkEnd w:id="117"/>
      <w:bookmarkEnd w:id="118"/>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浙江中医药大学、浙江五石工程咨询有限公司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19" w:name="_Toc18686"/>
      <w:bookmarkStart w:id="120" w:name="_Toc14051"/>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w:t>
      </w:r>
      <w:r>
        <w:rPr>
          <w:rFonts w:hint="eastAsia" w:ascii="宋体" w:hAnsi="宋体" w:eastAsia="宋体" w:cs="宋体"/>
          <w:b w:val="0"/>
          <w:color w:val="auto"/>
          <w:kern w:val="0"/>
          <w:sz w:val="24"/>
          <w:highlight w:val="none"/>
        </w:rPr>
        <w:t>项目名称</w:t>
      </w:r>
      <w:r>
        <w:rPr>
          <w:rFonts w:hint="eastAsia" w:ascii="宋体" w:hAnsi="宋体" w:eastAsia="宋体" w:cs="宋体"/>
          <w:b w:val="0"/>
          <w:color w:val="auto"/>
          <w:kern w:val="0"/>
          <w:sz w:val="24"/>
          <w:highlight w:val="none"/>
          <w:lang w:val="zh-CN"/>
        </w:rPr>
        <w:t>：</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19"/>
      <w:bookmarkEnd w:id="120"/>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center"/>
        <w:rPr>
          <w:rFonts w:hAnsi="宋体" w:cs="宋体"/>
          <w:color w:val="auto"/>
          <w:sz w:val="24"/>
          <w:szCs w:val="24"/>
          <w:highlight w:val="none"/>
        </w:rPr>
      </w:pPr>
      <w:r>
        <w:rPr>
          <w:rFonts w:hint="eastAsia" w:hAnsi="宋体" w:cs="宋体"/>
          <w:b/>
          <w:bCs/>
          <w:color w:val="auto"/>
          <w:sz w:val="24"/>
          <w:szCs w:val="24"/>
          <w:highlight w:val="none"/>
        </w:rPr>
        <w:t xml:space="preserve">                                                            </w:t>
      </w:r>
      <w:r>
        <w:rPr>
          <w:rFonts w:hint="eastAsia" w:hAnsi="宋体" w:cs="宋体"/>
          <w:color w:val="auto"/>
          <w:sz w:val="24"/>
          <w:szCs w:val="24"/>
          <w:highlight w:val="none"/>
        </w:rPr>
        <w:t xml:space="preserve"> </w:t>
      </w:r>
    </w:p>
    <w:tbl>
      <w:tblPr>
        <w:tblStyle w:val="39"/>
        <w:tblW w:w="93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3123"/>
        <w:gridCol w:w="4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938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6"/>
                <w:highlight w:val="none"/>
                <w:u w:val="single"/>
              </w:rPr>
            </w:pPr>
            <w:r>
              <w:rPr>
                <w:rFonts w:hint="eastAsia" w:ascii="宋体" w:hAnsi="宋体"/>
                <w:b/>
                <w:color w:val="auto"/>
                <w:spacing w:val="-6"/>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8" w:hRule="atLeast"/>
        </w:trPr>
        <w:tc>
          <w:tcPr>
            <w:tcW w:w="17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spacing w:val="-6"/>
                <w:highlight w:val="none"/>
              </w:rPr>
            </w:pPr>
            <w:r>
              <w:rPr>
                <w:rFonts w:hint="eastAsia" w:ascii="宋体" w:hAnsi="宋体"/>
                <w:b/>
                <w:color w:val="auto"/>
                <w:spacing w:val="-6"/>
                <w:highlight w:val="none"/>
              </w:rPr>
              <w:t>总报价</w:t>
            </w:r>
          </w:p>
        </w:tc>
        <w:tc>
          <w:tcPr>
            <w:tcW w:w="3123"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金额单位： 美元</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rPr>
                <w:rFonts w:ascii="宋体" w:hAnsi="宋体"/>
                <w:b/>
                <w:color w:val="auto"/>
                <w:spacing w:val="-6"/>
                <w:highlight w:val="none"/>
              </w:rPr>
            </w:pPr>
            <w:r>
              <w:rPr>
                <w:rFonts w:hint="eastAsia" w:asciiTheme="minorEastAsia" w:hAnsiTheme="minorEastAsia" w:cstheme="minorEastAsia"/>
                <w:color w:val="auto"/>
                <w:highlight w:val="none"/>
              </w:rPr>
              <w:t>小写：</w:t>
            </w:r>
          </w:p>
        </w:tc>
        <w:tc>
          <w:tcPr>
            <w:tcW w:w="4529"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金额单位： 人民币/元</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rPr>
                <w:rFonts w:ascii="宋体" w:hAnsi="宋体"/>
                <w:bCs/>
                <w:color w:val="auto"/>
                <w:spacing w:val="-6"/>
                <w:highlight w:val="none"/>
              </w:rPr>
            </w:pPr>
            <w:r>
              <w:rPr>
                <w:rFonts w:hint="eastAsia" w:asciiTheme="minorEastAsia" w:hAnsiTheme="minorEastAsia" w:cstheme="minorEastAsia"/>
                <w:color w:val="auto"/>
                <w:highlight w:val="none"/>
              </w:rPr>
              <w:t>小写：</w:t>
            </w:r>
          </w:p>
        </w:tc>
      </w:tr>
    </w:tbl>
    <w:p>
      <w:pPr>
        <w:pStyle w:val="20"/>
        <w:wordWrap w:val="0"/>
        <w:snapToGrid w:val="0"/>
        <w:spacing w:line="360" w:lineRule="auto"/>
        <w:ind w:firstLine="480"/>
        <w:jc w:val="center"/>
        <w:rPr>
          <w:rFonts w:hAnsi="宋体" w:cs="宋体"/>
          <w:color w:val="auto"/>
          <w:sz w:val="24"/>
          <w:szCs w:val="24"/>
          <w:highlight w:val="none"/>
        </w:rPr>
      </w:pPr>
    </w:p>
    <w:p>
      <w:pPr>
        <w:pStyle w:val="20"/>
        <w:wordWrap w:val="0"/>
        <w:snapToGrid w:val="0"/>
        <w:spacing w:line="360" w:lineRule="auto"/>
        <w:ind w:firstLine="480"/>
        <w:jc w:val="center"/>
        <w:rPr>
          <w:rFonts w:hAnsi="宋体" w:cs="宋体"/>
          <w:color w:val="auto"/>
          <w:sz w:val="24"/>
          <w:szCs w:val="24"/>
          <w:highlight w:val="none"/>
          <w:lang w:val="zh-CN"/>
        </w:rPr>
      </w:pPr>
    </w:p>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17"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21" w:name="_Toc2738"/>
      <w:bookmarkStart w:id="122" w:name="_Toc17346"/>
      <w:r>
        <w:rPr>
          <w:rFonts w:hint="eastAsia" w:ascii="宋体" w:hAnsi="宋体" w:eastAsia="宋体" w:cs="宋体"/>
          <w:bCs/>
          <w:color w:val="auto"/>
          <w:kern w:val="2"/>
          <w:sz w:val="24"/>
          <w:szCs w:val="32"/>
          <w:highlight w:val="none"/>
        </w:rPr>
        <w:t>投标报价明细表</w:t>
      </w:r>
      <w:bookmarkEnd w:id="121"/>
      <w:bookmarkEnd w:id="122"/>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标项：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9"/>
        <w:tblW w:w="80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1"/>
        <w:gridCol w:w="1442"/>
        <w:gridCol w:w="1122"/>
        <w:gridCol w:w="943"/>
        <w:gridCol w:w="826"/>
        <w:gridCol w:w="1134"/>
        <w:gridCol w:w="9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709"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921"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44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12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943"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82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1134"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923"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630" w:type="dxa"/>
            <w:gridSpan w:val="2"/>
            <w:vAlign w:val="center"/>
          </w:tcPr>
          <w:p>
            <w:pPr>
              <w:ind w:firstLine="0" w:firstLineChars="0"/>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总报价</w:t>
            </w:r>
          </w:p>
        </w:tc>
        <w:tc>
          <w:tcPr>
            <w:tcW w:w="2564" w:type="dxa"/>
            <w:gridSpan w:val="2"/>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 xml:space="preserve">金额单位： </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c>
          <w:tcPr>
            <w:tcW w:w="3826" w:type="dxa"/>
            <w:gridSpan w:val="4"/>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 xml:space="preserve">金额单位： </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8"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2.本公司参加浙江中医药大学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（1）供应商和所有报价产品生产企业在当地中小企业行政主管部门的确认意见书或《中小企业申明函》。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（2）供应商和所有报价产品生产企业相关网站的网页打印件并（网页打印件应当显示为小型或微型企业）加盖公章。相关网站：小微企业名录（http://xwqy.gsxt.gov.cn/）或浙江省政府采购网（http://www.zjzfcg.gov.cn/）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供应商和所有报价产品生产企业已通过浙江政府采购网申请注册并成为正式入库供应商的网页打印件并（网页打印件应当显示为小型或微型企业）加盖公章。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浙江中医药大学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123"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bookmarkStart w:id="124" w:name="_Toc14654"/>
      <w:r>
        <w:rPr>
          <w:rFonts w:hint="eastAsia" w:ascii="宋体" w:hAnsi="宋体" w:cs="宋体"/>
          <w:b/>
          <w:color w:val="auto"/>
          <w:kern w:val="0"/>
          <w:sz w:val="36"/>
          <w:highlight w:val="none"/>
        </w:rPr>
        <w:t>商务技术文件目录</w:t>
      </w:r>
      <w:bookmarkEnd w:id="123"/>
      <w:bookmarkEnd w:id="124"/>
      <w:r>
        <w:rPr>
          <w:rFonts w:hint="eastAsia" w:ascii="宋体" w:hAnsi="宋体" w:cs="宋体"/>
          <w:b/>
          <w:color w:val="auto"/>
          <w:kern w:val="0"/>
          <w:sz w:val="36"/>
          <w:highlight w:val="none"/>
        </w:rPr>
        <w:t xml:space="preserve"> </w:t>
      </w:r>
    </w:p>
    <w:p>
      <w:pPr>
        <w:numPr>
          <w:ilvl w:val="0"/>
          <w:numId w:val="31"/>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法定代表资格证明书和法定代表人授权委托书</w:t>
      </w:r>
      <w:r>
        <w:rPr>
          <w:rFonts w:hint="eastAsia" w:ascii="宋体" w:hAnsi="宋体" w:cs="宋体"/>
          <w:color w:val="auto"/>
          <w:kern w:val="0"/>
          <w:highlight w:val="none"/>
        </w:rPr>
        <w:t>……………   ………………（页码）</w:t>
      </w:r>
    </w:p>
    <w:p>
      <w:pPr>
        <w:numPr>
          <w:ilvl w:val="0"/>
          <w:numId w:val="31"/>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31"/>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31"/>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31"/>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31"/>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31"/>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31"/>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31"/>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31"/>
        </w:numPr>
        <w:ind w:firstLineChars="0"/>
        <w:rPr>
          <w:color w:val="auto"/>
          <w:highlight w:val="none"/>
        </w:rPr>
      </w:pPr>
      <w:r>
        <w:rPr>
          <w:rFonts w:hint="eastAsia" w:ascii="宋体" w:hAnsi="宋体" w:cs="宋体"/>
          <w:color w:val="auto"/>
          <w:kern w:val="0"/>
          <w:highlight w:val="none"/>
        </w:rPr>
        <w:t>货物配置清单………………………………………………………………………（页码）</w:t>
      </w:r>
    </w:p>
    <w:p>
      <w:pPr>
        <w:numPr>
          <w:ilvl w:val="0"/>
          <w:numId w:val="31"/>
        </w:numPr>
        <w:ind w:firstLineChars="0"/>
        <w:rPr>
          <w:color w:val="auto"/>
          <w:highlight w:val="none"/>
        </w:rPr>
      </w:pPr>
      <w:r>
        <w:rPr>
          <w:rFonts w:hint="eastAsia" w:ascii="宋体" w:hAnsi="宋体" w:cs="宋体"/>
          <w:color w:val="auto"/>
          <w:kern w:val="0"/>
          <w:highlight w:val="none"/>
        </w:rPr>
        <w:t>投标产品技术支持资料……………………………………………………………（页码）</w:t>
      </w:r>
    </w:p>
    <w:p>
      <w:pPr>
        <w:numPr>
          <w:ilvl w:val="0"/>
          <w:numId w:val="31"/>
        </w:numPr>
        <w:ind w:firstLineChars="0"/>
        <w:rPr>
          <w:color w:val="auto"/>
          <w:highlight w:val="none"/>
        </w:rPr>
      </w:pPr>
      <w:r>
        <w:rPr>
          <w:rFonts w:hint="eastAsia" w:ascii="宋体" w:hAnsi="宋体" w:cs="宋体"/>
          <w:color w:val="auto"/>
          <w:kern w:val="0"/>
          <w:highlight w:val="none"/>
        </w:rPr>
        <w:t>项目实施方案………………………………………………………………  ……（页码）</w:t>
      </w:r>
    </w:p>
    <w:p>
      <w:pPr>
        <w:numPr>
          <w:ilvl w:val="0"/>
          <w:numId w:val="31"/>
        </w:numPr>
        <w:ind w:firstLineChars="0"/>
        <w:rPr>
          <w:rFonts w:ascii="宋体" w:hAnsi="宋体" w:cs="宋体"/>
          <w:color w:val="auto"/>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31"/>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31"/>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31"/>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9"/>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浙江中医药大学、浙江五石工程咨询有限公司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浙江中医药大学、浙江五石工程咨询有限公司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r>
        <w:rPr>
          <w:rFonts w:hint="eastAsia" w:ascii="宋体" w:hAnsi="宋体" w:eastAsia="宋体" w:cs="宋体"/>
          <w:color w:val="auto"/>
          <w:highlight w:val="none"/>
        </w:rPr>
        <w:t>说明：</w:t>
      </w:r>
    </w:p>
    <w:p>
      <w:pPr>
        <w:pStyle w:val="20"/>
        <w:spacing w:before="120" w:after="120" w:line="360" w:lineRule="auto"/>
        <w:rPr>
          <w:rFonts w:hAnsi="宋体"/>
          <w:b/>
          <w:color w:val="auto"/>
          <w:spacing w:val="-6"/>
          <w:highlight w:val="none"/>
        </w:rPr>
      </w:pPr>
      <w:r>
        <w:rPr>
          <w:rFonts w:hint="eastAsia" w:hAnsi="宋体"/>
          <w:b/>
          <w:color w:val="auto"/>
          <w:spacing w:val="-6"/>
          <w:highlight w:val="none"/>
        </w:rPr>
        <w:t>一、法定代表人参加投标的，须在响应文件中提供：法定代表人资格证明书；</w:t>
      </w:r>
    </w:p>
    <w:p>
      <w:pPr>
        <w:pStyle w:val="20"/>
        <w:spacing w:before="120" w:after="120" w:line="360" w:lineRule="auto"/>
        <w:rPr>
          <w:rFonts w:hAnsi="宋体"/>
          <w:b/>
          <w:color w:val="auto"/>
          <w:spacing w:val="-6"/>
          <w:highlight w:val="none"/>
        </w:rPr>
      </w:pPr>
      <w:r>
        <w:rPr>
          <w:rFonts w:hint="eastAsia" w:hAnsi="宋体"/>
          <w:b/>
          <w:color w:val="auto"/>
          <w:spacing w:val="-6"/>
          <w:highlight w:val="none"/>
        </w:rPr>
        <w:t>二、</w:t>
      </w:r>
      <w:r>
        <w:rPr>
          <w:rFonts w:hint="eastAsia" w:hAnsi="宋体"/>
          <w:color w:val="auto"/>
          <w:kern w:val="0"/>
          <w:highlight w:val="none"/>
        </w:rPr>
        <w:t>★</w:t>
      </w:r>
      <w:r>
        <w:rPr>
          <w:rFonts w:hint="eastAsia" w:hAnsi="宋体"/>
          <w:b/>
          <w:color w:val="auto"/>
          <w:spacing w:val="-6"/>
          <w:highlight w:val="none"/>
        </w:rPr>
        <w:t>法定代表人委托授权代表参加投标，须在响应文件中提供：法定代表人资格证明书和法定代表人授权委托书及</w:t>
      </w:r>
      <w:r>
        <w:rPr>
          <w:rFonts w:hint="eastAsia" w:hAnsi="宋体"/>
          <w:b/>
          <w:color w:val="auto"/>
          <w:spacing w:val="-6"/>
          <w:sz w:val="30"/>
          <w:szCs w:val="30"/>
          <w:highlight w:val="none"/>
        </w:rPr>
        <w:t>社保缴纳证明</w:t>
      </w:r>
      <w:r>
        <w:rPr>
          <w:rFonts w:hint="eastAsia" w:hAnsi="宋体"/>
          <w:b/>
          <w:color w:val="auto"/>
          <w:spacing w:val="-6"/>
          <w:highlight w:val="none"/>
        </w:rPr>
        <w:t>。</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浙江中医药大学、浙江五石工程咨询有限公司：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项目[招标编号： </w:t>
      </w:r>
      <w:r>
        <w:rPr>
          <w:rFonts w:hint="eastAsia" w:ascii="宋体" w:hAnsi="宋体" w:cs="宋体"/>
          <w:color w:val="auto"/>
          <w:highlight w:val="none"/>
          <w:u w:val="single"/>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浙江中医药大学：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89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189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52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附件十一 产品规格配置清单</w:t>
      </w:r>
    </w:p>
    <w:p>
      <w:pPr>
        <w:ind w:firstLine="643"/>
        <w:rPr>
          <w:b/>
          <w:color w:val="auto"/>
          <w:sz w:val="32"/>
          <w:szCs w:val="32"/>
          <w:highlight w:val="none"/>
        </w:rPr>
      </w:pPr>
    </w:p>
    <w:p>
      <w:pPr>
        <w:pStyle w:val="2"/>
        <w:rPr>
          <w:color w:val="auto"/>
          <w:highlight w:val="none"/>
        </w:rPr>
      </w:pPr>
    </w:p>
    <w:p>
      <w:pPr>
        <w:ind w:firstLine="456"/>
        <w:rPr>
          <w:rFonts w:ascii="宋体" w:hAnsi="宋体"/>
          <w:bCs/>
          <w:color w:val="auto"/>
          <w:spacing w:val="-6"/>
          <w:highlight w:val="none"/>
        </w:rPr>
      </w:pPr>
      <w:r>
        <w:rPr>
          <w:rFonts w:hint="eastAsia" w:ascii="宋体" w:hAnsi="宋体"/>
          <w:bCs/>
          <w:color w:val="auto"/>
          <w:spacing w:val="-6"/>
          <w:highlight w:val="none"/>
        </w:rPr>
        <w:t>项目名称：                                               项目编号：</w:t>
      </w:r>
    </w:p>
    <w:p>
      <w:pPr>
        <w:ind w:firstLine="480"/>
        <w:rPr>
          <w:color w:val="auto"/>
          <w:highlight w:val="none"/>
        </w:rPr>
      </w:pPr>
    </w:p>
    <w:tbl>
      <w:tblPr>
        <w:tblStyle w:val="3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序号</w:t>
            </w:r>
          </w:p>
        </w:tc>
        <w:tc>
          <w:tcPr>
            <w:tcW w:w="2203"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设备名称</w:t>
            </w:r>
          </w:p>
        </w:tc>
        <w:tc>
          <w:tcPr>
            <w:tcW w:w="3107"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投标品牌及型号</w:t>
            </w:r>
          </w:p>
        </w:tc>
        <w:tc>
          <w:tcPr>
            <w:tcW w:w="1554"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数量</w:t>
            </w:r>
          </w:p>
        </w:tc>
        <w:tc>
          <w:tcPr>
            <w:tcW w:w="1916"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1</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2</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bl>
    <w:p>
      <w:pPr>
        <w:pStyle w:val="2"/>
        <w:rPr>
          <w:rFonts w:ascii="宋体" w:hAnsi="宋体"/>
          <w:b/>
          <w:color w:val="auto"/>
          <w:highlight w:val="none"/>
        </w:rPr>
      </w:pPr>
    </w:p>
    <w:p>
      <w:pPr>
        <w:pStyle w:val="2"/>
        <w:rPr>
          <w:color w:val="auto"/>
          <w:highlight w:val="none"/>
        </w:rPr>
      </w:pPr>
    </w:p>
    <w:p>
      <w:pPr>
        <w:spacing w:line="440" w:lineRule="exact"/>
        <w:ind w:firstLine="456"/>
        <w:jc w:val="left"/>
        <w:rPr>
          <w:rFonts w:ascii="宋体" w:hAnsi="宋体"/>
          <w:color w:val="auto"/>
          <w:spacing w:val="-6"/>
          <w:highlight w:val="none"/>
        </w:rPr>
      </w:pPr>
      <w:r>
        <w:rPr>
          <w:rFonts w:hint="eastAsia" w:ascii="宋体" w:hAnsi="宋体"/>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2"/>
        <w:rPr>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ascii="宋体" w:hAnsi="宋体" w:cs="宋体"/>
          <w:color w:val="auto"/>
          <w:highlight w:val="none"/>
        </w:rPr>
        <w:br w:type="page"/>
      </w:r>
    </w:p>
    <w:p>
      <w:pPr>
        <w:pStyle w:val="3"/>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附件十二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附件十三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附件十四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附件十五 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color w:val="auto"/>
          <w:highlight w:val="none"/>
        </w:rPr>
      </w:pPr>
      <w:r>
        <w:rPr>
          <w:rFonts w:hint="eastAsia"/>
          <w:color w:val="auto"/>
          <w:highlight w:val="none"/>
        </w:rPr>
        <w:br w:type="page"/>
      </w:r>
    </w:p>
    <w:bookmarkEnd w:id="53"/>
    <w:bookmarkEnd w:id="54"/>
    <w:bookmarkEnd w:id="55"/>
    <w:bookmarkEnd w:id="56"/>
    <w:bookmarkEnd w:id="57"/>
    <w:bookmarkEnd w:id="58"/>
    <w:bookmarkEnd w:id="59"/>
    <w:bookmarkEnd w:id="60"/>
    <w:p>
      <w:pPr>
        <w:pStyle w:val="6"/>
        <w:rPr>
          <w:rFonts w:ascii="宋体" w:hAnsi="宋体" w:cs="宋体"/>
          <w:color w:val="auto"/>
          <w:highlight w:val="none"/>
        </w:rPr>
      </w:pPr>
      <w:r>
        <w:rPr>
          <w:rFonts w:hint="eastAsia" w:ascii="宋体" w:hAnsi="宋体" w:cs="宋体"/>
          <w:color w:val="auto"/>
          <w:highlight w:val="none"/>
        </w:rPr>
        <w:t>附件十六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1"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71</w:t>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71</w:t>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rPr>
                              <w:rFonts w:hint="eastAsia"/>
                              <w:lang w:val="en-US" w:eastAsia="zh-CN"/>
                            </w:rPr>
                            <w:t>71</w:t>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rPr>
                        <w:rFonts w:hint="eastAsia"/>
                        <w:lang w:val="en-US" w:eastAsia="zh-CN"/>
                      </w:rPr>
                      <w:t>71</w:t>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71</w:t>
                          </w:r>
                          <w:r>
                            <w:rPr>
                              <w:rFonts w:hint="eastAsia"/>
                            </w:rPr>
                            <w:t>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71</w:t>
                    </w:r>
                    <w:r>
                      <w:rPr>
                        <w:rFonts w:hint="eastAsia"/>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C5322"/>
    <w:multiLevelType w:val="singleLevel"/>
    <w:tmpl w:val="814C5322"/>
    <w:lvl w:ilvl="0" w:tentative="0">
      <w:start w:val="1"/>
      <w:numFmt w:val="decimal"/>
      <w:lvlText w:val="%1."/>
      <w:lvlJc w:val="left"/>
      <w:pPr>
        <w:tabs>
          <w:tab w:val="left" w:pos="312"/>
        </w:tabs>
      </w:pPr>
    </w:lvl>
  </w:abstractNum>
  <w:abstractNum w:abstractNumId="1">
    <w:nsid w:val="9A97B493"/>
    <w:multiLevelType w:val="singleLevel"/>
    <w:tmpl w:val="9A97B493"/>
    <w:lvl w:ilvl="0" w:tentative="0">
      <w:start w:val="1"/>
      <w:numFmt w:val="decimal"/>
      <w:lvlText w:val="(%1)"/>
      <w:lvlJc w:val="left"/>
      <w:pPr>
        <w:ind w:left="425" w:hanging="425"/>
      </w:pPr>
      <w:rPr>
        <w:rFonts w:hint="default"/>
      </w:rPr>
    </w:lvl>
  </w:abstractNum>
  <w:abstractNum w:abstractNumId="2">
    <w:nsid w:val="9B89128C"/>
    <w:multiLevelType w:val="singleLevel"/>
    <w:tmpl w:val="9B89128C"/>
    <w:lvl w:ilvl="0" w:tentative="0">
      <w:start w:val="1"/>
      <w:numFmt w:val="decimal"/>
      <w:suff w:val="nothing"/>
      <w:lvlText w:val="（%1）"/>
      <w:lvlJc w:val="left"/>
    </w:lvl>
  </w:abstractNum>
  <w:abstractNum w:abstractNumId="3">
    <w:nsid w:val="A523208E"/>
    <w:multiLevelType w:val="singleLevel"/>
    <w:tmpl w:val="A523208E"/>
    <w:lvl w:ilvl="0" w:tentative="0">
      <w:start w:val="1"/>
      <w:numFmt w:val="decimal"/>
      <w:suff w:val="nothing"/>
      <w:lvlText w:val="（%1）"/>
      <w:lvlJc w:val="left"/>
    </w:lvl>
  </w:abstractNum>
  <w:abstractNum w:abstractNumId="4">
    <w:nsid w:val="A52AF1D9"/>
    <w:multiLevelType w:val="multilevel"/>
    <w:tmpl w:val="A52AF1D9"/>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BE61FD2"/>
    <w:multiLevelType w:val="singleLevel"/>
    <w:tmpl w:val="ABE61FD2"/>
    <w:lvl w:ilvl="0" w:tentative="0">
      <w:start w:val="1"/>
      <w:numFmt w:val="decimal"/>
      <w:lvlText w:val="%1."/>
      <w:lvlJc w:val="left"/>
      <w:pPr>
        <w:tabs>
          <w:tab w:val="left" w:pos="312"/>
        </w:tabs>
      </w:pPr>
    </w:lvl>
  </w:abstractNum>
  <w:abstractNum w:abstractNumId="6">
    <w:nsid w:val="B780C782"/>
    <w:multiLevelType w:val="singleLevel"/>
    <w:tmpl w:val="B780C782"/>
    <w:lvl w:ilvl="0" w:tentative="0">
      <w:start w:val="1"/>
      <w:numFmt w:val="decimal"/>
      <w:lvlText w:val="%1."/>
      <w:lvlJc w:val="left"/>
      <w:pPr>
        <w:tabs>
          <w:tab w:val="left" w:pos="312"/>
        </w:tabs>
      </w:pPr>
    </w:lvl>
  </w:abstractNum>
  <w:abstractNum w:abstractNumId="7">
    <w:nsid w:val="B9FECD7A"/>
    <w:multiLevelType w:val="singleLevel"/>
    <w:tmpl w:val="B9FECD7A"/>
    <w:lvl w:ilvl="0" w:tentative="0">
      <w:start w:val="1"/>
      <w:numFmt w:val="decimal"/>
      <w:lvlText w:val="(%1)"/>
      <w:lvlJc w:val="left"/>
      <w:pPr>
        <w:ind w:left="425" w:hanging="425"/>
      </w:pPr>
      <w:rPr>
        <w:rFonts w:hint="default"/>
      </w:rPr>
    </w:lvl>
  </w:abstractNum>
  <w:abstractNum w:abstractNumId="8">
    <w:nsid w:val="BB30D5A7"/>
    <w:multiLevelType w:val="singleLevel"/>
    <w:tmpl w:val="BB30D5A7"/>
    <w:lvl w:ilvl="0" w:tentative="0">
      <w:start w:val="1"/>
      <w:numFmt w:val="decimal"/>
      <w:lvlText w:val="%1."/>
      <w:lvlJc w:val="left"/>
      <w:pPr>
        <w:ind w:left="425" w:hanging="425"/>
      </w:pPr>
      <w:rPr>
        <w:rFonts w:hint="default"/>
      </w:rPr>
    </w:lvl>
  </w:abstractNum>
  <w:abstractNum w:abstractNumId="9">
    <w:nsid w:val="C9753911"/>
    <w:multiLevelType w:val="singleLevel"/>
    <w:tmpl w:val="C9753911"/>
    <w:lvl w:ilvl="0" w:tentative="0">
      <w:start w:val="1"/>
      <w:numFmt w:val="decimal"/>
      <w:suff w:val="nothing"/>
      <w:lvlText w:val="（%1）"/>
      <w:lvlJc w:val="left"/>
    </w:lvl>
  </w:abstractNum>
  <w:abstractNum w:abstractNumId="10">
    <w:nsid w:val="C9B6B4D9"/>
    <w:multiLevelType w:val="singleLevel"/>
    <w:tmpl w:val="C9B6B4D9"/>
    <w:lvl w:ilvl="0" w:tentative="0">
      <w:start w:val="1"/>
      <w:numFmt w:val="decimal"/>
      <w:lvlText w:val="%1."/>
      <w:lvlJc w:val="left"/>
      <w:pPr>
        <w:tabs>
          <w:tab w:val="left" w:pos="312"/>
        </w:tabs>
      </w:pPr>
    </w:lvl>
  </w:abstractNum>
  <w:abstractNum w:abstractNumId="11">
    <w:nsid w:val="D9CA0DB3"/>
    <w:multiLevelType w:val="singleLevel"/>
    <w:tmpl w:val="D9CA0DB3"/>
    <w:lvl w:ilvl="0" w:tentative="0">
      <w:start w:val="1"/>
      <w:numFmt w:val="chineseCounting"/>
      <w:suff w:val="nothing"/>
      <w:lvlText w:val="%1、"/>
      <w:lvlJc w:val="left"/>
      <w:rPr>
        <w:rFonts w:hint="eastAsia"/>
      </w:rPr>
    </w:lvl>
  </w:abstractNum>
  <w:abstractNum w:abstractNumId="12">
    <w:nsid w:val="F56FB2D7"/>
    <w:multiLevelType w:val="singleLevel"/>
    <w:tmpl w:val="F56FB2D7"/>
    <w:lvl w:ilvl="0" w:tentative="0">
      <w:start w:val="4"/>
      <w:numFmt w:val="decimal"/>
      <w:suff w:val="nothing"/>
      <w:lvlText w:val="（%1）"/>
      <w:lvlJc w:val="left"/>
    </w:lvl>
  </w:abstractNum>
  <w:abstractNum w:abstractNumId="13">
    <w:nsid w:val="F6D5FE6C"/>
    <w:multiLevelType w:val="singleLevel"/>
    <w:tmpl w:val="F6D5FE6C"/>
    <w:lvl w:ilvl="0" w:tentative="0">
      <w:start w:val="1"/>
      <w:numFmt w:val="decimal"/>
      <w:lvlText w:val="%1."/>
      <w:lvlJc w:val="left"/>
      <w:pPr>
        <w:ind w:left="425" w:hanging="425"/>
      </w:pPr>
      <w:rPr>
        <w:rFonts w:hint="default"/>
      </w:rPr>
    </w:lvl>
  </w:abstractNum>
  <w:abstractNum w:abstractNumId="14">
    <w:nsid w:val="F81965CD"/>
    <w:multiLevelType w:val="singleLevel"/>
    <w:tmpl w:val="F81965CD"/>
    <w:lvl w:ilvl="0" w:tentative="0">
      <w:start w:val="1"/>
      <w:numFmt w:val="decimal"/>
      <w:suff w:val="nothing"/>
      <w:lvlText w:val="（%1）"/>
      <w:lvlJc w:val="left"/>
    </w:lvl>
  </w:abstractNum>
  <w:abstractNum w:abstractNumId="15">
    <w:nsid w:val="F882CDA0"/>
    <w:multiLevelType w:val="singleLevel"/>
    <w:tmpl w:val="F882CDA0"/>
    <w:lvl w:ilvl="0" w:tentative="0">
      <w:start w:val="1"/>
      <w:numFmt w:val="decimal"/>
      <w:lvlText w:val="%1."/>
      <w:lvlJc w:val="left"/>
      <w:pPr>
        <w:tabs>
          <w:tab w:val="left" w:pos="312"/>
        </w:tabs>
      </w:pPr>
    </w:lvl>
  </w:abstractNum>
  <w:abstractNum w:abstractNumId="1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02B09879"/>
    <w:multiLevelType w:val="singleLevel"/>
    <w:tmpl w:val="02B09879"/>
    <w:lvl w:ilvl="0" w:tentative="0">
      <w:start w:val="1"/>
      <w:numFmt w:val="decimal"/>
      <w:suff w:val="nothing"/>
      <w:lvlText w:val="（%1）"/>
      <w:lvlJc w:val="left"/>
    </w:lvl>
  </w:abstractNum>
  <w:abstractNum w:abstractNumId="18">
    <w:nsid w:val="0BE88E13"/>
    <w:multiLevelType w:val="singleLevel"/>
    <w:tmpl w:val="0BE88E13"/>
    <w:lvl w:ilvl="0" w:tentative="0">
      <w:start w:val="1"/>
      <w:numFmt w:val="decimal"/>
      <w:lvlText w:val="%1."/>
      <w:lvlJc w:val="left"/>
      <w:pPr>
        <w:tabs>
          <w:tab w:val="left" w:pos="312"/>
        </w:tabs>
      </w:pPr>
    </w:lvl>
  </w:abstractNum>
  <w:abstractNum w:abstractNumId="19">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376A3B4"/>
    <w:multiLevelType w:val="singleLevel"/>
    <w:tmpl w:val="3376A3B4"/>
    <w:lvl w:ilvl="0" w:tentative="0">
      <w:start w:val="1"/>
      <w:numFmt w:val="decimal"/>
      <w:lvlText w:val="%1."/>
      <w:lvlJc w:val="left"/>
      <w:pPr>
        <w:tabs>
          <w:tab w:val="left" w:pos="312"/>
        </w:tabs>
      </w:pPr>
    </w:lvl>
  </w:abstractNum>
  <w:abstractNum w:abstractNumId="21">
    <w:nsid w:val="3B303744"/>
    <w:multiLevelType w:val="singleLevel"/>
    <w:tmpl w:val="3B303744"/>
    <w:lvl w:ilvl="0" w:tentative="0">
      <w:start w:val="1"/>
      <w:numFmt w:val="decimal"/>
      <w:lvlText w:val="%1."/>
      <w:lvlJc w:val="left"/>
      <w:pPr>
        <w:tabs>
          <w:tab w:val="left" w:pos="312"/>
        </w:tabs>
      </w:pPr>
    </w:lvl>
  </w:abstractNum>
  <w:abstractNum w:abstractNumId="22">
    <w:nsid w:val="4068A08C"/>
    <w:multiLevelType w:val="singleLevel"/>
    <w:tmpl w:val="4068A08C"/>
    <w:lvl w:ilvl="0" w:tentative="0">
      <w:start w:val="1"/>
      <w:numFmt w:val="decimal"/>
      <w:lvlText w:val="%1."/>
      <w:lvlJc w:val="left"/>
      <w:pPr>
        <w:ind w:left="425" w:hanging="425"/>
      </w:pPr>
      <w:rPr>
        <w:rFonts w:hint="default"/>
      </w:rPr>
    </w:lvl>
  </w:abstractNum>
  <w:abstractNum w:abstractNumId="23">
    <w:nsid w:val="41C5F5BA"/>
    <w:multiLevelType w:val="singleLevel"/>
    <w:tmpl w:val="41C5F5BA"/>
    <w:lvl w:ilvl="0" w:tentative="0">
      <w:start w:val="1"/>
      <w:numFmt w:val="decimal"/>
      <w:lvlText w:val="%1."/>
      <w:lvlJc w:val="left"/>
      <w:pPr>
        <w:ind w:left="425" w:hanging="425"/>
      </w:pPr>
      <w:rPr>
        <w:rFonts w:hint="default"/>
      </w:rPr>
    </w:lvl>
  </w:abstractNum>
  <w:abstractNum w:abstractNumId="24">
    <w:nsid w:val="4BFDDBFF"/>
    <w:multiLevelType w:val="singleLevel"/>
    <w:tmpl w:val="4BFDDBFF"/>
    <w:lvl w:ilvl="0" w:tentative="0">
      <w:start w:val="1"/>
      <w:numFmt w:val="decimal"/>
      <w:suff w:val="nothing"/>
      <w:lvlText w:val="（%1）"/>
      <w:lvlJc w:val="left"/>
    </w:lvl>
  </w:abstractNum>
  <w:abstractNum w:abstractNumId="25">
    <w:nsid w:val="61FC8B23"/>
    <w:multiLevelType w:val="singleLevel"/>
    <w:tmpl w:val="61FC8B23"/>
    <w:lvl w:ilvl="0" w:tentative="0">
      <w:start w:val="10"/>
      <w:numFmt w:val="decimal"/>
      <w:lvlText w:val="%1."/>
      <w:lvlJc w:val="left"/>
      <w:pPr>
        <w:tabs>
          <w:tab w:val="left" w:pos="312"/>
        </w:tabs>
      </w:pPr>
    </w:lvl>
  </w:abstractNum>
  <w:abstractNum w:abstractNumId="26">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DFBE4A8"/>
    <w:multiLevelType w:val="multilevel"/>
    <w:tmpl w:val="6DFBE4A8"/>
    <w:lvl w:ilvl="0" w:tentative="0">
      <w:start w:val="7"/>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9">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76112D"/>
    <w:multiLevelType w:val="singleLevel"/>
    <w:tmpl w:val="7E76112D"/>
    <w:lvl w:ilvl="0" w:tentative="0">
      <w:start w:val="9"/>
      <w:numFmt w:val="decimal"/>
      <w:lvlText w:val="%1."/>
      <w:lvlJc w:val="left"/>
      <w:pPr>
        <w:tabs>
          <w:tab w:val="left" w:pos="312"/>
        </w:tabs>
      </w:pPr>
    </w:lvl>
  </w:abstractNum>
  <w:num w:numId="1">
    <w:abstractNumId w:val="26"/>
  </w:num>
  <w:num w:numId="2">
    <w:abstractNumId w:val="27"/>
  </w:num>
  <w:num w:numId="3">
    <w:abstractNumId w:val="19"/>
  </w:num>
  <w:num w:numId="4">
    <w:abstractNumId w:val="8"/>
  </w:num>
  <w:num w:numId="5">
    <w:abstractNumId w:val="20"/>
  </w:num>
  <w:num w:numId="6">
    <w:abstractNumId w:val="28"/>
  </w:num>
  <w:num w:numId="7">
    <w:abstractNumId w:val="10"/>
  </w:num>
  <w:num w:numId="8">
    <w:abstractNumId w:val="21"/>
  </w:num>
  <w:num w:numId="9">
    <w:abstractNumId w:val="25"/>
  </w:num>
  <w:num w:numId="10">
    <w:abstractNumId w:val="15"/>
  </w:num>
  <w:num w:numId="11">
    <w:abstractNumId w:val="18"/>
  </w:num>
  <w:num w:numId="12">
    <w:abstractNumId w:val="0"/>
  </w:num>
  <w:num w:numId="13">
    <w:abstractNumId w:val="6"/>
  </w:num>
  <w:num w:numId="14">
    <w:abstractNumId w:val="5"/>
  </w:num>
  <w:num w:numId="15">
    <w:abstractNumId w:val="29"/>
  </w:num>
  <w:num w:numId="16">
    <w:abstractNumId w:val="4"/>
  </w:num>
  <w:num w:numId="17">
    <w:abstractNumId w:val="23"/>
  </w:num>
  <w:num w:numId="18">
    <w:abstractNumId w:val="24"/>
  </w:num>
  <w:num w:numId="19">
    <w:abstractNumId w:val="1"/>
  </w:num>
  <w:num w:numId="20">
    <w:abstractNumId w:val="7"/>
  </w:num>
  <w:num w:numId="21">
    <w:abstractNumId w:val="12"/>
  </w:num>
  <w:num w:numId="22">
    <w:abstractNumId w:val="3"/>
  </w:num>
  <w:num w:numId="23">
    <w:abstractNumId w:val="30"/>
  </w:num>
  <w:num w:numId="24">
    <w:abstractNumId w:val="16"/>
  </w:num>
  <w:num w:numId="25">
    <w:abstractNumId w:val="13"/>
  </w:num>
  <w:num w:numId="26">
    <w:abstractNumId w:val="11"/>
  </w:num>
  <w:num w:numId="27">
    <w:abstractNumId w:val="14"/>
  </w:num>
  <w:num w:numId="28">
    <w:abstractNumId w:val="2"/>
  </w:num>
  <w:num w:numId="29">
    <w:abstractNumId w:val="9"/>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585"/>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47DB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1E04"/>
    <w:rsid w:val="0006421C"/>
    <w:rsid w:val="00064331"/>
    <w:rsid w:val="0006488C"/>
    <w:rsid w:val="00066FF5"/>
    <w:rsid w:val="00071D0C"/>
    <w:rsid w:val="00073925"/>
    <w:rsid w:val="000745F6"/>
    <w:rsid w:val="0007498A"/>
    <w:rsid w:val="00080A0E"/>
    <w:rsid w:val="00083904"/>
    <w:rsid w:val="000839F9"/>
    <w:rsid w:val="00084E75"/>
    <w:rsid w:val="00085C83"/>
    <w:rsid w:val="00087CAA"/>
    <w:rsid w:val="0009057D"/>
    <w:rsid w:val="00090D1F"/>
    <w:rsid w:val="00090FF6"/>
    <w:rsid w:val="0009249B"/>
    <w:rsid w:val="00092B40"/>
    <w:rsid w:val="00093CEB"/>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3EDD"/>
    <w:rsid w:val="000C5DBD"/>
    <w:rsid w:val="000C61EA"/>
    <w:rsid w:val="000C7CF9"/>
    <w:rsid w:val="000D2071"/>
    <w:rsid w:val="000D331A"/>
    <w:rsid w:val="000D434F"/>
    <w:rsid w:val="000D4D96"/>
    <w:rsid w:val="000D57D1"/>
    <w:rsid w:val="000D788C"/>
    <w:rsid w:val="000D7C23"/>
    <w:rsid w:val="000D7FEC"/>
    <w:rsid w:val="000E1852"/>
    <w:rsid w:val="000E1EAA"/>
    <w:rsid w:val="000E1EEA"/>
    <w:rsid w:val="000E3154"/>
    <w:rsid w:val="000E77D9"/>
    <w:rsid w:val="000F1211"/>
    <w:rsid w:val="000F12CA"/>
    <w:rsid w:val="000F3297"/>
    <w:rsid w:val="000F444F"/>
    <w:rsid w:val="000F4473"/>
    <w:rsid w:val="000F58E0"/>
    <w:rsid w:val="000F6102"/>
    <w:rsid w:val="000F64D5"/>
    <w:rsid w:val="0010080A"/>
    <w:rsid w:val="0010157A"/>
    <w:rsid w:val="00105C5E"/>
    <w:rsid w:val="0011181B"/>
    <w:rsid w:val="0011211A"/>
    <w:rsid w:val="00112B47"/>
    <w:rsid w:val="00113108"/>
    <w:rsid w:val="001148C6"/>
    <w:rsid w:val="00115094"/>
    <w:rsid w:val="001200F0"/>
    <w:rsid w:val="001241A6"/>
    <w:rsid w:val="0012516A"/>
    <w:rsid w:val="001266F7"/>
    <w:rsid w:val="00127E3B"/>
    <w:rsid w:val="00134E45"/>
    <w:rsid w:val="0013546A"/>
    <w:rsid w:val="0013792B"/>
    <w:rsid w:val="00140519"/>
    <w:rsid w:val="001443A3"/>
    <w:rsid w:val="0014477F"/>
    <w:rsid w:val="00144E22"/>
    <w:rsid w:val="00145FC1"/>
    <w:rsid w:val="00153938"/>
    <w:rsid w:val="00154FA3"/>
    <w:rsid w:val="001568D6"/>
    <w:rsid w:val="00160020"/>
    <w:rsid w:val="001603BB"/>
    <w:rsid w:val="00160F1A"/>
    <w:rsid w:val="001613F6"/>
    <w:rsid w:val="00161AB9"/>
    <w:rsid w:val="00162AC7"/>
    <w:rsid w:val="00163CF5"/>
    <w:rsid w:val="00163D3F"/>
    <w:rsid w:val="00164038"/>
    <w:rsid w:val="0016454E"/>
    <w:rsid w:val="00164B17"/>
    <w:rsid w:val="00166F73"/>
    <w:rsid w:val="0017056C"/>
    <w:rsid w:val="001719C5"/>
    <w:rsid w:val="0017260C"/>
    <w:rsid w:val="0017509E"/>
    <w:rsid w:val="00176C19"/>
    <w:rsid w:val="0018166E"/>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141"/>
    <w:rsid w:val="001A6304"/>
    <w:rsid w:val="001B0AEC"/>
    <w:rsid w:val="001B4607"/>
    <w:rsid w:val="001B4ACA"/>
    <w:rsid w:val="001B6084"/>
    <w:rsid w:val="001B68D8"/>
    <w:rsid w:val="001C031F"/>
    <w:rsid w:val="001C09CF"/>
    <w:rsid w:val="001C0A17"/>
    <w:rsid w:val="001C42CD"/>
    <w:rsid w:val="001C441C"/>
    <w:rsid w:val="001C4DD1"/>
    <w:rsid w:val="001C4DE4"/>
    <w:rsid w:val="001C597A"/>
    <w:rsid w:val="001C6E99"/>
    <w:rsid w:val="001C78A7"/>
    <w:rsid w:val="001D25B6"/>
    <w:rsid w:val="001D2793"/>
    <w:rsid w:val="001D6435"/>
    <w:rsid w:val="001D67D5"/>
    <w:rsid w:val="001E4700"/>
    <w:rsid w:val="001E6BA1"/>
    <w:rsid w:val="001F1D58"/>
    <w:rsid w:val="001F2B86"/>
    <w:rsid w:val="001F3632"/>
    <w:rsid w:val="001F3B28"/>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7FC"/>
    <w:rsid w:val="00242A24"/>
    <w:rsid w:val="002434B6"/>
    <w:rsid w:val="002447B7"/>
    <w:rsid w:val="00244F98"/>
    <w:rsid w:val="002452ED"/>
    <w:rsid w:val="0025013F"/>
    <w:rsid w:val="002510A9"/>
    <w:rsid w:val="0025343D"/>
    <w:rsid w:val="002539A2"/>
    <w:rsid w:val="00254E25"/>
    <w:rsid w:val="0026022B"/>
    <w:rsid w:val="0026685D"/>
    <w:rsid w:val="0026688A"/>
    <w:rsid w:val="00266937"/>
    <w:rsid w:val="00267608"/>
    <w:rsid w:val="00267B23"/>
    <w:rsid w:val="00267CCE"/>
    <w:rsid w:val="00270528"/>
    <w:rsid w:val="002714CF"/>
    <w:rsid w:val="0027327B"/>
    <w:rsid w:val="00277B3D"/>
    <w:rsid w:val="00281B19"/>
    <w:rsid w:val="00282430"/>
    <w:rsid w:val="00283762"/>
    <w:rsid w:val="00283A95"/>
    <w:rsid w:val="00283DBA"/>
    <w:rsid w:val="00287043"/>
    <w:rsid w:val="002A0C08"/>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284"/>
    <w:rsid w:val="002D73CD"/>
    <w:rsid w:val="002E2BEE"/>
    <w:rsid w:val="002E3D90"/>
    <w:rsid w:val="002E41DB"/>
    <w:rsid w:val="002E5D7F"/>
    <w:rsid w:val="002F3D28"/>
    <w:rsid w:val="002F603A"/>
    <w:rsid w:val="002F7862"/>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35C34"/>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86948"/>
    <w:rsid w:val="003977AF"/>
    <w:rsid w:val="00397FCB"/>
    <w:rsid w:val="003A17D7"/>
    <w:rsid w:val="003A21C4"/>
    <w:rsid w:val="003A3CE9"/>
    <w:rsid w:val="003A52B2"/>
    <w:rsid w:val="003B0382"/>
    <w:rsid w:val="003B532D"/>
    <w:rsid w:val="003C0650"/>
    <w:rsid w:val="003C0693"/>
    <w:rsid w:val="003C0BA8"/>
    <w:rsid w:val="003C2BAA"/>
    <w:rsid w:val="003C430F"/>
    <w:rsid w:val="003C6FB6"/>
    <w:rsid w:val="003C70A4"/>
    <w:rsid w:val="003D111D"/>
    <w:rsid w:val="003D1A1D"/>
    <w:rsid w:val="003D441F"/>
    <w:rsid w:val="003D655A"/>
    <w:rsid w:val="003D71E5"/>
    <w:rsid w:val="003D79E7"/>
    <w:rsid w:val="003E284D"/>
    <w:rsid w:val="003E2AB8"/>
    <w:rsid w:val="003E3474"/>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76E1"/>
    <w:rsid w:val="0043001F"/>
    <w:rsid w:val="004341AA"/>
    <w:rsid w:val="00434380"/>
    <w:rsid w:val="00434685"/>
    <w:rsid w:val="00434C28"/>
    <w:rsid w:val="0043524F"/>
    <w:rsid w:val="00436270"/>
    <w:rsid w:val="00437350"/>
    <w:rsid w:val="0043763D"/>
    <w:rsid w:val="00440896"/>
    <w:rsid w:val="00445CFD"/>
    <w:rsid w:val="004468DE"/>
    <w:rsid w:val="00447A63"/>
    <w:rsid w:val="0045047B"/>
    <w:rsid w:val="00451AEA"/>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09BF"/>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850"/>
    <w:rsid w:val="004D29FF"/>
    <w:rsid w:val="004D41E3"/>
    <w:rsid w:val="004D626B"/>
    <w:rsid w:val="004D6905"/>
    <w:rsid w:val="004D6F27"/>
    <w:rsid w:val="004D7553"/>
    <w:rsid w:val="004D7C4C"/>
    <w:rsid w:val="004E0F9A"/>
    <w:rsid w:val="004E21F5"/>
    <w:rsid w:val="004E33DC"/>
    <w:rsid w:val="004E4CB6"/>
    <w:rsid w:val="004E6BA4"/>
    <w:rsid w:val="004E7787"/>
    <w:rsid w:val="004F0B26"/>
    <w:rsid w:val="004F0FCE"/>
    <w:rsid w:val="004F1426"/>
    <w:rsid w:val="004F1662"/>
    <w:rsid w:val="004F202B"/>
    <w:rsid w:val="004F3507"/>
    <w:rsid w:val="004F3EE4"/>
    <w:rsid w:val="004F42C4"/>
    <w:rsid w:val="004F5477"/>
    <w:rsid w:val="004F7E99"/>
    <w:rsid w:val="004F7FE8"/>
    <w:rsid w:val="0050000D"/>
    <w:rsid w:val="00500645"/>
    <w:rsid w:val="00503042"/>
    <w:rsid w:val="00503AA5"/>
    <w:rsid w:val="00504E09"/>
    <w:rsid w:val="00516827"/>
    <w:rsid w:val="00516B63"/>
    <w:rsid w:val="005206C3"/>
    <w:rsid w:val="00521C7F"/>
    <w:rsid w:val="00522CAF"/>
    <w:rsid w:val="00526755"/>
    <w:rsid w:val="00526C59"/>
    <w:rsid w:val="00530109"/>
    <w:rsid w:val="005306D3"/>
    <w:rsid w:val="00530BB1"/>
    <w:rsid w:val="0053248E"/>
    <w:rsid w:val="00532B43"/>
    <w:rsid w:val="00533248"/>
    <w:rsid w:val="005345B3"/>
    <w:rsid w:val="00537959"/>
    <w:rsid w:val="00541249"/>
    <w:rsid w:val="00541A28"/>
    <w:rsid w:val="00542FC6"/>
    <w:rsid w:val="00543072"/>
    <w:rsid w:val="005507B7"/>
    <w:rsid w:val="00550B70"/>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27"/>
    <w:rsid w:val="0058503E"/>
    <w:rsid w:val="0058622B"/>
    <w:rsid w:val="00587A9A"/>
    <w:rsid w:val="00592E21"/>
    <w:rsid w:val="00594717"/>
    <w:rsid w:val="005964EA"/>
    <w:rsid w:val="005A002A"/>
    <w:rsid w:val="005A010C"/>
    <w:rsid w:val="005A130D"/>
    <w:rsid w:val="005A1ACF"/>
    <w:rsid w:val="005A1B31"/>
    <w:rsid w:val="005A2AE3"/>
    <w:rsid w:val="005A7C49"/>
    <w:rsid w:val="005B6142"/>
    <w:rsid w:val="005C0C63"/>
    <w:rsid w:val="005C0E04"/>
    <w:rsid w:val="005C19C0"/>
    <w:rsid w:val="005C6222"/>
    <w:rsid w:val="005C6B3F"/>
    <w:rsid w:val="005D46CD"/>
    <w:rsid w:val="005D4A96"/>
    <w:rsid w:val="005D5E1B"/>
    <w:rsid w:val="005D6091"/>
    <w:rsid w:val="005E654C"/>
    <w:rsid w:val="005E7132"/>
    <w:rsid w:val="005F26B4"/>
    <w:rsid w:val="005F2D62"/>
    <w:rsid w:val="005F2D88"/>
    <w:rsid w:val="005F4D1B"/>
    <w:rsid w:val="005F4FB8"/>
    <w:rsid w:val="005F652D"/>
    <w:rsid w:val="005F6C39"/>
    <w:rsid w:val="005F77AA"/>
    <w:rsid w:val="005F79FD"/>
    <w:rsid w:val="00600341"/>
    <w:rsid w:val="0060094B"/>
    <w:rsid w:val="00602E21"/>
    <w:rsid w:val="00603612"/>
    <w:rsid w:val="0060380C"/>
    <w:rsid w:val="00603FC0"/>
    <w:rsid w:val="0060545C"/>
    <w:rsid w:val="00605622"/>
    <w:rsid w:val="00605AF4"/>
    <w:rsid w:val="00606E06"/>
    <w:rsid w:val="00607AAE"/>
    <w:rsid w:val="00610AEB"/>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730EC"/>
    <w:rsid w:val="006767DD"/>
    <w:rsid w:val="00682742"/>
    <w:rsid w:val="0068504F"/>
    <w:rsid w:val="006856E4"/>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177B"/>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80E"/>
    <w:rsid w:val="00734F3F"/>
    <w:rsid w:val="00740830"/>
    <w:rsid w:val="00741369"/>
    <w:rsid w:val="007420A7"/>
    <w:rsid w:val="00742819"/>
    <w:rsid w:val="00742F45"/>
    <w:rsid w:val="0074328C"/>
    <w:rsid w:val="007454AA"/>
    <w:rsid w:val="00746A57"/>
    <w:rsid w:val="00747F36"/>
    <w:rsid w:val="00751D07"/>
    <w:rsid w:val="00751D77"/>
    <w:rsid w:val="00754AB3"/>
    <w:rsid w:val="007554E9"/>
    <w:rsid w:val="00756186"/>
    <w:rsid w:val="007647EC"/>
    <w:rsid w:val="00764B4B"/>
    <w:rsid w:val="007657EC"/>
    <w:rsid w:val="00765AAB"/>
    <w:rsid w:val="00770034"/>
    <w:rsid w:val="00770C70"/>
    <w:rsid w:val="00771DDD"/>
    <w:rsid w:val="0077232D"/>
    <w:rsid w:val="00772782"/>
    <w:rsid w:val="00772DBD"/>
    <w:rsid w:val="007739F2"/>
    <w:rsid w:val="0077469F"/>
    <w:rsid w:val="00774992"/>
    <w:rsid w:val="00776477"/>
    <w:rsid w:val="007805C7"/>
    <w:rsid w:val="00781678"/>
    <w:rsid w:val="0078362A"/>
    <w:rsid w:val="0078649D"/>
    <w:rsid w:val="00790F04"/>
    <w:rsid w:val="0079359D"/>
    <w:rsid w:val="007941ED"/>
    <w:rsid w:val="00794800"/>
    <w:rsid w:val="007949C9"/>
    <w:rsid w:val="00797076"/>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5087"/>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06EBA"/>
    <w:rsid w:val="00813D5B"/>
    <w:rsid w:val="008143A5"/>
    <w:rsid w:val="00814A75"/>
    <w:rsid w:val="008153C6"/>
    <w:rsid w:val="00816D37"/>
    <w:rsid w:val="0081763F"/>
    <w:rsid w:val="00817EFC"/>
    <w:rsid w:val="00820225"/>
    <w:rsid w:val="00824D2A"/>
    <w:rsid w:val="00825638"/>
    <w:rsid w:val="00826D80"/>
    <w:rsid w:val="00831D3E"/>
    <w:rsid w:val="00834967"/>
    <w:rsid w:val="00835A5B"/>
    <w:rsid w:val="00836D1E"/>
    <w:rsid w:val="0083798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529A"/>
    <w:rsid w:val="008553F9"/>
    <w:rsid w:val="00856D3F"/>
    <w:rsid w:val="008571D4"/>
    <w:rsid w:val="00860099"/>
    <w:rsid w:val="00862E74"/>
    <w:rsid w:val="008630CF"/>
    <w:rsid w:val="00863205"/>
    <w:rsid w:val="00863AA6"/>
    <w:rsid w:val="00863E5C"/>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C747E"/>
    <w:rsid w:val="008D0DFF"/>
    <w:rsid w:val="008D0E57"/>
    <w:rsid w:val="008D11C5"/>
    <w:rsid w:val="008D1CA5"/>
    <w:rsid w:val="008D2B04"/>
    <w:rsid w:val="008D3DC8"/>
    <w:rsid w:val="008D4A85"/>
    <w:rsid w:val="008D761B"/>
    <w:rsid w:val="008E071B"/>
    <w:rsid w:val="008E0F66"/>
    <w:rsid w:val="008E1797"/>
    <w:rsid w:val="008E62C8"/>
    <w:rsid w:val="008E67D2"/>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5C35"/>
    <w:rsid w:val="009361E1"/>
    <w:rsid w:val="0093785D"/>
    <w:rsid w:val="00940BBF"/>
    <w:rsid w:val="00943BC8"/>
    <w:rsid w:val="00944692"/>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93D"/>
    <w:rsid w:val="00965F40"/>
    <w:rsid w:val="00966CEF"/>
    <w:rsid w:val="00971572"/>
    <w:rsid w:val="0097252C"/>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A7AE8"/>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3A16"/>
    <w:rsid w:val="009F4B23"/>
    <w:rsid w:val="009F4DCC"/>
    <w:rsid w:val="009F5A70"/>
    <w:rsid w:val="009F636D"/>
    <w:rsid w:val="00A02599"/>
    <w:rsid w:val="00A0280C"/>
    <w:rsid w:val="00A03400"/>
    <w:rsid w:val="00A06D5A"/>
    <w:rsid w:val="00A07964"/>
    <w:rsid w:val="00A101A3"/>
    <w:rsid w:val="00A1043F"/>
    <w:rsid w:val="00A12827"/>
    <w:rsid w:val="00A15FDB"/>
    <w:rsid w:val="00A208F6"/>
    <w:rsid w:val="00A26FA5"/>
    <w:rsid w:val="00A27D3E"/>
    <w:rsid w:val="00A27F2E"/>
    <w:rsid w:val="00A30680"/>
    <w:rsid w:val="00A31392"/>
    <w:rsid w:val="00A35E28"/>
    <w:rsid w:val="00A416A5"/>
    <w:rsid w:val="00A41CDC"/>
    <w:rsid w:val="00A4648E"/>
    <w:rsid w:val="00A4744B"/>
    <w:rsid w:val="00A47B0E"/>
    <w:rsid w:val="00A50315"/>
    <w:rsid w:val="00A51B5F"/>
    <w:rsid w:val="00A52FA5"/>
    <w:rsid w:val="00A558DC"/>
    <w:rsid w:val="00A55ABC"/>
    <w:rsid w:val="00A6086B"/>
    <w:rsid w:val="00A60970"/>
    <w:rsid w:val="00A61171"/>
    <w:rsid w:val="00A6337F"/>
    <w:rsid w:val="00A64FF4"/>
    <w:rsid w:val="00A705AA"/>
    <w:rsid w:val="00A71092"/>
    <w:rsid w:val="00A72D91"/>
    <w:rsid w:val="00A72EEC"/>
    <w:rsid w:val="00A767E4"/>
    <w:rsid w:val="00A775F2"/>
    <w:rsid w:val="00A7767F"/>
    <w:rsid w:val="00A825C8"/>
    <w:rsid w:val="00A82DC9"/>
    <w:rsid w:val="00A82E91"/>
    <w:rsid w:val="00A82F39"/>
    <w:rsid w:val="00A83F86"/>
    <w:rsid w:val="00A851FF"/>
    <w:rsid w:val="00A852A7"/>
    <w:rsid w:val="00A870A6"/>
    <w:rsid w:val="00A911BD"/>
    <w:rsid w:val="00A92DEE"/>
    <w:rsid w:val="00A93771"/>
    <w:rsid w:val="00A941EE"/>
    <w:rsid w:val="00A95E5E"/>
    <w:rsid w:val="00A95F9B"/>
    <w:rsid w:val="00A96504"/>
    <w:rsid w:val="00A97026"/>
    <w:rsid w:val="00AA0F8D"/>
    <w:rsid w:val="00AA36B8"/>
    <w:rsid w:val="00AA587A"/>
    <w:rsid w:val="00AB1F89"/>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35"/>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3C78"/>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86660"/>
    <w:rsid w:val="00B900EF"/>
    <w:rsid w:val="00B939AC"/>
    <w:rsid w:val="00B93C23"/>
    <w:rsid w:val="00B948A0"/>
    <w:rsid w:val="00B954D6"/>
    <w:rsid w:val="00B972D7"/>
    <w:rsid w:val="00B97D4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BF7CD7"/>
    <w:rsid w:val="00C028CC"/>
    <w:rsid w:val="00C02E8B"/>
    <w:rsid w:val="00C12049"/>
    <w:rsid w:val="00C1235B"/>
    <w:rsid w:val="00C137F6"/>
    <w:rsid w:val="00C13BEA"/>
    <w:rsid w:val="00C1406E"/>
    <w:rsid w:val="00C1483A"/>
    <w:rsid w:val="00C14A02"/>
    <w:rsid w:val="00C15DA0"/>
    <w:rsid w:val="00C16FE9"/>
    <w:rsid w:val="00C178DB"/>
    <w:rsid w:val="00C201E6"/>
    <w:rsid w:val="00C2148D"/>
    <w:rsid w:val="00C22097"/>
    <w:rsid w:val="00C228FA"/>
    <w:rsid w:val="00C25B05"/>
    <w:rsid w:val="00C26519"/>
    <w:rsid w:val="00C26FC4"/>
    <w:rsid w:val="00C2766D"/>
    <w:rsid w:val="00C27CFE"/>
    <w:rsid w:val="00C305EB"/>
    <w:rsid w:val="00C30EEC"/>
    <w:rsid w:val="00C3196C"/>
    <w:rsid w:val="00C369E9"/>
    <w:rsid w:val="00C376AD"/>
    <w:rsid w:val="00C37E7D"/>
    <w:rsid w:val="00C416C2"/>
    <w:rsid w:val="00C426AE"/>
    <w:rsid w:val="00C4274A"/>
    <w:rsid w:val="00C43374"/>
    <w:rsid w:val="00C433DB"/>
    <w:rsid w:val="00C438F0"/>
    <w:rsid w:val="00C45722"/>
    <w:rsid w:val="00C47B02"/>
    <w:rsid w:val="00C53349"/>
    <w:rsid w:val="00C53C68"/>
    <w:rsid w:val="00C54AAD"/>
    <w:rsid w:val="00C564FA"/>
    <w:rsid w:val="00C5747E"/>
    <w:rsid w:val="00C57981"/>
    <w:rsid w:val="00C60E09"/>
    <w:rsid w:val="00C62C73"/>
    <w:rsid w:val="00C6573F"/>
    <w:rsid w:val="00C66F21"/>
    <w:rsid w:val="00C72AF5"/>
    <w:rsid w:val="00C75619"/>
    <w:rsid w:val="00C75EF1"/>
    <w:rsid w:val="00C7782D"/>
    <w:rsid w:val="00C82B0E"/>
    <w:rsid w:val="00C82F96"/>
    <w:rsid w:val="00C8440C"/>
    <w:rsid w:val="00C860FF"/>
    <w:rsid w:val="00C90A69"/>
    <w:rsid w:val="00C90D0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710"/>
    <w:rsid w:val="00CB6D94"/>
    <w:rsid w:val="00CB6F74"/>
    <w:rsid w:val="00CB716F"/>
    <w:rsid w:val="00CC1016"/>
    <w:rsid w:val="00CC1641"/>
    <w:rsid w:val="00CC1A04"/>
    <w:rsid w:val="00CC1B34"/>
    <w:rsid w:val="00CC1B6E"/>
    <w:rsid w:val="00CC2E4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640B"/>
    <w:rsid w:val="00D77E6B"/>
    <w:rsid w:val="00D818E5"/>
    <w:rsid w:val="00D822A3"/>
    <w:rsid w:val="00D8342B"/>
    <w:rsid w:val="00D83B39"/>
    <w:rsid w:val="00D84923"/>
    <w:rsid w:val="00D865C6"/>
    <w:rsid w:val="00D870D4"/>
    <w:rsid w:val="00D9046D"/>
    <w:rsid w:val="00D91581"/>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4C7"/>
    <w:rsid w:val="00DE7EBE"/>
    <w:rsid w:val="00DF0ECA"/>
    <w:rsid w:val="00DF2D86"/>
    <w:rsid w:val="00DF4044"/>
    <w:rsid w:val="00DF6A10"/>
    <w:rsid w:val="00E00EA5"/>
    <w:rsid w:val="00E0462E"/>
    <w:rsid w:val="00E059D1"/>
    <w:rsid w:val="00E061C1"/>
    <w:rsid w:val="00E06CCA"/>
    <w:rsid w:val="00E079BF"/>
    <w:rsid w:val="00E07EE9"/>
    <w:rsid w:val="00E116B6"/>
    <w:rsid w:val="00E1516B"/>
    <w:rsid w:val="00E1632D"/>
    <w:rsid w:val="00E16DE7"/>
    <w:rsid w:val="00E16F67"/>
    <w:rsid w:val="00E20612"/>
    <w:rsid w:val="00E221EF"/>
    <w:rsid w:val="00E27ED1"/>
    <w:rsid w:val="00E30ACB"/>
    <w:rsid w:val="00E32B9F"/>
    <w:rsid w:val="00E33708"/>
    <w:rsid w:val="00E33D15"/>
    <w:rsid w:val="00E35027"/>
    <w:rsid w:val="00E36879"/>
    <w:rsid w:val="00E37772"/>
    <w:rsid w:val="00E37FA9"/>
    <w:rsid w:val="00E40758"/>
    <w:rsid w:val="00E40F88"/>
    <w:rsid w:val="00E45E27"/>
    <w:rsid w:val="00E479F6"/>
    <w:rsid w:val="00E50C26"/>
    <w:rsid w:val="00E51177"/>
    <w:rsid w:val="00E521C8"/>
    <w:rsid w:val="00E544B2"/>
    <w:rsid w:val="00E562A4"/>
    <w:rsid w:val="00E57012"/>
    <w:rsid w:val="00E666C3"/>
    <w:rsid w:val="00E66AD8"/>
    <w:rsid w:val="00E67979"/>
    <w:rsid w:val="00E714B1"/>
    <w:rsid w:val="00E721E4"/>
    <w:rsid w:val="00E74F68"/>
    <w:rsid w:val="00E75727"/>
    <w:rsid w:val="00E80206"/>
    <w:rsid w:val="00E8068A"/>
    <w:rsid w:val="00E8172F"/>
    <w:rsid w:val="00E830B3"/>
    <w:rsid w:val="00E84C31"/>
    <w:rsid w:val="00E84CEB"/>
    <w:rsid w:val="00E8502D"/>
    <w:rsid w:val="00E8545D"/>
    <w:rsid w:val="00E864DD"/>
    <w:rsid w:val="00E86E4B"/>
    <w:rsid w:val="00E873D5"/>
    <w:rsid w:val="00E90B0A"/>
    <w:rsid w:val="00E926BB"/>
    <w:rsid w:val="00E928D9"/>
    <w:rsid w:val="00E93C39"/>
    <w:rsid w:val="00E945CE"/>
    <w:rsid w:val="00E946AD"/>
    <w:rsid w:val="00E9697F"/>
    <w:rsid w:val="00E97BB5"/>
    <w:rsid w:val="00EA2074"/>
    <w:rsid w:val="00EA3335"/>
    <w:rsid w:val="00EA33AB"/>
    <w:rsid w:val="00EA3A6C"/>
    <w:rsid w:val="00EA6445"/>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2F2"/>
    <w:rsid w:val="00EE4578"/>
    <w:rsid w:val="00EE47DC"/>
    <w:rsid w:val="00EF0786"/>
    <w:rsid w:val="00EF0B21"/>
    <w:rsid w:val="00EF2236"/>
    <w:rsid w:val="00EF34D3"/>
    <w:rsid w:val="00EF3E8B"/>
    <w:rsid w:val="00EF498F"/>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28D"/>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189"/>
    <w:rsid w:val="00F627DC"/>
    <w:rsid w:val="00F629C7"/>
    <w:rsid w:val="00F63C23"/>
    <w:rsid w:val="00F655E3"/>
    <w:rsid w:val="00F70DE1"/>
    <w:rsid w:val="00F715F2"/>
    <w:rsid w:val="00F721E7"/>
    <w:rsid w:val="00F7362C"/>
    <w:rsid w:val="00F756C6"/>
    <w:rsid w:val="00F77980"/>
    <w:rsid w:val="00F779AA"/>
    <w:rsid w:val="00F81742"/>
    <w:rsid w:val="00F82AF1"/>
    <w:rsid w:val="00F83187"/>
    <w:rsid w:val="00F84082"/>
    <w:rsid w:val="00F86BA5"/>
    <w:rsid w:val="00F87C39"/>
    <w:rsid w:val="00F902D3"/>
    <w:rsid w:val="00F905B6"/>
    <w:rsid w:val="00F93A82"/>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D7D"/>
    <w:rsid w:val="00FC3F8F"/>
    <w:rsid w:val="00FC7C01"/>
    <w:rsid w:val="00FD0855"/>
    <w:rsid w:val="00FD0ED0"/>
    <w:rsid w:val="00FD1990"/>
    <w:rsid w:val="00FD1EC4"/>
    <w:rsid w:val="00FD5B33"/>
    <w:rsid w:val="00FD76AE"/>
    <w:rsid w:val="00FE166B"/>
    <w:rsid w:val="00FE1A60"/>
    <w:rsid w:val="00FE34AF"/>
    <w:rsid w:val="00FE3BF2"/>
    <w:rsid w:val="00FE6CE4"/>
    <w:rsid w:val="00FF1927"/>
    <w:rsid w:val="00FF1B75"/>
    <w:rsid w:val="00FF2A23"/>
    <w:rsid w:val="00FF2EAE"/>
    <w:rsid w:val="00FF3154"/>
    <w:rsid w:val="00FF5002"/>
    <w:rsid w:val="00FF60BC"/>
    <w:rsid w:val="00FF6519"/>
    <w:rsid w:val="01A01AFA"/>
    <w:rsid w:val="01A9153E"/>
    <w:rsid w:val="01CB5453"/>
    <w:rsid w:val="02132159"/>
    <w:rsid w:val="02401925"/>
    <w:rsid w:val="0269067C"/>
    <w:rsid w:val="02F01C71"/>
    <w:rsid w:val="03210061"/>
    <w:rsid w:val="03D21196"/>
    <w:rsid w:val="043B11C4"/>
    <w:rsid w:val="04415EE3"/>
    <w:rsid w:val="046B6B89"/>
    <w:rsid w:val="04DD2267"/>
    <w:rsid w:val="05273450"/>
    <w:rsid w:val="05B01605"/>
    <w:rsid w:val="05B83223"/>
    <w:rsid w:val="06322746"/>
    <w:rsid w:val="066A7233"/>
    <w:rsid w:val="06C705E9"/>
    <w:rsid w:val="06F32C4C"/>
    <w:rsid w:val="07221759"/>
    <w:rsid w:val="075323D6"/>
    <w:rsid w:val="07845EBA"/>
    <w:rsid w:val="078E7909"/>
    <w:rsid w:val="07996EB4"/>
    <w:rsid w:val="079E733B"/>
    <w:rsid w:val="07D945DC"/>
    <w:rsid w:val="082D669C"/>
    <w:rsid w:val="092D4ADB"/>
    <w:rsid w:val="09377810"/>
    <w:rsid w:val="094B0040"/>
    <w:rsid w:val="096D0679"/>
    <w:rsid w:val="0996153F"/>
    <w:rsid w:val="09A13A7B"/>
    <w:rsid w:val="09D51869"/>
    <w:rsid w:val="0A676977"/>
    <w:rsid w:val="0AAF4DDD"/>
    <w:rsid w:val="0B5673B8"/>
    <w:rsid w:val="0BA33880"/>
    <w:rsid w:val="0BA7019A"/>
    <w:rsid w:val="0C032453"/>
    <w:rsid w:val="0CA8083B"/>
    <w:rsid w:val="0CD26A47"/>
    <w:rsid w:val="0CD81061"/>
    <w:rsid w:val="0D353A73"/>
    <w:rsid w:val="0DDE177A"/>
    <w:rsid w:val="0E3777BE"/>
    <w:rsid w:val="0ED85C5B"/>
    <w:rsid w:val="0EE43718"/>
    <w:rsid w:val="0EE90B68"/>
    <w:rsid w:val="0F333C8A"/>
    <w:rsid w:val="0F6D01FB"/>
    <w:rsid w:val="0FBC0D1A"/>
    <w:rsid w:val="102927A5"/>
    <w:rsid w:val="10475F34"/>
    <w:rsid w:val="104C58A2"/>
    <w:rsid w:val="11327805"/>
    <w:rsid w:val="11A842FF"/>
    <w:rsid w:val="120E0E48"/>
    <w:rsid w:val="123F4C14"/>
    <w:rsid w:val="12B1627A"/>
    <w:rsid w:val="12CB1F54"/>
    <w:rsid w:val="12F12AA5"/>
    <w:rsid w:val="137104DB"/>
    <w:rsid w:val="141A42B8"/>
    <w:rsid w:val="147A2410"/>
    <w:rsid w:val="14852C6F"/>
    <w:rsid w:val="15871E93"/>
    <w:rsid w:val="15F003C1"/>
    <w:rsid w:val="15F61009"/>
    <w:rsid w:val="15FC3115"/>
    <w:rsid w:val="16A01202"/>
    <w:rsid w:val="16DB4283"/>
    <w:rsid w:val="17397B9A"/>
    <w:rsid w:val="17445402"/>
    <w:rsid w:val="180F416C"/>
    <w:rsid w:val="18E00489"/>
    <w:rsid w:val="19282791"/>
    <w:rsid w:val="192C2D7A"/>
    <w:rsid w:val="195F5432"/>
    <w:rsid w:val="19810432"/>
    <w:rsid w:val="19F45009"/>
    <w:rsid w:val="1A5E1863"/>
    <w:rsid w:val="1A7773CB"/>
    <w:rsid w:val="1AB83062"/>
    <w:rsid w:val="1AE23333"/>
    <w:rsid w:val="1B0613E2"/>
    <w:rsid w:val="1D7C153E"/>
    <w:rsid w:val="1E055C9E"/>
    <w:rsid w:val="1E646060"/>
    <w:rsid w:val="1E8D072E"/>
    <w:rsid w:val="1EE9006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4FC1FAA"/>
    <w:rsid w:val="259879AE"/>
    <w:rsid w:val="25B476C9"/>
    <w:rsid w:val="25D27E7B"/>
    <w:rsid w:val="26700C16"/>
    <w:rsid w:val="2685715C"/>
    <w:rsid w:val="26FC58BF"/>
    <w:rsid w:val="27144105"/>
    <w:rsid w:val="274F2171"/>
    <w:rsid w:val="275E0F3C"/>
    <w:rsid w:val="27797DE0"/>
    <w:rsid w:val="27965B8B"/>
    <w:rsid w:val="282657F7"/>
    <w:rsid w:val="287F59EE"/>
    <w:rsid w:val="28FC2B68"/>
    <w:rsid w:val="29172B11"/>
    <w:rsid w:val="291C061C"/>
    <w:rsid w:val="29223179"/>
    <w:rsid w:val="29523F82"/>
    <w:rsid w:val="297F63E2"/>
    <w:rsid w:val="29AA4023"/>
    <w:rsid w:val="29DA0263"/>
    <w:rsid w:val="29FF498C"/>
    <w:rsid w:val="2A3B1864"/>
    <w:rsid w:val="2A456589"/>
    <w:rsid w:val="2A5B4807"/>
    <w:rsid w:val="2AC46B39"/>
    <w:rsid w:val="2ADE0C2E"/>
    <w:rsid w:val="2B16314B"/>
    <w:rsid w:val="2B53670E"/>
    <w:rsid w:val="2BA32ABB"/>
    <w:rsid w:val="2C0E274C"/>
    <w:rsid w:val="2C1864B9"/>
    <w:rsid w:val="2C3042EA"/>
    <w:rsid w:val="2C5466FC"/>
    <w:rsid w:val="2CE0472A"/>
    <w:rsid w:val="2CF51372"/>
    <w:rsid w:val="2D4477EE"/>
    <w:rsid w:val="2DC41DAC"/>
    <w:rsid w:val="2DD4300E"/>
    <w:rsid w:val="2E413F38"/>
    <w:rsid w:val="2EC14611"/>
    <w:rsid w:val="2FCC7A37"/>
    <w:rsid w:val="30300320"/>
    <w:rsid w:val="30531DC5"/>
    <w:rsid w:val="305E4CC4"/>
    <w:rsid w:val="311A734D"/>
    <w:rsid w:val="31EE4BAA"/>
    <w:rsid w:val="31F5436E"/>
    <w:rsid w:val="320107D3"/>
    <w:rsid w:val="32243194"/>
    <w:rsid w:val="32416C98"/>
    <w:rsid w:val="3263631F"/>
    <w:rsid w:val="32A355BC"/>
    <w:rsid w:val="32C00D78"/>
    <w:rsid w:val="33222A9A"/>
    <w:rsid w:val="332D1CBE"/>
    <w:rsid w:val="33480719"/>
    <w:rsid w:val="339D5261"/>
    <w:rsid w:val="34821D01"/>
    <w:rsid w:val="34955EDA"/>
    <w:rsid w:val="349A334C"/>
    <w:rsid w:val="34CA78C0"/>
    <w:rsid w:val="35586223"/>
    <w:rsid w:val="35A418C4"/>
    <w:rsid w:val="360E290A"/>
    <w:rsid w:val="36253B84"/>
    <w:rsid w:val="36401A4A"/>
    <w:rsid w:val="368920CF"/>
    <w:rsid w:val="36FE5573"/>
    <w:rsid w:val="379F53BF"/>
    <w:rsid w:val="37BB39B9"/>
    <w:rsid w:val="37D078F7"/>
    <w:rsid w:val="37F76452"/>
    <w:rsid w:val="38735C94"/>
    <w:rsid w:val="38CE707C"/>
    <w:rsid w:val="38FB4AF5"/>
    <w:rsid w:val="39104B12"/>
    <w:rsid w:val="39C16CB7"/>
    <w:rsid w:val="3A1B760C"/>
    <w:rsid w:val="3A68233B"/>
    <w:rsid w:val="3B216441"/>
    <w:rsid w:val="3BFB42C7"/>
    <w:rsid w:val="3C21108C"/>
    <w:rsid w:val="3C54623C"/>
    <w:rsid w:val="3CAA46F7"/>
    <w:rsid w:val="3CE57D2D"/>
    <w:rsid w:val="3CE77BA9"/>
    <w:rsid w:val="3D415BE6"/>
    <w:rsid w:val="3E217459"/>
    <w:rsid w:val="3E2805F5"/>
    <w:rsid w:val="3E2A4E15"/>
    <w:rsid w:val="3ED6751C"/>
    <w:rsid w:val="3EFE29F3"/>
    <w:rsid w:val="3F255D56"/>
    <w:rsid w:val="3F416A26"/>
    <w:rsid w:val="3FAC6794"/>
    <w:rsid w:val="3FEC5254"/>
    <w:rsid w:val="40223FBC"/>
    <w:rsid w:val="4082593F"/>
    <w:rsid w:val="41474308"/>
    <w:rsid w:val="41681941"/>
    <w:rsid w:val="41E47D60"/>
    <w:rsid w:val="42382E14"/>
    <w:rsid w:val="423D6569"/>
    <w:rsid w:val="42C06673"/>
    <w:rsid w:val="431261A5"/>
    <w:rsid w:val="433B6176"/>
    <w:rsid w:val="437B3C36"/>
    <w:rsid w:val="44560F40"/>
    <w:rsid w:val="44720E16"/>
    <w:rsid w:val="44B40707"/>
    <w:rsid w:val="44C41913"/>
    <w:rsid w:val="44D619FA"/>
    <w:rsid w:val="45E54860"/>
    <w:rsid w:val="466C6EAA"/>
    <w:rsid w:val="473D6B0A"/>
    <w:rsid w:val="481E4C35"/>
    <w:rsid w:val="48296C6B"/>
    <w:rsid w:val="482B2304"/>
    <w:rsid w:val="4853715D"/>
    <w:rsid w:val="48857FBF"/>
    <w:rsid w:val="48C21E3A"/>
    <w:rsid w:val="48DE11B8"/>
    <w:rsid w:val="491F55B7"/>
    <w:rsid w:val="49205619"/>
    <w:rsid w:val="4922547B"/>
    <w:rsid w:val="4981722D"/>
    <w:rsid w:val="49BE5030"/>
    <w:rsid w:val="49D54F3C"/>
    <w:rsid w:val="4A1F67CA"/>
    <w:rsid w:val="4AB7573A"/>
    <w:rsid w:val="4AC63524"/>
    <w:rsid w:val="4B8A72CF"/>
    <w:rsid w:val="4B963009"/>
    <w:rsid w:val="4B972445"/>
    <w:rsid w:val="4C1065B5"/>
    <w:rsid w:val="4C217E66"/>
    <w:rsid w:val="4C70027F"/>
    <w:rsid w:val="4CE93C16"/>
    <w:rsid w:val="4D943011"/>
    <w:rsid w:val="4DDF3F73"/>
    <w:rsid w:val="4E0653CB"/>
    <w:rsid w:val="4E7A3F24"/>
    <w:rsid w:val="4F8119B1"/>
    <w:rsid w:val="4F92238A"/>
    <w:rsid w:val="4FE062A3"/>
    <w:rsid w:val="4FE3303E"/>
    <w:rsid w:val="5043798C"/>
    <w:rsid w:val="50731BAF"/>
    <w:rsid w:val="50EB7D4E"/>
    <w:rsid w:val="510E0E2A"/>
    <w:rsid w:val="515B5BAE"/>
    <w:rsid w:val="51C25525"/>
    <w:rsid w:val="5298489A"/>
    <w:rsid w:val="529B1F2B"/>
    <w:rsid w:val="52E223AA"/>
    <w:rsid w:val="52F34B95"/>
    <w:rsid w:val="53576CBD"/>
    <w:rsid w:val="53FD089E"/>
    <w:rsid w:val="540369F0"/>
    <w:rsid w:val="54321EEE"/>
    <w:rsid w:val="54453B17"/>
    <w:rsid w:val="54555EFD"/>
    <w:rsid w:val="54765614"/>
    <w:rsid w:val="54963849"/>
    <w:rsid w:val="55062F17"/>
    <w:rsid w:val="55323649"/>
    <w:rsid w:val="556A2FD5"/>
    <w:rsid w:val="55746735"/>
    <w:rsid w:val="558E1659"/>
    <w:rsid w:val="55D634ED"/>
    <w:rsid w:val="56B332E9"/>
    <w:rsid w:val="571826D1"/>
    <w:rsid w:val="57733ECF"/>
    <w:rsid w:val="57C62622"/>
    <w:rsid w:val="585D5FB5"/>
    <w:rsid w:val="58674F92"/>
    <w:rsid w:val="58724A4D"/>
    <w:rsid w:val="593B0594"/>
    <w:rsid w:val="59BF3C49"/>
    <w:rsid w:val="5ACB2BAA"/>
    <w:rsid w:val="5B0C31E8"/>
    <w:rsid w:val="5B567A6D"/>
    <w:rsid w:val="5BC164C4"/>
    <w:rsid w:val="5BFF7AE6"/>
    <w:rsid w:val="5C0B789C"/>
    <w:rsid w:val="5C372F37"/>
    <w:rsid w:val="5C6526BE"/>
    <w:rsid w:val="5C927125"/>
    <w:rsid w:val="5CAB7727"/>
    <w:rsid w:val="5CC441E1"/>
    <w:rsid w:val="5CE760ED"/>
    <w:rsid w:val="5D311831"/>
    <w:rsid w:val="5D673A5A"/>
    <w:rsid w:val="5D8D14A4"/>
    <w:rsid w:val="5D8D5661"/>
    <w:rsid w:val="5E851E72"/>
    <w:rsid w:val="5EA14607"/>
    <w:rsid w:val="5EA62EF7"/>
    <w:rsid w:val="5EBA517D"/>
    <w:rsid w:val="5EEC4DA1"/>
    <w:rsid w:val="5F184B52"/>
    <w:rsid w:val="5F281498"/>
    <w:rsid w:val="5F2A05C2"/>
    <w:rsid w:val="5F35664D"/>
    <w:rsid w:val="5F5E09D2"/>
    <w:rsid w:val="5FFA1888"/>
    <w:rsid w:val="600960AF"/>
    <w:rsid w:val="60527BB4"/>
    <w:rsid w:val="62CE0974"/>
    <w:rsid w:val="62E0024A"/>
    <w:rsid w:val="63463232"/>
    <w:rsid w:val="64045B83"/>
    <w:rsid w:val="641724DD"/>
    <w:rsid w:val="644F09B6"/>
    <w:rsid w:val="648D32B0"/>
    <w:rsid w:val="648D4DC3"/>
    <w:rsid w:val="64937B40"/>
    <w:rsid w:val="64E414E0"/>
    <w:rsid w:val="64E63914"/>
    <w:rsid w:val="652C15E3"/>
    <w:rsid w:val="656B25DE"/>
    <w:rsid w:val="65991807"/>
    <w:rsid w:val="65A75D11"/>
    <w:rsid w:val="665F1C74"/>
    <w:rsid w:val="66730C34"/>
    <w:rsid w:val="66A43656"/>
    <w:rsid w:val="66BC280A"/>
    <w:rsid w:val="66C806BD"/>
    <w:rsid w:val="66EF7312"/>
    <w:rsid w:val="67822F4A"/>
    <w:rsid w:val="67A04650"/>
    <w:rsid w:val="680F0D3C"/>
    <w:rsid w:val="68F63773"/>
    <w:rsid w:val="69010518"/>
    <w:rsid w:val="691D2F8E"/>
    <w:rsid w:val="69440073"/>
    <w:rsid w:val="6AAC6B9E"/>
    <w:rsid w:val="6AF51DB1"/>
    <w:rsid w:val="6B0F2840"/>
    <w:rsid w:val="6B865118"/>
    <w:rsid w:val="6BA33D7F"/>
    <w:rsid w:val="6BC80A5C"/>
    <w:rsid w:val="6BF32268"/>
    <w:rsid w:val="6BFC2786"/>
    <w:rsid w:val="6C0D5A20"/>
    <w:rsid w:val="6C1E03F6"/>
    <w:rsid w:val="6C2C2459"/>
    <w:rsid w:val="6C887360"/>
    <w:rsid w:val="6D476454"/>
    <w:rsid w:val="6D9A6FB5"/>
    <w:rsid w:val="6E39307B"/>
    <w:rsid w:val="6E875598"/>
    <w:rsid w:val="6EE0783B"/>
    <w:rsid w:val="6F0247A4"/>
    <w:rsid w:val="6F2C13F5"/>
    <w:rsid w:val="6F6E15A0"/>
    <w:rsid w:val="70687FAC"/>
    <w:rsid w:val="70730315"/>
    <w:rsid w:val="709A551D"/>
    <w:rsid w:val="70E02698"/>
    <w:rsid w:val="71E963C9"/>
    <w:rsid w:val="724B2559"/>
    <w:rsid w:val="727B5CA9"/>
    <w:rsid w:val="727C1491"/>
    <w:rsid w:val="72A31F35"/>
    <w:rsid w:val="72B566B1"/>
    <w:rsid w:val="72BC0BF9"/>
    <w:rsid w:val="72D14842"/>
    <w:rsid w:val="73041021"/>
    <w:rsid w:val="730456BB"/>
    <w:rsid w:val="73CF5E6E"/>
    <w:rsid w:val="74425093"/>
    <w:rsid w:val="754E2BED"/>
    <w:rsid w:val="757C7A9C"/>
    <w:rsid w:val="758461E8"/>
    <w:rsid w:val="75DC2DB7"/>
    <w:rsid w:val="75E32B1D"/>
    <w:rsid w:val="766E3BB5"/>
    <w:rsid w:val="76C84CCD"/>
    <w:rsid w:val="76F01E2B"/>
    <w:rsid w:val="76F22868"/>
    <w:rsid w:val="77672932"/>
    <w:rsid w:val="78B06CFA"/>
    <w:rsid w:val="78E131DA"/>
    <w:rsid w:val="79316160"/>
    <w:rsid w:val="7A04734E"/>
    <w:rsid w:val="7AA01F48"/>
    <w:rsid w:val="7AB95847"/>
    <w:rsid w:val="7AF1010B"/>
    <w:rsid w:val="7B0A05EE"/>
    <w:rsid w:val="7BD83FFF"/>
    <w:rsid w:val="7C2562F7"/>
    <w:rsid w:val="7C4D5033"/>
    <w:rsid w:val="7C660A57"/>
    <w:rsid w:val="7C8B5068"/>
    <w:rsid w:val="7CEB0CBC"/>
    <w:rsid w:val="7CFB793B"/>
    <w:rsid w:val="7D95465E"/>
    <w:rsid w:val="7E192C83"/>
    <w:rsid w:val="7E9A116F"/>
    <w:rsid w:val="7EC915B8"/>
    <w:rsid w:val="7F753532"/>
    <w:rsid w:val="7FAF443F"/>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Char"/>
    <w:link w:val="35"/>
    <w:semiHidden/>
    <w:qFormat/>
    <w:uiPriority w:val="0"/>
    <w:rPr>
      <w:rFonts w:ascii="Arial Unicode MS" w:hAnsi="Arial Unicode MS" w:eastAsia="Arial Unicode MS" w:cs="Arial Unicode MS"/>
    </w:rPr>
  </w:style>
  <w:style w:type="character" w:customStyle="1" w:styleId="49">
    <w:name w:val="正文文本缩进 2 Char"/>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Char"/>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Char"/>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Char"/>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Char"/>
    <w:link w:val="25"/>
    <w:qFormat/>
    <w:uiPriority w:val="99"/>
    <w:rPr>
      <w:sz w:val="18"/>
      <w:szCs w:val="18"/>
    </w:rPr>
  </w:style>
  <w:style w:type="character" w:customStyle="1" w:styleId="68">
    <w:name w:val="标题 2 Char"/>
    <w:link w:val="5"/>
    <w:qFormat/>
    <w:uiPriority w:val="0"/>
    <w:rPr>
      <w:rFonts w:ascii="Cambria" w:hAnsi="Cambria" w:eastAsia="宋体"/>
      <w:b/>
      <w:bCs/>
      <w:kern w:val="2"/>
      <w:sz w:val="28"/>
      <w:szCs w:val="32"/>
    </w:rPr>
  </w:style>
  <w:style w:type="character" w:customStyle="1" w:styleId="69">
    <w:name w:val="正文文本 Char"/>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Char"/>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Char"/>
    <w:link w:val="34"/>
    <w:semiHidden/>
    <w:qFormat/>
    <w:uiPriority w:val="0"/>
    <w:rPr>
      <w:rFonts w:ascii="Times New Roman" w:hAnsi="Times New Roman"/>
      <w:b/>
      <w:bCs/>
      <w:color w:val="000000"/>
      <w:kern w:val="2"/>
      <w:sz w:val="28"/>
      <w:szCs w:val="24"/>
    </w:rPr>
  </w:style>
  <w:style w:type="character" w:customStyle="1" w:styleId="78">
    <w:name w:val="正文文本缩进 Char"/>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Char"/>
    <w:link w:val="11"/>
    <w:semiHidden/>
    <w:qFormat/>
    <w:uiPriority w:val="0"/>
    <w:rPr>
      <w:rFonts w:ascii="Times New Roman" w:hAnsi="Times New Roman"/>
      <w:kern w:val="2"/>
      <w:sz w:val="21"/>
      <w:szCs w:val="24"/>
    </w:rPr>
  </w:style>
  <w:style w:type="character" w:customStyle="1" w:styleId="81">
    <w:name w:val="正文文本缩进 3 Char"/>
    <w:link w:val="31"/>
    <w:semiHidden/>
    <w:qFormat/>
    <w:uiPriority w:val="0"/>
    <w:rPr>
      <w:rFonts w:ascii="Times New Roman" w:hAnsi="Times New Roman" w:eastAsia="黑体"/>
      <w:color w:val="000000"/>
      <w:kern w:val="2"/>
      <w:sz w:val="24"/>
      <w:szCs w:val="24"/>
    </w:rPr>
  </w:style>
  <w:style w:type="character" w:customStyle="1" w:styleId="82">
    <w:name w:val="无间隔 Char"/>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Char"/>
    <w:link w:val="24"/>
    <w:semiHidden/>
    <w:qFormat/>
    <w:uiPriority w:val="0"/>
    <w:rPr>
      <w:rFonts w:ascii="Times New Roman" w:hAnsi="Times New Roman" w:eastAsia="宋体" w:cs="Times New Roman"/>
      <w:sz w:val="18"/>
      <w:szCs w:val="18"/>
    </w:rPr>
  </w:style>
  <w:style w:type="character" w:customStyle="1" w:styleId="88">
    <w:name w:val="页眉 Char"/>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Char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Char"/>
    <w:link w:val="12"/>
    <w:semiHidden/>
    <w:qFormat/>
    <w:uiPriority w:val="0"/>
    <w:rPr>
      <w:rFonts w:ascii="楷体_GB2312" w:hAnsi="Times New Roman" w:eastAsia="楷体_GB2312"/>
      <w:b/>
      <w:color w:val="000000"/>
      <w:kern w:val="2"/>
      <w:sz w:val="30"/>
      <w:szCs w:val="24"/>
    </w:rPr>
  </w:style>
  <w:style w:type="character" w:customStyle="1" w:styleId="96">
    <w:name w:val="标题 Char1"/>
    <w:link w:val="37"/>
    <w:qFormat/>
    <w:locked/>
    <w:uiPriority w:val="0"/>
    <w:rPr>
      <w:rFonts w:ascii="Times New Roman" w:hAnsi="Times New Roman"/>
      <w:kern w:val="2"/>
      <w:sz w:val="30"/>
      <w:szCs w:val="24"/>
    </w:rPr>
  </w:style>
  <w:style w:type="character" w:customStyle="1" w:styleId="97">
    <w:name w:val="标题 4 Char"/>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Char"/>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Char"/>
    <w:link w:val="6"/>
    <w:qFormat/>
    <w:uiPriority w:val="0"/>
    <w:rPr>
      <w:rFonts w:ascii="Times New Roman" w:hAnsi="Times New Roman"/>
      <w:b/>
      <w:bCs/>
      <w:kern w:val="2"/>
      <w:sz w:val="21"/>
      <w:szCs w:val="32"/>
    </w:rPr>
  </w:style>
  <w:style w:type="paragraph" w:customStyle="1" w:styleId="172">
    <w:name w:val="_Style 3"/>
    <w:basedOn w:val="1"/>
    <w:next w:val="167"/>
    <w:qFormat/>
    <w:uiPriority w:val="34"/>
    <w:pPr>
      <w:ind w:firstLine="420"/>
    </w:pPr>
    <w:rPr>
      <w:szCs w:val="22"/>
    </w:rPr>
  </w:style>
  <w:style w:type="paragraph" w:customStyle="1" w:styleId="173">
    <w:name w:val="正文1"/>
    <w:basedOn w:val="1"/>
    <w:qFormat/>
    <w:uiPriority w:val="0"/>
    <w:pPr>
      <w:widowControl/>
      <w:spacing w:after="200" w:line="300" w:lineRule="atLeast"/>
      <w:jc w:val="left"/>
    </w:pPr>
    <w:rPr>
      <w:rFonts w:cs="宋体"/>
      <w:kern w:val="0"/>
      <w:sz w:val="22"/>
      <w:szCs w:val="22"/>
    </w:rPr>
  </w:style>
  <w:style w:type="paragraph" w:customStyle="1" w:styleId="174">
    <w:name w:val="纯文本1"/>
    <w:basedOn w:val="1"/>
    <w:qFormat/>
    <w:uiPriority w:val="0"/>
    <w:rPr>
      <w:rFonts w:ascii="宋体" w:hAnsi="Courier New" w:cs="宋体"/>
      <w:kern w:val="0"/>
      <w:sz w:val="20"/>
      <w:szCs w:val="20"/>
    </w:rPr>
  </w:style>
  <w:style w:type="paragraph" w:customStyle="1" w:styleId="175">
    <w:name w:val="Revision"/>
    <w:hidden/>
    <w:semiHidden/>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F6B73-E6C7-4A9C-92F6-BA05B522524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6724</Words>
  <Characters>38329</Characters>
  <Lines>319</Lines>
  <Paragraphs>89</Paragraphs>
  <TotalTime>7</TotalTime>
  <ScaleCrop>false</ScaleCrop>
  <LinksUpToDate>false</LinksUpToDate>
  <CharactersWithSpaces>44964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2019-10-23T09:46:00Z</dcterms:created>
  <dc:creator>Administrator</dc:creator>
  <cp:lastModifiedBy>dell</cp:lastModifiedBy>
  <cp:lastPrinted>2019-09-30T10:07:00Z</cp:lastPrinted>
  <dcterms:modified xsi:type="dcterms:W3CDTF">2019-10-23T13:30:33Z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