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宋体" w:hAnsi="宋体" w:cs="宋体"/>
          <w:b/>
          <w:bCs/>
          <w:spacing w:val="100"/>
          <w:sz w:val="72"/>
          <w:szCs w:val="72"/>
        </w:rPr>
      </w:pPr>
    </w:p>
    <w:p>
      <w:pPr>
        <w:spacing w:line="360" w:lineRule="auto"/>
        <w:rPr>
          <w:rFonts w:ascii="宋体" w:hAnsi="宋体" w:cs="宋体"/>
          <w:b/>
          <w:bCs/>
          <w:spacing w:val="100"/>
          <w:sz w:val="72"/>
          <w:szCs w:val="72"/>
        </w:rPr>
      </w:pPr>
      <w:r>
        <w:rPr>
          <w:rFonts w:hint="eastAsia" w:ascii="宋体" w:hAnsi="宋体" w:cs="宋体"/>
          <w:b/>
          <w:bCs/>
          <w:spacing w:val="100"/>
          <w:sz w:val="72"/>
          <w:szCs w:val="72"/>
        </w:rPr>
        <w:tab/>
      </w:r>
      <w:r>
        <w:rPr>
          <w:rFonts w:hint="eastAsia" w:ascii="宋体" w:hAnsi="宋体" w:cs="宋体"/>
          <w:b/>
          <w:bCs/>
          <w:spacing w:val="100"/>
          <w:sz w:val="72"/>
          <w:szCs w:val="72"/>
        </w:rPr>
        <w:tab/>
      </w:r>
    </w:p>
    <w:p>
      <w:pPr>
        <w:spacing w:line="360" w:lineRule="auto"/>
        <w:jc w:val="center"/>
        <w:rPr>
          <w:rFonts w:ascii="宋体" w:hAnsi="宋体" w:cs="宋体"/>
          <w:b/>
          <w:bCs/>
          <w:spacing w:val="100"/>
          <w:sz w:val="72"/>
          <w:szCs w:val="72"/>
        </w:rPr>
      </w:pPr>
      <w:r>
        <w:rPr>
          <w:rFonts w:hint="eastAsia" w:ascii="宋体" w:hAnsi="宋体" w:cs="宋体"/>
          <w:b/>
          <w:bCs/>
          <w:spacing w:val="100"/>
          <w:sz w:val="72"/>
          <w:szCs w:val="72"/>
        </w:rPr>
        <w:t>温州市政府分散采购</w:t>
      </w:r>
    </w:p>
    <w:p>
      <w:pPr>
        <w:spacing w:line="360" w:lineRule="auto"/>
        <w:rPr>
          <w:rFonts w:ascii="宋体" w:hAnsi="宋体" w:cs="宋体"/>
          <w:b/>
          <w:bCs/>
          <w:spacing w:val="140"/>
          <w:sz w:val="84"/>
          <w:szCs w:val="84"/>
        </w:rPr>
      </w:pPr>
    </w:p>
    <w:p>
      <w:pPr>
        <w:spacing w:line="360" w:lineRule="auto"/>
        <w:jc w:val="center"/>
        <w:rPr>
          <w:rFonts w:ascii="宋体" w:hAnsi="宋体" w:cs="宋体"/>
          <w:b/>
          <w:bCs/>
          <w:spacing w:val="140"/>
          <w:sz w:val="72"/>
          <w:szCs w:val="72"/>
        </w:rPr>
      </w:pPr>
      <w:r>
        <w:rPr>
          <w:rFonts w:hint="eastAsia" w:ascii="宋体" w:hAnsi="宋体" w:cs="宋体"/>
          <w:b/>
          <w:bCs/>
          <w:spacing w:val="140"/>
          <w:sz w:val="72"/>
          <w:szCs w:val="72"/>
        </w:rPr>
        <w:t>招标文件</w:t>
      </w:r>
    </w:p>
    <w:p>
      <w:pPr>
        <w:spacing w:line="360" w:lineRule="auto"/>
        <w:jc w:val="center"/>
        <w:rPr>
          <w:rFonts w:ascii="宋体" w:hAnsi="宋体" w:cs="宋体"/>
          <w:b/>
          <w:bCs/>
          <w:spacing w:val="140"/>
          <w:sz w:val="24"/>
        </w:rPr>
      </w:pPr>
      <w:r>
        <w:rPr>
          <w:rFonts w:hint="eastAsia" w:ascii="宋体" w:hAnsi="宋体" w:cs="宋体"/>
          <w:spacing w:val="140"/>
          <w:sz w:val="24"/>
        </w:rPr>
        <w:t>（非中小企业预留份额项目）</w:t>
      </w:r>
    </w:p>
    <w:p>
      <w:pPr>
        <w:spacing w:line="360" w:lineRule="auto"/>
        <w:jc w:val="center"/>
        <w:rPr>
          <w:rFonts w:ascii="宋体" w:hAnsi="宋体" w:cs="宋体"/>
          <w:b/>
          <w:bCs/>
          <w:sz w:val="24"/>
        </w:rPr>
      </w:pPr>
    </w:p>
    <w:p>
      <w:pPr>
        <w:spacing w:line="360" w:lineRule="auto"/>
        <w:jc w:val="center"/>
        <w:rPr>
          <w:rFonts w:ascii="宋体" w:hAnsi="宋体" w:cs="宋体"/>
          <w:spacing w:val="40"/>
          <w:sz w:val="24"/>
        </w:rPr>
      </w:pPr>
    </w:p>
    <w:p>
      <w:pPr>
        <w:spacing w:line="360" w:lineRule="auto"/>
        <w:jc w:val="center"/>
        <w:rPr>
          <w:rFonts w:ascii="宋体" w:hAnsi="宋体" w:cs="宋体"/>
          <w:spacing w:val="40"/>
          <w:sz w:val="24"/>
        </w:rPr>
      </w:pPr>
    </w:p>
    <w:p>
      <w:pPr>
        <w:spacing w:line="360" w:lineRule="auto"/>
        <w:ind w:firstLine="1500" w:firstLineChars="500"/>
        <w:rPr>
          <w:rFonts w:hint="eastAsia" w:ascii="宋体" w:hAnsi="宋体" w:eastAsia="宋体" w:cs="宋体"/>
          <w:spacing w:val="30"/>
          <w:sz w:val="24"/>
          <w:lang w:eastAsia="zh-CN"/>
        </w:rPr>
      </w:pPr>
      <w:r>
        <w:rPr>
          <w:rFonts w:hint="eastAsia" w:ascii="宋体" w:hAnsi="宋体" w:cs="宋体"/>
          <w:spacing w:val="30"/>
          <w:sz w:val="24"/>
        </w:rPr>
        <w:t>项 目 编 号：</w:t>
      </w:r>
      <w:bookmarkStart w:id="130" w:name="_GoBack"/>
      <w:bookmarkEnd w:id="130"/>
      <w:r>
        <w:rPr>
          <w:rFonts w:hint="eastAsia" w:ascii="宋体" w:hAnsi="宋体" w:cs="宋体"/>
          <w:sz w:val="24"/>
          <w:lang w:eastAsia="zh-CN"/>
        </w:rPr>
        <w:t>ZJWS2022-WZJJ01-01</w:t>
      </w:r>
    </w:p>
    <w:p>
      <w:pPr>
        <w:spacing w:line="360" w:lineRule="auto"/>
        <w:ind w:left="3591" w:leftChars="710" w:hanging="2100" w:hangingChars="700"/>
        <w:rPr>
          <w:rFonts w:ascii="宋体" w:hAnsi="宋体" w:cs="宋体"/>
          <w:sz w:val="24"/>
        </w:rPr>
      </w:pPr>
      <w:r>
        <w:rPr>
          <w:rFonts w:hint="eastAsia" w:ascii="宋体" w:hAnsi="宋体" w:cs="宋体"/>
          <w:spacing w:val="30"/>
          <w:sz w:val="24"/>
        </w:rPr>
        <w:t>项 目 名 称：</w:t>
      </w:r>
      <w:r>
        <w:rPr>
          <w:rFonts w:hint="eastAsia" w:ascii="宋体" w:hAnsi="宋体" w:cs="宋体"/>
          <w:sz w:val="24"/>
        </w:rPr>
        <w:t>2023年温州市区（三、五大队）道路标志、标线、隔离护栏及其他设施建设维护项目</w:t>
      </w:r>
    </w:p>
    <w:p>
      <w:pPr>
        <w:spacing w:line="360" w:lineRule="auto"/>
        <w:ind w:firstLine="1500" w:firstLineChars="500"/>
        <w:rPr>
          <w:rFonts w:ascii="宋体" w:hAnsi="宋体" w:cs="宋体"/>
          <w:spacing w:val="40"/>
          <w:sz w:val="24"/>
        </w:rPr>
      </w:pPr>
      <w:r>
        <w:rPr>
          <w:rFonts w:hint="eastAsia" w:ascii="宋体" w:hAnsi="宋体" w:cs="宋体"/>
          <w:spacing w:val="30"/>
          <w:sz w:val="24"/>
        </w:rPr>
        <w:t>采 购 方 式：</w:t>
      </w:r>
      <w:r>
        <w:rPr>
          <w:rFonts w:hint="eastAsia" w:ascii="宋体" w:hAnsi="宋体" w:cs="宋体"/>
          <w:sz w:val="24"/>
        </w:rPr>
        <w:t>公开招标</w:t>
      </w:r>
    </w:p>
    <w:p>
      <w:pPr>
        <w:spacing w:line="360" w:lineRule="auto"/>
        <w:ind w:firstLine="720" w:firstLineChars="300"/>
        <w:jc w:val="center"/>
        <w:rPr>
          <w:rFonts w:ascii="宋体" w:hAnsi="宋体" w:cs="宋体"/>
          <w:sz w:val="24"/>
        </w:rPr>
      </w:pPr>
    </w:p>
    <w:p>
      <w:pPr>
        <w:spacing w:line="360" w:lineRule="auto"/>
        <w:jc w:val="center"/>
        <w:rPr>
          <w:rFonts w:ascii="宋体" w:hAnsi="宋体" w:cs="宋体"/>
          <w:b/>
          <w:bCs/>
          <w:sz w:val="24"/>
        </w:rPr>
      </w:pPr>
      <w:r>
        <w:rPr>
          <w:rFonts w:hint="eastAsia" w:ascii="宋体" w:hAnsi="宋体" w:cs="宋体"/>
          <w:b/>
          <w:bCs/>
          <w:sz w:val="24"/>
        </w:rPr>
        <w:t>采购人：温州市公安局交通管理局</w:t>
      </w:r>
    </w:p>
    <w:p>
      <w:pPr>
        <w:spacing w:line="360" w:lineRule="auto"/>
        <w:ind w:left="602" w:hanging="602" w:hangingChars="250"/>
        <w:jc w:val="center"/>
        <w:rPr>
          <w:rFonts w:ascii="宋体" w:hAnsi="宋体" w:cs="宋体"/>
          <w:b/>
          <w:bCs/>
          <w:sz w:val="24"/>
        </w:rPr>
      </w:pPr>
      <w:r>
        <w:rPr>
          <w:rFonts w:hint="eastAsia" w:ascii="宋体" w:hAnsi="宋体" w:cs="宋体"/>
          <w:b/>
          <w:bCs/>
          <w:sz w:val="24"/>
        </w:rPr>
        <w:t>采购代理机构:浙江五石中正工程咨询有限公司</w:t>
      </w:r>
    </w:p>
    <w:p>
      <w:pPr>
        <w:spacing w:line="360" w:lineRule="auto"/>
        <w:ind w:left="602" w:hanging="602" w:hangingChars="250"/>
        <w:jc w:val="center"/>
        <w:rPr>
          <w:rFonts w:ascii="宋体" w:hAnsi="宋体" w:cs="宋体"/>
          <w:b/>
          <w:bCs/>
          <w:sz w:val="24"/>
        </w:rPr>
      </w:pPr>
      <w:r>
        <w:rPr>
          <w:rFonts w:hint="eastAsia" w:ascii="宋体" w:hAnsi="宋体" w:cs="宋体"/>
          <w:b/>
          <w:bCs/>
          <w:sz w:val="24"/>
        </w:rPr>
        <w:t>二〇二</w:t>
      </w:r>
      <w:r>
        <w:rPr>
          <w:rFonts w:hint="eastAsia" w:ascii="宋体" w:hAnsi="宋体" w:cs="宋体"/>
          <w:b/>
          <w:bCs/>
          <w:sz w:val="24"/>
          <w:lang w:eastAsia="zh-CN"/>
        </w:rPr>
        <w:t>三</w:t>
      </w:r>
      <w:r>
        <w:rPr>
          <w:rFonts w:hint="eastAsia" w:ascii="宋体" w:hAnsi="宋体" w:cs="宋体"/>
          <w:b/>
          <w:bCs/>
          <w:sz w:val="24"/>
        </w:rPr>
        <w:t>年</w:t>
      </w:r>
      <w:r>
        <w:rPr>
          <w:rFonts w:hint="eastAsia" w:ascii="宋体" w:hAnsi="宋体" w:cs="宋体"/>
          <w:b/>
          <w:bCs/>
          <w:sz w:val="24"/>
          <w:lang w:eastAsia="zh-CN"/>
        </w:rPr>
        <w:t>一</w:t>
      </w:r>
      <w:r>
        <w:rPr>
          <w:rFonts w:hint="eastAsia" w:ascii="宋体" w:hAnsi="宋体" w:cs="宋体"/>
          <w:b/>
          <w:bCs/>
          <w:sz w:val="24"/>
        </w:rPr>
        <w:t>月</w:t>
      </w:r>
    </w:p>
    <w:p>
      <w:pPr>
        <w:spacing w:line="360" w:lineRule="auto"/>
        <w:jc w:val="center"/>
        <w:rPr>
          <w:rFonts w:ascii="宋体" w:hAnsi="宋体" w:cs="宋体"/>
          <w:b/>
          <w:sz w:val="30"/>
          <w:szCs w:val="30"/>
        </w:rPr>
      </w:pPr>
    </w:p>
    <w:p>
      <w:pPr>
        <w:spacing w:line="360" w:lineRule="auto"/>
        <w:rPr>
          <w:rFonts w:ascii="宋体" w:hAnsi="宋体" w:cs="宋体"/>
          <w:b/>
          <w:sz w:val="22"/>
          <w:szCs w:val="22"/>
        </w:rPr>
      </w:pPr>
    </w:p>
    <w:p>
      <w:pPr>
        <w:spacing w:line="360" w:lineRule="auto"/>
        <w:rPr>
          <w:rFonts w:ascii="宋体" w:hAnsi="宋体" w:cs="宋体"/>
          <w:b/>
          <w:sz w:val="22"/>
          <w:szCs w:val="22"/>
        </w:rPr>
        <w:sectPr>
          <w:headerReference r:id="rId3" w:type="default"/>
          <w:pgSz w:w="11906" w:h="16838"/>
          <w:pgMar w:top="1134" w:right="1134" w:bottom="1134" w:left="1134" w:header="851" w:footer="992" w:gutter="0"/>
          <w:pgNumType w:start="1"/>
          <w:cols w:space="720" w:num="1"/>
          <w:docGrid w:linePitch="312" w:charSpace="0"/>
        </w:sectPr>
      </w:pPr>
    </w:p>
    <w:p>
      <w:pPr>
        <w:spacing w:line="360" w:lineRule="auto"/>
        <w:rPr>
          <w:rFonts w:ascii="宋体" w:hAnsi="宋体" w:cs="宋体"/>
          <w:b/>
          <w:sz w:val="22"/>
          <w:szCs w:val="22"/>
        </w:rPr>
      </w:pPr>
    </w:p>
    <w:p>
      <w:pPr>
        <w:spacing w:line="360" w:lineRule="auto"/>
        <w:rPr>
          <w:rFonts w:ascii="宋体" w:hAnsi="宋体" w:cs="宋体"/>
          <w:b/>
          <w:sz w:val="22"/>
          <w:szCs w:val="22"/>
        </w:rPr>
      </w:pPr>
    </w:p>
    <w:p>
      <w:pPr>
        <w:spacing w:line="360" w:lineRule="auto"/>
        <w:jc w:val="center"/>
        <w:rPr>
          <w:rFonts w:ascii="宋体" w:hAnsi="宋体" w:cs="宋体"/>
          <w:szCs w:val="21"/>
        </w:rPr>
      </w:pPr>
    </w:p>
    <w:p>
      <w:pPr>
        <w:spacing w:line="360" w:lineRule="auto"/>
        <w:jc w:val="center"/>
        <w:rPr>
          <w:rFonts w:ascii="宋体" w:hAnsi="宋体" w:cs="宋体"/>
          <w:b/>
          <w:bCs/>
          <w:sz w:val="36"/>
          <w:szCs w:val="36"/>
        </w:rPr>
      </w:pPr>
      <w:r>
        <w:rPr>
          <w:rFonts w:hint="eastAsia" w:ascii="宋体" w:hAnsi="宋体" w:cs="宋体"/>
          <w:b/>
          <w:bCs/>
          <w:sz w:val="36"/>
          <w:szCs w:val="36"/>
        </w:rPr>
        <w:t>目录</w:t>
      </w:r>
    </w:p>
    <w:p>
      <w:pPr>
        <w:spacing w:line="360" w:lineRule="auto"/>
        <w:jc w:val="center"/>
        <w:rPr>
          <w:rFonts w:ascii="宋体" w:hAnsi="宋体" w:cs="宋体"/>
          <w:b/>
          <w:bCs/>
          <w:szCs w:val="21"/>
        </w:rPr>
      </w:pPr>
    </w:p>
    <w:p>
      <w:pPr>
        <w:spacing w:line="360" w:lineRule="auto"/>
        <w:jc w:val="center"/>
        <w:rPr>
          <w:rFonts w:ascii="宋体" w:hAnsi="宋体" w:cs="宋体"/>
          <w:szCs w:val="21"/>
        </w:rPr>
      </w:pPr>
    </w:p>
    <w:p>
      <w:pPr>
        <w:pStyle w:val="16"/>
        <w:tabs>
          <w:tab w:val="right" w:leader="dot" w:pos="8279"/>
        </w:tabs>
        <w:spacing w:line="360" w:lineRule="auto"/>
        <w:ind w:left="821" w:hanging="821"/>
        <w:rPr>
          <w:rFonts w:ascii="宋体" w:hAnsi="宋体" w:eastAsia="宋体" w:cs="宋体"/>
          <w:sz w:val="24"/>
        </w:rPr>
      </w:pPr>
      <w:r>
        <w:rPr>
          <w:rFonts w:hint="eastAsia" w:ascii="宋体" w:hAnsi="宋体" w:eastAsia="宋体" w:cs="宋体"/>
          <w:sz w:val="24"/>
        </w:rPr>
        <w:fldChar w:fldCharType="begin"/>
      </w:r>
      <w:r>
        <w:rPr>
          <w:rFonts w:hint="eastAsia" w:ascii="宋体" w:hAnsi="宋体" w:eastAsia="宋体" w:cs="宋体"/>
          <w:sz w:val="24"/>
        </w:rPr>
        <w:instrText xml:space="preserve">TOC \o "1-2" \h \u </w:instrText>
      </w:r>
      <w:r>
        <w:rPr>
          <w:rFonts w:hint="eastAsia" w:ascii="宋体" w:hAnsi="宋体" w:eastAsia="宋体" w:cs="宋体"/>
          <w:sz w:val="24"/>
        </w:rPr>
        <w:fldChar w:fldCharType="separate"/>
      </w:r>
      <w:r>
        <w:fldChar w:fldCharType="begin"/>
      </w:r>
      <w:r>
        <w:instrText xml:space="preserve"> HYPERLINK \l "_Toc26817" </w:instrText>
      </w:r>
      <w:r>
        <w:fldChar w:fldCharType="separate"/>
      </w:r>
      <w:r>
        <w:rPr>
          <w:rFonts w:hint="eastAsia" w:ascii="宋体" w:hAnsi="宋体" w:eastAsia="宋体" w:cs="宋体"/>
          <w:bCs/>
          <w:sz w:val="24"/>
        </w:rPr>
        <w:t>第一部分招标公告</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_Toc26817 \h </w:instrText>
      </w:r>
      <w:r>
        <w:rPr>
          <w:rFonts w:hint="eastAsia" w:ascii="宋体" w:hAnsi="宋体" w:eastAsia="宋体" w:cs="宋体"/>
          <w:sz w:val="24"/>
        </w:rPr>
        <w:fldChar w:fldCharType="separate"/>
      </w:r>
      <w:r>
        <w:rPr>
          <w:rFonts w:hint="eastAsia" w:ascii="宋体" w:hAnsi="宋体" w:eastAsia="宋体" w:cs="宋体"/>
          <w:sz w:val="24"/>
        </w:rPr>
        <w:t>1</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16"/>
        <w:tabs>
          <w:tab w:val="right" w:leader="dot" w:pos="8279"/>
        </w:tabs>
        <w:spacing w:line="360" w:lineRule="auto"/>
        <w:rPr>
          <w:rFonts w:ascii="宋体" w:hAnsi="宋体" w:eastAsia="宋体" w:cs="宋体"/>
          <w:sz w:val="24"/>
        </w:rPr>
      </w:pPr>
      <w:r>
        <w:fldChar w:fldCharType="begin"/>
      </w:r>
      <w:r>
        <w:instrText xml:space="preserve"> HYPERLINK \l "_Toc13646" </w:instrText>
      </w:r>
      <w:r>
        <w:fldChar w:fldCharType="separate"/>
      </w:r>
      <w:r>
        <w:rPr>
          <w:rFonts w:hint="eastAsia" w:ascii="宋体" w:hAnsi="宋体" w:eastAsia="宋体" w:cs="宋体"/>
          <w:bCs/>
          <w:sz w:val="24"/>
        </w:rPr>
        <w:t>第二部分投标人须知前附表</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_Toc13646 \h </w:instrText>
      </w:r>
      <w:r>
        <w:rPr>
          <w:rFonts w:hint="eastAsia" w:ascii="宋体" w:hAnsi="宋体" w:eastAsia="宋体" w:cs="宋体"/>
          <w:sz w:val="24"/>
        </w:rPr>
        <w:fldChar w:fldCharType="separate"/>
      </w:r>
      <w:r>
        <w:rPr>
          <w:rFonts w:hint="eastAsia" w:ascii="宋体" w:hAnsi="宋体" w:eastAsia="宋体" w:cs="宋体"/>
          <w:sz w:val="24"/>
        </w:rPr>
        <w:t>6</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16"/>
        <w:tabs>
          <w:tab w:val="right" w:leader="dot" w:pos="8279"/>
        </w:tabs>
        <w:spacing w:line="360" w:lineRule="auto"/>
        <w:rPr>
          <w:rFonts w:ascii="宋体" w:hAnsi="宋体" w:eastAsia="宋体" w:cs="宋体"/>
          <w:sz w:val="24"/>
        </w:rPr>
      </w:pPr>
      <w:r>
        <w:fldChar w:fldCharType="begin"/>
      </w:r>
      <w:r>
        <w:instrText xml:space="preserve"> HYPERLINK \l "_Toc6445" </w:instrText>
      </w:r>
      <w:r>
        <w:fldChar w:fldCharType="separate"/>
      </w:r>
      <w:r>
        <w:rPr>
          <w:rFonts w:hint="eastAsia" w:ascii="宋体" w:hAnsi="宋体" w:eastAsia="宋体" w:cs="宋体"/>
          <w:bCs/>
          <w:sz w:val="24"/>
        </w:rPr>
        <w:t>第三部分投标人须知</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_Toc6445 \h </w:instrText>
      </w:r>
      <w:r>
        <w:rPr>
          <w:rFonts w:hint="eastAsia" w:ascii="宋体" w:hAnsi="宋体" w:eastAsia="宋体" w:cs="宋体"/>
          <w:sz w:val="24"/>
        </w:rPr>
        <w:fldChar w:fldCharType="separate"/>
      </w:r>
      <w:r>
        <w:rPr>
          <w:rFonts w:hint="eastAsia" w:ascii="宋体" w:hAnsi="宋体" w:eastAsia="宋体" w:cs="宋体"/>
          <w:sz w:val="24"/>
        </w:rPr>
        <w:t>10</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16"/>
        <w:tabs>
          <w:tab w:val="right" w:leader="dot" w:pos="8279"/>
        </w:tabs>
        <w:spacing w:line="360" w:lineRule="auto"/>
        <w:rPr>
          <w:rFonts w:ascii="宋体" w:hAnsi="宋体" w:eastAsia="宋体" w:cs="宋体"/>
          <w:sz w:val="24"/>
        </w:rPr>
      </w:pPr>
      <w:r>
        <w:fldChar w:fldCharType="begin"/>
      </w:r>
      <w:r>
        <w:instrText xml:space="preserve"> HYPERLINK \l "_Toc16349" </w:instrText>
      </w:r>
      <w:r>
        <w:fldChar w:fldCharType="separate"/>
      </w:r>
      <w:r>
        <w:rPr>
          <w:rFonts w:hint="eastAsia" w:ascii="宋体" w:hAnsi="宋体" w:eastAsia="宋体" w:cs="宋体"/>
          <w:bCs/>
          <w:sz w:val="24"/>
        </w:rPr>
        <w:t>第四部分开标、评标和定标</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_Toc16349 \h </w:instrText>
      </w:r>
      <w:r>
        <w:rPr>
          <w:rFonts w:hint="eastAsia" w:ascii="宋体" w:hAnsi="宋体" w:eastAsia="宋体" w:cs="宋体"/>
          <w:sz w:val="24"/>
        </w:rPr>
        <w:fldChar w:fldCharType="separate"/>
      </w:r>
      <w:r>
        <w:rPr>
          <w:rFonts w:hint="eastAsia" w:ascii="宋体" w:hAnsi="宋体" w:eastAsia="宋体" w:cs="宋体"/>
          <w:sz w:val="24"/>
        </w:rPr>
        <w:t>19</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16"/>
        <w:tabs>
          <w:tab w:val="right" w:leader="dot" w:pos="8279"/>
        </w:tabs>
        <w:spacing w:line="360" w:lineRule="auto"/>
        <w:rPr>
          <w:rFonts w:ascii="宋体" w:hAnsi="宋体" w:eastAsia="宋体" w:cs="宋体"/>
          <w:sz w:val="24"/>
        </w:rPr>
      </w:pPr>
      <w:r>
        <w:fldChar w:fldCharType="begin"/>
      </w:r>
      <w:r>
        <w:instrText xml:space="preserve"> HYPERLINK \l "_Toc6952" </w:instrText>
      </w:r>
      <w:r>
        <w:fldChar w:fldCharType="separate"/>
      </w:r>
      <w:r>
        <w:rPr>
          <w:rFonts w:hint="eastAsia" w:ascii="宋体" w:hAnsi="宋体" w:eastAsia="宋体" w:cs="宋体"/>
          <w:bCs/>
          <w:sz w:val="24"/>
        </w:rPr>
        <w:t>第五部分评标方法</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_Toc6952 \h </w:instrText>
      </w:r>
      <w:r>
        <w:rPr>
          <w:rFonts w:hint="eastAsia" w:ascii="宋体" w:hAnsi="宋体" w:eastAsia="宋体" w:cs="宋体"/>
          <w:sz w:val="24"/>
        </w:rPr>
        <w:fldChar w:fldCharType="separate"/>
      </w:r>
      <w:r>
        <w:rPr>
          <w:rFonts w:hint="eastAsia" w:ascii="宋体" w:hAnsi="宋体" w:eastAsia="宋体" w:cs="宋体"/>
          <w:sz w:val="24"/>
        </w:rPr>
        <w:t>24</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16"/>
        <w:tabs>
          <w:tab w:val="right" w:leader="dot" w:pos="8279"/>
        </w:tabs>
        <w:spacing w:line="360" w:lineRule="auto"/>
        <w:rPr>
          <w:rFonts w:ascii="宋体" w:hAnsi="宋体" w:eastAsia="宋体" w:cs="宋体"/>
          <w:sz w:val="24"/>
        </w:rPr>
      </w:pPr>
      <w:r>
        <w:fldChar w:fldCharType="begin"/>
      </w:r>
      <w:r>
        <w:instrText xml:space="preserve"> HYPERLINK \l "_Toc1717" </w:instrText>
      </w:r>
      <w:r>
        <w:fldChar w:fldCharType="separate"/>
      </w:r>
      <w:r>
        <w:rPr>
          <w:rFonts w:hint="eastAsia" w:ascii="宋体" w:hAnsi="宋体" w:eastAsia="宋体" w:cs="宋体"/>
          <w:bCs/>
          <w:sz w:val="24"/>
        </w:rPr>
        <w:t>第六部分采购需求</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_Toc1717 \h </w:instrText>
      </w:r>
      <w:r>
        <w:rPr>
          <w:rFonts w:hint="eastAsia" w:ascii="宋体" w:hAnsi="宋体" w:eastAsia="宋体" w:cs="宋体"/>
          <w:sz w:val="24"/>
        </w:rPr>
        <w:fldChar w:fldCharType="separate"/>
      </w:r>
      <w:r>
        <w:rPr>
          <w:rFonts w:hint="eastAsia" w:ascii="宋体" w:hAnsi="宋体" w:eastAsia="宋体" w:cs="宋体"/>
          <w:sz w:val="24"/>
        </w:rPr>
        <w:t>38</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16"/>
        <w:tabs>
          <w:tab w:val="right" w:leader="dot" w:pos="8279"/>
        </w:tabs>
        <w:spacing w:line="360" w:lineRule="auto"/>
        <w:rPr>
          <w:rFonts w:ascii="宋体" w:hAnsi="宋体" w:eastAsia="宋体" w:cs="宋体"/>
          <w:sz w:val="24"/>
        </w:rPr>
      </w:pPr>
      <w:r>
        <w:fldChar w:fldCharType="begin"/>
      </w:r>
      <w:r>
        <w:instrText xml:space="preserve"> HYPERLINK \l "_Toc10175" </w:instrText>
      </w:r>
      <w:r>
        <w:fldChar w:fldCharType="separate"/>
      </w:r>
      <w:r>
        <w:rPr>
          <w:rFonts w:hint="eastAsia" w:ascii="宋体" w:hAnsi="宋体" w:eastAsia="宋体" w:cs="宋体"/>
          <w:bCs/>
          <w:sz w:val="24"/>
        </w:rPr>
        <w:t>第七部分合同主要条款</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_Toc10175 \h </w:instrText>
      </w:r>
      <w:r>
        <w:rPr>
          <w:rFonts w:hint="eastAsia" w:ascii="宋体" w:hAnsi="宋体" w:eastAsia="宋体" w:cs="宋体"/>
          <w:sz w:val="24"/>
        </w:rPr>
        <w:fldChar w:fldCharType="separate"/>
      </w:r>
      <w:r>
        <w:rPr>
          <w:rFonts w:hint="eastAsia" w:ascii="宋体" w:hAnsi="宋体" w:eastAsia="宋体" w:cs="宋体"/>
          <w:sz w:val="24"/>
        </w:rPr>
        <w:t>120</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16"/>
        <w:tabs>
          <w:tab w:val="right" w:leader="dot" w:pos="8279"/>
        </w:tabs>
        <w:spacing w:line="360" w:lineRule="auto"/>
        <w:rPr>
          <w:rFonts w:ascii="宋体" w:hAnsi="宋体" w:eastAsia="宋体" w:cs="宋体"/>
          <w:sz w:val="24"/>
        </w:rPr>
      </w:pPr>
      <w:r>
        <w:fldChar w:fldCharType="begin"/>
      </w:r>
      <w:r>
        <w:instrText xml:space="preserve"> HYPERLINK \l "_Toc16883" </w:instrText>
      </w:r>
      <w:r>
        <w:fldChar w:fldCharType="separate"/>
      </w:r>
      <w:r>
        <w:rPr>
          <w:rFonts w:hint="eastAsia" w:ascii="宋体" w:hAnsi="宋体" w:eastAsia="宋体" w:cs="宋体"/>
          <w:bCs/>
          <w:sz w:val="24"/>
        </w:rPr>
        <w:t>第八部分投标文件格式附件</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_Toc16883 \h </w:instrText>
      </w:r>
      <w:r>
        <w:rPr>
          <w:rFonts w:hint="eastAsia" w:ascii="宋体" w:hAnsi="宋体" w:eastAsia="宋体" w:cs="宋体"/>
          <w:sz w:val="24"/>
        </w:rPr>
        <w:fldChar w:fldCharType="separate"/>
      </w:r>
      <w:r>
        <w:rPr>
          <w:rFonts w:hint="eastAsia" w:ascii="宋体" w:hAnsi="宋体" w:eastAsia="宋体" w:cs="宋体"/>
          <w:sz w:val="24"/>
        </w:rPr>
        <w:t>163</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19"/>
        <w:spacing w:line="360" w:lineRule="auto"/>
        <w:rPr>
          <w:rFonts w:hAnsi="宋体"/>
        </w:rPr>
      </w:pPr>
      <w:r>
        <w:rPr>
          <w:rFonts w:hint="eastAsia" w:hAnsi="宋体"/>
          <w:sz w:val="24"/>
          <w:szCs w:val="24"/>
        </w:rPr>
        <w:fldChar w:fldCharType="end"/>
      </w:r>
    </w:p>
    <w:p>
      <w:pPr>
        <w:pStyle w:val="19"/>
        <w:spacing w:line="360" w:lineRule="auto"/>
        <w:rPr>
          <w:rFonts w:hAnsi="宋体"/>
        </w:rPr>
      </w:pPr>
    </w:p>
    <w:p>
      <w:pPr>
        <w:spacing w:line="360" w:lineRule="auto"/>
        <w:ind w:right="565" w:rightChars="269"/>
        <w:rPr>
          <w:rFonts w:ascii="宋体" w:hAnsi="宋体" w:cs="宋体"/>
          <w:b/>
          <w:bCs/>
          <w:szCs w:val="21"/>
        </w:rPr>
      </w:pPr>
      <w:r>
        <w:rPr>
          <w:rFonts w:hint="eastAsia" w:ascii="宋体" w:hAnsi="宋体" w:cs="宋体"/>
          <w:bCs/>
          <w:szCs w:val="21"/>
          <w:u w:val="single"/>
        </w:rPr>
        <w:t>注：▲本招标文件正文内容共</w:t>
      </w:r>
      <w:r>
        <w:rPr>
          <w:rFonts w:hint="eastAsia" w:ascii="宋体" w:hAnsi="宋体" w:cs="宋体"/>
          <w:bCs/>
          <w:szCs w:val="21"/>
          <w:u w:val="single"/>
          <w:lang w:val="en-US" w:eastAsia="zh-CN"/>
        </w:rPr>
        <w:t>162</w:t>
      </w:r>
      <w:r>
        <w:rPr>
          <w:rFonts w:hint="eastAsia" w:ascii="宋体" w:hAnsi="宋体" w:cs="宋体"/>
          <w:bCs/>
          <w:szCs w:val="21"/>
          <w:u w:val="single"/>
        </w:rPr>
        <w:t>页（页码编制1-2</w:t>
      </w:r>
      <w:r>
        <w:rPr>
          <w:rFonts w:hint="eastAsia" w:ascii="宋体" w:hAnsi="宋体" w:cs="宋体"/>
          <w:bCs/>
          <w:szCs w:val="21"/>
          <w:u w:val="single"/>
          <w:lang w:val="en-US" w:eastAsia="zh-CN"/>
        </w:rPr>
        <w:t>69</w:t>
      </w:r>
      <w:r>
        <w:rPr>
          <w:rFonts w:hint="eastAsia" w:ascii="宋体" w:hAnsi="宋体" w:cs="宋体"/>
          <w:bCs/>
          <w:szCs w:val="21"/>
          <w:u w:val="single"/>
        </w:rPr>
        <w:t>），招标文件中部分标“▲”且加下划线部分，为招标的实质性要求，着重提醒各投标人必须响应。各投标人必须认真阅读和理解招标文件中的每一个条款及要求，因误读招标文件而造成的后果，采购人及采购代理机构概不负责。</w:t>
      </w:r>
    </w:p>
    <w:p>
      <w:pPr>
        <w:spacing w:line="360" w:lineRule="auto"/>
        <w:jc w:val="center"/>
        <w:rPr>
          <w:rFonts w:ascii="宋体" w:hAnsi="宋体" w:cs="宋体"/>
          <w:b/>
          <w:szCs w:val="21"/>
        </w:rPr>
      </w:pPr>
    </w:p>
    <w:p>
      <w:pPr>
        <w:spacing w:line="360" w:lineRule="auto"/>
        <w:jc w:val="center"/>
        <w:rPr>
          <w:rFonts w:ascii="宋体" w:hAnsi="宋体" w:cs="宋体"/>
          <w:b/>
          <w:szCs w:val="21"/>
        </w:rPr>
      </w:pPr>
    </w:p>
    <w:p>
      <w:pPr>
        <w:spacing w:line="360" w:lineRule="auto"/>
        <w:jc w:val="center"/>
        <w:rPr>
          <w:rFonts w:ascii="宋体" w:hAnsi="宋体" w:cs="宋体"/>
          <w:b/>
          <w:szCs w:val="21"/>
        </w:rPr>
      </w:pPr>
    </w:p>
    <w:p>
      <w:pPr>
        <w:spacing w:line="360" w:lineRule="auto"/>
        <w:jc w:val="center"/>
        <w:rPr>
          <w:rFonts w:ascii="宋体" w:hAnsi="宋体" w:cs="宋体"/>
          <w:b/>
          <w:szCs w:val="21"/>
        </w:rPr>
      </w:pPr>
    </w:p>
    <w:p>
      <w:pPr>
        <w:spacing w:line="360" w:lineRule="auto"/>
        <w:jc w:val="center"/>
        <w:rPr>
          <w:rFonts w:ascii="宋体" w:hAnsi="宋体" w:cs="宋体"/>
          <w:b/>
          <w:szCs w:val="21"/>
        </w:rPr>
      </w:pPr>
    </w:p>
    <w:p>
      <w:pPr>
        <w:spacing w:line="360" w:lineRule="auto"/>
        <w:jc w:val="center"/>
        <w:rPr>
          <w:rFonts w:ascii="宋体" w:hAnsi="宋体" w:cs="宋体"/>
          <w:b/>
          <w:szCs w:val="21"/>
        </w:rPr>
        <w:sectPr>
          <w:pgSz w:w="11907" w:h="16840"/>
          <w:pgMar w:top="1474" w:right="1814" w:bottom="1474" w:left="1814" w:header="851" w:footer="851" w:gutter="0"/>
          <w:cols w:space="720" w:num="1"/>
        </w:sectPr>
      </w:pPr>
    </w:p>
    <w:p>
      <w:pPr>
        <w:widowControl/>
        <w:spacing w:line="360" w:lineRule="auto"/>
        <w:jc w:val="left"/>
        <w:rPr>
          <w:rFonts w:ascii="宋体" w:hAnsi="宋体" w:cs="宋体"/>
        </w:rPr>
      </w:pPr>
    </w:p>
    <w:p>
      <w:pPr>
        <w:pStyle w:val="3"/>
        <w:jc w:val="center"/>
        <w:rPr>
          <w:rFonts w:hAnsi="宋体" w:cs="宋体"/>
          <w:bCs/>
          <w:sz w:val="36"/>
          <w:szCs w:val="36"/>
        </w:rPr>
      </w:pPr>
      <w:bookmarkStart w:id="0" w:name="_Toc32503"/>
      <w:bookmarkStart w:id="1" w:name="_Toc26817"/>
      <w:r>
        <w:rPr>
          <w:rFonts w:hint="eastAsia" w:hAnsi="宋体" w:cs="宋体"/>
          <w:bCs/>
          <w:sz w:val="36"/>
          <w:szCs w:val="36"/>
        </w:rPr>
        <w:t>第一部分   招标公告</w:t>
      </w:r>
      <w:bookmarkEnd w:id="0"/>
    </w:p>
    <w:p>
      <w:pPr>
        <w:pBdr>
          <w:top w:val="single" w:color="auto" w:sz="4" w:space="1"/>
          <w:left w:val="single" w:color="auto" w:sz="4" w:space="4"/>
          <w:bottom w:val="single" w:color="auto" w:sz="4" w:space="1"/>
          <w:right w:val="single" w:color="auto" w:sz="4" w:space="4"/>
        </w:pBdr>
        <w:spacing w:line="360" w:lineRule="auto"/>
        <w:rPr>
          <w:rFonts w:ascii="宋体" w:hAnsi="宋体" w:cs="宋体"/>
          <w:sz w:val="22"/>
          <w:szCs w:val="22"/>
        </w:rPr>
      </w:pPr>
      <w:r>
        <w:rPr>
          <w:rFonts w:hint="eastAsia" w:ascii="宋体" w:hAnsi="宋体" w:cs="宋体"/>
          <w:sz w:val="22"/>
          <w:szCs w:val="22"/>
        </w:rPr>
        <w:t>项目概况</w:t>
      </w:r>
    </w:p>
    <w:p>
      <w:pPr>
        <w:pBdr>
          <w:top w:val="single" w:color="auto" w:sz="4" w:space="1"/>
          <w:left w:val="single" w:color="auto" w:sz="4" w:space="4"/>
          <w:bottom w:val="single" w:color="auto" w:sz="4" w:space="1"/>
          <w:right w:val="single" w:color="auto" w:sz="4" w:space="4"/>
        </w:pBdr>
        <w:spacing w:line="360" w:lineRule="auto"/>
        <w:ind w:firstLine="440" w:firstLineChars="200"/>
        <w:rPr>
          <w:rFonts w:ascii="宋体" w:hAnsi="宋体" w:cs="宋体"/>
          <w:sz w:val="22"/>
          <w:szCs w:val="22"/>
        </w:rPr>
      </w:pPr>
      <w:r>
        <w:rPr>
          <w:rFonts w:hint="eastAsia" w:ascii="宋体" w:hAnsi="宋体" w:cs="宋体"/>
          <w:kern w:val="0"/>
          <w:sz w:val="22"/>
          <w:szCs w:val="27"/>
          <w:u w:val="single"/>
        </w:rPr>
        <w:t>2023年温州市区（三、五大队）道路标志、标线、隔离护栏及其他设施建设维护</w:t>
      </w:r>
      <w:r>
        <w:rPr>
          <w:rFonts w:hint="eastAsia" w:ascii="宋体" w:hAnsi="宋体" w:cs="宋体"/>
          <w:sz w:val="22"/>
          <w:szCs w:val="22"/>
        </w:rPr>
        <w:t>招标项目的潜在投标人应在</w:t>
      </w:r>
      <w:r>
        <w:rPr>
          <w:rFonts w:hint="eastAsia" w:ascii="宋体" w:hAnsi="宋体" w:cs="宋体"/>
          <w:sz w:val="22"/>
          <w:szCs w:val="22"/>
          <w:u w:val="single"/>
        </w:rPr>
        <w:t>政采云平台（https://www.zcygov.cn）</w:t>
      </w:r>
      <w:r>
        <w:rPr>
          <w:rFonts w:hint="eastAsia" w:ascii="宋体" w:hAnsi="宋体" w:cs="宋体"/>
          <w:sz w:val="22"/>
          <w:szCs w:val="22"/>
        </w:rPr>
        <w:t>获取（下载）招标文件，并于2023</w:t>
      </w:r>
      <w:r>
        <w:rPr>
          <w:rFonts w:hint="eastAsia" w:ascii="宋体" w:hAnsi="宋体" w:cs="宋体"/>
          <w:bCs/>
          <w:sz w:val="22"/>
          <w:szCs w:val="22"/>
        </w:rPr>
        <w:t>年</w:t>
      </w:r>
      <w:r>
        <w:rPr>
          <w:rFonts w:hint="eastAsia" w:ascii="宋体" w:hAnsi="宋体" w:cs="宋体"/>
          <w:bCs/>
          <w:sz w:val="22"/>
          <w:szCs w:val="22"/>
          <w:u w:val="single"/>
          <w:lang w:val="en-US" w:eastAsia="zh-CN"/>
        </w:rPr>
        <w:t>2</w:t>
      </w:r>
      <w:r>
        <w:rPr>
          <w:rFonts w:hint="eastAsia" w:ascii="宋体" w:hAnsi="宋体" w:cs="宋体"/>
          <w:bCs/>
          <w:sz w:val="22"/>
          <w:szCs w:val="22"/>
          <w:u w:val="single"/>
        </w:rPr>
        <w:t>月</w:t>
      </w:r>
      <w:r>
        <w:rPr>
          <w:rFonts w:hint="eastAsia" w:ascii="宋体" w:hAnsi="宋体" w:cs="宋体"/>
          <w:bCs/>
          <w:sz w:val="22"/>
          <w:szCs w:val="22"/>
          <w:u w:val="single"/>
          <w:lang w:val="en-US" w:eastAsia="zh-CN"/>
        </w:rPr>
        <w:t xml:space="preserve">7 </w:t>
      </w:r>
      <w:r>
        <w:rPr>
          <w:rFonts w:hint="eastAsia" w:ascii="宋体" w:hAnsi="宋体" w:cs="宋体"/>
          <w:bCs/>
          <w:sz w:val="22"/>
          <w:szCs w:val="22"/>
        </w:rPr>
        <w:t>日</w:t>
      </w:r>
      <w:r>
        <w:rPr>
          <w:rFonts w:hint="eastAsia" w:ascii="宋体" w:hAnsi="宋体" w:cs="宋体"/>
          <w:bCs/>
          <w:sz w:val="22"/>
          <w:szCs w:val="22"/>
          <w:u w:val="single"/>
        </w:rPr>
        <w:t>09</w:t>
      </w:r>
      <w:r>
        <w:rPr>
          <w:rFonts w:hint="eastAsia" w:ascii="宋体" w:hAnsi="宋体" w:cs="宋体"/>
          <w:bCs/>
          <w:sz w:val="22"/>
          <w:szCs w:val="22"/>
        </w:rPr>
        <w:t>点</w:t>
      </w:r>
      <w:r>
        <w:rPr>
          <w:rFonts w:hint="eastAsia" w:ascii="宋体" w:hAnsi="宋体" w:cs="宋体"/>
          <w:bCs/>
          <w:sz w:val="22"/>
          <w:szCs w:val="22"/>
          <w:u w:val="single"/>
        </w:rPr>
        <w:t>30</w:t>
      </w:r>
      <w:r>
        <w:rPr>
          <w:rFonts w:hint="eastAsia" w:ascii="宋体" w:hAnsi="宋体" w:cs="宋体"/>
          <w:bCs/>
          <w:sz w:val="22"/>
          <w:szCs w:val="22"/>
        </w:rPr>
        <w:t>分（北京时间）前递交（上传）投标文件</w:t>
      </w:r>
      <w:r>
        <w:rPr>
          <w:rFonts w:hint="eastAsia" w:ascii="宋体" w:hAnsi="宋体" w:cs="宋体"/>
          <w:sz w:val="22"/>
          <w:szCs w:val="22"/>
        </w:rPr>
        <w:t>。</w:t>
      </w:r>
    </w:p>
    <w:bookmarkEnd w:id="1"/>
    <w:p>
      <w:pPr>
        <w:widowControl/>
        <w:spacing w:before="255" w:after="255" w:line="360" w:lineRule="auto"/>
        <w:jc w:val="left"/>
        <w:rPr>
          <w:rFonts w:ascii="宋体" w:hAnsi="宋体" w:cs="宋体"/>
          <w:b/>
          <w:bCs/>
          <w:kern w:val="0"/>
          <w:sz w:val="22"/>
          <w:szCs w:val="27"/>
        </w:rPr>
      </w:pPr>
      <w:r>
        <w:rPr>
          <w:rFonts w:hint="eastAsia" w:ascii="宋体" w:hAnsi="宋体" w:cs="宋体"/>
          <w:b/>
          <w:bCs/>
          <w:kern w:val="0"/>
          <w:sz w:val="22"/>
          <w:szCs w:val="27"/>
        </w:rPr>
        <w:t>一、项目基本情况</w:t>
      </w:r>
    </w:p>
    <w:p>
      <w:pPr>
        <w:widowControl/>
        <w:spacing w:before="75" w:after="75" w:line="360" w:lineRule="auto"/>
        <w:jc w:val="left"/>
        <w:rPr>
          <w:rFonts w:hint="eastAsia" w:ascii="宋体" w:hAnsi="宋体" w:eastAsia="宋体" w:cs="宋体"/>
          <w:kern w:val="0"/>
          <w:lang w:eastAsia="zh-CN"/>
        </w:rPr>
      </w:pPr>
      <w:r>
        <w:rPr>
          <w:rFonts w:hint="eastAsia" w:ascii="宋体" w:hAnsi="宋体" w:cs="宋体"/>
          <w:kern w:val="0"/>
          <w:sz w:val="22"/>
          <w:szCs w:val="27"/>
        </w:rPr>
        <w:t>项目编号：</w:t>
      </w:r>
      <w:r>
        <w:rPr>
          <w:rFonts w:hint="eastAsia" w:ascii="宋体" w:hAnsi="宋体" w:cs="宋体"/>
          <w:kern w:val="0"/>
          <w:sz w:val="22"/>
          <w:szCs w:val="27"/>
          <w:lang w:eastAsia="zh-CN"/>
        </w:rPr>
        <w:t>ZJWS2022-WZJJ01-01</w:t>
      </w:r>
    </w:p>
    <w:p>
      <w:pPr>
        <w:widowControl/>
        <w:spacing w:before="75" w:after="75" w:line="360" w:lineRule="auto"/>
        <w:jc w:val="left"/>
        <w:rPr>
          <w:rFonts w:ascii="宋体" w:hAnsi="宋体" w:cs="宋体"/>
          <w:kern w:val="0"/>
          <w:sz w:val="22"/>
          <w:szCs w:val="27"/>
        </w:rPr>
      </w:pPr>
      <w:r>
        <w:rPr>
          <w:rFonts w:hint="eastAsia" w:ascii="宋体" w:hAnsi="宋体" w:cs="宋体"/>
          <w:kern w:val="0"/>
          <w:sz w:val="22"/>
          <w:szCs w:val="27"/>
        </w:rPr>
        <w:t>项目名称：2023年温州市区（三、五大队）道路标志、标线、隔离护栏及其他设施建设维护项目</w:t>
      </w:r>
    </w:p>
    <w:p>
      <w:pPr>
        <w:widowControl/>
        <w:spacing w:before="75" w:after="75" w:line="360" w:lineRule="auto"/>
        <w:jc w:val="left"/>
        <w:rPr>
          <w:rFonts w:ascii="宋体" w:hAnsi="宋体" w:cs="宋体"/>
          <w:kern w:val="0"/>
          <w:sz w:val="22"/>
          <w:szCs w:val="27"/>
        </w:rPr>
      </w:pPr>
      <w:r>
        <w:rPr>
          <w:rFonts w:hint="eastAsia" w:ascii="宋体" w:hAnsi="宋体" w:cs="宋体"/>
          <w:kern w:val="0"/>
          <w:sz w:val="22"/>
          <w:szCs w:val="27"/>
        </w:rPr>
        <w:t>预算金额（元）：7100000</w:t>
      </w:r>
    </w:p>
    <w:p>
      <w:pPr>
        <w:widowControl/>
        <w:spacing w:before="75" w:after="75" w:line="360" w:lineRule="auto"/>
        <w:jc w:val="left"/>
        <w:rPr>
          <w:rFonts w:ascii="宋体" w:hAnsi="宋体" w:cs="宋体"/>
          <w:kern w:val="0"/>
          <w:sz w:val="22"/>
          <w:szCs w:val="27"/>
        </w:rPr>
      </w:pPr>
      <w:r>
        <w:rPr>
          <w:rFonts w:hint="eastAsia" w:ascii="宋体" w:hAnsi="宋体" w:cs="宋体"/>
          <w:kern w:val="0"/>
          <w:sz w:val="22"/>
          <w:szCs w:val="27"/>
        </w:rPr>
        <w:t>最高限价（元）：/</w:t>
      </w:r>
    </w:p>
    <w:p>
      <w:pPr>
        <w:widowControl/>
        <w:spacing w:before="75" w:after="75" w:line="360" w:lineRule="auto"/>
        <w:jc w:val="left"/>
        <w:rPr>
          <w:rFonts w:ascii="宋体" w:hAnsi="宋体" w:cs="宋体"/>
          <w:kern w:val="0"/>
          <w:sz w:val="22"/>
          <w:szCs w:val="27"/>
        </w:rPr>
      </w:pPr>
      <w:r>
        <w:rPr>
          <w:rFonts w:hint="eastAsia" w:ascii="宋体" w:hAnsi="宋体" w:cs="宋体"/>
          <w:kern w:val="0"/>
          <w:sz w:val="22"/>
          <w:szCs w:val="27"/>
        </w:rPr>
        <w:t>采购需求：</w:t>
      </w:r>
    </w:p>
    <w:p>
      <w:pPr>
        <w:widowControl/>
        <w:spacing w:before="75" w:after="75" w:line="360" w:lineRule="auto"/>
        <w:ind w:firstLine="440" w:firstLineChars="200"/>
        <w:jc w:val="left"/>
        <w:rPr>
          <w:rFonts w:ascii="宋体" w:hAnsi="宋体" w:cs="宋体"/>
          <w:kern w:val="0"/>
          <w:sz w:val="22"/>
          <w:szCs w:val="27"/>
        </w:rPr>
      </w:pPr>
      <w:r>
        <w:rPr>
          <w:rFonts w:hint="eastAsia" w:ascii="宋体" w:hAnsi="宋体" w:cs="宋体"/>
          <w:kern w:val="0"/>
          <w:sz w:val="22"/>
          <w:szCs w:val="27"/>
        </w:rPr>
        <w:t>温州市区（三、五大队）道路标志、标线、隔离护栏及其他设施建设维护项目分为两个标项，具体内容详见招标文件第六部分采购需求。</w:t>
      </w:r>
    </w:p>
    <w:p>
      <w:pPr>
        <w:widowControl/>
        <w:spacing w:before="75" w:after="75" w:line="360" w:lineRule="auto"/>
        <w:jc w:val="left"/>
        <w:rPr>
          <w:rFonts w:ascii="宋体" w:hAnsi="宋体" w:cs="宋体"/>
          <w:kern w:val="0"/>
          <w:sz w:val="22"/>
          <w:szCs w:val="27"/>
        </w:rPr>
      </w:pPr>
      <w:r>
        <w:rPr>
          <w:rFonts w:hint="eastAsia" w:ascii="宋体" w:hAnsi="宋体" w:cs="宋体"/>
          <w:kern w:val="0"/>
          <w:sz w:val="22"/>
          <w:szCs w:val="27"/>
        </w:rPr>
        <w:t>标项一:</w:t>
      </w:r>
    </w:p>
    <w:p>
      <w:pPr>
        <w:widowControl/>
        <w:spacing w:before="75" w:after="75" w:line="360" w:lineRule="auto"/>
        <w:jc w:val="left"/>
        <w:rPr>
          <w:rFonts w:ascii="宋体" w:hAnsi="宋体" w:cs="宋体"/>
          <w:kern w:val="0"/>
          <w:sz w:val="22"/>
          <w:szCs w:val="27"/>
        </w:rPr>
      </w:pPr>
      <w:r>
        <w:rPr>
          <w:rFonts w:hint="eastAsia" w:ascii="宋体" w:hAnsi="宋体" w:cs="宋体"/>
          <w:kern w:val="0"/>
          <w:sz w:val="22"/>
          <w:szCs w:val="27"/>
        </w:rPr>
        <w:t>标项名称：2023年温州市区（三大队）道路标志、标线、隔离护栏及其他设施建设维护项目</w:t>
      </w:r>
    </w:p>
    <w:p>
      <w:pPr>
        <w:widowControl/>
        <w:spacing w:before="75" w:after="75" w:line="360" w:lineRule="auto"/>
        <w:jc w:val="left"/>
        <w:rPr>
          <w:rFonts w:ascii="宋体" w:hAnsi="宋体" w:cs="宋体"/>
          <w:kern w:val="0"/>
          <w:sz w:val="22"/>
          <w:szCs w:val="27"/>
        </w:rPr>
      </w:pPr>
      <w:r>
        <w:rPr>
          <w:rFonts w:hint="eastAsia" w:ascii="宋体" w:hAnsi="宋体" w:cs="宋体"/>
          <w:kern w:val="0"/>
          <w:sz w:val="22"/>
          <w:szCs w:val="27"/>
        </w:rPr>
        <w:t>数量:1项</w:t>
      </w:r>
    </w:p>
    <w:p>
      <w:pPr>
        <w:widowControl/>
        <w:spacing w:before="75" w:after="75" w:line="360" w:lineRule="auto"/>
        <w:jc w:val="left"/>
        <w:rPr>
          <w:rFonts w:ascii="宋体" w:hAnsi="宋体" w:cs="宋体"/>
          <w:kern w:val="0"/>
          <w:sz w:val="22"/>
          <w:szCs w:val="27"/>
        </w:rPr>
      </w:pPr>
      <w:r>
        <w:rPr>
          <w:rFonts w:hint="eastAsia" w:ascii="宋体" w:hAnsi="宋体" w:cs="宋体"/>
          <w:kern w:val="0"/>
          <w:sz w:val="22"/>
          <w:szCs w:val="27"/>
        </w:rPr>
        <w:t>预算金额（元）:3700000元</w:t>
      </w:r>
    </w:p>
    <w:p>
      <w:pPr>
        <w:widowControl/>
        <w:spacing w:before="75" w:after="75" w:line="360" w:lineRule="auto"/>
        <w:jc w:val="left"/>
        <w:rPr>
          <w:rFonts w:ascii="宋体" w:hAnsi="宋体" w:cs="宋体"/>
          <w:kern w:val="0"/>
          <w:sz w:val="22"/>
          <w:szCs w:val="27"/>
        </w:rPr>
      </w:pPr>
      <w:r>
        <w:rPr>
          <w:rFonts w:hint="eastAsia" w:ascii="宋体" w:hAnsi="宋体" w:cs="宋体"/>
          <w:kern w:val="0"/>
          <w:sz w:val="22"/>
          <w:szCs w:val="27"/>
        </w:rPr>
        <w:t>简要规格描述或项目基本概况介绍、用途：道路标志、标线、隔离护栏及其他设施建设维护，详见招标文件第六部分。</w:t>
      </w:r>
    </w:p>
    <w:p>
      <w:pPr>
        <w:widowControl/>
        <w:spacing w:before="75" w:after="75" w:line="360" w:lineRule="auto"/>
        <w:jc w:val="left"/>
        <w:rPr>
          <w:rFonts w:ascii="宋体" w:hAnsi="宋体" w:cs="宋体"/>
          <w:kern w:val="0"/>
          <w:sz w:val="22"/>
          <w:szCs w:val="27"/>
        </w:rPr>
      </w:pPr>
      <w:r>
        <w:rPr>
          <w:rFonts w:hint="eastAsia" w:ascii="宋体" w:hAnsi="宋体" w:cs="宋体"/>
          <w:kern w:val="0"/>
          <w:sz w:val="22"/>
          <w:szCs w:val="27"/>
        </w:rPr>
        <w:t>标项二：</w:t>
      </w:r>
    </w:p>
    <w:p>
      <w:pPr>
        <w:widowControl/>
        <w:spacing w:before="75" w:after="75" w:line="360" w:lineRule="auto"/>
        <w:jc w:val="left"/>
        <w:rPr>
          <w:rFonts w:ascii="宋体" w:hAnsi="宋体" w:cs="宋体"/>
          <w:kern w:val="0"/>
          <w:sz w:val="22"/>
          <w:szCs w:val="27"/>
        </w:rPr>
      </w:pPr>
      <w:r>
        <w:rPr>
          <w:rFonts w:hint="eastAsia" w:ascii="宋体" w:hAnsi="宋体" w:cs="宋体"/>
          <w:kern w:val="0"/>
          <w:sz w:val="22"/>
          <w:szCs w:val="27"/>
        </w:rPr>
        <w:t>标项名称：2023年温州市区（五大队）道路标志、标线、隔离护栏及其他设施建设维护项目</w:t>
      </w:r>
    </w:p>
    <w:p>
      <w:pPr>
        <w:widowControl/>
        <w:spacing w:before="75" w:after="75" w:line="360" w:lineRule="auto"/>
        <w:jc w:val="left"/>
        <w:rPr>
          <w:rFonts w:ascii="宋体" w:hAnsi="宋体" w:cs="宋体"/>
          <w:kern w:val="0"/>
          <w:sz w:val="22"/>
          <w:szCs w:val="27"/>
        </w:rPr>
      </w:pPr>
      <w:r>
        <w:rPr>
          <w:rFonts w:hint="eastAsia" w:ascii="宋体" w:hAnsi="宋体" w:cs="宋体"/>
          <w:kern w:val="0"/>
          <w:sz w:val="22"/>
          <w:szCs w:val="27"/>
        </w:rPr>
        <w:t>数量:1项</w:t>
      </w:r>
    </w:p>
    <w:p>
      <w:pPr>
        <w:widowControl/>
        <w:spacing w:before="75" w:after="75" w:line="360" w:lineRule="auto"/>
        <w:jc w:val="left"/>
        <w:rPr>
          <w:rFonts w:ascii="宋体" w:hAnsi="宋体" w:cs="宋体"/>
          <w:kern w:val="0"/>
          <w:sz w:val="22"/>
          <w:szCs w:val="27"/>
        </w:rPr>
      </w:pPr>
      <w:r>
        <w:rPr>
          <w:rFonts w:hint="eastAsia" w:ascii="宋体" w:hAnsi="宋体" w:cs="宋体"/>
          <w:kern w:val="0"/>
          <w:sz w:val="22"/>
          <w:szCs w:val="27"/>
        </w:rPr>
        <w:t>预算金额（元）:3400000元</w:t>
      </w:r>
    </w:p>
    <w:p>
      <w:pPr>
        <w:widowControl/>
        <w:spacing w:before="75" w:after="75" w:line="360" w:lineRule="auto"/>
        <w:jc w:val="left"/>
        <w:rPr>
          <w:rFonts w:ascii="宋体" w:hAnsi="宋体" w:cs="宋体"/>
          <w:kern w:val="0"/>
          <w:sz w:val="22"/>
          <w:szCs w:val="27"/>
        </w:rPr>
      </w:pPr>
      <w:r>
        <w:rPr>
          <w:rFonts w:hint="eastAsia" w:ascii="宋体" w:hAnsi="宋体" w:cs="宋体"/>
          <w:kern w:val="0"/>
          <w:sz w:val="22"/>
          <w:szCs w:val="27"/>
        </w:rPr>
        <w:t>简要规格描述或项目基本概况介绍、用途：道路标志、标线、隔离护栏及其他设施建设维护，详见招标文件第六部分。</w:t>
      </w:r>
    </w:p>
    <w:p>
      <w:pPr>
        <w:widowControl/>
        <w:spacing w:before="75" w:after="75" w:line="360" w:lineRule="auto"/>
        <w:ind w:firstLine="440" w:firstLineChars="200"/>
        <w:jc w:val="left"/>
        <w:rPr>
          <w:rFonts w:ascii="宋体" w:hAnsi="宋体" w:cs="宋体"/>
          <w:kern w:val="0"/>
          <w:sz w:val="22"/>
          <w:szCs w:val="27"/>
        </w:rPr>
      </w:pPr>
      <w:r>
        <w:rPr>
          <w:rFonts w:hint="eastAsia" w:ascii="宋体" w:hAnsi="宋体" w:cs="宋体"/>
          <w:kern w:val="0"/>
          <w:sz w:val="22"/>
          <w:szCs w:val="27"/>
        </w:rPr>
        <w:t>备注：</w:t>
      </w:r>
    </w:p>
    <w:p>
      <w:pPr>
        <w:widowControl/>
        <w:spacing w:before="75" w:after="75" w:line="360" w:lineRule="auto"/>
        <w:jc w:val="left"/>
        <w:rPr>
          <w:rFonts w:ascii="宋体" w:hAnsi="宋体" w:cs="宋体"/>
          <w:kern w:val="0"/>
          <w:sz w:val="22"/>
          <w:szCs w:val="27"/>
        </w:rPr>
      </w:pPr>
      <w:r>
        <w:rPr>
          <w:rFonts w:hint="eastAsia" w:ascii="宋体" w:hAnsi="宋体" w:cs="宋体"/>
          <w:kern w:val="0"/>
          <w:sz w:val="22"/>
          <w:szCs w:val="27"/>
        </w:rPr>
        <w:t>合同履约期限：标项1、2，自合同签订之日起至2023年10月31日</w:t>
      </w:r>
    </w:p>
    <w:p>
      <w:pPr>
        <w:widowControl/>
        <w:spacing w:before="75" w:after="75" w:line="360" w:lineRule="auto"/>
        <w:jc w:val="left"/>
        <w:rPr>
          <w:rFonts w:ascii="宋体" w:hAnsi="宋体" w:cs="宋体"/>
          <w:kern w:val="0"/>
          <w:sz w:val="22"/>
          <w:szCs w:val="27"/>
        </w:rPr>
      </w:pPr>
      <w:r>
        <w:rPr>
          <w:rFonts w:hint="eastAsia" w:ascii="宋体" w:hAnsi="宋体" w:cs="宋体"/>
          <w:kern w:val="0"/>
          <w:sz w:val="22"/>
          <w:szCs w:val="27"/>
        </w:rPr>
        <w:t>本项目（否）接受联合体投标。</w:t>
      </w:r>
    </w:p>
    <w:p>
      <w:pPr>
        <w:widowControl/>
        <w:spacing w:before="225" w:after="225" w:line="360" w:lineRule="auto"/>
        <w:jc w:val="left"/>
        <w:rPr>
          <w:rFonts w:ascii="宋体" w:hAnsi="宋体" w:cs="宋体"/>
          <w:kern w:val="0"/>
        </w:rPr>
      </w:pPr>
      <w:r>
        <w:rPr>
          <w:rFonts w:hint="eastAsia" w:ascii="宋体" w:hAnsi="宋体" w:cs="宋体"/>
          <w:b/>
          <w:bCs/>
          <w:kern w:val="0"/>
          <w:sz w:val="22"/>
        </w:rPr>
        <w:t>二、申请人的资格要求：</w:t>
      </w:r>
    </w:p>
    <w:p>
      <w:pPr>
        <w:widowControl/>
        <w:spacing w:before="75" w:after="75" w:line="360" w:lineRule="auto"/>
        <w:jc w:val="left"/>
        <w:rPr>
          <w:rFonts w:ascii="宋体" w:hAnsi="宋体" w:cs="宋体"/>
          <w:kern w:val="0"/>
        </w:rPr>
      </w:pPr>
      <w:r>
        <w:rPr>
          <w:rFonts w:hint="eastAsia" w:ascii="宋体" w:hAnsi="宋体" w:cs="宋体"/>
          <w:kern w:val="0"/>
          <w:sz w:val="22"/>
          <w:szCs w:val="27"/>
        </w:rPr>
        <w:t>1.满足《中华人民共和国政府采购法》第二十二条规定；未被“信用中国”（www.creditchina.gov.cn)、中国政府采购网（www.ccgp.gov.cn）列入失信被执行人、重大税收违法案件当事人名单、政府采购严重违法失信行为记录名单。</w:t>
      </w:r>
    </w:p>
    <w:p>
      <w:pPr>
        <w:widowControl/>
        <w:spacing w:before="75" w:after="75" w:line="360" w:lineRule="auto"/>
        <w:jc w:val="left"/>
        <w:rPr>
          <w:rFonts w:ascii="宋体" w:hAnsi="宋体" w:cs="宋体"/>
          <w:kern w:val="0"/>
        </w:rPr>
      </w:pPr>
      <w:r>
        <w:rPr>
          <w:rFonts w:hint="eastAsia" w:ascii="宋体" w:hAnsi="宋体" w:cs="宋体"/>
          <w:kern w:val="0"/>
          <w:sz w:val="22"/>
          <w:szCs w:val="27"/>
        </w:rPr>
        <w:t>2.落实政府采购政策需满足的资格要求：</w:t>
      </w:r>
      <w:r>
        <w:rPr>
          <w:rFonts w:hint="eastAsia" w:ascii="宋体" w:hAnsi="宋体" w:cs="宋体"/>
          <w:kern w:val="0"/>
          <w:sz w:val="22"/>
        </w:rPr>
        <w:t>无</w:t>
      </w:r>
    </w:p>
    <w:p>
      <w:pPr>
        <w:widowControl/>
        <w:spacing w:before="75" w:after="75" w:line="360" w:lineRule="auto"/>
        <w:jc w:val="left"/>
        <w:rPr>
          <w:rFonts w:ascii="宋体" w:hAnsi="宋体" w:cs="宋体"/>
          <w:color w:val="FF0000"/>
          <w:kern w:val="0"/>
        </w:rPr>
      </w:pPr>
      <w:r>
        <w:rPr>
          <w:rFonts w:hint="eastAsia" w:ascii="宋体" w:hAnsi="宋体" w:cs="宋体"/>
          <w:kern w:val="0"/>
          <w:sz w:val="22"/>
          <w:szCs w:val="27"/>
        </w:rPr>
        <w:t>3.本项目的特定资格要求：</w:t>
      </w:r>
      <w:r>
        <w:rPr>
          <w:rFonts w:hint="eastAsia" w:ascii="宋体" w:hAnsi="宋体" w:cs="宋体"/>
          <w:kern w:val="0"/>
          <w:sz w:val="22"/>
        </w:rPr>
        <w:t>具备安全生产许可证、市政公用工程施工总承包三级及以上资质</w:t>
      </w:r>
      <w:r>
        <w:rPr>
          <w:rFonts w:hint="eastAsia" w:ascii="宋体" w:hAnsi="宋体" w:cs="宋体"/>
          <w:kern w:val="0"/>
          <w:sz w:val="22"/>
          <w:lang w:eastAsia="zh-CN"/>
        </w:rPr>
        <w:t>或公路交通工程（公路安全设施分项）专业承包贰级及以上资质</w:t>
      </w:r>
      <w:r>
        <w:rPr>
          <w:rFonts w:hint="eastAsia" w:ascii="宋体" w:hAnsi="宋体" w:cs="宋体"/>
          <w:kern w:val="0"/>
          <w:sz w:val="22"/>
        </w:rPr>
        <w:t>且在有效期内。</w:t>
      </w:r>
    </w:p>
    <w:p>
      <w:pPr>
        <w:widowControl/>
        <w:spacing w:before="255" w:after="255" w:line="360" w:lineRule="auto"/>
        <w:rPr>
          <w:rFonts w:ascii="宋体" w:hAnsi="宋体" w:cs="宋体"/>
          <w:kern w:val="0"/>
          <w:sz w:val="22"/>
          <w:szCs w:val="27"/>
        </w:rPr>
      </w:pPr>
      <w:r>
        <w:rPr>
          <w:rFonts w:hint="eastAsia" w:ascii="宋体" w:hAnsi="宋体" w:cs="宋体"/>
          <w:b/>
          <w:bCs/>
          <w:kern w:val="0"/>
          <w:sz w:val="22"/>
        </w:rPr>
        <w:t>三、获取招标文件</w:t>
      </w:r>
    </w:p>
    <w:p>
      <w:pPr>
        <w:widowControl/>
        <w:spacing w:before="75" w:after="75" w:line="360" w:lineRule="auto"/>
        <w:jc w:val="left"/>
        <w:rPr>
          <w:rFonts w:ascii="宋体" w:hAnsi="宋体" w:cs="宋体"/>
          <w:kern w:val="0"/>
        </w:rPr>
      </w:pPr>
      <w:r>
        <w:rPr>
          <w:rFonts w:hint="eastAsia" w:ascii="宋体" w:hAnsi="宋体" w:cs="宋体"/>
          <w:kern w:val="0"/>
          <w:sz w:val="22"/>
          <w:szCs w:val="27"/>
        </w:rPr>
        <w:t>时间：</w:t>
      </w:r>
      <w:r>
        <w:rPr>
          <w:rFonts w:hint="eastAsia" w:ascii="宋体" w:hAnsi="宋体" w:cs="宋体"/>
          <w:kern w:val="0"/>
          <w:sz w:val="22"/>
        </w:rPr>
        <w:t>/</w:t>
      </w:r>
      <w:r>
        <w:rPr>
          <w:rFonts w:hint="eastAsia" w:ascii="宋体" w:hAnsi="宋体" w:cs="宋体"/>
          <w:kern w:val="0"/>
          <w:sz w:val="22"/>
          <w:szCs w:val="27"/>
        </w:rPr>
        <w:t>至</w:t>
      </w:r>
      <w:r>
        <w:rPr>
          <w:rFonts w:hint="eastAsia" w:ascii="宋体" w:hAnsi="宋体" w:cs="宋体"/>
          <w:kern w:val="0"/>
          <w:sz w:val="22"/>
        </w:rPr>
        <w:t>2023年</w:t>
      </w:r>
      <w:r>
        <w:rPr>
          <w:rFonts w:hint="eastAsia" w:ascii="宋体" w:hAnsi="宋体" w:cs="宋体"/>
          <w:kern w:val="0"/>
          <w:sz w:val="22"/>
          <w:lang w:val="en-US" w:eastAsia="zh-CN"/>
        </w:rPr>
        <w:t>2</w:t>
      </w:r>
      <w:r>
        <w:rPr>
          <w:rFonts w:hint="eastAsia" w:ascii="宋体" w:hAnsi="宋体" w:cs="宋体"/>
          <w:kern w:val="0"/>
          <w:sz w:val="22"/>
        </w:rPr>
        <w:t>月</w:t>
      </w:r>
      <w:r>
        <w:rPr>
          <w:rFonts w:hint="eastAsia" w:ascii="宋体" w:hAnsi="宋体" w:cs="宋体"/>
          <w:kern w:val="0"/>
          <w:sz w:val="22"/>
          <w:lang w:val="en-US" w:eastAsia="zh-CN"/>
        </w:rPr>
        <w:t>7</w:t>
      </w:r>
      <w:r>
        <w:rPr>
          <w:rFonts w:hint="eastAsia" w:ascii="宋体" w:hAnsi="宋体" w:cs="宋体"/>
          <w:kern w:val="0"/>
          <w:sz w:val="22"/>
        </w:rPr>
        <w:t>日</w:t>
      </w:r>
      <w:r>
        <w:rPr>
          <w:rFonts w:hint="eastAsia" w:ascii="宋体" w:hAnsi="宋体" w:cs="宋体"/>
          <w:kern w:val="0"/>
          <w:sz w:val="22"/>
          <w:szCs w:val="27"/>
        </w:rPr>
        <w:t>，每天上午</w:t>
      </w:r>
      <w:r>
        <w:rPr>
          <w:rFonts w:hint="eastAsia" w:ascii="宋体" w:hAnsi="宋体" w:cs="宋体"/>
          <w:kern w:val="0"/>
          <w:sz w:val="22"/>
        </w:rPr>
        <w:t>00:00至12:00</w:t>
      </w:r>
      <w:r>
        <w:rPr>
          <w:rFonts w:hint="eastAsia" w:ascii="宋体" w:hAnsi="宋体" w:cs="宋体"/>
          <w:kern w:val="0"/>
          <w:sz w:val="22"/>
          <w:szCs w:val="27"/>
        </w:rPr>
        <w:t>，下午</w:t>
      </w:r>
      <w:r>
        <w:rPr>
          <w:rFonts w:hint="eastAsia" w:ascii="宋体" w:hAnsi="宋体" w:cs="宋体"/>
          <w:kern w:val="0"/>
          <w:sz w:val="22"/>
        </w:rPr>
        <w:t>12:00至23:59</w:t>
      </w:r>
      <w:r>
        <w:rPr>
          <w:rFonts w:hint="eastAsia" w:ascii="宋体" w:hAnsi="宋体" w:cs="宋体"/>
          <w:kern w:val="0"/>
          <w:sz w:val="22"/>
          <w:szCs w:val="27"/>
        </w:rPr>
        <w:t>（北京时间，线上获取法定节假日均可，线下获取文件法定节假日除外）</w:t>
      </w:r>
    </w:p>
    <w:p>
      <w:pPr>
        <w:widowControl/>
        <w:spacing w:before="75" w:after="75" w:line="360" w:lineRule="auto"/>
        <w:jc w:val="left"/>
        <w:rPr>
          <w:rFonts w:ascii="宋体" w:hAnsi="宋体" w:cs="宋体"/>
          <w:kern w:val="0"/>
        </w:rPr>
      </w:pPr>
      <w:r>
        <w:rPr>
          <w:rFonts w:hint="eastAsia" w:ascii="宋体" w:hAnsi="宋体" w:cs="宋体"/>
          <w:kern w:val="0"/>
          <w:sz w:val="22"/>
          <w:szCs w:val="27"/>
        </w:rPr>
        <w:t>地点（网址）：</w:t>
      </w:r>
      <w:r>
        <w:rPr>
          <w:rFonts w:hint="eastAsia" w:ascii="宋体" w:hAnsi="宋体" w:cs="宋体"/>
          <w:kern w:val="0"/>
          <w:sz w:val="22"/>
        </w:rPr>
        <w:t>浙江政府采购网</w:t>
      </w:r>
    </w:p>
    <w:p>
      <w:pPr>
        <w:widowControl/>
        <w:spacing w:before="75" w:after="75" w:line="360" w:lineRule="auto"/>
        <w:jc w:val="left"/>
        <w:rPr>
          <w:rFonts w:ascii="宋体" w:hAnsi="宋体" w:cs="宋体"/>
          <w:kern w:val="0"/>
        </w:rPr>
      </w:pPr>
      <w:r>
        <w:rPr>
          <w:rFonts w:hint="eastAsia" w:ascii="宋体" w:hAnsi="宋体" w:cs="宋体"/>
          <w:kern w:val="0"/>
          <w:sz w:val="22"/>
          <w:szCs w:val="27"/>
        </w:rPr>
        <w:t>方式：</w:t>
      </w:r>
      <w:r>
        <w:rPr>
          <w:rFonts w:hint="eastAsia" w:ascii="宋体" w:hAnsi="宋体" w:cs="宋体"/>
          <w:kern w:val="0"/>
          <w:sz w:val="22"/>
        </w:rPr>
        <w:t>供应商登录政采云平台https://www.zcygov.cn/在线申请获取采购文件（进入“项目采购”应用，在获取采购文件菜单中选择项目，申请获取采购文件）</w:t>
      </w:r>
    </w:p>
    <w:p>
      <w:pPr>
        <w:widowControl/>
        <w:spacing w:before="75" w:after="75" w:line="360" w:lineRule="auto"/>
        <w:jc w:val="left"/>
        <w:rPr>
          <w:rFonts w:ascii="宋体" w:hAnsi="宋体" w:cs="宋体"/>
          <w:kern w:val="0"/>
        </w:rPr>
      </w:pPr>
      <w:r>
        <w:rPr>
          <w:rFonts w:hint="eastAsia" w:ascii="宋体" w:hAnsi="宋体" w:cs="宋体"/>
          <w:kern w:val="0"/>
          <w:sz w:val="22"/>
          <w:szCs w:val="27"/>
        </w:rPr>
        <w:t>售价（元）：</w:t>
      </w:r>
      <w:r>
        <w:rPr>
          <w:rFonts w:hint="eastAsia" w:ascii="宋体" w:hAnsi="宋体" w:cs="宋体"/>
          <w:kern w:val="0"/>
          <w:sz w:val="22"/>
        </w:rPr>
        <w:t>0</w:t>
      </w:r>
    </w:p>
    <w:p>
      <w:pPr>
        <w:widowControl/>
        <w:spacing w:before="255" w:after="255" w:line="360" w:lineRule="auto"/>
        <w:rPr>
          <w:rFonts w:ascii="宋体" w:hAnsi="宋体" w:cs="宋体"/>
          <w:kern w:val="0"/>
          <w:sz w:val="22"/>
          <w:szCs w:val="27"/>
        </w:rPr>
      </w:pPr>
      <w:r>
        <w:rPr>
          <w:rFonts w:hint="eastAsia" w:ascii="宋体" w:hAnsi="宋体" w:cs="宋体"/>
          <w:b/>
          <w:bCs/>
          <w:kern w:val="0"/>
          <w:sz w:val="22"/>
        </w:rPr>
        <w:t>四、提交投标文件截止时间、开标时间和地点</w:t>
      </w:r>
    </w:p>
    <w:p>
      <w:pPr>
        <w:widowControl/>
        <w:spacing w:before="75" w:after="75" w:line="360" w:lineRule="auto"/>
        <w:jc w:val="left"/>
        <w:rPr>
          <w:rFonts w:ascii="宋体" w:hAnsi="宋体" w:cs="宋体"/>
          <w:kern w:val="0"/>
        </w:rPr>
      </w:pPr>
      <w:r>
        <w:rPr>
          <w:rFonts w:hint="eastAsia" w:ascii="宋体" w:hAnsi="宋体" w:cs="宋体"/>
          <w:kern w:val="0"/>
          <w:sz w:val="22"/>
          <w:szCs w:val="27"/>
        </w:rPr>
        <w:t>提交投标文件截止时间：</w:t>
      </w:r>
      <w:r>
        <w:rPr>
          <w:rFonts w:hint="eastAsia" w:ascii="宋体" w:hAnsi="宋体" w:cs="宋体"/>
          <w:kern w:val="0"/>
          <w:sz w:val="22"/>
        </w:rPr>
        <w:t>2023年</w:t>
      </w:r>
      <w:r>
        <w:rPr>
          <w:rFonts w:hint="eastAsia" w:ascii="宋体" w:hAnsi="宋体" w:cs="宋体"/>
          <w:kern w:val="0"/>
          <w:sz w:val="22"/>
          <w:lang w:val="en-US" w:eastAsia="zh-CN"/>
        </w:rPr>
        <w:t>2</w:t>
      </w:r>
      <w:r>
        <w:rPr>
          <w:rFonts w:hint="eastAsia" w:ascii="宋体" w:hAnsi="宋体" w:cs="宋体"/>
          <w:kern w:val="0"/>
          <w:sz w:val="22"/>
        </w:rPr>
        <w:t>月</w:t>
      </w:r>
      <w:r>
        <w:rPr>
          <w:rFonts w:hint="eastAsia" w:ascii="宋体" w:hAnsi="宋体" w:cs="宋体"/>
          <w:kern w:val="0"/>
          <w:sz w:val="22"/>
          <w:lang w:val="en-US" w:eastAsia="zh-CN"/>
        </w:rPr>
        <w:t>7</w:t>
      </w:r>
      <w:r>
        <w:rPr>
          <w:rFonts w:hint="eastAsia" w:ascii="宋体" w:hAnsi="宋体" w:cs="宋体"/>
          <w:kern w:val="0"/>
          <w:sz w:val="22"/>
        </w:rPr>
        <w:t>日09:30</w:t>
      </w:r>
      <w:r>
        <w:rPr>
          <w:rFonts w:hint="eastAsia" w:ascii="宋体" w:hAnsi="宋体" w:cs="宋体"/>
          <w:kern w:val="0"/>
          <w:sz w:val="22"/>
          <w:szCs w:val="27"/>
        </w:rPr>
        <w:t>（北京时间）</w:t>
      </w:r>
    </w:p>
    <w:p>
      <w:pPr>
        <w:widowControl/>
        <w:spacing w:before="75" w:after="75" w:line="360" w:lineRule="auto"/>
        <w:jc w:val="left"/>
        <w:rPr>
          <w:rFonts w:ascii="宋体" w:hAnsi="宋体" w:cs="宋体"/>
          <w:sz w:val="22"/>
          <w:szCs w:val="22"/>
        </w:rPr>
      </w:pPr>
      <w:r>
        <w:rPr>
          <w:rFonts w:hint="eastAsia" w:ascii="宋体" w:hAnsi="宋体" w:cs="宋体"/>
          <w:kern w:val="0"/>
          <w:sz w:val="22"/>
          <w:szCs w:val="27"/>
        </w:rPr>
        <w:t>投标地点（网址）：</w:t>
      </w:r>
      <w:r>
        <w:rPr>
          <w:rFonts w:hint="eastAsia" w:ascii="宋体" w:hAnsi="宋体" w:cs="宋体"/>
          <w:sz w:val="22"/>
          <w:szCs w:val="22"/>
        </w:rPr>
        <w:t>政采云平台（https://www.zcygov.cn）在线递交</w:t>
      </w:r>
    </w:p>
    <w:p>
      <w:pPr>
        <w:widowControl/>
        <w:spacing w:before="75" w:after="75" w:line="360" w:lineRule="auto"/>
        <w:jc w:val="left"/>
        <w:rPr>
          <w:rFonts w:ascii="宋体" w:hAnsi="宋体" w:cs="宋体"/>
          <w:kern w:val="0"/>
        </w:rPr>
      </w:pPr>
      <w:r>
        <w:rPr>
          <w:rFonts w:hint="eastAsia" w:ascii="宋体" w:hAnsi="宋体" w:cs="宋体"/>
          <w:kern w:val="0"/>
          <w:sz w:val="22"/>
          <w:szCs w:val="27"/>
        </w:rPr>
        <w:t>开标时间：</w:t>
      </w:r>
      <w:r>
        <w:rPr>
          <w:rFonts w:hint="eastAsia" w:ascii="宋体" w:hAnsi="宋体" w:cs="宋体"/>
          <w:kern w:val="0"/>
          <w:sz w:val="22"/>
        </w:rPr>
        <w:t>2023年</w:t>
      </w:r>
      <w:r>
        <w:rPr>
          <w:rFonts w:hint="eastAsia" w:ascii="宋体" w:hAnsi="宋体" w:cs="宋体"/>
          <w:kern w:val="0"/>
          <w:sz w:val="22"/>
          <w:lang w:val="en-US" w:eastAsia="zh-CN"/>
        </w:rPr>
        <w:t>2</w:t>
      </w:r>
      <w:r>
        <w:rPr>
          <w:rFonts w:hint="eastAsia" w:ascii="宋体" w:hAnsi="宋体" w:cs="宋体"/>
          <w:kern w:val="0"/>
          <w:sz w:val="22"/>
        </w:rPr>
        <w:t>月</w:t>
      </w:r>
      <w:r>
        <w:rPr>
          <w:rFonts w:hint="eastAsia" w:ascii="宋体" w:hAnsi="宋体" w:cs="宋体"/>
          <w:kern w:val="0"/>
          <w:sz w:val="22"/>
          <w:lang w:val="en-US" w:eastAsia="zh-CN"/>
        </w:rPr>
        <w:t>7</w:t>
      </w:r>
      <w:r>
        <w:rPr>
          <w:rFonts w:hint="eastAsia" w:ascii="宋体" w:hAnsi="宋体" w:cs="宋体"/>
          <w:kern w:val="0"/>
          <w:sz w:val="22"/>
        </w:rPr>
        <w:t>日09:30</w:t>
      </w:r>
    </w:p>
    <w:p>
      <w:pPr>
        <w:pStyle w:val="18"/>
        <w:spacing w:before="75" w:beforeAutospacing="0" w:after="75" w:afterAutospacing="0" w:line="360" w:lineRule="auto"/>
      </w:pPr>
      <w:r>
        <w:rPr>
          <w:rFonts w:hint="eastAsia"/>
          <w:sz w:val="22"/>
          <w:szCs w:val="27"/>
        </w:rPr>
        <w:t>开标地点（网址）：</w:t>
      </w:r>
      <w:r>
        <w:rPr>
          <w:rFonts w:hint="eastAsia"/>
          <w:sz w:val="22"/>
          <w:szCs w:val="22"/>
        </w:rPr>
        <w:t>政采云平台（https://www.zcygov.cn）在线评标</w:t>
      </w:r>
    </w:p>
    <w:p>
      <w:pPr>
        <w:widowControl/>
        <w:spacing w:before="255" w:after="255" w:line="360" w:lineRule="auto"/>
        <w:rPr>
          <w:rFonts w:ascii="宋体" w:hAnsi="宋体" w:cs="宋体"/>
          <w:kern w:val="0"/>
          <w:sz w:val="24"/>
          <w:szCs w:val="32"/>
        </w:rPr>
      </w:pPr>
      <w:r>
        <w:rPr>
          <w:rFonts w:hint="eastAsia" w:ascii="宋体" w:hAnsi="宋体" w:cs="宋体"/>
          <w:b/>
          <w:bCs/>
          <w:kern w:val="0"/>
          <w:sz w:val="22"/>
        </w:rPr>
        <w:t>五、公告期限</w:t>
      </w:r>
    </w:p>
    <w:p>
      <w:pPr>
        <w:widowControl/>
        <w:spacing w:before="75" w:after="75" w:line="360" w:lineRule="auto"/>
        <w:jc w:val="left"/>
        <w:rPr>
          <w:rFonts w:ascii="宋体" w:hAnsi="宋体" w:cs="宋体"/>
          <w:kern w:val="0"/>
        </w:rPr>
      </w:pPr>
      <w:r>
        <w:rPr>
          <w:rFonts w:hint="eastAsia" w:ascii="宋体" w:hAnsi="宋体" w:cs="宋体"/>
          <w:kern w:val="0"/>
          <w:sz w:val="22"/>
          <w:szCs w:val="27"/>
        </w:rPr>
        <w:t>自本公告发布之日起5个工作日。</w:t>
      </w:r>
    </w:p>
    <w:p>
      <w:pPr>
        <w:widowControl/>
        <w:spacing w:before="255" w:after="255" w:line="360" w:lineRule="auto"/>
        <w:rPr>
          <w:rFonts w:ascii="宋体" w:hAnsi="宋体" w:cs="宋体"/>
          <w:kern w:val="0"/>
          <w:sz w:val="22"/>
          <w:szCs w:val="27"/>
        </w:rPr>
      </w:pPr>
      <w:r>
        <w:rPr>
          <w:rFonts w:hint="eastAsia" w:ascii="宋体" w:hAnsi="宋体" w:cs="宋体"/>
          <w:b/>
          <w:bCs/>
          <w:kern w:val="0"/>
          <w:sz w:val="22"/>
        </w:rPr>
        <w:t>六、其他补充事宜</w:t>
      </w:r>
    </w:p>
    <w:p>
      <w:pPr>
        <w:widowControl/>
        <w:spacing w:before="255" w:after="255" w:line="360" w:lineRule="auto"/>
        <w:jc w:val="left"/>
        <w:rPr>
          <w:rFonts w:ascii="宋体" w:hAnsi="宋体" w:cs="宋体"/>
          <w:kern w:val="0"/>
          <w:sz w:val="22"/>
          <w:szCs w:val="27"/>
        </w:rPr>
      </w:pPr>
      <w:r>
        <w:rPr>
          <w:rFonts w:hint="eastAsia" w:ascii="宋体" w:hAnsi="宋体" w:cs="宋体"/>
          <w:kern w:val="0"/>
          <w:sz w:val="22"/>
          <w:szCs w:val="27"/>
        </w:rPr>
        <w:t>1.《浙江省财政厅关于进一步发挥政府采购政策功能全力推动经济稳进提质的通知》（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widowControl/>
        <w:spacing w:before="255" w:after="255" w:line="360" w:lineRule="auto"/>
        <w:jc w:val="left"/>
        <w:rPr>
          <w:rFonts w:ascii="宋体" w:hAnsi="宋体" w:cs="宋体"/>
          <w:kern w:val="0"/>
          <w:sz w:val="22"/>
          <w:szCs w:val="27"/>
        </w:rPr>
      </w:pPr>
      <w:r>
        <w:rPr>
          <w:rFonts w:hint="eastAsia" w:ascii="宋体" w:hAnsi="宋体" w:cs="宋体"/>
          <w:kern w:val="0"/>
          <w:sz w:val="22"/>
          <w:szCs w:val="27"/>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注意：需在线质疑后才可在线投诉，并电话告知相关采购人、代理机构、财政部门。</w:t>
      </w:r>
    </w:p>
    <w:p>
      <w:pPr>
        <w:widowControl/>
        <w:spacing w:before="255" w:after="255" w:line="360" w:lineRule="auto"/>
        <w:jc w:val="left"/>
        <w:rPr>
          <w:rFonts w:ascii="宋体" w:hAnsi="宋体" w:cs="宋体"/>
          <w:kern w:val="0"/>
          <w:sz w:val="22"/>
          <w:szCs w:val="27"/>
        </w:rPr>
      </w:pPr>
      <w:r>
        <w:rPr>
          <w:rFonts w:hint="eastAsia" w:ascii="宋体" w:hAnsi="宋体" w:cs="宋体"/>
          <w:kern w:val="0"/>
          <w:sz w:val="22"/>
          <w:szCs w:val="27"/>
        </w:rPr>
        <w:t>3.其他事项：3.1质疑的提出：如有质疑，必须在政采云系统内或线下以书面形式向采购人、采购代理机构提出质疑（在法定质疑期内一次性提出针对同一采购程序环节的质疑），并与质疑联系人电话确认（涉及项目资格要求和采购需求内容的由采购人答复）。</w:t>
      </w:r>
    </w:p>
    <w:p>
      <w:pPr>
        <w:widowControl/>
        <w:spacing w:before="255" w:after="255" w:line="360" w:lineRule="auto"/>
        <w:jc w:val="left"/>
        <w:rPr>
          <w:rFonts w:ascii="宋体" w:hAnsi="宋体" w:cs="宋体"/>
          <w:kern w:val="0"/>
          <w:sz w:val="22"/>
          <w:szCs w:val="27"/>
        </w:rPr>
      </w:pPr>
      <w:r>
        <w:rPr>
          <w:rFonts w:hint="eastAsia" w:ascii="宋体" w:hAnsi="宋体" w:cs="宋体"/>
          <w:kern w:val="0"/>
          <w:sz w:val="22"/>
          <w:szCs w:val="27"/>
        </w:rPr>
        <w:t>3.2投标说明：</w:t>
      </w:r>
    </w:p>
    <w:p>
      <w:pPr>
        <w:widowControl/>
        <w:spacing w:before="255" w:after="255" w:line="360" w:lineRule="auto"/>
        <w:jc w:val="left"/>
        <w:rPr>
          <w:rFonts w:ascii="宋体" w:hAnsi="宋体" w:cs="宋体"/>
          <w:kern w:val="0"/>
          <w:sz w:val="22"/>
          <w:szCs w:val="27"/>
        </w:rPr>
      </w:pPr>
      <w:r>
        <w:rPr>
          <w:rFonts w:hint="eastAsia" w:ascii="宋体" w:hAnsi="宋体" w:cs="宋体"/>
          <w:kern w:val="0"/>
          <w:sz w:val="22"/>
          <w:szCs w:val="27"/>
        </w:rPr>
        <w:t>3.2.1本项目实行电子投标，应按照本项目招标文件和政采云平台的要求编制、加密并递交投标文件。供应商在使用系统进行投标的过程中遇到涉及平台使用的任何问题，可致电政采云平台技术支持热线咨询，联系方式：400-881-7190。</w:t>
      </w:r>
    </w:p>
    <w:p>
      <w:pPr>
        <w:widowControl/>
        <w:spacing w:before="255" w:after="255" w:line="360" w:lineRule="auto"/>
        <w:jc w:val="left"/>
        <w:rPr>
          <w:rFonts w:ascii="宋体" w:hAnsi="宋体" w:cs="宋体"/>
          <w:kern w:val="0"/>
          <w:sz w:val="22"/>
          <w:szCs w:val="27"/>
        </w:rPr>
      </w:pPr>
      <w:r>
        <w:rPr>
          <w:rFonts w:hint="eastAsia" w:ascii="宋体" w:hAnsi="宋体" w:cs="宋体"/>
          <w:kern w:val="0"/>
          <w:sz w:val="22"/>
          <w:szCs w:val="27"/>
        </w:rPr>
        <w:t>3.2.2标前准备：各供应商必须在投标前成为“浙江省政府采购网”注册供应商，并完成CA数字证书办理。因未注册、未办理CA数字证书等原因造成无法投标或投标失败等后果由供应商自行承担。供应商将政采云电子交易客户端下载、安装完成后，可通过账号密码或CA登录客户端进行投标文件制作。在使用政采云投标客户端时，建议使用WIN7（64位）及以上操作系统。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widowControl/>
        <w:spacing w:before="255" w:after="255" w:line="360" w:lineRule="auto"/>
        <w:jc w:val="left"/>
        <w:rPr>
          <w:rFonts w:ascii="宋体" w:hAnsi="宋体" w:cs="宋体"/>
          <w:kern w:val="0"/>
          <w:sz w:val="22"/>
          <w:szCs w:val="27"/>
        </w:rPr>
      </w:pPr>
      <w:r>
        <w:rPr>
          <w:rFonts w:hint="eastAsia" w:ascii="宋体" w:hAnsi="宋体" w:cs="宋体"/>
          <w:kern w:val="0"/>
          <w:sz w:val="22"/>
          <w:szCs w:val="27"/>
        </w:rPr>
        <w:t>《CA申领操作指南》：https://help.zcygov.cn/web/site_2/2018/11-29/2452.html</w:t>
      </w:r>
    </w:p>
    <w:p>
      <w:pPr>
        <w:widowControl/>
        <w:spacing w:before="255" w:after="255" w:line="360" w:lineRule="auto"/>
        <w:jc w:val="left"/>
        <w:rPr>
          <w:rFonts w:ascii="宋体" w:hAnsi="宋体" w:cs="宋体"/>
          <w:kern w:val="0"/>
          <w:sz w:val="22"/>
          <w:szCs w:val="27"/>
        </w:rPr>
      </w:pPr>
      <w:r>
        <w:rPr>
          <w:rFonts w:hint="eastAsia" w:ascii="宋体" w:hAnsi="宋体" w:cs="宋体"/>
          <w:kern w:val="0"/>
          <w:sz w:val="22"/>
          <w:szCs w:val="27"/>
        </w:rPr>
        <w:t>《CA管理操作指南》：https://help.zcygov.cn/web/site_2/2019/08-20/3405.html</w:t>
      </w:r>
    </w:p>
    <w:p>
      <w:pPr>
        <w:widowControl/>
        <w:spacing w:before="255" w:after="255" w:line="360" w:lineRule="auto"/>
        <w:jc w:val="left"/>
        <w:rPr>
          <w:rFonts w:ascii="宋体" w:hAnsi="宋体" w:cs="宋体"/>
          <w:kern w:val="0"/>
          <w:sz w:val="22"/>
          <w:szCs w:val="27"/>
        </w:rPr>
      </w:pPr>
      <w:r>
        <w:rPr>
          <w:rFonts w:hint="eastAsia" w:ascii="宋体" w:hAnsi="宋体" w:cs="宋体"/>
          <w:kern w:val="0"/>
          <w:sz w:val="22"/>
          <w:szCs w:val="27"/>
        </w:rPr>
        <w:t>《CA驱动和申领流程》:</w:t>
      </w:r>
    </w:p>
    <w:p>
      <w:pPr>
        <w:widowControl/>
        <w:spacing w:before="255" w:after="255" w:line="360" w:lineRule="auto"/>
        <w:jc w:val="left"/>
        <w:rPr>
          <w:rFonts w:ascii="宋体" w:hAnsi="宋体" w:cs="宋体"/>
          <w:kern w:val="0"/>
          <w:sz w:val="22"/>
          <w:szCs w:val="27"/>
        </w:rPr>
      </w:pPr>
      <w:r>
        <w:rPr>
          <w:rFonts w:hint="eastAsia" w:ascii="宋体" w:hAnsi="宋体" w:cs="宋体"/>
          <w:kern w:val="0"/>
          <w:sz w:val="22"/>
          <w:szCs w:val="27"/>
        </w:rPr>
        <w:t>http://zfcg.czt.zj.gov.cn/bidClientTemplate/2019-05-27/12945.html</w:t>
      </w:r>
    </w:p>
    <w:p>
      <w:pPr>
        <w:widowControl/>
        <w:spacing w:before="255" w:after="255" w:line="360" w:lineRule="auto"/>
        <w:jc w:val="left"/>
        <w:rPr>
          <w:rFonts w:ascii="宋体" w:hAnsi="宋体" w:cs="宋体"/>
          <w:kern w:val="0"/>
          <w:sz w:val="22"/>
          <w:szCs w:val="27"/>
        </w:rPr>
      </w:pPr>
      <w:r>
        <w:rPr>
          <w:rFonts w:hint="eastAsia" w:ascii="宋体" w:hAnsi="宋体" w:cs="宋体"/>
          <w:kern w:val="0"/>
          <w:sz w:val="22"/>
          <w:szCs w:val="27"/>
        </w:rPr>
        <w:t>3.2.3投标人通过政采云平台电子投标工具制作投标文件，电子投标工具请供应商自行前往浙江省政府采购网下载并安装，（下载网址：http://zfcg.czt.zj.gov.cn/bidClientTemplate/2019-05-27/12946.html），</w:t>
      </w:r>
    </w:p>
    <w:p>
      <w:pPr>
        <w:widowControl/>
        <w:spacing w:before="255" w:after="255" w:line="360" w:lineRule="auto"/>
        <w:jc w:val="left"/>
        <w:rPr>
          <w:rFonts w:ascii="宋体" w:hAnsi="宋体" w:cs="宋体"/>
          <w:kern w:val="0"/>
          <w:sz w:val="22"/>
          <w:szCs w:val="27"/>
        </w:rPr>
      </w:pPr>
      <w:r>
        <w:rPr>
          <w:rFonts w:hint="eastAsia" w:ascii="宋体" w:hAnsi="宋体" w:cs="宋体"/>
          <w:kern w:val="0"/>
          <w:sz w:val="22"/>
          <w:szCs w:val="27"/>
        </w:rPr>
        <w:t>电子投标具体流程详见：https://service.zcygov.cn/#/knowledges/CW1EtGwBFdiHxlNd6I3m/6IMVAG0BFdiHxlNdQ8Na</w:t>
      </w:r>
    </w:p>
    <w:p>
      <w:pPr>
        <w:widowControl/>
        <w:spacing w:before="255" w:after="255" w:line="360" w:lineRule="auto"/>
        <w:jc w:val="left"/>
        <w:rPr>
          <w:rFonts w:ascii="宋体" w:hAnsi="宋体" w:cs="宋体"/>
          <w:kern w:val="0"/>
          <w:sz w:val="22"/>
          <w:szCs w:val="27"/>
        </w:rPr>
      </w:pPr>
      <w:r>
        <w:rPr>
          <w:rFonts w:hint="eastAsia" w:ascii="宋体" w:hAnsi="宋体" w:cs="宋体"/>
          <w:kern w:val="0"/>
          <w:sz w:val="22"/>
          <w:szCs w:val="27"/>
        </w:rPr>
        <w:t>3.3供应商只有在“政府采购云平台”完成获取采购文件申请并下载了采购文件后才视作依法获取采购文件（法律法规所指的供应商获取采购文件时间，以供应商完成获取采购文件申请后下载采购文件的时间为准）。</w:t>
      </w:r>
    </w:p>
    <w:p>
      <w:pPr>
        <w:widowControl/>
        <w:spacing w:before="255" w:after="255" w:line="360" w:lineRule="auto"/>
        <w:jc w:val="left"/>
        <w:rPr>
          <w:rFonts w:ascii="宋体" w:hAnsi="宋体" w:cs="宋体"/>
          <w:b/>
          <w:bCs/>
          <w:kern w:val="0"/>
          <w:sz w:val="22"/>
          <w:szCs w:val="27"/>
        </w:rPr>
      </w:pPr>
      <w:r>
        <w:rPr>
          <w:rFonts w:hint="eastAsia" w:ascii="宋体" w:hAnsi="宋体" w:cs="宋体"/>
          <w:b/>
          <w:bCs/>
          <w:kern w:val="0"/>
          <w:sz w:val="22"/>
          <w:szCs w:val="27"/>
        </w:rPr>
        <w:t>七、对本次采购提出询问、质疑、投诉，请按以下方式联系</w:t>
      </w:r>
    </w:p>
    <w:p>
      <w:pPr>
        <w:widowControl/>
        <w:spacing w:before="75" w:after="75" w:line="360" w:lineRule="auto"/>
        <w:jc w:val="left"/>
        <w:rPr>
          <w:rFonts w:ascii="宋体" w:hAnsi="宋体" w:cs="宋体"/>
          <w:kern w:val="0"/>
          <w:sz w:val="22"/>
          <w:szCs w:val="27"/>
        </w:rPr>
      </w:pPr>
      <w:r>
        <w:rPr>
          <w:rFonts w:hint="eastAsia" w:ascii="宋体" w:hAnsi="宋体" w:cs="宋体"/>
          <w:kern w:val="0"/>
          <w:sz w:val="22"/>
          <w:szCs w:val="27"/>
        </w:rPr>
        <w:t>1.采购人信息</w:t>
      </w:r>
    </w:p>
    <w:p>
      <w:pPr>
        <w:widowControl/>
        <w:spacing w:before="75" w:after="75" w:line="360" w:lineRule="auto"/>
        <w:ind w:firstLine="440" w:firstLineChars="200"/>
        <w:jc w:val="left"/>
        <w:rPr>
          <w:rFonts w:ascii="宋体" w:hAnsi="宋体" w:cs="宋体"/>
          <w:kern w:val="0"/>
          <w:sz w:val="22"/>
          <w:szCs w:val="27"/>
        </w:rPr>
      </w:pPr>
      <w:r>
        <w:rPr>
          <w:rFonts w:hint="eastAsia" w:ascii="宋体" w:hAnsi="宋体" w:cs="宋体"/>
          <w:kern w:val="0"/>
          <w:sz w:val="22"/>
          <w:szCs w:val="27"/>
        </w:rPr>
        <w:t>名称：温州市公安局交通管理局</w:t>
      </w:r>
    </w:p>
    <w:p>
      <w:pPr>
        <w:widowControl/>
        <w:spacing w:before="75" w:after="75" w:line="360" w:lineRule="auto"/>
        <w:ind w:firstLine="440" w:firstLineChars="200"/>
        <w:jc w:val="left"/>
        <w:rPr>
          <w:rFonts w:ascii="宋体" w:hAnsi="宋体" w:cs="宋体"/>
          <w:kern w:val="0"/>
          <w:sz w:val="22"/>
          <w:szCs w:val="27"/>
        </w:rPr>
      </w:pPr>
      <w:r>
        <w:rPr>
          <w:rFonts w:hint="eastAsia" w:ascii="宋体" w:hAnsi="宋体" w:cs="宋体"/>
          <w:kern w:val="0"/>
          <w:sz w:val="22"/>
          <w:szCs w:val="27"/>
        </w:rPr>
        <w:t>地址：温州市鹿城区金桥路1号</w:t>
      </w:r>
    </w:p>
    <w:p>
      <w:pPr>
        <w:widowControl/>
        <w:spacing w:before="75" w:after="75" w:line="360" w:lineRule="auto"/>
        <w:ind w:firstLine="440" w:firstLineChars="200"/>
        <w:jc w:val="left"/>
        <w:rPr>
          <w:rFonts w:ascii="宋体" w:hAnsi="宋体" w:cs="宋体"/>
          <w:kern w:val="0"/>
          <w:sz w:val="22"/>
          <w:szCs w:val="27"/>
        </w:rPr>
      </w:pPr>
      <w:r>
        <w:rPr>
          <w:rFonts w:hint="eastAsia" w:ascii="宋体" w:hAnsi="宋体" w:cs="宋体"/>
          <w:kern w:val="0"/>
          <w:sz w:val="22"/>
          <w:szCs w:val="27"/>
        </w:rPr>
        <w:t>传真：/</w:t>
      </w:r>
    </w:p>
    <w:p>
      <w:pPr>
        <w:widowControl/>
        <w:spacing w:before="75" w:after="75" w:line="360" w:lineRule="auto"/>
        <w:ind w:firstLine="440" w:firstLineChars="200"/>
        <w:jc w:val="left"/>
        <w:rPr>
          <w:rFonts w:ascii="宋体" w:hAnsi="宋体" w:cs="宋体"/>
          <w:kern w:val="0"/>
          <w:sz w:val="22"/>
          <w:szCs w:val="27"/>
        </w:rPr>
      </w:pPr>
      <w:r>
        <w:rPr>
          <w:rFonts w:hint="eastAsia" w:ascii="宋体" w:hAnsi="宋体" w:cs="宋体"/>
          <w:kern w:val="0"/>
          <w:sz w:val="22"/>
          <w:szCs w:val="27"/>
        </w:rPr>
        <w:t>项目联系人（询问）：余警官</w:t>
      </w:r>
    </w:p>
    <w:p>
      <w:pPr>
        <w:widowControl/>
        <w:spacing w:before="75" w:after="75" w:line="360" w:lineRule="auto"/>
        <w:ind w:firstLine="440" w:firstLineChars="200"/>
        <w:jc w:val="left"/>
        <w:rPr>
          <w:rFonts w:ascii="宋体" w:hAnsi="宋体" w:cs="宋体"/>
          <w:kern w:val="0"/>
          <w:sz w:val="22"/>
          <w:szCs w:val="27"/>
        </w:rPr>
      </w:pPr>
      <w:r>
        <w:rPr>
          <w:rFonts w:hint="eastAsia" w:ascii="宋体" w:hAnsi="宋体" w:cs="宋体"/>
          <w:kern w:val="0"/>
          <w:sz w:val="22"/>
          <w:szCs w:val="27"/>
        </w:rPr>
        <w:t>项目联系方式（询问）：0577-88300253</w:t>
      </w:r>
    </w:p>
    <w:p>
      <w:pPr>
        <w:widowControl/>
        <w:spacing w:before="75" w:after="75" w:line="360" w:lineRule="auto"/>
        <w:ind w:firstLine="440" w:firstLineChars="200"/>
        <w:jc w:val="left"/>
        <w:rPr>
          <w:rFonts w:ascii="宋体" w:hAnsi="宋体" w:cs="宋体"/>
          <w:kern w:val="0"/>
          <w:sz w:val="22"/>
          <w:szCs w:val="27"/>
        </w:rPr>
      </w:pPr>
      <w:r>
        <w:rPr>
          <w:rFonts w:hint="eastAsia" w:ascii="宋体" w:hAnsi="宋体" w:cs="宋体"/>
          <w:kern w:val="0"/>
          <w:sz w:val="22"/>
          <w:szCs w:val="27"/>
        </w:rPr>
        <w:t>质疑联系人：张警官</w:t>
      </w:r>
    </w:p>
    <w:p>
      <w:pPr>
        <w:widowControl/>
        <w:spacing w:before="75" w:after="75" w:line="360" w:lineRule="auto"/>
        <w:ind w:firstLine="440"/>
        <w:jc w:val="left"/>
        <w:rPr>
          <w:rFonts w:ascii="宋体" w:hAnsi="宋体" w:cs="宋体"/>
          <w:kern w:val="0"/>
          <w:sz w:val="22"/>
          <w:szCs w:val="27"/>
        </w:rPr>
      </w:pPr>
      <w:r>
        <w:rPr>
          <w:rFonts w:hint="eastAsia" w:ascii="宋体" w:hAnsi="宋体" w:cs="宋体"/>
          <w:kern w:val="0"/>
          <w:sz w:val="22"/>
          <w:szCs w:val="27"/>
        </w:rPr>
        <w:t>质疑联系方式：0577-88300255</w:t>
      </w:r>
    </w:p>
    <w:p>
      <w:pPr>
        <w:widowControl/>
        <w:spacing w:before="75" w:after="75" w:line="360" w:lineRule="auto"/>
        <w:jc w:val="left"/>
        <w:rPr>
          <w:rFonts w:ascii="宋体" w:hAnsi="宋体" w:cs="宋体"/>
          <w:kern w:val="0"/>
          <w:sz w:val="22"/>
          <w:szCs w:val="27"/>
        </w:rPr>
      </w:pPr>
      <w:r>
        <w:rPr>
          <w:rFonts w:hint="eastAsia" w:ascii="宋体" w:hAnsi="宋体" w:cs="宋体"/>
          <w:kern w:val="0"/>
          <w:sz w:val="22"/>
          <w:szCs w:val="27"/>
        </w:rPr>
        <w:t>2.采购代理机构信息</w:t>
      </w:r>
    </w:p>
    <w:p>
      <w:pPr>
        <w:widowControl/>
        <w:spacing w:before="75" w:after="75" w:line="360" w:lineRule="auto"/>
        <w:ind w:firstLine="440" w:firstLineChars="200"/>
        <w:jc w:val="left"/>
        <w:rPr>
          <w:rFonts w:ascii="宋体" w:hAnsi="宋体" w:cs="宋体"/>
          <w:kern w:val="0"/>
          <w:sz w:val="22"/>
          <w:szCs w:val="27"/>
        </w:rPr>
      </w:pPr>
      <w:r>
        <w:rPr>
          <w:rFonts w:hint="eastAsia" w:ascii="宋体" w:hAnsi="宋体" w:cs="宋体"/>
          <w:kern w:val="0"/>
          <w:sz w:val="22"/>
          <w:szCs w:val="27"/>
        </w:rPr>
        <w:t>名称：浙江五石中正工程咨询有限公司</w:t>
      </w:r>
    </w:p>
    <w:p>
      <w:pPr>
        <w:widowControl/>
        <w:spacing w:before="75" w:after="75" w:line="360" w:lineRule="auto"/>
        <w:ind w:firstLine="440" w:firstLineChars="200"/>
        <w:jc w:val="left"/>
        <w:rPr>
          <w:rFonts w:ascii="宋体" w:hAnsi="宋体" w:cs="宋体"/>
          <w:kern w:val="0"/>
          <w:sz w:val="22"/>
          <w:szCs w:val="27"/>
        </w:rPr>
      </w:pPr>
      <w:r>
        <w:rPr>
          <w:rFonts w:hint="eastAsia" w:ascii="宋体" w:hAnsi="宋体" w:cs="宋体"/>
          <w:kern w:val="0"/>
          <w:sz w:val="22"/>
          <w:szCs w:val="27"/>
        </w:rPr>
        <w:t>地址：杭州市拱墅区白石巷318号中国人力资源服务产业园北楼5楼512室</w:t>
      </w:r>
    </w:p>
    <w:p>
      <w:pPr>
        <w:widowControl/>
        <w:spacing w:before="75" w:after="75" w:line="360" w:lineRule="auto"/>
        <w:ind w:firstLine="440" w:firstLineChars="200"/>
        <w:jc w:val="left"/>
        <w:rPr>
          <w:rFonts w:ascii="宋体" w:hAnsi="宋体" w:cs="宋体"/>
          <w:kern w:val="0"/>
          <w:sz w:val="22"/>
          <w:szCs w:val="27"/>
        </w:rPr>
      </w:pPr>
      <w:r>
        <w:rPr>
          <w:rFonts w:hint="eastAsia" w:ascii="宋体" w:hAnsi="宋体" w:cs="宋体"/>
          <w:kern w:val="0"/>
          <w:sz w:val="22"/>
          <w:szCs w:val="27"/>
        </w:rPr>
        <w:t>传真：/</w:t>
      </w:r>
    </w:p>
    <w:p>
      <w:pPr>
        <w:widowControl/>
        <w:spacing w:before="75" w:after="75" w:line="360" w:lineRule="auto"/>
        <w:ind w:firstLine="440" w:firstLineChars="200"/>
        <w:jc w:val="left"/>
        <w:rPr>
          <w:rFonts w:ascii="宋体" w:hAnsi="宋体" w:cs="宋体"/>
          <w:kern w:val="0"/>
          <w:sz w:val="22"/>
          <w:szCs w:val="27"/>
        </w:rPr>
      </w:pPr>
      <w:r>
        <w:rPr>
          <w:rFonts w:hint="eastAsia" w:ascii="宋体" w:hAnsi="宋体" w:cs="宋体"/>
          <w:kern w:val="0"/>
          <w:sz w:val="22"/>
          <w:szCs w:val="27"/>
        </w:rPr>
        <w:t>项目联系人（询问）：王剑强、高琳</w:t>
      </w:r>
    </w:p>
    <w:p>
      <w:pPr>
        <w:widowControl/>
        <w:spacing w:before="75" w:after="75" w:line="360" w:lineRule="auto"/>
        <w:ind w:firstLine="440" w:firstLineChars="200"/>
        <w:jc w:val="left"/>
        <w:rPr>
          <w:rFonts w:ascii="宋体" w:hAnsi="宋体" w:cs="宋体"/>
          <w:kern w:val="0"/>
          <w:sz w:val="22"/>
          <w:szCs w:val="27"/>
        </w:rPr>
      </w:pPr>
      <w:r>
        <w:rPr>
          <w:rFonts w:hint="eastAsia" w:ascii="宋体" w:hAnsi="宋体" w:cs="宋体"/>
          <w:kern w:val="0"/>
          <w:sz w:val="22"/>
          <w:szCs w:val="27"/>
        </w:rPr>
        <w:t>项目联系方式（询问）0571-85334203、13588304654</w:t>
      </w:r>
    </w:p>
    <w:p>
      <w:pPr>
        <w:widowControl/>
        <w:spacing w:before="75" w:after="75" w:line="360" w:lineRule="auto"/>
        <w:ind w:firstLine="440" w:firstLineChars="200"/>
        <w:jc w:val="left"/>
        <w:rPr>
          <w:rFonts w:ascii="宋体" w:hAnsi="宋体" w:cs="宋体"/>
          <w:kern w:val="0"/>
          <w:sz w:val="22"/>
          <w:szCs w:val="27"/>
        </w:rPr>
      </w:pPr>
      <w:r>
        <w:rPr>
          <w:rFonts w:hint="eastAsia" w:ascii="宋体" w:hAnsi="宋体" w:cs="宋体"/>
          <w:kern w:val="0"/>
          <w:sz w:val="22"/>
          <w:szCs w:val="27"/>
        </w:rPr>
        <w:t>质疑联系人：罗秦</w:t>
      </w:r>
    </w:p>
    <w:p>
      <w:pPr>
        <w:widowControl/>
        <w:spacing w:before="75" w:after="75" w:line="360" w:lineRule="auto"/>
        <w:ind w:firstLine="440" w:firstLineChars="200"/>
        <w:jc w:val="left"/>
        <w:rPr>
          <w:rFonts w:ascii="宋体" w:hAnsi="宋体" w:cs="宋体"/>
          <w:kern w:val="0"/>
        </w:rPr>
      </w:pPr>
      <w:r>
        <w:rPr>
          <w:rFonts w:hint="eastAsia" w:ascii="宋体" w:hAnsi="宋体" w:cs="宋体"/>
          <w:kern w:val="0"/>
          <w:sz w:val="22"/>
          <w:szCs w:val="27"/>
        </w:rPr>
        <w:t>质疑联系方式：13957144873</w:t>
      </w:r>
    </w:p>
    <w:p>
      <w:pPr>
        <w:widowControl/>
        <w:spacing w:before="75" w:after="75" w:line="360" w:lineRule="auto"/>
        <w:jc w:val="left"/>
        <w:rPr>
          <w:rFonts w:ascii="宋体" w:hAnsi="宋体" w:cs="宋体"/>
          <w:kern w:val="0"/>
          <w:sz w:val="22"/>
          <w:szCs w:val="27"/>
        </w:rPr>
      </w:pPr>
    </w:p>
    <w:p>
      <w:pPr>
        <w:widowControl/>
        <w:spacing w:before="75" w:after="75" w:line="360" w:lineRule="auto"/>
        <w:jc w:val="left"/>
        <w:rPr>
          <w:rFonts w:ascii="宋体" w:hAnsi="宋体" w:cs="宋体"/>
          <w:kern w:val="0"/>
          <w:sz w:val="22"/>
          <w:szCs w:val="27"/>
        </w:rPr>
      </w:pPr>
      <w:r>
        <w:rPr>
          <w:rFonts w:hint="eastAsia" w:ascii="宋体" w:hAnsi="宋体" w:cs="宋体"/>
          <w:kern w:val="0"/>
          <w:sz w:val="22"/>
          <w:szCs w:val="27"/>
        </w:rPr>
        <w:t>3.同级政府采购监督管理部门</w:t>
      </w:r>
    </w:p>
    <w:p>
      <w:pPr>
        <w:widowControl/>
        <w:spacing w:before="75" w:after="75" w:line="360" w:lineRule="auto"/>
        <w:ind w:firstLine="440" w:firstLineChars="200"/>
        <w:jc w:val="left"/>
        <w:rPr>
          <w:rFonts w:ascii="宋体" w:hAnsi="宋体" w:cs="宋体"/>
          <w:kern w:val="0"/>
        </w:rPr>
      </w:pPr>
      <w:r>
        <w:rPr>
          <w:rFonts w:hint="eastAsia" w:ascii="宋体" w:hAnsi="宋体" w:cs="宋体"/>
          <w:kern w:val="0"/>
          <w:sz w:val="22"/>
          <w:szCs w:val="27"/>
        </w:rPr>
        <w:t>名称：</w:t>
      </w:r>
      <w:r>
        <w:rPr>
          <w:rFonts w:hint="eastAsia" w:ascii="宋体" w:hAnsi="宋体" w:cs="宋体"/>
          <w:sz w:val="22"/>
          <w:szCs w:val="22"/>
        </w:rPr>
        <w:t>温州市财政局政府采购监管处</w:t>
      </w:r>
    </w:p>
    <w:p>
      <w:pPr>
        <w:widowControl/>
        <w:spacing w:before="75" w:after="75" w:line="360" w:lineRule="auto"/>
        <w:ind w:firstLine="440" w:firstLineChars="200"/>
        <w:jc w:val="left"/>
        <w:rPr>
          <w:rFonts w:ascii="宋体" w:hAnsi="宋体" w:cs="宋体"/>
          <w:kern w:val="0"/>
        </w:rPr>
      </w:pPr>
      <w:r>
        <w:rPr>
          <w:rFonts w:hint="eastAsia" w:ascii="宋体" w:hAnsi="宋体" w:cs="宋体"/>
          <w:kern w:val="0"/>
          <w:sz w:val="22"/>
          <w:szCs w:val="27"/>
        </w:rPr>
        <w:t>地址：</w:t>
      </w:r>
      <w:r>
        <w:rPr>
          <w:rFonts w:hint="eastAsia" w:ascii="宋体" w:hAnsi="宋体" w:cs="宋体"/>
          <w:sz w:val="22"/>
          <w:szCs w:val="22"/>
        </w:rPr>
        <w:t>温州市鹿城区绣山路299号</w:t>
      </w:r>
    </w:p>
    <w:p>
      <w:pPr>
        <w:widowControl/>
        <w:spacing w:before="75" w:after="75" w:line="360" w:lineRule="auto"/>
        <w:ind w:firstLine="440" w:firstLineChars="200"/>
        <w:jc w:val="left"/>
        <w:rPr>
          <w:rFonts w:ascii="宋体" w:hAnsi="宋体" w:cs="宋体"/>
          <w:kern w:val="0"/>
        </w:rPr>
      </w:pPr>
      <w:r>
        <w:rPr>
          <w:rFonts w:hint="eastAsia" w:ascii="宋体" w:hAnsi="宋体" w:cs="宋体"/>
          <w:kern w:val="0"/>
          <w:sz w:val="22"/>
          <w:szCs w:val="27"/>
        </w:rPr>
        <w:t>传真：</w:t>
      </w:r>
    </w:p>
    <w:p>
      <w:pPr>
        <w:widowControl/>
        <w:spacing w:before="75" w:after="75" w:line="360" w:lineRule="auto"/>
        <w:ind w:firstLine="440" w:firstLineChars="200"/>
        <w:jc w:val="left"/>
        <w:rPr>
          <w:rFonts w:ascii="宋体" w:hAnsi="宋体" w:cs="宋体"/>
          <w:kern w:val="0"/>
        </w:rPr>
      </w:pPr>
      <w:r>
        <w:rPr>
          <w:rFonts w:hint="eastAsia" w:ascii="宋体" w:hAnsi="宋体" w:cs="宋体"/>
          <w:kern w:val="0"/>
          <w:sz w:val="22"/>
          <w:szCs w:val="27"/>
        </w:rPr>
        <w:t>联系人：</w:t>
      </w:r>
      <w:r>
        <w:rPr>
          <w:rFonts w:hint="eastAsia" w:ascii="宋体" w:hAnsi="宋体" w:cs="宋体"/>
          <w:sz w:val="22"/>
          <w:szCs w:val="22"/>
        </w:rPr>
        <w:t>项先生、蔡女士</w:t>
      </w:r>
    </w:p>
    <w:p>
      <w:pPr>
        <w:widowControl/>
        <w:spacing w:before="75" w:after="75" w:line="360" w:lineRule="auto"/>
        <w:ind w:firstLine="440" w:firstLineChars="200"/>
        <w:jc w:val="left"/>
        <w:rPr>
          <w:rFonts w:ascii="宋体" w:hAnsi="宋体" w:cs="宋体"/>
          <w:kern w:val="0"/>
        </w:rPr>
      </w:pPr>
      <w:r>
        <w:rPr>
          <w:rFonts w:hint="eastAsia" w:ascii="宋体" w:hAnsi="宋体" w:cs="宋体"/>
          <w:kern w:val="0"/>
          <w:sz w:val="22"/>
          <w:szCs w:val="27"/>
        </w:rPr>
        <w:t>监督投诉电话：</w:t>
      </w:r>
      <w:r>
        <w:rPr>
          <w:rFonts w:hint="eastAsia" w:ascii="宋体" w:hAnsi="宋体" w:cs="宋体"/>
          <w:sz w:val="22"/>
          <w:szCs w:val="22"/>
        </w:rPr>
        <w:t>0577-88505289、88521948</w:t>
      </w:r>
    </w:p>
    <w:p>
      <w:pPr>
        <w:widowControl/>
        <w:spacing w:line="360" w:lineRule="auto"/>
        <w:jc w:val="left"/>
        <w:rPr>
          <w:rFonts w:ascii="宋体" w:hAnsi="宋体" w:cs="宋体"/>
          <w:kern w:val="0"/>
        </w:rPr>
      </w:pPr>
      <w:r>
        <w:rPr>
          <w:rFonts w:hint="eastAsia" w:ascii="宋体" w:hAnsi="宋体" w:cs="宋体"/>
          <w:kern w:val="0"/>
        </w:rPr>
        <w:t>若对项目采购电子交易系统操作有疑问，可登录政采云（https://www.zcygov.cn/），点击右侧咨询小采，获取采小蜜智能服务管家帮助，或拨打政采云服务热线400-881-7190获取热线服务帮助。</w:t>
      </w:r>
    </w:p>
    <w:p>
      <w:pPr>
        <w:widowControl/>
        <w:spacing w:line="360" w:lineRule="auto"/>
        <w:jc w:val="left"/>
        <w:rPr>
          <w:rFonts w:ascii="宋体" w:hAnsi="宋体" w:cs="宋体"/>
          <w:kern w:val="0"/>
        </w:rPr>
      </w:pPr>
      <w:r>
        <w:rPr>
          <w:rFonts w:hint="eastAsia" w:ascii="宋体" w:hAnsi="宋体" w:cs="宋体"/>
          <w:kern w:val="0"/>
        </w:rPr>
        <w:t>CA问题联系电话（人工）：汇信CA400-888-4636；天谷CA400-087-8198。</w:t>
      </w:r>
    </w:p>
    <w:p>
      <w:pPr>
        <w:spacing w:line="360" w:lineRule="auto"/>
        <w:jc w:val="center"/>
        <w:outlineLvl w:val="0"/>
        <w:rPr>
          <w:rFonts w:ascii="宋体" w:hAnsi="宋体" w:cs="宋体"/>
          <w:b/>
          <w:bCs/>
          <w:sz w:val="36"/>
          <w:szCs w:val="36"/>
        </w:rPr>
      </w:pPr>
      <w:r>
        <w:rPr>
          <w:rFonts w:hint="eastAsia" w:ascii="宋体" w:hAnsi="宋体" w:cs="宋体"/>
          <w:b/>
          <w:bCs/>
          <w:sz w:val="36"/>
          <w:szCs w:val="36"/>
        </w:rPr>
        <w:br w:type="page"/>
      </w:r>
      <w:bookmarkStart w:id="2" w:name="_Toc13646"/>
      <w:r>
        <w:rPr>
          <w:rFonts w:hint="eastAsia" w:ascii="宋体" w:hAnsi="宋体" w:cs="宋体"/>
          <w:b/>
          <w:bCs/>
          <w:sz w:val="36"/>
          <w:szCs w:val="36"/>
        </w:rPr>
        <w:t>第二部分投标人须知前附表</w:t>
      </w:r>
      <w:bookmarkEnd w:id="2"/>
    </w:p>
    <w:p>
      <w:pPr>
        <w:widowControl/>
        <w:spacing w:line="360" w:lineRule="auto"/>
        <w:jc w:val="left"/>
        <w:rPr>
          <w:rFonts w:ascii="宋体" w:hAnsi="宋体" w:cs="宋体"/>
        </w:rPr>
      </w:pPr>
    </w:p>
    <w:tbl>
      <w:tblPr>
        <w:tblStyle w:val="20"/>
        <w:tblW w:w="93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1"/>
        <w:gridCol w:w="1785"/>
        <w:gridCol w:w="685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6" w:hRule="atLeast"/>
          <w:jc w:val="center"/>
        </w:trPr>
        <w:tc>
          <w:tcPr>
            <w:tcW w:w="701"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center"/>
              <w:rPr>
                <w:rFonts w:ascii="宋体" w:hAnsi="宋体" w:cs="宋体"/>
                <w:sz w:val="24"/>
              </w:rPr>
            </w:pPr>
            <w:r>
              <w:rPr>
                <w:rFonts w:hint="eastAsia" w:ascii="宋体" w:hAnsi="宋体" w:cs="宋体"/>
                <w:sz w:val="24"/>
              </w:rPr>
              <w:t>序号</w:t>
            </w:r>
          </w:p>
        </w:tc>
        <w:tc>
          <w:tcPr>
            <w:tcW w:w="1785"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center"/>
              <w:rPr>
                <w:rFonts w:ascii="宋体" w:hAnsi="宋体" w:cs="宋体"/>
                <w:sz w:val="24"/>
              </w:rPr>
            </w:pPr>
            <w:r>
              <w:rPr>
                <w:rFonts w:hint="eastAsia" w:ascii="宋体" w:hAnsi="宋体" w:cs="宋体"/>
                <w:sz w:val="24"/>
              </w:rPr>
              <w:t>内容</w:t>
            </w:r>
          </w:p>
        </w:tc>
        <w:tc>
          <w:tcPr>
            <w:tcW w:w="6852"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ind w:firstLine="2280" w:firstLineChars="950"/>
              <w:rPr>
                <w:rFonts w:ascii="宋体" w:hAnsi="宋体" w:cs="宋体"/>
                <w:sz w:val="24"/>
              </w:rPr>
            </w:pPr>
            <w:r>
              <w:rPr>
                <w:rFonts w:hint="eastAsia" w:ascii="宋体" w:hAnsi="宋体" w:cs="宋体"/>
                <w:sz w:val="24"/>
              </w:rPr>
              <w:t>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701"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center"/>
              <w:rPr>
                <w:rFonts w:ascii="宋体" w:hAnsi="宋体" w:cs="宋体"/>
                <w:sz w:val="24"/>
              </w:rPr>
            </w:pPr>
            <w:r>
              <w:rPr>
                <w:rFonts w:hint="eastAsia" w:ascii="宋体" w:hAnsi="宋体" w:cs="宋体"/>
                <w:sz w:val="24"/>
              </w:rPr>
              <w:t>1</w:t>
            </w:r>
          </w:p>
        </w:tc>
        <w:tc>
          <w:tcPr>
            <w:tcW w:w="1785"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left"/>
              <w:rPr>
                <w:rFonts w:ascii="宋体" w:hAnsi="宋体" w:cs="宋体"/>
                <w:sz w:val="24"/>
              </w:rPr>
            </w:pPr>
            <w:r>
              <w:rPr>
                <w:rFonts w:hint="eastAsia" w:ascii="宋体" w:hAnsi="宋体" w:cs="宋体"/>
                <w:sz w:val="24"/>
              </w:rPr>
              <w:t>项目名称</w:t>
            </w:r>
          </w:p>
        </w:tc>
        <w:tc>
          <w:tcPr>
            <w:tcW w:w="6852"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left"/>
              <w:rPr>
                <w:rFonts w:ascii="宋体" w:hAnsi="宋体" w:cs="宋体"/>
                <w:sz w:val="24"/>
              </w:rPr>
            </w:pPr>
            <w:r>
              <w:rPr>
                <w:rFonts w:hint="eastAsia" w:ascii="宋体" w:hAnsi="宋体" w:cs="宋体"/>
                <w:sz w:val="24"/>
              </w:rPr>
              <w:t>2023年温州市区（三、五大队）道路标志、标线、隔离护栏及其他设施建设维护项目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701"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center"/>
              <w:rPr>
                <w:rFonts w:ascii="宋体" w:hAnsi="宋体" w:cs="宋体"/>
                <w:sz w:val="24"/>
              </w:rPr>
            </w:pPr>
            <w:r>
              <w:rPr>
                <w:rFonts w:hint="eastAsia" w:ascii="宋体" w:hAnsi="宋体" w:cs="宋体"/>
                <w:sz w:val="24"/>
              </w:rPr>
              <w:t>2</w:t>
            </w:r>
          </w:p>
        </w:tc>
        <w:tc>
          <w:tcPr>
            <w:tcW w:w="1785"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left"/>
              <w:rPr>
                <w:rFonts w:ascii="宋体" w:hAnsi="宋体" w:cs="宋体"/>
                <w:sz w:val="24"/>
              </w:rPr>
            </w:pPr>
            <w:r>
              <w:rPr>
                <w:rFonts w:hint="eastAsia" w:ascii="宋体" w:hAnsi="宋体" w:cs="宋体"/>
                <w:sz w:val="24"/>
              </w:rPr>
              <w:t>采购方式</w:t>
            </w:r>
          </w:p>
        </w:tc>
        <w:tc>
          <w:tcPr>
            <w:tcW w:w="6852"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left"/>
              <w:rPr>
                <w:rFonts w:ascii="宋体" w:hAnsi="宋体" w:cs="宋体"/>
                <w:kern w:val="0"/>
                <w:sz w:val="24"/>
              </w:rPr>
            </w:pPr>
            <w:r>
              <w:rPr>
                <w:rFonts w:hint="eastAsia" w:ascii="宋体" w:hAnsi="宋体" w:cs="宋体"/>
                <w:kern w:val="0"/>
                <w:sz w:val="24"/>
              </w:rPr>
              <w:t>公开招标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29" w:hRule="atLeast"/>
          <w:jc w:val="center"/>
        </w:trPr>
        <w:tc>
          <w:tcPr>
            <w:tcW w:w="701"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center"/>
              <w:rPr>
                <w:rFonts w:ascii="宋体" w:hAnsi="宋体" w:cs="宋体"/>
                <w:sz w:val="24"/>
              </w:rPr>
            </w:pPr>
            <w:r>
              <w:rPr>
                <w:rFonts w:hint="eastAsia" w:ascii="宋体" w:hAnsi="宋体" w:cs="宋体"/>
                <w:sz w:val="24"/>
              </w:rPr>
              <w:t>3</w:t>
            </w:r>
          </w:p>
        </w:tc>
        <w:tc>
          <w:tcPr>
            <w:tcW w:w="1785"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left"/>
              <w:rPr>
                <w:rFonts w:ascii="宋体" w:hAnsi="宋体" w:cs="宋体"/>
                <w:sz w:val="24"/>
              </w:rPr>
            </w:pPr>
            <w:r>
              <w:rPr>
                <w:rFonts w:hint="eastAsia" w:ascii="宋体" w:hAnsi="宋体" w:cs="宋体"/>
                <w:sz w:val="24"/>
              </w:rPr>
              <w:t>信用记录</w:t>
            </w:r>
          </w:p>
        </w:tc>
        <w:tc>
          <w:tcPr>
            <w:tcW w:w="6852"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根据财库[2016]125号文件，通过“信用中国”网站（www.creditchina.gov.cn）、中国政府采购网（www.ccgp.gov.cn），以开标当日网页查询记录为准。对列入失信被执行人、重大税收违法案件当事人名单、政府采购严重违法失信行为记录名单的供应商，其投标将作无效标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jc w:val="center"/>
        </w:trPr>
        <w:tc>
          <w:tcPr>
            <w:tcW w:w="701"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center"/>
              <w:rPr>
                <w:rFonts w:ascii="宋体" w:hAnsi="宋体" w:cs="宋体"/>
                <w:sz w:val="24"/>
              </w:rPr>
            </w:pPr>
            <w:r>
              <w:rPr>
                <w:rFonts w:hint="eastAsia" w:ascii="宋体" w:hAnsi="宋体" w:cs="宋体"/>
                <w:sz w:val="24"/>
              </w:rPr>
              <w:t>4</w:t>
            </w:r>
          </w:p>
        </w:tc>
        <w:tc>
          <w:tcPr>
            <w:tcW w:w="1785"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left"/>
              <w:rPr>
                <w:rFonts w:ascii="宋体" w:hAnsi="宋体" w:cs="宋体"/>
                <w:sz w:val="24"/>
              </w:rPr>
            </w:pPr>
            <w:r>
              <w:rPr>
                <w:rFonts w:hint="eastAsia" w:ascii="宋体" w:hAnsi="宋体" w:cs="宋体"/>
                <w:sz w:val="24"/>
              </w:rPr>
              <w:t>扶持中小企业有关政策</w:t>
            </w:r>
          </w:p>
        </w:tc>
        <w:tc>
          <w:tcPr>
            <w:tcW w:w="6852"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rPr>
                <w:rFonts w:ascii="宋体" w:hAnsi="宋体" w:cs="宋体"/>
                <w:sz w:val="24"/>
              </w:rPr>
            </w:pPr>
            <w:r>
              <w:rPr>
                <w:rFonts w:hint="eastAsia" w:ascii="宋体" w:hAnsi="宋体" w:cs="宋体"/>
                <w:sz w:val="24"/>
              </w:rPr>
              <w:t>扶持中小企业（监狱企业、残疾人福利性单位）：</w:t>
            </w:r>
          </w:p>
          <w:p>
            <w:pPr>
              <w:snapToGrid w:val="0"/>
              <w:spacing w:line="360" w:lineRule="auto"/>
              <w:rPr>
                <w:rFonts w:ascii="宋体" w:hAnsi="宋体" w:cs="宋体"/>
                <w:sz w:val="24"/>
              </w:rPr>
            </w:pPr>
            <w:r>
              <w:rPr>
                <w:rFonts w:hint="eastAsia" w:ascii="宋体" w:hAnsi="宋体" w:cs="宋体"/>
                <w:sz w:val="24"/>
              </w:rPr>
              <w:t>根据《政府采购促进中小企业发展管理办法》（财库〔2020〕46号），本单位在政府采购活动中应当通过加强采购需求管理，落实预留采购份额，价格评审优惠、优先采购等措施，提高中小企业在政府采购中的份额，支持中小企业发展。项目相关情况如下：</w:t>
            </w:r>
          </w:p>
          <w:p>
            <w:pPr>
              <w:snapToGrid w:val="0"/>
              <w:spacing w:line="360" w:lineRule="auto"/>
              <w:ind w:firstLine="480" w:firstLineChars="200"/>
              <w:rPr>
                <w:rFonts w:ascii="宋体" w:hAnsi="宋体" w:cs="宋体"/>
                <w:sz w:val="24"/>
              </w:rPr>
            </w:pPr>
            <w:r>
              <w:rPr>
                <w:rFonts w:hint="eastAsia" w:ascii="宋体" w:hAnsi="宋体" w:cs="宋体"/>
                <w:sz w:val="24"/>
              </w:rPr>
              <w:t>（1）项目预算：</w:t>
            </w:r>
            <w:r>
              <w:rPr>
                <w:rFonts w:hint="eastAsia" w:ascii="宋体" w:hAnsi="宋体" w:cs="宋体"/>
                <w:sz w:val="24"/>
                <w:u w:val="single"/>
              </w:rPr>
              <w:t>710万元</w:t>
            </w:r>
          </w:p>
          <w:p>
            <w:pPr>
              <w:snapToGrid w:val="0"/>
              <w:spacing w:line="360" w:lineRule="auto"/>
              <w:ind w:firstLine="480" w:firstLineChars="200"/>
              <w:rPr>
                <w:rFonts w:ascii="宋体" w:hAnsi="宋体" w:cs="宋体"/>
                <w:sz w:val="24"/>
              </w:rPr>
            </w:pPr>
            <w:r>
              <w:rPr>
                <w:rFonts w:hint="eastAsia" w:ascii="宋体" w:hAnsi="宋体" w:cs="宋体"/>
                <w:sz w:val="24"/>
              </w:rPr>
              <w:t>（2）项目属性：</w:t>
            </w:r>
            <w:r>
              <w:rPr>
                <w:rFonts w:hint="eastAsia" w:ascii="宋体" w:hAnsi="宋体" w:cs="宋体"/>
                <w:sz w:val="24"/>
                <w:u w:val="single"/>
              </w:rPr>
              <w:t>②服务类</w:t>
            </w:r>
            <w:r>
              <w:rPr>
                <w:rFonts w:hint="eastAsia" w:ascii="宋体" w:hAnsi="宋体" w:cs="宋体"/>
                <w:sz w:val="24"/>
              </w:rPr>
              <w:t>（①货物类/②服务类/③工程类）</w:t>
            </w:r>
          </w:p>
          <w:p>
            <w:pPr>
              <w:snapToGrid w:val="0"/>
              <w:spacing w:line="360" w:lineRule="auto"/>
              <w:ind w:firstLine="480" w:firstLineChars="200"/>
              <w:rPr>
                <w:rFonts w:ascii="宋体" w:hAnsi="宋体" w:cs="宋体"/>
                <w:sz w:val="24"/>
              </w:rPr>
            </w:pPr>
            <w:r>
              <w:rPr>
                <w:rFonts w:hint="eastAsia" w:ascii="宋体" w:hAnsi="宋体" w:cs="宋体"/>
                <w:sz w:val="24"/>
              </w:rPr>
              <w:t>（3）项目对应的中小企业划分标准所属行业：</w:t>
            </w:r>
            <w:r>
              <w:rPr>
                <w:rFonts w:hint="eastAsia" w:ascii="宋体" w:hAnsi="宋体" w:cs="宋体"/>
                <w:sz w:val="24"/>
                <w:u w:val="single"/>
              </w:rPr>
              <w:t>工业</w:t>
            </w:r>
            <w:r>
              <w:rPr>
                <w:rFonts w:hint="eastAsia" w:ascii="宋体" w:hAnsi="宋体" w:cs="宋体"/>
                <w:sz w:val="24"/>
              </w:rPr>
              <w:t>（具体根据《中小企业划型标准规定》执行）</w:t>
            </w:r>
          </w:p>
          <w:p>
            <w:pPr>
              <w:snapToGrid w:val="0"/>
              <w:spacing w:line="360" w:lineRule="auto"/>
              <w:ind w:firstLine="480" w:firstLineChars="200"/>
              <w:rPr>
                <w:rFonts w:ascii="宋体" w:hAnsi="宋体" w:cs="宋体"/>
                <w:sz w:val="24"/>
              </w:rPr>
            </w:pPr>
            <w:r>
              <w:rPr>
                <w:rFonts w:hint="eastAsia" w:ascii="宋体" w:hAnsi="宋体" w:cs="宋体"/>
                <w:sz w:val="24"/>
              </w:rPr>
              <w:t>（备注：现行中小企业划分标准行业包括农、林、牧、渔业，工业，建筑业，批发业，零售业，交通运输业，仓储业，邮政业，住宿业，餐饮业，信息传输业，软件和信息技术服务业，房地产开发经营，物业管理，租赁和商业服务业和其他未列明行业等十六类。）</w:t>
            </w:r>
          </w:p>
          <w:p>
            <w:pPr>
              <w:snapToGrid w:val="0"/>
              <w:spacing w:line="360" w:lineRule="auto"/>
              <w:ind w:firstLine="480" w:firstLineChars="200"/>
              <w:rPr>
                <w:rFonts w:ascii="宋体" w:hAnsi="宋体" w:cs="宋体"/>
                <w:sz w:val="24"/>
              </w:rPr>
            </w:pPr>
            <w:r>
              <w:rPr>
                <w:rFonts w:hint="eastAsia" w:ascii="宋体" w:hAnsi="宋体" w:cs="宋体"/>
                <w:sz w:val="24"/>
              </w:rPr>
              <w:t>（4）本项目</w:t>
            </w:r>
            <w:r>
              <w:rPr>
                <w:rFonts w:hint="eastAsia" w:ascii="宋体" w:hAnsi="宋体" w:cs="宋体"/>
                <w:sz w:val="24"/>
                <w:u w:val="single"/>
              </w:rPr>
              <w:t>否</w:t>
            </w:r>
            <w:r>
              <w:rPr>
                <w:rFonts w:hint="eastAsia" w:ascii="宋体" w:hAnsi="宋体" w:cs="宋体"/>
                <w:sz w:val="24"/>
              </w:rPr>
              <w:t>（是/否）属于预留份额专门面向中小企业采购的项目。</w:t>
            </w:r>
          </w:p>
          <w:p>
            <w:pPr>
              <w:snapToGrid w:val="0"/>
              <w:spacing w:line="360" w:lineRule="auto"/>
              <w:ind w:firstLine="480" w:firstLineChars="200"/>
              <w:rPr>
                <w:rFonts w:ascii="宋体" w:hAnsi="宋体" w:cs="宋体"/>
                <w:b/>
                <w:bCs/>
                <w:sz w:val="24"/>
              </w:rPr>
            </w:pPr>
            <w:r>
              <w:rPr>
                <w:rFonts w:hint="eastAsia" w:ascii="宋体" w:hAnsi="宋体" w:cs="宋体"/>
                <w:sz w:val="24"/>
              </w:rPr>
              <w:t>（5）对于经主管预算单位统筹后未预留份额专门面向中小企业采购的采购项目，以及预留份额项目中的非预留部分采购包，对小微企业报价给予</w:t>
            </w:r>
            <w:r>
              <w:rPr>
                <w:rFonts w:hint="eastAsia" w:ascii="宋体" w:hAnsi="宋体" w:cs="宋体"/>
                <w:sz w:val="24"/>
                <w:u w:val="single"/>
              </w:rPr>
              <w:t>20</w:t>
            </w:r>
            <w:r>
              <w:rPr>
                <w:rFonts w:hint="eastAsia" w:ascii="宋体" w:hAnsi="宋体" w:cs="宋体"/>
                <w:sz w:val="24"/>
              </w:rPr>
              <w:t>%的扣除，用扣除后的价格参加评审。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jc w:val="center"/>
        </w:trPr>
        <w:tc>
          <w:tcPr>
            <w:tcW w:w="701"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center"/>
              <w:rPr>
                <w:rFonts w:ascii="宋体" w:hAnsi="宋体" w:cs="宋体"/>
                <w:sz w:val="24"/>
              </w:rPr>
            </w:pPr>
            <w:r>
              <w:rPr>
                <w:rFonts w:hint="eastAsia" w:ascii="宋体" w:hAnsi="宋体" w:cs="宋体"/>
                <w:sz w:val="24"/>
              </w:rPr>
              <w:t>5</w:t>
            </w:r>
          </w:p>
        </w:tc>
        <w:tc>
          <w:tcPr>
            <w:tcW w:w="1785"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left"/>
              <w:rPr>
                <w:rFonts w:ascii="宋体" w:hAnsi="宋体" w:cs="宋体"/>
                <w:sz w:val="24"/>
              </w:rPr>
            </w:pPr>
            <w:r>
              <w:rPr>
                <w:rFonts w:hint="eastAsia" w:ascii="宋体" w:hAnsi="宋体" w:cs="宋体"/>
                <w:sz w:val="24"/>
              </w:rPr>
              <w:t>质疑和澄清</w:t>
            </w:r>
          </w:p>
        </w:tc>
        <w:tc>
          <w:tcPr>
            <w:tcW w:w="6852" w:type="dxa"/>
            <w:tcBorders>
              <w:top w:val="single" w:color="auto" w:sz="4" w:space="0"/>
              <w:left w:val="single" w:color="auto" w:sz="4" w:space="0"/>
              <w:bottom w:val="single" w:color="auto" w:sz="4" w:space="0"/>
              <w:right w:val="single" w:color="auto" w:sz="4" w:space="0"/>
            </w:tcBorders>
            <w:noWrap/>
            <w:vAlign w:val="center"/>
          </w:tcPr>
          <w:p>
            <w:pPr>
              <w:spacing w:line="360" w:lineRule="auto"/>
              <w:jc w:val="left"/>
              <w:rPr>
                <w:rFonts w:ascii="宋体" w:hAnsi="宋体" w:cs="宋体"/>
                <w:sz w:val="24"/>
              </w:rPr>
            </w:pPr>
            <w:r>
              <w:rPr>
                <w:rFonts w:hint="eastAsia" w:ascii="宋体" w:hAnsi="宋体" w:cs="宋体"/>
                <w:sz w:val="24"/>
              </w:rPr>
              <w:t>1、投标人认为招标文件、投标过程、中标结果使自己的合法权益受到损害的，可以在知道或应知其权益受到损害之日起7个工作日内，以书面形式提交给接收质疑函联系部门，逾期不受理。质疑投标人必须在法定质疑期内一次性提出针对同一采购程序（包括采购文件、采购过程、中标结果）环节的质疑。</w:t>
            </w:r>
          </w:p>
          <w:p>
            <w:pPr>
              <w:snapToGrid w:val="0"/>
              <w:spacing w:line="360" w:lineRule="auto"/>
              <w:jc w:val="left"/>
              <w:rPr>
                <w:rFonts w:ascii="宋体" w:hAnsi="宋体" w:cs="宋体"/>
                <w:sz w:val="24"/>
              </w:rPr>
            </w:pPr>
            <w:r>
              <w:rPr>
                <w:rFonts w:hint="eastAsia" w:ascii="宋体" w:hAnsi="宋体" w:cs="宋体"/>
                <w:sz w:val="24"/>
              </w:rPr>
              <w:t>2、项目的书面澄清（更正）文件会在浙江省政府网上发布公告，同时政采云系统会向所有已按招标文件规定方式获取招标文件的潜在供应商发送更正提醒信息，潜在供应商请自行到浙江省政府采网上下载澄清（更正）文件。澄清（更正）文件是招标文件重要组成部分，供应商应及时查看提醒信息，否则后果自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jc w:val="center"/>
        </w:trPr>
        <w:tc>
          <w:tcPr>
            <w:tcW w:w="701"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center"/>
              <w:rPr>
                <w:rFonts w:ascii="宋体" w:hAnsi="宋体" w:cs="宋体"/>
                <w:sz w:val="24"/>
              </w:rPr>
            </w:pPr>
            <w:r>
              <w:rPr>
                <w:rFonts w:hint="eastAsia" w:ascii="宋体" w:hAnsi="宋体" w:cs="宋体"/>
                <w:sz w:val="24"/>
              </w:rPr>
              <w:t>6</w:t>
            </w:r>
          </w:p>
        </w:tc>
        <w:tc>
          <w:tcPr>
            <w:tcW w:w="1785"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left"/>
              <w:rPr>
                <w:rFonts w:ascii="宋体" w:hAnsi="宋体" w:cs="宋体"/>
                <w:sz w:val="24"/>
              </w:rPr>
            </w:pPr>
            <w:r>
              <w:rPr>
                <w:rFonts w:hint="eastAsia" w:ascii="宋体" w:hAnsi="宋体" w:cs="宋体"/>
                <w:sz w:val="24"/>
              </w:rPr>
              <w:t>是否允许采购进口产品</w:t>
            </w:r>
          </w:p>
        </w:tc>
        <w:tc>
          <w:tcPr>
            <w:tcW w:w="6852"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left"/>
              <w:rPr>
                <w:rFonts w:ascii="宋体" w:hAnsi="宋体" w:cs="宋体"/>
                <w:sz w:val="24"/>
              </w:rPr>
            </w:pPr>
            <w:r>
              <w:rPr>
                <w:rFonts w:hint="eastAsia" w:ascii="宋体" w:hAnsi="宋体" w:cs="宋体"/>
                <w:sz w:val="24"/>
              </w:rPr>
              <w:t>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jc w:val="center"/>
        </w:trPr>
        <w:tc>
          <w:tcPr>
            <w:tcW w:w="701"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center"/>
              <w:rPr>
                <w:rFonts w:ascii="宋体" w:hAnsi="宋体" w:cs="宋体"/>
                <w:sz w:val="24"/>
              </w:rPr>
            </w:pPr>
            <w:r>
              <w:rPr>
                <w:rFonts w:hint="eastAsia" w:ascii="宋体" w:hAnsi="宋体" w:cs="宋体"/>
                <w:sz w:val="24"/>
              </w:rPr>
              <w:t>7</w:t>
            </w:r>
          </w:p>
        </w:tc>
        <w:tc>
          <w:tcPr>
            <w:tcW w:w="1785"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left"/>
              <w:rPr>
                <w:rFonts w:ascii="宋体" w:hAnsi="宋体" w:cs="宋体"/>
                <w:sz w:val="24"/>
              </w:rPr>
            </w:pPr>
            <w:r>
              <w:rPr>
                <w:rFonts w:hint="eastAsia" w:ascii="宋体" w:hAnsi="宋体" w:cs="宋体"/>
                <w:sz w:val="24"/>
              </w:rPr>
              <w:t>是否允许转包与分包</w:t>
            </w:r>
          </w:p>
        </w:tc>
        <w:tc>
          <w:tcPr>
            <w:tcW w:w="6852"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left"/>
              <w:rPr>
                <w:rFonts w:ascii="宋体" w:hAnsi="宋体" w:cs="宋体"/>
                <w:sz w:val="24"/>
              </w:rPr>
            </w:pPr>
            <w:r>
              <w:rPr>
                <w:rFonts w:hint="eastAsia" w:ascii="宋体" w:hAnsi="宋体" w:cs="宋体"/>
                <w:sz w:val="24"/>
              </w:rPr>
              <w:t>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jc w:val="center"/>
        </w:trPr>
        <w:tc>
          <w:tcPr>
            <w:tcW w:w="701"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center"/>
              <w:rPr>
                <w:rFonts w:ascii="宋体" w:hAnsi="宋体" w:cs="宋体"/>
                <w:sz w:val="24"/>
              </w:rPr>
            </w:pPr>
            <w:r>
              <w:rPr>
                <w:rFonts w:hint="eastAsia" w:ascii="宋体" w:hAnsi="宋体" w:cs="宋体"/>
                <w:sz w:val="24"/>
              </w:rPr>
              <w:t>8</w:t>
            </w:r>
          </w:p>
        </w:tc>
        <w:tc>
          <w:tcPr>
            <w:tcW w:w="1785"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left"/>
              <w:rPr>
                <w:rFonts w:ascii="宋体" w:hAnsi="宋体" w:cs="宋体"/>
                <w:sz w:val="24"/>
              </w:rPr>
            </w:pPr>
            <w:r>
              <w:rPr>
                <w:rFonts w:hint="eastAsia" w:ascii="宋体" w:hAnsi="宋体" w:cs="宋体"/>
                <w:sz w:val="24"/>
              </w:rPr>
              <w:t>是否接受联合体投标</w:t>
            </w:r>
          </w:p>
        </w:tc>
        <w:tc>
          <w:tcPr>
            <w:tcW w:w="6852"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left"/>
              <w:rPr>
                <w:rFonts w:ascii="宋体" w:hAnsi="宋体" w:cs="宋体"/>
                <w:sz w:val="24"/>
              </w:rPr>
            </w:pPr>
            <w:r>
              <w:rPr>
                <w:rFonts w:hint="eastAsia" w:ascii="宋体" w:hAnsi="宋体" w:cs="宋体"/>
                <w:sz w:val="24"/>
              </w:rPr>
              <w:t>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701"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center"/>
              <w:rPr>
                <w:rFonts w:ascii="宋体" w:hAnsi="宋体" w:cs="宋体"/>
                <w:sz w:val="24"/>
              </w:rPr>
            </w:pPr>
            <w:r>
              <w:rPr>
                <w:rFonts w:hint="eastAsia" w:ascii="宋体" w:hAnsi="宋体" w:cs="宋体"/>
                <w:sz w:val="24"/>
              </w:rPr>
              <w:t>9</w:t>
            </w:r>
          </w:p>
        </w:tc>
        <w:tc>
          <w:tcPr>
            <w:tcW w:w="1785"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left"/>
              <w:rPr>
                <w:rFonts w:ascii="宋体" w:hAnsi="宋体" w:cs="宋体"/>
                <w:sz w:val="24"/>
              </w:rPr>
            </w:pPr>
            <w:r>
              <w:rPr>
                <w:rFonts w:hint="eastAsia" w:ascii="宋体" w:hAnsi="宋体" w:cs="宋体"/>
                <w:sz w:val="24"/>
              </w:rPr>
              <w:t>是否现场踏勘</w:t>
            </w:r>
          </w:p>
        </w:tc>
        <w:tc>
          <w:tcPr>
            <w:tcW w:w="6852" w:type="dxa"/>
            <w:tcBorders>
              <w:top w:val="single" w:color="auto" w:sz="4" w:space="0"/>
              <w:left w:val="single" w:color="auto" w:sz="4" w:space="0"/>
              <w:bottom w:val="single" w:color="auto" w:sz="4" w:space="0"/>
              <w:right w:val="single" w:color="auto" w:sz="4" w:space="0"/>
            </w:tcBorders>
            <w:noWrap/>
            <w:vAlign w:val="center"/>
          </w:tcPr>
          <w:p>
            <w:pPr>
              <w:widowControl/>
              <w:tabs>
                <w:tab w:val="left" w:pos="540"/>
              </w:tabs>
              <w:snapToGrid w:val="0"/>
              <w:spacing w:line="360" w:lineRule="auto"/>
              <w:rPr>
                <w:rFonts w:ascii="宋体" w:hAnsi="宋体" w:cs="宋体"/>
                <w:sz w:val="24"/>
              </w:rPr>
            </w:pPr>
            <w:bookmarkStart w:id="3" w:name="PO_15528_PM040"/>
            <w:r>
              <w:rPr>
                <w:rFonts w:hint="eastAsia" w:ascii="宋体" w:hAnsi="宋体" w:cs="宋体"/>
                <w:sz w:val="24"/>
              </w:rPr>
              <w:t>采购人不组织现场踏勘；各投标人可于投标截止时间前自行到现场踏勘</w:t>
            </w:r>
            <w:bookmarkEnd w:id="3"/>
            <w:r>
              <w:rPr>
                <w:rFonts w:hint="eastAsia" w:ascii="宋体" w:hAnsi="宋体" w:cs="宋体"/>
                <w:sz w:val="24"/>
              </w:rPr>
              <w:t>，费用及责任风险自负。</w:t>
            </w:r>
          </w:p>
          <w:p>
            <w:pPr>
              <w:widowControl/>
              <w:tabs>
                <w:tab w:val="left" w:pos="540"/>
              </w:tabs>
              <w:snapToGrid w:val="0"/>
              <w:spacing w:line="360" w:lineRule="auto"/>
              <w:rPr>
                <w:rFonts w:ascii="宋体" w:hAnsi="宋体" w:cs="宋体"/>
                <w:sz w:val="24"/>
              </w:rPr>
            </w:pPr>
            <w:r>
              <w:rPr>
                <w:rFonts w:hint="eastAsia" w:ascii="宋体" w:hAnsi="宋体" w:cs="宋体"/>
                <w:sz w:val="24"/>
              </w:rPr>
              <w:t>（现场踏勘地点及联系人：详见第一部分采购公告中的采购人信息）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3" w:hRule="atLeast"/>
          <w:jc w:val="center"/>
        </w:trPr>
        <w:tc>
          <w:tcPr>
            <w:tcW w:w="701"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center"/>
              <w:rPr>
                <w:rFonts w:ascii="宋体" w:hAnsi="宋体" w:cs="宋体"/>
                <w:sz w:val="24"/>
              </w:rPr>
            </w:pPr>
            <w:r>
              <w:rPr>
                <w:rFonts w:hint="eastAsia" w:ascii="宋体" w:hAnsi="宋体" w:cs="宋体"/>
                <w:sz w:val="24"/>
              </w:rPr>
              <w:t>10</w:t>
            </w:r>
          </w:p>
        </w:tc>
        <w:tc>
          <w:tcPr>
            <w:tcW w:w="1785"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left"/>
              <w:rPr>
                <w:rFonts w:ascii="宋体" w:hAnsi="宋体" w:cs="宋体"/>
                <w:sz w:val="24"/>
              </w:rPr>
            </w:pPr>
            <w:r>
              <w:rPr>
                <w:rFonts w:hint="eastAsia" w:ascii="宋体" w:hAnsi="宋体" w:cs="宋体"/>
                <w:sz w:val="24"/>
              </w:rPr>
              <w:t>是否提供演示</w:t>
            </w:r>
          </w:p>
        </w:tc>
        <w:tc>
          <w:tcPr>
            <w:tcW w:w="6852"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left"/>
              <w:rPr>
                <w:rFonts w:ascii="宋体" w:hAnsi="宋体" w:cs="宋体"/>
                <w:sz w:val="24"/>
              </w:rPr>
            </w:pPr>
            <w:r>
              <w:rPr>
                <w:rFonts w:hint="eastAsia" w:ascii="宋体" w:hAnsi="宋体" w:cs="宋体"/>
                <w:sz w:val="24"/>
              </w:rPr>
              <w:t>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01"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center"/>
              <w:rPr>
                <w:rFonts w:ascii="宋体" w:hAnsi="宋体" w:cs="宋体"/>
                <w:sz w:val="24"/>
              </w:rPr>
            </w:pPr>
            <w:r>
              <w:rPr>
                <w:rFonts w:hint="eastAsia" w:ascii="宋体" w:hAnsi="宋体" w:cs="宋体"/>
                <w:sz w:val="24"/>
              </w:rPr>
              <w:t>11</w:t>
            </w:r>
          </w:p>
        </w:tc>
        <w:tc>
          <w:tcPr>
            <w:tcW w:w="1785"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left"/>
              <w:rPr>
                <w:rFonts w:ascii="宋体" w:hAnsi="宋体" w:cs="宋体"/>
                <w:sz w:val="24"/>
              </w:rPr>
            </w:pPr>
            <w:r>
              <w:rPr>
                <w:rFonts w:hint="eastAsia" w:ascii="宋体" w:hAnsi="宋体" w:cs="宋体"/>
                <w:sz w:val="24"/>
              </w:rPr>
              <w:t>是否提供样品</w:t>
            </w:r>
          </w:p>
        </w:tc>
        <w:tc>
          <w:tcPr>
            <w:tcW w:w="6852"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left"/>
              <w:rPr>
                <w:rFonts w:ascii="宋体" w:hAnsi="宋体" w:cs="宋体"/>
                <w:sz w:val="24"/>
              </w:rPr>
            </w:pPr>
            <w:r>
              <w:rPr>
                <w:rFonts w:hint="eastAsia" w:ascii="宋体" w:hAnsi="宋体" w:cs="宋体"/>
                <w:sz w:val="24"/>
              </w:rPr>
              <w:t>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9" w:hRule="atLeast"/>
          <w:jc w:val="center"/>
        </w:trPr>
        <w:tc>
          <w:tcPr>
            <w:tcW w:w="701"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center"/>
              <w:rPr>
                <w:rFonts w:ascii="宋体" w:hAnsi="宋体" w:cs="宋体"/>
                <w:sz w:val="24"/>
              </w:rPr>
            </w:pPr>
            <w:r>
              <w:rPr>
                <w:rFonts w:hint="eastAsia" w:ascii="宋体" w:hAnsi="宋体" w:cs="宋体"/>
                <w:sz w:val="24"/>
              </w:rPr>
              <w:t>12</w:t>
            </w:r>
          </w:p>
        </w:tc>
        <w:tc>
          <w:tcPr>
            <w:tcW w:w="1785"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left"/>
              <w:rPr>
                <w:rFonts w:ascii="宋体" w:hAnsi="宋体" w:cs="宋体"/>
                <w:sz w:val="24"/>
              </w:rPr>
            </w:pPr>
            <w:r>
              <w:rPr>
                <w:rFonts w:hint="eastAsia" w:ascii="宋体" w:hAnsi="宋体" w:cs="宋体"/>
                <w:sz w:val="24"/>
              </w:rPr>
              <w:t>中标结果公告</w:t>
            </w:r>
          </w:p>
        </w:tc>
        <w:tc>
          <w:tcPr>
            <w:tcW w:w="6852"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left"/>
              <w:rPr>
                <w:rFonts w:ascii="宋体" w:hAnsi="宋体" w:cs="宋体"/>
                <w:sz w:val="24"/>
              </w:rPr>
            </w:pPr>
            <w:r>
              <w:rPr>
                <w:rFonts w:hint="eastAsia" w:ascii="宋体" w:hAnsi="宋体" w:cs="宋体"/>
                <w:sz w:val="24"/>
              </w:rPr>
              <w:t>中标供应商确定之日起2个工作日内，将在浙江省政府采购网(</w:t>
            </w:r>
            <w:r>
              <w:fldChar w:fldCharType="begin"/>
            </w:r>
            <w:r>
              <w:instrText xml:space="preserve"> HYPERLINK "http://www.zjzfcg.gov.cn/new" </w:instrText>
            </w:r>
            <w:r>
              <w:fldChar w:fldCharType="separate"/>
            </w:r>
            <w:r>
              <w:rPr>
                <w:rStyle w:val="23"/>
                <w:rFonts w:hint="eastAsia" w:ascii="宋体" w:hAnsi="宋体" w:cs="宋体"/>
                <w:color w:val="auto"/>
                <w:sz w:val="24"/>
              </w:rPr>
              <w:t>http://www.zjzfcg.gov.cn</w:t>
            </w:r>
            <w:r>
              <w:rPr>
                <w:rStyle w:val="23"/>
                <w:rFonts w:hint="eastAsia" w:ascii="宋体" w:hAnsi="宋体" w:cs="宋体"/>
                <w:color w:val="auto"/>
                <w:sz w:val="24"/>
              </w:rPr>
              <w:fldChar w:fldCharType="end"/>
            </w:r>
            <w:r>
              <w:rPr>
                <w:rFonts w:hint="eastAsia" w:ascii="宋体" w:hAnsi="宋体" w:cs="宋体"/>
                <w:sz w:val="24"/>
              </w:rPr>
              <w:t>)发布中标公告，公告期限为1个工作日。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701"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center"/>
              <w:rPr>
                <w:rFonts w:ascii="宋体" w:hAnsi="宋体" w:cs="宋体"/>
                <w:sz w:val="24"/>
              </w:rPr>
            </w:pPr>
            <w:r>
              <w:rPr>
                <w:rFonts w:hint="eastAsia" w:ascii="宋体" w:hAnsi="宋体" w:cs="宋体"/>
                <w:sz w:val="24"/>
              </w:rPr>
              <w:t>13</w:t>
            </w:r>
          </w:p>
        </w:tc>
        <w:tc>
          <w:tcPr>
            <w:tcW w:w="1785" w:type="dxa"/>
            <w:tcBorders>
              <w:top w:val="single" w:color="auto" w:sz="4" w:space="0"/>
              <w:left w:val="single" w:color="auto" w:sz="4" w:space="0"/>
              <w:bottom w:val="single" w:color="auto" w:sz="4" w:space="0"/>
              <w:right w:val="single" w:color="auto" w:sz="4" w:space="0"/>
            </w:tcBorders>
            <w:noWrap/>
            <w:vAlign w:val="center"/>
          </w:tcPr>
          <w:p>
            <w:pPr>
              <w:autoSpaceDE w:val="0"/>
              <w:autoSpaceDN w:val="0"/>
              <w:snapToGrid w:val="0"/>
              <w:spacing w:line="360" w:lineRule="auto"/>
              <w:jc w:val="left"/>
              <w:textAlignment w:val="bottom"/>
              <w:rPr>
                <w:rFonts w:ascii="宋体" w:hAnsi="宋体" w:cs="宋体"/>
                <w:sz w:val="24"/>
              </w:rPr>
            </w:pPr>
            <w:r>
              <w:rPr>
                <w:rFonts w:hint="eastAsia" w:ascii="宋体" w:hAnsi="宋体" w:cs="宋体"/>
                <w:sz w:val="24"/>
              </w:rPr>
              <w:t>投标保证金</w:t>
            </w:r>
          </w:p>
        </w:tc>
        <w:tc>
          <w:tcPr>
            <w:tcW w:w="6852" w:type="dxa"/>
            <w:tcBorders>
              <w:top w:val="single" w:color="auto" w:sz="4" w:space="0"/>
              <w:left w:val="single" w:color="auto" w:sz="4" w:space="0"/>
              <w:bottom w:val="single" w:color="auto" w:sz="4" w:space="0"/>
              <w:right w:val="single" w:color="auto" w:sz="4" w:space="0"/>
            </w:tcBorders>
            <w:noWrap/>
            <w:vAlign w:val="center"/>
          </w:tcPr>
          <w:p>
            <w:pPr>
              <w:autoSpaceDE w:val="0"/>
              <w:autoSpaceDN w:val="0"/>
              <w:snapToGrid w:val="0"/>
              <w:spacing w:line="360" w:lineRule="auto"/>
              <w:jc w:val="left"/>
              <w:textAlignment w:val="bottom"/>
              <w:rPr>
                <w:rFonts w:ascii="宋体" w:hAnsi="宋体" w:cs="宋体"/>
                <w:sz w:val="24"/>
              </w:rPr>
            </w:pPr>
            <w:r>
              <w:rPr>
                <w:rFonts w:hint="eastAsia" w:ascii="宋体" w:hAnsi="宋体" w:cs="宋体"/>
                <w:sz w:val="24"/>
              </w:rPr>
              <w:t>无须缴纳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3" w:hRule="atLeast"/>
          <w:jc w:val="center"/>
        </w:trPr>
        <w:tc>
          <w:tcPr>
            <w:tcW w:w="701"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center"/>
              <w:rPr>
                <w:rFonts w:ascii="宋体" w:hAnsi="宋体" w:cs="宋体"/>
                <w:sz w:val="24"/>
              </w:rPr>
            </w:pPr>
            <w:r>
              <w:rPr>
                <w:rFonts w:hint="eastAsia" w:ascii="宋体" w:hAnsi="宋体" w:cs="宋体"/>
                <w:sz w:val="24"/>
              </w:rPr>
              <w:t>14</w:t>
            </w:r>
          </w:p>
        </w:tc>
        <w:tc>
          <w:tcPr>
            <w:tcW w:w="1785"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left"/>
              <w:rPr>
                <w:rFonts w:ascii="宋体" w:hAnsi="宋体" w:cs="宋体"/>
                <w:sz w:val="24"/>
              </w:rPr>
            </w:pPr>
            <w:r>
              <w:rPr>
                <w:rFonts w:hint="eastAsia" w:ascii="宋体" w:hAnsi="宋体" w:cs="宋体"/>
                <w:sz w:val="24"/>
              </w:rPr>
              <w:t>合同签订时间</w:t>
            </w:r>
          </w:p>
        </w:tc>
        <w:tc>
          <w:tcPr>
            <w:tcW w:w="6852"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left"/>
              <w:rPr>
                <w:rFonts w:ascii="宋体" w:hAnsi="宋体" w:cs="宋体"/>
                <w:sz w:val="24"/>
              </w:rPr>
            </w:pPr>
            <w:r>
              <w:rPr>
                <w:rFonts w:hint="eastAsia" w:ascii="宋体" w:hAnsi="宋体" w:cs="宋体"/>
                <w:sz w:val="24"/>
              </w:rPr>
              <w:t>中标通知书发出后30日内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6" w:hRule="atLeast"/>
          <w:jc w:val="center"/>
        </w:trPr>
        <w:tc>
          <w:tcPr>
            <w:tcW w:w="701"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center"/>
              <w:rPr>
                <w:rFonts w:ascii="宋体" w:hAnsi="宋体" w:cs="宋体"/>
                <w:sz w:val="24"/>
              </w:rPr>
            </w:pPr>
            <w:r>
              <w:rPr>
                <w:rFonts w:hint="eastAsia" w:ascii="宋体" w:hAnsi="宋体" w:cs="宋体"/>
                <w:sz w:val="24"/>
              </w:rPr>
              <w:t>15</w:t>
            </w:r>
          </w:p>
        </w:tc>
        <w:tc>
          <w:tcPr>
            <w:tcW w:w="1785" w:type="dxa"/>
            <w:tcBorders>
              <w:top w:val="single" w:color="auto" w:sz="4" w:space="0"/>
              <w:left w:val="single" w:color="auto" w:sz="4" w:space="0"/>
              <w:bottom w:val="single" w:color="auto" w:sz="4" w:space="0"/>
              <w:right w:val="single" w:color="auto" w:sz="4" w:space="0"/>
            </w:tcBorders>
            <w:noWrap/>
            <w:vAlign w:val="center"/>
          </w:tcPr>
          <w:p>
            <w:pPr>
              <w:autoSpaceDE w:val="0"/>
              <w:autoSpaceDN w:val="0"/>
              <w:snapToGrid w:val="0"/>
              <w:spacing w:line="360" w:lineRule="auto"/>
              <w:jc w:val="left"/>
              <w:textAlignment w:val="bottom"/>
              <w:rPr>
                <w:rFonts w:ascii="宋体" w:hAnsi="宋体" w:cs="宋体"/>
                <w:sz w:val="24"/>
              </w:rPr>
            </w:pPr>
            <w:r>
              <w:rPr>
                <w:rFonts w:hint="eastAsia" w:ascii="宋体" w:hAnsi="宋体" w:cs="宋体"/>
                <w:sz w:val="24"/>
              </w:rPr>
              <w:t>履约保证金</w:t>
            </w:r>
          </w:p>
        </w:tc>
        <w:tc>
          <w:tcPr>
            <w:tcW w:w="6852" w:type="dxa"/>
            <w:tcBorders>
              <w:top w:val="single" w:color="auto" w:sz="4" w:space="0"/>
              <w:left w:val="single" w:color="auto" w:sz="4" w:space="0"/>
              <w:bottom w:val="single" w:color="auto" w:sz="4" w:space="0"/>
              <w:right w:val="single" w:color="auto" w:sz="4" w:space="0"/>
            </w:tcBorders>
            <w:noWrap/>
            <w:vAlign w:val="center"/>
          </w:tcPr>
          <w:p>
            <w:pPr>
              <w:autoSpaceDE w:val="0"/>
              <w:autoSpaceDN w:val="0"/>
              <w:snapToGrid w:val="0"/>
              <w:spacing w:line="360" w:lineRule="auto"/>
              <w:jc w:val="left"/>
              <w:textAlignment w:val="bottom"/>
              <w:rPr>
                <w:rFonts w:ascii="宋体" w:hAnsi="宋体" w:cs="宋体"/>
                <w:sz w:val="24"/>
              </w:rPr>
            </w:pPr>
            <w:r>
              <w:rPr>
                <w:rFonts w:hint="eastAsia" w:ascii="宋体" w:hAnsi="宋体" w:cs="宋体"/>
                <w:sz w:val="24"/>
              </w:rPr>
              <w:t>合同签订后，采购人按《中华人民共和国政府采购法实施条例》等有关规定,按启用状态中标金额总价的</w:t>
            </w:r>
            <w:r>
              <w:rPr>
                <w:rFonts w:hint="eastAsia" w:ascii="宋体" w:hAnsi="宋体" w:cs="宋体"/>
                <w:sz w:val="24"/>
                <w:u w:val="single"/>
              </w:rPr>
              <w:t>1%</w:t>
            </w:r>
            <w:r>
              <w:rPr>
                <w:rFonts w:hint="eastAsia" w:ascii="宋体" w:hAnsi="宋体" w:cs="宋体"/>
                <w:sz w:val="24"/>
              </w:rPr>
              <w:t>缴纳履约保证金(如启用状态中标金额为a元，则履约保证金为a*1％元。)。采购人要求中标供应商提交履约保证金的，供应商应当以支票、汇票、本票或者金融机构、担保机构出具的保函等非现金形式提交。履约保证金的数额不得超过政府采购合同金额的</w:t>
            </w:r>
            <w:r>
              <w:rPr>
                <w:rFonts w:hint="eastAsia" w:ascii="宋体" w:hAnsi="宋体" w:cs="宋体"/>
                <w:sz w:val="24"/>
                <w:u w:val="single"/>
              </w:rPr>
              <w:t>1</w:t>
            </w: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701"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center"/>
              <w:rPr>
                <w:rFonts w:ascii="宋体" w:hAnsi="宋体" w:cs="宋体"/>
                <w:sz w:val="24"/>
              </w:rPr>
            </w:pPr>
            <w:r>
              <w:rPr>
                <w:rFonts w:hint="eastAsia" w:ascii="宋体" w:hAnsi="宋体" w:cs="宋体"/>
                <w:sz w:val="24"/>
              </w:rPr>
              <w:t>16</w:t>
            </w:r>
          </w:p>
        </w:tc>
        <w:tc>
          <w:tcPr>
            <w:tcW w:w="1785" w:type="dxa"/>
            <w:tcBorders>
              <w:top w:val="single" w:color="auto" w:sz="4" w:space="0"/>
              <w:left w:val="single" w:color="auto" w:sz="4" w:space="0"/>
              <w:bottom w:val="single" w:color="auto" w:sz="4" w:space="0"/>
              <w:right w:val="single" w:color="auto" w:sz="4" w:space="0"/>
            </w:tcBorders>
            <w:noWrap/>
            <w:vAlign w:val="center"/>
          </w:tcPr>
          <w:p>
            <w:pPr>
              <w:autoSpaceDE w:val="0"/>
              <w:autoSpaceDN w:val="0"/>
              <w:snapToGrid w:val="0"/>
              <w:spacing w:line="360" w:lineRule="auto"/>
              <w:jc w:val="left"/>
              <w:textAlignment w:val="bottom"/>
              <w:rPr>
                <w:rFonts w:ascii="宋体" w:hAnsi="宋体" w:cs="宋体"/>
                <w:sz w:val="24"/>
              </w:rPr>
            </w:pPr>
            <w:r>
              <w:rPr>
                <w:rFonts w:hint="eastAsia" w:ascii="宋体" w:hAnsi="宋体" w:cs="宋体"/>
                <w:sz w:val="24"/>
              </w:rPr>
              <w:t>付款方式</w:t>
            </w:r>
          </w:p>
        </w:tc>
        <w:tc>
          <w:tcPr>
            <w:tcW w:w="6852" w:type="dxa"/>
            <w:tcBorders>
              <w:top w:val="single" w:color="auto" w:sz="4" w:space="0"/>
              <w:left w:val="single" w:color="auto" w:sz="4" w:space="0"/>
              <w:bottom w:val="single" w:color="auto" w:sz="4" w:space="0"/>
              <w:right w:val="single" w:color="auto" w:sz="4" w:space="0"/>
            </w:tcBorders>
            <w:noWrap/>
            <w:vAlign w:val="center"/>
          </w:tcPr>
          <w:p>
            <w:pPr>
              <w:autoSpaceDE w:val="0"/>
              <w:autoSpaceDN w:val="0"/>
              <w:snapToGrid w:val="0"/>
              <w:spacing w:line="360" w:lineRule="auto"/>
              <w:jc w:val="left"/>
              <w:textAlignment w:val="bottom"/>
              <w:rPr>
                <w:rFonts w:ascii="宋体" w:hAnsi="宋体" w:cs="宋体"/>
                <w:sz w:val="24"/>
              </w:rPr>
            </w:pPr>
            <w:r>
              <w:rPr>
                <w:rFonts w:hint="eastAsia" w:ascii="宋体" w:hAnsi="宋体" w:cs="宋体"/>
                <w:sz w:val="24"/>
              </w:rPr>
              <w:t>详见合同条款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701"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center"/>
              <w:rPr>
                <w:rFonts w:ascii="宋体" w:hAnsi="宋体" w:cs="宋体"/>
                <w:sz w:val="24"/>
              </w:rPr>
            </w:pPr>
            <w:r>
              <w:rPr>
                <w:rFonts w:hint="eastAsia" w:ascii="宋体" w:hAnsi="宋体" w:cs="宋体"/>
                <w:sz w:val="24"/>
              </w:rPr>
              <w:t>17</w:t>
            </w:r>
          </w:p>
        </w:tc>
        <w:tc>
          <w:tcPr>
            <w:tcW w:w="1785" w:type="dxa"/>
            <w:tcBorders>
              <w:top w:val="single" w:color="auto" w:sz="4" w:space="0"/>
              <w:left w:val="single" w:color="auto" w:sz="4" w:space="0"/>
              <w:bottom w:val="single" w:color="auto" w:sz="4" w:space="0"/>
              <w:right w:val="single" w:color="auto" w:sz="4" w:space="0"/>
            </w:tcBorders>
            <w:noWrap/>
            <w:vAlign w:val="center"/>
          </w:tcPr>
          <w:p>
            <w:pPr>
              <w:autoSpaceDE w:val="0"/>
              <w:autoSpaceDN w:val="0"/>
              <w:snapToGrid w:val="0"/>
              <w:spacing w:line="360" w:lineRule="auto"/>
              <w:jc w:val="left"/>
              <w:textAlignment w:val="bottom"/>
              <w:rPr>
                <w:rFonts w:ascii="宋体" w:hAnsi="宋体" w:cs="宋体"/>
                <w:sz w:val="24"/>
              </w:rPr>
            </w:pPr>
            <w:r>
              <w:rPr>
                <w:rFonts w:hint="eastAsia" w:ascii="宋体" w:hAnsi="宋体" w:cs="宋体"/>
                <w:sz w:val="24"/>
              </w:rPr>
              <w:t>投标文件有效期</w:t>
            </w:r>
          </w:p>
        </w:tc>
        <w:tc>
          <w:tcPr>
            <w:tcW w:w="6852" w:type="dxa"/>
            <w:tcBorders>
              <w:top w:val="single" w:color="auto" w:sz="4" w:space="0"/>
              <w:left w:val="single" w:color="auto" w:sz="4" w:space="0"/>
              <w:bottom w:val="single" w:color="auto" w:sz="4" w:space="0"/>
              <w:right w:val="single" w:color="auto" w:sz="4" w:space="0"/>
            </w:tcBorders>
            <w:noWrap/>
            <w:vAlign w:val="center"/>
          </w:tcPr>
          <w:p>
            <w:pPr>
              <w:autoSpaceDE w:val="0"/>
              <w:autoSpaceDN w:val="0"/>
              <w:snapToGrid w:val="0"/>
              <w:spacing w:line="360" w:lineRule="auto"/>
              <w:jc w:val="left"/>
              <w:textAlignment w:val="bottom"/>
              <w:rPr>
                <w:rFonts w:ascii="宋体" w:hAnsi="宋体" w:cs="宋体"/>
                <w:sz w:val="24"/>
              </w:rPr>
            </w:pPr>
            <w:r>
              <w:rPr>
                <w:rFonts w:hint="eastAsia" w:ascii="宋体" w:hAnsi="宋体" w:cs="宋体"/>
                <w:sz w:val="24"/>
              </w:rPr>
              <w:t>▲</w:t>
            </w:r>
            <w:r>
              <w:rPr>
                <w:rFonts w:hint="eastAsia" w:ascii="宋体" w:hAnsi="宋体" w:cs="宋体"/>
                <w:sz w:val="24"/>
                <w:u w:val="single"/>
              </w:rPr>
              <w:t>自投标之日起120天内投标应保持有效。投标有效期短于这个规定期限的投标将视为未满足招标文件实质性要求作无效标处理。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701"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center"/>
              <w:rPr>
                <w:rFonts w:ascii="宋体" w:hAnsi="宋体" w:cs="宋体"/>
                <w:sz w:val="24"/>
              </w:rPr>
            </w:pPr>
            <w:r>
              <w:rPr>
                <w:rFonts w:hint="eastAsia" w:ascii="宋体" w:hAnsi="宋体" w:cs="宋体"/>
                <w:sz w:val="24"/>
              </w:rPr>
              <w:t>18</w:t>
            </w:r>
          </w:p>
        </w:tc>
        <w:tc>
          <w:tcPr>
            <w:tcW w:w="1785" w:type="dxa"/>
            <w:tcBorders>
              <w:top w:val="single" w:color="auto" w:sz="4" w:space="0"/>
              <w:left w:val="single" w:color="auto" w:sz="4" w:space="0"/>
              <w:bottom w:val="single" w:color="auto" w:sz="4" w:space="0"/>
              <w:right w:val="single" w:color="auto" w:sz="4" w:space="0"/>
            </w:tcBorders>
            <w:noWrap/>
            <w:vAlign w:val="center"/>
          </w:tcPr>
          <w:p>
            <w:pPr>
              <w:autoSpaceDE w:val="0"/>
              <w:autoSpaceDN w:val="0"/>
              <w:snapToGrid w:val="0"/>
              <w:spacing w:line="360" w:lineRule="auto"/>
              <w:jc w:val="left"/>
              <w:textAlignment w:val="bottom"/>
              <w:rPr>
                <w:rFonts w:ascii="宋体" w:hAnsi="宋体" w:cs="宋体"/>
                <w:sz w:val="24"/>
              </w:rPr>
            </w:pPr>
            <w:r>
              <w:rPr>
                <w:rFonts w:hint="eastAsia" w:ascii="宋体" w:hAnsi="宋体" w:cs="宋体"/>
                <w:sz w:val="24"/>
              </w:rPr>
              <w:t>评审方法</w:t>
            </w:r>
          </w:p>
        </w:tc>
        <w:tc>
          <w:tcPr>
            <w:tcW w:w="6852" w:type="dxa"/>
            <w:tcBorders>
              <w:top w:val="single" w:color="auto" w:sz="4" w:space="0"/>
              <w:left w:val="single" w:color="auto" w:sz="4" w:space="0"/>
              <w:bottom w:val="single" w:color="auto" w:sz="4" w:space="0"/>
              <w:right w:val="single" w:color="auto" w:sz="4" w:space="0"/>
            </w:tcBorders>
            <w:noWrap/>
            <w:vAlign w:val="center"/>
          </w:tcPr>
          <w:p>
            <w:pPr>
              <w:autoSpaceDE w:val="0"/>
              <w:autoSpaceDN w:val="0"/>
              <w:snapToGrid w:val="0"/>
              <w:spacing w:line="360" w:lineRule="auto"/>
              <w:jc w:val="left"/>
              <w:textAlignment w:val="bottom"/>
              <w:rPr>
                <w:rFonts w:ascii="宋体" w:hAnsi="宋体" w:cs="宋体"/>
                <w:sz w:val="24"/>
              </w:rPr>
            </w:pPr>
            <w:r>
              <w:rPr>
                <w:rFonts w:hint="eastAsia" w:ascii="宋体" w:hAnsi="宋体" w:cs="宋体"/>
                <w:sz w:val="24"/>
              </w:rPr>
              <w:t>综合评分法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jc w:val="center"/>
        </w:trPr>
        <w:tc>
          <w:tcPr>
            <w:tcW w:w="701"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center"/>
              <w:rPr>
                <w:rFonts w:ascii="宋体" w:hAnsi="宋体" w:cs="宋体"/>
                <w:sz w:val="24"/>
              </w:rPr>
            </w:pPr>
            <w:r>
              <w:rPr>
                <w:rFonts w:hint="eastAsia" w:ascii="宋体" w:hAnsi="宋体" w:cs="宋体"/>
                <w:sz w:val="24"/>
              </w:rPr>
              <w:t>19</w:t>
            </w:r>
          </w:p>
        </w:tc>
        <w:tc>
          <w:tcPr>
            <w:tcW w:w="1785" w:type="dxa"/>
            <w:tcBorders>
              <w:top w:val="single" w:color="auto" w:sz="4" w:space="0"/>
              <w:left w:val="single" w:color="auto" w:sz="4" w:space="0"/>
              <w:bottom w:val="single" w:color="auto" w:sz="4" w:space="0"/>
              <w:right w:val="single" w:color="auto" w:sz="4" w:space="0"/>
            </w:tcBorders>
            <w:noWrap/>
            <w:vAlign w:val="center"/>
          </w:tcPr>
          <w:p>
            <w:pPr>
              <w:tabs>
                <w:tab w:val="left" w:pos="0"/>
              </w:tabs>
              <w:spacing w:line="360" w:lineRule="auto"/>
              <w:ind w:left="-61" w:leftChars="-29"/>
              <w:rPr>
                <w:rFonts w:ascii="宋体" w:hAnsi="宋体" w:cs="宋体"/>
                <w:sz w:val="24"/>
              </w:rPr>
            </w:pPr>
            <w:r>
              <w:rPr>
                <w:rFonts w:hint="eastAsia" w:ascii="宋体" w:hAnsi="宋体" w:cs="宋体"/>
                <w:sz w:val="24"/>
              </w:rPr>
              <w:t>投标文件形式</w:t>
            </w:r>
          </w:p>
        </w:tc>
        <w:tc>
          <w:tcPr>
            <w:tcW w:w="6852" w:type="dxa"/>
            <w:tcBorders>
              <w:top w:val="single" w:color="auto" w:sz="4" w:space="0"/>
              <w:left w:val="single" w:color="auto" w:sz="4" w:space="0"/>
              <w:bottom w:val="single" w:color="auto" w:sz="4" w:space="0"/>
              <w:right w:val="single" w:color="auto" w:sz="4" w:space="0"/>
            </w:tcBorders>
            <w:noWrap/>
            <w:vAlign w:val="center"/>
          </w:tcPr>
          <w:p>
            <w:pPr>
              <w:tabs>
                <w:tab w:val="left" w:pos="0"/>
              </w:tabs>
              <w:spacing w:line="360" w:lineRule="auto"/>
              <w:ind w:left="-61" w:leftChars="-29" w:right="105" w:rightChars="50"/>
              <w:rPr>
                <w:rFonts w:ascii="宋体" w:hAnsi="宋体" w:cs="宋体"/>
                <w:sz w:val="24"/>
              </w:rPr>
            </w:pPr>
            <w:r>
              <w:rPr>
                <w:rFonts w:hint="eastAsia" w:ascii="宋体" w:hAnsi="宋体" w:cs="宋体"/>
                <w:sz w:val="24"/>
              </w:rPr>
              <w:t>电子投标文件包括“电子加密投标文件”和“备份投标文件”，在投标文件编制完成后同时生成。</w:t>
            </w:r>
          </w:p>
          <w:p>
            <w:pPr>
              <w:tabs>
                <w:tab w:val="left" w:pos="0"/>
              </w:tabs>
              <w:spacing w:line="360" w:lineRule="auto"/>
              <w:ind w:left="-61" w:leftChars="-29" w:right="105" w:rightChars="50"/>
              <w:rPr>
                <w:rFonts w:ascii="宋体" w:hAnsi="宋体" w:cs="宋体"/>
                <w:sz w:val="24"/>
              </w:rPr>
            </w:pPr>
            <w:r>
              <w:rPr>
                <w:rFonts w:hint="eastAsia" w:ascii="宋体" w:hAnsi="宋体" w:cs="宋体"/>
                <w:sz w:val="24"/>
              </w:rPr>
              <w:t>“电子加密投标文件”是指通过“政采云电子交易客户端”完成投标文件编制后生成并加密的数据电文形式的投标文件。</w:t>
            </w:r>
          </w:p>
          <w:p>
            <w:pPr>
              <w:tabs>
                <w:tab w:val="left" w:pos="0"/>
              </w:tabs>
              <w:spacing w:line="360" w:lineRule="auto"/>
              <w:ind w:left="-61" w:leftChars="-29"/>
              <w:rPr>
                <w:rFonts w:ascii="宋体" w:hAnsi="宋体" w:cs="宋体"/>
                <w:sz w:val="24"/>
              </w:rPr>
            </w:pPr>
            <w:r>
              <w:rPr>
                <w:rFonts w:hint="eastAsia" w:ascii="宋体" w:hAnsi="宋体" w:cs="宋体"/>
                <w:sz w:val="24"/>
              </w:rPr>
              <w:t>“备份投标文件”是指与“电子加密投标文件”同时生成的数据电文形式的电子文件（备份投标文件，用于投标人的投标文件解密异常时应急之用），其他方式编制的备份投标文件视为无效备份投标文件。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jc w:val="center"/>
        </w:trPr>
        <w:tc>
          <w:tcPr>
            <w:tcW w:w="701"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center"/>
              <w:rPr>
                <w:rFonts w:ascii="宋体" w:hAnsi="宋体" w:cs="宋体"/>
                <w:sz w:val="24"/>
              </w:rPr>
            </w:pPr>
            <w:r>
              <w:rPr>
                <w:rFonts w:hint="eastAsia" w:ascii="宋体" w:hAnsi="宋体" w:cs="宋体"/>
                <w:sz w:val="24"/>
              </w:rPr>
              <w:t>20</w:t>
            </w:r>
          </w:p>
        </w:tc>
        <w:tc>
          <w:tcPr>
            <w:tcW w:w="1785" w:type="dxa"/>
            <w:tcBorders>
              <w:top w:val="single" w:color="auto" w:sz="4" w:space="0"/>
              <w:left w:val="single" w:color="auto" w:sz="4" w:space="0"/>
              <w:bottom w:val="single" w:color="auto" w:sz="4" w:space="0"/>
              <w:right w:val="single" w:color="auto" w:sz="4" w:space="0"/>
            </w:tcBorders>
            <w:noWrap/>
            <w:vAlign w:val="center"/>
          </w:tcPr>
          <w:p>
            <w:pPr>
              <w:autoSpaceDE w:val="0"/>
              <w:autoSpaceDN w:val="0"/>
              <w:snapToGrid w:val="0"/>
              <w:spacing w:line="360" w:lineRule="auto"/>
              <w:jc w:val="left"/>
              <w:textAlignment w:val="bottom"/>
              <w:rPr>
                <w:rFonts w:ascii="宋体" w:hAnsi="宋体" w:cs="宋体"/>
                <w:sz w:val="24"/>
              </w:rPr>
            </w:pPr>
            <w:r>
              <w:rPr>
                <w:rFonts w:hint="eastAsia" w:ascii="宋体" w:hAnsi="宋体" w:cs="宋体"/>
                <w:sz w:val="24"/>
              </w:rPr>
              <w:t>投标文件的接收</w:t>
            </w:r>
          </w:p>
        </w:tc>
        <w:tc>
          <w:tcPr>
            <w:tcW w:w="685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60" w:lineRule="auto"/>
              <w:rPr>
                <w:rFonts w:ascii="宋体" w:hAnsi="宋体" w:cs="宋体"/>
                <w:sz w:val="24"/>
              </w:rPr>
            </w:pPr>
            <w:r>
              <w:rPr>
                <w:rFonts w:hint="eastAsia" w:ascii="宋体" w:hAnsi="宋体" w:cs="宋体"/>
                <w:sz w:val="24"/>
              </w:rPr>
              <w:t>投标文件分为电子投标文件以及备份投标文件。</w:t>
            </w:r>
          </w:p>
          <w:p>
            <w:pPr>
              <w:tabs>
                <w:tab w:val="left" w:pos="0"/>
              </w:tabs>
              <w:spacing w:line="360" w:lineRule="auto"/>
              <w:ind w:left="-61" w:leftChars="-29"/>
              <w:rPr>
                <w:rFonts w:ascii="宋体" w:hAnsi="宋体" w:cs="宋体"/>
                <w:kern w:val="0"/>
                <w:sz w:val="24"/>
              </w:rPr>
            </w:pPr>
            <w:r>
              <w:rPr>
                <w:rFonts w:hint="eastAsia" w:ascii="宋体" w:hAnsi="宋体" w:cs="宋体"/>
                <w:sz w:val="24"/>
              </w:rPr>
              <w:t>1、</w:t>
            </w:r>
            <w:r>
              <w:rPr>
                <w:rFonts w:hint="eastAsia" w:ascii="宋体" w:hAnsi="宋体" w:cs="宋体"/>
                <w:kern w:val="0"/>
                <w:sz w:val="24"/>
              </w:rPr>
              <w:t>投标人应当在2023年</w:t>
            </w:r>
            <w:r>
              <w:rPr>
                <w:rFonts w:hint="eastAsia" w:ascii="宋体" w:hAnsi="宋体" w:cs="宋体"/>
                <w:kern w:val="0"/>
                <w:sz w:val="24"/>
                <w:lang w:val="en-US" w:eastAsia="zh-CN"/>
              </w:rPr>
              <w:t>2</w:t>
            </w:r>
            <w:r>
              <w:rPr>
                <w:rFonts w:hint="eastAsia" w:ascii="宋体" w:hAnsi="宋体" w:cs="宋体"/>
                <w:kern w:val="0"/>
                <w:sz w:val="24"/>
              </w:rPr>
              <w:t>月</w:t>
            </w:r>
            <w:r>
              <w:rPr>
                <w:rFonts w:hint="eastAsia" w:ascii="宋体" w:hAnsi="宋体" w:cs="宋体"/>
                <w:kern w:val="0"/>
                <w:sz w:val="24"/>
                <w:lang w:val="en-US" w:eastAsia="zh-CN"/>
              </w:rPr>
              <w:t>7</w:t>
            </w:r>
            <w:r>
              <w:rPr>
                <w:rFonts w:hint="eastAsia" w:ascii="宋体" w:hAnsi="宋体" w:cs="宋体"/>
                <w:kern w:val="0"/>
                <w:sz w:val="24"/>
              </w:rPr>
              <w:t>日9:30时整之前按照电子投标要求将电子加密投标文件上传到“政采云”平台，逾期或未上传成功的将导致无法投标或投标响应无效。</w:t>
            </w:r>
          </w:p>
          <w:p>
            <w:pPr>
              <w:pStyle w:val="12"/>
              <w:adjustRightInd w:val="0"/>
              <w:snapToGrid w:val="0"/>
              <w:spacing w:line="360" w:lineRule="auto"/>
              <w:rPr>
                <w:rFonts w:hAnsi="宋体" w:cs="宋体"/>
                <w:kern w:val="0"/>
                <w:sz w:val="24"/>
                <w:szCs w:val="24"/>
              </w:rPr>
            </w:pPr>
            <w:r>
              <w:rPr>
                <w:rFonts w:hint="eastAsia" w:hAnsi="宋体" w:cs="宋体"/>
                <w:sz w:val="24"/>
              </w:rPr>
              <w:t>2</w:t>
            </w:r>
            <w:r>
              <w:rPr>
                <w:rFonts w:hint="eastAsia" w:hAnsi="宋体" w:cs="宋体"/>
                <w:kern w:val="0"/>
                <w:sz w:val="24"/>
              </w:rPr>
              <w:t>、</w:t>
            </w:r>
            <w:r>
              <w:rPr>
                <w:rFonts w:hint="eastAsia" w:hAnsi="宋体" w:cs="宋体"/>
                <w:kern w:val="0"/>
                <w:sz w:val="24"/>
                <w:szCs w:val="24"/>
              </w:rPr>
              <w:t>投标人</w:t>
            </w:r>
            <w:r>
              <w:rPr>
                <w:rFonts w:hint="eastAsia" w:hAnsi="宋体" w:cs="宋体"/>
                <w:kern w:val="0"/>
                <w:sz w:val="24"/>
              </w:rPr>
              <w:t>应当</w:t>
            </w:r>
            <w:r>
              <w:rPr>
                <w:rFonts w:hint="eastAsia" w:hAnsi="宋体" w:cs="宋体"/>
                <w:kern w:val="0"/>
                <w:sz w:val="24"/>
                <w:szCs w:val="24"/>
              </w:rPr>
              <w:t>在2023年</w:t>
            </w:r>
            <w:r>
              <w:rPr>
                <w:rFonts w:hint="eastAsia" w:hAnsi="宋体" w:cs="宋体"/>
                <w:kern w:val="0"/>
                <w:sz w:val="24"/>
                <w:szCs w:val="24"/>
                <w:lang w:val="en-US" w:eastAsia="zh-CN"/>
              </w:rPr>
              <w:t>2</w:t>
            </w:r>
            <w:r>
              <w:rPr>
                <w:rFonts w:hint="eastAsia" w:hAnsi="宋体" w:cs="宋体"/>
                <w:kern w:val="0"/>
                <w:sz w:val="24"/>
                <w:szCs w:val="24"/>
              </w:rPr>
              <w:t>月</w:t>
            </w:r>
            <w:r>
              <w:rPr>
                <w:rFonts w:hint="eastAsia" w:hAnsi="宋体" w:cs="宋体"/>
                <w:kern w:val="0"/>
                <w:sz w:val="24"/>
                <w:szCs w:val="24"/>
                <w:lang w:val="en-US" w:eastAsia="zh-CN"/>
              </w:rPr>
              <w:t>7</w:t>
            </w:r>
            <w:r>
              <w:rPr>
                <w:rFonts w:hint="eastAsia" w:hAnsi="宋体" w:cs="宋体"/>
                <w:kern w:val="0"/>
                <w:sz w:val="24"/>
                <w:szCs w:val="24"/>
              </w:rPr>
              <w:t>日9:30时整之前将在政采云平台上最后生成的</w:t>
            </w:r>
            <w:r>
              <w:rPr>
                <w:rFonts w:hint="eastAsia" w:hAnsi="宋体" w:cs="宋体"/>
                <w:b/>
                <w:kern w:val="0"/>
                <w:sz w:val="24"/>
                <w:szCs w:val="24"/>
              </w:rPr>
              <w:t>具备电子签章</w:t>
            </w:r>
            <w:r>
              <w:rPr>
                <w:rFonts w:hint="eastAsia" w:hAnsi="宋体" w:cs="宋体"/>
                <w:kern w:val="0"/>
                <w:sz w:val="24"/>
                <w:szCs w:val="24"/>
              </w:rPr>
              <w:t>的备份加密投标文件（文件名备注后缀为“备份文件”四字的首字母）以电子邮件方式传送至浙江五石中正工程咨询有限公司邮箱（</w:t>
            </w:r>
            <w:r>
              <w:rPr>
                <w:rFonts w:hint="eastAsia" w:hAnsi="宋体" w:cs="宋体"/>
                <w:kern w:val="0"/>
                <w:sz w:val="24"/>
                <w:szCs w:val="24"/>
                <w:lang w:val="en-US" w:eastAsia="zh-CN"/>
              </w:rPr>
              <w:t>hzwszb</w:t>
            </w:r>
            <w:r>
              <w:rPr>
                <w:rFonts w:hint="eastAsia" w:hAnsi="宋体" w:cs="宋体"/>
                <w:kern w:val="0"/>
                <w:sz w:val="24"/>
                <w:szCs w:val="24"/>
              </w:rPr>
              <w:t>@163.com），传送的备份电子投标文件需打包压缩并加密，加密密码由投标人自行保管，如备份电子投标文件未加密，则投标人需自行承担投标文件提前泄密的风险。如政采云上电子投标文件出现解密失败情况（投标当日9:30-10:00期间进行解密），投标人可按照自身意愿确认是否同意提供加密密码解密传送至浙江五石中正工程咨询有限公司邮箱的备份文件，并以备份文件作为替代电子投标文件。如投标人未按照规定时间（2023年</w:t>
            </w:r>
            <w:r>
              <w:rPr>
                <w:rFonts w:hint="eastAsia" w:hAnsi="宋体" w:cs="宋体"/>
                <w:kern w:val="0"/>
                <w:sz w:val="24"/>
                <w:szCs w:val="24"/>
                <w:lang w:val="en-US" w:eastAsia="zh-CN"/>
              </w:rPr>
              <w:t>2</w:t>
            </w:r>
            <w:r>
              <w:rPr>
                <w:rFonts w:hint="eastAsia" w:hAnsi="宋体" w:cs="宋体"/>
                <w:kern w:val="0"/>
                <w:sz w:val="24"/>
                <w:szCs w:val="24"/>
              </w:rPr>
              <w:t>月</w:t>
            </w:r>
            <w:r>
              <w:rPr>
                <w:rFonts w:hint="eastAsia" w:hAnsi="宋体" w:cs="宋体"/>
                <w:kern w:val="0"/>
                <w:sz w:val="24"/>
                <w:szCs w:val="24"/>
                <w:lang w:val="en-US" w:eastAsia="zh-CN"/>
              </w:rPr>
              <w:t>7</w:t>
            </w:r>
            <w:r>
              <w:rPr>
                <w:rFonts w:hint="eastAsia" w:hAnsi="宋体" w:cs="宋体"/>
                <w:kern w:val="0"/>
                <w:sz w:val="24"/>
                <w:szCs w:val="24"/>
              </w:rPr>
              <w:t>日9:30时整之前）及要求提供有效备份文件并解密成功，同时政采云上投标文件解密失败的，将导致投标无效。</w:t>
            </w:r>
          </w:p>
          <w:p>
            <w:pPr>
              <w:pStyle w:val="12"/>
              <w:adjustRightInd w:val="0"/>
              <w:snapToGrid w:val="0"/>
              <w:spacing w:line="360" w:lineRule="auto"/>
              <w:rPr>
                <w:rFonts w:hAnsi="宋体" w:cs="宋体"/>
                <w:kern w:val="0"/>
                <w:sz w:val="24"/>
                <w:szCs w:val="24"/>
              </w:rPr>
            </w:pPr>
            <w:r>
              <w:rPr>
                <w:rFonts w:hint="eastAsia" w:hAnsi="宋体" w:cs="宋体"/>
                <w:kern w:val="0"/>
                <w:sz w:val="24"/>
                <w:szCs w:val="24"/>
              </w:rPr>
              <w:t>3、</w:t>
            </w:r>
            <w:r>
              <w:rPr>
                <w:rFonts w:hint="eastAsia" w:hAnsi="宋体" w:cs="宋体"/>
                <w:sz w:val="24"/>
              </w:rPr>
              <w:t>电子投标文件与备份投标文件必须同时生成且内容完全一致。</w:t>
            </w:r>
          </w:p>
          <w:p>
            <w:pPr>
              <w:adjustRightInd w:val="0"/>
              <w:snapToGrid w:val="0"/>
              <w:spacing w:line="360" w:lineRule="auto"/>
              <w:rPr>
                <w:rFonts w:ascii="宋体" w:hAnsi="宋体" w:cs="宋体"/>
                <w:sz w:val="24"/>
              </w:rPr>
            </w:pPr>
            <w:r>
              <w:rPr>
                <w:rFonts w:hint="eastAsia" w:ascii="宋体" w:hAnsi="宋体" w:cs="宋体"/>
                <w:sz w:val="24"/>
              </w:rPr>
              <w:t>4、投标文件的启用，按先后顺位分别为电子投标文件、以电子邮件形式的备份投标文件。在下一顺位的投标文件启用时，前一顺位的投标文件自动失效。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8" w:hRule="atLeast"/>
          <w:jc w:val="center"/>
        </w:trPr>
        <w:tc>
          <w:tcPr>
            <w:tcW w:w="701"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center"/>
              <w:rPr>
                <w:rFonts w:ascii="宋体" w:hAnsi="宋体" w:cs="宋体"/>
                <w:sz w:val="24"/>
              </w:rPr>
            </w:pPr>
            <w:r>
              <w:rPr>
                <w:rFonts w:hint="eastAsia" w:ascii="宋体" w:hAnsi="宋体" w:cs="宋体"/>
                <w:sz w:val="24"/>
              </w:rPr>
              <w:t>21</w:t>
            </w:r>
          </w:p>
        </w:tc>
        <w:tc>
          <w:tcPr>
            <w:tcW w:w="1785"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left"/>
              <w:rPr>
                <w:rFonts w:ascii="宋体" w:hAnsi="宋体" w:cs="宋体"/>
                <w:sz w:val="24"/>
              </w:rPr>
            </w:pPr>
            <w:r>
              <w:rPr>
                <w:rFonts w:hint="eastAsia" w:ascii="宋体" w:hAnsi="宋体" w:cs="宋体"/>
                <w:sz w:val="24"/>
              </w:rPr>
              <w:t>采购代理机构代理费用</w:t>
            </w:r>
          </w:p>
        </w:tc>
        <w:tc>
          <w:tcPr>
            <w:tcW w:w="6852"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left"/>
              <w:rPr>
                <w:rFonts w:ascii="宋体" w:hAnsi="宋体" w:cs="宋体"/>
                <w:sz w:val="24"/>
              </w:rPr>
            </w:pPr>
            <w:r>
              <w:rPr>
                <w:rFonts w:hint="eastAsia" w:ascii="宋体" w:hAnsi="宋体" w:cs="宋体"/>
                <w:sz w:val="24"/>
              </w:rPr>
              <w:t>由中标单位支付</w:t>
            </w:r>
            <w:r>
              <w:rPr>
                <w:rFonts w:hint="eastAsia" w:ascii="宋体" w:hAnsi="宋体" w:cs="宋体"/>
                <w:sz w:val="24"/>
                <w:lang w:eastAsia="zh-CN"/>
              </w:rPr>
              <w:t>，按国家发展计划委员会计价格[2002]1980号文件标准计取</w:t>
            </w: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8" w:hRule="atLeast"/>
          <w:jc w:val="center"/>
        </w:trPr>
        <w:tc>
          <w:tcPr>
            <w:tcW w:w="701"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center"/>
              <w:rPr>
                <w:rFonts w:ascii="宋体" w:hAnsi="宋体" w:cs="宋体"/>
                <w:sz w:val="24"/>
              </w:rPr>
            </w:pPr>
            <w:r>
              <w:rPr>
                <w:rFonts w:hint="eastAsia" w:ascii="宋体" w:hAnsi="宋体" w:cs="宋体"/>
                <w:sz w:val="24"/>
              </w:rPr>
              <w:t>22</w:t>
            </w:r>
          </w:p>
        </w:tc>
        <w:tc>
          <w:tcPr>
            <w:tcW w:w="1785"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left"/>
              <w:rPr>
                <w:rFonts w:ascii="宋体" w:hAnsi="宋体" w:cs="宋体"/>
                <w:sz w:val="24"/>
              </w:rPr>
            </w:pPr>
            <w:r>
              <w:rPr>
                <w:rFonts w:hint="eastAsia" w:ascii="宋体" w:hAnsi="宋体" w:cs="宋体"/>
                <w:sz w:val="24"/>
              </w:rPr>
              <w:t>签章</w:t>
            </w:r>
          </w:p>
        </w:tc>
        <w:tc>
          <w:tcPr>
            <w:tcW w:w="6852"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left"/>
              <w:rPr>
                <w:rFonts w:ascii="宋体" w:hAnsi="宋体" w:cs="宋体"/>
                <w:sz w:val="24"/>
              </w:rPr>
            </w:pPr>
            <w:r>
              <w:rPr>
                <w:rFonts w:hint="eastAsia" w:ascii="宋体" w:hAnsi="宋体" w:cs="宋体"/>
                <w:sz w:val="24"/>
              </w:rPr>
              <w:t>严格按照招标文件中的第八部分投标文件格式附件内容签章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8" w:hRule="atLeast"/>
          <w:jc w:val="center"/>
        </w:trPr>
        <w:tc>
          <w:tcPr>
            <w:tcW w:w="701"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center"/>
              <w:rPr>
                <w:rFonts w:ascii="宋体" w:hAnsi="宋体" w:cs="宋体"/>
                <w:sz w:val="24"/>
              </w:rPr>
            </w:pPr>
            <w:r>
              <w:rPr>
                <w:rFonts w:hint="eastAsia" w:ascii="宋体" w:hAnsi="宋体" w:cs="宋体"/>
                <w:sz w:val="24"/>
              </w:rPr>
              <w:t>23</w:t>
            </w:r>
          </w:p>
        </w:tc>
        <w:tc>
          <w:tcPr>
            <w:tcW w:w="1785"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left"/>
              <w:rPr>
                <w:rFonts w:ascii="宋体" w:hAnsi="宋体" w:cs="宋体"/>
                <w:sz w:val="24"/>
              </w:rPr>
            </w:pPr>
            <w:r>
              <w:rPr>
                <w:rFonts w:hint="eastAsia" w:ascii="宋体" w:hAnsi="宋体" w:cs="宋体"/>
                <w:sz w:val="24"/>
              </w:rPr>
              <w:t>政采贷</w:t>
            </w:r>
          </w:p>
        </w:tc>
        <w:tc>
          <w:tcPr>
            <w:tcW w:w="6852" w:type="dxa"/>
            <w:tcBorders>
              <w:top w:val="single" w:color="auto" w:sz="4" w:space="0"/>
              <w:left w:val="single" w:color="auto" w:sz="4" w:space="0"/>
              <w:bottom w:val="single" w:color="auto" w:sz="4" w:space="0"/>
              <w:right w:val="single" w:color="auto" w:sz="4" w:space="0"/>
            </w:tcBorders>
            <w:noWrap/>
            <w:vAlign w:val="center"/>
          </w:tcPr>
          <w:p>
            <w:pPr>
              <w:spacing w:line="360" w:lineRule="auto"/>
              <w:jc w:val="left"/>
              <w:outlineLvl w:val="0"/>
              <w:rPr>
                <w:rFonts w:ascii="宋体" w:hAnsi="宋体" w:cs="宋体"/>
                <w:sz w:val="24"/>
              </w:rPr>
            </w:pPr>
            <w:bookmarkStart w:id="4" w:name="_Toc17339"/>
            <w:r>
              <w:rPr>
                <w:rFonts w:hint="eastAsia" w:ascii="宋体" w:hAnsi="宋体" w:cs="宋体"/>
                <w:sz w:val="24"/>
              </w:rPr>
              <w:t>温州政府采购项目现已开通支持中小企业信用融资合作银行活动，如有需要请点击：https://ggzy.wzzbtb.com/wzcms/ggtz/50415.htm</w:t>
            </w:r>
            <w:bookmarkEnd w:id="4"/>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7" w:hRule="atLeast"/>
          <w:jc w:val="center"/>
        </w:trPr>
        <w:tc>
          <w:tcPr>
            <w:tcW w:w="701"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center"/>
              <w:rPr>
                <w:rFonts w:ascii="宋体" w:hAnsi="宋体" w:cs="宋体"/>
                <w:sz w:val="24"/>
              </w:rPr>
            </w:pPr>
            <w:r>
              <w:rPr>
                <w:rFonts w:hint="eastAsia" w:ascii="宋体" w:hAnsi="宋体" w:cs="宋体"/>
                <w:sz w:val="24"/>
              </w:rPr>
              <w:t>24</w:t>
            </w:r>
          </w:p>
        </w:tc>
        <w:tc>
          <w:tcPr>
            <w:tcW w:w="1785"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left"/>
              <w:rPr>
                <w:rFonts w:ascii="宋体" w:hAnsi="宋体" w:cs="宋体"/>
                <w:sz w:val="24"/>
              </w:rPr>
            </w:pPr>
            <w:r>
              <w:rPr>
                <w:rFonts w:hint="eastAsia" w:ascii="宋体" w:hAnsi="宋体" w:cs="宋体"/>
                <w:sz w:val="24"/>
              </w:rPr>
              <w:t>解释权</w:t>
            </w:r>
          </w:p>
        </w:tc>
        <w:tc>
          <w:tcPr>
            <w:tcW w:w="6852" w:type="dxa"/>
            <w:tcBorders>
              <w:top w:val="single" w:color="auto" w:sz="4" w:space="0"/>
              <w:left w:val="single" w:color="auto" w:sz="4" w:space="0"/>
              <w:bottom w:val="single" w:color="auto" w:sz="4" w:space="0"/>
              <w:right w:val="single" w:color="auto" w:sz="4" w:space="0"/>
            </w:tcBorders>
            <w:noWrap/>
            <w:vAlign w:val="center"/>
          </w:tcPr>
          <w:p>
            <w:pPr>
              <w:spacing w:line="360" w:lineRule="auto"/>
              <w:jc w:val="left"/>
              <w:rPr>
                <w:rFonts w:ascii="宋体" w:hAnsi="宋体" w:cs="宋体"/>
                <w:sz w:val="24"/>
              </w:rPr>
            </w:pPr>
            <w:r>
              <w:rPr>
                <w:rFonts w:hint="eastAsia" w:ascii="宋体" w:hAnsi="宋体" w:cs="宋体"/>
                <w:sz w:val="24"/>
              </w:rPr>
              <w:t>本招标文件的解释权属于温州市公安局交通管理局</w:t>
            </w:r>
          </w:p>
        </w:tc>
      </w:tr>
    </w:tbl>
    <w:p>
      <w:pPr>
        <w:spacing w:line="360" w:lineRule="auto"/>
        <w:jc w:val="center"/>
        <w:outlineLvl w:val="0"/>
        <w:rPr>
          <w:rFonts w:ascii="宋体" w:hAnsi="宋体" w:cs="宋体"/>
          <w:b/>
          <w:bCs/>
          <w:sz w:val="36"/>
          <w:szCs w:val="36"/>
        </w:rPr>
      </w:pPr>
      <w:r>
        <w:rPr>
          <w:rFonts w:hint="eastAsia" w:ascii="宋体" w:hAnsi="宋体" w:cs="宋体"/>
          <w:b/>
          <w:bCs/>
          <w:sz w:val="36"/>
          <w:szCs w:val="36"/>
        </w:rPr>
        <w:br w:type="page"/>
      </w:r>
      <w:bookmarkStart w:id="5" w:name="_Toc6445"/>
      <w:r>
        <w:rPr>
          <w:rFonts w:hint="eastAsia" w:ascii="宋体" w:hAnsi="宋体" w:cs="宋体"/>
          <w:b/>
          <w:bCs/>
          <w:sz w:val="36"/>
          <w:szCs w:val="36"/>
        </w:rPr>
        <w:t>第三部分投标人须知</w:t>
      </w:r>
      <w:bookmarkEnd w:id="5"/>
    </w:p>
    <w:p>
      <w:pPr>
        <w:widowControl/>
        <w:spacing w:line="360" w:lineRule="auto"/>
        <w:jc w:val="left"/>
        <w:rPr>
          <w:rFonts w:ascii="宋体" w:hAnsi="宋体" w:cs="宋体"/>
        </w:rPr>
      </w:pPr>
    </w:p>
    <w:p>
      <w:pPr>
        <w:spacing w:line="360" w:lineRule="auto"/>
        <w:jc w:val="center"/>
        <w:rPr>
          <w:rFonts w:ascii="宋体" w:hAnsi="宋体" w:cs="宋体"/>
          <w:b/>
          <w:bCs/>
          <w:sz w:val="36"/>
          <w:szCs w:val="36"/>
        </w:rPr>
      </w:pPr>
      <w:r>
        <w:rPr>
          <w:rFonts w:hint="eastAsia" w:ascii="宋体" w:hAnsi="宋体" w:cs="宋体"/>
          <w:b/>
          <w:bCs/>
          <w:sz w:val="36"/>
          <w:szCs w:val="36"/>
        </w:rPr>
        <w:t>一总则</w:t>
      </w:r>
    </w:p>
    <w:p>
      <w:pPr>
        <w:widowControl/>
        <w:spacing w:line="360" w:lineRule="auto"/>
        <w:jc w:val="left"/>
        <w:rPr>
          <w:rFonts w:ascii="宋体" w:hAnsi="宋体" w:cs="宋体"/>
        </w:rPr>
      </w:pPr>
    </w:p>
    <w:p>
      <w:pPr>
        <w:tabs>
          <w:tab w:val="left" w:pos="360"/>
        </w:tabs>
        <w:spacing w:line="360" w:lineRule="auto"/>
        <w:ind w:firstLine="480" w:firstLineChars="200"/>
        <w:rPr>
          <w:rFonts w:ascii="宋体" w:hAnsi="宋体" w:cs="宋体"/>
          <w:sz w:val="24"/>
        </w:rPr>
      </w:pPr>
      <w:r>
        <w:rPr>
          <w:rFonts w:hint="eastAsia" w:ascii="宋体" w:hAnsi="宋体" w:cs="宋体"/>
          <w:sz w:val="24"/>
        </w:rPr>
        <w:t>本次招标是按照《中华人民共和国政府采购法》、《中华人民共和国政府采购法实施条例》、《政府采购货物和服务招标投标管理办法》（财政部公布第87号令）等法律及有关法规组织和实施的。</w:t>
      </w:r>
    </w:p>
    <w:p>
      <w:pPr>
        <w:snapToGrid w:val="0"/>
        <w:spacing w:line="360" w:lineRule="auto"/>
        <w:ind w:firstLine="357" w:firstLineChars="148"/>
        <w:jc w:val="left"/>
        <w:rPr>
          <w:rFonts w:ascii="宋体" w:hAnsi="宋体" w:cs="宋体"/>
          <w:b/>
          <w:sz w:val="24"/>
        </w:rPr>
      </w:pPr>
      <w:r>
        <w:rPr>
          <w:rFonts w:hint="eastAsia" w:ascii="宋体" w:hAnsi="宋体" w:cs="宋体"/>
          <w:b/>
          <w:sz w:val="24"/>
        </w:rPr>
        <w:t>（一）适用范围</w:t>
      </w:r>
    </w:p>
    <w:p>
      <w:pPr>
        <w:snapToGrid w:val="0"/>
        <w:spacing w:line="360" w:lineRule="auto"/>
        <w:ind w:firstLine="480" w:firstLineChars="200"/>
        <w:rPr>
          <w:rFonts w:ascii="宋体" w:hAnsi="宋体" w:cs="宋体"/>
          <w:sz w:val="24"/>
        </w:rPr>
      </w:pPr>
      <w:r>
        <w:rPr>
          <w:rFonts w:hint="eastAsia" w:ascii="宋体" w:hAnsi="宋体" w:cs="宋体"/>
          <w:sz w:val="24"/>
        </w:rPr>
        <w:t>仅适用于本次招标文件中采购项目的招标、投标、评审、定标、验收、合同履约、付款等行为（法律、法规另有规定的，从其规定）。</w:t>
      </w:r>
    </w:p>
    <w:p>
      <w:pPr>
        <w:snapToGrid w:val="0"/>
        <w:spacing w:beforeLines="50" w:line="360" w:lineRule="auto"/>
        <w:ind w:firstLine="354" w:firstLineChars="147"/>
        <w:jc w:val="left"/>
        <w:rPr>
          <w:rFonts w:ascii="宋体" w:hAnsi="宋体" w:cs="宋体"/>
          <w:b/>
          <w:sz w:val="24"/>
        </w:rPr>
      </w:pPr>
      <w:r>
        <w:rPr>
          <w:rFonts w:hint="eastAsia" w:ascii="宋体" w:hAnsi="宋体" w:cs="宋体"/>
          <w:b/>
          <w:sz w:val="24"/>
        </w:rPr>
        <w:t>（二）定义</w:t>
      </w:r>
    </w:p>
    <w:p>
      <w:pPr>
        <w:snapToGrid w:val="0"/>
        <w:spacing w:line="360" w:lineRule="auto"/>
        <w:ind w:firstLine="480" w:firstLineChars="200"/>
        <w:rPr>
          <w:rFonts w:ascii="宋体" w:hAnsi="宋体" w:cs="宋体"/>
          <w:sz w:val="24"/>
        </w:rPr>
      </w:pPr>
      <w:r>
        <w:rPr>
          <w:rFonts w:hint="eastAsia" w:ascii="宋体" w:hAnsi="宋体" w:cs="宋体"/>
          <w:sz w:val="24"/>
        </w:rPr>
        <w:t>1、“采购代理机构”系指组织本项目采购的浙江五石中正工程咨询有限公司。</w:t>
      </w:r>
    </w:p>
    <w:p>
      <w:pPr>
        <w:snapToGrid w:val="0"/>
        <w:spacing w:line="360" w:lineRule="auto"/>
        <w:ind w:firstLine="480" w:firstLineChars="200"/>
        <w:rPr>
          <w:rFonts w:ascii="宋体" w:hAnsi="宋体" w:cs="宋体"/>
          <w:sz w:val="24"/>
        </w:rPr>
      </w:pPr>
      <w:r>
        <w:rPr>
          <w:rFonts w:hint="eastAsia" w:ascii="宋体" w:hAnsi="宋体" w:cs="宋体"/>
          <w:sz w:val="24"/>
        </w:rPr>
        <w:t>2、“投标人”系指向采购代理机构提交投标文件的单位或个人。</w:t>
      </w:r>
    </w:p>
    <w:p>
      <w:pPr>
        <w:snapToGrid w:val="0"/>
        <w:spacing w:line="360" w:lineRule="auto"/>
        <w:ind w:firstLine="480" w:firstLineChars="200"/>
        <w:rPr>
          <w:rFonts w:ascii="宋体" w:hAnsi="宋体" w:cs="宋体"/>
          <w:sz w:val="24"/>
        </w:rPr>
      </w:pPr>
      <w:r>
        <w:rPr>
          <w:rFonts w:hint="eastAsia" w:ascii="宋体" w:hAnsi="宋体" w:cs="宋体"/>
          <w:sz w:val="24"/>
        </w:rPr>
        <w:t>3、“采购人”系指委托采购代理机构采购本次货物、服务项目的国家机关、事业单位和团体组织。</w:t>
      </w:r>
    </w:p>
    <w:p>
      <w:pPr>
        <w:snapToGrid w:val="0"/>
        <w:spacing w:line="360" w:lineRule="auto"/>
        <w:ind w:firstLine="480" w:firstLineChars="200"/>
        <w:rPr>
          <w:rFonts w:ascii="宋体" w:hAnsi="宋体" w:cs="宋体"/>
          <w:sz w:val="24"/>
        </w:rPr>
      </w:pPr>
      <w:r>
        <w:rPr>
          <w:rFonts w:hint="eastAsia" w:ascii="宋体" w:hAnsi="宋体" w:cs="宋体"/>
          <w:sz w:val="24"/>
        </w:rPr>
        <w:t>4、“货物”系指招标文件规定投标人须向采购人提供的一切材料、设备、机械、仪器仪表、工具及其它有关技术资料和文字材料。</w:t>
      </w:r>
    </w:p>
    <w:p>
      <w:pPr>
        <w:snapToGrid w:val="0"/>
        <w:spacing w:line="360" w:lineRule="auto"/>
        <w:ind w:firstLine="480" w:firstLineChars="200"/>
        <w:rPr>
          <w:rFonts w:ascii="宋体" w:hAnsi="宋体" w:cs="宋体"/>
          <w:sz w:val="24"/>
        </w:rPr>
      </w:pPr>
      <w:r>
        <w:rPr>
          <w:rFonts w:hint="eastAsia" w:ascii="宋体" w:hAnsi="宋体" w:cs="宋体"/>
          <w:sz w:val="24"/>
        </w:rPr>
        <w:t>5、“服务”系指招标文件规定投标人须承担的劳务以及其他类似的义务。</w:t>
      </w:r>
    </w:p>
    <w:p>
      <w:pPr>
        <w:snapToGrid w:val="0"/>
        <w:spacing w:line="360" w:lineRule="auto"/>
        <w:ind w:firstLine="480" w:firstLineChars="200"/>
        <w:rPr>
          <w:rFonts w:ascii="宋体" w:hAnsi="宋体" w:cs="宋体"/>
          <w:sz w:val="24"/>
        </w:rPr>
      </w:pPr>
      <w:r>
        <w:rPr>
          <w:rFonts w:hint="eastAsia" w:ascii="宋体" w:hAnsi="宋体" w:cs="宋体"/>
          <w:sz w:val="24"/>
        </w:rPr>
        <w:t>6、“项目”系指投标人按招标文件规定向采购人提供的需求总称。</w:t>
      </w:r>
    </w:p>
    <w:p>
      <w:pPr>
        <w:snapToGrid w:val="0"/>
        <w:spacing w:beforeLines="50" w:line="360" w:lineRule="auto"/>
        <w:ind w:firstLine="472" w:firstLineChars="196"/>
        <w:jc w:val="left"/>
        <w:rPr>
          <w:rFonts w:ascii="宋体" w:hAnsi="宋体" w:cs="宋体"/>
          <w:b/>
          <w:sz w:val="24"/>
        </w:rPr>
      </w:pPr>
      <w:r>
        <w:rPr>
          <w:rFonts w:hint="eastAsia" w:ascii="宋体" w:hAnsi="宋体" w:cs="宋体"/>
          <w:b/>
          <w:sz w:val="24"/>
        </w:rPr>
        <w:t>（三）投标人及委托有关说明</w:t>
      </w:r>
    </w:p>
    <w:p>
      <w:pPr>
        <w:snapToGrid w:val="0"/>
        <w:spacing w:beforeLines="50" w:line="360" w:lineRule="auto"/>
        <w:ind w:firstLine="470" w:firstLineChars="196"/>
        <w:jc w:val="left"/>
        <w:rPr>
          <w:rFonts w:ascii="宋体" w:hAnsi="宋体" w:cs="宋体"/>
          <w:b/>
          <w:sz w:val="24"/>
        </w:rPr>
      </w:pPr>
      <w:r>
        <w:rPr>
          <w:rFonts w:hint="eastAsia" w:ascii="宋体" w:hAnsi="宋体" w:cs="宋体"/>
          <w:sz w:val="24"/>
        </w:rPr>
        <w:t>1、投标人代表指全权代表投标人参加投标活动并签署投标文件的人。如果投标人代表不是法定代表人，须有《法定代表人授权书》见第八部分。</w:t>
      </w:r>
    </w:p>
    <w:p>
      <w:pPr>
        <w:pStyle w:val="12"/>
        <w:snapToGrid w:val="0"/>
        <w:spacing w:before="120" w:after="120" w:line="360" w:lineRule="auto"/>
        <w:ind w:left="2" w:leftChars="1" w:firstLine="480" w:firstLineChars="200"/>
        <w:rPr>
          <w:rFonts w:hAnsi="宋体" w:cs="宋体"/>
          <w:sz w:val="24"/>
          <w:szCs w:val="24"/>
        </w:rPr>
      </w:pPr>
      <w:r>
        <w:rPr>
          <w:rFonts w:hint="eastAsia" w:hAnsi="宋体" w:cs="宋体"/>
          <w:sz w:val="24"/>
          <w:szCs w:val="24"/>
        </w:rPr>
        <w:t>2、投标人投标所使用的资格、信誉、荣誉、业绩与企业认证必须为本法人所拥有。投标人投标所使用的采购项目实施人员必须为投标人员工（或投标人控股公司正式员工）。</w:t>
      </w:r>
    </w:p>
    <w:p>
      <w:pPr>
        <w:pStyle w:val="12"/>
        <w:snapToGrid w:val="0"/>
        <w:spacing w:before="120" w:after="120" w:line="360" w:lineRule="auto"/>
        <w:ind w:left="2" w:leftChars="1" w:firstLine="480" w:firstLineChars="200"/>
        <w:rPr>
          <w:rFonts w:hAnsi="宋体" w:cs="宋体"/>
          <w:sz w:val="24"/>
          <w:szCs w:val="24"/>
        </w:rPr>
      </w:pPr>
      <w:r>
        <w:rPr>
          <w:rFonts w:hint="eastAsia" w:hAnsi="宋体" w:cs="宋体"/>
          <w:sz w:val="24"/>
          <w:szCs w:val="24"/>
        </w:rPr>
        <w:t>3、</w:t>
      </w:r>
      <w:r>
        <w:rPr>
          <w:rFonts w:hint="eastAsia" w:hAnsi="宋体" w:cs="宋体"/>
          <w:b/>
          <w:bCs/>
          <w:sz w:val="24"/>
          <w:szCs w:val="24"/>
        </w:rPr>
        <w:t>若本项目接受联合体投标的</w:t>
      </w:r>
      <w:r>
        <w:rPr>
          <w:rFonts w:hint="eastAsia" w:hAnsi="宋体" w:cs="宋体"/>
          <w:sz w:val="24"/>
          <w:szCs w:val="24"/>
        </w:rPr>
        <w:t>,应遵守以下规定:</w:t>
      </w:r>
    </w:p>
    <w:p>
      <w:pPr>
        <w:pStyle w:val="12"/>
        <w:snapToGrid w:val="0"/>
        <w:spacing w:before="120" w:after="120" w:line="360" w:lineRule="auto"/>
        <w:ind w:left="2" w:leftChars="1" w:firstLine="480" w:firstLineChars="200"/>
        <w:rPr>
          <w:rFonts w:hAnsi="宋体" w:cs="宋体"/>
          <w:sz w:val="24"/>
          <w:szCs w:val="24"/>
        </w:rPr>
      </w:pPr>
      <w:r>
        <w:rPr>
          <w:rFonts w:hint="eastAsia" w:hAnsi="宋体" w:cs="宋体"/>
          <w:sz w:val="24"/>
          <w:szCs w:val="24"/>
        </w:rPr>
        <w:t>3.1、两个以上供应商可以组成一个联合体,以一个供应商的身份共同参加投标;</w:t>
      </w:r>
    </w:p>
    <w:p>
      <w:pPr>
        <w:pStyle w:val="12"/>
        <w:snapToGrid w:val="0"/>
        <w:spacing w:before="120" w:after="120" w:line="360" w:lineRule="auto"/>
        <w:ind w:left="2" w:leftChars="1" w:firstLine="480" w:firstLineChars="200"/>
        <w:rPr>
          <w:rFonts w:hAnsi="宋体" w:cs="宋体"/>
          <w:sz w:val="24"/>
          <w:szCs w:val="24"/>
        </w:rPr>
      </w:pPr>
      <w:r>
        <w:rPr>
          <w:rFonts w:hint="eastAsia" w:hAnsi="宋体" w:cs="宋体"/>
          <w:sz w:val="24"/>
          <w:szCs w:val="24"/>
        </w:rPr>
        <w:t>3.2、以联合体形式参加本项目投标的,联合体的各成员均应当具备《中华人民共和国政府采购法》第二十二条第一款规定的条件同时未被“信用中国”网站www.(www.creditchina.gov.cn).gov.cn)列入失信被执行人重大税收违法案件当事人名单;未被“中国政府采购网”(www.ccgp.gov.cn)列入政府采购严重违法失信行为记录名单,联合体各方中至少应当有一方符合招标人规定的特定条件。如由同一专业的供应商组成联合体的,评审时以资质最低的一方为依据;</w:t>
      </w:r>
    </w:p>
    <w:p>
      <w:pPr>
        <w:pStyle w:val="12"/>
        <w:snapToGrid w:val="0"/>
        <w:spacing w:before="120" w:after="120" w:line="360" w:lineRule="auto"/>
        <w:ind w:left="2" w:leftChars="1" w:firstLine="480" w:firstLineChars="200"/>
        <w:rPr>
          <w:rFonts w:hAnsi="宋体" w:cs="宋体"/>
          <w:sz w:val="24"/>
          <w:szCs w:val="24"/>
        </w:rPr>
      </w:pPr>
      <w:r>
        <w:rPr>
          <w:rFonts w:hint="eastAsia" w:hAnsi="宋体" w:cs="宋体"/>
          <w:sz w:val="24"/>
          <w:szCs w:val="24"/>
        </w:rPr>
        <w:t>3.3、联合体各方之间须签订投标联合协议(成员中有小微企业或监狱企业的须附相应声明函),明确约定联合体各方承担的工作和相应的责任以及各方的协议合同金额比例，在投标联合协议中指定本项目主办人,并将投标联合协议作为投标文件组成的一部分;本项目的主体、关键性工作须由主办人完成,并在投标联合协议中进行说明;</w:t>
      </w:r>
    </w:p>
    <w:p>
      <w:pPr>
        <w:pStyle w:val="12"/>
        <w:snapToGrid w:val="0"/>
        <w:spacing w:before="120" w:after="120" w:line="360" w:lineRule="auto"/>
        <w:ind w:left="2" w:leftChars="1" w:firstLine="480" w:firstLineChars="200"/>
        <w:rPr>
          <w:rFonts w:hAnsi="宋体" w:cs="宋体"/>
          <w:sz w:val="24"/>
          <w:szCs w:val="24"/>
        </w:rPr>
      </w:pPr>
      <w:r>
        <w:rPr>
          <w:rFonts w:hint="eastAsia" w:hAnsi="宋体" w:cs="宋体"/>
          <w:sz w:val="24"/>
          <w:szCs w:val="24"/>
        </w:rPr>
        <w:t>3.4、联合体各方签订投标联合协议后,不得再以自己名义单独在本项目中参加投标,也不得组成新的联合体参加本项目投标;</w:t>
      </w:r>
    </w:p>
    <w:p>
      <w:pPr>
        <w:pStyle w:val="12"/>
        <w:snapToGrid w:val="0"/>
        <w:spacing w:before="120" w:after="120" w:line="360" w:lineRule="auto"/>
        <w:ind w:left="2" w:leftChars="1" w:firstLine="480" w:firstLineChars="200"/>
        <w:rPr>
          <w:rFonts w:hAnsi="宋体" w:cs="宋体"/>
          <w:sz w:val="24"/>
          <w:szCs w:val="24"/>
        </w:rPr>
      </w:pPr>
      <w:r>
        <w:rPr>
          <w:rFonts w:hint="eastAsia" w:hAnsi="宋体" w:cs="宋体"/>
          <w:sz w:val="24"/>
          <w:szCs w:val="24"/>
        </w:rPr>
        <w:t>3.5、联合体各方共同与招标人签订采购合同,就采购合同约定的事项对招标人承担连带责任;</w:t>
      </w:r>
    </w:p>
    <w:p>
      <w:pPr>
        <w:pStyle w:val="12"/>
        <w:snapToGrid w:val="0"/>
        <w:spacing w:before="120" w:after="120" w:line="360" w:lineRule="auto"/>
        <w:ind w:left="2" w:leftChars="1" w:firstLine="480" w:firstLineChars="200"/>
        <w:rPr>
          <w:rFonts w:hAnsi="宋体" w:cs="宋体"/>
          <w:sz w:val="24"/>
          <w:szCs w:val="24"/>
        </w:rPr>
      </w:pPr>
      <w:r>
        <w:rPr>
          <w:rFonts w:hint="eastAsia" w:hAnsi="宋体" w:cs="宋体"/>
          <w:sz w:val="24"/>
          <w:szCs w:val="24"/>
        </w:rPr>
        <w:t>3.6、投标文件须由主办人盖章及其全权代表签署;</w:t>
      </w:r>
    </w:p>
    <w:p>
      <w:pPr>
        <w:pStyle w:val="12"/>
        <w:snapToGrid w:val="0"/>
        <w:spacing w:before="120" w:after="120" w:line="360" w:lineRule="auto"/>
        <w:ind w:left="2" w:leftChars="1" w:firstLine="480" w:firstLineChars="200"/>
        <w:rPr>
          <w:rFonts w:hAnsi="宋体" w:cs="宋体"/>
          <w:sz w:val="24"/>
          <w:szCs w:val="24"/>
        </w:rPr>
      </w:pPr>
      <w:r>
        <w:rPr>
          <w:rFonts w:hint="eastAsia" w:hAnsi="宋体" w:cs="宋体"/>
          <w:sz w:val="24"/>
          <w:szCs w:val="24"/>
        </w:rPr>
        <w:t>4、对供应商的限制</w:t>
      </w:r>
    </w:p>
    <w:p>
      <w:pPr>
        <w:pStyle w:val="12"/>
        <w:snapToGrid w:val="0"/>
        <w:spacing w:before="120" w:after="120" w:line="360" w:lineRule="auto"/>
        <w:ind w:left="2" w:leftChars="1" w:firstLine="480" w:firstLineChars="200"/>
        <w:rPr>
          <w:rFonts w:hAnsi="宋体" w:cs="宋体"/>
          <w:sz w:val="24"/>
          <w:szCs w:val="24"/>
        </w:rPr>
      </w:pPr>
      <w:r>
        <w:rPr>
          <w:rFonts w:hint="eastAsia" w:hAnsi="宋体" w:cs="宋体"/>
          <w:sz w:val="24"/>
          <w:szCs w:val="24"/>
        </w:rPr>
        <w:t>4.1、单位负责人(指法定代表人或者法律、行政法规规定代表单位行使职权的主要负责人）为同一人或者存在直接控股、管理关系的不同投标人不得分别参加同一合同项下的采购活动。违反本条规定的，相关投标均无效；</w:t>
      </w:r>
    </w:p>
    <w:p>
      <w:pPr>
        <w:pStyle w:val="12"/>
        <w:snapToGrid w:val="0"/>
        <w:spacing w:before="120" w:after="120" w:line="360" w:lineRule="auto"/>
        <w:ind w:left="2" w:leftChars="1" w:firstLine="480" w:firstLineChars="200"/>
        <w:rPr>
          <w:rFonts w:hAnsi="宋体" w:cs="宋体"/>
          <w:sz w:val="24"/>
          <w:szCs w:val="24"/>
        </w:rPr>
      </w:pPr>
      <w:r>
        <w:rPr>
          <w:rFonts w:hint="eastAsia" w:hAnsi="宋体" w:cs="宋体"/>
          <w:sz w:val="24"/>
          <w:szCs w:val="24"/>
        </w:rPr>
        <w:t>4.2、为本项目提供过整体设计、规范编制或者项目管理、监理、检测等服务的供应商,不得再参加该采购项目的其他采购活动(不包括为该项目提供整体设计、规范编制或者项目管理、监理、检测等服务):</w:t>
      </w:r>
    </w:p>
    <w:p>
      <w:pPr>
        <w:pStyle w:val="12"/>
        <w:snapToGrid w:val="0"/>
        <w:spacing w:before="120" w:after="120" w:line="360" w:lineRule="auto"/>
        <w:ind w:left="2" w:leftChars="1" w:firstLine="480" w:firstLineChars="200"/>
        <w:rPr>
          <w:rFonts w:hAnsi="宋体" w:cs="宋体"/>
          <w:sz w:val="24"/>
          <w:szCs w:val="24"/>
        </w:rPr>
      </w:pPr>
      <w:r>
        <w:rPr>
          <w:rFonts w:hint="eastAsia" w:hAnsi="宋体" w:cs="宋体"/>
          <w:sz w:val="24"/>
          <w:szCs w:val="24"/>
        </w:rPr>
        <w:t>4.3、为证明投标人拥有的业绩、荣誉、知识产权、项目案例等而在投标文件中提供的证明材料必须为投标人自身所有。不同法人、其他组织的资料与投标人无关</w:t>
      </w:r>
    </w:p>
    <w:p>
      <w:pPr>
        <w:pStyle w:val="12"/>
        <w:snapToGrid w:val="0"/>
        <w:spacing w:before="120" w:after="120" w:line="360" w:lineRule="auto"/>
        <w:ind w:left="2" w:leftChars="1" w:firstLine="480" w:firstLineChars="200"/>
        <w:rPr>
          <w:rFonts w:hAnsi="宋体" w:cs="宋体"/>
          <w:sz w:val="24"/>
          <w:szCs w:val="24"/>
        </w:rPr>
      </w:pPr>
      <w:r>
        <w:rPr>
          <w:rFonts w:hint="eastAsia" w:hAnsi="宋体" w:cs="宋体"/>
          <w:sz w:val="24"/>
          <w:szCs w:val="24"/>
        </w:rPr>
        <w:t>4.4、供应商之间的利害关系:</w:t>
      </w:r>
    </w:p>
    <w:p>
      <w:pPr>
        <w:pStyle w:val="12"/>
        <w:snapToGrid w:val="0"/>
        <w:spacing w:before="120" w:after="120" w:line="360" w:lineRule="auto"/>
        <w:ind w:left="2" w:leftChars="1" w:firstLine="480" w:firstLineChars="200"/>
        <w:rPr>
          <w:rFonts w:hAnsi="宋体" w:cs="宋体"/>
          <w:sz w:val="24"/>
          <w:szCs w:val="24"/>
        </w:rPr>
      </w:pPr>
      <w:r>
        <w:rPr>
          <w:rFonts w:hint="eastAsia" w:hAnsi="宋体" w:cs="宋体"/>
          <w:sz w:val="24"/>
          <w:szCs w:val="24"/>
        </w:rPr>
        <w:t>(1)法定代表人或负责人或实际控制人是夫妻关系;</w:t>
      </w:r>
    </w:p>
    <w:p>
      <w:pPr>
        <w:pStyle w:val="12"/>
        <w:snapToGrid w:val="0"/>
        <w:spacing w:before="120" w:after="120" w:line="360" w:lineRule="auto"/>
        <w:ind w:left="2" w:leftChars="1" w:firstLine="480" w:firstLineChars="200"/>
        <w:rPr>
          <w:rFonts w:hAnsi="宋体" w:cs="宋体"/>
          <w:sz w:val="24"/>
          <w:szCs w:val="24"/>
        </w:rPr>
      </w:pPr>
      <w:r>
        <w:rPr>
          <w:rFonts w:hint="eastAsia" w:hAnsi="宋体" w:cs="宋体"/>
          <w:sz w:val="24"/>
          <w:szCs w:val="24"/>
        </w:rPr>
        <w:t>(2)法定代表人或负责人或实际控制人是直系血亲关系;</w:t>
      </w:r>
    </w:p>
    <w:p>
      <w:pPr>
        <w:pStyle w:val="12"/>
        <w:snapToGrid w:val="0"/>
        <w:spacing w:before="120" w:after="120" w:line="360" w:lineRule="auto"/>
        <w:ind w:left="2" w:leftChars="1" w:firstLine="480" w:firstLineChars="200"/>
        <w:rPr>
          <w:rFonts w:hAnsi="宋体" w:cs="宋体"/>
          <w:sz w:val="24"/>
          <w:szCs w:val="24"/>
        </w:rPr>
      </w:pPr>
      <w:r>
        <w:rPr>
          <w:rFonts w:hint="eastAsia" w:hAnsi="宋体" w:cs="宋体"/>
          <w:sz w:val="24"/>
          <w:szCs w:val="24"/>
        </w:rPr>
        <w:t>(3)法定代表人或负责人或实际控制人存在三代以内血系</w:t>
      </w:r>
    </w:p>
    <w:p>
      <w:pPr>
        <w:pStyle w:val="12"/>
        <w:snapToGrid w:val="0"/>
        <w:spacing w:before="120" w:after="120" w:line="360" w:lineRule="auto"/>
        <w:ind w:left="2" w:leftChars="1" w:firstLine="480" w:firstLineChars="200"/>
        <w:rPr>
          <w:rFonts w:hAnsi="宋体" w:cs="宋体"/>
          <w:sz w:val="24"/>
          <w:szCs w:val="24"/>
        </w:rPr>
      </w:pPr>
      <w:r>
        <w:rPr>
          <w:rFonts w:hint="eastAsia" w:hAnsi="宋体" w:cs="宋体"/>
          <w:sz w:val="24"/>
          <w:szCs w:val="24"/>
        </w:rPr>
        <w:t>(4)法定代表人或负责人或实际控制人存在近姻亲关系;</w:t>
      </w:r>
    </w:p>
    <w:p>
      <w:pPr>
        <w:pStyle w:val="12"/>
        <w:snapToGrid w:val="0"/>
        <w:spacing w:before="120" w:after="120" w:line="360" w:lineRule="auto"/>
        <w:ind w:left="2" w:leftChars="1" w:firstLine="480" w:firstLineChars="200"/>
        <w:rPr>
          <w:rFonts w:hAnsi="宋体" w:cs="宋体"/>
          <w:sz w:val="24"/>
          <w:szCs w:val="24"/>
        </w:rPr>
      </w:pPr>
      <w:r>
        <w:rPr>
          <w:rFonts w:hint="eastAsia" w:hAnsi="宋体" w:cs="宋体"/>
          <w:sz w:val="24"/>
          <w:szCs w:val="24"/>
        </w:rPr>
        <w:t>(5)法定代表人或负责人或实际控制人存在股份控制或实际控制关系</w:t>
      </w:r>
    </w:p>
    <w:p>
      <w:pPr>
        <w:pStyle w:val="12"/>
        <w:snapToGrid w:val="0"/>
        <w:spacing w:before="120" w:after="120" w:line="360" w:lineRule="auto"/>
        <w:ind w:left="2" w:leftChars="1" w:firstLine="480" w:firstLineChars="200"/>
        <w:rPr>
          <w:rFonts w:hAnsi="宋体" w:cs="宋体"/>
          <w:sz w:val="24"/>
          <w:szCs w:val="24"/>
        </w:rPr>
      </w:pPr>
      <w:r>
        <w:rPr>
          <w:rFonts w:hint="eastAsia" w:hAnsi="宋体" w:cs="宋体"/>
          <w:sz w:val="24"/>
          <w:szCs w:val="24"/>
        </w:rPr>
        <w:t>(6)存在共同直接或间接投资设立子公司、联营企业和合营企业情况</w:t>
      </w:r>
    </w:p>
    <w:p>
      <w:pPr>
        <w:pStyle w:val="12"/>
        <w:snapToGrid w:val="0"/>
        <w:spacing w:before="120" w:after="120" w:line="360" w:lineRule="auto"/>
        <w:ind w:left="2" w:leftChars="1" w:firstLine="480" w:firstLineChars="200"/>
        <w:rPr>
          <w:rFonts w:hAnsi="宋体" w:cs="宋体"/>
          <w:sz w:val="24"/>
          <w:szCs w:val="24"/>
        </w:rPr>
      </w:pPr>
      <w:r>
        <w:rPr>
          <w:rFonts w:hint="eastAsia" w:hAnsi="宋体" w:cs="宋体"/>
          <w:sz w:val="24"/>
          <w:szCs w:val="24"/>
        </w:rPr>
        <w:t>(7)存在分级代理或代销关系、同一生产制造商关系、管理关系、重要业务(占主营业务收入50%以上)或重要财务往来关系(如融资)等其他实质性控制关系;如供应商之间存在以上利害关系并且存在影响政府采购公平竞争的行为的相关供应商的投标均无效。</w:t>
      </w:r>
    </w:p>
    <w:p>
      <w:pPr>
        <w:pStyle w:val="12"/>
        <w:snapToGrid w:val="0"/>
        <w:spacing w:before="120" w:after="120" w:line="360" w:lineRule="auto"/>
        <w:ind w:left="2" w:leftChars="1" w:firstLine="480" w:firstLineChars="200"/>
        <w:rPr>
          <w:rFonts w:hAnsi="宋体" w:cs="宋体"/>
          <w:sz w:val="24"/>
          <w:szCs w:val="24"/>
        </w:rPr>
      </w:pPr>
      <w:r>
        <w:rPr>
          <w:rFonts w:hint="eastAsia" w:hAnsi="宋体" w:cs="宋体"/>
          <w:sz w:val="24"/>
          <w:szCs w:val="24"/>
        </w:rPr>
        <w:t>4.6、招标公告中明确专门面向中小微企业采购的项目,只能由中小企业或微型企业参加。</w:t>
      </w:r>
    </w:p>
    <w:p>
      <w:pPr>
        <w:pStyle w:val="12"/>
        <w:snapToGrid w:val="0"/>
        <w:spacing w:before="120" w:after="120" w:line="360" w:lineRule="auto"/>
        <w:ind w:firstLine="480" w:firstLineChars="200"/>
        <w:rPr>
          <w:rFonts w:hAnsi="宋体" w:cs="宋体"/>
          <w:sz w:val="24"/>
          <w:szCs w:val="24"/>
        </w:rPr>
      </w:pPr>
      <w:r>
        <w:rPr>
          <w:rFonts w:hint="eastAsia" w:hAnsi="宋体" w:cs="宋体"/>
          <w:sz w:val="24"/>
          <w:szCs w:val="24"/>
        </w:rPr>
        <w:t>4.7、投标截止前被“信用中国”网站(www.creditchina.gov.cn)列入失信被执行人、重大税收违法案件当事人名单或被“中国政府采购网”(www.ccgp.gov.cn)列入政府采购严重违法失信行为记录名单等存在不良信用记录的供应商将被拒绝参加本项目采购活动。具体以投标截止当日招标代理机构在上述两个网站上查询到的信息为准。</w:t>
      </w:r>
    </w:p>
    <w:p>
      <w:pPr>
        <w:pStyle w:val="12"/>
        <w:snapToGrid w:val="0"/>
        <w:spacing w:before="120" w:after="120" w:line="360" w:lineRule="auto"/>
        <w:ind w:left="2" w:leftChars="1" w:firstLine="480" w:firstLineChars="200"/>
        <w:rPr>
          <w:rFonts w:hAnsi="宋体" w:cs="宋体"/>
          <w:sz w:val="24"/>
          <w:szCs w:val="24"/>
        </w:rPr>
      </w:pPr>
      <w:r>
        <w:rPr>
          <w:rFonts w:hint="eastAsia" w:hAnsi="宋体" w:cs="宋体"/>
          <w:sz w:val="24"/>
          <w:szCs w:val="24"/>
        </w:rPr>
        <w:t>两个以上的自然人、法人或者其他组织组成一个联合体,以一个供应商的身份共同参加政府采购活动的,将对所有联合体成员进行信用记录查询,联合体成员存在不良信用记录的,视同联合体存在不良信用记录。招标人有权对工资福利进行审核或参与工资福利的编制，发现中标人不按照实际情况进行编制，招标人有权要求其重新调整，中标人必须接受，最终员工的工资福利由招标人确定签字后发放，否则暂停支付该月的管理服务费。</w:t>
      </w:r>
    </w:p>
    <w:p>
      <w:pPr>
        <w:pStyle w:val="12"/>
        <w:snapToGrid w:val="0"/>
        <w:spacing w:before="120" w:after="120" w:line="360" w:lineRule="auto"/>
        <w:ind w:left="2" w:leftChars="1" w:firstLine="480" w:firstLineChars="200"/>
        <w:rPr>
          <w:rFonts w:hAnsi="宋体" w:cs="宋体"/>
          <w:sz w:val="24"/>
          <w:szCs w:val="24"/>
        </w:rPr>
      </w:pPr>
      <w:r>
        <w:rPr>
          <w:rFonts w:hint="eastAsia" w:hAnsi="宋体" w:cs="宋体"/>
          <w:sz w:val="24"/>
          <w:szCs w:val="24"/>
        </w:rPr>
        <w:t>5、投标人应仔细阅读招标文件的所有内容，按照招标文件的要求提交投标文件，并对所提供的全部资料的真实性承担法律责任。</w:t>
      </w:r>
    </w:p>
    <w:p>
      <w:pPr>
        <w:snapToGrid w:val="0"/>
        <w:spacing w:beforeLines="50" w:line="360" w:lineRule="auto"/>
        <w:ind w:firstLine="472" w:firstLineChars="196"/>
        <w:jc w:val="left"/>
        <w:rPr>
          <w:rFonts w:ascii="宋体" w:hAnsi="宋体" w:cs="宋体"/>
          <w:b/>
          <w:sz w:val="24"/>
        </w:rPr>
      </w:pPr>
      <w:r>
        <w:rPr>
          <w:rFonts w:hint="eastAsia" w:ascii="宋体" w:hAnsi="宋体" w:cs="宋体"/>
          <w:b/>
          <w:sz w:val="24"/>
        </w:rPr>
        <w:t>（四）投标费用</w:t>
      </w:r>
    </w:p>
    <w:p>
      <w:pPr>
        <w:snapToGrid w:val="0"/>
        <w:spacing w:beforeLines="50" w:line="360" w:lineRule="auto"/>
        <w:ind w:firstLine="470" w:firstLineChars="196"/>
        <w:jc w:val="left"/>
        <w:rPr>
          <w:rFonts w:ascii="宋体" w:hAnsi="宋体" w:cs="宋体"/>
          <w:b/>
          <w:sz w:val="24"/>
        </w:rPr>
      </w:pPr>
      <w:r>
        <w:rPr>
          <w:rFonts w:hint="eastAsia" w:ascii="宋体" w:hAnsi="宋体" w:cs="宋体"/>
          <w:sz w:val="24"/>
        </w:rPr>
        <w:t>不论投标结果如何，投标人均应自行承担所有与投标有关的全部费用。</w:t>
      </w:r>
    </w:p>
    <w:p>
      <w:pPr>
        <w:spacing w:before="100" w:beforeAutospacing="1" w:after="100" w:afterAutospacing="1" w:line="360" w:lineRule="auto"/>
        <w:jc w:val="center"/>
        <w:rPr>
          <w:rFonts w:ascii="宋体" w:hAnsi="宋体" w:cs="宋体"/>
          <w:b/>
          <w:bCs/>
          <w:sz w:val="36"/>
          <w:szCs w:val="36"/>
        </w:rPr>
      </w:pPr>
      <w:r>
        <w:rPr>
          <w:rFonts w:hint="eastAsia" w:ascii="宋体" w:hAnsi="宋体" w:cs="宋体"/>
          <w:b/>
          <w:bCs/>
          <w:sz w:val="36"/>
          <w:szCs w:val="36"/>
        </w:rPr>
        <w:t>二质疑、澄清（更正）</w:t>
      </w:r>
    </w:p>
    <w:p>
      <w:pPr>
        <w:snapToGrid w:val="0"/>
        <w:spacing w:beforeLines="50" w:line="360" w:lineRule="auto"/>
        <w:ind w:firstLine="472" w:firstLineChars="196"/>
        <w:jc w:val="left"/>
        <w:rPr>
          <w:rFonts w:ascii="宋体" w:hAnsi="宋体" w:cs="宋体"/>
          <w:b/>
          <w:sz w:val="24"/>
        </w:rPr>
      </w:pPr>
      <w:r>
        <w:rPr>
          <w:rFonts w:hint="eastAsia" w:ascii="宋体" w:hAnsi="宋体" w:cs="宋体"/>
          <w:b/>
          <w:sz w:val="24"/>
        </w:rPr>
        <w:t>（一）质疑</w:t>
      </w:r>
    </w:p>
    <w:p>
      <w:pPr>
        <w:snapToGrid w:val="0"/>
        <w:spacing w:beforeLines="50" w:line="360" w:lineRule="auto"/>
        <w:ind w:firstLine="470" w:firstLineChars="196"/>
        <w:jc w:val="left"/>
        <w:rPr>
          <w:rFonts w:ascii="宋体" w:hAnsi="宋体" w:cs="宋体"/>
          <w:sz w:val="24"/>
        </w:rPr>
      </w:pPr>
      <w:r>
        <w:rPr>
          <w:rFonts w:hint="eastAsia" w:ascii="宋体" w:hAnsi="宋体" w:cs="宋体"/>
          <w:sz w:val="24"/>
        </w:rPr>
        <w:t>1、投标人认为招标文件、招标过程、中标结果使自己的合法权益受到损害的，可以在知道或应知其权益受到损害之日起7个工作日内，</w:t>
      </w:r>
      <w:r>
        <w:rPr>
          <w:rFonts w:hint="eastAsia" w:ascii="宋体" w:hAnsi="宋体" w:cs="宋体"/>
          <w:kern w:val="0"/>
          <w:sz w:val="24"/>
        </w:rPr>
        <w:t>以书面形式向采购人、采购代理机构提出质疑，</w:t>
      </w:r>
      <w:r>
        <w:rPr>
          <w:rFonts w:hint="eastAsia" w:ascii="宋体" w:hAnsi="宋体" w:cs="宋体"/>
          <w:sz w:val="24"/>
        </w:rPr>
        <w:t>逾期不予受理。质疑投标人必须在法定质疑期内一次性提出针对同一采购程序（包括采购文件、采购过程、中标结果）环节的质疑。</w:t>
      </w:r>
    </w:p>
    <w:p>
      <w:pPr>
        <w:snapToGrid w:val="0"/>
        <w:spacing w:beforeLines="50" w:line="360" w:lineRule="auto"/>
        <w:ind w:firstLine="470" w:firstLineChars="196"/>
        <w:jc w:val="left"/>
        <w:rPr>
          <w:rFonts w:ascii="宋体" w:hAnsi="宋体" w:cs="宋体"/>
          <w:sz w:val="24"/>
        </w:rPr>
      </w:pPr>
      <w:r>
        <w:rPr>
          <w:rFonts w:hint="eastAsia" w:ascii="宋体" w:hAnsi="宋体" w:cs="宋体"/>
          <w:sz w:val="24"/>
        </w:rPr>
        <w:t>2、如有质疑，必须在政采云系统内或线下向采购人、采购代理机构提出，并与质疑联系人电话确认。</w:t>
      </w:r>
    </w:p>
    <w:p>
      <w:pPr>
        <w:widowControl/>
        <w:spacing w:line="360" w:lineRule="auto"/>
        <w:ind w:firstLine="480" w:firstLineChars="200"/>
        <w:jc w:val="left"/>
        <w:rPr>
          <w:rFonts w:ascii="宋体" w:hAnsi="宋体" w:cs="宋体"/>
          <w:sz w:val="24"/>
        </w:rPr>
      </w:pPr>
      <w:r>
        <w:rPr>
          <w:rFonts w:hint="eastAsia" w:ascii="宋体" w:hAnsi="宋体" w:cs="宋体"/>
          <w:sz w:val="24"/>
        </w:rPr>
        <w:t>3、质疑应当以书面形式提出，格式见《政府采购质疑和投诉办法》（财政部令第94号）附件范本，下载网址：浙江政府采购网(www.zjzfcg.gov.cn)，位置：“首页-下载专区-质疑投诉模板”。供应商提出质疑应当提交质疑函和必要的证明材料。质疑函应当包括下列内容：</w:t>
      </w:r>
    </w:p>
    <w:p>
      <w:pPr>
        <w:widowControl/>
        <w:spacing w:line="360" w:lineRule="auto"/>
        <w:ind w:firstLine="480" w:firstLineChars="200"/>
        <w:jc w:val="left"/>
        <w:rPr>
          <w:rFonts w:ascii="宋体" w:hAnsi="宋体" w:cs="宋体"/>
          <w:sz w:val="24"/>
        </w:rPr>
      </w:pPr>
      <w:r>
        <w:rPr>
          <w:rFonts w:hint="eastAsia" w:ascii="宋体" w:hAnsi="宋体" w:cs="宋体"/>
          <w:sz w:val="24"/>
        </w:rPr>
        <w:t>a供应商的姓名或者名称、地址、邮编、联系人及联系电话；</w:t>
      </w:r>
    </w:p>
    <w:p>
      <w:pPr>
        <w:widowControl/>
        <w:spacing w:line="360" w:lineRule="auto"/>
        <w:ind w:firstLine="480" w:firstLineChars="200"/>
        <w:jc w:val="left"/>
        <w:rPr>
          <w:rFonts w:ascii="宋体" w:hAnsi="宋体" w:cs="宋体"/>
          <w:sz w:val="24"/>
        </w:rPr>
      </w:pPr>
      <w:r>
        <w:rPr>
          <w:rFonts w:hint="eastAsia" w:ascii="宋体" w:hAnsi="宋体" w:cs="宋体"/>
          <w:sz w:val="24"/>
        </w:rPr>
        <w:t>b质疑项目的名称、编号；</w:t>
      </w:r>
    </w:p>
    <w:p>
      <w:pPr>
        <w:widowControl/>
        <w:spacing w:line="360" w:lineRule="auto"/>
        <w:ind w:firstLine="480" w:firstLineChars="200"/>
        <w:jc w:val="left"/>
        <w:rPr>
          <w:rFonts w:ascii="宋体" w:hAnsi="宋体" w:cs="宋体"/>
          <w:sz w:val="24"/>
        </w:rPr>
      </w:pPr>
      <w:r>
        <w:rPr>
          <w:rFonts w:hint="eastAsia" w:ascii="宋体" w:hAnsi="宋体" w:cs="宋体"/>
          <w:sz w:val="24"/>
        </w:rPr>
        <w:t>c具体、明确的质疑事项和与质疑事项相关的请求；</w:t>
      </w:r>
    </w:p>
    <w:p>
      <w:pPr>
        <w:widowControl/>
        <w:spacing w:line="360" w:lineRule="auto"/>
        <w:ind w:firstLine="480" w:firstLineChars="200"/>
        <w:jc w:val="left"/>
        <w:rPr>
          <w:rFonts w:ascii="宋体" w:hAnsi="宋体" w:cs="宋体"/>
          <w:sz w:val="24"/>
        </w:rPr>
      </w:pPr>
      <w:r>
        <w:rPr>
          <w:rFonts w:hint="eastAsia" w:ascii="宋体" w:hAnsi="宋体" w:cs="宋体"/>
          <w:sz w:val="24"/>
        </w:rPr>
        <w:t>d事实依据；</w:t>
      </w:r>
    </w:p>
    <w:p>
      <w:pPr>
        <w:widowControl/>
        <w:spacing w:line="360" w:lineRule="auto"/>
        <w:ind w:firstLine="480" w:firstLineChars="200"/>
        <w:jc w:val="left"/>
        <w:rPr>
          <w:rFonts w:ascii="宋体" w:hAnsi="宋体" w:cs="宋体"/>
          <w:sz w:val="24"/>
        </w:rPr>
      </w:pPr>
      <w:r>
        <w:rPr>
          <w:rFonts w:hint="eastAsia" w:ascii="宋体" w:hAnsi="宋体" w:cs="宋体"/>
          <w:sz w:val="24"/>
        </w:rPr>
        <w:t>e必要的法律依据；</w:t>
      </w:r>
    </w:p>
    <w:p>
      <w:pPr>
        <w:widowControl/>
        <w:spacing w:line="360" w:lineRule="auto"/>
        <w:ind w:firstLine="480" w:firstLineChars="200"/>
        <w:jc w:val="left"/>
        <w:rPr>
          <w:rFonts w:ascii="宋体" w:hAnsi="宋体" w:cs="宋体"/>
          <w:sz w:val="24"/>
        </w:rPr>
      </w:pPr>
      <w:r>
        <w:rPr>
          <w:rFonts w:hint="eastAsia" w:ascii="宋体" w:hAnsi="宋体" w:cs="宋体"/>
          <w:sz w:val="24"/>
        </w:rPr>
        <w:t>f提出质疑的日期。</w:t>
      </w:r>
    </w:p>
    <w:p>
      <w:pPr>
        <w:snapToGrid w:val="0"/>
        <w:spacing w:line="360" w:lineRule="auto"/>
        <w:ind w:firstLine="472" w:firstLineChars="197"/>
        <w:jc w:val="left"/>
        <w:rPr>
          <w:rFonts w:ascii="宋体" w:hAnsi="宋体" w:cs="宋体"/>
          <w:sz w:val="24"/>
        </w:rPr>
      </w:pPr>
      <w:r>
        <w:rPr>
          <w:rFonts w:hint="eastAsia" w:ascii="宋体" w:hAnsi="宋体" w:cs="宋体"/>
          <w:sz w:val="24"/>
        </w:rPr>
        <w:t>供应商为自然人的，应当由本人签字；供应商为法人或者其他组织的，应当由法定代表人、主要负责人，或者其授权代表签字或者盖章，并加盖公章。质疑应明确阐述招标文件、采购过程或中标结果中使自己合法权益受到损害的实质性内容，提供相关事实、依据和证据及其来源或线索，便于有关单位调查、答复和处理,质疑函不符合《政府采购质疑和投诉办法》相关规定的，应在规定期限内补齐的，采购人自收到补齐材料之日起受理；逾期未补齐的，按自动撤回质疑处理。</w:t>
      </w:r>
    </w:p>
    <w:p>
      <w:pPr>
        <w:adjustRightInd w:val="0"/>
        <w:snapToGrid w:val="0"/>
        <w:spacing w:before="50" w:after="50" w:line="360" w:lineRule="auto"/>
        <w:ind w:firstLine="482" w:firstLineChars="200"/>
        <w:rPr>
          <w:rFonts w:ascii="宋体" w:hAnsi="宋体" w:cs="宋体"/>
          <w:b/>
          <w:sz w:val="24"/>
        </w:rPr>
      </w:pPr>
      <w:r>
        <w:rPr>
          <w:rFonts w:hint="eastAsia" w:ascii="宋体" w:hAnsi="宋体" w:cs="宋体"/>
          <w:b/>
          <w:sz w:val="24"/>
        </w:rPr>
        <w:t>（二）招标文件的澄清（更正）</w:t>
      </w:r>
    </w:p>
    <w:p>
      <w:pPr>
        <w:adjustRightInd w:val="0"/>
        <w:snapToGrid w:val="0"/>
        <w:spacing w:before="50" w:after="50" w:line="360" w:lineRule="auto"/>
        <w:ind w:firstLine="480" w:firstLineChars="200"/>
        <w:rPr>
          <w:rFonts w:ascii="宋体" w:hAnsi="宋体" w:cs="宋体"/>
          <w:sz w:val="24"/>
        </w:rPr>
      </w:pPr>
      <w:r>
        <w:rPr>
          <w:rFonts w:hint="eastAsia" w:ascii="宋体" w:hAnsi="宋体" w:cs="宋体"/>
          <w:sz w:val="24"/>
        </w:rPr>
        <w:t>1、无论是采购代理机构根据需要主动对招标文件进行必要澄清，或是根据投标人的要求对招标文件做出澄清，采购代理机构的书面澄清（更正）文件会在“浙江省政府采购网”上发布公告，同时政采云系统会向所有已按招标文件规定方式获取招标文件的潜在供应商发送更正提醒信息，潜在供应商请自行到“浙江省政府采购网”上下载澄清（更正）文件。澄清（更正）文件是招标文件重要组成部分，供应商应及时查看提醒信息，否则后果自负。</w:t>
      </w:r>
    </w:p>
    <w:p>
      <w:pPr>
        <w:adjustRightInd w:val="0"/>
        <w:snapToGrid w:val="0"/>
        <w:spacing w:before="50" w:after="50" w:line="360" w:lineRule="auto"/>
        <w:ind w:firstLine="480" w:firstLineChars="200"/>
        <w:rPr>
          <w:rFonts w:ascii="宋体" w:hAnsi="宋体" w:cs="宋体"/>
          <w:sz w:val="24"/>
        </w:rPr>
      </w:pPr>
      <w:r>
        <w:rPr>
          <w:rFonts w:hint="eastAsia" w:ascii="宋体" w:hAnsi="宋体" w:cs="宋体"/>
          <w:sz w:val="24"/>
        </w:rPr>
        <w:t>2、当招标文件与澄清（更正）文件就同一内容的表述不一致时，以最后发出的书面文件为准。</w:t>
      </w:r>
    </w:p>
    <w:p>
      <w:pPr>
        <w:spacing w:before="100" w:beforeAutospacing="1" w:after="100" w:afterAutospacing="1" w:line="360" w:lineRule="auto"/>
        <w:jc w:val="center"/>
        <w:rPr>
          <w:rFonts w:ascii="宋体" w:hAnsi="宋体" w:cs="宋体"/>
          <w:b/>
          <w:bCs/>
          <w:sz w:val="36"/>
          <w:szCs w:val="36"/>
        </w:rPr>
      </w:pPr>
      <w:r>
        <w:rPr>
          <w:rFonts w:hint="eastAsia" w:ascii="宋体" w:hAnsi="宋体" w:cs="宋体"/>
          <w:b/>
          <w:bCs/>
          <w:sz w:val="36"/>
          <w:szCs w:val="36"/>
        </w:rPr>
        <w:t>三投标文件的编制</w:t>
      </w:r>
    </w:p>
    <w:p>
      <w:pPr>
        <w:snapToGrid w:val="0"/>
        <w:spacing w:line="360" w:lineRule="auto"/>
        <w:ind w:left="472"/>
        <w:jc w:val="left"/>
        <w:rPr>
          <w:rFonts w:ascii="宋体" w:hAnsi="宋体" w:cs="宋体"/>
          <w:b/>
          <w:sz w:val="24"/>
        </w:rPr>
      </w:pPr>
      <w:r>
        <w:rPr>
          <w:rFonts w:hint="eastAsia" w:ascii="宋体" w:hAnsi="宋体" w:cs="宋体"/>
          <w:b/>
          <w:sz w:val="24"/>
        </w:rPr>
        <w:t>投标文件的形式和效力</w:t>
      </w:r>
    </w:p>
    <w:p>
      <w:pPr>
        <w:snapToGrid w:val="0"/>
        <w:spacing w:line="360" w:lineRule="auto"/>
        <w:ind w:firstLine="470" w:firstLineChars="196"/>
        <w:jc w:val="left"/>
        <w:rPr>
          <w:rFonts w:ascii="宋体" w:hAnsi="宋体" w:cs="宋体"/>
          <w:sz w:val="24"/>
        </w:rPr>
      </w:pPr>
      <w:r>
        <w:rPr>
          <w:rFonts w:hint="eastAsia" w:ascii="宋体" w:hAnsi="宋体" w:cs="宋体"/>
          <w:sz w:val="24"/>
        </w:rPr>
        <w:t>电子投标文包括“电子加密投标文件”和“备份投标文件”，在投标文件编制完成后同时生成。</w:t>
      </w:r>
    </w:p>
    <w:p>
      <w:pPr>
        <w:snapToGrid w:val="0"/>
        <w:spacing w:line="360" w:lineRule="auto"/>
        <w:ind w:firstLine="470" w:firstLineChars="196"/>
        <w:jc w:val="left"/>
        <w:rPr>
          <w:rFonts w:ascii="宋体" w:hAnsi="宋体" w:cs="宋体"/>
          <w:b/>
          <w:sz w:val="24"/>
        </w:rPr>
      </w:pPr>
      <w:r>
        <w:rPr>
          <w:rFonts w:hint="eastAsia" w:ascii="宋体" w:hAnsi="宋体" w:cs="宋体"/>
          <w:sz w:val="24"/>
        </w:rPr>
        <w:t>1、“电子加密投标文件”是指通过“政采云电子交易客户端”完成投标文件编制后生成并加密的数据电文形式的投标文件。</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2、“备份投标文件”是指与“电子加密投标文件”同时生成的数据电文形式的电子文件（备份标书，用于投标人标书解密异常时应急使用），其他方式编制的备份投标文件视为无效备份投标文件。</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3、投标文件的效力</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投标文件的启用，按先后顺位分别为电子投标文件、以电子邮件形式的备份投标文件。在下一顺位的投标文件启用时，前一顺位的投标文件自动失效。</w:t>
      </w:r>
    </w:p>
    <w:p>
      <w:pPr>
        <w:widowControl/>
        <w:spacing w:line="360" w:lineRule="auto"/>
        <w:ind w:firstLine="472" w:firstLineChars="196"/>
        <w:jc w:val="left"/>
        <w:rPr>
          <w:rFonts w:ascii="宋体" w:hAnsi="宋体" w:cs="宋体"/>
          <w:b/>
          <w:sz w:val="24"/>
        </w:rPr>
      </w:pPr>
      <w:r>
        <w:rPr>
          <w:rFonts w:hint="eastAsia" w:ascii="宋体" w:hAnsi="宋体" w:cs="宋体"/>
          <w:b/>
          <w:sz w:val="24"/>
        </w:rPr>
        <w:t>（二）投标文件的语言及度量衡单位</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1、投标文件以及投标人与采购代理机构、采购人就有关投标事宜的所有来往函电，均应以中文简体字书写。除签名、盖章、专用名称等特殊情形外，投标文件中以中文汉语以外的文字表述部分视同未提供。</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2、投标计量单位，招标文件已有明确规定的，使用招标文件规定的计量单位；招标文件没有规定的，应采用中华人民共和国法定计量单位。</w:t>
      </w:r>
    </w:p>
    <w:p>
      <w:pPr>
        <w:spacing w:line="360" w:lineRule="auto"/>
        <w:ind w:firstLine="482" w:firstLineChars="200"/>
        <w:rPr>
          <w:rFonts w:ascii="宋体" w:hAnsi="宋体" w:cs="宋体"/>
          <w:b/>
          <w:sz w:val="24"/>
        </w:rPr>
      </w:pPr>
      <w:r>
        <w:rPr>
          <w:rFonts w:hint="eastAsia" w:ascii="宋体" w:hAnsi="宋体" w:cs="宋体"/>
          <w:b/>
          <w:sz w:val="24"/>
        </w:rPr>
        <w:t>（三）对投标文件的要求</w:t>
      </w:r>
    </w:p>
    <w:p>
      <w:pPr>
        <w:tabs>
          <w:tab w:val="left" w:pos="1985"/>
        </w:tabs>
        <w:spacing w:line="360" w:lineRule="auto"/>
        <w:ind w:left="1" w:firstLine="424" w:firstLineChars="177"/>
        <w:rPr>
          <w:rFonts w:ascii="宋体" w:hAnsi="宋体" w:cs="宋体"/>
          <w:sz w:val="24"/>
          <w:u w:val="single"/>
        </w:rPr>
      </w:pPr>
      <w:r>
        <w:rPr>
          <w:rFonts w:hint="eastAsia" w:ascii="宋体" w:hAnsi="宋体" w:cs="宋体"/>
          <w:sz w:val="24"/>
        </w:rPr>
        <w:t>1、投标人应仔细阅读招标文件，了解招标文件的要求，在完全了解投标项目的技术要求和商务要求后，编制投标文件。</w:t>
      </w:r>
      <w:r>
        <w:rPr>
          <w:rFonts w:hint="eastAsia" w:ascii="宋体" w:hAnsi="宋体" w:cs="宋体"/>
          <w:sz w:val="24"/>
          <w:u w:val="single"/>
        </w:rPr>
        <w:t>▲投标人没有按照招标文件要求提交全部资料，或者没有对招标文件各个方面做出明确响应，导致投标被拒绝的风险由投标人自行承担。</w:t>
      </w:r>
    </w:p>
    <w:p>
      <w:pPr>
        <w:pStyle w:val="17"/>
        <w:spacing w:after="0" w:line="360" w:lineRule="auto"/>
        <w:ind w:firstLine="480" w:firstLineChars="200"/>
        <w:textAlignment w:val="baseline"/>
        <w:rPr>
          <w:rFonts w:ascii="宋体" w:hAnsi="宋体" w:cs="宋体"/>
          <w:sz w:val="24"/>
        </w:rPr>
      </w:pPr>
      <w:r>
        <w:rPr>
          <w:rFonts w:hint="eastAsia" w:ascii="宋体" w:hAnsi="宋体" w:cs="宋体"/>
          <w:sz w:val="24"/>
        </w:rPr>
        <w:t>2、在招标文件对技术要求中，投标人必须充分应答和满足用户的强制性的需求，如“标“▲”且加下划线部分，否则将导致无效标。</w:t>
      </w:r>
    </w:p>
    <w:p>
      <w:pPr>
        <w:spacing w:line="360" w:lineRule="auto"/>
        <w:ind w:firstLine="480" w:firstLineChars="200"/>
        <w:rPr>
          <w:rFonts w:ascii="宋体" w:hAnsi="宋体" w:cs="宋体"/>
          <w:sz w:val="24"/>
        </w:rPr>
      </w:pPr>
      <w:r>
        <w:rPr>
          <w:rFonts w:hint="eastAsia" w:ascii="宋体" w:hAnsi="宋体" w:cs="宋体"/>
          <w:sz w:val="24"/>
        </w:rPr>
        <w:t>3、编制的投标文件对招标文件中有关条款未提出异议的，均被视为接受和同意。</w:t>
      </w:r>
    </w:p>
    <w:p>
      <w:pPr>
        <w:spacing w:line="360" w:lineRule="auto"/>
        <w:ind w:firstLine="480" w:firstLineChars="200"/>
        <w:rPr>
          <w:rFonts w:ascii="宋体" w:hAnsi="宋体" w:cs="宋体"/>
          <w:sz w:val="24"/>
        </w:rPr>
      </w:pPr>
      <w:r>
        <w:rPr>
          <w:rFonts w:hint="eastAsia" w:ascii="宋体" w:hAnsi="宋体" w:cs="宋体"/>
          <w:sz w:val="24"/>
          <w:u w:val="single"/>
        </w:rPr>
        <w:t>4、▲投标人应保证所提供文件资料的真实性，所有文件资料必须是针对本次招标的。如发现投标人提供了虚假文件资料，其投标将被拒绝，并自行承担相应的法律责任。</w:t>
      </w:r>
    </w:p>
    <w:p>
      <w:pPr>
        <w:spacing w:line="360" w:lineRule="auto"/>
        <w:ind w:firstLine="480" w:firstLineChars="200"/>
        <w:rPr>
          <w:rFonts w:ascii="宋体" w:hAnsi="宋体" w:cs="宋体"/>
        </w:rPr>
      </w:pPr>
      <w:r>
        <w:rPr>
          <w:rFonts w:hint="eastAsia" w:ascii="宋体" w:hAnsi="宋体" w:cs="宋体"/>
          <w:sz w:val="24"/>
        </w:rPr>
        <w:t>5、招标文件中若为实质性要求和条件的证明材料必须提供。非实质性要求和条件的证明材料则各投标人根据自身情况提供，若因未提供而造成不利评审的风险则由各投标人自行承担。</w:t>
      </w:r>
    </w:p>
    <w:p>
      <w:pPr>
        <w:spacing w:line="360" w:lineRule="auto"/>
        <w:ind w:firstLine="361" w:firstLineChars="150"/>
        <w:rPr>
          <w:rFonts w:ascii="宋体" w:hAnsi="宋体" w:cs="宋体"/>
          <w:b/>
          <w:sz w:val="24"/>
        </w:rPr>
      </w:pPr>
      <w:r>
        <w:rPr>
          <w:rFonts w:hint="eastAsia" w:ascii="宋体" w:hAnsi="宋体" w:cs="宋体"/>
          <w:b/>
          <w:sz w:val="24"/>
        </w:rPr>
        <w:t>（四）投标文件的组成</w:t>
      </w:r>
    </w:p>
    <w:p>
      <w:pPr>
        <w:snapToGrid w:val="0"/>
        <w:spacing w:line="360" w:lineRule="auto"/>
        <w:ind w:firstLine="470" w:firstLineChars="196"/>
        <w:jc w:val="left"/>
        <w:rPr>
          <w:rFonts w:ascii="宋体" w:hAnsi="宋体" w:cs="宋体"/>
          <w:sz w:val="24"/>
        </w:rPr>
      </w:pPr>
      <w:r>
        <w:rPr>
          <w:rFonts w:hint="eastAsia" w:ascii="宋体" w:hAnsi="宋体" w:cs="宋体"/>
          <w:sz w:val="24"/>
        </w:rPr>
        <w:t>投标文件组成均为资格文件、商务技术文件、报价文件</w:t>
      </w:r>
    </w:p>
    <w:p>
      <w:pPr>
        <w:snapToGrid w:val="0"/>
        <w:spacing w:line="360" w:lineRule="auto"/>
        <w:ind w:firstLine="470" w:firstLineChars="196"/>
        <w:jc w:val="left"/>
        <w:rPr>
          <w:rFonts w:ascii="宋体" w:hAnsi="宋体" w:cs="宋体"/>
          <w:sz w:val="24"/>
        </w:rPr>
      </w:pPr>
      <w:r>
        <w:rPr>
          <w:rFonts w:hint="eastAsia" w:ascii="宋体" w:hAnsi="宋体" w:cs="宋体"/>
          <w:sz w:val="24"/>
        </w:rPr>
        <w:t>1、资格文件</w:t>
      </w:r>
    </w:p>
    <w:p>
      <w:pPr>
        <w:snapToGrid w:val="0"/>
        <w:spacing w:line="360" w:lineRule="auto"/>
        <w:ind w:firstLine="470" w:firstLineChars="196"/>
        <w:jc w:val="left"/>
        <w:rPr>
          <w:rFonts w:ascii="宋体" w:hAnsi="宋体" w:cs="宋体"/>
          <w:sz w:val="24"/>
        </w:rPr>
      </w:pPr>
      <w:r>
        <w:rPr>
          <w:rFonts w:hint="eastAsia" w:ascii="宋体" w:hAnsi="宋体" w:cs="宋体"/>
          <w:sz w:val="24"/>
        </w:rPr>
        <w:t>（1）法定代表人授权书</w:t>
      </w:r>
    </w:p>
    <w:p>
      <w:pPr>
        <w:snapToGrid w:val="0"/>
        <w:spacing w:line="360" w:lineRule="auto"/>
        <w:ind w:firstLine="470" w:firstLineChars="196"/>
        <w:jc w:val="left"/>
        <w:rPr>
          <w:rFonts w:ascii="宋体" w:hAnsi="宋体" w:cs="宋体"/>
          <w:sz w:val="24"/>
        </w:rPr>
      </w:pPr>
      <w:r>
        <w:rPr>
          <w:rFonts w:hint="eastAsia" w:ascii="宋体" w:hAnsi="宋体" w:cs="宋体"/>
          <w:sz w:val="24"/>
        </w:rPr>
        <w:t>（2）投标人情况表</w:t>
      </w:r>
    </w:p>
    <w:p>
      <w:pPr>
        <w:snapToGrid w:val="0"/>
        <w:spacing w:line="360" w:lineRule="auto"/>
        <w:ind w:firstLine="470" w:firstLineChars="196"/>
        <w:jc w:val="left"/>
        <w:rPr>
          <w:rFonts w:ascii="宋体" w:hAnsi="宋体" w:cs="宋体"/>
          <w:sz w:val="24"/>
        </w:rPr>
      </w:pPr>
      <w:r>
        <w:rPr>
          <w:rFonts w:hint="eastAsia" w:ascii="宋体" w:hAnsi="宋体" w:cs="宋体"/>
          <w:sz w:val="24"/>
        </w:rPr>
        <w:t>（3）有效的营业执照（扫描件加盖投标人公章）；事业单位的，则提供有效的《事业单位法人证书》（扫描件加盖投标人公章）；如分公司参与投标的，还须符合浙财采监〔2013〕24号《关于规范政府采购供应商资格设定及资格审查的通知》第六条规定提供相关材料。</w:t>
      </w:r>
    </w:p>
    <w:p>
      <w:pPr>
        <w:snapToGrid w:val="0"/>
        <w:spacing w:line="360" w:lineRule="auto"/>
        <w:ind w:firstLine="470" w:firstLineChars="196"/>
        <w:jc w:val="left"/>
        <w:rPr>
          <w:rFonts w:ascii="宋体" w:hAnsi="宋体" w:cs="宋体"/>
          <w:sz w:val="24"/>
        </w:rPr>
      </w:pPr>
      <w:r>
        <w:rPr>
          <w:rFonts w:hint="eastAsia" w:ascii="宋体" w:hAnsi="宋体" w:cs="宋体"/>
          <w:sz w:val="24"/>
        </w:rPr>
        <w:t>（4）无重大违法记录且具有良好商业信誉和健全的财务会计制度声明书</w:t>
      </w:r>
    </w:p>
    <w:p>
      <w:pPr>
        <w:snapToGrid w:val="0"/>
        <w:spacing w:line="360" w:lineRule="auto"/>
        <w:ind w:firstLine="470" w:firstLineChars="196"/>
        <w:jc w:val="left"/>
        <w:rPr>
          <w:rFonts w:ascii="宋体" w:hAnsi="宋体" w:cs="宋体"/>
          <w:sz w:val="24"/>
        </w:rPr>
      </w:pPr>
      <w:r>
        <w:rPr>
          <w:rFonts w:hint="eastAsia" w:ascii="宋体" w:hAnsi="宋体" w:cs="宋体"/>
          <w:sz w:val="24"/>
        </w:rPr>
        <w:t>（5）具有履行合同所必需的场地、设备和专业技术能力的承诺函</w:t>
      </w:r>
    </w:p>
    <w:p>
      <w:pPr>
        <w:snapToGrid w:val="0"/>
        <w:spacing w:line="360" w:lineRule="auto"/>
        <w:ind w:firstLine="470" w:firstLineChars="196"/>
        <w:jc w:val="left"/>
        <w:rPr>
          <w:rFonts w:ascii="宋体" w:hAnsi="宋体" w:cs="宋体"/>
          <w:sz w:val="24"/>
        </w:rPr>
      </w:pPr>
      <w:r>
        <w:rPr>
          <w:rFonts w:hint="eastAsia" w:ascii="宋体" w:hAnsi="宋体" w:cs="宋体"/>
          <w:sz w:val="24"/>
        </w:rPr>
        <w:t>（6）依法缴纳税收和社会保障资金的承诺函</w:t>
      </w:r>
    </w:p>
    <w:p>
      <w:pPr>
        <w:snapToGrid w:val="0"/>
        <w:spacing w:line="360" w:lineRule="auto"/>
        <w:ind w:firstLine="470" w:firstLineChars="196"/>
        <w:jc w:val="left"/>
        <w:rPr>
          <w:rFonts w:ascii="宋体" w:hAnsi="宋体" w:cs="宋体"/>
          <w:sz w:val="24"/>
        </w:rPr>
      </w:pPr>
      <w:r>
        <w:rPr>
          <w:rFonts w:hint="eastAsia" w:ascii="宋体" w:hAnsi="宋体" w:cs="宋体"/>
          <w:sz w:val="24"/>
        </w:rPr>
        <w:t>（7）单位负责人为同一人或者存在直接控股、管理关系的不同供应商，不得参加同一合同项下的政府采购活动承诺函</w:t>
      </w:r>
    </w:p>
    <w:p>
      <w:pPr>
        <w:snapToGrid w:val="0"/>
        <w:spacing w:line="360" w:lineRule="auto"/>
        <w:ind w:firstLine="470" w:firstLineChars="196"/>
        <w:jc w:val="left"/>
        <w:rPr>
          <w:rFonts w:ascii="宋体" w:hAnsi="宋体" w:cs="宋体"/>
          <w:sz w:val="24"/>
        </w:rPr>
      </w:pPr>
      <w:r>
        <w:rPr>
          <w:rFonts w:hint="eastAsia" w:ascii="宋体" w:hAnsi="宋体" w:cs="宋体"/>
          <w:sz w:val="24"/>
        </w:rPr>
        <w:t>（8）投标人不属于公益一类事业单位承诺函</w:t>
      </w:r>
    </w:p>
    <w:p>
      <w:pPr>
        <w:snapToGrid w:val="0"/>
        <w:spacing w:line="360" w:lineRule="auto"/>
        <w:ind w:firstLine="470" w:firstLineChars="196"/>
        <w:jc w:val="left"/>
        <w:rPr>
          <w:rFonts w:ascii="宋体" w:hAnsi="宋体" w:cs="宋体"/>
          <w:sz w:val="24"/>
        </w:rPr>
      </w:pPr>
      <w:r>
        <w:rPr>
          <w:rFonts w:hint="eastAsia" w:ascii="宋体" w:hAnsi="宋体" w:cs="宋体"/>
          <w:sz w:val="24"/>
        </w:rPr>
        <w:t>（9）政府采购活动现场确认声明书</w:t>
      </w:r>
    </w:p>
    <w:p>
      <w:pPr>
        <w:snapToGrid w:val="0"/>
        <w:spacing w:line="360" w:lineRule="auto"/>
        <w:ind w:firstLine="470" w:firstLineChars="196"/>
        <w:jc w:val="left"/>
        <w:rPr>
          <w:rFonts w:ascii="宋体" w:hAnsi="宋体" w:cs="宋体"/>
          <w:sz w:val="24"/>
        </w:rPr>
      </w:pPr>
      <w:r>
        <w:rPr>
          <w:rFonts w:hint="eastAsia" w:ascii="宋体" w:hAnsi="宋体" w:cs="宋体"/>
          <w:sz w:val="24"/>
        </w:rPr>
        <w:t>（10）投标人其他资质证书、认证证书、社保证明等扫描件（如需）</w:t>
      </w:r>
    </w:p>
    <w:p>
      <w:pPr>
        <w:snapToGrid w:val="0"/>
        <w:spacing w:line="360" w:lineRule="auto"/>
        <w:ind w:firstLine="470" w:firstLineChars="196"/>
        <w:jc w:val="left"/>
        <w:rPr>
          <w:rFonts w:ascii="宋体" w:hAnsi="宋体" w:cs="宋体"/>
          <w:sz w:val="24"/>
        </w:rPr>
      </w:pPr>
      <w:r>
        <w:rPr>
          <w:rFonts w:hint="eastAsia" w:ascii="宋体" w:hAnsi="宋体" w:cs="宋体"/>
          <w:sz w:val="24"/>
        </w:rPr>
        <w:t>（11）特定资格条件证明材料扫描件（若有）</w:t>
      </w:r>
    </w:p>
    <w:p>
      <w:pPr>
        <w:snapToGrid w:val="0"/>
        <w:spacing w:line="360" w:lineRule="auto"/>
        <w:ind w:firstLine="240" w:firstLineChars="100"/>
        <w:jc w:val="left"/>
        <w:rPr>
          <w:rFonts w:ascii="宋体" w:hAnsi="宋体" w:cs="宋体"/>
          <w:sz w:val="24"/>
        </w:rPr>
      </w:pPr>
      <w:r>
        <w:rPr>
          <w:rFonts w:hint="eastAsia" w:ascii="宋体" w:hAnsi="宋体" w:cs="宋体"/>
          <w:sz w:val="24"/>
        </w:rPr>
        <w:t>2、商务技术文件目录</w:t>
      </w:r>
    </w:p>
    <w:p>
      <w:pPr>
        <w:snapToGrid w:val="0"/>
        <w:spacing w:line="360" w:lineRule="auto"/>
        <w:ind w:firstLine="470" w:firstLineChars="196"/>
        <w:jc w:val="left"/>
        <w:rPr>
          <w:rFonts w:ascii="宋体" w:hAnsi="宋体" w:cs="宋体"/>
          <w:sz w:val="24"/>
        </w:rPr>
      </w:pPr>
      <w:r>
        <w:rPr>
          <w:rFonts w:hint="eastAsia" w:ascii="宋体" w:hAnsi="宋体" w:cs="宋体"/>
          <w:sz w:val="24"/>
        </w:rPr>
        <w:t>(1)投标函</w:t>
      </w:r>
    </w:p>
    <w:p>
      <w:pPr>
        <w:snapToGrid w:val="0"/>
        <w:spacing w:line="360" w:lineRule="auto"/>
        <w:ind w:firstLine="470" w:firstLineChars="196"/>
        <w:jc w:val="left"/>
        <w:rPr>
          <w:rFonts w:ascii="宋体" w:hAnsi="宋体" w:cs="宋体"/>
          <w:sz w:val="24"/>
        </w:rPr>
      </w:pPr>
      <w:r>
        <w:rPr>
          <w:rFonts w:hint="eastAsia" w:ascii="宋体" w:hAnsi="宋体" w:cs="宋体"/>
          <w:sz w:val="24"/>
        </w:rPr>
        <w:t>（2）技术及商务偏离表</w:t>
      </w:r>
    </w:p>
    <w:p>
      <w:pPr>
        <w:snapToGrid w:val="0"/>
        <w:spacing w:line="360" w:lineRule="auto"/>
        <w:ind w:firstLine="470" w:firstLineChars="196"/>
        <w:jc w:val="left"/>
        <w:rPr>
          <w:rFonts w:ascii="宋体" w:hAnsi="宋体" w:cs="宋体"/>
          <w:sz w:val="24"/>
        </w:rPr>
      </w:pPr>
      <w:r>
        <w:rPr>
          <w:rFonts w:hint="eastAsia" w:ascii="宋体" w:hAnsi="宋体" w:cs="宋体"/>
          <w:sz w:val="24"/>
        </w:rPr>
        <w:t>（3）投标人投标截止时间前三年内同类项目业绩</w:t>
      </w:r>
    </w:p>
    <w:p>
      <w:pPr>
        <w:snapToGrid w:val="0"/>
        <w:spacing w:line="360" w:lineRule="auto"/>
        <w:ind w:firstLine="470" w:firstLineChars="196"/>
        <w:jc w:val="left"/>
        <w:rPr>
          <w:rFonts w:ascii="宋体" w:hAnsi="宋体" w:cs="宋体"/>
          <w:sz w:val="24"/>
        </w:rPr>
      </w:pPr>
      <w:r>
        <w:rPr>
          <w:rFonts w:hint="eastAsia" w:ascii="宋体" w:hAnsi="宋体" w:cs="宋体"/>
          <w:sz w:val="24"/>
        </w:rPr>
        <w:t>（4）拟派项目负责人（经理）相关情况</w:t>
      </w:r>
    </w:p>
    <w:p>
      <w:pPr>
        <w:snapToGrid w:val="0"/>
        <w:spacing w:line="360" w:lineRule="auto"/>
        <w:ind w:firstLine="470" w:firstLineChars="196"/>
        <w:jc w:val="left"/>
        <w:rPr>
          <w:rFonts w:ascii="宋体" w:hAnsi="宋体" w:cs="宋体"/>
          <w:sz w:val="24"/>
        </w:rPr>
      </w:pPr>
      <w:r>
        <w:rPr>
          <w:rFonts w:hint="eastAsia" w:ascii="宋体" w:hAnsi="宋体" w:cs="宋体"/>
          <w:sz w:val="24"/>
        </w:rPr>
        <w:t>（5）各服务人员配置情况</w:t>
      </w:r>
    </w:p>
    <w:p>
      <w:pPr>
        <w:snapToGrid w:val="0"/>
        <w:spacing w:line="360" w:lineRule="auto"/>
        <w:ind w:firstLine="470" w:firstLineChars="196"/>
        <w:jc w:val="left"/>
        <w:rPr>
          <w:rFonts w:ascii="宋体" w:hAnsi="宋体" w:cs="宋体"/>
          <w:sz w:val="24"/>
        </w:rPr>
      </w:pPr>
      <w:r>
        <w:rPr>
          <w:rFonts w:hint="eastAsia" w:ascii="宋体" w:hAnsi="宋体" w:cs="宋体"/>
          <w:sz w:val="24"/>
        </w:rPr>
        <w:t>（6）</w:t>
      </w:r>
      <w:r>
        <w:rPr>
          <w:rFonts w:hint="eastAsia" w:ascii="宋体" w:hAnsi="宋体" w:cs="宋体"/>
          <w:sz w:val="24"/>
          <w:lang w:val="zh-CN"/>
        </w:rPr>
        <w:t>标线维护方案</w:t>
      </w:r>
    </w:p>
    <w:p>
      <w:pPr>
        <w:snapToGrid w:val="0"/>
        <w:spacing w:line="360" w:lineRule="auto"/>
        <w:ind w:firstLine="470" w:firstLineChars="196"/>
        <w:jc w:val="left"/>
        <w:rPr>
          <w:rFonts w:ascii="宋体" w:hAnsi="宋体" w:cs="宋体"/>
          <w:sz w:val="24"/>
          <w:lang w:val="zh-CN"/>
        </w:rPr>
      </w:pPr>
      <w:r>
        <w:rPr>
          <w:rFonts w:hint="eastAsia" w:ascii="宋体" w:hAnsi="宋体" w:cs="宋体"/>
          <w:sz w:val="24"/>
        </w:rPr>
        <w:t>（7）</w:t>
      </w:r>
      <w:r>
        <w:rPr>
          <w:rFonts w:hint="eastAsia" w:ascii="宋体" w:hAnsi="宋体" w:cs="宋体"/>
          <w:sz w:val="24"/>
          <w:lang w:val="zh-CN"/>
        </w:rPr>
        <w:t>安装施工组织方案</w:t>
      </w:r>
    </w:p>
    <w:p>
      <w:pPr>
        <w:snapToGrid w:val="0"/>
        <w:spacing w:line="360" w:lineRule="auto"/>
        <w:ind w:firstLine="470" w:firstLineChars="196"/>
        <w:jc w:val="left"/>
        <w:rPr>
          <w:rFonts w:ascii="宋体" w:hAnsi="宋体" w:cs="宋体"/>
          <w:sz w:val="24"/>
        </w:rPr>
      </w:pPr>
      <w:r>
        <w:rPr>
          <w:rFonts w:hint="eastAsia" w:ascii="宋体" w:hAnsi="宋体" w:cs="宋体"/>
          <w:sz w:val="24"/>
          <w:lang w:val="zh-CN"/>
        </w:rPr>
        <w:t>（</w:t>
      </w:r>
      <w:r>
        <w:rPr>
          <w:rFonts w:hint="eastAsia" w:ascii="宋体" w:hAnsi="宋体" w:cs="宋体"/>
          <w:sz w:val="24"/>
        </w:rPr>
        <w:t>8）</w:t>
      </w:r>
      <w:r>
        <w:rPr>
          <w:rFonts w:hint="eastAsia" w:ascii="宋体" w:hAnsi="宋体" w:cs="宋体"/>
          <w:sz w:val="24"/>
          <w:lang w:val="zh-CN"/>
        </w:rPr>
        <w:t>现场施工车辆方案</w:t>
      </w:r>
    </w:p>
    <w:p>
      <w:pPr>
        <w:snapToGrid w:val="0"/>
        <w:spacing w:line="360" w:lineRule="auto"/>
        <w:ind w:firstLine="470" w:firstLineChars="196"/>
        <w:jc w:val="left"/>
        <w:rPr>
          <w:rFonts w:ascii="宋体" w:hAnsi="宋体" w:cs="宋体"/>
          <w:sz w:val="24"/>
          <w:lang w:val="zh-CN"/>
        </w:rPr>
      </w:pPr>
      <w:r>
        <w:rPr>
          <w:rFonts w:hint="eastAsia" w:ascii="宋体" w:hAnsi="宋体" w:cs="宋体"/>
          <w:sz w:val="24"/>
          <w:lang w:val="zh-CN"/>
        </w:rPr>
        <w:t>（</w:t>
      </w:r>
      <w:r>
        <w:rPr>
          <w:rFonts w:hint="eastAsia" w:ascii="宋体" w:hAnsi="宋体" w:cs="宋体"/>
          <w:sz w:val="24"/>
        </w:rPr>
        <w:t>9）</w:t>
      </w:r>
      <w:r>
        <w:rPr>
          <w:rFonts w:hint="eastAsia" w:ascii="宋体" w:hAnsi="宋体" w:cs="宋体"/>
          <w:sz w:val="24"/>
          <w:lang w:val="zh-CN"/>
        </w:rPr>
        <w:t>安全防护措施方案</w:t>
      </w:r>
    </w:p>
    <w:p>
      <w:pPr>
        <w:snapToGrid w:val="0"/>
        <w:spacing w:line="360" w:lineRule="auto"/>
        <w:ind w:firstLine="470" w:firstLineChars="196"/>
        <w:jc w:val="left"/>
        <w:rPr>
          <w:rFonts w:ascii="宋体" w:hAnsi="宋体" w:cs="宋体"/>
          <w:sz w:val="24"/>
        </w:rPr>
      </w:pPr>
      <w:r>
        <w:rPr>
          <w:rFonts w:hint="eastAsia" w:ascii="宋体" w:hAnsi="宋体" w:cs="宋体"/>
          <w:sz w:val="24"/>
          <w:lang w:val="zh-CN"/>
        </w:rPr>
        <w:t>（</w:t>
      </w:r>
      <w:r>
        <w:rPr>
          <w:rFonts w:hint="eastAsia" w:ascii="宋体" w:hAnsi="宋体" w:cs="宋体"/>
          <w:sz w:val="24"/>
        </w:rPr>
        <w:t>10）</w:t>
      </w:r>
      <w:r>
        <w:rPr>
          <w:rFonts w:hint="eastAsia" w:ascii="宋体" w:hAnsi="宋体" w:cs="宋体"/>
          <w:sz w:val="24"/>
          <w:lang w:val="zh-CN"/>
        </w:rPr>
        <w:t>项目“设备材料制作”</w:t>
      </w:r>
      <w:r>
        <w:rPr>
          <w:rFonts w:hint="eastAsia" w:ascii="宋体" w:hAnsi="宋体" w:cs="宋体"/>
          <w:sz w:val="24"/>
        </w:rPr>
        <w:t>情况</w:t>
      </w:r>
    </w:p>
    <w:p>
      <w:pPr>
        <w:snapToGrid w:val="0"/>
        <w:spacing w:line="360" w:lineRule="auto"/>
        <w:ind w:firstLine="470" w:firstLineChars="196"/>
        <w:jc w:val="left"/>
        <w:rPr>
          <w:rFonts w:ascii="宋体" w:hAnsi="宋体" w:cs="宋体"/>
          <w:sz w:val="24"/>
        </w:rPr>
      </w:pPr>
      <w:r>
        <w:rPr>
          <w:rFonts w:hint="eastAsia" w:ascii="宋体" w:hAnsi="宋体" w:cs="宋体"/>
          <w:sz w:val="24"/>
        </w:rPr>
        <w:t>（11）</w:t>
      </w:r>
      <w:r>
        <w:rPr>
          <w:rFonts w:hint="eastAsia" w:ascii="宋体" w:hAnsi="宋体" w:cs="宋体"/>
          <w:sz w:val="24"/>
          <w:lang w:val="zh-CN"/>
        </w:rPr>
        <w:t>设施巡查方案</w:t>
      </w:r>
    </w:p>
    <w:p>
      <w:pPr>
        <w:snapToGrid w:val="0"/>
        <w:spacing w:line="360" w:lineRule="auto"/>
        <w:ind w:firstLine="470" w:firstLineChars="196"/>
        <w:jc w:val="left"/>
        <w:rPr>
          <w:rFonts w:ascii="宋体" w:hAnsi="宋体" w:cs="宋体"/>
          <w:sz w:val="24"/>
        </w:rPr>
      </w:pPr>
      <w:r>
        <w:rPr>
          <w:rFonts w:hint="eastAsia" w:ascii="宋体" w:hAnsi="宋体" w:cs="宋体"/>
          <w:sz w:val="24"/>
          <w:lang w:val="zh-CN"/>
        </w:rPr>
        <w:t>（</w:t>
      </w:r>
      <w:r>
        <w:rPr>
          <w:rFonts w:hint="eastAsia" w:ascii="宋体" w:hAnsi="宋体" w:cs="宋体"/>
          <w:sz w:val="24"/>
        </w:rPr>
        <w:t>12）</w:t>
      </w:r>
      <w:r>
        <w:rPr>
          <w:rFonts w:hint="eastAsia" w:ascii="宋体" w:hAnsi="宋体" w:cs="宋体"/>
          <w:sz w:val="24"/>
          <w:lang w:val="zh-CN"/>
        </w:rPr>
        <w:t>项目应急方案</w:t>
      </w:r>
    </w:p>
    <w:p>
      <w:pPr>
        <w:snapToGrid w:val="0"/>
        <w:spacing w:line="360" w:lineRule="auto"/>
        <w:ind w:firstLine="470" w:firstLineChars="196"/>
        <w:jc w:val="left"/>
        <w:rPr>
          <w:rFonts w:ascii="宋体" w:hAnsi="宋体" w:cs="宋体"/>
          <w:sz w:val="24"/>
          <w:lang w:val="zh-CN"/>
        </w:rPr>
      </w:pPr>
      <w:r>
        <w:rPr>
          <w:rFonts w:hint="eastAsia" w:ascii="宋体" w:hAnsi="宋体" w:cs="宋体"/>
          <w:sz w:val="24"/>
          <w:lang w:val="zh-CN"/>
        </w:rPr>
        <w:t>（</w:t>
      </w:r>
      <w:r>
        <w:rPr>
          <w:rFonts w:hint="eastAsia" w:ascii="宋体" w:hAnsi="宋体" w:cs="宋体"/>
          <w:sz w:val="24"/>
        </w:rPr>
        <w:t>13）</w:t>
      </w:r>
      <w:r>
        <w:rPr>
          <w:rFonts w:hint="eastAsia" w:ascii="宋体" w:hAnsi="宋体" w:cs="宋体"/>
          <w:sz w:val="24"/>
          <w:lang w:val="zh-CN"/>
        </w:rPr>
        <w:t>项目备品备件情况</w:t>
      </w:r>
    </w:p>
    <w:p>
      <w:pPr>
        <w:snapToGrid w:val="0"/>
        <w:spacing w:line="360" w:lineRule="auto"/>
        <w:ind w:firstLine="470" w:firstLineChars="196"/>
        <w:jc w:val="left"/>
        <w:rPr>
          <w:rFonts w:ascii="宋体" w:hAnsi="宋体" w:cs="宋体"/>
          <w:sz w:val="24"/>
        </w:rPr>
      </w:pPr>
      <w:r>
        <w:rPr>
          <w:rFonts w:hint="eastAsia" w:ascii="宋体" w:hAnsi="宋体" w:cs="宋体"/>
          <w:sz w:val="24"/>
        </w:rPr>
        <w:t>（14）项目履行承诺</w:t>
      </w:r>
    </w:p>
    <w:p>
      <w:pPr>
        <w:snapToGrid w:val="0"/>
        <w:spacing w:line="360" w:lineRule="auto"/>
        <w:ind w:firstLine="470" w:firstLineChars="196"/>
        <w:jc w:val="left"/>
        <w:rPr>
          <w:rFonts w:ascii="宋体" w:hAnsi="宋体" w:cs="宋体"/>
          <w:sz w:val="24"/>
        </w:rPr>
      </w:pPr>
      <w:r>
        <w:rPr>
          <w:rFonts w:hint="eastAsia" w:ascii="宋体" w:hAnsi="宋体" w:cs="宋体"/>
          <w:sz w:val="24"/>
        </w:rPr>
        <w:t>（15）评标标准相应的商务技术资料</w:t>
      </w:r>
    </w:p>
    <w:p>
      <w:pPr>
        <w:snapToGrid w:val="0"/>
        <w:spacing w:line="360" w:lineRule="auto"/>
        <w:ind w:firstLine="480" w:firstLineChars="200"/>
        <w:jc w:val="left"/>
        <w:rPr>
          <w:rFonts w:ascii="宋体" w:hAnsi="宋体" w:cs="宋体"/>
          <w:sz w:val="24"/>
        </w:rPr>
      </w:pPr>
      <w:r>
        <w:rPr>
          <w:rFonts w:hint="eastAsia" w:ascii="宋体" w:hAnsi="宋体" w:cs="宋体"/>
          <w:sz w:val="24"/>
        </w:rPr>
        <w:t>3、报价文件目录</w:t>
      </w:r>
    </w:p>
    <w:p>
      <w:pPr>
        <w:snapToGrid w:val="0"/>
        <w:spacing w:line="360" w:lineRule="auto"/>
        <w:ind w:firstLine="470" w:firstLineChars="196"/>
        <w:jc w:val="left"/>
        <w:rPr>
          <w:rFonts w:ascii="宋体" w:hAnsi="宋体" w:cs="宋体"/>
          <w:sz w:val="24"/>
        </w:rPr>
      </w:pPr>
      <w:r>
        <w:rPr>
          <w:rFonts w:hint="eastAsia" w:ascii="宋体" w:hAnsi="宋体" w:cs="宋体"/>
          <w:sz w:val="24"/>
        </w:rPr>
        <w:t>（1）开标一览表</w:t>
      </w:r>
      <w:r>
        <w:rPr>
          <w:rFonts w:hint="eastAsia" w:ascii="宋体" w:hAnsi="宋体" w:cs="宋体"/>
          <w:sz w:val="24"/>
          <w:lang w:val="zh-CN"/>
        </w:rPr>
        <w:t>（报价表）</w:t>
      </w:r>
    </w:p>
    <w:p>
      <w:pPr>
        <w:snapToGrid w:val="0"/>
        <w:spacing w:line="360" w:lineRule="auto"/>
        <w:ind w:firstLine="470" w:firstLineChars="196"/>
        <w:jc w:val="left"/>
        <w:rPr>
          <w:rFonts w:ascii="宋体" w:hAnsi="宋体" w:cs="宋体"/>
          <w:sz w:val="24"/>
        </w:rPr>
      </w:pPr>
      <w:r>
        <w:rPr>
          <w:rFonts w:hint="eastAsia" w:ascii="宋体" w:hAnsi="宋体" w:cs="宋体"/>
          <w:sz w:val="24"/>
        </w:rPr>
        <w:t>（2）分项报价表</w:t>
      </w:r>
    </w:p>
    <w:p>
      <w:pPr>
        <w:snapToGrid w:val="0"/>
        <w:spacing w:line="360" w:lineRule="auto"/>
        <w:ind w:firstLine="470" w:firstLineChars="196"/>
        <w:jc w:val="left"/>
        <w:rPr>
          <w:rFonts w:ascii="宋体" w:hAnsi="宋体" w:cs="宋体"/>
          <w:sz w:val="24"/>
        </w:rPr>
      </w:pPr>
      <w:r>
        <w:rPr>
          <w:rFonts w:hint="eastAsia" w:ascii="宋体" w:hAnsi="宋体" w:cs="宋体"/>
          <w:sz w:val="24"/>
        </w:rPr>
        <w:t>（3）中小企业声明函</w:t>
      </w:r>
      <w:r>
        <w:rPr>
          <w:rFonts w:hint="eastAsia" w:ascii="宋体" w:hAnsi="宋体" w:cs="宋体"/>
          <w:sz w:val="24"/>
          <w:lang w:val="zh-CN"/>
        </w:rPr>
        <w:t>（如果有）</w:t>
      </w:r>
    </w:p>
    <w:p>
      <w:pPr>
        <w:snapToGrid w:val="0"/>
        <w:spacing w:line="360" w:lineRule="auto"/>
        <w:ind w:firstLine="470" w:firstLineChars="196"/>
        <w:jc w:val="left"/>
        <w:rPr>
          <w:rFonts w:ascii="宋体" w:hAnsi="宋体" w:cs="宋体"/>
          <w:sz w:val="24"/>
        </w:rPr>
      </w:pPr>
      <w:r>
        <w:rPr>
          <w:rFonts w:hint="eastAsia" w:ascii="宋体" w:hAnsi="宋体" w:cs="宋体"/>
          <w:sz w:val="24"/>
        </w:rPr>
        <w:t>（4）残疾人福利性单位声明函（如有）</w:t>
      </w:r>
    </w:p>
    <w:p>
      <w:pPr>
        <w:snapToGrid w:val="0"/>
        <w:spacing w:line="360" w:lineRule="auto"/>
        <w:ind w:firstLine="470" w:firstLineChars="196"/>
        <w:jc w:val="left"/>
        <w:rPr>
          <w:rFonts w:ascii="宋体" w:hAnsi="宋体" w:cs="宋体"/>
          <w:sz w:val="24"/>
        </w:rPr>
      </w:pPr>
      <w:r>
        <w:rPr>
          <w:rFonts w:hint="eastAsia" w:ascii="宋体" w:hAnsi="宋体" w:cs="宋体"/>
          <w:sz w:val="24"/>
        </w:rPr>
        <w:t>（5）监狱企业的证明文件（如有）</w:t>
      </w:r>
    </w:p>
    <w:p>
      <w:pPr>
        <w:snapToGrid w:val="0"/>
        <w:spacing w:line="360" w:lineRule="auto"/>
        <w:ind w:firstLine="470" w:firstLineChars="196"/>
        <w:jc w:val="left"/>
        <w:rPr>
          <w:rFonts w:ascii="宋体" w:hAnsi="宋体" w:cs="宋体"/>
          <w:sz w:val="24"/>
          <w:u w:val="single"/>
        </w:rPr>
      </w:pPr>
      <w:r>
        <w:rPr>
          <w:rFonts w:hint="eastAsia" w:ascii="宋体" w:hAnsi="宋体" w:cs="宋体"/>
          <w:sz w:val="24"/>
          <w:u w:val="single"/>
        </w:rPr>
        <w:t>▲注：资格文件、商务技术文件中不得出现项目报价信息，否则将作无效标处理。</w:t>
      </w:r>
    </w:p>
    <w:p>
      <w:pPr>
        <w:spacing w:line="360" w:lineRule="auto"/>
        <w:ind w:left="359" w:leftChars="171"/>
        <w:rPr>
          <w:rFonts w:ascii="宋体" w:hAnsi="宋体" w:cs="宋体"/>
          <w:sz w:val="24"/>
        </w:rPr>
      </w:pPr>
      <w:r>
        <w:rPr>
          <w:rFonts w:hint="eastAsia" w:ascii="宋体" w:hAnsi="宋体" w:cs="宋体"/>
          <w:sz w:val="24"/>
        </w:rPr>
        <w:t>（五）投标文件格式</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投标人提交的投标文件应当使用招标文件所提供的投标文件格式，表格格式在不改变格式内容的情况下可自行制作。投标人不按上述要求制作和编排而导致投标文件被误读或查找不到有效文件是投标人的风险。</w:t>
      </w:r>
    </w:p>
    <w:p>
      <w:pPr>
        <w:adjustRightInd w:val="0"/>
        <w:snapToGrid w:val="0"/>
        <w:spacing w:line="360" w:lineRule="auto"/>
        <w:ind w:firstLine="482" w:firstLineChars="200"/>
        <w:rPr>
          <w:rFonts w:ascii="宋体" w:hAnsi="宋体" w:cs="宋体"/>
          <w:b/>
          <w:bCs/>
          <w:sz w:val="24"/>
        </w:rPr>
      </w:pPr>
      <w:r>
        <w:rPr>
          <w:rFonts w:hint="eastAsia" w:ascii="宋体" w:hAnsi="宋体" w:cs="宋体"/>
          <w:b/>
          <w:bCs/>
          <w:sz w:val="24"/>
        </w:rPr>
        <w:t>（六）投标报价</w:t>
      </w:r>
    </w:p>
    <w:p>
      <w:pPr>
        <w:adjustRightInd w:val="0"/>
        <w:snapToGrid w:val="0"/>
        <w:spacing w:line="360" w:lineRule="auto"/>
        <w:ind w:firstLine="480" w:firstLineChars="200"/>
        <w:rPr>
          <w:rFonts w:ascii="宋体" w:hAnsi="宋体" w:cs="宋体"/>
          <w:sz w:val="24"/>
          <w:u w:val="single"/>
        </w:rPr>
      </w:pPr>
      <w:r>
        <w:rPr>
          <w:rFonts w:hint="eastAsia" w:ascii="宋体" w:hAnsi="宋体" w:cs="宋体"/>
          <w:sz w:val="24"/>
          <w:u w:val="single"/>
        </w:rPr>
        <w:t>1、▲投标报价是指卖方在正确地完全履行合同义务后买方应支付给卖方所有的服务价款，即在承包区域内提供产品供货、运输、车辆、安装、调试、售后服务、维护费、服务费用（包含人员工资、加班工资、《劳动合同法》规定的各种社会保险费、人员食宿与交通、工具、办公费、车辆使用）及税金等完成合同所需的一切本身和不可或缺的所有工作开支、政策性文件规定合同包含的所有风险、责任等各项全部费用并承担一切风险责任，实行固定单价，数量按实结算，投标人应根据上述因素自行考虑含入投标报价中。</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sz w:val="24"/>
          <w:u w:val="single"/>
        </w:rPr>
        <w:t>▲所有投标均以人民币报价。</w:t>
      </w:r>
      <w:r>
        <w:rPr>
          <w:rFonts w:hint="eastAsia" w:ascii="宋体" w:hAnsi="宋体" w:cs="宋体"/>
          <w:sz w:val="24"/>
        </w:rPr>
        <w:t>投标人如需外汇购入某些货物，须折合成人民币计入投标报价中。</w:t>
      </w:r>
    </w:p>
    <w:p>
      <w:pPr>
        <w:adjustRightInd w:val="0"/>
        <w:snapToGrid w:val="0"/>
        <w:spacing w:line="360" w:lineRule="auto"/>
        <w:ind w:firstLine="480" w:firstLineChars="200"/>
        <w:rPr>
          <w:rFonts w:ascii="宋体" w:hAnsi="宋体" w:cs="宋体"/>
          <w:sz w:val="24"/>
          <w:u w:val="single"/>
        </w:rPr>
      </w:pPr>
      <w:r>
        <w:rPr>
          <w:rFonts w:hint="eastAsia" w:ascii="宋体" w:hAnsi="宋体" w:cs="宋体"/>
          <w:sz w:val="24"/>
        </w:rPr>
        <w:t>3、▲</w:t>
      </w:r>
      <w:r>
        <w:rPr>
          <w:rFonts w:hint="eastAsia" w:ascii="宋体" w:hAnsi="宋体" w:cs="宋体"/>
          <w:sz w:val="24"/>
          <w:u w:val="single"/>
        </w:rPr>
        <w:t>采购代理机构和采购人不接受任何选择报价，对每一项只允许一个报价。</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4、投标人所报的投标价在合同执行过程中是固定不变的，不得以任何理由予以变更。任何包含价格调整的要求，将被认为是非实质性响应投标而予以拒绝。</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5、所有的投标报价均为货物或服务到买方指定的工地价。</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6、最低报价不能作为成交的保证。</w:t>
      </w:r>
    </w:p>
    <w:p>
      <w:pPr>
        <w:snapToGrid w:val="0"/>
        <w:spacing w:line="360" w:lineRule="auto"/>
        <w:ind w:firstLine="480" w:firstLineChars="200"/>
        <w:rPr>
          <w:rFonts w:ascii="宋体" w:hAnsi="宋体" w:cs="宋体"/>
          <w:sz w:val="24"/>
        </w:rPr>
      </w:pPr>
      <w:r>
        <w:rPr>
          <w:rFonts w:hint="eastAsia" w:ascii="宋体" w:hAnsi="宋体" w:cs="宋体"/>
          <w:sz w:val="24"/>
        </w:rPr>
        <w:t>7、投标人可在投标文件中对招标货物的技术规格和要求选用替代标准，但这些替代标准必须相当于或优于招标文件中提出的相应要求，并使采购人满意，同时在技术偏离表中做出详细说明。</w:t>
      </w:r>
    </w:p>
    <w:p>
      <w:pPr>
        <w:adjustRightInd w:val="0"/>
        <w:snapToGrid w:val="0"/>
        <w:spacing w:line="360" w:lineRule="auto"/>
        <w:ind w:firstLine="482" w:firstLineChars="200"/>
        <w:rPr>
          <w:rFonts w:ascii="宋体" w:hAnsi="宋体" w:cs="宋体"/>
          <w:b/>
          <w:bCs/>
          <w:sz w:val="24"/>
        </w:rPr>
      </w:pPr>
      <w:r>
        <w:rPr>
          <w:rFonts w:hint="eastAsia" w:ascii="宋体" w:hAnsi="宋体" w:cs="宋体"/>
          <w:b/>
          <w:bCs/>
          <w:sz w:val="24"/>
        </w:rPr>
        <w:t>（七）投标有效期</w:t>
      </w:r>
    </w:p>
    <w:p>
      <w:pPr>
        <w:adjustRightInd w:val="0"/>
        <w:snapToGrid w:val="0"/>
        <w:spacing w:line="360" w:lineRule="auto"/>
        <w:ind w:firstLine="480" w:firstLineChars="200"/>
        <w:rPr>
          <w:rFonts w:ascii="宋体" w:hAnsi="宋体" w:cs="宋体"/>
          <w:sz w:val="24"/>
          <w:u w:val="single"/>
        </w:rPr>
      </w:pPr>
      <w:r>
        <w:rPr>
          <w:rFonts w:hint="eastAsia" w:ascii="宋体" w:hAnsi="宋体" w:cs="宋体"/>
          <w:sz w:val="24"/>
        </w:rPr>
        <w:t>1、</w:t>
      </w:r>
      <w:r>
        <w:rPr>
          <w:rFonts w:hint="eastAsia" w:ascii="宋体" w:hAnsi="宋体" w:cs="宋体"/>
          <w:sz w:val="24"/>
          <w:u w:val="single"/>
        </w:rPr>
        <w:t>▲自开标之日起</w:t>
      </w:r>
      <w:r>
        <w:rPr>
          <w:rFonts w:hint="eastAsia" w:ascii="宋体" w:hAnsi="宋体" w:cs="宋体"/>
          <w:bCs/>
          <w:sz w:val="24"/>
          <w:u w:val="single"/>
        </w:rPr>
        <w:t>120</w:t>
      </w:r>
      <w:r>
        <w:rPr>
          <w:rFonts w:hint="eastAsia" w:ascii="宋体" w:hAnsi="宋体" w:cs="宋体"/>
          <w:sz w:val="24"/>
          <w:u w:val="single"/>
        </w:rPr>
        <w:t>天内投标应保持有效。投标有效期短于这个规定期限的投标将视为未满足招标文件实质性要求作无效标处理。</w:t>
      </w:r>
    </w:p>
    <w:p>
      <w:pPr>
        <w:adjustRightInd w:val="0"/>
        <w:snapToGrid w:val="0"/>
        <w:spacing w:line="360" w:lineRule="auto"/>
        <w:ind w:firstLine="480" w:firstLineChars="200"/>
        <w:rPr>
          <w:rFonts w:ascii="宋体" w:hAnsi="宋体" w:cs="宋体"/>
          <w:b/>
          <w:sz w:val="24"/>
        </w:rPr>
      </w:pPr>
      <w:r>
        <w:rPr>
          <w:rFonts w:hint="eastAsia" w:ascii="宋体" w:hAnsi="宋体" w:cs="宋体"/>
          <w:sz w:val="24"/>
        </w:rPr>
        <w:t>2、特殊情况下，在原投标有效期截止前，采购人可与投标人协商延长投标有效期，这种要求和答复均以书面形式进行。投标人可拒绝接受延期要求，同意延长投标有效期的投标人不得修改投标文件。</w:t>
      </w:r>
    </w:p>
    <w:p>
      <w:pPr>
        <w:spacing w:before="100" w:beforeAutospacing="1" w:after="100" w:afterAutospacing="1" w:line="360" w:lineRule="auto"/>
        <w:jc w:val="center"/>
        <w:rPr>
          <w:rFonts w:ascii="宋体" w:hAnsi="宋体" w:cs="宋体"/>
          <w:sz w:val="36"/>
          <w:szCs w:val="36"/>
        </w:rPr>
      </w:pPr>
      <w:r>
        <w:rPr>
          <w:rFonts w:hint="eastAsia" w:ascii="宋体" w:hAnsi="宋体" w:cs="宋体"/>
          <w:b/>
          <w:bCs/>
          <w:sz w:val="36"/>
          <w:szCs w:val="36"/>
        </w:rPr>
        <w:t>四投标文件的递交</w:t>
      </w:r>
    </w:p>
    <w:p>
      <w:pPr>
        <w:widowControl/>
        <w:spacing w:line="360" w:lineRule="auto"/>
        <w:ind w:firstLine="361" w:firstLineChars="150"/>
        <w:jc w:val="left"/>
        <w:rPr>
          <w:rFonts w:ascii="宋体" w:hAnsi="宋体" w:cs="宋体"/>
          <w:b/>
          <w:sz w:val="24"/>
        </w:rPr>
      </w:pPr>
      <w:r>
        <w:rPr>
          <w:rFonts w:hint="eastAsia" w:ascii="宋体" w:hAnsi="宋体" w:cs="宋体"/>
          <w:b/>
          <w:sz w:val="24"/>
        </w:rPr>
        <w:t>（一）投标文件的递交</w:t>
      </w:r>
    </w:p>
    <w:p>
      <w:pPr>
        <w:tabs>
          <w:tab w:val="left" w:pos="315"/>
        </w:tabs>
        <w:adjustRightInd w:val="0"/>
        <w:snapToGrid w:val="0"/>
        <w:spacing w:line="360" w:lineRule="auto"/>
        <w:ind w:firstLine="480" w:firstLineChars="200"/>
        <w:rPr>
          <w:rFonts w:ascii="宋体" w:hAnsi="宋体" w:cs="宋体"/>
          <w:bCs/>
          <w:sz w:val="24"/>
        </w:rPr>
      </w:pPr>
      <w:r>
        <w:rPr>
          <w:rFonts w:hint="eastAsia" w:ascii="宋体" w:hAnsi="宋体" w:cs="宋体"/>
          <w:bCs/>
          <w:sz w:val="24"/>
        </w:rPr>
        <w:t>1、电子投标文件上传的地点和截止时间</w:t>
      </w:r>
    </w:p>
    <w:p>
      <w:pPr>
        <w:spacing w:line="360" w:lineRule="auto"/>
        <w:ind w:firstLine="480" w:firstLineChars="200"/>
        <w:rPr>
          <w:rFonts w:ascii="宋体" w:hAnsi="宋体" w:cs="宋体"/>
          <w:sz w:val="24"/>
        </w:rPr>
      </w:pPr>
      <w:r>
        <w:rPr>
          <w:rFonts w:hint="eastAsia" w:ascii="宋体" w:hAnsi="宋体" w:cs="宋体"/>
          <w:sz w:val="24"/>
        </w:rPr>
        <w:t>供应商应于</w:t>
      </w:r>
      <w:r>
        <w:rPr>
          <w:rFonts w:hint="eastAsia" w:ascii="宋体" w:hAnsi="宋体" w:cs="宋体"/>
          <w:kern w:val="0"/>
          <w:sz w:val="24"/>
        </w:rPr>
        <w:t>2023年</w:t>
      </w:r>
      <w:r>
        <w:rPr>
          <w:rFonts w:hint="eastAsia" w:ascii="宋体" w:hAnsi="宋体" w:cs="宋体"/>
          <w:kern w:val="0"/>
          <w:sz w:val="24"/>
          <w:lang w:val="en-US" w:eastAsia="zh-CN"/>
        </w:rPr>
        <w:t>2</w:t>
      </w:r>
      <w:r>
        <w:rPr>
          <w:rFonts w:hint="eastAsia" w:ascii="宋体" w:hAnsi="宋体" w:cs="宋体"/>
          <w:kern w:val="0"/>
          <w:sz w:val="24"/>
        </w:rPr>
        <w:t>月</w:t>
      </w:r>
      <w:r>
        <w:rPr>
          <w:rFonts w:hint="eastAsia" w:ascii="宋体" w:hAnsi="宋体" w:cs="宋体"/>
          <w:kern w:val="0"/>
          <w:sz w:val="24"/>
          <w:lang w:val="en-US" w:eastAsia="zh-CN"/>
        </w:rPr>
        <w:t>7</w:t>
      </w:r>
      <w:r>
        <w:rPr>
          <w:rFonts w:hint="eastAsia" w:ascii="宋体" w:hAnsi="宋体" w:cs="宋体"/>
          <w:kern w:val="0"/>
          <w:sz w:val="24"/>
        </w:rPr>
        <w:t>日9:30时整之前</w:t>
      </w:r>
      <w:r>
        <w:rPr>
          <w:rFonts w:hint="eastAsia" w:ascii="宋体" w:hAnsi="宋体" w:cs="宋体"/>
          <w:sz w:val="24"/>
        </w:rPr>
        <w:t>在政采云上自行加密上传电子投标文件，逾期上传或未按要求上传的投标文件将予以拒收。</w:t>
      </w:r>
    </w:p>
    <w:p>
      <w:pPr>
        <w:tabs>
          <w:tab w:val="left" w:pos="315"/>
        </w:tabs>
        <w:adjustRightInd w:val="0"/>
        <w:snapToGrid w:val="0"/>
        <w:spacing w:line="360" w:lineRule="auto"/>
        <w:ind w:firstLine="480" w:firstLineChars="200"/>
        <w:rPr>
          <w:rFonts w:ascii="宋体" w:hAnsi="宋体" w:cs="宋体"/>
          <w:bCs/>
          <w:sz w:val="24"/>
          <w:u w:val="single"/>
        </w:rPr>
      </w:pPr>
      <w:r>
        <w:rPr>
          <w:rFonts w:hint="eastAsia" w:ascii="宋体" w:hAnsi="宋体" w:cs="宋体"/>
          <w:bCs/>
          <w:sz w:val="24"/>
        </w:rPr>
        <w:t>2、迟交的投标文件</w:t>
      </w:r>
    </w:p>
    <w:p>
      <w:pPr>
        <w:tabs>
          <w:tab w:val="left" w:pos="315"/>
        </w:tabs>
        <w:adjustRightInd w:val="0"/>
        <w:snapToGrid w:val="0"/>
        <w:spacing w:line="360" w:lineRule="auto"/>
        <w:ind w:firstLine="456" w:firstLineChars="200"/>
        <w:rPr>
          <w:rFonts w:ascii="宋体" w:hAnsi="宋体" w:cs="宋体"/>
          <w:spacing w:val="-6"/>
          <w:sz w:val="24"/>
        </w:rPr>
      </w:pPr>
      <w:r>
        <w:rPr>
          <w:rFonts w:hint="eastAsia" w:ascii="宋体" w:hAnsi="宋体" w:cs="宋体"/>
          <w:spacing w:val="-6"/>
          <w:sz w:val="24"/>
        </w:rPr>
        <w:t>在规定的投标截止时间以后政采云平台将不接收投标文件。</w:t>
      </w:r>
    </w:p>
    <w:p>
      <w:pPr>
        <w:spacing w:line="360" w:lineRule="auto"/>
        <w:ind w:firstLine="482" w:firstLineChars="200"/>
        <w:rPr>
          <w:rFonts w:ascii="宋体" w:hAnsi="宋体" w:cs="宋体"/>
          <w:b/>
          <w:sz w:val="24"/>
        </w:rPr>
      </w:pPr>
      <w:r>
        <w:rPr>
          <w:rFonts w:hint="eastAsia" w:ascii="宋体" w:hAnsi="宋体" w:cs="宋体"/>
          <w:b/>
          <w:bCs/>
          <w:sz w:val="24"/>
        </w:rPr>
        <w:t>（二）</w:t>
      </w:r>
      <w:r>
        <w:rPr>
          <w:rFonts w:hint="eastAsia" w:ascii="宋体" w:hAnsi="宋体" w:cs="宋体"/>
          <w:b/>
          <w:sz w:val="24"/>
        </w:rPr>
        <w:t>投标文件解密</w:t>
      </w:r>
    </w:p>
    <w:p>
      <w:pPr>
        <w:spacing w:line="360" w:lineRule="auto"/>
        <w:ind w:firstLine="456" w:firstLineChars="200"/>
        <w:rPr>
          <w:rFonts w:ascii="宋体" w:hAnsi="宋体" w:cs="宋体"/>
          <w:sz w:val="24"/>
        </w:rPr>
      </w:pPr>
      <w:r>
        <w:rPr>
          <w:rFonts w:hint="eastAsia" w:ascii="宋体" w:hAnsi="宋体" w:cs="宋体"/>
          <w:spacing w:val="-6"/>
          <w:sz w:val="24"/>
        </w:rPr>
        <w:t>开标时间</w:t>
      </w:r>
      <w:r>
        <w:rPr>
          <w:rFonts w:hint="eastAsia" w:ascii="宋体" w:hAnsi="宋体" w:cs="宋体"/>
          <w:sz w:val="24"/>
        </w:rPr>
        <w:t>后30分钟内（2023年</w:t>
      </w:r>
      <w:r>
        <w:rPr>
          <w:rFonts w:hint="eastAsia" w:ascii="宋体" w:hAnsi="宋体" w:cs="宋体"/>
          <w:sz w:val="24"/>
          <w:lang w:val="en-US" w:eastAsia="zh-CN"/>
        </w:rPr>
        <w:t>2</w:t>
      </w:r>
      <w:r>
        <w:rPr>
          <w:rFonts w:hint="eastAsia" w:ascii="宋体" w:hAnsi="宋体" w:cs="宋体"/>
          <w:sz w:val="24"/>
        </w:rPr>
        <w:t>月</w:t>
      </w:r>
      <w:r>
        <w:rPr>
          <w:rFonts w:hint="eastAsia" w:ascii="宋体" w:hAnsi="宋体" w:cs="宋体"/>
          <w:sz w:val="24"/>
          <w:lang w:val="en-US" w:eastAsia="zh-CN"/>
        </w:rPr>
        <w:t>7</w:t>
      </w:r>
      <w:r>
        <w:rPr>
          <w:rFonts w:hint="eastAsia" w:ascii="宋体" w:hAnsi="宋体" w:cs="宋体"/>
          <w:sz w:val="24"/>
        </w:rPr>
        <w:t>日10:00前）供应商可以登录“政采云”平台，用“项目采购-开标评审”功能进行解密投标文件，待所有投标文件解密后开始开评标。若供应商在规定时间内（2023年</w:t>
      </w:r>
      <w:r>
        <w:rPr>
          <w:rFonts w:hint="eastAsia" w:ascii="宋体" w:hAnsi="宋体" w:cs="宋体"/>
          <w:sz w:val="24"/>
          <w:lang w:val="en-US" w:eastAsia="zh-CN"/>
        </w:rPr>
        <w:t>2</w:t>
      </w:r>
      <w:r>
        <w:rPr>
          <w:rFonts w:hint="eastAsia" w:ascii="宋体" w:hAnsi="宋体" w:cs="宋体"/>
          <w:sz w:val="24"/>
        </w:rPr>
        <w:t>月</w:t>
      </w:r>
      <w:r>
        <w:rPr>
          <w:rFonts w:hint="eastAsia" w:ascii="宋体" w:hAnsi="宋体" w:cs="宋体"/>
          <w:sz w:val="24"/>
          <w:lang w:val="en-US" w:eastAsia="zh-CN"/>
        </w:rPr>
        <w:t>7</w:t>
      </w:r>
      <w:r>
        <w:rPr>
          <w:rFonts w:hint="eastAsia" w:ascii="宋体" w:hAnsi="宋体" w:cs="宋体"/>
          <w:sz w:val="24"/>
        </w:rPr>
        <w:t>日上午10:00前）无法解密或解密失败，将导致投标无效或失败。</w:t>
      </w:r>
    </w:p>
    <w:p>
      <w:pPr>
        <w:pStyle w:val="12"/>
        <w:adjustRightInd w:val="0"/>
        <w:snapToGrid w:val="0"/>
        <w:spacing w:line="360" w:lineRule="auto"/>
        <w:ind w:firstLine="482" w:firstLineChars="200"/>
        <w:rPr>
          <w:rFonts w:hAnsi="宋体" w:cs="宋体"/>
          <w:b/>
          <w:iCs/>
          <w:kern w:val="0"/>
          <w:sz w:val="24"/>
          <w:szCs w:val="24"/>
        </w:rPr>
      </w:pPr>
      <w:r>
        <w:rPr>
          <w:rFonts w:hint="eastAsia" w:hAnsi="宋体" w:cs="宋体"/>
          <w:b/>
          <w:iCs/>
          <w:kern w:val="0"/>
          <w:sz w:val="24"/>
          <w:szCs w:val="24"/>
        </w:rPr>
        <w:t>注：为确保采购项目顺利实施，避免因政采云上电子投标文件解密失败导致投标人投标无效，投标人可在2023年</w:t>
      </w:r>
      <w:r>
        <w:rPr>
          <w:rFonts w:hint="eastAsia" w:hAnsi="宋体" w:cs="宋体"/>
          <w:b/>
          <w:iCs/>
          <w:kern w:val="0"/>
          <w:sz w:val="24"/>
          <w:szCs w:val="24"/>
          <w:lang w:val="en-US" w:eastAsia="zh-CN"/>
        </w:rPr>
        <w:t>2</w:t>
      </w:r>
      <w:r>
        <w:rPr>
          <w:rFonts w:hint="eastAsia" w:hAnsi="宋体" w:cs="宋体"/>
          <w:b/>
          <w:iCs/>
          <w:kern w:val="0"/>
          <w:sz w:val="24"/>
          <w:szCs w:val="24"/>
        </w:rPr>
        <w:t>月</w:t>
      </w:r>
      <w:r>
        <w:rPr>
          <w:rFonts w:hint="eastAsia" w:hAnsi="宋体" w:cs="宋体"/>
          <w:b/>
          <w:iCs/>
          <w:kern w:val="0"/>
          <w:sz w:val="24"/>
          <w:szCs w:val="24"/>
          <w:lang w:val="en-US" w:eastAsia="zh-CN"/>
        </w:rPr>
        <w:t>7</w:t>
      </w:r>
      <w:r>
        <w:rPr>
          <w:rFonts w:hint="eastAsia" w:hAnsi="宋体" w:cs="宋体"/>
          <w:b/>
          <w:iCs/>
          <w:kern w:val="0"/>
          <w:sz w:val="24"/>
          <w:szCs w:val="24"/>
        </w:rPr>
        <w:t>日9:30时整之前将在政采云平台上最后生成的具备电子签章的备份加密投标文件（文件名后缀为“备份文件”四字的首字母）以电子邮件方式传送至浙江五石中正工程咨询有限公司邮箱（</w:t>
      </w:r>
      <w:r>
        <w:rPr>
          <w:rFonts w:hint="eastAsia" w:hAnsi="宋体" w:cs="宋体"/>
          <w:iCs/>
          <w:kern w:val="0"/>
          <w:sz w:val="24"/>
          <w:szCs w:val="24"/>
        </w:rPr>
        <w:t>hzwszb@163.com</w:t>
      </w:r>
      <w:r>
        <w:rPr>
          <w:rFonts w:hint="eastAsia" w:hAnsi="宋体" w:cs="宋体"/>
          <w:b/>
          <w:iCs/>
          <w:kern w:val="0"/>
          <w:sz w:val="24"/>
          <w:szCs w:val="24"/>
        </w:rPr>
        <w:t>），传送的备份电子投标文件需打包压缩并加密，加密密码由投标人自行保管，如备份电子投标文件未加密，则投标人需自行承担投标文件提前泄密的风险。如政采云上电子投标文件出现解密失败情况（投标当日9:30-10:00期间进行解密），投标人可按照自身意愿确认是否同意提供加密密码解密传送至浙江五石中正工程咨询有限公司邮箱的备份文件，并以备份文件作为替代电子投标文件，如投标人未按照规定时间（2023年</w:t>
      </w:r>
      <w:r>
        <w:rPr>
          <w:rFonts w:hint="eastAsia" w:hAnsi="宋体" w:cs="宋体"/>
          <w:b/>
          <w:iCs/>
          <w:kern w:val="0"/>
          <w:sz w:val="24"/>
          <w:szCs w:val="24"/>
          <w:lang w:val="en-US" w:eastAsia="zh-CN"/>
        </w:rPr>
        <w:t>2</w:t>
      </w:r>
      <w:r>
        <w:rPr>
          <w:rFonts w:hint="eastAsia" w:hAnsi="宋体" w:cs="宋体"/>
          <w:b/>
          <w:iCs/>
          <w:kern w:val="0"/>
          <w:sz w:val="24"/>
          <w:szCs w:val="24"/>
        </w:rPr>
        <w:t>月</w:t>
      </w:r>
      <w:r>
        <w:rPr>
          <w:rFonts w:hint="eastAsia" w:hAnsi="宋体" w:cs="宋体"/>
          <w:b/>
          <w:iCs/>
          <w:kern w:val="0"/>
          <w:sz w:val="24"/>
          <w:szCs w:val="24"/>
          <w:lang w:val="en-US" w:eastAsia="zh-CN"/>
        </w:rPr>
        <w:t>7</w:t>
      </w:r>
      <w:r>
        <w:rPr>
          <w:rFonts w:hint="eastAsia" w:hAnsi="宋体" w:cs="宋体"/>
          <w:b/>
          <w:iCs/>
          <w:kern w:val="0"/>
          <w:sz w:val="24"/>
          <w:szCs w:val="24"/>
        </w:rPr>
        <w:t>日9:30时整之前）及要求提供有效备份文件，同时政采云上投标文件解密失败的，将导致投标响应无效。电子投标文件与备份投标文件必须同时生成且内容完全一致。</w:t>
      </w:r>
    </w:p>
    <w:p>
      <w:pPr>
        <w:spacing w:line="360" w:lineRule="auto"/>
        <w:ind w:firstLine="354" w:firstLineChars="147"/>
        <w:rPr>
          <w:rFonts w:ascii="宋体" w:hAnsi="宋体" w:cs="宋体"/>
          <w:b/>
          <w:bCs/>
          <w:sz w:val="24"/>
          <w:u w:val="single"/>
        </w:rPr>
      </w:pPr>
      <w:r>
        <w:rPr>
          <w:rFonts w:hint="eastAsia" w:ascii="宋体" w:hAnsi="宋体" w:cs="宋体"/>
          <w:b/>
          <w:sz w:val="24"/>
        </w:rPr>
        <w:t>（三）</w:t>
      </w:r>
      <w:r>
        <w:rPr>
          <w:rFonts w:hint="eastAsia" w:ascii="宋体" w:hAnsi="宋体" w:cs="宋体"/>
          <w:b/>
          <w:bCs/>
          <w:sz w:val="24"/>
        </w:rPr>
        <w:t>投标文件的补充、修改与撤回</w:t>
      </w:r>
    </w:p>
    <w:p>
      <w:pPr>
        <w:tabs>
          <w:tab w:val="left" w:pos="315"/>
        </w:tabs>
        <w:adjustRightInd w:val="0"/>
        <w:snapToGrid w:val="0"/>
        <w:spacing w:line="360" w:lineRule="auto"/>
        <w:ind w:firstLine="480" w:firstLineChars="200"/>
        <w:rPr>
          <w:rFonts w:ascii="宋体" w:hAnsi="宋体" w:cs="宋体"/>
          <w:sz w:val="24"/>
        </w:rPr>
      </w:pPr>
      <w:r>
        <w:rPr>
          <w:rFonts w:hint="eastAsia" w:ascii="宋体" w:hAnsi="宋体" w:cs="宋体"/>
          <w:sz w:val="24"/>
        </w:rPr>
        <w:t>1、投标人在提交投标文件以后，在规定的投标截止时间之前，可以以重新补充修改或撤回已上传的投标文件，补充、修改的内容为投标文件的组成部分。</w:t>
      </w:r>
    </w:p>
    <w:p>
      <w:pPr>
        <w:tabs>
          <w:tab w:val="left" w:pos="315"/>
        </w:tabs>
        <w:adjustRightInd w:val="0"/>
        <w:snapToGrid w:val="0"/>
        <w:spacing w:line="360" w:lineRule="auto"/>
        <w:ind w:firstLine="480" w:firstLineChars="200"/>
        <w:rPr>
          <w:rFonts w:ascii="宋体" w:hAnsi="宋体" w:cs="宋体"/>
          <w:sz w:val="24"/>
        </w:rPr>
      </w:pPr>
      <w:r>
        <w:rPr>
          <w:rFonts w:hint="eastAsia" w:ascii="宋体" w:hAnsi="宋体" w:cs="宋体"/>
          <w:sz w:val="24"/>
        </w:rPr>
        <w:t>2、在投标截止时间之后，投标人不得对其投标做任何修改。</w:t>
      </w:r>
    </w:p>
    <w:p>
      <w:pPr>
        <w:pStyle w:val="10"/>
        <w:spacing w:line="360" w:lineRule="auto"/>
        <w:ind w:firstLine="470" w:firstLineChars="196"/>
        <w:rPr>
          <w:rFonts w:ascii="宋体" w:hAnsi="宋体" w:cs="宋体"/>
        </w:rPr>
      </w:pPr>
      <w:r>
        <w:rPr>
          <w:rFonts w:hint="eastAsia" w:ascii="宋体" w:hAnsi="宋体" w:cs="宋体"/>
          <w:sz w:val="24"/>
        </w:rPr>
        <w:t>3、从投标截止时间至投标人在投标文件格式中确定的投标有效期期满这段时间内，投标人不得撤回其投标。</w:t>
      </w:r>
    </w:p>
    <w:p>
      <w:pPr>
        <w:widowControl/>
        <w:spacing w:line="360" w:lineRule="auto"/>
        <w:jc w:val="left"/>
        <w:rPr>
          <w:rFonts w:ascii="宋体" w:hAnsi="宋体" w:cs="宋体"/>
        </w:rPr>
      </w:pPr>
    </w:p>
    <w:p>
      <w:pPr>
        <w:tabs>
          <w:tab w:val="left" w:pos="360"/>
          <w:tab w:val="left" w:pos="540"/>
          <w:tab w:val="left" w:pos="1260"/>
        </w:tabs>
        <w:spacing w:before="100" w:beforeAutospacing="1" w:after="100" w:afterAutospacing="1" w:line="360" w:lineRule="auto"/>
        <w:jc w:val="center"/>
        <w:outlineLvl w:val="0"/>
        <w:rPr>
          <w:rFonts w:ascii="宋体" w:hAnsi="宋体" w:cs="宋体"/>
          <w:b/>
          <w:bCs/>
          <w:sz w:val="36"/>
          <w:szCs w:val="36"/>
        </w:rPr>
      </w:pPr>
      <w:bookmarkStart w:id="6" w:name="_Toc16349"/>
      <w:r>
        <w:rPr>
          <w:rFonts w:hint="eastAsia" w:ascii="宋体" w:hAnsi="宋体" w:cs="宋体"/>
          <w:b/>
          <w:bCs/>
          <w:sz w:val="36"/>
          <w:szCs w:val="36"/>
        </w:rPr>
        <w:t>第四部分开标、评标和定标</w:t>
      </w:r>
      <w:bookmarkEnd w:id="6"/>
    </w:p>
    <w:p>
      <w:pPr>
        <w:spacing w:line="360" w:lineRule="auto"/>
        <w:ind w:firstLine="361" w:firstLineChars="150"/>
        <w:rPr>
          <w:rFonts w:ascii="宋体" w:hAnsi="宋体" w:cs="宋体"/>
          <w:b/>
          <w:bCs/>
          <w:sz w:val="24"/>
        </w:rPr>
      </w:pPr>
      <w:r>
        <w:rPr>
          <w:rFonts w:hint="eastAsia" w:ascii="宋体" w:hAnsi="宋体" w:cs="宋体"/>
          <w:b/>
          <w:bCs/>
          <w:sz w:val="24"/>
        </w:rPr>
        <w:t>（一）评标委员会</w:t>
      </w:r>
    </w:p>
    <w:p>
      <w:pPr>
        <w:spacing w:line="360" w:lineRule="auto"/>
        <w:ind w:firstLine="480" w:firstLineChars="200"/>
        <w:rPr>
          <w:rFonts w:ascii="宋体" w:hAnsi="宋体" w:cs="宋体"/>
          <w:bCs/>
          <w:sz w:val="24"/>
        </w:rPr>
      </w:pPr>
      <w:r>
        <w:rPr>
          <w:rFonts w:hint="eastAsia" w:ascii="宋体" w:hAnsi="宋体" w:cs="宋体"/>
          <w:bCs/>
          <w:sz w:val="24"/>
        </w:rPr>
        <w:t>1、采购代理机构依法组建评标委员会，评标委员会的成员在评标过程中必须严格遵守《政府采购法》等有关法律、法规的规定。</w:t>
      </w:r>
    </w:p>
    <w:p>
      <w:pPr>
        <w:spacing w:line="360" w:lineRule="auto"/>
        <w:ind w:firstLine="480" w:firstLineChars="200"/>
        <w:rPr>
          <w:rFonts w:ascii="宋体" w:hAnsi="宋体" w:cs="宋体"/>
          <w:bCs/>
          <w:sz w:val="24"/>
        </w:rPr>
      </w:pPr>
      <w:r>
        <w:rPr>
          <w:rFonts w:hint="eastAsia" w:ascii="宋体" w:hAnsi="宋体" w:cs="宋体"/>
          <w:sz w:val="24"/>
        </w:rPr>
        <w:t>2、评标过程中遇到特殊情况，由评标委员会遵循公开、公正原则，采取投票方式按照少数服从多数原则决定。</w:t>
      </w:r>
    </w:p>
    <w:p>
      <w:pPr>
        <w:spacing w:line="360" w:lineRule="auto"/>
        <w:ind w:firstLine="361" w:firstLineChars="150"/>
        <w:rPr>
          <w:rFonts w:ascii="宋体" w:hAnsi="宋体" w:cs="宋体"/>
          <w:b/>
          <w:bCs/>
          <w:sz w:val="24"/>
        </w:rPr>
      </w:pPr>
      <w:r>
        <w:rPr>
          <w:rFonts w:hint="eastAsia" w:ascii="宋体" w:hAnsi="宋体" w:cs="宋体"/>
          <w:b/>
          <w:bCs/>
          <w:sz w:val="24"/>
        </w:rPr>
        <w:t>（二）评标过程的保密性</w:t>
      </w:r>
    </w:p>
    <w:p>
      <w:pPr>
        <w:spacing w:line="360" w:lineRule="auto"/>
        <w:ind w:firstLine="480" w:firstLineChars="200"/>
        <w:rPr>
          <w:rFonts w:ascii="宋体" w:hAnsi="宋体" w:cs="宋体"/>
          <w:bCs/>
          <w:sz w:val="24"/>
        </w:rPr>
      </w:pPr>
      <w:r>
        <w:rPr>
          <w:rFonts w:hint="eastAsia" w:ascii="宋体" w:hAnsi="宋体" w:cs="宋体"/>
          <w:bCs/>
          <w:sz w:val="24"/>
        </w:rPr>
        <w:t>1、开标后直至向中标人授予合同时止，凡与评审有关的资料均不得向投标人及与评标无关人员透露。如果投标人在评标过程中试图向采购代理机构和采购人施加影响，其投标将被拒绝。</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2、开标后，直至中标公告发出且质疑期届满止，凡属于对投标文件的审查、澄清、评价和比较等有关的资料以及中标候选人的推荐情况等与评标有关的任何情况均严格保密。</w:t>
      </w:r>
    </w:p>
    <w:p>
      <w:pPr>
        <w:pStyle w:val="12"/>
        <w:spacing w:line="360" w:lineRule="auto"/>
        <w:ind w:firstLine="480" w:firstLineChars="200"/>
        <w:rPr>
          <w:rFonts w:hAnsi="宋体" w:cs="宋体"/>
          <w:sz w:val="24"/>
          <w:szCs w:val="24"/>
        </w:rPr>
      </w:pPr>
      <w:r>
        <w:rPr>
          <w:rFonts w:hint="eastAsia" w:hAnsi="宋体" w:cs="宋体"/>
          <w:sz w:val="24"/>
          <w:szCs w:val="24"/>
        </w:rPr>
        <w:t>3、中标人确认后，采购人不对未中标人就评标过程以及未能中标原因作出任何解释。未中标人不得向评标委员会成员或其他有关人员索问评标过程的全部情况。</w:t>
      </w:r>
    </w:p>
    <w:p>
      <w:pPr>
        <w:spacing w:line="360" w:lineRule="auto"/>
        <w:ind w:firstLine="480" w:firstLineChars="200"/>
        <w:rPr>
          <w:rFonts w:ascii="宋体" w:hAnsi="宋体" w:cs="宋体"/>
          <w:spacing w:val="-4"/>
          <w:sz w:val="24"/>
        </w:rPr>
      </w:pPr>
      <w:r>
        <w:rPr>
          <w:rFonts w:hint="eastAsia" w:ascii="宋体" w:hAnsi="宋体" w:cs="宋体"/>
          <w:sz w:val="24"/>
        </w:rPr>
        <w:t>4、</w:t>
      </w:r>
      <w:r>
        <w:rPr>
          <w:rFonts w:hint="eastAsia" w:ascii="宋体" w:hAnsi="宋体" w:cs="宋体"/>
          <w:spacing w:val="-4"/>
          <w:sz w:val="24"/>
        </w:rPr>
        <w:t>为保证定标的公正性，在评标过程中，评标成员不得与投标人私人交换意见。在招标工作结束后，凡与评标情况有接触的任何人不得也不应将评标情况扩散出评标成员之外。</w:t>
      </w:r>
    </w:p>
    <w:p>
      <w:pPr>
        <w:pStyle w:val="12"/>
        <w:tabs>
          <w:tab w:val="left" w:pos="0"/>
        </w:tabs>
        <w:spacing w:line="360" w:lineRule="auto"/>
        <w:ind w:firstLine="480" w:firstLineChars="200"/>
        <w:rPr>
          <w:rFonts w:hAnsi="宋体" w:cs="宋体"/>
          <w:sz w:val="24"/>
          <w:szCs w:val="24"/>
        </w:rPr>
      </w:pPr>
      <w:r>
        <w:rPr>
          <w:rFonts w:hint="eastAsia" w:hAnsi="宋体" w:cs="宋体"/>
          <w:sz w:val="24"/>
          <w:szCs w:val="24"/>
        </w:rPr>
        <w:t>5、评标委员会不向落标方解释落标原因，不退还投标文件。</w:t>
      </w:r>
    </w:p>
    <w:p>
      <w:pPr>
        <w:spacing w:line="360" w:lineRule="auto"/>
        <w:ind w:left="600" w:leftChars="171" w:hanging="241" w:hangingChars="100"/>
        <w:rPr>
          <w:rFonts w:ascii="宋体" w:hAnsi="宋体" w:cs="宋体"/>
          <w:b/>
          <w:bCs/>
          <w:sz w:val="24"/>
        </w:rPr>
      </w:pPr>
      <w:r>
        <w:rPr>
          <w:rFonts w:hint="eastAsia" w:ascii="宋体" w:hAnsi="宋体" w:cs="宋体"/>
          <w:b/>
          <w:bCs/>
          <w:sz w:val="24"/>
        </w:rPr>
        <w:t>（三）开标</w:t>
      </w:r>
    </w:p>
    <w:p>
      <w:pPr>
        <w:spacing w:line="360" w:lineRule="auto"/>
        <w:ind w:firstLine="480" w:firstLineChars="200"/>
        <w:rPr>
          <w:rFonts w:ascii="宋体" w:hAnsi="宋体" w:cs="宋体"/>
          <w:sz w:val="24"/>
        </w:rPr>
      </w:pPr>
      <w:r>
        <w:rPr>
          <w:rFonts w:hint="eastAsia" w:ascii="宋体" w:hAnsi="宋体" w:cs="宋体"/>
          <w:sz w:val="24"/>
        </w:rPr>
        <w:t>1、本项目实行电子开评标，投标人无需前往开评标现场，只需在规定时间内在政采云平台上上传电子投标文件。</w:t>
      </w:r>
    </w:p>
    <w:p>
      <w:pPr>
        <w:spacing w:line="360" w:lineRule="auto"/>
        <w:ind w:firstLine="480" w:firstLineChars="200"/>
        <w:rPr>
          <w:rFonts w:ascii="宋体" w:hAnsi="宋体" w:cs="宋体"/>
          <w:sz w:val="24"/>
        </w:rPr>
      </w:pPr>
      <w:r>
        <w:rPr>
          <w:rFonts w:hint="eastAsia" w:ascii="宋体" w:hAnsi="宋体" w:cs="宋体"/>
          <w:sz w:val="24"/>
        </w:rPr>
        <w:t>2、电子开评标</w:t>
      </w:r>
    </w:p>
    <w:p>
      <w:pPr>
        <w:spacing w:line="360" w:lineRule="auto"/>
        <w:ind w:firstLine="480" w:firstLineChars="200"/>
        <w:rPr>
          <w:rFonts w:ascii="宋体" w:hAnsi="宋体" w:cs="宋体"/>
          <w:sz w:val="24"/>
        </w:rPr>
      </w:pPr>
      <w:r>
        <w:rPr>
          <w:rFonts w:hint="eastAsia" w:ascii="宋体" w:hAnsi="宋体" w:cs="宋体"/>
          <w:sz w:val="24"/>
          <w:highlight w:val="none"/>
          <w:shd w:val="clear"/>
        </w:rPr>
        <w:t>投标截止时间后的30分钟内（开标当日上午9:30-10:00时），</w:t>
      </w:r>
      <w:r>
        <w:rPr>
          <w:rFonts w:hint="eastAsia" w:ascii="宋体" w:hAnsi="宋体" w:cs="宋体"/>
          <w:sz w:val="24"/>
          <w:highlight w:val="none"/>
        </w:rPr>
        <w:t>由</w:t>
      </w:r>
      <w:r>
        <w:rPr>
          <w:rFonts w:hint="eastAsia" w:ascii="宋体" w:hAnsi="宋体" w:cs="宋体"/>
          <w:sz w:val="24"/>
        </w:rPr>
        <w:t>各投标人自行对电子投标文件进行解密（请各投标人务必在规定时间内完成电子投标文件的解密工作，在电子开评标期间，投标人（授权代表）需确保在各自所在的区域具备上网的技术条件并保持网络及联系方式畅通），同时为避免出现意外，建议全程由一台电脑进行操作（包括标书制作、上传、解密等），中途不要更换电脑；</w:t>
      </w:r>
    </w:p>
    <w:p>
      <w:pPr>
        <w:spacing w:line="360" w:lineRule="auto"/>
        <w:ind w:firstLine="482" w:firstLineChars="200"/>
        <w:rPr>
          <w:rFonts w:ascii="宋体" w:hAnsi="宋体" w:cs="宋体"/>
          <w:b/>
          <w:sz w:val="24"/>
        </w:rPr>
      </w:pPr>
      <w:r>
        <w:rPr>
          <w:rFonts w:hint="eastAsia" w:ascii="宋体" w:hAnsi="宋体" w:cs="宋体"/>
          <w:b/>
          <w:sz w:val="24"/>
        </w:rPr>
        <w:t>特别说明：政采云公司如对电子化开标及评审程序有调整的，按调整后的程序操作。</w:t>
      </w:r>
    </w:p>
    <w:p>
      <w:pPr>
        <w:spacing w:line="360" w:lineRule="auto"/>
        <w:ind w:firstLine="241" w:firstLineChars="100"/>
        <w:rPr>
          <w:rFonts w:ascii="宋体" w:hAnsi="宋体" w:cs="宋体"/>
          <w:b/>
          <w:bCs/>
          <w:sz w:val="24"/>
        </w:rPr>
      </w:pPr>
      <w:r>
        <w:rPr>
          <w:rFonts w:hint="eastAsia" w:ascii="宋体" w:hAnsi="宋体" w:cs="宋体"/>
          <w:b/>
          <w:bCs/>
          <w:sz w:val="24"/>
        </w:rPr>
        <w:t>（四）</w:t>
      </w:r>
      <w:r>
        <w:rPr>
          <w:rFonts w:hint="eastAsia" w:ascii="宋体" w:hAnsi="宋体" w:cs="宋体"/>
          <w:b/>
          <w:sz w:val="24"/>
        </w:rPr>
        <w:t>投标文件的</w:t>
      </w:r>
      <w:r>
        <w:rPr>
          <w:rFonts w:hint="eastAsia" w:ascii="宋体" w:hAnsi="宋体" w:cs="宋体"/>
          <w:b/>
          <w:bCs/>
          <w:sz w:val="24"/>
        </w:rPr>
        <w:t>澄清</w:t>
      </w:r>
    </w:p>
    <w:p>
      <w:pPr>
        <w:spacing w:line="360" w:lineRule="auto"/>
        <w:ind w:firstLine="357" w:firstLineChars="149"/>
        <w:rPr>
          <w:rFonts w:ascii="宋体" w:hAnsi="宋体" w:cs="宋体"/>
          <w:sz w:val="24"/>
        </w:rPr>
      </w:pPr>
      <w:r>
        <w:rPr>
          <w:rFonts w:hint="eastAsia" w:ascii="宋体" w:hAnsi="宋体" w:cs="宋体"/>
          <w:sz w:val="24"/>
        </w:rPr>
        <w:t>1、在评标期间，评标委员会可以在政采云平台在线询标或其他有效形式要求投标人对同一份投标文件含义不明确、对同类问题表述不一致或者有明显文字和计算错误的内容作必要的澄清、说明或补正。投标人应采用在线回复或其他有效形式在询标规定时间内进行澄清或说明（需盖电子签章或实体公章），但澄清、说明或补正内容不得超出投标文件的范围或者改变投标文件的实质性内容。</w:t>
      </w:r>
    </w:p>
    <w:p>
      <w:pPr>
        <w:spacing w:line="360" w:lineRule="auto"/>
        <w:ind w:firstLine="357" w:firstLineChars="149"/>
        <w:rPr>
          <w:rFonts w:ascii="宋体" w:hAnsi="宋体" w:cs="宋体"/>
          <w:sz w:val="24"/>
        </w:rPr>
      </w:pPr>
      <w:r>
        <w:rPr>
          <w:rFonts w:hint="eastAsia" w:ascii="宋体" w:hAnsi="宋体" w:cs="宋体"/>
          <w:sz w:val="24"/>
        </w:rPr>
        <w:t>2、如果投标人代表拒绝按评标委员会要求在政采云平台作出在线回复且无其他有效回复方式的，评标委员会可以对其做出无效标处理。</w:t>
      </w:r>
    </w:p>
    <w:p>
      <w:pPr>
        <w:spacing w:line="360" w:lineRule="auto"/>
        <w:ind w:firstLine="359" w:firstLineChars="149"/>
        <w:rPr>
          <w:rFonts w:ascii="宋体" w:hAnsi="宋体" w:cs="宋体"/>
          <w:b/>
          <w:sz w:val="24"/>
        </w:rPr>
      </w:pPr>
      <w:r>
        <w:rPr>
          <w:rFonts w:hint="eastAsia" w:ascii="宋体" w:hAnsi="宋体" w:cs="宋体"/>
          <w:b/>
          <w:sz w:val="24"/>
        </w:rPr>
        <w:t>（五）投标文件的资格性和符合性评审</w:t>
      </w:r>
    </w:p>
    <w:p>
      <w:pPr>
        <w:spacing w:line="360" w:lineRule="auto"/>
        <w:ind w:firstLine="357" w:firstLineChars="149"/>
        <w:rPr>
          <w:rFonts w:ascii="宋体" w:hAnsi="宋体" w:cs="宋体"/>
          <w:bCs/>
          <w:sz w:val="24"/>
        </w:rPr>
      </w:pPr>
      <w:r>
        <w:rPr>
          <w:rFonts w:hint="eastAsia" w:ascii="宋体" w:hAnsi="宋体" w:cs="宋体"/>
          <w:sz w:val="24"/>
        </w:rPr>
        <w:t>1、开标后，</w:t>
      </w:r>
      <w:r>
        <w:rPr>
          <w:rFonts w:hint="eastAsia" w:ascii="宋体" w:hAnsi="宋体" w:cs="宋体"/>
          <w:bCs/>
          <w:sz w:val="24"/>
        </w:rPr>
        <w:t>采购人授权评标委员会对投标人的资格进行审查。</w:t>
      </w:r>
    </w:p>
    <w:p>
      <w:pPr>
        <w:spacing w:line="360" w:lineRule="auto"/>
        <w:ind w:firstLine="357" w:firstLineChars="149"/>
        <w:rPr>
          <w:rFonts w:ascii="宋体" w:hAnsi="宋体" w:cs="宋体"/>
          <w:b/>
          <w:bCs/>
          <w:sz w:val="24"/>
        </w:rPr>
      </w:pPr>
      <w:r>
        <w:rPr>
          <w:rFonts w:hint="eastAsia" w:ascii="宋体" w:hAnsi="宋体" w:cs="宋体"/>
          <w:sz w:val="24"/>
        </w:rPr>
        <w:t>2、评标时，评标委员会将首先评定每份投标文件是否在实质上响应了招标文件的要求。所谓实质上响应，是指投标文件应与招标文件的所有实质性条款、条件和要求相符，无显著差异。</w:t>
      </w:r>
    </w:p>
    <w:p>
      <w:pPr>
        <w:spacing w:line="360" w:lineRule="auto"/>
        <w:ind w:firstLine="357" w:firstLineChars="149"/>
        <w:rPr>
          <w:rFonts w:ascii="宋体" w:hAnsi="宋体" w:cs="宋体"/>
          <w:b/>
          <w:bCs/>
          <w:sz w:val="24"/>
        </w:rPr>
      </w:pPr>
      <w:r>
        <w:rPr>
          <w:rFonts w:hint="eastAsia" w:ascii="宋体" w:hAnsi="宋体" w:cs="宋体"/>
          <w:sz w:val="24"/>
        </w:rPr>
        <w:t>3、评标委员会决定投标的实质性要求只根据投标文件本身的内容，而不寻求外部的证据。投标人不得通过修正或撤消不合要求的偏离或保留，从而使其投标成为实质上响应的投标。</w:t>
      </w:r>
    </w:p>
    <w:p>
      <w:pPr>
        <w:spacing w:line="360" w:lineRule="auto"/>
        <w:ind w:firstLine="357" w:firstLineChars="149"/>
        <w:rPr>
          <w:rFonts w:ascii="宋体" w:hAnsi="宋体" w:cs="宋体"/>
          <w:b/>
          <w:bCs/>
          <w:sz w:val="24"/>
        </w:rPr>
      </w:pPr>
      <w:r>
        <w:rPr>
          <w:rFonts w:hint="eastAsia" w:ascii="宋体" w:hAnsi="宋体" w:cs="宋体"/>
          <w:bCs/>
          <w:sz w:val="24"/>
        </w:rPr>
        <w:t>4、评标委员按照招标文件中规定的评标方法和标准，对符合性审查合格的投标文件进行商务和技术评估，综合比较与评价。</w:t>
      </w:r>
    </w:p>
    <w:p>
      <w:pPr>
        <w:spacing w:line="360" w:lineRule="auto"/>
        <w:ind w:firstLine="354" w:firstLineChars="147"/>
        <w:rPr>
          <w:rFonts w:ascii="宋体" w:hAnsi="宋体" w:cs="宋体"/>
          <w:b/>
          <w:bCs/>
          <w:sz w:val="24"/>
        </w:rPr>
      </w:pPr>
      <w:r>
        <w:rPr>
          <w:rFonts w:hint="eastAsia" w:ascii="宋体" w:hAnsi="宋体" w:cs="宋体"/>
          <w:b/>
          <w:bCs/>
          <w:sz w:val="24"/>
        </w:rPr>
        <w:t>（六）</w:t>
      </w:r>
      <w:r>
        <w:rPr>
          <w:rFonts w:hint="eastAsia" w:ascii="宋体" w:hAnsi="宋体" w:cs="宋体"/>
          <w:sz w:val="24"/>
          <w:u w:val="single"/>
        </w:rPr>
        <w:t>▲</w:t>
      </w:r>
      <w:r>
        <w:rPr>
          <w:rFonts w:hint="eastAsia" w:ascii="宋体" w:hAnsi="宋体" w:cs="宋体"/>
          <w:b/>
          <w:bCs/>
          <w:sz w:val="24"/>
          <w:u w:val="single"/>
        </w:rPr>
        <w:t>投标无效</w:t>
      </w:r>
    </w:p>
    <w:p>
      <w:pPr>
        <w:spacing w:line="360" w:lineRule="auto"/>
        <w:ind w:firstLine="352" w:firstLineChars="147"/>
        <w:rPr>
          <w:rFonts w:ascii="宋体" w:hAnsi="宋体" w:cs="宋体"/>
          <w:b/>
          <w:bCs/>
          <w:sz w:val="24"/>
          <w:u w:val="single"/>
        </w:rPr>
      </w:pPr>
      <w:r>
        <w:rPr>
          <w:rFonts w:hint="eastAsia" w:ascii="宋体" w:hAnsi="宋体" w:cs="宋体"/>
          <w:bCs/>
          <w:sz w:val="24"/>
          <w:u w:val="single"/>
        </w:rPr>
        <w:t>1、投标人存在下列情况之一的，投标无效：</w:t>
      </w:r>
    </w:p>
    <w:p>
      <w:pPr>
        <w:spacing w:line="360" w:lineRule="auto"/>
        <w:ind w:firstLine="480" w:firstLineChars="200"/>
        <w:rPr>
          <w:rFonts w:ascii="宋体" w:hAnsi="宋体" w:cs="宋体"/>
          <w:bCs/>
          <w:sz w:val="24"/>
          <w:u w:val="single"/>
        </w:rPr>
      </w:pPr>
      <w:r>
        <w:rPr>
          <w:rFonts w:hint="eastAsia" w:ascii="宋体" w:hAnsi="宋体" w:cs="宋体"/>
          <w:bCs/>
          <w:sz w:val="24"/>
          <w:u w:val="single"/>
        </w:rPr>
        <w:t>（1）投标文件未按招标文件要求加盖公章或CA章的；</w:t>
      </w:r>
    </w:p>
    <w:p>
      <w:pPr>
        <w:spacing w:line="360" w:lineRule="auto"/>
        <w:ind w:firstLine="480" w:firstLineChars="200"/>
        <w:rPr>
          <w:rFonts w:ascii="宋体" w:hAnsi="宋体" w:cs="宋体"/>
          <w:b/>
          <w:bCs/>
          <w:sz w:val="24"/>
          <w:u w:val="single"/>
        </w:rPr>
      </w:pPr>
      <w:r>
        <w:rPr>
          <w:rFonts w:hint="eastAsia" w:ascii="宋体" w:hAnsi="宋体" w:cs="宋体"/>
          <w:bCs/>
          <w:sz w:val="24"/>
          <w:u w:val="single"/>
        </w:rPr>
        <w:t>（2）电子投标文件解密失败的，且未在规定时间内提交备份投标文件；</w:t>
      </w:r>
    </w:p>
    <w:p>
      <w:pPr>
        <w:spacing w:line="360" w:lineRule="auto"/>
        <w:ind w:firstLine="480" w:firstLineChars="200"/>
        <w:rPr>
          <w:rFonts w:ascii="宋体" w:hAnsi="宋体" w:cs="宋体"/>
          <w:b/>
          <w:bCs/>
          <w:sz w:val="24"/>
          <w:u w:val="single"/>
        </w:rPr>
      </w:pPr>
      <w:r>
        <w:rPr>
          <w:rFonts w:hint="eastAsia" w:ascii="宋体" w:hAnsi="宋体" w:cs="宋体"/>
          <w:bCs/>
          <w:sz w:val="24"/>
          <w:u w:val="single"/>
        </w:rPr>
        <w:t>（3）投标人代表没有法定代表人合法、有效委托的；</w:t>
      </w:r>
    </w:p>
    <w:p>
      <w:pPr>
        <w:spacing w:line="360" w:lineRule="auto"/>
        <w:ind w:firstLine="480" w:firstLineChars="200"/>
        <w:rPr>
          <w:rFonts w:ascii="宋体" w:hAnsi="宋体" w:cs="宋体"/>
          <w:b/>
          <w:bCs/>
          <w:sz w:val="24"/>
          <w:u w:val="single"/>
        </w:rPr>
      </w:pPr>
      <w:r>
        <w:rPr>
          <w:rFonts w:hint="eastAsia" w:ascii="宋体" w:hAnsi="宋体" w:cs="宋体"/>
          <w:bCs/>
          <w:sz w:val="24"/>
          <w:u w:val="single"/>
        </w:rPr>
        <w:t>（4）无法定代表人签字（盖章）或其授权代表签字的；</w:t>
      </w:r>
    </w:p>
    <w:p>
      <w:pPr>
        <w:spacing w:line="360" w:lineRule="auto"/>
        <w:ind w:firstLine="480" w:firstLineChars="200"/>
        <w:rPr>
          <w:rFonts w:ascii="宋体" w:hAnsi="宋体" w:cs="宋体"/>
          <w:b/>
          <w:bCs/>
          <w:sz w:val="24"/>
          <w:u w:val="single"/>
        </w:rPr>
      </w:pPr>
      <w:r>
        <w:rPr>
          <w:rFonts w:hint="eastAsia" w:ascii="宋体" w:hAnsi="宋体" w:cs="宋体"/>
          <w:bCs/>
          <w:sz w:val="24"/>
          <w:u w:val="single"/>
        </w:rPr>
        <w:t>（5）不具备招标文件中规定的资格要求的；</w:t>
      </w:r>
    </w:p>
    <w:p>
      <w:pPr>
        <w:spacing w:line="360" w:lineRule="auto"/>
        <w:ind w:firstLine="480" w:firstLineChars="200"/>
        <w:rPr>
          <w:rFonts w:ascii="宋体" w:hAnsi="宋体" w:cs="宋体"/>
          <w:b/>
          <w:bCs/>
          <w:sz w:val="24"/>
          <w:u w:val="single"/>
        </w:rPr>
      </w:pPr>
      <w:r>
        <w:rPr>
          <w:rFonts w:hint="eastAsia" w:ascii="宋体" w:hAnsi="宋体" w:cs="宋体"/>
          <w:bCs/>
          <w:sz w:val="24"/>
          <w:u w:val="single"/>
        </w:rPr>
        <w:t>（6）明显不符合招标文件中主要技术规格、技术标准的；</w:t>
      </w:r>
    </w:p>
    <w:p>
      <w:pPr>
        <w:spacing w:line="360" w:lineRule="auto"/>
        <w:ind w:firstLine="480" w:firstLineChars="200"/>
        <w:rPr>
          <w:rFonts w:ascii="宋体" w:hAnsi="宋体" w:cs="宋体"/>
          <w:b/>
          <w:bCs/>
          <w:sz w:val="24"/>
          <w:u w:val="single"/>
        </w:rPr>
      </w:pPr>
      <w:r>
        <w:rPr>
          <w:rFonts w:hint="eastAsia" w:ascii="宋体" w:hAnsi="宋体" w:cs="宋体"/>
          <w:sz w:val="24"/>
          <w:u w:val="single"/>
        </w:rPr>
        <w:t>（7）招标需求中要求提供的产品属于节能清单中政府强制采购节能产品品目的，投标人未提供该清单内产品的；</w:t>
      </w:r>
    </w:p>
    <w:p>
      <w:pPr>
        <w:spacing w:line="360" w:lineRule="auto"/>
        <w:ind w:firstLine="480" w:firstLineChars="200"/>
        <w:rPr>
          <w:rFonts w:ascii="宋体" w:hAnsi="宋体" w:cs="宋体"/>
          <w:b/>
          <w:bCs/>
          <w:sz w:val="24"/>
          <w:u w:val="single"/>
        </w:rPr>
      </w:pPr>
      <w:r>
        <w:rPr>
          <w:rFonts w:hint="eastAsia" w:ascii="宋体" w:hAnsi="宋体" w:cs="宋体"/>
          <w:bCs/>
          <w:sz w:val="24"/>
          <w:u w:val="single"/>
        </w:rPr>
        <w:t>（8）投标文件内容不全或关键字迹模糊无法辨认的；</w:t>
      </w:r>
    </w:p>
    <w:p>
      <w:pPr>
        <w:spacing w:line="360" w:lineRule="auto"/>
        <w:ind w:firstLine="480" w:firstLineChars="200"/>
        <w:rPr>
          <w:rFonts w:ascii="宋体" w:hAnsi="宋体" w:cs="宋体"/>
          <w:b/>
          <w:bCs/>
          <w:sz w:val="24"/>
          <w:u w:val="single"/>
        </w:rPr>
      </w:pPr>
      <w:r>
        <w:rPr>
          <w:rFonts w:hint="eastAsia" w:ascii="宋体" w:hAnsi="宋体" w:cs="宋体"/>
          <w:bCs/>
          <w:sz w:val="24"/>
          <w:u w:val="single"/>
        </w:rPr>
        <w:t>（9）投标文件中提供虚假材料、技术指标及参数；</w:t>
      </w:r>
    </w:p>
    <w:p>
      <w:pPr>
        <w:spacing w:line="360" w:lineRule="auto"/>
        <w:ind w:firstLine="480" w:firstLineChars="200"/>
        <w:rPr>
          <w:rFonts w:ascii="宋体" w:hAnsi="宋体" w:cs="宋体"/>
          <w:b/>
          <w:bCs/>
          <w:sz w:val="24"/>
          <w:u w:val="single"/>
        </w:rPr>
      </w:pPr>
      <w:r>
        <w:rPr>
          <w:rFonts w:hint="eastAsia" w:ascii="宋体" w:hAnsi="宋体" w:cs="宋体"/>
          <w:sz w:val="24"/>
          <w:u w:val="single"/>
        </w:rPr>
        <w:t>（10）资格文件、技术及商务文件中出现投标价格信息的；</w:t>
      </w:r>
    </w:p>
    <w:p>
      <w:pPr>
        <w:spacing w:line="360" w:lineRule="auto"/>
        <w:ind w:firstLine="480" w:firstLineChars="200"/>
        <w:rPr>
          <w:rFonts w:ascii="宋体" w:hAnsi="宋体" w:cs="宋体"/>
          <w:b/>
          <w:bCs/>
          <w:sz w:val="24"/>
          <w:u w:val="single"/>
        </w:rPr>
      </w:pPr>
      <w:r>
        <w:rPr>
          <w:rFonts w:hint="eastAsia" w:ascii="宋体" w:hAnsi="宋体" w:cs="宋体"/>
          <w:bCs/>
          <w:sz w:val="24"/>
          <w:u w:val="single"/>
        </w:rPr>
        <w:t>（11）报价超过招标文件中规定的预算金额或最高限价；</w:t>
      </w:r>
    </w:p>
    <w:p>
      <w:pPr>
        <w:spacing w:line="360" w:lineRule="auto"/>
        <w:ind w:firstLine="480" w:firstLineChars="200"/>
        <w:rPr>
          <w:rFonts w:ascii="宋体" w:hAnsi="宋体" w:cs="宋体"/>
          <w:b/>
          <w:bCs/>
          <w:sz w:val="24"/>
          <w:u w:val="single"/>
        </w:rPr>
      </w:pPr>
      <w:r>
        <w:rPr>
          <w:rFonts w:hint="eastAsia" w:ascii="宋体" w:hAnsi="宋体" w:cs="宋体"/>
          <w:bCs/>
          <w:sz w:val="24"/>
          <w:u w:val="single"/>
        </w:rPr>
        <w:t>（12）</w:t>
      </w:r>
      <w:r>
        <w:rPr>
          <w:rFonts w:hint="eastAsia" w:ascii="宋体" w:hAnsi="宋体" w:cs="宋体"/>
          <w:sz w:val="24"/>
          <w:u w:val="single"/>
        </w:rPr>
        <w:t>标项以赠送方式投标的；</w:t>
      </w:r>
    </w:p>
    <w:p>
      <w:pPr>
        <w:spacing w:line="360" w:lineRule="auto"/>
        <w:ind w:firstLine="480" w:firstLineChars="200"/>
        <w:rPr>
          <w:rFonts w:ascii="宋体" w:hAnsi="宋体" w:cs="宋体"/>
          <w:b/>
          <w:bCs/>
          <w:sz w:val="24"/>
          <w:u w:val="single"/>
        </w:rPr>
      </w:pPr>
      <w:r>
        <w:rPr>
          <w:rFonts w:hint="eastAsia" w:ascii="宋体" w:hAnsi="宋体" w:cs="宋体"/>
          <w:bCs/>
          <w:sz w:val="24"/>
          <w:u w:val="single"/>
        </w:rPr>
        <w:t>（13）投标文件含有采购人不能接受的附加条件的；</w:t>
      </w:r>
    </w:p>
    <w:p>
      <w:pPr>
        <w:spacing w:line="360" w:lineRule="auto"/>
        <w:ind w:firstLine="480" w:firstLineChars="200"/>
        <w:rPr>
          <w:rFonts w:ascii="宋体" w:hAnsi="宋体" w:cs="宋体"/>
          <w:b/>
          <w:bCs/>
          <w:sz w:val="24"/>
          <w:u w:val="single"/>
        </w:rPr>
      </w:pPr>
      <w:r>
        <w:rPr>
          <w:rFonts w:hint="eastAsia" w:ascii="宋体" w:hAnsi="宋体" w:cs="宋体"/>
          <w:bCs/>
          <w:sz w:val="24"/>
          <w:u w:val="single"/>
        </w:rPr>
        <w:t>（14）投标人的报价明显低于其他通过符合性审查投标人的报价，有可能影响产品质量或者不能诚信履约的，应评标委员会要求未在评标现场合理的时间内提供书面说明及相关证明材料；</w:t>
      </w:r>
    </w:p>
    <w:p>
      <w:pPr>
        <w:spacing w:line="360" w:lineRule="auto"/>
        <w:ind w:firstLine="480" w:firstLineChars="200"/>
        <w:rPr>
          <w:rFonts w:ascii="宋体" w:hAnsi="宋体" w:cs="宋体"/>
          <w:b/>
          <w:bCs/>
          <w:sz w:val="24"/>
          <w:u w:val="single"/>
        </w:rPr>
      </w:pPr>
      <w:r>
        <w:rPr>
          <w:rFonts w:hint="eastAsia" w:ascii="宋体" w:hAnsi="宋体" w:cs="宋体"/>
          <w:bCs/>
          <w:sz w:val="24"/>
          <w:u w:val="single"/>
        </w:rPr>
        <w:t>（15）在参加本项目政府采购活动前三年内有重大违法记录或在指定的信用信息查询渠道及截止时间前列入失信被执行人名单、重大税收违法案件当事人名单、政府采购严重违法失信行为记录名单的；</w:t>
      </w:r>
    </w:p>
    <w:p>
      <w:pPr>
        <w:spacing w:line="360" w:lineRule="auto"/>
        <w:ind w:firstLine="480" w:firstLineChars="200"/>
        <w:rPr>
          <w:rFonts w:ascii="宋体" w:hAnsi="宋体" w:cs="宋体"/>
          <w:b/>
          <w:bCs/>
          <w:sz w:val="24"/>
          <w:u w:val="single"/>
        </w:rPr>
      </w:pPr>
      <w:r>
        <w:rPr>
          <w:rFonts w:hint="eastAsia" w:ascii="宋体" w:hAnsi="宋体" w:cs="宋体"/>
          <w:bCs/>
          <w:sz w:val="24"/>
          <w:u w:val="single"/>
        </w:rPr>
        <w:t>（16）不同投标人的投标文件由同一单位或者个人编制；</w:t>
      </w:r>
    </w:p>
    <w:p>
      <w:pPr>
        <w:spacing w:line="360" w:lineRule="auto"/>
        <w:ind w:firstLine="480" w:firstLineChars="200"/>
        <w:rPr>
          <w:rFonts w:ascii="宋体" w:hAnsi="宋体" w:cs="宋体"/>
          <w:b/>
          <w:bCs/>
          <w:sz w:val="24"/>
          <w:u w:val="single"/>
        </w:rPr>
      </w:pPr>
      <w:r>
        <w:rPr>
          <w:rFonts w:hint="eastAsia" w:ascii="宋体" w:hAnsi="宋体" w:cs="宋体"/>
          <w:bCs/>
          <w:sz w:val="24"/>
          <w:u w:val="single"/>
        </w:rPr>
        <w:t>（17）不同投标人委托同一单位或者个人办理投标事宜；</w:t>
      </w:r>
    </w:p>
    <w:p>
      <w:pPr>
        <w:spacing w:line="360" w:lineRule="auto"/>
        <w:ind w:firstLine="480" w:firstLineChars="200"/>
        <w:rPr>
          <w:rFonts w:ascii="宋体" w:hAnsi="宋体" w:cs="宋体"/>
          <w:b/>
          <w:bCs/>
          <w:sz w:val="24"/>
          <w:u w:val="single"/>
        </w:rPr>
      </w:pPr>
      <w:r>
        <w:rPr>
          <w:rFonts w:hint="eastAsia" w:ascii="宋体" w:hAnsi="宋体" w:cs="宋体"/>
          <w:bCs/>
          <w:sz w:val="24"/>
          <w:u w:val="single"/>
        </w:rPr>
        <w:t>（18）不同投标人的投标文件载明的项目管理成员或者联系人员为同一人；</w:t>
      </w:r>
    </w:p>
    <w:p>
      <w:pPr>
        <w:spacing w:line="360" w:lineRule="auto"/>
        <w:ind w:firstLine="480" w:firstLineChars="200"/>
        <w:rPr>
          <w:rFonts w:ascii="宋体" w:hAnsi="宋体" w:cs="宋体"/>
          <w:b/>
          <w:bCs/>
          <w:sz w:val="24"/>
          <w:u w:val="single"/>
        </w:rPr>
      </w:pPr>
      <w:r>
        <w:rPr>
          <w:rFonts w:hint="eastAsia" w:ascii="宋体" w:hAnsi="宋体" w:cs="宋体"/>
          <w:bCs/>
          <w:sz w:val="24"/>
          <w:u w:val="single"/>
        </w:rPr>
        <w:t>（19）不同投标人的投标文件异常一致或者投标报价呈规律性差异；</w:t>
      </w:r>
    </w:p>
    <w:p>
      <w:pPr>
        <w:spacing w:line="360" w:lineRule="auto"/>
        <w:ind w:firstLine="480" w:firstLineChars="200"/>
        <w:rPr>
          <w:rFonts w:ascii="宋体" w:hAnsi="宋体" w:cs="宋体"/>
          <w:b/>
          <w:bCs/>
          <w:sz w:val="24"/>
          <w:u w:val="single"/>
        </w:rPr>
      </w:pPr>
      <w:r>
        <w:rPr>
          <w:rFonts w:hint="eastAsia" w:ascii="宋体" w:hAnsi="宋体" w:cs="宋体"/>
          <w:bCs/>
          <w:sz w:val="24"/>
          <w:u w:val="single"/>
        </w:rPr>
        <w:t>（20）不同投标人的投标文件相互混装；</w:t>
      </w:r>
    </w:p>
    <w:p>
      <w:pPr>
        <w:spacing w:line="360" w:lineRule="auto"/>
        <w:ind w:firstLine="480" w:firstLineChars="200"/>
        <w:rPr>
          <w:rFonts w:ascii="宋体" w:hAnsi="宋体" w:cs="宋体"/>
          <w:b/>
          <w:bCs/>
          <w:sz w:val="24"/>
          <w:u w:val="single"/>
        </w:rPr>
      </w:pPr>
      <w:r>
        <w:rPr>
          <w:rFonts w:hint="eastAsia" w:ascii="宋体" w:hAnsi="宋体" w:cs="宋体"/>
          <w:bCs/>
          <w:sz w:val="24"/>
          <w:u w:val="single"/>
        </w:rPr>
        <w:t>（21）违反公平竞争的原则，存在恶意串通，妨碍其他投标人的竞争行为，损害采购人或者其他投标人的合法权益的；</w:t>
      </w:r>
    </w:p>
    <w:p>
      <w:pPr>
        <w:spacing w:line="360" w:lineRule="auto"/>
        <w:ind w:firstLine="480" w:firstLineChars="200"/>
        <w:rPr>
          <w:rFonts w:ascii="宋体" w:hAnsi="宋体" w:cs="宋体"/>
          <w:bCs/>
          <w:sz w:val="24"/>
          <w:u w:val="single"/>
        </w:rPr>
      </w:pPr>
      <w:r>
        <w:rPr>
          <w:rFonts w:hint="eastAsia" w:ascii="宋体" w:hAnsi="宋体" w:cs="宋体"/>
          <w:bCs/>
          <w:sz w:val="24"/>
          <w:u w:val="single"/>
        </w:rPr>
        <w:t>（22）投标人递交两份及以上内容不同的投标文件，或在一份投标文件中对同一招标项目报有两个及以上投标总价，且未声明哪个有效，按招标文件规定的提交备选投标方案的除外。</w:t>
      </w:r>
    </w:p>
    <w:p>
      <w:pPr>
        <w:spacing w:line="360" w:lineRule="auto"/>
        <w:ind w:firstLine="480" w:firstLineChars="200"/>
        <w:rPr>
          <w:rFonts w:ascii="宋体" w:hAnsi="宋体" w:cs="宋体"/>
          <w:b/>
          <w:bCs/>
          <w:sz w:val="24"/>
          <w:u w:val="single"/>
        </w:rPr>
      </w:pPr>
      <w:r>
        <w:rPr>
          <w:rFonts w:hint="eastAsia" w:ascii="宋体" w:hAnsi="宋体" w:cs="宋体"/>
          <w:bCs/>
          <w:sz w:val="24"/>
          <w:u w:val="single"/>
        </w:rPr>
        <w:t>（23）法律、法规和招标文件规定的其他无效情形。</w:t>
      </w:r>
    </w:p>
    <w:p>
      <w:pPr>
        <w:spacing w:line="360" w:lineRule="auto"/>
        <w:ind w:firstLine="482" w:firstLineChars="200"/>
        <w:rPr>
          <w:rFonts w:ascii="宋体" w:hAnsi="宋体" w:cs="宋体"/>
          <w:b/>
          <w:bCs/>
          <w:sz w:val="24"/>
        </w:rPr>
      </w:pPr>
      <w:r>
        <w:rPr>
          <w:rFonts w:hint="eastAsia" w:ascii="宋体" w:hAnsi="宋体" w:cs="宋体"/>
          <w:b/>
          <w:bCs/>
          <w:sz w:val="24"/>
        </w:rPr>
        <w:t>注：以上有（16）至（20）情形之一的，还应视为投标人串通投标，并报同级财政部门处理。</w:t>
      </w:r>
    </w:p>
    <w:p>
      <w:pPr>
        <w:spacing w:line="360" w:lineRule="auto"/>
        <w:ind w:firstLine="723" w:firstLineChars="300"/>
        <w:rPr>
          <w:rFonts w:ascii="宋体" w:hAnsi="宋体" w:cs="宋体"/>
          <w:b/>
          <w:bCs/>
          <w:sz w:val="24"/>
        </w:rPr>
      </w:pPr>
      <w:r>
        <w:rPr>
          <w:rFonts w:hint="eastAsia" w:ascii="宋体" w:hAnsi="宋体" w:cs="宋体"/>
          <w:b/>
          <w:bCs/>
          <w:sz w:val="24"/>
        </w:rPr>
        <w:t>（七）报价修正</w:t>
      </w:r>
    </w:p>
    <w:p>
      <w:pPr>
        <w:spacing w:line="360" w:lineRule="auto"/>
        <w:ind w:firstLine="720" w:firstLineChars="300"/>
        <w:rPr>
          <w:rFonts w:ascii="宋体" w:hAnsi="宋体" w:cs="宋体"/>
          <w:b/>
          <w:bCs/>
          <w:sz w:val="24"/>
        </w:rPr>
      </w:pPr>
      <w:r>
        <w:rPr>
          <w:rFonts w:hint="eastAsia" w:ascii="宋体" w:hAnsi="宋体" w:cs="宋体"/>
          <w:bCs/>
          <w:sz w:val="24"/>
        </w:rPr>
        <w:t>报价文件出现前后不一致的，按照下列规定修正：</w:t>
      </w:r>
    </w:p>
    <w:p>
      <w:pPr>
        <w:spacing w:line="360" w:lineRule="auto"/>
        <w:ind w:firstLine="720" w:firstLineChars="300"/>
        <w:rPr>
          <w:rFonts w:ascii="宋体" w:hAnsi="宋体" w:cs="宋体"/>
          <w:bCs/>
          <w:sz w:val="24"/>
        </w:rPr>
      </w:pPr>
      <w:r>
        <w:rPr>
          <w:rFonts w:hint="eastAsia" w:ascii="宋体" w:hAnsi="宋体" w:cs="宋体"/>
          <w:bCs/>
          <w:sz w:val="24"/>
        </w:rPr>
        <w:t>（1）投标文件中开标一览表内容与分项报价表内容不一致的，以开标一览表为准</w:t>
      </w:r>
    </w:p>
    <w:p>
      <w:pPr>
        <w:spacing w:line="360" w:lineRule="auto"/>
        <w:ind w:firstLine="720" w:firstLineChars="300"/>
        <w:rPr>
          <w:rFonts w:ascii="宋体" w:hAnsi="宋体" w:cs="宋体"/>
          <w:b/>
          <w:bCs/>
          <w:sz w:val="24"/>
        </w:rPr>
      </w:pPr>
      <w:r>
        <w:rPr>
          <w:rFonts w:hint="eastAsia" w:ascii="宋体" w:hAnsi="宋体" w:cs="宋体"/>
          <w:bCs/>
          <w:sz w:val="24"/>
        </w:rPr>
        <w:t>（2）大写金额和小写金额不一致的，以大写金额为准；</w:t>
      </w:r>
    </w:p>
    <w:p>
      <w:pPr>
        <w:spacing w:line="360" w:lineRule="auto"/>
        <w:ind w:firstLine="720" w:firstLineChars="300"/>
        <w:rPr>
          <w:rFonts w:ascii="宋体" w:hAnsi="宋体" w:cs="宋体"/>
          <w:b/>
          <w:bCs/>
          <w:sz w:val="24"/>
        </w:rPr>
      </w:pPr>
      <w:r>
        <w:rPr>
          <w:rFonts w:hint="eastAsia" w:ascii="宋体" w:hAnsi="宋体" w:cs="宋体"/>
          <w:bCs/>
          <w:sz w:val="24"/>
        </w:rPr>
        <w:t>（3）单价金额小数点或者百分比有明显错位的，以开标一览表的总价为准，并修改单价；</w:t>
      </w:r>
    </w:p>
    <w:p>
      <w:pPr>
        <w:spacing w:line="360" w:lineRule="auto"/>
        <w:ind w:firstLine="720" w:firstLineChars="300"/>
        <w:rPr>
          <w:rFonts w:ascii="宋体" w:hAnsi="宋体" w:cs="宋体"/>
          <w:b/>
          <w:bCs/>
          <w:sz w:val="24"/>
        </w:rPr>
      </w:pPr>
      <w:r>
        <w:rPr>
          <w:rFonts w:hint="eastAsia" w:ascii="宋体" w:hAnsi="宋体" w:cs="宋体"/>
          <w:bCs/>
          <w:sz w:val="24"/>
        </w:rPr>
        <w:t>（4）总价金额与按单价汇总金额不一致的，以单价金额计算结果为准。</w:t>
      </w:r>
    </w:p>
    <w:p>
      <w:pPr>
        <w:spacing w:line="360" w:lineRule="auto"/>
        <w:ind w:firstLine="602" w:firstLineChars="250"/>
        <w:rPr>
          <w:rFonts w:ascii="宋体" w:hAnsi="宋体" w:cs="宋体"/>
          <w:b/>
          <w:bCs/>
          <w:sz w:val="24"/>
        </w:rPr>
      </w:pPr>
      <w:r>
        <w:rPr>
          <w:rFonts w:hint="eastAsia" w:ascii="宋体" w:hAnsi="宋体" w:cs="宋体"/>
          <w:b/>
          <w:bCs/>
          <w:sz w:val="24"/>
        </w:rPr>
        <w:t>注：同时出现两种以上不一致的，按照前款规定的顺序修正。如果投标人不接受对其价格错误进行修正，其投标无效。</w:t>
      </w:r>
    </w:p>
    <w:p>
      <w:pPr>
        <w:spacing w:line="360" w:lineRule="auto"/>
        <w:ind w:firstLine="482" w:firstLineChars="200"/>
        <w:rPr>
          <w:rFonts w:ascii="宋体" w:hAnsi="宋体" w:cs="宋体"/>
          <w:b/>
          <w:sz w:val="24"/>
        </w:rPr>
      </w:pPr>
      <w:r>
        <w:rPr>
          <w:rFonts w:hint="eastAsia" w:ascii="宋体" w:hAnsi="宋体" w:cs="宋体"/>
          <w:b/>
          <w:sz w:val="24"/>
        </w:rPr>
        <w:t>（八）错误修正</w:t>
      </w:r>
    </w:p>
    <w:p>
      <w:pPr>
        <w:spacing w:line="360" w:lineRule="auto"/>
        <w:ind w:left="630" w:leftChars="300"/>
        <w:rPr>
          <w:rFonts w:ascii="宋体" w:hAnsi="宋体" w:cs="宋体"/>
          <w:b/>
          <w:bCs/>
          <w:sz w:val="24"/>
          <w:u w:val="single"/>
        </w:rPr>
      </w:pPr>
      <w:r>
        <w:rPr>
          <w:rFonts w:hint="eastAsia" w:ascii="宋体" w:hAnsi="宋体" w:cs="宋体"/>
          <w:sz w:val="24"/>
        </w:rPr>
        <w:t>1、对不同文字文本投标文件的解释发生异义的，以中文文本为准。</w:t>
      </w:r>
    </w:p>
    <w:p>
      <w:pPr>
        <w:spacing w:line="360" w:lineRule="auto"/>
        <w:ind w:firstLine="600" w:firstLineChars="250"/>
        <w:rPr>
          <w:rFonts w:ascii="宋体" w:hAnsi="宋体" w:cs="宋体"/>
          <w:b/>
          <w:bCs/>
          <w:sz w:val="24"/>
          <w:u w:val="single"/>
        </w:rPr>
      </w:pPr>
      <w:r>
        <w:rPr>
          <w:rFonts w:hint="eastAsia" w:ascii="宋体" w:hAnsi="宋体" w:cs="宋体"/>
          <w:sz w:val="24"/>
        </w:rPr>
        <w:t>2、客户端填写的《开标一览表》与以pdf格式上传文件中的《开标一览表》不一致的，应以Pdf格式上传文件中的为准。</w:t>
      </w:r>
    </w:p>
    <w:p>
      <w:pPr>
        <w:adjustRightInd w:val="0"/>
        <w:snapToGrid w:val="0"/>
        <w:spacing w:line="360" w:lineRule="auto"/>
        <w:ind w:firstLine="482" w:firstLineChars="200"/>
        <w:rPr>
          <w:rFonts w:ascii="宋体" w:hAnsi="宋体" w:cs="宋体"/>
          <w:b/>
          <w:sz w:val="24"/>
        </w:rPr>
      </w:pPr>
      <w:r>
        <w:rPr>
          <w:rFonts w:hint="eastAsia" w:ascii="宋体" w:hAnsi="宋体" w:cs="宋体"/>
          <w:b/>
          <w:sz w:val="24"/>
        </w:rPr>
        <w:t>（九）评标委员会在做出任何一项投标无效决定前，都应当严格遵循以下程序：</w:t>
      </w:r>
    </w:p>
    <w:p>
      <w:pPr>
        <w:adjustRightInd w:val="0"/>
        <w:snapToGrid w:val="0"/>
        <w:spacing w:line="360" w:lineRule="auto"/>
        <w:ind w:firstLine="480" w:firstLineChars="200"/>
        <w:rPr>
          <w:rFonts w:ascii="宋体" w:hAnsi="宋体" w:cs="宋体"/>
          <w:b/>
          <w:sz w:val="24"/>
        </w:rPr>
      </w:pPr>
      <w:r>
        <w:rPr>
          <w:rFonts w:hint="eastAsia" w:ascii="宋体" w:hAnsi="宋体" w:cs="宋体"/>
          <w:sz w:val="24"/>
        </w:rPr>
        <w:t>1、要求当事投标人作相应的答辩；</w:t>
      </w:r>
    </w:p>
    <w:p>
      <w:pPr>
        <w:adjustRightInd w:val="0"/>
        <w:snapToGrid w:val="0"/>
        <w:spacing w:line="360" w:lineRule="auto"/>
        <w:ind w:firstLine="480" w:firstLineChars="200"/>
        <w:rPr>
          <w:rFonts w:ascii="宋体" w:hAnsi="宋体" w:cs="宋体"/>
          <w:b/>
          <w:sz w:val="24"/>
        </w:rPr>
      </w:pPr>
      <w:r>
        <w:rPr>
          <w:rFonts w:hint="eastAsia" w:ascii="宋体" w:hAnsi="宋体" w:cs="宋体"/>
          <w:sz w:val="24"/>
        </w:rPr>
        <w:t>2、在充分讨论的基础上集体表决；</w:t>
      </w:r>
    </w:p>
    <w:p>
      <w:pPr>
        <w:tabs>
          <w:tab w:val="left" w:pos="1365"/>
        </w:tabs>
        <w:spacing w:line="360" w:lineRule="auto"/>
        <w:ind w:left="663" w:leftChars="201" w:hanging="241" w:hangingChars="100"/>
        <w:rPr>
          <w:rFonts w:ascii="宋体" w:hAnsi="宋体" w:cs="宋体"/>
          <w:b/>
          <w:sz w:val="24"/>
        </w:rPr>
      </w:pPr>
      <w:r>
        <w:rPr>
          <w:rFonts w:hint="eastAsia" w:ascii="宋体" w:hAnsi="宋体" w:cs="宋体"/>
          <w:b/>
          <w:sz w:val="24"/>
        </w:rPr>
        <w:t>（十）评标办法</w:t>
      </w:r>
    </w:p>
    <w:p>
      <w:pPr>
        <w:adjustRightInd w:val="0"/>
        <w:snapToGrid w:val="0"/>
        <w:spacing w:line="360" w:lineRule="auto"/>
        <w:ind w:firstLine="482" w:firstLineChars="200"/>
        <w:rPr>
          <w:rFonts w:ascii="宋体" w:hAnsi="宋体" w:cs="宋体"/>
          <w:b/>
          <w:sz w:val="24"/>
        </w:rPr>
      </w:pPr>
      <w:r>
        <w:rPr>
          <w:rFonts w:hint="eastAsia" w:ascii="宋体" w:hAnsi="宋体" w:cs="宋体"/>
          <w:b/>
          <w:sz w:val="24"/>
        </w:rPr>
        <w:t>本项目采用综合评分法（具体评标办法见后）。</w:t>
      </w:r>
    </w:p>
    <w:p>
      <w:pPr>
        <w:adjustRightInd w:val="0"/>
        <w:snapToGrid w:val="0"/>
        <w:spacing w:line="360" w:lineRule="auto"/>
        <w:ind w:firstLine="482" w:firstLineChars="200"/>
        <w:rPr>
          <w:rFonts w:ascii="宋体" w:hAnsi="宋体" w:cs="宋体"/>
          <w:b/>
          <w:sz w:val="24"/>
        </w:rPr>
      </w:pPr>
      <w:r>
        <w:rPr>
          <w:rFonts w:hint="eastAsia" w:ascii="宋体" w:hAnsi="宋体" w:cs="宋体"/>
          <w:b/>
          <w:sz w:val="24"/>
        </w:rPr>
        <w:t>（十一）定标</w:t>
      </w:r>
    </w:p>
    <w:p>
      <w:pPr>
        <w:adjustRightInd w:val="0"/>
        <w:snapToGrid w:val="0"/>
        <w:spacing w:line="360" w:lineRule="auto"/>
        <w:ind w:firstLine="480" w:firstLineChars="200"/>
        <w:rPr>
          <w:rFonts w:ascii="宋体" w:hAnsi="宋体" w:cs="宋体"/>
          <w:b/>
          <w:sz w:val="24"/>
        </w:rPr>
      </w:pPr>
      <w:r>
        <w:rPr>
          <w:rFonts w:hint="eastAsia" w:ascii="宋体" w:hAnsi="宋体" w:cs="宋体"/>
          <w:sz w:val="24"/>
        </w:rPr>
        <w:t>1、本次招标由评标委员会确定中标候选人（招标文件另有规定的除外）。</w:t>
      </w:r>
    </w:p>
    <w:p>
      <w:pPr>
        <w:adjustRightInd w:val="0"/>
        <w:snapToGrid w:val="0"/>
        <w:spacing w:line="360" w:lineRule="auto"/>
        <w:ind w:firstLine="480" w:firstLineChars="200"/>
        <w:rPr>
          <w:rFonts w:ascii="宋体" w:hAnsi="宋体" w:cs="宋体"/>
          <w:b/>
          <w:sz w:val="24"/>
        </w:rPr>
      </w:pPr>
      <w:r>
        <w:rPr>
          <w:rFonts w:hint="eastAsia" w:ascii="宋体" w:hAnsi="宋体" w:cs="宋体"/>
          <w:sz w:val="24"/>
        </w:rPr>
        <w:t>2、评标结果按评审后得分由高到低顺序排列。得分相同的，按投标报价由低到高顺序排列。得分且投标报价相同的并列，由采购人确定中标人。投标文件满足招标文件全部实质性要求，且按照评审因素的量化指标评审得分最高的投标人为排名第一的中标候选人，排名第二做为第二中标候选人。</w:t>
      </w:r>
    </w:p>
    <w:p>
      <w:pPr>
        <w:adjustRightInd w:val="0"/>
        <w:snapToGrid w:val="0"/>
        <w:spacing w:line="360" w:lineRule="auto"/>
        <w:ind w:left="359" w:leftChars="171" w:firstLine="120" w:firstLineChars="50"/>
        <w:rPr>
          <w:rFonts w:ascii="宋体" w:hAnsi="宋体" w:cs="宋体"/>
          <w:bCs/>
          <w:sz w:val="24"/>
        </w:rPr>
      </w:pPr>
      <w:r>
        <w:rPr>
          <w:rFonts w:hint="eastAsia" w:ascii="宋体" w:hAnsi="宋体" w:cs="宋体"/>
          <w:sz w:val="24"/>
        </w:rPr>
        <w:t>3、</w:t>
      </w:r>
      <w:r>
        <w:rPr>
          <w:rFonts w:hint="eastAsia" w:ascii="宋体" w:hAnsi="宋体" w:cs="宋体"/>
          <w:bCs/>
          <w:sz w:val="24"/>
        </w:rPr>
        <w:t>采购人根据招标文件、中标人的投标文件、合同等材料及时组织验收，并严把质量关。</w:t>
      </w:r>
    </w:p>
    <w:p>
      <w:pPr>
        <w:adjustRightInd w:val="0"/>
        <w:snapToGrid w:val="0"/>
        <w:spacing w:line="360" w:lineRule="auto"/>
        <w:ind w:left="359" w:leftChars="171" w:firstLine="120" w:firstLineChars="50"/>
        <w:rPr>
          <w:rFonts w:ascii="宋体" w:hAnsi="宋体" w:cs="宋体"/>
          <w:sz w:val="24"/>
        </w:rPr>
      </w:pPr>
      <w:r>
        <w:rPr>
          <w:rFonts w:hint="eastAsia" w:ascii="宋体" w:hAnsi="宋体" w:cs="宋体"/>
          <w:b/>
          <w:bCs/>
          <w:sz w:val="24"/>
        </w:rPr>
        <w:t>（十二）授予合同</w:t>
      </w:r>
    </w:p>
    <w:p>
      <w:pPr>
        <w:adjustRightInd w:val="0"/>
        <w:snapToGrid w:val="0"/>
        <w:spacing w:line="360" w:lineRule="auto"/>
        <w:ind w:firstLine="480" w:firstLineChars="200"/>
        <w:rPr>
          <w:rFonts w:ascii="宋体" w:hAnsi="宋体" w:cs="宋体"/>
          <w:sz w:val="24"/>
        </w:rPr>
      </w:pPr>
      <w:r>
        <w:rPr>
          <w:rFonts w:hint="eastAsia" w:ascii="宋体" w:hAnsi="宋体" w:cs="宋体"/>
          <w:bCs/>
          <w:sz w:val="24"/>
        </w:rPr>
        <w:t>1、中标公告评标委员会确定的中标候选人在“浙江省政府采购网”上公告。</w:t>
      </w:r>
    </w:p>
    <w:p>
      <w:pPr>
        <w:adjustRightInd w:val="0"/>
        <w:snapToGrid w:val="0"/>
        <w:spacing w:line="360" w:lineRule="auto"/>
        <w:ind w:firstLine="480" w:firstLineChars="200"/>
        <w:rPr>
          <w:rFonts w:ascii="宋体" w:hAnsi="宋体" w:cs="宋体"/>
          <w:sz w:val="24"/>
        </w:rPr>
      </w:pPr>
      <w:r>
        <w:rPr>
          <w:rFonts w:hint="eastAsia" w:ascii="宋体" w:hAnsi="宋体" w:cs="宋体"/>
          <w:bCs/>
          <w:sz w:val="24"/>
        </w:rPr>
        <w:t>2、中标通知</w:t>
      </w:r>
    </w:p>
    <w:p>
      <w:pPr>
        <w:adjustRightInd w:val="0"/>
        <w:snapToGrid w:val="0"/>
        <w:spacing w:line="360" w:lineRule="auto"/>
        <w:ind w:firstLine="480" w:firstLineChars="200"/>
        <w:rPr>
          <w:rFonts w:ascii="宋体" w:hAnsi="宋体" w:cs="宋体"/>
          <w:sz w:val="24"/>
        </w:rPr>
      </w:pPr>
      <w:r>
        <w:rPr>
          <w:rFonts w:hint="eastAsia" w:ascii="宋体" w:hAnsi="宋体" w:cs="宋体"/>
          <w:bCs/>
          <w:sz w:val="24"/>
        </w:rPr>
        <w:t>（1）</w:t>
      </w:r>
      <w:r>
        <w:rPr>
          <w:rFonts w:hint="eastAsia" w:ascii="宋体" w:hAnsi="宋体" w:cs="宋体"/>
          <w:sz w:val="24"/>
        </w:rPr>
        <w:t>中标人确定后，采购代理机构在政采云平台向中标人签发《中标通知书》。</w:t>
      </w:r>
    </w:p>
    <w:p>
      <w:pPr>
        <w:adjustRightInd w:val="0"/>
        <w:snapToGrid w:val="0"/>
        <w:spacing w:line="360" w:lineRule="auto"/>
        <w:ind w:firstLine="480" w:firstLineChars="200"/>
        <w:rPr>
          <w:rFonts w:ascii="宋体" w:hAnsi="宋体" w:cs="宋体"/>
          <w:sz w:val="24"/>
        </w:rPr>
      </w:pPr>
      <w:r>
        <w:rPr>
          <w:rFonts w:hint="eastAsia" w:ascii="宋体" w:hAnsi="宋体" w:cs="宋体"/>
          <w:bCs/>
          <w:sz w:val="24"/>
        </w:rPr>
        <w:t>（2）</w:t>
      </w:r>
      <w:r>
        <w:rPr>
          <w:rFonts w:hint="eastAsia" w:ascii="宋体" w:hAnsi="宋体" w:cs="宋体"/>
          <w:sz w:val="24"/>
        </w:rPr>
        <w:t>中标通知书是合同的一个组成部分,对采购人和中标人均具有同等法律效力。</w:t>
      </w:r>
    </w:p>
    <w:p>
      <w:pPr>
        <w:spacing w:line="360" w:lineRule="auto"/>
        <w:ind w:firstLine="480" w:firstLineChars="200"/>
        <w:rPr>
          <w:rFonts w:ascii="宋体" w:hAnsi="宋体" w:cs="宋体"/>
          <w:bCs/>
          <w:sz w:val="24"/>
        </w:rPr>
      </w:pPr>
      <w:r>
        <w:rPr>
          <w:rFonts w:hint="eastAsia" w:ascii="宋体" w:hAnsi="宋体" w:cs="宋体"/>
          <w:bCs/>
          <w:sz w:val="24"/>
        </w:rPr>
        <w:t>3、签订合同</w:t>
      </w:r>
    </w:p>
    <w:p>
      <w:pPr>
        <w:spacing w:line="360" w:lineRule="auto"/>
        <w:ind w:firstLine="480" w:firstLineChars="200"/>
        <w:rPr>
          <w:rFonts w:ascii="宋体" w:hAnsi="宋体" w:cs="宋体"/>
          <w:bCs/>
          <w:sz w:val="24"/>
        </w:rPr>
      </w:pPr>
      <w:r>
        <w:rPr>
          <w:rFonts w:hint="eastAsia" w:ascii="宋体" w:hAnsi="宋体" w:cs="宋体"/>
          <w:sz w:val="24"/>
        </w:rPr>
        <w:t>（1）中标人应中标通知书发出后30日内，按照采购文件确定的事项签订本合同。</w:t>
      </w:r>
    </w:p>
    <w:p>
      <w:pPr>
        <w:spacing w:line="360" w:lineRule="auto"/>
        <w:ind w:firstLine="480" w:firstLineChars="200"/>
        <w:rPr>
          <w:rFonts w:ascii="宋体" w:hAnsi="宋体" w:cs="宋体"/>
          <w:bCs/>
          <w:sz w:val="24"/>
        </w:rPr>
      </w:pPr>
      <w:r>
        <w:rPr>
          <w:rFonts w:hint="eastAsia" w:ascii="宋体" w:hAnsi="宋体" w:cs="宋体"/>
          <w:sz w:val="24"/>
        </w:rPr>
        <w:t>（2）招标文件、中标人的投标文件、评标过程中投标人在询标时作出的承诺及其澄清文件等，均为签订合同的依据。</w:t>
      </w:r>
    </w:p>
    <w:p>
      <w:pPr>
        <w:spacing w:line="360" w:lineRule="auto"/>
        <w:ind w:firstLine="480" w:firstLineChars="200"/>
        <w:rPr>
          <w:rFonts w:ascii="宋体" w:hAnsi="宋体" w:cs="宋体"/>
          <w:bCs/>
          <w:sz w:val="24"/>
        </w:rPr>
      </w:pPr>
      <w:r>
        <w:rPr>
          <w:rFonts w:hint="eastAsia" w:ascii="宋体" w:hAnsi="宋体" w:cs="宋体"/>
          <w:sz w:val="24"/>
        </w:rPr>
        <w:t>（3）中标人不遵守招标文件和投标文件的要约及承诺而擅自修改报价，或在接到《中标通知书》后借故拖延、拒签合同而造成超过规定时间的，取消该投标人的中标资格。在此情况下，采购人和采购代理机构重新招标，对受影响的投标人不承担任何责任。</w:t>
      </w:r>
    </w:p>
    <w:p>
      <w:pPr>
        <w:spacing w:line="360" w:lineRule="auto"/>
        <w:ind w:firstLine="480" w:firstLineChars="200"/>
        <w:rPr>
          <w:rFonts w:ascii="宋体" w:hAnsi="宋体" w:cs="宋体"/>
          <w:bCs/>
          <w:sz w:val="24"/>
        </w:rPr>
      </w:pPr>
      <w:r>
        <w:rPr>
          <w:rFonts w:hint="eastAsia" w:ascii="宋体" w:hAnsi="宋体" w:cs="宋体"/>
          <w:bCs/>
          <w:sz w:val="24"/>
        </w:rPr>
        <w:t>4、</w:t>
      </w:r>
      <w:r>
        <w:rPr>
          <w:rFonts w:hint="eastAsia" w:ascii="宋体" w:hAnsi="宋体" w:cs="宋体"/>
          <w:b/>
          <w:bCs/>
          <w:sz w:val="24"/>
        </w:rPr>
        <w:t>采购人根据招标文件、中标人的投标文件、合同等材料及时组织验收，并严把质量关。</w:t>
      </w:r>
    </w:p>
    <w:p>
      <w:pPr>
        <w:tabs>
          <w:tab w:val="left" w:pos="720"/>
        </w:tabs>
        <w:spacing w:line="360" w:lineRule="auto"/>
        <w:rPr>
          <w:rFonts w:ascii="宋体" w:hAnsi="宋体" w:cs="宋体"/>
          <w:b/>
          <w:bCs/>
          <w:sz w:val="32"/>
          <w:szCs w:val="32"/>
        </w:rPr>
      </w:pPr>
    </w:p>
    <w:p>
      <w:pPr>
        <w:tabs>
          <w:tab w:val="left" w:pos="720"/>
        </w:tabs>
        <w:spacing w:line="360" w:lineRule="auto"/>
        <w:rPr>
          <w:rFonts w:ascii="宋体" w:hAnsi="宋体" w:cs="宋体"/>
          <w:bCs/>
          <w:szCs w:val="21"/>
        </w:rPr>
      </w:pPr>
    </w:p>
    <w:p>
      <w:pPr>
        <w:tabs>
          <w:tab w:val="left" w:pos="720"/>
        </w:tabs>
        <w:spacing w:line="360" w:lineRule="auto"/>
        <w:rPr>
          <w:rFonts w:ascii="宋体" w:hAnsi="宋体" w:cs="宋体"/>
          <w:bCs/>
          <w:szCs w:val="21"/>
        </w:rPr>
      </w:pPr>
    </w:p>
    <w:p>
      <w:pPr>
        <w:tabs>
          <w:tab w:val="left" w:pos="720"/>
        </w:tabs>
        <w:spacing w:line="360" w:lineRule="auto"/>
        <w:rPr>
          <w:rFonts w:ascii="宋体" w:hAnsi="宋体" w:cs="宋体"/>
          <w:bCs/>
          <w:szCs w:val="21"/>
        </w:rPr>
      </w:pPr>
    </w:p>
    <w:p>
      <w:pPr>
        <w:spacing w:line="360" w:lineRule="auto"/>
        <w:jc w:val="center"/>
        <w:outlineLvl w:val="0"/>
        <w:rPr>
          <w:rFonts w:ascii="宋体" w:hAnsi="宋体" w:cs="宋体"/>
          <w:b/>
          <w:bCs/>
          <w:sz w:val="36"/>
          <w:szCs w:val="36"/>
        </w:rPr>
      </w:pPr>
      <w:r>
        <w:rPr>
          <w:rFonts w:hint="eastAsia" w:ascii="宋体" w:hAnsi="宋体" w:cs="宋体"/>
          <w:b/>
          <w:bCs/>
          <w:sz w:val="36"/>
          <w:szCs w:val="36"/>
        </w:rPr>
        <w:br w:type="page"/>
      </w:r>
      <w:bookmarkStart w:id="7" w:name="_Toc6952"/>
      <w:r>
        <w:rPr>
          <w:rFonts w:hint="eastAsia" w:ascii="宋体" w:hAnsi="宋体" w:cs="宋体"/>
          <w:b/>
          <w:bCs/>
          <w:sz w:val="36"/>
          <w:szCs w:val="36"/>
        </w:rPr>
        <w:t>第五部分评标方法</w:t>
      </w:r>
      <w:bookmarkEnd w:id="7"/>
    </w:p>
    <w:p>
      <w:pPr>
        <w:spacing w:line="360" w:lineRule="auto"/>
        <w:jc w:val="center"/>
        <w:rPr>
          <w:rFonts w:ascii="宋体" w:hAnsi="宋体" w:cs="宋体"/>
          <w:b/>
          <w:szCs w:val="21"/>
        </w:rPr>
      </w:pPr>
    </w:p>
    <w:p>
      <w:pPr>
        <w:pStyle w:val="10"/>
        <w:adjustRightInd w:val="0"/>
        <w:snapToGrid w:val="0"/>
        <w:spacing w:line="360" w:lineRule="auto"/>
        <w:ind w:firstLine="480" w:firstLineChars="200"/>
        <w:rPr>
          <w:rFonts w:ascii="宋体" w:hAnsi="宋体" w:cs="宋体"/>
          <w:bCs/>
          <w:sz w:val="24"/>
        </w:rPr>
      </w:pPr>
      <w:r>
        <w:rPr>
          <w:rFonts w:hint="eastAsia" w:ascii="宋体" w:hAnsi="宋体" w:cs="宋体"/>
          <w:bCs/>
          <w:sz w:val="24"/>
        </w:rPr>
        <w:t>根据《中华人民共和国政府采购法》等相关法规特制定以下评标办法。</w:t>
      </w:r>
    </w:p>
    <w:p>
      <w:pPr>
        <w:pStyle w:val="10"/>
        <w:adjustRightInd w:val="0"/>
        <w:snapToGrid w:val="0"/>
        <w:spacing w:line="360" w:lineRule="auto"/>
        <w:ind w:firstLine="482" w:firstLineChars="200"/>
        <w:rPr>
          <w:rFonts w:ascii="宋体" w:hAnsi="宋体" w:cs="宋体"/>
          <w:b/>
          <w:sz w:val="24"/>
        </w:rPr>
      </w:pPr>
      <w:r>
        <w:rPr>
          <w:rFonts w:hint="eastAsia" w:ascii="宋体" w:hAnsi="宋体" w:cs="宋体"/>
          <w:b/>
          <w:sz w:val="24"/>
        </w:rPr>
        <w:t>（一）总则</w:t>
      </w:r>
    </w:p>
    <w:p>
      <w:pPr>
        <w:pStyle w:val="10"/>
        <w:adjustRightInd w:val="0"/>
        <w:snapToGrid w:val="0"/>
        <w:spacing w:line="360" w:lineRule="auto"/>
        <w:ind w:firstLine="480" w:firstLineChars="200"/>
        <w:rPr>
          <w:rFonts w:ascii="宋体" w:hAnsi="宋体" w:cs="宋体"/>
          <w:sz w:val="24"/>
        </w:rPr>
      </w:pPr>
      <w:r>
        <w:rPr>
          <w:rFonts w:hint="eastAsia" w:ascii="宋体" w:hAnsi="宋体" w:cs="宋体"/>
          <w:sz w:val="24"/>
        </w:rPr>
        <w:t>评标工作遵循公平、公正、科学、择优原则和诚实、信誉、效率的服务原则。</w:t>
      </w:r>
    </w:p>
    <w:p>
      <w:pPr>
        <w:pStyle w:val="10"/>
        <w:adjustRightInd w:val="0"/>
        <w:snapToGrid w:val="0"/>
        <w:spacing w:line="360" w:lineRule="auto"/>
        <w:ind w:firstLine="482" w:firstLineChars="200"/>
        <w:rPr>
          <w:rFonts w:ascii="宋体" w:hAnsi="宋体" w:cs="宋体"/>
          <w:b/>
          <w:sz w:val="24"/>
        </w:rPr>
      </w:pPr>
      <w:r>
        <w:rPr>
          <w:rFonts w:hint="eastAsia" w:ascii="宋体" w:hAnsi="宋体" w:cs="宋体"/>
          <w:b/>
          <w:sz w:val="24"/>
        </w:rPr>
        <w:t>（二）评标组织</w:t>
      </w:r>
    </w:p>
    <w:p>
      <w:pPr>
        <w:pStyle w:val="10"/>
        <w:adjustRightInd w:val="0"/>
        <w:snapToGrid w:val="0"/>
        <w:spacing w:line="360" w:lineRule="auto"/>
        <w:ind w:firstLine="480" w:firstLineChars="200"/>
        <w:rPr>
          <w:rFonts w:ascii="宋体" w:hAnsi="宋体" w:cs="宋体"/>
          <w:sz w:val="24"/>
        </w:rPr>
      </w:pPr>
      <w:r>
        <w:rPr>
          <w:rFonts w:hint="eastAsia" w:ascii="宋体" w:hAnsi="宋体" w:cs="宋体"/>
          <w:sz w:val="24"/>
        </w:rPr>
        <w:t>评标工作由采购代理机构依法组建的评标委员会负责。</w:t>
      </w:r>
    </w:p>
    <w:p>
      <w:pPr>
        <w:pStyle w:val="10"/>
        <w:adjustRightInd w:val="0"/>
        <w:snapToGrid w:val="0"/>
        <w:spacing w:line="360" w:lineRule="auto"/>
        <w:ind w:firstLine="482" w:firstLineChars="200"/>
        <w:rPr>
          <w:rFonts w:ascii="宋体" w:hAnsi="宋体" w:cs="宋体"/>
          <w:b/>
          <w:sz w:val="24"/>
        </w:rPr>
      </w:pPr>
      <w:r>
        <w:rPr>
          <w:rFonts w:hint="eastAsia" w:ascii="宋体" w:hAnsi="宋体" w:cs="宋体"/>
          <w:b/>
          <w:sz w:val="24"/>
        </w:rPr>
        <w:t>（三）评标程序</w:t>
      </w:r>
    </w:p>
    <w:p>
      <w:pPr>
        <w:pStyle w:val="10"/>
        <w:adjustRightInd w:val="0"/>
        <w:snapToGrid w:val="0"/>
        <w:spacing w:line="360" w:lineRule="auto"/>
        <w:ind w:firstLine="480" w:firstLineChars="200"/>
        <w:rPr>
          <w:rFonts w:ascii="宋体" w:hAnsi="宋体" w:cs="宋体"/>
          <w:b/>
          <w:bCs/>
          <w:sz w:val="24"/>
        </w:rPr>
      </w:pPr>
      <w:r>
        <w:rPr>
          <w:rFonts w:hint="eastAsia" w:ascii="宋体" w:hAnsi="宋体" w:cs="宋体"/>
          <w:sz w:val="24"/>
        </w:rPr>
        <w:t>评标委员会以开标、评标、询标情况为基本依据，按照招标文件的规定，</w:t>
      </w:r>
      <w:r>
        <w:rPr>
          <w:rFonts w:hint="eastAsia" w:ascii="宋体" w:hAnsi="宋体" w:cs="宋体"/>
          <w:spacing w:val="-4"/>
          <w:sz w:val="24"/>
        </w:rPr>
        <w:t>对各投标人的投标文件分资格响应文件、商务技术响应文件、报价要求响应文件三个部分按以下程序进行分析、评议：</w:t>
      </w:r>
    </w:p>
    <w:p>
      <w:pPr>
        <w:pStyle w:val="12"/>
        <w:spacing w:line="360" w:lineRule="auto"/>
        <w:ind w:firstLine="480"/>
        <w:rPr>
          <w:rFonts w:hAnsi="宋体" w:cs="宋体"/>
          <w:sz w:val="24"/>
          <w:szCs w:val="24"/>
        </w:rPr>
      </w:pPr>
      <w:r>
        <w:rPr>
          <w:rFonts w:hint="eastAsia" w:hAnsi="宋体" w:cs="宋体"/>
          <w:sz w:val="24"/>
          <w:szCs w:val="24"/>
        </w:rPr>
        <w:t>1、对投标人的资格部分、技术及商务文件进行符合性审查，确定技术标有效单位。</w:t>
      </w:r>
    </w:p>
    <w:p>
      <w:pPr>
        <w:pStyle w:val="12"/>
        <w:spacing w:line="360" w:lineRule="auto"/>
        <w:ind w:firstLine="480"/>
        <w:rPr>
          <w:rFonts w:hAnsi="宋体" w:cs="宋体"/>
          <w:sz w:val="24"/>
          <w:szCs w:val="24"/>
        </w:rPr>
      </w:pPr>
      <w:r>
        <w:rPr>
          <w:rFonts w:hint="eastAsia" w:hAnsi="宋体" w:cs="宋体"/>
          <w:sz w:val="24"/>
          <w:szCs w:val="24"/>
        </w:rPr>
        <w:t>2、对技术及商务标有效的投标人进行评分，计算出各投标人的得分（详见评分细则）。</w:t>
      </w:r>
    </w:p>
    <w:p>
      <w:pPr>
        <w:pStyle w:val="12"/>
        <w:spacing w:line="360" w:lineRule="auto"/>
        <w:ind w:firstLine="480"/>
        <w:rPr>
          <w:rFonts w:hAnsi="宋体" w:cs="宋体"/>
          <w:sz w:val="24"/>
          <w:szCs w:val="24"/>
        </w:rPr>
      </w:pPr>
      <w:r>
        <w:rPr>
          <w:rFonts w:hint="eastAsia" w:hAnsi="宋体" w:cs="宋体"/>
          <w:sz w:val="24"/>
          <w:szCs w:val="24"/>
        </w:rPr>
        <w:t>3、对技术及商务标有效的投标人的投标报价在政采云平台上予以公开。</w:t>
      </w:r>
    </w:p>
    <w:p>
      <w:pPr>
        <w:pStyle w:val="12"/>
        <w:spacing w:line="360" w:lineRule="auto"/>
        <w:ind w:firstLine="480"/>
        <w:rPr>
          <w:rFonts w:hAnsi="宋体" w:cs="宋体"/>
          <w:sz w:val="24"/>
          <w:szCs w:val="24"/>
        </w:rPr>
      </w:pPr>
      <w:r>
        <w:rPr>
          <w:rFonts w:hint="eastAsia" w:hAnsi="宋体" w:cs="宋体"/>
          <w:sz w:val="24"/>
          <w:szCs w:val="24"/>
        </w:rPr>
        <w:t>4、评标委员会对技术商务标有效的投标人进行投标报价部分评审，确定投标报价评审有效投标人。</w:t>
      </w:r>
    </w:p>
    <w:p>
      <w:pPr>
        <w:spacing w:line="360" w:lineRule="auto"/>
        <w:ind w:firstLine="480" w:firstLineChars="200"/>
        <w:rPr>
          <w:rFonts w:ascii="宋体" w:hAnsi="宋体" w:cs="宋体"/>
          <w:sz w:val="24"/>
        </w:rPr>
      </w:pPr>
      <w:r>
        <w:rPr>
          <w:rFonts w:hint="eastAsia" w:ascii="宋体" w:hAnsi="宋体" w:cs="宋体"/>
          <w:sz w:val="24"/>
        </w:rPr>
        <w:t>5、对投标报价评审后有效的投标人计算投标报价分和综合得分（详见评分细则）</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6、确定中标人</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评标结果按评审后得分由高到低顺序排列。得分相同的，按投标报价由低到高顺序排列。得分且投标报价相同的并列，由采购人确定中标人。投标文件满足招标文件全部实质性要求，且按照评审因素的量化指标评审得分最高的投标人为排名第一的中标候选人，排名第二做为第二中标候选人。</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（2）评标委员会直接确定排名第一的投标人为中标人。</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（3）</w:t>
      </w:r>
      <w:r>
        <w:rPr>
          <w:rFonts w:hint="eastAsia" w:ascii="宋体" w:hAnsi="宋体" w:cs="宋体"/>
          <w:bCs/>
          <w:sz w:val="24"/>
        </w:rPr>
        <w:t>排名第一的中标候选人放弃中标；因不可抗力提出不能履行合同；或者招标文件规定应当提交履约保证金而在规定的期限内未能提交的；或未能在规定时间内与采购单位签订合同的；或者经质疑，确因排名第一的候选人在本次采购活动中存在违法违规行为或其他原因使质疑成立的；或者存在违法违规行为被采购监管部门处理的；采购单位可以按照评标报告推荐的中标候选人名单排序，确定下一候选人为中标，也可以重新开展政府采购活动。</w:t>
      </w:r>
    </w:p>
    <w:p>
      <w:pPr>
        <w:spacing w:line="360" w:lineRule="auto"/>
        <w:ind w:firstLine="480" w:firstLineChars="200"/>
        <w:rPr>
          <w:rFonts w:ascii="宋体" w:hAnsi="宋体" w:cs="宋体"/>
          <w:sz w:val="24"/>
        </w:rPr>
      </w:pPr>
      <w:r>
        <w:rPr>
          <w:rFonts w:hint="eastAsia" w:ascii="宋体" w:hAnsi="宋体" w:cs="宋体"/>
          <w:sz w:val="24"/>
        </w:rPr>
        <w:t>7、完成评标报告</w:t>
      </w:r>
    </w:p>
    <w:p>
      <w:pPr>
        <w:spacing w:line="360" w:lineRule="auto"/>
        <w:ind w:firstLine="480" w:firstLineChars="200"/>
        <w:rPr>
          <w:rFonts w:ascii="宋体" w:hAnsi="宋体" w:cs="宋体"/>
          <w:sz w:val="24"/>
        </w:rPr>
      </w:pPr>
      <w:r>
        <w:rPr>
          <w:rFonts w:hint="eastAsia" w:ascii="宋体" w:hAnsi="宋体" w:cs="宋体"/>
          <w:sz w:val="24"/>
        </w:rPr>
        <w:t>评标委员会根据评审相关情况做出评标报告。</w:t>
      </w:r>
    </w:p>
    <w:p>
      <w:pPr>
        <w:pStyle w:val="10"/>
        <w:adjustRightInd w:val="0"/>
        <w:snapToGrid w:val="0"/>
        <w:spacing w:line="360" w:lineRule="auto"/>
        <w:ind w:firstLine="482" w:firstLineChars="200"/>
        <w:rPr>
          <w:rFonts w:ascii="宋体" w:hAnsi="宋体" w:cs="宋体"/>
          <w:b/>
          <w:sz w:val="24"/>
        </w:rPr>
      </w:pPr>
      <w:r>
        <w:rPr>
          <w:rFonts w:hint="eastAsia" w:ascii="宋体" w:hAnsi="宋体" w:cs="宋体"/>
          <w:b/>
          <w:sz w:val="24"/>
        </w:rPr>
        <w:t>（四）评标办法</w:t>
      </w:r>
    </w:p>
    <w:p>
      <w:pPr>
        <w:pStyle w:val="10"/>
        <w:adjustRightInd w:val="0"/>
        <w:snapToGrid w:val="0"/>
        <w:spacing w:line="360" w:lineRule="auto"/>
        <w:ind w:firstLine="480" w:firstLineChars="200"/>
        <w:rPr>
          <w:rFonts w:ascii="宋体" w:hAnsi="宋体" w:cs="宋体"/>
          <w:sz w:val="24"/>
        </w:rPr>
      </w:pPr>
      <w:r>
        <w:rPr>
          <w:rFonts w:hint="eastAsia" w:ascii="宋体" w:hAnsi="宋体" w:cs="宋体"/>
          <w:sz w:val="24"/>
        </w:rPr>
        <w:t>本评标办法采用综合评分法，技术及商务90分（权值90%），报价10分（权值10%）。满足招标文件全部实质性要求，且按照评审因素的量化指标评审得分最高的投标人，将被推荐为中标候选人。</w:t>
      </w:r>
    </w:p>
    <w:p>
      <w:pPr>
        <w:pStyle w:val="10"/>
        <w:adjustRightInd w:val="0"/>
        <w:snapToGrid w:val="0"/>
        <w:spacing w:line="360" w:lineRule="auto"/>
        <w:ind w:firstLine="482" w:firstLineChars="200"/>
        <w:rPr>
          <w:rFonts w:ascii="宋体" w:hAnsi="宋体" w:cs="宋体"/>
          <w:sz w:val="24"/>
        </w:rPr>
      </w:pPr>
      <w:r>
        <w:rPr>
          <w:rFonts w:hint="eastAsia" w:ascii="宋体" w:hAnsi="宋体" w:cs="宋体"/>
          <w:b/>
          <w:sz w:val="24"/>
        </w:rPr>
        <w:t>（五）评分细则</w:t>
      </w:r>
    </w:p>
    <w:p>
      <w:pPr>
        <w:pStyle w:val="10"/>
        <w:adjustRightInd w:val="0"/>
        <w:snapToGrid w:val="0"/>
        <w:spacing w:line="360" w:lineRule="auto"/>
        <w:ind w:firstLine="480" w:firstLineChars="200"/>
        <w:rPr>
          <w:rFonts w:ascii="宋体" w:hAnsi="宋体" w:cs="宋体"/>
          <w:sz w:val="24"/>
        </w:rPr>
      </w:pPr>
      <w:r>
        <w:rPr>
          <w:rFonts w:hint="eastAsia" w:ascii="宋体" w:hAnsi="宋体" w:cs="宋体"/>
          <w:sz w:val="24"/>
        </w:rPr>
        <w:t>1.技术资信分的评定（90分）</w:t>
      </w:r>
    </w:p>
    <w:p>
      <w:pPr>
        <w:pStyle w:val="10"/>
        <w:adjustRightInd w:val="0"/>
        <w:snapToGrid w:val="0"/>
        <w:spacing w:line="360" w:lineRule="auto"/>
        <w:ind w:firstLine="480" w:firstLineChars="200"/>
        <w:rPr>
          <w:rFonts w:ascii="宋体" w:hAnsi="宋体" w:cs="宋体"/>
          <w:sz w:val="24"/>
        </w:rPr>
      </w:pPr>
      <w:r>
        <w:rPr>
          <w:rFonts w:hint="eastAsia" w:ascii="宋体" w:hAnsi="宋体" w:cs="宋体"/>
          <w:sz w:val="24"/>
        </w:rPr>
        <w:t>各评标委员会按下列评分项目进行评判，每人一张评分计算票，并记名。投标文件各项评分内容由评标委员会成员各自评分，如某张票的一个因素项目超过规定的范围，则该张票无效。各评标委员会成员对各投标人的各项评分内容评分的合计的算术平均值为各投标人技术资信分得分（小数点后按四舍五入保留2位）。</w:t>
      </w:r>
    </w:p>
    <w:p>
      <w:pPr>
        <w:spacing w:line="360" w:lineRule="auto"/>
        <w:rPr>
          <w:rFonts w:ascii="宋体" w:hAnsi="宋体" w:cs="宋体"/>
        </w:rPr>
      </w:pPr>
      <w:r>
        <w:rPr>
          <w:rFonts w:hint="eastAsia" w:ascii="宋体" w:hAnsi="宋体" w:cs="宋体"/>
          <w:sz w:val="24"/>
        </w:rPr>
        <w:t>标项一：</w:t>
      </w:r>
    </w:p>
    <w:tbl>
      <w:tblPr>
        <w:tblStyle w:val="20"/>
        <w:tblW w:w="492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5308"/>
        <w:gridCol w:w="787"/>
        <w:gridCol w:w="1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7" w:hRule="atLeast"/>
        </w:trPr>
        <w:tc>
          <w:tcPr>
            <w:tcW w:w="504" w:type="pct"/>
            <w:noWrap/>
            <w:vAlign w:val="center"/>
          </w:tcPr>
          <w:p>
            <w:pPr>
              <w:spacing w:line="360" w:lineRule="auto"/>
              <w:jc w:val="center"/>
              <w:outlineLvl w:val="0"/>
              <w:rPr>
                <w:rFonts w:ascii="宋体" w:hAnsi="宋体" w:cs="宋体"/>
                <w:bCs/>
                <w:sz w:val="24"/>
              </w:rPr>
            </w:pPr>
            <w:bookmarkStart w:id="8" w:name="_Toc3551"/>
            <w:r>
              <w:rPr>
                <w:rFonts w:hint="eastAsia" w:ascii="宋体" w:hAnsi="宋体" w:cs="宋体"/>
                <w:bCs/>
                <w:sz w:val="24"/>
              </w:rPr>
              <w:t>序号</w:t>
            </w:r>
            <w:bookmarkEnd w:id="8"/>
          </w:p>
        </w:tc>
        <w:tc>
          <w:tcPr>
            <w:tcW w:w="3170" w:type="pct"/>
            <w:noWrap/>
            <w:vAlign w:val="center"/>
          </w:tcPr>
          <w:p>
            <w:pPr>
              <w:spacing w:line="360" w:lineRule="auto"/>
              <w:ind w:firstLine="1560" w:firstLineChars="650"/>
              <w:outlineLvl w:val="0"/>
              <w:rPr>
                <w:rFonts w:ascii="宋体" w:hAnsi="宋体" w:cs="宋体"/>
                <w:bCs/>
                <w:sz w:val="24"/>
              </w:rPr>
            </w:pPr>
            <w:bookmarkStart w:id="9" w:name="_Toc4063"/>
            <w:r>
              <w:rPr>
                <w:rFonts w:hint="eastAsia" w:ascii="宋体" w:hAnsi="宋体" w:cs="宋体"/>
                <w:bCs/>
                <w:sz w:val="24"/>
              </w:rPr>
              <w:t>评标标准</w:t>
            </w:r>
            <w:bookmarkEnd w:id="9"/>
          </w:p>
        </w:tc>
        <w:tc>
          <w:tcPr>
            <w:tcW w:w="470" w:type="pct"/>
            <w:noWrap/>
            <w:vAlign w:val="center"/>
          </w:tcPr>
          <w:p>
            <w:pPr>
              <w:spacing w:line="360" w:lineRule="auto"/>
              <w:jc w:val="center"/>
              <w:outlineLvl w:val="0"/>
              <w:rPr>
                <w:rFonts w:ascii="宋体" w:hAnsi="宋体" w:cs="宋体"/>
                <w:bCs/>
                <w:sz w:val="24"/>
              </w:rPr>
            </w:pPr>
            <w:bookmarkStart w:id="10" w:name="_Toc930"/>
            <w:r>
              <w:rPr>
                <w:rFonts w:hint="eastAsia" w:ascii="宋体" w:hAnsi="宋体" w:cs="宋体"/>
                <w:bCs/>
                <w:sz w:val="24"/>
              </w:rPr>
              <w:t>权重</w:t>
            </w:r>
            <w:bookmarkEnd w:id="10"/>
          </w:p>
        </w:tc>
        <w:tc>
          <w:tcPr>
            <w:tcW w:w="854" w:type="pct"/>
            <w:noWrap/>
            <w:vAlign w:val="center"/>
          </w:tcPr>
          <w:p>
            <w:pPr>
              <w:spacing w:line="360" w:lineRule="auto"/>
              <w:jc w:val="center"/>
              <w:outlineLvl w:val="0"/>
              <w:rPr>
                <w:rFonts w:ascii="宋体" w:hAnsi="宋体" w:cs="宋体"/>
                <w:bCs/>
                <w:sz w:val="24"/>
              </w:rPr>
            </w:pPr>
            <w:bookmarkStart w:id="11" w:name="_Toc25216"/>
            <w:r>
              <w:rPr>
                <w:rFonts w:hint="eastAsia" w:ascii="宋体" w:hAnsi="宋体" w:cs="宋体"/>
                <w:bCs/>
                <w:sz w:val="24"/>
              </w:rPr>
              <w:t>投标文件中评标标准相应的商务技术资料目录</w:t>
            </w:r>
            <w:r>
              <w:rPr>
                <w:rFonts w:hint="eastAsia" w:ascii="宋体" w:hAnsi="宋体" w:cs="宋体"/>
                <w:sz w:val="24"/>
                <w:shd w:val="clear" w:color="auto" w:fill="FFFFFF"/>
              </w:rPr>
              <w:t>*</w:t>
            </w:r>
            <w:bookmarkEnd w:id="1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4" w:type="pct"/>
            <w:noWrap/>
            <w:vAlign w:val="center"/>
          </w:tcPr>
          <w:p>
            <w:pPr>
              <w:spacing w:line="360" w:lineRule="auto"/>
              <w:jc w:val="center"/>
              <w:outlineLvl w:val="0"/>
              <w:rPr>
                <w:rFonts w:ascii="宋体" w:hAnsi="宋体" w:cs="宋体"/>
                <w:sz w:val="24"/>
              </w:rPr>
            </w:pPr>
            <w:bookmarkStart w:id="12" w:name="_Toc24868"/>
            <w:r>
              <w:rPr>
                <w:rFonts w:hint="eastAsia" w:ascii="宋体" w:hAnsi="宋体" w:cs="宋体"/>
                <w:sz w:val="24"/>
              </w:rPr>
              <w:t>1</w:t>
            </w:r>
            <w:bookmarkEnd w:id="12"/>
          </w:p>
        </w:tc>
        <w:tc>
          <w:tcPr>
            <w:tcW w:w="3170" w:type="pct"/>
            <w:noWrap/>
            <w:vAlign w:val="center"/>
          </w:tcPr>
          <w:p>
            <w:pPr>
              <w:spacing w:line="360" w:lineRule="auto"/>
              <w:jc w:val="left"/>
              <w:outlineLvl w:val="0"/>
              <w:rPr>
                <w:rFonts w:ascii="宋体" w:hAnsi="宋体" w:cs="宋体"/>
                <w:sz w:val="24"/>
                <w:lang w:val="zh-CN"/>
              </w:rPr>
            </w:pPr>
            <w:bookmarkStart w:id="13" w:name="_Toc30323"/>
            <w:r>
              <w:rPr>
                <w:rFonts w:hint="eastAsia" w:ascii="宋体" w:hAnsi="宋体" w:cs="宋体"/>
                <w:sz w:val="24"/>
                <w:lang w:val="zh-CN"/>
              </w:rPr>
              <w:t>投标产品的性能与需求的吻合程度：投标产品的性能与需求的吻合程度。</w:t>
            </w:r>
            <w:bookmarkEnd w:id="13"/>
          </w:p>
          <w:p>
            <w:pPr>
              <w:pStyle w:val="27"/>
              <w:ind w:firstLine="0" w:firstLineChars="0"/>
              <w:jc w:val="left"/>
              <w:rPr>
                <w:rFonts w:ascii="宋体" w:hAnsi="宋体" w:eastAsia="宋体" w:cs="宋体"/>
                <w:snapToGrid w:val="0"/>
                <w:lang w:val="zh-CN"/>
              </w:rPr>
            </w:pPr>
            <w:r>
              <w:rPr>
                <w:rFonts w:hint="eastAsia" w:ascii="宋体" w:hAnsi="宋体" w:eastAsia="宋体" w:cs="宋体"/>
              </w:rPr>
              <w:t>●</w:t>
            </w:r>
            <w:r>
              <w:rPr>
                <w:rFonts w:hint="eastAsia" w:ascii="宋体" w:hAnsi="宋体" w:eastAsia="宋体" w:cs="宋体"/>
                <w:lang w:val="zh-CN"/>
              </w:rPr>
              <w:t>提供的“标线类”技术指标完全满足采购需求明确的全部技术条款要求的得</w:t>
            </w:r>
            <w:r>
              <w:rPr>
                <w:rFonts w:hint="eastAsia" w:ascii="宋体" w:hAnsi="宋体" w:eastAsia="宋体" w:cs="宋体"/>
              </w:rPr>
              <w:t>5</w:t>
            </w:r>
            <w:r>
              <w:rPr>
                <w:rFonts w:hint="eastAsia" w:ascii="宋体" w:hAnsi="宋体" w:eastAsia="宋体" w:cs="宋体"/>
                <w:lang w:val="zh-CN"/>
              </w:rPr>
              <w:t>分</w:t>
            </w:r>
            <w:r>
              <w:rPr>
                <w:rFonts w:hint="eastAsia" w:ascii="宋体" w:hAnsi="宋体" w:eastAsia="宋体" w:cs="宋体"/>
                <w:kern w:val="0"/>
              </w:rPr>
              <w:t>、</w:t>
            </w:r>
            <w:r>
              <w:rPr>
                <w:rFonts w:hint="eastAsia" w:ascii="宋体" w:hAnsi="宋体" w:eastAsia="宋体" w:cs="宋体"/>
                <w:snapToGrid w:val="0"/>
                <w:lang w:val="zh-CN"/>
              </w:rPr>
              <w:t>低于技术要求（负偏离）的每项扣</w:t>
            </w:r>
            <w:r>
              <w:rPr>
                <w:rFonts w:hint="eastAsia" w:ascii="宋体" w:hAnsi="宋体" w:eastAsia="宋体" w:cs="宋体"/>
                <w:snapToGrid w:val="0"/>
              </w:rPr>
              <w:t>1</w:t>
            </w:r>
            <w:r>
              <w:rPr>
                <w:rFonts w:hint="eastAsia" w:ascii="宋体" w:hAnsi="宋体" w:eastAsia="宋体" w:cs="宋体"/>
                <w:snapToGrid w:val="0"/>
                <w:lang w:val="zh-CN"/>
              </w:rPr>
              <w:t>分；扣完为止；</w:t>
            </w:r>
          </w:p>
          <w:p>
            <w:pPr>
              <w:pStyle w:val="27"/>
              <w:ind w:firstLine="0" w:firstLineChars="0"/>
              <w:jc w:val="left"/>
              <w:rPr>
                <w:rFonts w:ascii="宋体" w:hAnsi="宋体" w:eastAsia="宋体" w:cs="宋体"/>
                <w:snapToGrid w:val="0"/>
                <w:lang w:val="zh-CN"/>
              </w:rPr>
            </w:pPr>
            <w:r>
              <w:rPr>
                <w:rFonts w:hint="eastAsia" w:ascii="宋体" w:hAnsi="宋体" w:eastAsia="宋体" w:cs="宋体"/>
              </w:rPr>
              <w:t>●</w:t>
            </w:r>
            <w:r>
              <w:rPr>
                <w:rFonts w:hint="eastAsia" w:ascii="宋体" w:hAnsi="宋体" w:eastAsia="宋体" w:cs="宋体"/>
                <w:lang w:val="zh-CN"/>
              </w:rPr>
              <w:t>提供的“</w:t>
            </w:r>
            <w:r>
              <w:rPr>
                <w:rFonts w:hint="eastAsia" w:ascii="宋体" w:hAnsi="宋体" w:eastAsia="宋体" w:cs="宋体"/>
              </w:rPr>
              <w:t>标志类</w:t>
            </w:r>
            <w:r>
              <w:rPr>
                <w:rFonts w:hint="eastAsia" w:ascii="宋体" w:hAnsi="宋体" w:eastAsia="宋体" w:cs="宋体"/>
                <w:lang w:val="zh-CN"/>
              </w:rPr>
              <w:t>”技术指标完全满足采购需求明确的全部技术条款要求的得</w:t>
            </w:r>
            <w:r>
              <w:rPr>
                <w:rFonts w:hint="eastAsia" w:ascii="宋体" w:hAnsi="宋体" w:eastAsia="宋体" w:cs="宋体"/>
              </w:rPr>
              <w:t>5</w:t>
            </w:r>
            <w:r>
              <w:rPr>
                <w:rFonts w:hint="eastAsia" w:ascii="宋体" w:hAnsi="宋体" w:eastAsia="宋体" w:cs="宋体"/>
                <w:lang w:val="zh-CN"/>
              </w:rPr>
              <w:t>分</w:t>
            </w:r>
            <w:r>
              <w:rPr>
                <w:rFonts w:hint="eastAsia" w:ascii="宋体" w:hAnsi="宋体" w:eastAsia="宋体" w:cs="宋体"/>
                <w:kern w:val="0"/>
              </w:rPr>
              <w:t>、</w:t>
            </w:r>
            <w:r>
              <w:rPr>
                <w:rFonts w:hint="eastAsia" w:ascii="宋体" w:hAnsi="宋体" w:eastAsia="宋体" w:cs="宋体"/>
                <w:snapToGrid w:val="0"/>
                <w:lang w:val="zh-CN"/>
              </w:rPr>
              <w:t>低于技术要求（负偏离）的每项扣</w:t>
            </w:r>
            <w:r>
              <w:rPr>
                <w:rFonts w:hint="eastAsia" w:ascii="宋体" w:hAnsi="宋体" w:eastAsia="宋体" w:cs="宋体"/>
                <w:snapToGrid w:val="0"/>
              </w:rPr>
              <w:t>0.5</w:t>
            </w:r>
            <w:r>
              <w:rPr>
                <w:rFonts w:hint="eastAsia" w:ascii="宋体" w:hAnsi="宋体" w:eastAsia="宋体" w:cs="宋体"/>
                <w:snapToGrid w:val="0"/>
                <w:lang w:val="zh-CN"/>
              </w:rPr>
              <w:t>分；扣完为止；</w:t>
            </w:r>
          </w:p>
          <w:p>
            <w:pPr>
              <w:pStyle w:val="27"/>
              <w:ind w:firstLine="0" w:firstLineChars="0"/>
              <w:jc w:val="left"/>
              <w:rPr>
                <w:rFonts w:ascii="宋体" w:hAnsi="宋体" w:eastAsia="宋体" w:cs="宋体"/>
              </w:rPr>
            </w:pPr>
            <w:r>
              <w:rPr>
                <w:rFonts w:hint="eastAsia" w:ascii="宋体" w:hAnsi="宋体" w:eastAsia="宋体" w:cs="宋体"/>
              </w:rPr>
              <w:t>●</w:t>
            </w:r>
            <w:r>
              <w:rPr>
                <w:rFonts w:hint="eastAsia" w:ascii="宋体" w:hAnsi="宋体" w:eastAsia="宋体" w:cs="宋体"/>
                <w:lang w:val="zh-CN"/>
              </w:rPr>
              <w:t>提供的“</w:t>
            </w:r>
            <w:r>
              <w:rPr>
                <w:rFonts w:hint="eastAsia" w:ascii="宋体" w:hAnsi="宋体" w:eastAsia="宋体" w:cs="宋体"/>
              </w:rPr>
              <w:t>立杆</w:t>
            </w:r>
            <w:r>
              <w:rPr>
                <w:rFonts w:hint="eastAsia" w:ascii="宋体" w:hAnsi="宋体" w:eastAsia="宋体" w:cs="宋体"/>
                <w:lang w:val="zh-CN"/>
              </w:rPr>
              <w:t>”技术指标完全满足采购需求明确的全部技术条款要求的得</w:t>
            </w:r>
            <w:r>
              <w:rPr>
                <w:rFonts w:hint="eastAsia" w:ascii="宋体" w:hAnsi="宋体" w:eastAsia="宋体" w:cs="宋体"/>
              </w:rPr>
              <w:t>3</w:t>
            </w:r>
            <w:r>
              <w:rPr>
                <w:rFonts w:hint="eastAsia" w:ascii="宋体" w:hAnsi="宋体" w:eastAsia="宋体" w:cs="宋体"/>
                <w:lang w:val="zh-CN"/>
              </w:rPr>
              <w:t>分</w:t>
            </w:r>
            <w:r>
              <w:rPr>
                <w:rFonts w:hint="eastAsia" w:ascii="宋体" w:hAnsi="宋体" w:eastAsia="宋体" w:cs="宋体"/>
                <w:kern w:val="0"/>
              </w:rPr>
              <w:t>、</w:t>
            </w:r>
            <w:r>
              <w:rPr>
                <w:rFonts w:hint="eastAsia" w:ascii="宋体" w:hAnsi="宋体" w:eastAsia="宋体" w:cs="宋体"/>
                <w:snapToGrid w:val="0"/>
                <w:lang w:val="zh-CN"/>
              </w:rPr>
              <w:t>低于技术要求（负偏离）的每项扣</w:t>
            </w:r>
            <w:r>
              <w:rPr>
                <w:rFonts w:hint="eastAsia" w:ascii="宋体" w:hAnsi="宋体" w:eastAsia="宋体" w:cs="宋体"/>
                <w:snapToGrid w:val="0"/>
              </w:rPr>
              <w:t>0.5</w:t>
            </w:r>
            <w:r>
              <w:rPr>
                <w:rFonts w:hint="eastAsia" w:ascii="宋体" w:hAnsi="宋体" w:eastAsia="宋体" w:cs="宋体"/>
                <w:snapToGrid w:val="0"/>
                <w:lang w:val="zh-CN"/>
              </w:rPr>
              <w:t>分</w:t>
            </w:r>
            <w:r>
              <w:rPr>
                <w:rFonts w:hint="eastAsia" w:ascii="宋体" w:hAnsi="宋体" w:eastAsia="宋体" w:cs="宋体"/>
              </w:rPr>
              <w:t>；扣完为止；</w:t>
            </w:r>
          </w:p>
          <w:p>
            <w:pPr>
              <w:pStyle w:val="27"/>
              <w:ind w:firstLine="0" w:firstLineChars="0"/>
              <w:jc w:val="left"/>
              <w:rPr>
                <w:rFonts w:ascii="宋体" w:hAnsi="宋体" w:eastAsia="宋体" w:cs="宋体"/>
              </w:rPr>
            </w:pPr>
            <w:r>
              <w:rPr>
                <w:rFonts w:hint="eastAsia" w:ascii="宋体" w:hAnsi="宋体" w:eastAsia="宋体" w:cs="宋体"/>
              </w:rPr>
              <w:t>●</w:t>
            </w:r>
            <w:r>
              <w:rPr>
                <w:rFonts w:hint="eastAsia" w:ascii="宋体" w:hAnsi="宋体" w:eastAsia="宋体" w:cs="宋体"/>
                <w:lang w:val="zh-CN"/>
              </w:rPr>
              <w:t>提供的“</w:t>
            </w:r>
            <w:r>
              <w:rPr>
                <w:rFonts w:hint="eastAsia" w:ascii="宋体" w:hAnsi="宋体" w:eastAsia="宋体" w:cs="宋体"/>
              </w:rPr>
              <w:t>护栏</w:t>
            </w:r>
            <w:r>
              <w:rPr>
                <w:rFonts w:hint="eastAsia" w:ascii="宋体" w:hAnsi="宋体" w:eastAsia="宋体" w:cs="宋体"/>
                <w:lang w:val="zh-CN"/>
              </w:rPr>
              <w:t>”技术指标完全满足采购需求明确的全部技术条款要求的得</w:t>
            </w:r>
            <w:r>
              <w:rPr>
                <w:rFonts w:hint="eastAsia" w:ascii="宋体" w:hAnsi="宋体" w:eastAsia="宋体" w:cs="宋体"/>
              </w:rPr>
              <w:t>3</w:t>
            </w:r>
            <w:r>
              <w:rPr>
                <w:rFonts w:hint="eastAsia" w:ascii="宋体" w:hAnsi="宋体" w:eastAsia="宋体" w:cs="宋体"/>
                <w:lang w:val="zh-CN"/>
              </w:rPr>
              <w:t>分</w:t>
            </w:r>
            <w:r>
              <w:rPr>
                <w:rFonts w:hint="eastAsia" w:ascii="宋体" w:hAnsi="宋体" w:eastAsia="宋体" w:cs="宋体"/>
                <w:kern w:val="0"/>
              </w:rPr>
              <w:t>、</w:t>
            </w:r>
            <w:r>
              <w:rPr>
                <w:rFonts w:hint="eastAsia" w:ascii="宋体" w:hAnsi="宋体" w:eastAsia="宋体" w:cs="宋体"/>
                <w:snapToGrid w:val="0"/>
                <w:lang w:val="zh-CN"/>
              </w:rPr>
              <w:t>低于技术要求（负偏离）的每项扣</w:t>
            </w:r>
            <w:r>
              <w:rPr>
                <w:rFonts w:hint="eastAsia" w:ascii="宋体" w:hAnsi="宋体" w:eastAsia="宋体" w:cs="宋体"/>
                <w:snapToGrid w:val="0"/>
              </w:rPr>
              <w:t>0.5</w:t>
            </w:r>
            <w:r>
              <w:rPr>
                <w:rFonts w:hint="eastAsia" w:ascii="宋体" w:hAnsi="宋体" w:eastAsia="宋体" w:cs="宋体"/>
                <w:snapToGrid w:val="0"/>
                <w:lang w:val="zh-CN"/>
              </w:rPr>
              <w:t>分</w:t>
            </w:r>
            <w:r>
              <w:rPr>
                <w:rFonts w:hint="eastAsia" w:ascii="宋体" w:hAnsi="宋体" w:eastAsia="宋体" w:cs="宋体"/>
              </w:rPr>
              <w:t>；扣完为止。</w:t>
            </w:r>
          </w:p>
          <w:p>
            <w:pPr>
              <w:pStyle w:val="27"/>
              <w:ind w:firstLine="0" w:firstLineChars="0"/>
              <w:jc w:val="left"/>
              <w:rPr>
                <w:rFonts w:ascii="宋体" w:hAnsi="宋体" w:eastAsia="宋体" w:cs="宋体"/>
              </w:rPr>
            </w:pPr>
            <w:r>
              <w:rPr>
                <w:rFonts w:hint="eastAsia" w:ascii="宋体" w:hAnsi="宋体" w:eastAsia="宋体" w:cs="宋体"/>
                <w:lang w:val="zh-CN"/>
              </w:rPr>
              <w:t>●提供的所用主要材料，包括反光膜、涂料等材料提供第三方检测机构出具的CMA检测报告</w:t>
            </w:r>
            <w:r>
              <w:rPr>
                <w:rFonts w:hint="eastAsia" w:ascii="宋体" w:hAnsi="宋体" w:eastAsia="宋体" w:cs="宋体"/>
              </w:rPr>
              <w:t>复印件</w:t>
            </w:r>
            <w:r>
              <w:rPr>
                <w:rFonts w:hint="eastAsia" w:ascii="宋体" w:hAnsi="宋体" w:eastAsia="宋体" w:cs="宋体"/>
                <w:lang w:val="zh-CN"/>
              </w:rPr>
              <w:t>核对，</w:t>
            </w:r>
            <w:r>
              <w:rPr>
                <w:rFonts w:hint="eastAsia" w:ascii="宋体" w:hAnsi="宋体" w:eastAsia="宋体" w:cs="宋体"/>
              </w:rPr>
              <w:t>每提供1份得1分，不提供不得分。最高得4分（4分）</w:t>
            </w:r>
          </w:p>
        </w:tc>
        <w:tc>
          <w:tcPr>
            <w:tcW w:w="470" w:type="pct"/>
            <w:noWrap/>
            <w:vAlign w:val="center"/>
          </w:tcPr>
          <w:p>
            <w:pPr>
              <w:spacing w:line="360" w:lineRule="auto"/>
              <w:jc w:val="center"/>
              <w:outlineLvl w:val="0"/>
              <w:rPr>
                <w:rFonts w:ascii="宋体" w:hAnsi="宋体" w:cs="宋体"/>
                <w:sz w:val="24"/>
              </w:rPr>
            </w:pPr>
            <w:r>
              <w:rPr>
                <w:rFonts w:hint="eastAsia" w:ascii="宋体" w:hAnsi="宋体" w:cs="宋体"/>
                <w:sz w:val="24"/>
              </w:rPr>
              <w:t>20分</w:t>
            </w:r>
          </w:p>
        </w:tc>
        <w:tc>
          <w:tcPr>
            <w:tcW w:w="854" w:type="pct"/>
            <w:noWrap/>
            <w:vAlign w:val="center"/>
          </w:tcPr>
          <w:p>
            <w:pPr>
              <w:spacing w:line="360" w:lineRule="auto"/>
              <w:jc w:val="center"/>
              <w:outlineLvl w:val="0"/>
              <w:rPr>
                <w:rFonts w:ascii="宋体" w:hAnsi="宋体" w:cs="宋体"/>
                <w:sz w:val="24"/>
              </w:rPr>
            </w:pPr>
            <w:bookmarkStart w:id="14" w:name="_Toc32598"/>
            <w:r>
              <w:rPr>
                <w:rFonts w:hint="eastAsia" w:ascii="宋体" w:hAnsi="宋体" w:cs="宋体"/>
                <w:sz w:val="24"/>
              </w:rPr>
              <w:t>（一）</w:t>
            </w:r>
            <w:r>
              <w:rPr>
                <w:rFonts w:hint="eastAsia" w:ascii="宋体" w:hAnsi="宋体" w:cs="宋体"/>
                <w:sz w:val="24"/>
                <w:lang w:val="zh-CN"/>
              </w:rPr>
              <w:t>投标产品的性能与需求的吻合程度</w:t>
            </w:r>
            <w:r>
              <w:rPr>
                <w:rFonts w:hint="eastAsia" w:ascii="宋体" w:hAnsi="宋体" w:cs="宋体"/>
                <w:sz w:val="24"/>
              </w:rPr>
              <w:t>（20分）</w:t>
            </w:r>
            <w:bookmarkEnd w:id="1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4" w:type="pct"/>
            <w:noWrap/>
            <w:vAlign w:val="center"/>
          </w:tcPr>
          <w:p>
            <w:pPr>
              <w:spacing w:line="360" w:lineRule="auto"/>
              <w:jc w:val="center"/>
              <w:outlineLvl w:val="0"/>
              <w:rPr>
                <w:rFonts w:ascii="宋体" w:hAnsi="宋体" w:cs="宋体"/>
                <w:sz w:val="24"/>
              </w:rPr>
            </w:pPr>
            <w:bookmarkStart w:id="15" w:name="_Toc12305"/>
            <w:r>
              <w:rPr>
                <w:rFonts w:hint="eastAsia" w:ascii="宋体" w:hAnsi="宋体" w:cs="宋体"/>
                <w:sz w:val="24"/>
              </w:rPr>
              <w:t>2</w:t>
            </w:r>
          </w:p>
        </w:tc>
        <w:tc>
          <w:tcPr>
            <w:tcW w:w="3170" w:type="pct"/>
            <w:noWrap/>
            <w:vAlign w:val="center"/>
          </w:tcPr>
          <w:p>
            <w:pPr>
              <w:adjustRightInd w:val="0"/>
              <w:snapToGrid w:val="0"/>
              <w:spacing w:line="360" w:lineRule="auto"/>
              <w:jc w:val="left"/>
              <w:rPr>
                <w:rFonts w:ascii="宋体" w:hAnsi="宋体" w:cs="宋体"/>
                <w:sz w:val="24"/>
                <w:lang w:val="zh-CN"/>
              </w:rPr>
            </w:pPr>
            <w:r>
              <w:rPr>
                <w:rFonts w:hint="eastAsia" w:ascii="宋体" w:hAnsi="宋体" w:cs="宋体"/>
                <w:sz w:val="24"/>
                <w:lang w:val="zh-CN"/>
              </w:rPr>
              <w:t>投标方案优势情况：</w:t>
            </w:r>
          </w:p>
          <w:p>
            <w:pPr>
              <w:adjustRightInd w:val="0"/>
              <w:snapToGrid w:val="0"/>
              <w:spacing w:line="360" w:lineRule="auto"/>
              <w:jc w:val="left"/>
              <w:rPr>
                <w:rFonts w:ascii="宋体" w:hAnsi="宋体" w:cs="宋体"/>
                <w:sz w:val="24"/>
                <w:lang w:val="zh-CN"/>
              </w:rPr>
            </w:pPr>
            <w:r>
              <w:rPr>
                <w:rFonts w:hint="eastAsia" w:ascii="宋体" w:hAnsi="宋体" w:cs="宋体"/>
                <w:sz w:val="24"/>
                <w:lang w:val="zh-CN"/>
              </w:rPr>
              <w:t>●</w:t>
            </w:r>
            <w:r>
              <w:rPr>
                <w:rFonts w:hint="eastAsia" w:ascii="宋体" w:hAnsi="宋体" w:cs="宋体"/>
                <w:sz w:val="24"/>
              </w:rPr>
              <w:t>投标人所投</w:t>
            </w:r>
            <w:r>
              <w:rPr>
                <w:rFonts w:hint="eastAsia" w:ascii="宋体" w:hAnsi="宋体" w:cs="宋体"/>
                <w:sz w:val="24"/>
                <w:lang w:val="zh-CN"/>
              </w:rPr>
              <w:t>标线维护方案：包括</w:t>
            </w:r>
            <w:r>
              <w:rPr>
                <w:rFonts w:hint="eastAsia" w:ascii="宋体" w:hAnsi="宋体" w:cs="宋体"/>
                <w:sz w:val="24"/>
              </w:rPr>
              <w:t>①</w:t>
            </w:r>
            <w:r>
              <w:rPr>
                <w:rFonts w:hint="eastAsia" w:ascii="宋体" w:hAnsi="宋体" w:cs="宋体"/>
                <w:sz w:val="24"/>
                <w:lang w:val="zh-CN"/>
              </w:rPr>
              <w:t>“技术水平”</w:t>
            </w:r>
            <w:r>
              <w:rPr>
                <w:rFonts w:hint="eastAsia" w:ascii="宋体" w:hAnsi="宋体" w:cs="宋体"/>
                <w:sz w:val="24"/>
              </w:rPr>
              <w:t>②</w:t>
            </w:r>
            <w:r>
              <w:rPr>
                <w:rFonts w:hint="eastAsia" w:ascii="宋体" w:hAnsi="宋体" w:cs="宋体"/>
                <w:sz w:val="24"/>
                <w:lang w:val="zh-CN"/>
              </w:rPr>
              <w:t>“施划标线装备”</w:t>
            </w:r>
            <w:r>
              <w:rPr>
                <w:rFonts w:hint="eastAsia" w:ascii="宋体" w:hAnsi="宋体" w:cs="宋体"/>
                <w:sz w:val="24"/>
              </w:rPr>
              <w:t>③</w:t>
            </w:r>
            <w:r>
              <w:rPr>
                <w:rFonts w:hint="eastAsia" w:ascii="宋体" w:hAnsi="宋体" w:cs="宋体"/>
                <w:sz w:val="24"/>
                <w:lang w:val="zh-CN"/>
              </w:rPr>
              <w:t>“标线维护抢修”</w:t>
            </w:r>
            <w:r>
              <w:rPr>
                <w:rFonts w:hint="eastAsia" w:ascii="宋体" w:hAnsi="宋体" w:cs="宋体"/>
                <w:sz w:val="24"/>
              </w:rPr>
              <w:t>等，根据提供的方案内容进行评分，每一方案内容完整、措施有效、符合采购人实际情况视为满足，满足得2分，</w:t>
            </w:r>
            <w:r>
              <w:rPr>
                <w:rFonts w:hint="eastAsia" w:ascii="宋体" w:hAnsi="宋体" w:cs="宋体"/>
                <w:sz w:val="24"/>
                <w:lang w:val="zh-CN"/>
              </w:rPr>
              <w:t>略有不足需完善的</w:t>
            </w:r>
            <w:r>
              <w:rPr>
                <w:rFonts w:hint="eastAsia" w:ascii="宋体" w:hAnsi="宋体" w:cs="宋体"/>
                <w:sz w:val="24"/>
              </w:rPr>
              <w:t>得1分，不满足不得分，最高得6分（6分）。</w:t>
            </w:r>
          </w:p>
          <w:p>
            <w:pPr>
              <w:adjustRightInd w:val="0"/>
              <w:snapToGrid w:val="0"/>
              <w:spacing w:line="360" w:lineRule="auto"/>
              <w:jc w:val="left"/>
              <w:rPr>
                <w:rFonts w:ascii="宋体" w:hAnsi="宋体" w:cs="宋体"/>
                <w:sz w:val="24"/>
                <w:lang w:val="zh-CN"/>
              </w:rPr>
            </w:pPr>
            <w:r>
              <w:rPr>
                <w:rFonts w:hint="eastAsia" w:ascii="宋体" w:hAnsi="宋体" w:cs="宋体"/>
                <w:sz w:val="24"/>
                <w:lang w:val="zh-CN"/>
              </w:rPr>
              <w:t>●</w:t>
            </w:r>
            <w:r>
              <w:rPr>
                <w:rFonts w:hint="eastAsia" w:ascii="宋体" w:hAnsi="宋体" w:cs="宋体"/>
                <w:sz w:val="24"/>
              </w:rPr>
              <w:t>投标人所投项目</w:t>
            </w:r>
            <w:r>
              <w:rPr>
                <w:rFonts w:hint="eastAsia" w:ascii="宋体" w:hAnsi="宋体" w:cs="宋体"/>
                <w:sz w:val="24"/>
                <w:lang w:val="zh-CN"/>
              </w:rPr>
              <w:t>安装施工组织方案：包括</w:t>
            </w:r>
            <w:r>
              <w:rPr>
                <w:rFonts w:hint="eastAsia" w:ascii="宋体" w:hAnsi="宋体" w:cs="宋体"/>
                <w:sz w:val="24"/>
              </w:rPr>
              <w:t>①</w:t>
            </w:r>
            <w:r>
              <w:rPr>
                <w:rFonts w:hint="eastAsia" w:ascii="宋体" w:hAnsi="宋体" w:cs="宋体"/>
                <w:sz w:val="24"/>
                <w:lang w:val="zh-CN"/>
              </w:rPr>
              <w:t>“施工（含基础）技术方案”</w:t>
            </w:r>
            <w:r>
              <w:rPr>
                <w:rFonts w:hint="eastAsia" w:ascii="宋体" w:hAnsi="宋体" w:cs="宋体"/>
                <w:sz w:val="24"/>
              </w:rPr>
              <w:t>②</w:t>
            </w:r>
            <w:r>
              <w:rPr>
                <w:rFonts w:hint="eastAsia" w:ascii="宋体" w:hAnsi="宋体" w:cs="宋体"/>
                <w:sz w:val="24"/>
                <w:lang w:val="zh-CN"/>
              </w:rPr>
              <w:t>“安装</w:t>
            </w:r>
            <w:r>
              <w:rPr>
                <w:rFonts w:hint="eastAsia" w:ascii="宋体" w:hAnsi="宋体" w:cs="宋体"/>
                <w:sz w:val="24"/>
              </w:rPr>
              <w:t>调试</w:t>
            </w:r>
            <w:r>
              <w:rPr>
                <w:rFonts w:hint="eastAsia" w:ascii="宋体" w:hAnsi="宋体" w:cs="宋体"/>
                <w:sz w:val="24"/>
                <w:lang w:val="zh-CN"/>
              </w:rPr>
              <w:t>方案”</w:t>
            </w:r>
            <w:r>
              <w:rPr>
                <w:rFonts w:hint="eastAsia" w:ascii="宋体" w:hAnsi="宋体" w:cs="宋体"/>
                <w:sz w:val="24"/>
              </w:rPr>
              <w:t>③</w:t>
            </w:r>
            <w:r>
              <w:rPr>
                <w:rFonts w:hint="eastAsia" w:ascii="宋体" w:hAnsi="宋体" w:cs="宋体"/>
                <w:sz w:val="24"/>
                <w:lang w:val="zh-CN"/>
              </w:rPr>
              <w:t>“施工组织方案”</w:t>
            </w:r>
            <w:r>
              <w:rPr>
                <w:rFonts w:hint="eastAsia" w:ascii="宋体" w:hAnsi="宋体" w:cs="宋体"/>
                <w:sz w:val="24"/>
              </w:rPr>
              <w:t>根据提供的方案内容进行评分，每一方案内容完整、措施有效、符合采购人实际情况视为满足，满足得2分，</w:t>
            </w:r>
            <w:r>
              <w:rPr>
                <w:rFonts w:hint="eastAsia" w:ascii="宋体" w:hAnsi="宋体" w:cs="宋体"/>
                <w:sz w:val="24"/>
                <w:lang w:val="zh-CN"/>
              </w:rPr>
              <w:t>略有不足需完善的</w:t>
            </w:r>
            <w:r>
              <w:rPr>
                <w:rFonts w:hint="eastAsia" w:ascii="宋体" w:hAnsi="宋体" w:cs="宋体"/>
                <w:sz w:val="24"/>
              </w:rPr>
              <w:t>得1分，</w:t>
            </w:r>
            <w:r>
              <w:rPr>
                <w:rFonts w:hint="eastAsia" w:ascii="宋体" w:hAnsi="宋体" w:cs="宋体"/>
                <w:sz w:val="24"/>
                <w:lang w:val="zh-CN"/>
              </w:rPr>
              <w:t>不满足或与实际不符的不得分</w:t>
            </w:r>
            <w:r>
              <w:rPr>
                <w:rFonts w:hint="eastAsia" w:ascii="宋体" w:hAnsi="宋体" w:cs="宋体"/>
                <w:sz w:val="24"/>
              </w:rPr>
              <w:t>，最高得6分（6分）。</w:t>
            </w:r>
          </w:p>
          <w:p>
            <w:pPr>
              <w:adjustRightInd w:val="0"/>
              <w:snapToGrid w:val="0"/>
              <w:spacing w:line="360" w:lineRule="auto"/>
              <w:jc w:val="left"/>
              <w:rPr>
                <w:rFonts w:ascii="宋体" w:hAnsi="宋体" w:cs="宋体"/>
                <w:color w:val="FF0000"/>
                <w:sz w:val="24"/>
                <w:lang w:val="zh-CN"/>
              </w:rPr>
            </w:pPr>
            <w:r>
              <w:rPr>
                <w:rFonts w:hint="eastAsia" w:ascii="宋体" w:hAnsi="宋体" w:cs="宋体"/>
                <w:color w:val="FF0000"/>
                <w:sz w:val="24"/>
                <w:lang w:val="zh-CN"/>
              </w:rPr>
              <w:t>●</w:t>
            </w:r>
            <w:r>
              <w:rPr>
                <w:rFonts w:hint="eastAsia" w:ascii="宋体" w:hAnsi="宋体" w:cs="宋体"/>
                <w:color w:val="FF0000"/>
                <w:sz w:val="24"/>
              </w:rPr>
              <w:t>投标人承诺：所投项目交通设施更换，须提供设备更换前后对比照片，以及跟换后设备的处理，承诺</w:t>
            </w:r>
            <w:r>
              <w:rPr>
                <w:rFonts w:hint="eastAsia" w:ascii="宋体" w:hAnsi="宋体" w:cs="宋体"/>
                <w:color w:val="FF0000"/>
                <w:sz w:val="24"/>
                <w:lang w:val="zh-CN"/>
              </w:rPr>
              <w:t>得</w:t>
            </w:r>
            <w:r>
              <w:rPr>
                <w:rFonts w:hint="eastAsia" w:ascii="宋体" w:hAnsi="宋体" w:cs="宋体"/>
                <w:color w:val="FF0000"/>
                <w:sz w:val="24"/>
              </w:rPr>
              <w:t>3</w:t>
            </w:r>
            <w:r>
              <w:rPr>
                <w:rFonts w:hint="eastAsia" w:ascii="宋体" w:hAnsi="宋体" w:cs="宋体"/>
                <w:color w:val="FF0000"/>
                <w:sz w:val="24"/>
                <w:lang w:val="zh-CN"/>
              </w:rPr>
              <w:t>分，</w:t>
            </w:r>
            <w:r>
              <w:rPr>
                <w:rFonts w:hint="eastAsia" w:ascii="宋体" w:hAnsi="宋体" w:cs="宋体"/>
                <w:color w:val="FF0000"/>
                <w:sz w:val="24"/>
              </w:rPr>
              <w:t>不承诺不得分，最高得3分</w:t>
            </w:r>
            <w:r>
              <w:rPr>
                <w:rFonts w:hint="eastAsia" w:ascii="宋体" w:hAnsi="宋体" w:cs="宋体"/>
                <w:color w:val="FF0000"/>
                <w:sz w:val="24"/>
                <w:lang w:val="zh-CN"/>
              </w:rPr>
              <w:t>（</w:t>
            </w:r>
            <w:r>
              <w:rPr>
                <w:rFonts w:hint="eastAsia" w:ascii="宋体" w:hAnsi="宋体" w:cs="宋体"/>
                <w:color w:val="FF0000"/>
                <w:sz w:val="24"/>
              </w:rPr>
              <w:t>3</w:t>
            </w:r>
            <w:r>
              <w:rPr>
                <w:rFonts w:hint="eastAsia" w:ascii="宋体" w:hAnsi="宋体" w:cs="宋体"/>
                <w:color w:val="FF0000"/>
                <w:sz w:val="24"/>
                <w:lang w:val="zh-CN"/>
              </w:rPr>
              <w:t>分）；</w:t>
            </w:r>
          </w:p>
          <w:p>
            <w:pPr>
              <w:adjustRightInd w:val="0"/>
              <w:snapToGrid w:val="0"/>
              <w:spacing w:line="360" w:lineRule="auto"/>
              <w:jc w:val="left"/>
              <w:rPr>
                <w:rFonts w:ascii="宋体" w:hAnsi="宋体" w:cs="宋体"/>
                <w:sz w:val="24"/>
                <w:lang w:val="zh-CN"/>
              </w:rPr>
            </w:pPr>
            <w:r>
              <w:rPr>
                <w:rFonts w:hint="eastAsia" w:ascii="宋体" w:hAnsi="宋体" w:cs="宋体"/>
                <w:sz w:val="24"/>
                <w:lang w:val="zh-CN"/>
              </w:rPr>
              <w:t>●</w:t>
            </w:r>
            <w:r>
              <w:rPr>
                <w:rFonts w:hint="eastAsia" w:ascii="宋体" w:hAnsi="宋体" w:cs="宋体"/>
                <w:sz w:val="24"/>
              </w:rPr>
              <w:t>投标人所投项目</w:t>
            </w:r>
            <w:r>
              <w:rPr>
                <w:rFonts w:hint="eastAsia" w:ascii="宋体" w:hAnsi="宋体" w:cs="宋体"/>
                <w:sz w:val="24"/>
                <w:lang w:val="zh-CN"/>
              </w:rPr>
              <w:t>现场施工车辆方案：包括吊车（登高车）、货车及其它工程作业车辆等。①</w:t>
            </w:r>
            <w:r>
              <w:rPr>
                <w:rFonts w:hint="eastAsia" w:ascii="宋体" w:hAnsi="宋体" w:cs="宋体"/>
                <w:sz w:val="24"/>
              </w:rPr>
              <w:t>提供的</w:t>
            </w:r>
            <w:r>
              <w:rPr>
                <w:rFonts w:hint="eastAsia" w:ascii="宋体" w:hAnsi="宋体" w:cs="宋体"/>
                <w:sz w:val="24"/>
                <w:lang w:val="zh-CN"/>
              </w:rPr>
              <w:t>专项作业车（登高车），</w:t>
            </w:r>
            <w:r>
              <w:rPr>
                <w:rFonts w:hint="eastAsia" w:ascii="宋体" w:hAnsi="宋体" w:cs="宋体"/>
                <w:sz w:val="24"/>
              </w:rPr>
              <w:t>满足采购需求的得3分，不满足不得分；</w:t>
            </w:r>
            <w:r>
              <w:rPr>
                <w:rFonts w:hint="eastAsia" w:ascii="宋体" w:hAnsi="宋体" w:cs="宋体"/>
                <w:sz w:val="24"/>
                <w:lang w:val="zh-CN"/>
              </w:rPr>
              <w:t>②</w:t>
            </w:r>
            <w:r>
              <w:rPr>
                <w:rFonts w:hint="eastAsia" w:ascii="宋体" w:hAnsi="宋体" w:cs="宋体"/>
                <w:sz w:val="24"/>
              </w:rPr>
              <w:t>提供的</w:t>
            </w:r>
            <w:r>
              <w:rPr>
                <w:rFonts w:hint="eastAsia" w:ascii="宋体" w:hAnsi="宋体" w:cs="宋体"/>
                <w:sz w:val="24"/>
                <w:lang w:val="zh-CN"/>
              </w:rPr>
              <w:t>货车及其它工程作业车辆等，</w:t>
            </w:r>
            <w:r>
              <w:rPr>
                <w:rFonts w:hint="eastAsia" w:ascii="宋体" w:hAnsi="宋体" w:cs="宋体"/>
                <w:sz w:val="24"/>
              </w:rPr>
              <w:t>满足采购需求的得3分，不满足不得分；本项最高得6分（6分）</w:t>
            </w:r>
          </w:p>
          <w:p>
            <w:pPr>
              <w:adjustRightInd w:val="0"/>
              <w:snapToGrid w:val="0"/>
              <w:spacing w:line="360" w:lineRule="auto"/>
              <w:jc w:val="left"/>
              <w:rPr>
                <w:rFonts w:ascii="宋体" w:hAnsi="宋体" w:cs="宋体"/>
                <w:sz w:val="24"/>
                <w:lang w:val="zh-CN"/>
              </w:rPr>
            </w:pPr>
            <w:r>
              <w:rPr>
                <w:rFonts w:hint="eastAsia" w:ascii="宋体" w:hAnsi="宋体" w:cs="宋体"/>
                <w:sz w:val="24"/>
              </w:rPr>
              <w:t>注：</w:t>
            </w:r>
            <w:r>
              <w:rPr>
                <w:rFonts w:hint="eastAsia" w:ascii="宋体" w:hAnsi="宋体" w:cs="宋体"/>
                <w:sz w:val="24"/>
                <w:lang w:val="zh-CN"/>
              </w:rPr>
              <w:t>车辆须提供车辆行驶证（投标供应商名下），如是租赁提供租赁合同复印件</w:t>
            </w:r>
            <w:r>
              <w:rPr>
                <w:rFonts w:hint="eastAsia" w:ascii="宋体" w:hAnsi="宋体" w:cs="宋体"/>
                <w:sz w:val="24"/>
              </w:rPr>
              <w:t>及租赁发票</w:t>
            </w:r>
            <w:r>
              <w:rPr>
                <w:rFonts w:hint="eastAsia" w:ascii="宋体" w:hAnsi="宋体" w:cs="宋体"/>
                <w:sz w:val="24"/>
                <w:lang w:val="zh-CN"/>
              </w:rPr>
              <w:t>复印件且租赁期长于</w:t>
            </w:r>
            <w:r>
              <w:rPr>
                <w:rFonts w:hint="eastAsia" w:ascii="宋体" w:hAnsi="宋体" w:cs="宋体"/>
                <w:sz w:val="24"/>
              </w:rPr>
              <w:t>本项目</w:t>
            </w:r>
            <w:r>
              <w:rPr>
                <w:rFonts w:hint="eastAsia" w:ascii="宋体" w:hAnsi="宋体" w:cs="宋体"/>
                <w:sz w:val="24"/>
                <w:lang w:val="zh-CN"/>
              </w:rPr>
              <w:t>服务期相关证明材料</w:t>
            </w:r>
            <w:r>
              <w:rPr>
                <w:rFonts w:hint="eastAsia" w:ascii="宋体" w:hAnsi="宋体" w:cs="宋体"/>
                <w:sz w:val="24"/>
              </w:rPr>
              <w:t>等</w:t>
            </w:r>
            <w:r>
              <w:rPr>
                <w:rFonts w:hint="eastAsia" w:ascii="宋体" w:hAnsi="宋体" w:cs="宋体"/>
                <w:sz w:val="24"/>
                <w:lang w:val="zh-CN"/>
              </w:rPr>
              <w:t>，</w:t>
            </w:r>
            <w:r>
              <w:rPr>
                <w:rFonts w:hint="eastAsia" w:ascii="宋体" w:hAnsi="宋体" w:cs="宋体"/>
                <w:sz w:val="24"/>
              </w:rPr>
              <w:t>且</w:t>
            </w:r>
            <w:r>
              <w:rPr>
                <w:rFonts w:hint="eastAsia" w:ascii="宋体" w:hAnsi="宋体" w:cs="宋体"/>
                <w:sz w:val="24"/>
                <w:lang w:val="zh-CN"/>
              </w:rPr>
              <w:t>每个标项车辆不得重复，提供投标人自有的机动车车辆行驶证复印件和车辆的购置发票复印件、</w:t>
            </w:r>
            <w:r>
              <w:rPr>
                <w:rFonts w:hint="eastAsia" w:ascii="宋体" w:hAnsi="宋体" w:cs="宋体"/>
                <w:sz w:val="24"/>
              </w:rPr>
              <w:t>租赁合同复印件及租赁发票复印件照片清晰</w:t>
            </w:r>
            <w:r>
              <w:rPr>
                <w:rFonts w:hint="eastAsia" w:ascii="宋体" w:hAnsi="宋体" w:cs="宋体"/>
                <w:sz w:val="24"/>
                <w:lang w:val="zh-CN"/>
              </w:rPr>
              <w:t>，否则不得分。）</w:t>
            </w:r>
          </w:p>
          <w:p>
            <w:pPr>
              <w:adjustRightInd w:val="0"/>
              <w:snapToGrid w:val="0"/>
              <w:spacing w:line="360" w:lineRule="auto"/>
              <w:jc w:val="left"/>
              <w:rPr>
                <w:rFonts w:ascii="宋体" w:hAnsi="宋体" w:cs="宋体"/>
                <w:sz w:val="24"/>
                <w:lang w:val="zh-CN"/>
              </w:rPr>
            </w:pPr>
            <w:r>
              <w:rPr>
                <w:rFonts w:hint="eastAsia" w:ascii="宋体" w:hAnsi="宋体" w:cs="宋体"/>
                <w:sz w:val="24"/>
              </w:rPr>
              <w:t>●投标人所投项目安全防护措施方案（安装安全、维护安全、围挡安全措施）根据提供的方案内容进行评分，方案内容完整、措施有效、符合采购人实际情况视为满足，满足得3分，</w:t>
            </w:r>
            <w:r>
              <w:rPr>
                <w:rFonts w:hint="eastAsia" w:ascii="宋体" w:hAnsi="宋体" w:cs="宋体"/>
                <w:sz w:val="24"/>
                <w:lang w:val="zh-CN"/>
              </w:rPr>
              <w:t>略有不足需完善的</w:t>
            </w:r>
            <w:r>
              <w:rPr>
                <w:rFonts w:hint="eastAsia" w:ascii="宋体" w:hAnsi="宋体" w:cs="宋体"/>
                <w:sz w:val="24"/>
              </w:rPr>
              <w:t>得1.5分，</w:t>
            </w:r>
            <w:r>
              <w:rPr>
                <w:rFonts w:hint="eastAsia" w:ascii="宋体" w:hAnsi="宋体" w:cs="宋体"/>
                <w:sz w:val="24"/>
                <w:lang w:val="zh-CN"/>
              </w:rPr>
              <w:t>不满足或与实际不符的不得分</w:t>
            </w:r>
            <w:r>
              <w:rPr>
                <w:rFonts w:hint="eastAsia" w:ascii="宋体" w:hAnsi="宋体" w:cs="宋体"/>
                <w:sz w:val="24"/>
              </w:rPr>
              <w:t>，最高得3分（3分）。</w:t>
            </w:r>
          </w:p>
        </w:tc>
        <w:tc>
          <w:tcPr>
            <w:tcW w:w="470" w:type="pct"/>
            <w:noWrap/>
            <w:vAlign w:val="center"/>
          </w:tcPr>
          <w:p>
            <w:pPr>
              <w:adjustRightInd w:val="0"/>
              <w:snapToGrid w:val="0"/>
              <w:spacing w:line="360" w:lineRule="auto"/>
              <w:jc w:val="center"/>
              <w:rPr>
                <w:rFonts w:ascii="宋体" w:hAnsi="宋体" w:cs="宋体"/>
                <w:sz w:val="24"/>
              </w:rPr>
            </w:pPr>
            <w:r>
              <w:rPr>
                <w:rFonts w:hint="eastAsia" w:ascii="宋体" w:hAnsi="宋体" w:cs="宋体"/>
                <w:sz w:val="24"/>
              </w:rPr>
              <w:t>24分</w:t>
            </w:r>
          </w:p>
        </w:tc>
        <w:tc>
          <w:tcPr>
            <w:tcW w:w="854" w:type="pct"/>
            <w:noWrap/>
            <w:vAlign w:val="center"/>
          </w:tcPr>
          <w:p>
            <w:pPr>
              <w:adjustRightInd w:val="0"/>
              <w:snapToGrid w:val="0"/>
              <w:spacing w:line="360" w:lineRule="auto"/>
              <w:jc w:val="center"/>
              <w:rPr>
                <w:rFonts w:ascii="宋体" w:hAnsi="宋体" w:cs="宋体"/>
                <w:sz w:val="24"/>
              </w:rPr>
            </w:pPr>
            <w:r>
              <w:rPr>
                <w:rFonts w:hint="eastAsia" w:ascii="宋体" w:hAnsi="宋体" w:cs="宋体"/>
                <w:sz w:val="24"/>
              </w:rPr>
              <w:t>（二）</w:t>
            </w:r>
            <w:r>
              <w:rPr>
                <w:rFonts w:hint="eastAsia" w:ascii="宋体" w:hAnsi="宋体" w:cs="宋体"/>
                <w:sz w:val="24"/>
                <w:lang w:val="zh-CN"/>
              </w:rPr>
              <w:t>投标方案优势情况（</w:t>
            </w:r>
            <w:r>
              <w:rPr>
                <w:rFonts w:hint="eastAsia" w:ascii="宋体" w:hAnsi="宋体" w:cs="宋体"/>
                <w:sz w:val="24"/>
              </w:rPr>
              <w:t>24分）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4" w:type="pct"/>
            <w:noWrap/>
            <w:vAlign w:val="center"/>
          </w:tcPr>
          <w:p>
            <w:pPr>
              <w:spacing w:line="360" w:lineRule="auto"/>
              <w:jc w:val="center"/>
              <w:outlineLvl w:val="0"/>
              <w:rPr>
                <w:rFonts w:ascii="宋体" w:hAnsi="宋体" w:cs="宋体"/>
                <w:sz w:val="24"/>
              </w:rPr>
            </w:pPr>
            <w:r>
              <w:rPr>
                <w:rFonts w:hint="eastAsia" w:ascii="宋体" w:hAnsi="宋体" w:cs="宋体"/>
                <w:sz w:val="24"/>
              </w:rPr>
              <w:t>3</w:t>
            </w:r>
          </w:p>
        </w:tc>
        <w:tc>
          <w:tcPr>
            <w:tcW w:w="3170" w:type="pct"/>
            <w:noWrap/>
            <w:vAlign w:val="center"/>
          </w:tcPr>
          <w:p>
            <w:pPr>
              <w:adjustRightInd w:val="0"/>
              <w:snapToGrid w:val="0"/>
              <w:spacing w:line="360" w:lineRule="auto"/>
              <w:jc w:val="left"/>
              <w:rPr>
                <w:rFonts w:ascii="宋体" w:hAnsi="宋体" w:cs="宋体"/>
                <w:sz w:val="24"/>
              </w:rPr>
            </w:pPr>
            <w:r>
              <w:rPr>
                <w:rFonts w:hint="eastAsia" w:ascii="宋体" w:hAnsi="宋体" w:cs="宋体"/>
                <w:sz w:val="24"/>
              </w:rPr>
              <w:t>●投标人所投项目</w:t>
            </w:r>
            <w:r>
              <w:rPr>
                <w:rFonts w:hint="eastAsia" w:ascii="宋体" w:hAnsi="宋体" w:cs="宋体"/>
                <w:sz w:val="24"/>
                <w:lang w:val="zh-CN"/>
              </w:rPr>
              <w:t>“设备材料制作”</w:t>
            </w:r>
            <w:r>
              <w:rPr>
                <w:rFonts w:hint="eastAsia" w:ascii="宋体" w:hAnsi="宋体" w:cs="宋体"/>
                <w:sz w:val="24"/>
              </w:rPr>
              <w:t>情况：</w:t>
            </w:r>
            <w:r>
              <w:rPr>
                <w:rFonts w:hint="eastAsia" w:ascii="宋体" w:hAnsi="宋体" w:cs="宋体"/>
                <w:sz w:val="24"/>
                <w:lang w:val="zh-CN"/>
              </w:rPr>
              <w:t>包括</w:t>
            </w:r>
            <w:r>
              <w:rPr>
                <w:rFonts w:hint="eastAsia" w:ascii="宋体" w:hAnsi="宋体" w:cs="宋体"/>
                <w:sz w:val="24"/>
              </w:rPr>
              <w:t>原材料制作标志牌，基础预埋件，钢支架</w:t>
            </w:r>
            <w:r>
              <w:rPr>
                <w:rFonts w:hint="eastAsia" w:ascii="宋体" w:hAnsi="宋体" w:cs="宋体"/>
                <w:sz w:val="24"/>
                <w:lang w:val="zh-CN"/>
              </w:rPr>
              <w:t>等。提供车间制作场景资料，</w:t>
            </w:r>
            <w:r>
              <w:rPr>
                <w:rFonts w:hint="eastAsia" w:ascii="宋体" w:hAnsi="宋体" w:cs="宋体"/>
                <w:sz w:val="24"/>
              </w:rPr>
              <w:t>满足采购需求的得3分，不满足不得分；</w:t>
            </w:r>
            <w:r>
              <w:rPr>
                <w:rFonts w:hint="eastAsia" w:ascii="宋体" w:hAnsi="宋体" w:cs="宋体"/>
                <w:sz w:val="24"/>
                <w:lang w:val="zh-CN"/>
              </w:rPr>
              <w:t>（提供产权证明（产权为</w:t>
            </w:r>
            <w:r>
              <w:rPr>
                <w:rFonts w:hint="eastAsia" w:ascii="宋体" w:hAnsi="宋体" w:cs="宋体"/>
                <w:sz w:val="24"/>
              </w:rPr>
              <w:t>投标人</w:t>
            </w:r>
            <w:r>
              <w:rPr>
                <w:rFonts w:hint="eastAsia" w:ascii="宋体" w:hAnsi="宋体" w:cs="宋体"/>
                <w:sz w:val="24"/>
                <w:lang w:val="zh-CN"/>
              </w:rPr>
              <w:t>所有的提供产权证，如非</w:t>
            </w:r>
            <w:r>
              <w:rPr>
                <w:rFonts w:hint="eastAsia" w:ascii="宋体" w:hAnsi="宋体" w:cs="宋体"/>
                <w:sz w:val="24"/>
              </w:rPr>
              <w:t>投标人</w:t>
            </w:r>
            <w:r>
              <w:rPr>
                <w:rFonts w:hint="eastAsia" w:ascii="宋体" w:hAnsi="宋体" w:cs="宋体"/>
                <w:sz w:val="24"/>
                <w:lang w:val="zh-CN"/>
              </w:rPr>
              <w:t>所有的，提供房屋产权证</w:t>
            </w:r>
            <w:r>
              <w:rPr>
                <w:rFonts w:hint="eastAsia" w:ascii="宋体" w:hAnsi="宋体" w:cs="宋体"/>
                <w:sz w:val="24"/>
              </w:rPr>
              <w:t>或</w:t>
            </w:r>
            <w:r>
              <w:rPr>
                <w:rFonts w:hint="eastAsia" w:ascii="宋体" w:hAnsi="宋体" w:cs="宋体"/>
                <w:sz w:val="24"/>
                <w:lang w:val="zh-CN"/>
              </w:rPr>
              <w:t>租赁合同复印件</w:t>
            </w:r>
            <w:r>
              <w:rPr>
                <w:rFonts w:hint="eastAsia" w:ascii="宋体" w:hAnsi="宋体" w:cs="宋体"/>
                <w:sz w:val="24"/>
              </w:rPr>
              <w:t>及租赁发票</w:t>
            </w:r>
            <w:r>
              <w:rPr>
                <w:rFonts w:hint="eastAsia" w:ascii="宋体" w:hAnsi="宋体" w:cs="宋体"/>
                <w:sz w:val="24"/>
                <w:lang w:val="zh-CN"/>
              </w:rPr>
              <w:t>复印件且租赁期长于</w:t>
            </w:r>
            <w:r>
              <w:rPr>
                <w:rFonts w:hint="eastAsia" w:ascii="宋体" w:hAnsi="宋体" w:cs="宋体"/>
                <w:sz w:val="24"/>
              </w:rPr>
              <w:t>本项目</w:t>
            </w:r>
            <w:r>
              <w:rPr>
                <w:rFonts w:hint="eastAsia" w:ascii="宋体" w:hAnsi="宋体" w:cs="宋体"/>
                <w:sz w:val="24"/>
                <w:lang w:val="zh-CN"/>
              </w:rPr>
              <w:t>服务期相关证明材料</w:t>
            </w:r>
            <w:r>
              <w:rPr>
                <w:rFonts w:hint="eastAsia" w:ascii="宋体" w:hAnsi="宋体" w:cs="宋体"/>
                <w:sz w:val="24"/>
              </w:rPr>
              <w:t>等</w:t>
            </w:r>
            <w:r>
              <w:rPr>
                <w:rFonts w:hint="eastAsia" w:ascii="宋体" w:hAnsi="宋体" w:cs="宋体"/>
                <w:sz w:val="24"/>
                <w:lang w:val="zh-CN"/>
              </w:rPr>
              <w:t>）</w:t>
            </w:r>
            <w:r>
              <w:rPr>
                <w:rFonts w:hint="eastAsia" w:ascii="宋体" w:hAnsi="宋体" w:cs="宋体"/>
                <w:sz w:val="24"/>
              </w:rPr>
              <w:t>；</w:t>
            </w:r>
          </w:p>
        </w:tc>
        <w:tc>
          <w:tcPr>
            <w:tcW w:w="470" w:type="pct"/>
            <w:noWrap/>
            <w:vAlign w:val="center"/>
          </w:tcPr>
          <w:p>
            <w:pPr>
              <w:adjustRightInd w:val="0"/>
              <w:snapToGrid w:val="0"/>
              <w:spacing w:line="360" w:lineRule="auto"/>
              <w:jc w:val="center"/>
              <w:rPr>
                <w:rFonts w:ascii="宋体" w:hAnsi="宋体" w:cs="宋体"/>
                <w:sz w:val="24"/>
              </w:rPr>
            </w:pPr>
            <w:r>
              <w:rPr>
                <w:rFonts w:hint="eastAsia" w:ascii="宋体" w:hAnsi="宋体" w:cs="宋体"/>
                <w:sz w:val="24"/>
              </w:rPr>
              <w:t>3分</w:t>
            </w:r>
          </w:p>
        </w:tc>
        <w:tc>
          <w:tcPr>
            <w:tcW w:w="854" w:type="pct"/>
            <w:noWrap/>
            <w:vAlign w:val="center"/>
          </w:tcPr>
          <w:p>
            <w:pPr>
              <w:adjustRightInd w:val="0"/>
              <w:snapToGrid w:val="0"/>
              <w:spacing w:line="360" w:lineRule="auto"/>
              <w:jc w:val="center"/>
              <w:rPr>
                <w:rFonts w:ascii="宋体" w:hAnsi="宋体" w:cs="宋体"/>
                <w:sz w:val="24"/>
              </w:rPr>
            </w:pPr>
            <w:r>
              <w:rPr>
                <w:rFonts w:hint="eastAsia" w:ascii="宋体" w:hAnsi="宋体" w:cs="宋体"/>
                <w:sz w:val="24"/>
                <w:lang w:val="zh-CN"/>
              </w:rPr>
              <w:t>（</w:t>
            </w:r>
            <w:r>
              <w:rPr>
                <w:rFonts w:hint="eastAsia" w:ascii="宋体" w:hAnsi="宋体" w:cs="宋体"/>
                <w:sz w:val="24"/>
              </w:rPr>
              <w:t>三）</w:t>
            </w:r>
            <w:r>
              <w:rPr>
                <w:rFonts w:hint="eastAsia" w:ascii="宋体" w:hAnsi="宋体" w:cs="宋体"/>
                <w:sz w:val="24"/>
                <w:lang w:val="zh-CN"/>
              </w:rPr>
              <w:t>设备材料制作（</w:t>
            </w:r>
            <w:r>
              <w:rPr>
                <w:rFonts w:hint="eastAsia" w:ascii="宋体" w:hAnsi="宋体" w:cs="宋体"/>
                <w:sz w:val="24"/>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4" w:type="pct"/>
            <w:noWrap/>
            <w:vAlign w:val="center"/>
          </w:tcPr>
          <w:p>
            <w:pPr>
              <w:spacing w:line="360" w:lineRule="auto"/>
              <w:jc w:val="center"/>
              <w:outlineLvl w:val="0"/>
              <w:rPr>
                <w:rFonts w:ascii="宋体" w:hAnsi="宋体" w:cs="宋体"/>
                <w:sz w:val="24"/>
              </w:rPr>
            </w:pPr>
            <w:r>
              <w:rPr>
                <w:rFonts w:hint="eastAsia" w:ascii="宋体" w:hAnsi="宋体" w:cs="宋体"/>
                <w:sz w:val="24"/>
              </w:rPr>
              <w:t>4</w:t>
            </w:r>
          </w:p>
        </w:tc>
        <w:tc>
          <w:tcPr>
            <w:tcW w:w="3170" w:type="pct"/>
            <w:noWrap/>
            <w:vAlign w:val="center"/>
          </w:tcPr>
          <w:p>
            <w:pPr>
              <w:adjustRightInd w:val="0"/>
              <w:snapToGrid w:val="0"/>
              <w:spacing w:line="360" w:lineRule="auto"/>
              <w:jc w:val="left"/>
              <w:rPr>
                <w:rFonts w:ascii="宋体" w:hAnsi="宋体" w:cs="宋体"/>
                <w:sz w:val="24"/>
              </w:rPr>
            </w:pPr>
            <w:r>
              <w:rPr>
                <w:rFonts w:hint="eastAsia" w:ascii="宋体" w:hAnsi="宋体" w:cs="宋体"/>
                <w:sz w:val="24"/>
                <w:lang w:val="zh-CN"/>
              </w:rPr>
              <w:t>●</w:t>
            </w:r>
            <w:r>
              <w:rPr>
                <w:rFonts w:hint="eastAsia" w:ascii="宋体" w:hAnsi="宋体" w:cs="宋体"/>
                <w:sz w:val="24"/>
              </w:rPr>
              <w:t>设施巡查</w:t>
            </w:r>
            <w:r>
              <w:rPr>
                <w:rFonts w:hint="eastAsia" w:ascii="宋体" w:hAnsi="宋体" w:cs="宋体"/>
                <w:sz w:val="24"/>
                <w:lang w:val="zh-CN"/>
              </w:rPr>
              <w:t>方案，内容应包含</w:t>
            </w:r>
            <w:r>
              <w:rPr>
                <w:rFonts w:hint="eastAsia" w:ascii="宋体" w:hAnsi="宋体" w:cs="宋体"/>
                <w:sz w:val="24"/>
              </w:rPr>
              <w:t>对区域内交通设施的基础、交通标志、标牌和设施杆件等交通设施的安全检查、设施排查、统计及登记造册</w:t>
            </w:r>
            <w:r>
              <w:rPr>
                <w:rFonts w:hint="eastAsia" w:ascii="宋体" w:hAnsi="宋体" w:cs="宋体"/>
                <w:sz w:val="24"/>
                <w:lang w:val="zh-CN"/>
              </w:rPr>
              <w:t>；巡查后发现问题的处理方案，</w:t>
            </w:r>
            <w:r>
              <w:rPr>
                <w:rFonts w:hint="eastAsia" w:ascii="宋体" w:hAnsi="宋体" w:cs="宋体"/>
                <w:sz w:val="24"/>
              </w:rPr>
              <w:t>满足</w:t>
            </w:r>
            <w:r>
              <w:rPr>
                <w:rFonts w:hint="eastAsia" w:ascii="宋体" w:hAnsi="宋体" w:cs="宋体"/>
                <w:sz w:val="24"/>
                <w:lang w:val="zh-CN"/>
              </w:rPr>
              <w:t>的得</w:t>
            </w:r>
            <w:r>
              <w:rPr>
                <w:rFonts w:hint="eastAsia" w:ascii="宋体" w:hAnsi="宋体" w:cs="宋体"/>
                <w:sz w:val="24"/>
              </w:rPr>
              <w:t>4</w:t>
            </w:r>
            <w:r>
              <w:rPr>
                <w:rFonts w:hint="eastAsia" w:ascii="宋体" w:hAnsi="宋体" w:cs="宋体"/>
                <w:sz w:val="24"/>
                <w:lang w:val="zh-CN"/>
              </w:rPr>
              <w:t>分，略有不足需完善的</w:t>
            </w:r>
            <w:r>
              <w:rPr>
                <w:rFonts w:hint="eastAsia" w:ascii="宋体" w:hAnsi="宋体" w:cs="宋体"/>
                <w:sz w:val="24"/>
              </w:rPr>
              <w:t>得2分，</w:t>
            </w:r>
            <w:r>
              <w:rPr>
                <w:rFonts w:hint="eastAsia" w:ascii="宋体" w:hAnsi="宋体" w:cs="宋体"/>
                <w:sz w:val="24"/>
                <w:lang w:val="zh-CN"/>
              </w:rPr>
              <w:t>不满足或与实际不符的不得分。最高</w:t>
            </w:r>
            <w:r>
              <w:rPr>
                <w:rFonts w:hint="eastAsia" w:ascii="宋体" w:hAnsi="宋体" w:cs="宋体"/>
                <w:sz w:val="24"/>
              </w:rPr>
              <w:t>4</w:t>
            </w:r>
            <w:r>
              <w:rPr>
                <w:rFonts w:hint="eastAsia" w:ascii="宋体" w:hAnsi="宋体" w:cs="宋体"/>
                <w:sz w:val="24"/>
                <w:lang w:val="zh-CN"/>
              </w:rPr>
              <w:t>分。</w:t>
            </w:r>
          </w:p>
        </w:tc>
        <w:tc>
          <w:tcPr>
            <w:tcW w:w="470" w:type="pct"/>
            <w:noWrap/>
            <w:vAlign w:val="center"/>
          </w:tcPr>
          <w:p>
            <w:pPr>
              <w:adjustRightInd w:val="0"/>
              <w:snapToGrid w:val="0"/>
              <w:spacing w:line="360" w:lineRule="auto"/>
              <w:jc w:val="center"/>
              <w:rPr>
                <w:rFonts w:ascii="宋体" w:hAnsi="宋体" w:cs="宋体"/>
                <w:sz w:val="24"/>
              </w:rPr>
            </w:pPr>
            <w:r>
              <w:rPr>
                <w:rFonts w:hint="eastAsia" w:ascii="宋体" w:hAnsi="宋体" w:cs="宋体"/>
                <w:sz w:val="24"/>
              </w:rPr>
              <w:t>4分</w:t>
            </w:r>
          </w:p>
        </w:tc>
        <w:tc>
          <w:tcPr>
            <w:tcW w:w="854" w:type="pct"/>
            <w:noWrap/>
            <w:vAlign w:val="center"/>
          </w:tcPr>
          <w:p>
            <w:pPr>
              <w:adjustRightInd w:val="0"/>
              <w:snapToGrid w:val="0"/>
              <w:spacing w:line="360" w:lineRule="auto"/>
              <w:jc w:val="center"/>
              <w:rPr>
                <w:rFonts w:ascii="宋体" w:hAnsi="宋体" w:cs="宋体"/>
                <w:sz w:val="24"/>
              </w:rPr>
            </w:pPr>
            <w:r>
              <w:rPr>
                <w:rFonts w:hint="eastAsia" w:ascii="宋体" w:hAnsi="宋体" w:cs="宋体"/>
                <w:sz w:val="24"/>
              </w:rPr>
              <w:t>（四）设施巡查</w:t>
            </w:r>
            <w:r>
              <w:rPr>
                <w:rFonts w:hint="eastAsia" w:ascii="宋体" w:hAnsi="宋体" w:cs="宋体"/>
                <w:sz w:val="24"/>
                <w:lang w:val="zh-CN"/>
              </w:rPr>
              <w:t>方案（</w:t>
            </w:r>
            <w:r>
              <w:rPr>
                <w:rFonts w:hint="eastAsia" w:ascii="宋体" w:hAnsi="宋体" w:cs="宋体"/>
                <w:sz w:val="24"/>
              </w:rPr>
              <w:t>4分）</w:t>
            </w:r>
          </w:p>
        </w:tc>
      </w:tr>
      <w:bookmarkEnd w:id="1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504" w:type="pct"/>
            <w:noWrap/>
            <w:vAlign w:val="center"/>
          </w:tcPr>
          <w:p>
            <w:pPr>
              <w:spacing w:line="360" w:lineRule="auto"/>
              <w:jc w:val="center"/>
              <w:rPr>
                <w:rFonts w:ascii="宋体" w:hAnsi="宋体" w:cs="宋体"/>
                <w:sz w:val="24"/>
              </w:rPr>
            </w:pPr>
            <w:r>
              <w:rPr>
                <w:rFonts w:hint="eastAsia" w:ascii="宋体" w:hAnsi="宋体" w:cs="宋体"/>
                <w:sz w:val="24"/>
              </w:rPr>
              <w:t>5</w:t>
            </w:r>
          </w:p>
        </w:tc>
        <w:tc>
          <w:tcPr>
            <w:tcW w:w="3170" w:type="pct"/>
            <w:noWrap/>
            <w:vAlign w:val="center"/>
          </w:tcPr>
          <w:p>
            <w:pPr>
              <w:adjustRightInd w:val="0"/>
              <w:snapToGrid w:val="0"/>
              <w:spacing w:line="360" w:lineRule="auto"/>
              <w:jc w:val="left"/>
              <w:rPr>
                <w:rFonts w:ascii="宋体" w:hAnsi="宋体" w:cs="宋体"/>
                <w:sz w:val="24"/>
              </w:rPr>
            </w:pPr>
            <w:r>
              <w:rPr>
                <w:rFonts w:hint="eastAsia" w:ascii="宋体" w:hAnsi="宋体" w:cs="宋体"/>
                <w:sz w:val="24"/>
              </w:rPr>
              <w:t>●投标人所投项目应急方案</w:t>
            </w:r>
            <w:r>
              <w:rPr>
                <w:rFonts w:hint="eastAsia" w:ascii="宋体" w:hAnsi="宋体" w:cs="宋体"/>
                <w:sz w:val="24"/>
                <w:lang w:val="zh-CN"/>
              </w:rPr>
              <w:t>：投标</w:t>
            </w:r>
            <w:r>
              <w:rPr>
                <w:rFonts w:hint="eastAsia" w:ascii="宋体" w:hAnsi="宋体" w:cs="宋体"/>
                <w:sz w:val="24"/>
              </w:rPr>
              <w:t>人</w:t>
            </w:r>
            <w:r>
              <w:rPr>
                <w:rFonts w:hint="eastAsia" w:ascii="宋体" w:hAnsi="宋体" w:cs="宋体"/>
                <w:sz w:val="24"/>
                <w:lang w:val="zh-CN"/>
              </w:rPr>
              <w:t>的维护机构情况是否满足采购人日常维护服务需求，配有较强的专业技术队伍，能承诺提供快速的服务响应（接到采购人紧急抢修任务30分钟内至现场进行应急处置，一般情况3小时内完成）。</w:t>
            </w:r>
            <w:r>
              <w:rPr>
                <w:rFonts w:hint="eastAsia" w:ascii="宋体" w:hAnsi="宋体" w:cs="宋体"/>
                <w:sz w:val="24"/>
              </w:rPr>
              <w:t>承诺</w:t>
            </w:r>
            <w:r>
              <w:rPr>
                <w:rFonts w:hint="eastAsia" w:ascii="宋体" w:hAnsi="宋体" w:cs="宋体"/>
                <w:sz w:val="24"/>
                <w:lang w:val="zh-CN"/>
              </w:rPr>
              <w:t>满足要求的得</w:t>
            </w:r>
            <w:r>
              <w:rPr>
                <w:rFonts w:hint="eastAsia" w:ascii="宋体" w:hAnsi="宋体" w:cs="宋体"/>
                <w:sz w:val="24"/>
              </w:rPr>
              <w:t>3</w:t>
            </w:r>
            <w:r>
              <w:rPr>
                <w:rFonts w:hint="eastAsia" w:ascii="宋体" w:hAnsi="宋体" w:cs="宋体"/>
                <w:sz w:val="24"/>
                <w:lang w:val="zh-CN"/>
              </w:rPr>
              <w:t>分，</w:t>
            </w:r>
            <w:r>
              <w:rPr>
                <w:rFonts w:hint="eastAsia" w:ascii="宋体" w:hAnsi="宋体" w:cs="宋体"/>
                <w:sz w:val="24"/>
              </w:rPr>
              <w:t>不承诺或</w:t>
            </w:r>
            <w:r>
              <w:rPr>
                <w:rFonts w:hint="eastAsia" w:ascii="宋体" w:hAnsi="宋体" w:cs="宋体"/>
                <w:sz w:val="24"/>
                <w:lang w:val="zh-CN"/>
              </w:rPr>
              <w:t>未提供不得分，最高</w:t>
            </w:r>
            <w:r>
              <w:rPr>
                <w:rFonts w:hint="eastAsia" w:ascii="宋体" w:hAnsi="宋体" w:cs="宋体"/>
                <w:sz w:val="24"/>
              </w:rPr>
              <w:t>3</w:t>
            </w:r>
            <w:r>
              <w:rPr>
                <w:rFonts w:hint="eastAsia" w:ascii="宋体" w:hAnsi="宋体" w:cs="宋体"/>
                <w:sz w:val="24"/>
                <w:lang w:val="zh-CN"/>
              </w:rPr>
              <w:t>分。（</w:t>
            </w:r>
            <w:r>
              <w:rPr>
                <w:rFonts w:hint="eastAsia" w:ascii="宋体" w:hAnsi="宋体" w:cs="宋体"/>
                <w:sz w:val="24"/>
              </w:rPr>
              <w:t>3</w:t>
            </w:r>
            <w:r>
              <w:rPr>
                <w:rFonts w:hint="eastAsia" w:ascii="宋体" w:hAnsi="宋体" w:cs="宋体"/>
                <w:sz w:val="24"/>
                <w:lang w:val="zh-CN"/>
              </w:rPr>
              <w:t>分）</w:t>
            </w:r>
          </w:p>
        </w:tc>
        <w:tc>
          <w:tcPr>
            <w:tcW w:w="470" w:type="pct"/>
            <w:noWrap/>
            <w:vAlign w:val="center"/>
          </w:tcPr>
          <w:p>
            <w:pPr>
              <w:adjustRightInd w:val="0"/>
              <w:snapToGrid w:val="0"/>
              <w:spacing w:line="360" w:lineRule="auto"/>
              <w:jc w:val="center"/>
              <w:rPr>
                <w:rFonts w:ascii="宋体" w:hAnsi="宋体" w:cs="宋体"/>
                <w:sz w:val="24"/>
              </w:rPr>
            </w:pPr>
            <w:r>
              <w:rPr>
                <w:rFonts w:hint="eastAsia" w:ascii="宋体" w:hAnsi="宋体" w:cs="宋体"/>
                <w:sz w:val="24"/>
              </w:rPr>
              <w:t>3分</w:t>
            </w:r>
          </w:p>
        </w:tc>
        <w:tc>
          <w:tcPr>
            <w:tcW w:w="854" w:type="pct"/>
            <w:noWrap/>
            <w:vAlign w:val="center"/>
          </w:tcPr>
          <w:p>
            <w:pPr>
              <w:adjustRightInd w:val="0"/>
              <w:snapToGrid w:val="0"/>
              <w:spacing w:line="360" w:lineRule="auto"/>
              <w:jc w:val="center"/>
              <w:rPr>
                <w:rFonts w:ascii="宋体" w:hAnsi="宋体" w:cs="宋体"/>
                <w:sz w:val="24"/>
              </w:rPr>
            </w:pPr>
            <w:r>
              <w:rPr>
                <w:rFonts w:hint="eastAsia" w:ascii="宋体" w:hAnsi="宋体" w:cs="宋体"/>
                <w:sz w:val="24"/>
              </w:rPr>
              <w:t>（五）应急方案（3分）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504" w:type="pct"/>
            <w:noWrap/>
            <w:vAlign w:val="center"/>
          </w:tcPr>
          <w:p>
            <w:pPr>
              <w:adjustRightInd w:val="0"/>
              <w:snapToGrid w:val="0"/>
              <w:spacing w:line="360" w:lineRule="auto"/>
              <w:jc w:val="center"/>
              <w:rPr>
                <w:rFonts w:ascii="宋体" w:hAnsi="宋体" w:cs="宋体"/>
                <w:sz w:val="24"/>
              </w:rPr>
            </w:pPr>
            <w:r>
              <w:rPr>
                <w:rFonts w:hint="eastAsia" w:ascii="宋体" w:hAnsi="宋体" w:cs="宋体"/>
                <w:sz w:val="24"/>
              </w:rPr>
              <w:t>6</w:t>
            </w:r>
          </w:p>
        </w:tc>
        <w:tc>
          <w:tcPr>
            <w:tcW w:w="3170" w:type="pct"/>
            <w:noWrap/>
            <w:vAlign w:val="center"/>
          </w:tcPr>
          <w:p>
            <w:pPr>
              <w:adjustRightInd w:val="0"/>
              <w:snapToGrid w:val="0"/>
              <w:spacing w:line="360" w:lineRule="auto"/>
              <w:jc w:val="left"/>
              <w:rPr>
                <w:rFonts w:ascii="宋体" w:hAnsi="宋体" w:cs="宋体"/>
                <w:sz w:val="24"/>
              </w:rPr>
            </w:pPr>
            <w:r>
              <w:rPr>
                <w:rFonts w:hint="eastAsia" w:ascii="宋体" w:hAnsi="宋体" w:cs="宋体"/>
                <w:sz w:val="24"/>
              </w:rPr>
              <w:t>投标人所投项目备品备件情况：</w:t>
            </w:r>
          </w:p>
          <w:p>
            <w:pPr>
              <w:adjustRightInd w:val="0"/>
              <w:snapToGrid w:val="0"/>
              <w:spacing w:line="360" w:lineRule="auto"/>
              <w:jc w:val="left"/>
            </w:pPr>
            <w:r>
              <w:rPr>
                <w:rFonts w:hint="eastAsia" w:ascii="宋体" w:hAnsi="宋体" w:cs="宋体"/>
                <w:sz w:val="24"/>
              </w:rPr>
              <w:t>●提供的备品备件库满足采购需求的得3分，不满足不得分，最高得3分（3分）</w:t>
            </w:r>
            <w:r>
              <w:rPr>
                <w:rFonts w:hint="eastAsia" w:ascii="宋体" w:hAnsi="宋体" w:cs="宋体"/>
                <w:sz w:val="24"/>
                <w:lang w:val="zh-CN"/>
              </w:rPr>
              <w:t>（提供产权证明（产权为</w:t>
            </w:r>
            <w:r>
              <w:rPr>
                <w:rFonts w:hint="eastAsia" w:ascii="宋体" w:hAnsi="宋体" w:cs="宋体"/>
                <w:sz w:val="24"/>
              </w:rPr>
              <w:t>投标人</w:t>
            </w:r>
            <w:r>
              <w:rPr>
                <w:rFonts w:hint="eastAsia" w:ascii="宋体" w:hAnsi="宋体" w:cs="宋体"/>
                <w:sz w:val="24"/>
                <w:lang w:val="zh-CN"/>
              </w:rPr>
              <w:t>所有的提供产权证，如非</w:t>
            </w:r>
            <w:r>
              <w:rPr>
                <w:rFonts w:hint="eastAsia" w:ascii="宋体" w:hAnsi="宋体" w:cs="宋体"/>
                <w:sz w:val="24"/>
              </w:rPr>
              <w:t>投标人</w:t>
            </w:r>
            <w:r>
              <w:rPr>
                <w:rFonts w:hint="eastAsia" w:ascii="宋体" w:hAnsi="宋体" w:cs="宋体"/>
                <w:sz w:val="24"/>
                <w:lang w:val="zh-CN"/>
              </w:rPr>
              <w:t>所有的，提供房屋产权证</w:t>
            </w:r>
            <w:r>
              <w:rPr>
                <w:rFonts w:hint="eastAsia" w:ascii="宋体" w:hAnsi="宋体" w:cs="宋体"/>
                <w:sz w:val="24"/>
              </w:rPr>
              <w:t>或</w:t>
            </w:r>
            <w:r>
              <w:rPr>
                <w:rFonts w:hint="eastAsia" w:ascii="宋体" w:hAnsi="宋体" w:cs="宋体"/>
                <w:sz w:val="24"/>
                <w:lang w:val="zh-CN"/>
              </w:rPr>
              <w:t>租赁合同复印件</w:t>
            </w:r>
            <w:r>
              <w:rPr>
                <w:rFonts w:hint="eastAsia" w:ascii="宋体" w:hAnsi="宋体" w:cs="宋体"/>
                <w:sz w:val="24"/>
              </w:rPr>
              <w:t>及租赁发票</w:t>
            </w:r>
            <w:r>
              <w:rPr>
                <w:rFonts w:hint="eastAsia" w:ascii="宋体" w:hAnsi="宋体" w:cs="宋体"/>
                <w:sz w:val="24"/>
                <w:lang w:val="zh-CN"/>
              </w:rPr>
              <w:t>复印件且租赁期长于</w:t>
            </w:r>
            <w:r>
              <w:rPr>
                <w:rFonts w:hint="eastAsia" w:ascii="宋体" w:hAnsi="宋体" w:cs="宋体"/>
                <w:sz w:val="24"/>
              </w:rPr>
              <w:t>本项目</w:t>
            </w:r>
            <w:r>
              <w:rPr>
                <w:rFonts w:hint="eastAsia" w:ascii="宋体" w:hAnsi="宋体" w:cs="宋体"/>
                <w:sz w:val="24"/>
                <w:lang w:val="zh-CN"/>
              </w:rPr>
              <w:t>服务期相关证明材料</w:t>
            </w:r>
            <w:r>
              <w:rPr>
                <w:rFonts w:hint="eastAsia" w:ascii="宋体" w:hAnsi="宋体" w:cs="宋体"/>
                <w:sz w:val="24"/>
              </w:rPr>
              <w:t>等</w:t>
            </w:r>
            <w:r>
              <w:rPr>
                <w:rFonts w:hint="eastAsia" w:ascii="宋体" w:hAnsi="宋体" w:cs="宋体"/>
                <w:sz w:val="24"/>
                <w:lang w:val="zh-CN"/>
              </w:rPr>
              <w:t>）；</w:t>
            </w:r>
          </w:p>
          <w:p>
            <w:pPr>
              <w:adjustRightInd w:val="0"/>
              <w:snapToGrid w:val="0"/>
              <w:spacing w:line="360" w:lineRule="auto"/>
              <w:jc w:val="left"/>
              <w:rPr>
                <w:rFonts w:ascii="宋体" w:hAnsi="宋体" w:cs="宋体"/>
                <w:sz w:val="24"/>
              </w:rPr>
            </w:pPr>
            <w:r>
              <w:rPr>
                <w:rFonts w:hint="eastAsia" w:ascii="宋体" w:hAnsi="宋体" w:cs="宋体"/>
                <w:sz w:val="24"/>
              </w:rPr>
              <w:t>●在6小时内提供必要的备品备件，满足采购需求得2分，不满足的不得分，最高得2分（2分）</w:t>
            </w:r>
          </w:p>
        </w:tc>
        <w:tc>
          <w:tcPr>
            <w:tcW w:w="470" w:type="pct"/>
            <w:noWrap/>
            <w:vAlign w:val="center"/>
          </w:tcPr>
          <w:p>
            <w:pPr>
              <w:adjustRightInd w:val="0"/>
              <w:snapToGrid w:val="0"/>
              <w:spacing w:line="360" w:lineRule="auto"/>
              <w:jc w:val="center"/>
              <w:rPr>
                <w:rFonts w:ascii="宋体" w:hAnsi="宋体" w:cs="宋体"/>
                <w:sz w:val="24"/>
              </w:rPr>
            </w:pPr>
            <w:r>
              <w:rPr>
                <w:rFonts w:hint="eastAsia" w:ascii="宋体" w:hAnsi="宋体" w:cs="宋体"/>
                <w:sz w:val="24"/>
              </w:rPr>
              <w:t>5分</w:t>
            </w:r>
          </w:p>
        </w:tc>
        <w:tc>
          <w:tcPr>
            <w:tcW w:w="854" w:type="pct"/>
            <w:noWrap/>
            <w:vAlign w:val="center"/>
          </w:tcPr>
          <w:p>
            <w:pPr>
              <w:adjustRightInd w:val="0"/>
              <w:snapToGrid w:val="0"/>
              <w:spacing w:line="360" w:lineRule="auto"/>
              <w:jc w:val="center"/>
              <w:rPr>
                <w:rFonts w:ascii="宋体" w:hAnsi="宋体" w:cs="宋体"/>
                <w:sz w:val="24"/>
              </w:rPr>
            </w:pPr>
            <w:r>
              <w:rPr>
                <w:rFonts w:hint="eastAsia" w:ascii="宋体" w:hAnsi="宋体" w:cs="宋体"/>
                <w:sz w:val="24"/>
              </w:rPr>
              <w:t>（六）备品备件（5分）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504" w:type="pct"/>
            <w:noWrap/>
            <w:vAlign w:val="center"/>
          </w:tcPr>
          <w:p>
            <w:pPr>
              <w:adjustRightInd w:val="0"/>
              <w:snapToGrid w:val="0"/>
              <w:spacing w:line="360" w:lineRule="auto"/>
              <w:jc w:val="center"/>
              <w:rPr>
                <w:rFonts w:ascii="宋体" w:hAnsi="宋体" w:cs="宋体"/>
                <w:sz w:val="24"/>
              </w:rPr>
            </w:pPr>
            <w:r>
              <w:rPr>
                <w:rFonts w:hint="eastAsia" w:ascii="宋体" w:hAnsi="宋体" w:cs="宋体"/>
                <w:sz w:val="24"/>
              </w:rPr>
              <w:t>7</w:t>
            </w:r>
          </w:p>
        </w:tc>
        <w:tc>
          <w:tcPr>
            <w:tcW w:w="3170" w:type="pct"/>
            <w:noWrap/>
            <w:vAlign w:val="center"/>
          </w:tcPr>
          <w:p>
            <w:pPr>
              <w:adjustRightInd w:val="0"/>
              <w:snapToGrid w:val="0"/>
              <w:spacing w:line="360" w:lineRule="auto"/>
              <w:jc w:val="left"/>
              <w:rPr>
                <w:rFonts w:ascii="宋体" w:hAnsi="宋体" w:cs="宋体"/>
                <w:sz w:val="24"/>
              </w:rPr>
            </w:pPr>
            <w:r>
              <w:rPr>
                <w:rFonts w:hint="eastAsia" w:ascii="宋体" w:hAnsi="宋体" w:cs="宋体"/>
                <w:sz w:val="24"/>
              </w:rPr>
              <w:t>● 投标人承诺：①明确的质量目标，②质量保证措施，③提供质量保证承诺书等。每项满足采购需求的得1分，不满足不得分。本项最高得3分（3分）。</w:t>
            </w:r>
          </w:p>
        </w:tc>
        <w:tc>
          <w:tcPr>
            <w:tcW w:w="470" w:type="pct"/>
            <w:noWrap/>
            <w:vAlign w:val="center"/>
          </w:tcPr>
          <w:p>
            <w:pPr>
              <w:adjustRightInd w:val="0"/>
              <w:snapToGrid w:val="0"/>
              <w:spacing w:line="360" w:lineRule="auto"/>
              <w:jc w:val="center"/>
              <w:rPr>
                <w:rFonts w:ascii="宋体" w:hAnsi="宋体" w:cs="宋体"/>
                <w:sz w:val="24"/>
              </w:rPr>
            </w:pPr>
            <w:r>
              <w:rPr>
                <w:rFonts w:hint="eastAsia" w:ascii="宋体" w:hAnsi="宋体" w:cs="宋体"/>
                <w:sz w:val="24"/>
              </w:rPr>
              <w:t>3分</w:t>
            </w:r>
          </w:p>
        </w:tc>
        <w:tc>
          <w:tcPr>
            <w:tcW w:w="854" w:type="pct"/>
            <w:noWrap/>
            <w:vAlign w:val="center"/>
          </w:tcPr>
          <w:p>
            <w:pPr>
              <w:adjustRightInd w:val="0"/>
              <w:snapToGrid w:val="0"/>
              <w:spacing w:line="360" w:lineRule="auto"/>
              <w:jc w:val="center"/>
              <w:rPr>
                <w:rFonts w:ascii="宋体" w:hAnsi="宋体" w:cs="宋体"/>
                <w:sz w:val="24"/>
              </w:rPr>
            </w:pPr>
            <w:r>
              <w:rPr>
                <w:rFonts w:hint="eastAsia" w:ascii="宋体" w:hAnsi="宋体" w:cs="宋体"/>
                <w:sz w:val="24"/>
              </w:rPr>
              <w:t>（七）、质量保证措施（3分）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504" w:type="pct"/>
            <w:noWrap/>
            <w:vAlign w:val="center"/>
          </w:tcPr>
          <w:p>
            <w:pPr>
              <w:adjustRightInd w:val="0"/>
              <w:snapToGrid w:val="0"/>
              <w:spacing w:line="360" w:lineRule="auto"/>
              <w:jc w:val="center"/>
              <w:rPr>
                <w:rFonts w:ascii="宋体" w:hAnsi="宋体" w:cs="宋体"/>
                <w:sz w:val="24"/>
              </w:rPr>
            </w:pPr>
            <w:r>
              <w:rPr>
                <w:rFonts w:hint="eastAsia" w:ascii="宋体" w:hAnsi="宋体" w:cs="宋体"/>
                <w:sz w:val="24"/>
              </w:rPr>
              <w:t>8</w:t>
            </w:r>
          </w:p>
        </w:tc>
        <w:tc>
          <w:tcPr>
            <w:tcW w:w="3170" w:type="pct"/>
            <w:noWrap/>
            <w:vAlign w:val="center"/>
          </w:tcPr>
          <w:p>
            <w:pPr>
              <w:adjustRightInd w:val="0"/>
              <w:snapToGrid w:val="0"/>
              <w:spacing w:line="360" w:lineRule="auto"/>
              <w:jc w:val="left"/>
              <w:rPr>
                <w:rFonts w:ascii="宋体" w:hAnsi="宋体" w:cs="宋体"/>
                <w:sz w:val="24"/>
              </w:rPr>
            </w:pPr>
            <w:r>
              <w:rPr>
                <w:rFonts w:hint="eastAsia" w:ascii="宋体" w:hAnsi="宋体" w:cs="宋体"/>
                <w:sz w:val="24"/>
              </w:rPr>
              <w:t>●根据投标人服务机构的便利性，售后服务技术力量、设备设施配置等。每项满足采购需求的得3分，内容欠缺或部分满足采购需求的得1.5分，不满足不得分。本项最高得3分（3分）。</w:t>
            </w:r>
          </w:p>
        </w:tc>
        <w:tc>
          <w:tcPr>
            <w:tcW w:w="470" w:type="pct"/>
            <w:noWrap/>
            <w:vAlign w:val="center"/>
          </w:tcPr>
          <w:p>
            <w:pPr>
              <w:adjustRightInd w:val="0"/>
              <w:snapToGrid w:val="0"/>
              <w:spacing w:line="360" w:lineRule="auto"/>
              <w:jc w:val="center"/>
              <w:rPr>
                <w:rFonts w:ascii="宋体" w:hAnsi="宋体" w:cs="宋体"/>
                <w:sz w:val="24"/>
              </w:rPr>
            </w:pPr>
            <w:r>
              <w:rPr>
                <w:rFonts w:hint="eastAsia" w:ascii="宋体" w:hAnsi="宋体" w:cs="宋体"/>
                <w:sz w:val="24"/>
              </w:rPr>
              <w:t>3分</w:t>
            </w:r>
          </w:p>
        </w:tc>
        <w:tc>
          <w:tcPr>
            <w:tcW w:w="854" w:type="pct"/>
            <w:noWrap/>
            <w:vAlign w:val="center"/>
          </w:tcPr>
          <w:p>
            <w:pPr>
              <w:adjustRightInd w:val="0"/>
              <w:snapToGrid w:val="0"/>
              <w:spacing w:line="360" w:lineRule="auto"/>
              <w:jc w:val="center"/>
              <w:rPr>
                <w:rFonts w:ascii="宋体" w:hAnsi="宋体" w:cs="宋体"/>
                <w:sz w:val="24"/>
              </w:rPr>
            </w:pPr>
            <w:r>
              <w:rPr>
                <w:rFonts w:hint="eastAsia" w:ascii="宋体" w:hAnsi="宋体" w:cs="宋体"/>
                <w:sz w:val="24"/>
              </w:rPr>
              <w:t>（八）售后服务要求（3分）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1" w:hRule="atLeast"/>
        </w:trPr>
        <w:tc>
          <w:tcPr>
            <w:tcW w:w="504" w:type="pct"/>
            <w:noWrap/>
            <w:vAlign w:val="center"/>
          </w:tcPr>
          <w:p>
            <w:pPr>
              <w:adjustRightInd w:val="0"/>
              <w:snapToGrid w:val="0"/>
              <w:spacing w:line="360" w:lineRule="auto"/>
              <w:jc w:val="center"/>
              <w:rPr>
                <w:rFonts w:ascii="宋体" w:hAnsi="宋体" w:cs="宋体"/>
                <w:sz w:val="24"/>
              </w:rPr>
            </w:pPr>
            <w:r>
              <w:rPr>
                <w:rFonts w:hint="eastAsia" w:ascii="宋体" w:hAnsi="宋体" w:cs="宋体"/>
                <w:sz w:val="24"/>
              </w:rPr>
              <w:t>9</w:t>
            </w:r>
          </w:p>
        </w:tc>
        <w:tc>
          <w:tcPr>
            <w:tcW w:w="3170" w:type="pct"/>
            <w:noWrap/>
            <w:vAlign w:val="center"/>
          </w:tcPr>
          <w:p>
            <w:pPr>
              <w:adjustRightInd w:val="0"/>
              <w:snapToGrid w:val="0"/>
              <w:spacing w:line="360" w:lineRule="auto"/>
              <w:jc w:val="left"/>
              <w:rPr>
                <w:rFonts w:ascii="宋体" w:hAnsi="宋体" w:cs="宋体"/>
                <w:sz w:val="24"/>
                <w:lang w:val="zh-CN"/>
              </w:rPr>
            </w:pPr>
            <w:r>
              <w:rPr>
                <w:rFonts w:hint="eastAsia" w:ascii="宋体" w:hAnsi="宋体" w:cs="宋体"/>
                <w:sz w:val="24"/>
                <w:lang w:val="zh-CN"/>
              </w:rPr>
              <w:t>针对本项目的人员</w:t>
            </w:r>
            <w:r>
              <w:rPr>
                <w:rFonts w:hint="eastAsia" w:ascii="宋体" w:hAnsi="宋体" w:cs="宋体"/>
                <w:sz w:val="24"/>
              </w:rPr>
              <w:t>要求</w:t>
            </w:r>
            <w:r>
              <w:rPr>
                <w:rFonts w:hint="eastAsia" w:ascii="宋体" w:hAnsi="宋体" w:cs="宋体"/>
                <w:sz w:val="24"/>
                <w:lang w:val="zh-CN"/>
              </w:rPr>
              <w:t>：</w:t>
            </w:r>
          </w:p>
          <w:p>
            <w:pPr>
              <w:adjustRightInd w:val="0"/>
              <w:snapToGrid w:val="0"/>
              <w:spacing w:line="360" w:lineRule="auto"/>
              <w:jc w:val="left"/>
              <w:rPr>
                <w:rFonts w:ascii="宋体" w:hAnsi="宋体" w:cs="宋体"/>
                <w:sz w:val="24"/>
                <w:lang w:val="zh-CN"/>
              </w:rPr>
            </w:pPr>
            <w:r>
              <w:rPr>
                <w:rFonts w:hint="eastAsia" w:ascii="宋体" w:hAnsi="宋体" w:cs="宋体"/>
                <w:sz w:val="24"/>
                <w:lang w:val="zh-CN"/>
              </w:rPr>
              <w:t>●</w:t>
            </w:r>
            <w:r>
              <w:rPr>
                <w:rFonts w:hint="eastAsia" w:ascii="宋体" w:hAnsi="宋体" w:cs="宋体"/>
                <w:sz w:val="24"/>
              </w:rPr>
              <w:t>拟担任本项目项目负责人的技术能力、经验等情况</w:t>
            </w:r>
            <w:r>
              <w:rPr>
                <w:rFonts w:hint="eastAsia" w:ascii="宋体" w:hAnsi="宋体" w:cs="宋体"/>
                <w:sz w:val="24"/>
                <w:lang w:val="zh-CN"/>
              </w:rPr>
              <w:t>。①</w:t>
            </w:r>
            <w:r>
              <w:rPr>
                <w:rFonts w:hint="eastAsia" w:ascii="宋体" w:hAnsi="宋体" w:cs="宋体"/>
                <w:sz w:val="24"/>
              </w:rPr>
              <w:t>具有二级建造师及以上职称</w:t>
            </w:r>
            <w:r>
              <w:rPr>
                <w:rFonts w:hint="eastAsia" w:ascii="宋体" w:hAnsi="宋体" w:cs="宋体"/>
                <w:sz w:val="24"/>
                <w:lang w:val="zh-CN"/>
              </w:rPr>
              <w:t>得</w:t>
            </w:r>
            <w:r>
              <w:rPr>
                <w:rFonts w:hint="eastAsia" w:ascii="宋体" w:hAnsi="宋体" w:cs="宋体"/>
                <w:sz w:val="24"/>
              </w:rPr>
              <w:t>3分，</w:t>
            </w:r>
            <w:r>
              <w:rPr>
                <w:rFonts w:hint="eastAsia" w:ascii="宋体" w:hAnsi="宋体" w:cs="宋体"/>
                <w:sz w:val="24"/>
                <w:lang w:val="zh-CN"/>
              </w:rPr>
              <w:t>不</w:t>
            </w:r>
            <w:r>
              <w:rPr>
                <w:rFonts w:hint="eastAsia" w:ascii="宋体" w:hAnsi="宋体" w:cs="宋体"/>
                <w:sz w:val="24"/>
              </w:rPr>
              <w:t>提供</w:t>
            </w:r>
            <w:r>
              <w:rPr>
                <w:rFonts w:hint="eastAsia" w:ascii="宋体" w:hAnsi="宋体" w:cs="宋体"/>
                <w:sz w:val="24"/>
                <w:lang w:val="zh-CN"/>
              </w:rPr>
              <w:t>不得分。②</w:t>
            </w:r>
            <w:r>
              <w:rPr>
                <w:rFonts w:hint="eastAsia" w:ascii="宋体" w:hAnsi="宋体" w:cs="宋体"/>
                <w:sz w:val="24"/>
              </w:rPr>
              <w:t>具有交通设施项目经验。（需提供项目合同（项目合同如不能体现项目负责人信息需同时提供业主证明材料）提供得3分，不提供不得分）本项最高得6分（6分）</w:t>
            </w:r>
          </w:p>
          <w:p>
            <w:pPr>
              <w:adjustRightInd w:val="0"/>
              <w:snapToGrid w:val="0"/>
              <w:spacing w:line="360" w:lineRule="auto"/>
              <w:jc w:val="left"/>
              <w:rPr>
                <w:rFonts w:ascii="宋体" w:hAnsi="宋体" w:cs="宋体"/>
                <w:sz w:val="24"/>
                <w:lang w:val="zh-CN"/>
              </w:rPr>
            </w:pPr>
            <w:r>
              <w:rPr>
                <w:rFonts w:hint="eastAsia" w:ascii="宋体" w:hAnsi="宋体" w:cs="宋体"/>
                <w:sz w:val="24"/>
                <w:lang w:val="zh-CN"/>
              </w:rPr>
              <w:t>●</w:t>
            </w:r>
            <w:r>
              <w:rPr>
                <w:rFonts w:hint="eastAsia" w:ascii="宋体" w:hAnsi="宋体" w:cs="宋体"/>
                <w:sz w:val="24"/>
              </w:rPr>
              <w:t>拟担任本项目驻点人员的经验等情况</w:t>
            </w:r>
            <w:r>
              <w:rPr>
                <w:rFonts w:hint="eastAsia" w:ascii="宋体" w:hAnsi="宋体" w:cs="宋体"/>
                <w:sz w:val="24"/>
                <w:lang w:val="zh-CN"/>
              </w:rPr>
              <w:t>。①</w:t>
            </w:r>
            <w:r>
              <w:rPr>
                <w:rFonts w:hint="eastAsia" w:ascii="宋体" w:hAnsi="宋体" w:cs="宋体"/>
                <w:sz w:val="24"/>
              </w:rPr>
              <w:t>具有相关交通设施项目经验（需提供项目合同（项目合同如不能体现驻点人员信息需同时提供业主证明材料），提供得3分，不提供不得分），本项最高得3分（3分）</w:t>
            </w:r>
          </w:p>
          <w:p>
            <w:pPr>
              <w:adjustRightInd w:val="0"/>
              <w:snapToGrid w:val="0"/>
              <w:spacing w:line="360" w:lineRule="auto"/>
              <w:jc w:val="left"/>
              <w:rPr>
                <w:rFonts w:ascii="宋体" w:hAnsi="宋体" w:cs="宋体"/>
                <w:sz w:val="24"/>
                <w:lang w:val="zh-CN"/>
              </w:rPr>
            </w:pPr>
            <w:r>
              <w:rPr>
                <w:rFonts w:hint="eastAsia" w:ascii="宋体" w:hAnsi="宋体" w:cs="宋体"/>
                <w:sz w:val="24"/>
                <w:lang w:val="zh-CN"/>
              </w:rPr>
              <w:t>●</w:t>
            </w:r>
            <w:r>
              <w:rPr>
                <w:rFonts w:hint="eastAsia" w:ascii="宋体" w:hAnsi="宋体" w:cs="宋体"/>
                <w:sz w:val="24"/>
              </w:rPr>
              <w:t>拟担任本项目实施团队人员（维护、抢修技术人员）的技术能力等情况、经验等情况</w:t>
            </w:r>
            <w:r>
              <w:rPr>
                <w:rFonts w:hint="eastAsia" w:ascii="宋体" w:hAnsi="宋体" w:cs="宋体"/>
                <w:sz w:val="24"/>
                <w:lang w:val="zh-CN"/>
              </w:rPr>
              <w:t>。①</w:t>
            </w:r>
            <w:r>
              <w:rPr>
                <w:rFonts w:hint="eastAsia" w:ascii="宋体" w:hAnsi="宋体" w:cs="宋体"/>
                <w:sz w:val="24"/>
              </w:rPr>
              <w:t>需不少于一位持有电工证，提供得3分，不提供不得分，</w:t>
            </w:r>
            <w:r>
              <w:rPr>
                <w:rFonts w:hint="eastAsia" w:ascii="宋体" w:hAnsi="宋体" w:cs="宋体"/>
                <w:sz w:val="24"/>
                <w:lang w:val="zh-CN"/>
              </w:rPr>
              <w:t>②</w:t>
            </w:r>
            <w:r>
              <w:rPr>
                <w:rFonts w:hint="eastAsia" w:ascii="宋体" w:hAnsi="宋体" w:cs="宋体"/>
                <w:sz w:val="24"/>
              </w:rPr>
              <w:t>需不少于一位持有高空作业证，提供得3分，不提供不得分</w:t>
            </w:r>
            <w:r>
              <w:rPr>
                <w:rFonts w:hint="eastAsia" w:ascii="宋体" w:hAnsi="宋体" w:cs="宋体"/>
                <w:sz w:val="24"/>
                <w:lang w:val="zh-CN"/>
              </w:rPr>
              <w:t>③</w:t>
            </w:r>
            <w:r>
              <w:rPr>
                <w:rFonts w:hint="eastAsia" w:ascii="宋体" w:hAnsi="宋体" w:cs="宋体"/>
                <w:sz w:val="24"/>
              </w:rPr>
              <w:t>具有相关交通设施项目经验（需提供项目合同（项目合同如不能体现实施团队人员信息需同时提供业主证明材料），提供得3分，不提供不得分，本项最高得9分（9分）</w:t>
            </w:r>
          </w:p>
          <w:p>
            <w:pPr>
              <w:spacing w:line="360" w:lineRule="auto"/>
              <w:jc w:val="left"/>
              <w:rPr>
                <w:rFonts w:ascii="宋体" w:hAnsi="宋体" w:cs="宋体"/>
                <w:sz w:val="24"/>
              </w:rPr>
            </w:pPr>
            <w:r>
              <w:rPr>
                <w:rFonts w:hint="eastAsia" w:ascii="宋体" w:hAnsi="宋体" w:cs="宋体"/>
                <w:sz w:val="24"/>
                <w:lang w:val="zh-CN"/>
              </w:rPr>
              <w:t>●</w:t>
            </w:r>
            <w:r>
              <w:rPr>
                <w:rFonts w:hint="eastAsia" w:ascii="宋体" w:hAnsi="宋体" w:cs="宋体"/>
                <w:sz w:val="24"/>
              </w:rPr>
              <w:t>拟担任本项目实施团队人员（维护、抢修技术人员）在满足采购需求的情况下，每增加1人得1分，不提供不得分，本项最高得4分（4分）</w:t>
            </w:r>
          </w:p>
          <w:p>
            <w:pPr>
              <w:adjustRightInd w:val="0"/>
              <w:snapToGrid w:val="0"/>
              <w:spacing w:line="360" w:lineRule="auto"/>
              <w:jc w:val="left"/>
              <w:rPr>
                <w:rFonts w:ascii="宋体" w:hAnsi="宋体" w:cs="宋体"/>
                <w:sz w:val="24"/>
              </w:rPr>
            </w:pPr>
            <w:r>
              <w:rPr>
                <w:rFonts w:hint="eastAsia" w:ascii="宋体" w:hAnsi="宋体" w:cs="宋体"/>
                <w:sz w:val="24"/>
              </w:rPr>
              <w:t>注：</w:t>
            </w:r>
            <w:r>
              <w:rPr>
                <w:rFonts w:hint="eastAsia" w:ascii="宋体" w:hAnsi="宋体" w:cs="宋体"/>
                <w:sz w:val="24"/>
                <w:lang w:val="zh-CN"/>
              </w:rPr>
              <w:t>每个标项</w:t>
            </w:r>
            <w:r>
              <w:rPr>
                <w:rFonts w:hint="eastAsia" w:ascii="宋体" w:hAnsi="宋体" w:cs="宋体"/>
                <w:sz w:val="24"/>
              </w:rPr>
              <w:t>人员</w:t>
            </w:r>
            <w:r>
              <w:rPr>
                <w:rFonts w:hint="eastAsia" w:ascii="宋体" w:hAnsi="宋体" w:cs="宋体"/>
                <w:sz w:val="24"/>
                <w:lang w:val="zh-CN"/>
              </w:rPr>
              <w:t>不得重复，</w:t>
            </w:r>
            <w:r>
              <w:rPr>
                <w:rFonts w:hint="eastAsia" w:ascii="宋体" w:hAnsi="宋体" w:cs="宋体"/>
                <w:sz w:val="24"/>
              </w:rPr>
              <w:t>所有人员均需提供社保缴纳证明复印件及提供本项目服务期间为本项目提供服务的承诺函，否则不得分。</w:t>
            </w:r>
          </w:p>
        </w:tc>
        <w:tc>
          <w:tcPr>
            <w:tcW w:w="470" w:type="pct"/>
            <w:noWrap/>
            <w:vAlign w:val="center"/>
          </w:tcPr>
          <w:p>
            <w:pPr>
              <w:adjustRightInd w:val="0"/>
              <w:snapToGrid w:val="0"/>
              <w:spacing w:line="360" w:lineRule="auto"/>
              <w:jc w:val="center"/>
              <w:rPr>
                <w:rFonts w:ascii="宋体" w:hAnsi="宋体" w:cs="宋体"/>
                <w:sz w:val="24"/>
              </w:rPr>
            </w:pPr>
            <w:r>
              <w:rPr>
                <w:rFonts w:hint="eastAsia" w:ascii="宋体" w:hAnsi="宋体" w:cs="宋体"/>
                <w:sz w:val="24"/>
              </w:rPr>
              <w:t>22分</w:t>
            </w:r>
          </w:p>
        </w:tc>
        <w:tc>
          <w:tcPr>
            <w:tcW w:w="854" w:type="pct"/>
            <w:noWrap/>
            <w:vAlign w:val="center"/>
          </w:tcPr>
          <w:p>
            <w:pPr>
              <w:adjustRightInd w:val="0"/>
              <w:snapToGrid w:val="0"/>
              <w:spacing w:line="360" w:lineRule="auto"/>
              <w:jc w:val="center"/>
              <w:rPr>
                <w:rFonts w:ascii="宋体" w:hAnsi="宋体" w:cs="宋体"/>
                <w:sz w:val="24"/>
              </w:rPr>
            </w:pPr>
            <w:r>
              <w:rPr>
                <w:rFonts w:hint="eastAsia" w:ascii="宋体" w:hAnsi="宋体" w:cs="宋体"/>
                <w:sz w:val="24"/>
              </w:rPr>
              <w:t>（九）</w:t>
            </w:r>
            <w:r>
              <w:rPr>
                <w:rFonts w:hint="eastAsia" w:ascii="宋体" w:hAnsi="宋体" w:cs="宋体"/>
                <w:sz w:val="24"/>
                <w:lang w:val="zh-CN"/>
              </w:rPr>
              <w:t>人员情况（</w:t>
            </w:r>
            <w:r>
              <w:rPr>
                <w:rFonts w:hint="eastAsia" w:ascii="宋体" w:hAnsi="宋体" w:cs="宋体"/>
                <w:sz w:val="24"/>
              </w:rPr>
              <w:t>22</w:t>
            </w:r>
            <w:r>
              <w:rPr>
                <w:rFonts w:hint="eastAsia" w:ascii="宋体" w:hAnsi="宋体" w:cs="宋体"/>
                <w:sz w:val="24"/>
                <w:lang w:val="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0" w:hRule="atLeast"/>
        </w:trPr>
        <w:tc>
          <w:tcPr>
            <w:tcW w:w="504" w:type="pct"/>
            <w:noWrap/>
            <w:vAlign w:val="center"/>
          </w:tcPr>
          <w:p>
            <w:pPr>
              <w:spacing w:line="360" w:lineRule="auto"/>
              <w:jc w:val="center"/>
              <w:rPr>
                <w:rFonts w:ascii="宋体" w:hAnsi="宋体" w:cs="宋体"/>
                <w:sz w:val="24"/>
              </w:rPr>
            </w:pPr>
            <w:r>
              <w:rPr>
                <w:rFonts w:hint="eastAsia" w:ascii="宋体" w:hAnsi="宋体" w:cs="宋体"/>
                <w:sz w:val="24"/>
              </w:rPr>
              <w:t>10</w:t>
            </w:r>
          </w:p>
        </w:tc>
        <w:tc>
          <w:tcPr>
            <w:tcW w:w="3170" w:type="pct"/>
            <w:noWrap/>
            <w:vAlign w:val="center"/>
          </w:tcPr>
          <w:p>
            <w:pPr>
              <w:snapToGrid w:val="0"/>
              <w:spacing w:before="120" w:line="360" w:lineRule="auto"/>
              <w:jc w:val="left"/>
              <w:rPr>
                <w:rFonts w:ascii="宋体" w:hAnsi="宋体" w:cs="宋体"/>
                <w:sz w:val="24"/>
              </w:rPr>
            </w:pPr>
            <w:r>
              <w:rPr>
                <w:rFonts w:hint="eastAsia" w:ascii="宋体" w:hAnsi="宋体" w:cs="宋体"/>
                <w:sz w:val="24"/>
              </w:rPr>
              <w:t>●投标人保密承诺：对投标人及工作人员开展常态化安全保密教育，组织签订安全保密承诺书，明确具体安全管理内容、安全保密义务和责任的安排。确保网络安全，不发生数据泄露。严格按照采购人规定使用、存储、处理文档资料和数据。合同终止时，应当交还全部公安资料和数据。</w:t>
            </w:r>
            <w:r>
              <w:rPr>
                <w:rFonts w:hint="eastAsia" w:ascii="宋体" w:hAnsi="宋体" w:cs="宋体"/>
                <w:bCs/>
                <w:sz w:val="24"/>
              </w:rPr>
              <w:t>满足</w:t>
            </w:r>
            <w:r>
              <w:rPr>
                <w:rFonts w:hint="eastAsia" w:ascii="宋体" w:hAnsi="宋体" w:cs="宋体"/>
                <w:sz w:val="24"/>
              </w:rPr>
              <w:t>采购需求的</w:t>
            </w:r>
            <w:r>
              <w:rPr>
                <w:rFonts w:hint="eastAsia" w:ascii="宋体" w:hAnsi="宋体" w:cs="宋体"/>
                <w:bCs/>
                <w:sz w:val="24"/>
              </w:rPr>
              <w:t>得1分，不满足不得分。本项最高得1分（1分）。</w:t>
            </w:r>
          </w:p>
          <w:p>
            <w:pPr>
              <w:snapToGrid w:val="0"/>
              <w:spacing w:before="120" w:line="360" w:lineRule="auto"/>
              <w:jc w:val="left"/>
              <w:rPr>
                <w:rFonts w:ascii="宋体" w:hAnsi="宋体" w:cs="宋体"/>
                <w:sz w:val="24"/>
              </w:rPr>
            </w:pPr>
            <w:r>
              <w:rPr>
                <w:rFonts w:hint="eastAsia" w:ascii="宋体" w:hAnsi="宋体" w:cs="宋体"/>
                <w:sz w:val="24"/>
              </w:rPr>
              <w:t>●投标人承诺工作人员违反安全管理要求，构成违法犯罪的，接受采购人及时报送本级政府采购和市场监督管理部门，提请列入政府采购严重违法失信行为记录名单、市场监督管理严重失信名单，并追究相关责任。</w:t>
            </w:r>
            <w:r>
              <w:rPr>
                <w:rFonts w:hint="eastAsia" w:ascii="宋体" w:hAnsi="宋体" w:cs="宋体"/>
                <w:bCs/>
                <w:sz w:val="24"/>
              </w:rPr>
              <w:t>满足</w:t>
            </w:r>
            <w:r>
              <w:rPr>
                <w:rFonts w:hint="eastAsia" w:ascii="宋体" w:hAnsi="宋体" w:cs="宋体"/>
                <w:sz w:val="24"/>
              </w:rPr>
              <w:t>采购需求的</w:t>
            </w:r>
            <w:r>
              <w:rPr>
                <w:rFonts w:hint="eastAsia" w:ascii="宋体" w:hAnsi="宋体" w:cs="宋体"/>
                <w:bCs/>
                <w:sz w:val="24"/>
              </w:rPr>
              <w:t>得1分，不满足不得分。本项最高得1分（1分）。</w:t>
            </w:r>
          </w:p>
        </w:tc>
        <w:tc>
          <w:tcPr>
            <w:tcW w:w="470" w:type="pct"/>
            <w:noWrap/>
            <w:vAlign w:val="center"/>
          </w:tcPr>
          <w:p>
            <w:pPr>
              <w:snapToGrid w:val="0"/>
              <w:spacing w:before="120" w:line="360" w:lineRule="auto"/>
              <w:jc w:val="center"/>
              <w:rPr>
                <w:rFonts w:ascii="宋体" w:hAnsi="宋体" w:cs="宋体"/>
                <w:sz w:val="24"/>
              </w:rPr>
            </w:pPr>
            <w:r>
              <w:rPr>
                <w:rFonts w:hint="eastAsia" w:ascii="宋体" w:hAnsi="宋体" w:cs="宋体"/>
                <w:sz w:val="24"/>
              </w:rPr>
              <w:t>2</w:t>
            </w:r>
          </w:p>
        </w:tc>
        <w:tc>
          <w:tcPr>
            <w:tcW w:w="854" w:type="pct"/>
            <w:noWrap/>
            <w:vAlign w:val="center"/>
          </w:tcPr>
          <w:p>
            <w:pPr>
              <w:snapToGrid w:val="0"/>
              <w:spacing w:before="120" w:line="360" w:lineRule="auto"/>
              <w:jc w:val="center"/>
              <w:rPr>
                <w:rFonts w:ascii="宋体" w:hAnsi="宋体" w:cs="宋体"/>
                <w:sz w:val="24"/>
              </w:rPr>
            </w:pPr>
            <w:r>
              <w:rPr>
                <w:rFonts w:hint="eastAsia" w:ascii="宋体" w:hAnsi="宋体" w:cs="宋体"/>
                <w:sz w:val="24"/>
              </w:rPr>
              <w:t>（十）、保密承诺（2分）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4" w:type="pct"/>
            <w:noWrap/>
            <w:vAlign w:val="center"/>
          </w:tcPr>
          <w:p>
            <w:pPr>
              <w:spacing w:line="360" w:lineRule="auto"/>
              <w:jc w:val="center"/>
              <w:rPr>
                <w:rFonts w:ascii="宋体" w:hAnsi="宋体" w:cs="宋体"/>
                <w:sz w:val="24"/>
              </w:rPr>
            </w:pPr>
            <w:r>
              <w:rPr>
                <w:rFonts w:hint="eastAsia" w:ascii="宋体" w:hAnsi="宋体" w:cs="宋体"/>
                <w:sz w:val="24"/>
              </w:rPr>
              <w:t>11</w:t>
            </w:r>
          </w:p>
        </w:tc>
        <w:tc>
          <w:tcPr>
            <w:tcW w:w="3170" w:type="pct"/>
            <w:noWrap/>
            <w:vAlign w:val="center"/>
          </w:tcPr>
          <w:p>
            <w:pPr>
              <w:spacing w:line="360" w:lineRule="auto"/>
              <w:jc w:val="left"/>
              <w:rPr>
                <w:rFonts w:ascii="宋体" w:hAnsi="宋体" w:cs="宋体"/>
                <w:sz w:val="24"/>
              </w:rPr>
            </w:pPr>
            <w:r>
              <w:rPr>
                <w:rFonts w:hint="eastAsia" w:ascii="宋体" w:hAnsi="宋体" w:cs="宋体"/>
                <w:sz w:val="24"/>
                <w:lang w:val="zh-CN"/>
              </w:rPr>
              <w:t>投标人类似项目建设的经验（</w:t>
            </w:r>
            <w:r>
              <w:rPr>
                <w:rFonts w:hint="eastAsia" w:ascii="宋体" w:hAnsi="宋体" w:cs="宋体"/>
                <w:sz w:val="24"/>
              </w:rPr>
              <w:t>1</w:t>
            </w:r>
            <w:r>
              <w:rPr>
                <w:rFonts w:hint="eastAsia" w:ascii="宋体" w:hAnsi="宋体" w:cs="宋体"/>
                <w:sz w:val="24"/>
                <w:lang w:val="zh-CN"/>
              </w:rPr>
              <w:t>分）：</w:t>
            </w:r>
            <w:r>
              <w:rPr>
                <w:rFonts w:hint="eastAsia" w:ascii="宋体" w:hAnsi="宋体" w:cs="宋体"/>
                <w:sz w:val="24"/>
              </w:rPr>
              <w:t>投标截止时间前三年内</w:t>
            </w:r>
            <w:r>
              <w:rPr>
                <w:rFonts w:hint="eastAsia" w:ascii="宋体" w:hAnsi="宋体" w:cs="宋体"/>
                <w:sz w:val="24"/>
                <w:lang w:val="zh-CN"/>
              </w:rPr>
              <w:t>（以合同签订时间为准），具有</w:t>
            </w:r>
            <w:r>
              <w:rPr>
                <w:rFonts w:hint="eastAsia" w:ascii="宋体" w:hAnsi="宋体" w:cs="宋体"/>
                <w:sz w:val="24"/>
              </w:rPr>
              <w:t>交通设施</w:t>
            </w:r>
            <w:r>
              <w:rPr>
                <w:rFonts w:hint="eastAsia" w:ascii="宋体" w:hAnsi="宋体" w:cs="宋体"/>
                <w:sz w:val="24"/>
                <w:lang w:val="zh-CN"/>
              </w:rPr>
              <w:t>项目案例，每个合同得0.5分；最高得</w:t>
            </w:r>
            <w:r>
              <w:rPr>
                <w:rFonts w:hint="eastAsia" w:ascii="宋体" w:hAnsi="宋体" w:cs="宋体"/>
                <w:sz w:val="24"/>
              </w:rPr>
              <w:t>1</w:t>
            </w:r>
            <w:r>
              <w:rPr>
                <w:rFonts w:hint="eastAsia" w:ascii="宋体" w:hAnsi="宋体" w:cs="宋体"/>
                <w:sz w:val="24"/>
                <w:lang w:val="zh-CN"/>
              </w:rPr>
              <w:t>分。（采购人在项目评审直至合同签订、履约期间，有权要求投标人出具投标文件中的主要业绩证明原件：如合同及用户验收报告等，予以确认其的真实性和有效性，如出现与事实不符等情况，将根据有关规定以“提供虚假材料谋取中标”予以处罚）。</w:t>
            </w:r>
          </w:p>
        </w:tc>
        <w:tc>
          <w:tcPr>
            <w:tcW w:w="470" w:type="pct"/>
            <w:noWrap/>
            <w:vAlign w:val="center"/>
          </w:tcPr>
          <w:p>
            <w:pPr>
              <w:spacing w:line="360" w:lineRule="auto"/>
              <w:rPr>
                <w:rFonts w:ascii="宋体" w:hAnsi="宋体" w:cs="宋体"/>
                <w:sz w:val="24"/>
              </w:rPr>
            </w:pPr>
            <w:r>
              <w:rPr>
                <w:rFonts w:hint="eastAsia" w:ascii="宋体" w:hAnsi="宋体" w:cs="宋体"/>
                <w:sz w:val="24"/>
              </w:rPr>
              <w:t>1分</w:t>
            </w:r>
          </w:p>
        </w:tc>
        <w:tc>
          <w:tcPr>
            <w:tcW w:w="854" w:type="pct"/>
            <w:noWrap/>
            <w:vAlign w:val="center"/>
          </w:tcPr>
          <w:p>
            <w:pPr>
              <w:spacing w:line="360" w:lineRule="auto"/>
              <w:jc w:val="center"/>
              <w:rPr>
                <w:rFonts w:ascii="宋体" w:hAnsi="宋体" w:cs="宋体"/>
                <w:sz w:val="24"/>
              </w:rPr>
            </w:pPr>
            <w:bookmarkStart w:id="16" w:name="_Toc28611"/>
            <w:r>
              <w:rPr>
                <w:rFonts w:hint="eastAsia" w:ascii="宋体" w:hAnsi="宋体" w:cs="宋体"/>
                <w:sz w:val="24"/>
              </w:rPr>
              <w:t>（十一）</w:t>
            </w:r>
            <w:r>
              <w:rPr>
                <w:rFonts w:hint="eastAsia" w:ascii="宋体" w:hAnsi="宋体" w:cs="宋体"/>
                <w:sz w:val="24"/>
                <w:lang w:val="zh-CN"/>
              </w:rPr>
              <w:t>投标人的业绩（</w:t>
            </w:r>
            <w:r>
              <w:rPr>
                <w:rFonts w:hint="eastAsia" w:ascii="宋体" w:hAnsi="宋体" w:cs="宋体"/>
                <w:sz w:val="24"/>
              </w:rPr>
              <w:t>1</w:t>
            </w:r>
            <w:r>
              <w:rPr>
                <w:rFonts w:hint="eastAsia" w:ascii="宋体" w:hAnsi="宋体" w:cs="宋体"/>
                <w:sz w:val="24"/>
                <w:lang w:val="zh-CN"/>
              </w:rPr>
              <w:t>分）</w:t>
            </w:r>
            <w:bookmarkEnd w:id="1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4" w:type="pct"/>
            <w:noWrap/>
            <w:vAlign w:val="center"/>
          </w:tcPr>
          <w:p>
            <w:pPr>
              <w:spacing w:line="360" w:lineRule="auto"/>
              <w:jc w:val="center"/>
              <w:rPr>
                <w:rFonts w:ascii="宋体" w:hAnsi="宋体" w:cs="宋体"/>
                <w:sz w:val="24"/>
              </w:rPr>
            </w:pPr>
            <w:r>
              <w:rPr>
                <w:rFonts w:hint="eastAsia" w:ascii="宋体" w:hAnsi="宋体" w:cs="宋体"/>
                <w:sz w:val="24"/>
              </w:rPr>
              <w:t>12</w:t>
            </w:r>
          </w:p>
        </w:tc>
        <w:tc>
          <w:tcPr>
            <w:tcW w:w="3170" w:type="pct"/>
            <w:noWrap/>
            <w:vAlign w:val="center"/>
          </w:tcPr>
          <w:p>
            <w:pPr>
              <w:spacing w:line="360" w:lineRule="auto"/>
              <w:ind w:firstLine="480" w:firstLineChars="200"/>
              <w:jc w:val="left"/>
              <w:rPr>
                <w:rFonts w:ascii="宋体" w:hAnsi="宋体" w:cs="宋体"/>
                <w:sz w:val="24"/>
              </w:rPr>
            </w:pPr>
            <w:r>
              <w:rPr>
                <w:rFonts w:hint="eastAsia" w:ascii="宋体" w:hAnsi="宋体" w:cs="宋体"/>
                <w:sz w:val="24"/>
              </w:rPr>
              <w:t>满足招标文件要求且有效投标报价的最低价作为评标基准价，其余投标人投标报价与该基准价对比，计算出报价评分值（小数点后按四舍五入保留2位）：</w:t>
            </w:r>
          </w:p>
          <w:p>
            <w:pPr>
              <w:spacing w:line="360" w:lineRule="auto"/>
              <w:ind w:firstLine="240" w:firstLineChars="100"/>
              <w:jc w:val="left"/>
              <w:rPr>
                <w:rFonts w:ascii="宋体" w:hAnsi="宋体" w:cs="宋体"/>
                <w:sz w:val="24"/>
              </w:rPr>
            </w:pPr>
            <w:r>
              <w:rPr>
                <w:rFonts w:hint="eastAsia" w:ascii="宋体" w:hAnsi="宋体" w:cs="宋体"/>
                <w:sz w:val="24"/>
              </w:rPr>
              <w:t>（1）有效投标人的投标报价等于评标基准价时其报价分为满分；</w:t>
            </w:r>
          </w:p>
          <w:p>
            <w:pPr>
              <w:spacing w:line="360" w:lineRule="auto"/>
              <w:ind w:firstLine="240" w:firstLineChars="100"/>
              <w:jc w:val="left"/>
              <w:rPr>
                <w:rFonts w:ascii="宋体" w:hAnsi="宋体" w:cs="宋体"/>
                <w:sz w:val="24"/>
              </w:rPr>
            </w:pPr>
            <w:r>
              <w:rPr>
                <w:rFonts w:hint="eastAsia" w:ascii="宋体" w:hAnsi="宋体" w:cs="宋体"/>
                <w:sz w:val="24"/>
              </w:rPr>
              <w:t>（2）其他投标人的价格分按以下公式计算：</w:t>
            </w:r>
          </w:p>
          <w:p>
            <w:pPr>
              <w:spacing w:line="360" w:lineRule="auto"/>
              <w:jc w:val="left"/>
              <w:rPr>
                <w:rFonts w:ascii="宋体" w:hAnsi="宋体" w:cs="宋体"/>
                <w:sz w:val="24"/>
                <w:lang w:val="zh-CN"/>
              </w:rPr>
            </w:pPr>
            <w:r>
              <w:rPr>
                <w:rFonts w:hint="eastAsia" w:ascii="宋体" w:hAnsi="宋体" w:cs="宋体"/>
                <w:sz w:val="24"/>
              </w:rPr>
              <w:t>最终投标报价得分=（评标基准价/最终投标报价）×10%×100。</w:t>
            </w:r>
          </w:p>
        </w:tc>
        <w:tc>
          <w:tcPr>
            <w:tcW w:w="470" w:type="pct"/>
            <w:noWrap/>
            <w:vAlign w:val="center"/>
          </w:tcPr>
          <w:p>
            <w:pPr>
              <w:spacing w:line="360" w:lineRule="auto"/>
              <w:jc w:val="center"/>
              <w:rPr>
                <w:rFonts w:ascii="宋体" w:hAnsi="宋体" w:cs="宋体"/>
                <w:sz w:val="24"/>
              </w:rPr>
            </w:pPr>
            <w:r>
              <w:rPr>
                <w:rFonts w:hint="eastAsia" w:ascii="宋体" w:hAnsi="宋体" w:cs="宋体"/>
                <w:sz w:val="24"/>
              </w:rPr>
              <w:t>10分</w:t>
            </w:r>
          </w:p>
        </w:tc>
        <w:tc>
          <w:tcPr>
            <w:tcW w:w="854" w:type="pct"/>
            <w:noWrap/>
            <w:vAlign w:val="center"/>
          </w:tcPr>
          <w:p>
            <w:pPr>
              <w:spacing w:line="360" w:lineRule="auto"/>
              <w:jc w:val="center"/>
              <w:rPr>
                <w:rFonts w:ascii="宋体" w:hAnsi="宋体" w:cs="宋体"/>
                <w:sz w:val="24"/>
              </w:rPr>
            </w:pPr>
            <w:r>
              <w:rPr>
                <w:rFonts w:hint="eastAsia" w:ascii="宋体" w:hAnsi="宋体" w:cs="宋体"/>
                <w:sz w:val="24"/>
              </w:rPr>
              <w:t>（十二）报价评分（10分）</w:t>
            </w:r>
          </w:p>
        </w:tc>
      </w:tr>
    </w:tbl>
    <w:p>
      <w:pPr>
        <w:spacing w:line="360" w:lineRule="auto"/>
        <w:ind w:firstLine="240" w:firstLineChars="100"/>
        <w:rPr>
          <w:rFonts w:ascii="宋体" w:hAnsi="宋体" w:cs="宋体"/>
          <w:sz w:val="24"/>
        </w:rPr>
      </w:pPr>
      <w:r>
        <w:rPr>
          <w:rFonts w:hint="eastAsia" w:ascii="宋体" w:hAnsi="宋体" w:cs="宋体"/>
          <w:sz w:val="24"/>
        </w:rPr>
        <w:t>标项二：</w:t>
      </w:r>
    </w:p>
    <w:tbl>
      <w:tblPr>
        <w:tblStyle w:val="20"/>
        <w:tblW w:w="492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5308"/>
        <w:gridCol w:w="787"/>
        <w:gridCol w:w="1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504" w:type="pct"/>
            <w:noWrap/>
            <w:vAlign w:val="center"/>
          </w:tcPr>
          <w:p>
            <w:pPr>
              <w:spacing w:line="360" w:lineRule="auto"/>
              <w:jc w:val="center"/>
              <w:outlineLvl w:val="0"/>
              <w:rPr>
                <w:rFonts w:ascii="宋体" w:hAnsi="宋体" w:cs="宋体"/>
                <w:bCs/>
                <w:sz w:val="24"/>
              </w:rPr>
            </w:pPr>
            <w:r>
              <w:rPr>
                <w:rFonts w:hint="eastAsia" w:ascii="宋体" w:hAnsi="宋体" w:cs="宋体"/>
                <w:bCs/>
                <w:sz w:val="24"/>
              </w:rPr>
              <w:t>序号</w:t>
            </w:r>
          </w:p>
        </w:tc>
        <w:tc>
          <w:tcPr>
            <w:tcW w:w="3170" w:type="pct"/>
            <w:noWrap/>
            <w:vAlign w:val="center"/>
          </w:tcPr>
          <w:p>
            <w:pPr>
              <w:spacing w:line="360" w:lineRule="auto"/>
              <w:ind w:firstLine="1560" w:firstLineChars="650"/>
              <w:outlineLvl w:val="0"/>
              <w:rPr>
                <w:rFonts w:ascii="宋体" w:hAnsi="宋体" w:cs="宋体"/>
                <w:bCs/>
                <w:sz w:val="24"/>
              </w:rPr>
            </w:pPr>
            <w:r>
              <w:rPr>
                <w:rFonts w:hint="eastAsia" w:ascii="宋体" w:hAnsi="宋体" w:cs="宋体"/>
                <w:bCs/>
                <w:sz w:val="24"/>
              </w:rPr>
              <w:t>评标标准</w:t>
            </w:r>
          </w:p>
        </w:tc>
        <w:tc>
          <w:tcPr>
            <w:tcW w:w="470" w:type="pct"/>
            <w:noWrap/>
            <w:vAlign w:val="center"/>
          </w:tcPr>
          <w:p>
            <w:pPr>
              <w:spacing w:line="360" w:lineRule="auto"/>
              <w:jc w:val="center"/>
              <w:outlineLvl w:val="0"/>
              <w:rPr>
                <w:rFonts w:ascii="宋体" w:hAnsi="宋体" w:cs="宋体"/>
                <w:bCs/>
                <w:sz w:val="24"/>
              </w:rPr>
            </w:pPr>
            <w:r>
              <w:rPr>
                <w:rFonts w:hint="eastAsia" w:ascii="宋体" w:hAnsi="宋体" w:cs="宋体"/>
                <w:bCs/>
                <w:sz w:val="24"/>
              </w:rPr>
              <w:t>权重</w:t>
            </w:r>
          </w:p>
        </w:tc>
        <w:tc>
          <w:tcPr>
            <w:tcW w:w="854" w:type="pct"/>
            <w:noWrap/>
            <w:vAlign w:val="center"/>
          </w:tcPr>
          <w:p>
            <w:pPr>
              <w:spacing w:line="360" w:lineRule="auto"/>
              <w:jc w:val="center"/>
              <w:outlineLvl w:val="0"/>
              <w:rPr>
                <w:rFonts w:ascii="宋体" w:hAnsi="宋体" w:cs="宋体"/>
                <w:bCs/>
                <w:sz w:val="24"/>
              </w:rPr>
            </w:pPr>
            <w:r>
              <w:rPr>
                <w:rFonts w:hint="eastAsia" w:ascii="宋体" w:hAnsi="宋体" w:cs="宋体"/>
                <w:bCs/>
                <w:sz w:val="24"/>
              </w:rPr>
              <w:t>投标文件中评标标准相应的商务技术资料目录</w:t>
            </w:r>
            <w:r>
              <w:rPr>
                <w:rFonts w:hint="eastAsia" w:ascii="宋体" w:hAnsi="宋体" w:cs="宋体"/>
                <w:sz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4" w:type="pct"/>
            <w:noWrap/>
            <w:vAlign w:val="center"/>
          </w:tcPr>
          <w:p>
            <w:pPr>
              <w:spacing w:line="360" w:lineRule="auto"/>
              <w:jc w:val="center"/>
              <w:outlineLvl w:val="0"/>
              <w:rPr>
                <w:rFonts w:ascii="宋体" w:hAnsi="宋体" w:cs="宋体"/>
                <w:sz w:val="24"/>
              </w:rPr>
            </w:pPr>
            <w:r>
              <w:rPr>
                <w:rFonts w:hint="eastAsia" w:ascii="宋体" w:hAnsi="宋体" w:cs="宋体"/>
                <w:sz w:val="24"/>
              </w:rPr>
              <w:t>1</w:t>
            </w:r>
          </w:p>
        </w:tc>
        <w:tc>
          <w:tcPr>
            <w:tcW w:w="3170" w:type="pct"/>
            <w:noWrap/>
            <w:vAlign w:val="center"/>
          </w:tcPr>
          <w:p>
            <w:pPr>
              <w:spacing w:line="360" w:lineRule="auto"/>
              <w:jc w:val="left"/>
              <w:outlineLvl w:val="0"/>
              <w:rPr>
                <w:rFonts w:ascii="宋体" w:hAnsi="宋体" w:cs="宋体"/>
                <w:sz w:val="24"/>
                <w:lang w:val="zh-CN"/>
              </w:rPr>
            </w:pPr>
            <w:r>
              <w:rPr>
                <w:rFonts w:hint="eastAsia" w:ascii="宋体" w:hAnsi="宋体" w:cs="宋体"/>
                <w:sz w:val="24"/>
                <w:lang w:val="zh-CN"/>
              </w:rPr>
              <w:t>投标产品的性能与需求的吻合程度：投标产品的性能与需求的吻合程度。</w:t>
            </w:r>
          </w:p>
          <w:p>
            <w:pPr>
              <w:pStyle w:val="27"/>
              <w:ind w:firstLine="0" w:firstLineChars="0"/>
              <w:jc w:val="left"/>
              <w:rPr>
                <w:rFonts w:ascii="宋体" w:hAnsi="宋体" w:eastAsia="宋体" w:cs="宋体"/>
                <w:snapToGrid w:val="0"/>
                <w:lang w:val="zh-CN"/>
              </w:rPr>
            </w:pPr>
            <w:r>
              <w:rPr>
                <w:rFonts w:hint="eastAsia" w:ascii="宋体" w:hAnsi="宋体" w:eastAsia="宋体" w:cs="宋体"/>
              </w:rPr>
              <w:t>●</w:t>
            </w:r>
            <w:r>
              <w:rPr>
                <w:rFonts w:hint="eastAsia" w:ascii="宋体" w:hAnsi="宋体" w:eastAsia="宋体" w:cs="宋体"/>
                <w:lang w:val="zh-CN"/>
              </w:rPr>
              <w:t>提供的“标线类”技术指标完全满足采购需求明确的全部技术条款要求的得</w:t>
            </w:r>
            <w:r>
              <w:rPr>
                <w:rFonts w:hint="eastAsia" w:ascii="宋体" w:hAnsi="宋体" w:eastAsia="宋体" w:cs="宋体"/>
              </w:rPr>
              <w:t>5</w:t>
            </w:r>
            <w:r>
              <w:rPr>
                <w:rFonts w:hint="eastAsia" w:ascii="宋体" w:hAnsi="宋体" w:eastAsia="宋体" w:cs="宋体"/>
                <w:lang w:val="zh-CN"/>
              </w:rPr>
              <w:t>分</w:t>
            </w:r>
            <w:r>
              <w:rPr>
                <w:rFonts w:hint="eastAsia" w:ascii="宋体" w:hAnsi="宋体" w:eastAsia="宋体" w:cs="宋体"/>
                <w:kern w:val="0"/>
              </w:rPr>
              <w:t>、</w:t>
            </w:r>
            <w:r>
              <w:rPr>
                <w:rFonts w:hint="eastAsia" w:ascii="宋体" w:hAnsi="宋体" w:eastAsia="宋体" w:cs="宋体"/>
                <w:snapToGrid w:val="0"/>
                <w:lang w:val="zh-CN"/>
              </w:rPr>
              <w:t>低于技术要求（负偏离）的每项扣</w:t>
            </w:r>
            <w:r>
              <w:rPr>
                <w:rFonts w:hint="eastAsia" w:ascii="宋体" w:hAnsi="宋体" w:eastAsia="宋体" w:cs="宋体"/>
                <w:snapToGrid w:val="0"/>
              </w:rPr>
              <w:t>1</w:t>
            </w:r>
            <w:r>
              <w:rPr>
                <w:rFonts w:hint="eastAsia" w:ascii="宋体" w:hAnsi="宋体" w:eastAsia="宋体" w:cs="宋体"/>
                <w:snapToGrid w:val="0"/>
                <w:lang w:val="zh-CN"/>
              </w:rPr>
              <w:t>分；扣完为止；</w:t>
            </w:r>
          </w:p>
          <w:p>
            <w:pPr>
              <w:pStyle w:val="27"/>
              <w:ind w:firstLine="0" w:firstLineChars="0"/>
              <w:jc w:val="left"/>
              <w:rPr>
                <w:rFonts w:ascii="宋体" w:hAnsi="宋体" w:eastAsia="宋体" w:cs="宋体"/>
                <w:snapToGrid w:val="0"/>
                <w:lang w:val="zh-CN"/>
              </w:rPr>
            </w:pPr>
            <w:r>
              <w:rPr>
                <w:rFonts w:hint="eastAsia" w:ascii="宋体" w:hAnsi="宋体" w:eastAsia="宋体" w:cs="宋体"/>
              </w:rPr>
              <w:t>●</w:t>
            </w:r>
            <w:r>
              <w:rPr>
                <w:rFonts w:hint="eastAsia" w:ascii="宋体" w:hAnsi="宋体" w:eastAsia="宋体" w:cs="宋体"/>
                <w:lang w:val="zh-CN"/>
              </w:rPr>
              <w:t>提供的“</w:t>
            </w:r>
            <w:r>
              <w:rPr>
                <w:rFonts w:hint="eastAsia" w:ascii="宋体" w:hAnsi="宋体" w:eastAsia="宋体" w:cs="宋体"/>
              </w:rPr>
              <w:t>标志类</w:t>
            </w:r>
            <w:r>
              <w:rPr>
                <w:rFonts w:hint="eastAsia" w:ascii="宋体" w:hAnsi="宋体" w:eastAsia="宋体" w:cs="宋体"/>
                <w:lang w:val="zh-CN"/>
              </w:rPr>
              <w:t>”技术指标完全满足采购需求明确的全部技术条款要求的得</w:t>
            </w:r>
            <w:r>
              <w:rPr>
                <w:rFonts w:hint="eastAsia" w:ascii="宋体" w:hAnsi="宋体" w:eastAsia="宋体" w:cs="宋体"/>
              </w:rPr>
              <w:t>5</w:t>
            </w:r>
            <w:r>
              <w:rPr>
                <w:rFonts w:hint="eastAsia" w:ascii="宋体" w:hAnsi="宋体" w:eastAsia="宋体" w:cs="宋体"/>
                <w:lang w:val="zh-CN"/>
              </w:rPr>
              <w:t>分</w:t>
            </w:r>
            <w:r>
              <w:rPr>
                <w:rFonts w:hint="eastAsia" w:ascii="宋体" w:hAnsi="宋体" w:eastAsia="宋体" w:cs="宋体"/>
                <w:kern w:val="0"/>
              </w:rPr>
              <w:t>、</w:t>
            </w:r>
            <w:r>
              <w:rPr>
                <w:rFonts w:hint="eastAsia" w:ascii="宋体" w:hAnsi="宋体" w:eastAsia="宋体" w:cs="宋体"/>
                <w:snapToGrid w:val="0"/>
                <w:lang w:val="zh-CN"/>
              </w:rPr>
              <w:t>低于技术要求（负偏离）的每项扣</w:t>
            </w:r>
            <w:r>
              <w:rPr>
                <w:rFonts w:hint="eastAsia" w:ascii="宋体" w:hAnsi="宋体" w:eastAsia="宋体" w:cs="宋体"/>
                <w:snapToGrid w:val="0"/>
              </w:rPr>
              <w:t>0.5</w:t>
            </w:r>
            <w:r>
              <w:rPr>
                <w:rFonts w:hint="eastAsia" w:ascii="宋体" w:hAnsi="宋体" w:eastAsia="宋体" w:cs="宋体"/>
                <w:snapToGrid w:val="0"/>
                <w:lang w:val="zh-CN"/>
              </w:rPr>
              <w:t>分；扣完为止；</w:t>
            </w:r>
          </w:p>
          <w:p>
            <w:pPr>
              <w:pStyle w:val="27"/>
              <w:ind w:firstLine="0" w:firstLineChars="0"/>
              <w:jc w:val="left"/>
              <w:rPr>
                <w:rFonts w:ascii="宋体" w:hAnsi="宋体" w:eastAsia="宋体" w:cs="宋体"/>
              </w:rPr>
            </w:pPr>
            <w:r>
              <w:rPr>
                <w:rFonts w:hint="eastAsia" w:ascii="宋体" w:hAnsi="宋体" w:eastAsia="宋体" w:cs="宋体"/>
              </w:rPr>
              <w:t>●</w:t>
            </w:r>
            <w:r>
              <w:rPr>
                <w:rFonts w:hint="eastAsia" w:ascii="宋体" w:hAnsi="宋体" w:eastAsia="宋体" w:cs="宋体"/>
                <w:lang w:val="zh-CN"/>
              </w:rPr>
              <w:t>提供的“</w:t>
            </w:r>
            <w:r>
              <w:rPr>
                <w:rFonts w:hint="eastAsia" w:ascii="宋体" w:hAnsi="宋体" w:eastAsia="宋体" w:cs="宋体"/>
              </w:rPr>
              <w:t>立杆</w:t>
            </w:r>
            <w:r>
              <w:rPr>
                <w:rFonts w:hint="eastAsia" w:ascii="宋体" w:hAnsi="宋体" w:eastAsia="宋体" w:cs="宋体"/>
                <w:lang w:val="zh-CN"/>
              </w:rPr>
              <w:t>”技术指标完全满足采购需求明确的全部技术条款要求的得</w:t>
            </w:r>
            <w:r>
              <w:rPr>
                <w:rFonts w:hint="eastAsia" w:ascii="宋体" w:hAnsi="宋体" w:eastAsia="宋体" w:cs="宋体"/>
              </w:rPr>
              <w:t>3</w:t>
            </w:r>
            <w:r>
              <w:rPr>
                <w:rFonts w:hint="eastAsia" w:ascii="宋体" w:hAnsi="宋体" w:eastAsia="宋体" w:cs="宋体"/>
                <w:lang w:val="zh-CN"/>
              </w:rPr>
              <w:t>分</w:t>
            </w:r>
            <w:r>
              <w:rPr>
                <w:rFonts w:hint="eastAsia" w:ascii="宋体" w:hAnsi="宋体" w:eastAsia="宋体" w:cs="宋体"/>
                <w:kern w:val="0"/>
              </w:rPr>
              <w:t>、</w:t>
            </w:r>
            <w:r>
              <w:rPr>
                <w:rFonts w:hint="eastAsia" w:ascii="宋体" w:hAnsi="宋体" w:eastAsia="宋体" w:cs="宋体"/>
                <w:snapToGrid w:val="0"/>
                <w:lang w:val="zh-CN"/>
              </w:rPr>
              <w:t>低于技术要求（负偏离）的每项扣</w:t>
            </w:r>
            <w:r>
              <w:rPr>
                <w:rFonts w:hint="eastAsia" w:ascii="宋体" w:hAnsi="宋体" w:eastAsia="宋体" w:cs="宋体"/>
                <w:snapToGrid w:val="0"/>
              </w:rPr>
              <w:t>0.5</w:t>
            </w:r>
            <w:r>
              <w:rPr>
                <w:rFonts w:hint="eastAsia" w:ascii="宋体" w:hAnsi="宋体" w:eastAsia="宋体" w:cs="宋体"/>
                <w:snapToGrid w:val="0"/>
                <w:lang w:val="zh-CN"/>
              </w:rPr>
              <w:t>分</w:t>
            </w:r>
            <w:r>
              <w:rPr>
                <w:rFonts w:hint="eastAsia" w:ascii="宋体" w:hAnsi="宋体" w:eastAsia="宋体" w:cs="宋体"/>
              </w:rPr>
              <w:t>；扣完为止；</w:t>
            </w:r>
          </w:p>
          <w:p>
            <w:pPr>
              <w:pStyle w:val="27"/>
              <w:ind w:firstLine="0" w:firstLineChars="0"/>
              <w:jc w:val="left"/>
              <w:rPr>
                <w:rFonts w:ascii="宋体" w:hAnsi="宋体" w:eastAsia="宋体" w:cs="宋体"/>
              </w:rPr>
            </w:pPr>
            <w:r>
              <w:rPr>
                <w:rFonts w:hint="eastAsia" w:ascii="宋体" w:hAnsi="宋体" w:eastAsia="宋体" w:cs="宋体"/>
              </w:rPr>
              <w:t>●</w:t>
            </w:r>
            <w:r>
              <w:rPr>
                <w:rFonts w:hint="eastAsia" w:ascii="宋体" w:hAnsi="宋体" w:eastAsia="宋体" w:cs="宋体"/>
                <w:lang w:val="zh-CN"/>
              </w:rPr>
              <w:t>提供的“</w:t>
            </w:r>
            <w:r>
              <w:rPr>
                <w:rFonts w:hint="eastAsia" w:ascii="宋体" w:hAnsi="宋体" w:eastAsia="宋体" w:cs="宋体"/>
              </w:rPr>
              <w:t>护栏</w:t>
            </w:r>
            <w:r>
              <w:rPr>
                <w:rFonts w:hint="eastAsia" w:ascii="宋体" w:hAnsi="宋体" w:eastAsia="宋体" w:cs="宋体"/>
                <w:lang w:val="zh-CN"/>
              </w:rPr>
              <w:t>”技术指标完全满足采购需求明确的全部技术条款要求的得</w:t>
            </w:r>
            <w:r>
              <w:rPr>
                <w:rFonts w:hint="eastAsia" w:ascii="宋体" w:hAnsi="宋体" w:eastAsia="宋体" w:cs="宋体"/>
              </w:rPr>
              <w:t>3</w:t>
            </w:r>
            <w:r>
              <w:rPr>
                <w:rFonts w:hint="eastAsia" w:ascii="宋体" w:hAnsi="宋体" w:eastAsia="宋体" w:cs="宋体"/>
                <w:lang w:val="zh-CN"/>
              </w:rPr>
              <w:t>分</w:t>
            </w:r>
            <w:r>
              <w:rPr>
                <w:rFonts w:hint="eastAsia" w:ascii="宋体" w:hAnsi="宋体" w:eastAsia="宋体" w:cs="宋体"/>
                <w:kern w:val="0"/>
              </w:rPr>
              <w:t>、</w:t>
            </w:r>
            <w:r>
              <w:rPr>
                <w:rFonts w:hint="eastAsia" w:ascii="宋体" w:hAnsi="宋体" w:eastAsia="宋体" w:cs="宋体"/>
                <w:snapToGrid w:val="0"/>
                <w:lang w:val="zh-CN"/>
              </w:rPr>
              <w:t>低于技术要求（负偏离）的每项扣</w:t>
            </w:r>
            <w:r>
              <w:rPr>
                <w:rFonts w:hint="eastAsia" w:ascii="宋体" w:hAnsi="宋体" w:eastAsia="宋体" w:cs="宋体"/>
                <w:snapToGrid w:val="0"/>
              </w:rPr>
              <w:t>0.5</w:t>
            </w:r>
            <w:r>
              <w:rPr>
                <w:rFonts w:hint="eastAsia" w:ascii="宋体" w:hAnsi="宋体" w:eastAsia="宋体" w:cs="宋体"/>
                <w:snapToGrid w:val="0"/>
                <w:lang w:val="zh-CN"/>
              </w:rPr>
              <w:t>分</w:t>
            </w:r>
            <w:r>
              <w:rPr>
                <w:rFonts w:hint="eastAsia" w:ascii="宋体" w:hAnsi="宋体" w:eastAsia="宋体" w:cs="宋体"/>
              </w:rPr>
              <w:t>；扣完为止。</w:t>
            </w:r>
          </w:p>
          <w:p>
            <w:pPr>
              <w:pStyle w:val="27"/>
              <w:ind w:firstLine="0" w:firstLineChars="0"/>
              <w:jc w:val="left"/>
              <w:rPr>
                <w:rFonts w:ascii="宋体" w:hAnsi="宋体" w:eastAsia="宋体" w:cs="宋体"/>
              </w:rPr>
            </w:pPr>
            <w:r>
              <w:rPr>
                <w:rFonts w:hint="eastAsia" w:ascii="宋体" w:hAnsi="宋体" w:eastAsia="宋体" w:cs="宋体"/>
                <w:lang w:val="zh-CN"/>
              </w:rPr>
              <w:t>●提供的所用主要材料，包括反光膜、涂料等材料提供第三方检测机构出具的CMA检测报告</w:t>
            </w:r>
            <w:r>
              <w:rPr>
                <w:rFonts w:hint="eastAsia" w:ascii="宋体" w:hAnsi="宋体" w:eastAsia="宋体" w:cs="宋体"/>
              </w:rPr>
              <w:t>复印件</w:t>
            </w:r>
            <w:r>
              <w:rPr>
                <w:rFonts w:hint="eastAsia" w:ascii="宋体" w:hAnsi="宋体" w:eastAsia="宋体" w:cs="宋体"/>
                <w:lang w:val="zh-CN"/>
              </w:rPr>
              <w:t>核对，</w:t>
            </w:r>
            <w:r>
              <w:rPr>
                <w:rFonts w:hint="eastAsia" w:ascii="宋体" w:hAnsi="宋体" w:eastAsia="宋体" w:cs="宋体"/>
              </w:rPr>
              <w:t>每提供1份得1分，不提供不得分。最高得4分（4分）</w:t>
            </w:r>
          </w:p>
        </w:tc>
        <w:tc>
          <w:tcPr>
            <w:tcW w:w="470" w:type="pct"/>
            <w:noWrap/>
            <w:vAlign w:val="center"/>
          </w:tcPr>
          <w:p>
            <w:pPr>
              <w:spacing w:line="360" w:lineRule="auto"/>
              <w:jc w:val="center"/>
              <w:outlineLvl w:val="0"/>
              <w:rPr>
                <w:rFonts w:ascii="宋体" w:hAnsi="宋体" w:cs="宋体"/>
                <w:sz w:val="24"/>
              </w:rPr>
            </w:pPr>
            <w:r>
              <w:rPr>
                <w:rFonts w:hint="eastAsia" w:ascii="宋体" w:hAnsi="宋体" w:cs="宋体"/>
                <w:sz w:val="24"/>
              </w:rPr>
              <w:t>20分</w:t>
            </w:r>
          </w:p>
        </w:tc>
        <w:tc>
          <w:tcPr>
            <w:tcW w:w="854" w:type="pct"/>
            <w:noWrap/>
            <w:vAlign w:val="center"/>
          </w:tcPr>
          <w:p>
            <w:pPr>
              <w:spacing w:line="360" w:lineRule="auto"/>
              <w:jc w:val="center"/>
              <w:outlineLvl w:val="0"/>
              <w:rPr>
                <w:rFonts w:ascii="宋体" w:hAnsi="宋体" w:cs="宋体"/>
                <w:sz w:val="24"/>
              </w:rPr>
            </w:pPr>
            <w:r>
              <w:rPr>
                <w:rFonts w:hint="eastAsia" w:ascii="宋体" w:hAnsi="宋体" w:cs="宋体"/>
                <w:sz w:val="24"/>
              </w:rPr>
              <w:t>（一）</w:t>
            </w:r>
            <w:r>
              <w:rPr>
                <w:rFonts w:hint="eastAsia" w:ascii="宋体" w:hAnsi="宋体" w:cs="宋体"/>
                <w:sz w:val="24"/>
                <w:lang w:val="zh-CN"/>
              </w:rPr>
              <w:t>投标产品的性能与需求的吻合程度</w:t>
            </w:r>
            <w:r>
              <w:rPr>
                <w:rFonts w:hint="eastAsia" w:ascii="宋体" w:hAnsi="宋体" w:cs="宋体"/>
                <w:sz w:val="24"/>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4" w:type="pct"/>
            <w:noWrap/>
            <w:vAlign w:val="center"/>
          </w:tcPr>
          <w:p>
            <w:pPr>
              <w:spacing w:line="360" w:lineRule="auto"/>
              <w:jc w:val="center"/>
              <w:outlineLvl w:val="0"/>
              <w:rPr>
                <w:rFonts w:ascii="宋体" w:hAnsi="宋体" w:cs="宋体"/>
                <w:sz w:val="24"/>
              </w:rPr>
            </w:pPr>
            <w:r>
              <w:rPr>
                <w:rFonts w:hint="eastAsia" w:ascii="宋体" w:hAnsi="宋体" w:cs="宋体"/>
                <w:sz w:val="24"/>
              </w:rPr>
              <w:t>2</w:t>
            </w:r>
          </w:p>
        </w:tc>
        <w:tc>
          <w:tcPr>
            <w:tcW w:w="3170" w:type="pct"/>
            <w:noWrap/>
            <w:vAlign w:val="center"/>
          </w:tcPr>
          <w:p>
            <w:pPr>
              <w:adjustRightInd w:val="0"/>
              <w:snapToGrid w:val="0"/>
              <w:spacing w:line="360" w:lineRule="auto"/>
              <w:jc w:val="left"/>
              <w:rPr>
                <w:rFonts w:ascii="宋体" w:hAnsi="宋体" w:cs="宋体"/>
                <w:sz w:val="24"/>
                <w:lang w:val="zh-CN"/>
              </w:rPr>
            </w:pPr>
            <w:r>
              <w:rPr>
                <w:rFonts w:hint="eastAsia" w:ascii="宋体" w:hAnsi="宋体" w:cs="宋体"/>
                <w:sz w:val="24"/>
                <w:lang w:val="zh-CN"/>
              </w:rPr>
              <w:t>投标方案优势情况：</w:t>
            </w:r>
          </w:p>
          <w:p>
            <w:pPr>
              <w:adjustRightInd w:val="0"/>
              <w:snapToGrid w:val="0"/>
              <w:spacing w:line="360" w:lineRule="auto"/>
              <w:jc w:val="left"/>
              <w:rPr>
                <w:rFonts w:ascii="宋体" w:hAnsi="宋体" w:cs="宋体"/>
                <w:sz w:val="24"/>
                <w:lang w:val="zh-CN"/>
              </w:rPr>
            </w:pPr>
            <w:r>
              <w:rPr>
                <w:rFonts w:hint="eastAsia" w:ascii="宋体" w:hAnsi="宋体" w:cs="宋体"/>
                <w:sz w:val="24"/>
                <w:lang w:val="zh-CN"/>
              </w:rPr>
              <w:t>●</w:t>
            </w:r>
            <w:r>
              <w:rPr>
                <w:rFonts w:hint="eastAsia" w:ascii="宋体" w:hAnsi="宋体" w:cs="宋体"/>
                <w:sz w:val="24"/>
              </w:rPr>
              <w:t>投标人所投</w:t>
            </w:r>
            <w:r>
              <w:rPr>
                <w:rFonts w:hint="eastAsia" w:ascii="宋体" w:hAnsi="宋体" w:cs="宋体"/>
                <w:sz w:val="24"/>
                <w:lang w:val="zh-CN"/>
              </w:rPr>
              <w:t>标线维护方案：包括</w:t>
            </w:r>
            <w:r>
              <w:rPr>
                <w:rFonts w:hint="eastAsia" w:ascii="宋体" w:hAnsi="宋体" w:cs="宋体"/>
                <w:sz w:val="24"/>
              </w:rPr>
              <w:t>①</w:t>
            </w:r>
            <w:r>
              <w:rPr>
                <w:rFonts w:hint="eastAsia" w:ascii="宋体" w:hAnsi="宋体" w:cs="宋体"/>
                <w:sz w:val="24"/>
                <w:lang w:val="zh-CN"/>
              </w:rPr>
              <w:t>“技术水平”</w:t>
            </w:r>
            <w:r>
              <w:rPr>
                <w:rFonts w:hint="eastAsia" w:ascii="宋体" w:hAnsi="宋体" w:cs="宋体"/>
                <w:sz w:val="24"/>
              </w:rPr>
              <w:t>②</w:t>
            </w:r>
            <w:r>
              <w:rPr>
                <w:rFonts w:hint="eastAsia" w:ascii="宋体" w:hAnsi="宋体" w:cs="宋体"/>
                <w:sz w:val="24"/>
                <w:lang w:val="zh-CN"/>
              </w:rPr>
              <w:t>“施划标线装备”</w:t>
            </w:r>
            <w:r>
              <w:rPr>
                <w:rFonts w:hint="eastAsia" w:ascii="宋体" w:hAnsi="宋体" w:cs="宋体"/>
                <w:sz w:val="24"/>
              </w:rPr>
              <w:t>③</w:t>
            </w:r>
            <w:r>
              <w:rPr>
                <w:rFonts w:hint="eastAsia" w:ascii="宋体" w:hAnsi="宋体" w:cs="宋体"/>
                <w:sz w:val="24"/>
                <w:lang w:val="zh-CN"/>
              </w:rPr>
              <w:t>“标线维护抢修”</w:t>
            </w:r>
            <w:r>
              <w:rPr>
                <w:rFonts w:hint="eastAsia" w:ascii="宋体" w:hAnsi="宋体" w:cs="宋体"/>
                <w:sz w:val="24"/>
              </w:rPr>
              <w:t>等，根据提供的方案内容进行评分，每一方案内容完整、措施有效、符合采购人实际情况视为满足，满足得2分，</w:t>
            </w:r>
            <w:r>
              <w:rPr>
                <w:rFonts w:hint="eastAsia" w:ascii="宋体" w:hAnsi="宋体" w:cs="宋体"/>
                <w:sz w:val="24"/>
                <w:lang w:val="zh-CN"/>
              </w:rPr>
              <w:t>略有不足需完善的</w:t>
            </w:r>
            <w:r>
              <w:rPr>
                <w:rFonts w:hint="eastAsia" w:ascii="宋体" w:hAnsi="宋体" w:cs="宋体"/>
                <w:sz w:val="24"/>
              </w:rPr>
              <w:t>得1分，不满足不得分，最高得6分（6分）。</w:t>
            </w:r>
          </w:p>
          <w:p>
            <w:pPr>
              <w:adjustRightInd w:val="0"/>
              <w:snapToGrid w:val="0"/>
              <w:spacing w:line="360" w:lineRule="auto"/>
              <w:jc w:val="left"/>
              <w:rPr>
                <w:rFonts w:ascii="宋体" w:hAnsi="宋体" w:cs="宋体"/>
                <w:sz w:val="24"/>
                <w:lang w:val="zh-CN"/>
              </w:rPr>
            </w:pPr>
            <w:r>
              <w:rPr>
                <w:rFonts w:hint="eastAsia" w:ascii="宋体" w:hAnsi="宋体" w:cs="宋体"/>
                <w:sz w:val="24"/>
                <w:lang w:val="zh-CN"/>
              </w:rPr>
              <w:t>●</w:t>
            </w:r>
            <w:r>
              <w:rPr>
                <w:rFonts w:hint="eastAsia" w:ascii="宋体" w:hAnsi="宋体" w:cs="宋体"/>
                <w:sz w:val="24"/>
              </w:rPr>
              <w:t>投标人所投项目</w:t>
            </w:r>
            <w:r>
              <w:rPr>
                <w:rFonts w:hint="eastAsia" w:ascii="宋体" w:hAnsi="宋体" w:cs="宋体"/>
                <w:sz w:val="24"/>
                <w:lang w:val="zh-CN"/>
              </w:rPr>
              <w:t>安装施工组织方案：包括</w:t>
            </w:r>
            <w:r>
              <w:rPr>
                <w:rFonts w:hint="eastAsia" w:ascii="宋体" w:hAnsi="宋体" w:cs="宋体"/>
                <w:sz w:val="24"/>
              </w:rPr>
              <w:t>①</w:t>
            </w:r>
            <w:r>
              <w:rPr>
                <w:rFonts w:hint="eastAsia" w:ascii="宋体" w:hAnsi="宋体" w:cs="宋体"/>
                <w:sz w:val="24"/>
                <w:lang w:val="zh-CN"/>
              </w:rPr>
              <w:t>“施工（含基础）技术方案”</w:t>
            </w:r>
            <w:r>
              <w:rPr>
                <w:rFonts w:hint="eastAsia" w:ascii="宋体" w:hAnsi="宋体" w:cs="宋体"/>
                <w:sz w:val="24"/>
              </w:rPr>
              <w:t>②</w:t>
            </w:r>
            <w:r>
              <w:rPr>
                <w:rFonts w:hint="eastAsia" w:ascii="宋体" w:hAnsi="宋体" w:cs="宋体"/>
                <w:sz w:val="24"/>
                <w:lang w:val="zh-CN"/>
              </w:rPr>
              <w:t>“安装</w:t>
            </w:r>
            <w:r>
              <w:rPr>
                <w:rFonts w:hint="eastAsia" w:ascii="宋体" w:hAnsi="宋体" w:cs="宋体"/>
                <w:sz w:val="24"/>
              </w:rPr>
              <w:t>调试</w:t>
            </w:r>
            <w:r>
              <w:rPr>
                <w:rFonts w:hint="eastAsia" w:ascii="宋体" w:hAnsi="宋体" w:cs="宋体"/>
                <w:sz w:val="24"/>
                <w:lang w:val="zh-CN"/>
              </w:rPr>
              <w:t>方案”</w:t>
            </w:r>
            <w:r>
              <w:rPr>
                <w:rFonts w:hint="eastAsia" w:ascii="宋体" w:hAnsi="宋体" w:cs="宋体"/>
                <w:sz w:val="24"/>
              </w:rPr>
              <w:t>③</w:t>
            </w:r>
            <w:r>
              <w:rPr>
                <w:rFonts w:hint="eastAsia" w:ascii="宋体" w:hAnsi="宋体" w:cs="宋体"/>
                <w:sz w:val="24"/>
                <w:lang w:val="zh-CN"/>
              </w:rPr>
              <w:t>“施工组织方案”</w:t>
            </w:r>
            <w:r>
              <w:rPr>
                <w:rFonts w:hint="eastAsia" w:ascii="宋体" w:hAnsi="宋体" w:cs="宋体"/>
                <w:sz w:val="24"/>
              </w:rPr>
              <w:t>根据提供的方案内容进行评分，每一方案内容完整、措施有效、符合采购人实际情况视为满足，满足得2分，</w:t>
            </w:r>
            <w:r>
              <w:rPr>
                <w:rFonts w:hint="eastAsia" w:ascii="宋体" w:hAnsi="宋体" w:cs="宋体"/>
                <w:sz w:val="24"/>
                <w:lang w:val="zh-CN"/>
              </w:rPr>
              <w:t>略有不足需完善的</w:t>
            </w:r>
            <w:r>
              <w:rPr>
                <w:rFonts w:hint="eastAsia" w:ascii="宋体" w:hAnsi="宋体" w:cs="宋体"/>
                <w:sz w:val="24"/>
              </w:rPr>
              <w:t>得1分，</w:t>
            </w:r>
            <w:r>
              <w:rPr>
                <w:rFonts w:hint="eastAsia" w:ascii="宋体" w:hAnsi="宋体" w:cs="宋体"/>
                <w:sz w:val="24"/>
                <w:lang w:val="zh-CN"/>
              </w:rPr>
              <w:t>不满足或与实际不符的不得分</w:t>
            </w:r>
            <w:r>
              <w:rPr>
                <w:rFonts w:hint="eastAsia" w:ascii="宋体" w:hAnsi="宋体" w:cs="宋体"/>
                <w:sz w:val="24"/>
              </w:rPr>
              <w:t>，最高得6分（6分）。</w:t>
            </w:r>
          </w:p>
          <w:p>
            <w:pPr>
              <w:adjustRightInd w:val="0"/>
              <w:snapToGrid w:val="0"/>
              <w:spacing w:line="360" w:lineRule="auto"/>
              <w:jc w:val="left"/>
              <w:rPr>
                <w:rFonts w:ascii="宋体" w:hAnsi="宋体" w:cs="宋体"/>
                <w:color w:val="FF0000"/>
                <w:sz w:val="24"/>
                <w:lang w:val="zh-CN"/>
              </w:rPr>
            </w:pPr>
            <w:r>
              <w:rPr>
                <w:rFonts w:hint="eastAsia" w:ascii="宋体" w:hAnsi="宋体" w:cs="宋体"/>
                <w:color w:val="FF0000"/>
                <w:sz w:val="24"/>
                <w:lang w:val="zh-CN"/>
              </w:rPr>
              <w:t>●</w:t>
            </w:r>
            <w:r>
              <w:rPr>
                <w:rFonts w:hint="eastAsia" w:ascii="宋体" w:hAnsi="宋体" w:cs="宋体"/>
                <w:color w:val="FF0000"/>
                <w:sz w:val="24"/>
              </w:rPr>
              <w:t>投标人承诺：所投项目交通设施更换，须提供设备更换前后对比照片，以及跟换后设备的处理，承诺</w:t>
            </w:r>
            <w:r>
              <w:rPr>
                <w:rFonts w:hint="eastAsia" w:ascii="宋体" w:hAnsi="宋体" w:cs="宋体"/>
                <w:color w:val="FF0000"/>
                <w:sz w:val="24"/>
                <w:lang w:val="zh-CN"/>
              </w:rPr>
              <w:t>得</w:t>
            </w:r>
            <w:r>
              <w:rPr>
                <w:rFonts w:hint="eastAsia" w:ascii="宋体" w:hAnsi="宋体" w:cs="宋体"/>
                <w:color w:val="FF0000"/>
                <w:sz w:val="24"/>
              </w:rPr>
              <w:t>3</w:t>
            </w:r>
            <w:r>
              <w:rPr>
                <w:rFonts w:hint="eastAsia" w:ascii="宋体" w:hAnsi="宋体" w:cs="宋体"/>
                <w:color w:val="FF0000"/>
                <w:sz w:val="24"/>
                <w:lang w:val="zh-CN"/>
              </w:rPr>
              <w:t>分，</w:t>
            </w:r>
            <w:r>
              <w:rPr>
                <w:rFonts w:hint="eastAsia" w:ascii="宋体" w:hAnsi="宋体" w:cs="宋体"/>
                <w:color w:val="FF0000"/>
                <w:sz w:val="24"/>
              </w:rPr>
              <w:t>不承诺不得分，最高得3分</w:t>
            </w:r>
            <w:r>
              <w:rPr>
                <w:rFonts w:hint="eastAsia" w:ascii="宋体" w:hAnsi="宋体" w:cs="宋体"/>
                <w:color w:val="FF0000"/>
                <w:sz w:val="24"/>
                <w:lang w:val="zh-CN"/>
              </w:rPr>
              <w:t>（</w:t>
            </w:r>
            <w:r>
              <w:rPr>
                <w:rFonts w:hint="eastAsia" w:ascii="宋体" w:hAnsi="宋体" w:cs="宋体"/>
                <w:color w:val="FF0000"/>
                <w:sz w:val="24"/>
              </w:rPr>
              <w:t>3</w:t>
            </w:r>
            <w:r>
              <w:rPr>
                <w:rFonts w:hint="eastAsia" w:ascii="宋体" w:hAnsi="宋体" w:cs="宋体"/>
                <w:color w:val="FF0000"/>
                <w:sz w:val="24"/>
                <w:lang w:val="zh-CN"/>
              </w:rPr>
              <w:t>分）；</w:t>
            </w:r>
          </w:p>
          <w:p>
            <w:pPr>
              <w:adjustRightInd w:val="0"/>
              <w:snapToGrid w:val="0"/>
              <w:spacing w:line="360" w:lineRule="auto"/>
              <w:jc w:val="left"/>
              <w:rPr>
                <w:rFonts w:ascii="宋体" w:hAnsi="宋体" w:cs="宋体"/>
                <w:sz w:val="24"/>
                <w:lang w:val="zh-CN"/>
              </w:rPr>
            </w:pPr>
            <w:r>
              <w:rPr>
                <w:rFonts w:hint="eastAsia" w:ascii="宋体" w:hAnsi="宋体" w:cs="宋体"/>
                <w:sz w:val="24"/>
                <w:lang w:val="zh-CN"/>
              </w:rPr>
              <w:t>●</w:t>
            </w:r>
            <w:r>
              <w:rPr>
                <w:rFonts w:hint="eastAsia" w:ascii="宋体" w:hAnsi="宋体" w:cs="宋体"/>
                <w:sz w:val="24"/>
              </w:rPr>
              <w:t>投标人所投项目</w:t>
            </w:r>
            <w:r>
              <w:rPr>
                <w:rFonts w:hint="eastAsia" w:ascii="宋体" w:hAnsi="宋体" w:cs="宋体"/>
                <w:sz w:val="24"/>
                <w:lang w:val="zh-CN"/>
              </w:rPr>
              <w:t>现场施工车辆方案：包括吊车（登高车）、货车及其它工程作业车辆等。①</w:t>
            </w:r>
            <w:r>
              <w:rPr>
                <w:rFonts w:hint="eastAsia" w:ascii="宋体" w:hAnsi="宋体" w:cs="宋体"/>
                <w:sz w:val="24"/>
              </w:rPr>
              <w:t>提供的</w:t>
            </w:r>
            <w:r>
              <w:rPr>
                <w:rFonts w:hint="eastAsia" w:ascii="宋体" w:hAnsi="宋体" w:cs="宋体"/>
                <w:sz w:val="24"/>
                <w:lang w:val="zh-CN"/>
              </w:rPr>
              <w:t>专项作业车（登高车），</w:t>
            </w:r>
            <w:r>
              <w:rPr>
                <w:rFonts w:hint="eastAsia" w:ascii="宋体" w:hAnsi="宋体" w:cs="宋体"/>
                <w:sz w:val="24"/>
              </w:rPr>
              <w:t>满足采购需求的得3分，不满足不得分；</w:t>
            </w:r>
            <w:r>
              <w:rPr>
                <w:rFonts w:hint="eastAsia" w:ascii="宋体" w:hAnsi="宋体" w:cs="宋体"/>
                <w:sz w:val="24"/>
                <w:lang w:val="zh-CN"/>
              </w:rPr>
              <w:t>②</w:t>
            </w:r>
            <w:r>
              <w:rPr>
                <w:rFonts w:hint="eastAsia" w:ascii="宋体" w:hAnsi="宋体" w:cs="宋体"/>
                <w:sz w:val="24"/>
              </w:rPr>
              <w:t>提供的</w:t>
            </w:r>
            <w:r>
              <w:rPr>
                <w:rFonts w:hint="eastAsia" w:ascii="宋体" w:hAnsi="宋体" w:cs="宋体"/>
                <w:sz w:val="24"/>
                <w:lang w:val="zh-CN"/>
              </w:rPr>
              <w:t>货车及其它工程作业车辆等，</w:t>
            </w:r>
            <w:r>
              <w:rPr>
                <w:rFonts w:hint="eastAsia" w:ascii="宋体" w:hAnsi="宋体" w:cs="宋体"/>
                <w:sz w:val="24"/>
              </w:rPr>
              <w:t>满足采购需求的得3分，不满足不得分；本项最高得6分（6分）</w:t>
            </w:r>
          </w:p>
          <w:p>
            <w:pPr>
              <w:adjustRightInd w:val="0"/>
              <w:snapToGrid w:val="0"/>
              <w:spacing w:line="360" w:lineRule="auto"/>
              <w:jc w:val="left"/>
              <w:rPr>
                <w:rFonts w:ascii="宋体" w:hAnsi="宋体" w:cs="宋体"/>
                <w:sz w:val="24"/>
                <w:lang w:val="zh-CN"/>
              </w:rPr>
            </w:pPr>
            <w:r>
              <w:rPr>
                <w:rFonts w:hint="eastAsia" w:ascii="宋体" w:hAnsi="宋体" w:cs="宋体"/>
                <w:sz w:val="24"/>
              </w:rPr>
              <w:t>注：</w:t>
            </w:r>
            <w:r>
              <w:rPr>
                <w:rFonts w:hint="eastAsia" w:ascii="宋体" w:hAnsi="宋体" w:cs="宋体"/>
                <w:sz w:val="24"/>
                <w:lang w:val="zh-CN"/>
              </w:rPr>
              <w:t>车辆须提供车辆行驶证（投标供应商名下），如是租赁提供租赁合同复印件</w:t>
            </w:r>
            <w:r>
              <w:rPr>
                <w:rFonts w:hint="eastAsia" w:ascii="宋体" w:hAnsi="宋体" w:cs="宋体"/>
                <w:sz w:val="24"/>
              </w:rPr>
              <w:t>及租赁发票</w:t>
            </w:r>
            <w:r>
              <w:rPr>
                <w:rFonts w:hint="eastAsia" w:ascii="宋体" w:hAnsi="宋体" w:cs="宋体"/>
                <w:sz w:val="24"/>
                <w:lang w:val="zh-CN"/>
              </w:rPr>
              <w:t>复印件且租赁期长于</w:t>
            </w:r>
            <w:r>
              <w:rPr>
                <w:rFonts w:hint="eastAsia" w:ascii="宋体" w:hAnsi="宋体" w:cs="宋体"/>
                <w:sz w:val="24"/>
              </w:rPr>
              <w:t>本项目</w:t>
            </w:r>
            <w:r>
              <w:rPr>
                <w:rFonts w:hint="eastAsia" w:ascii="宋体" w:hAnsi="宋体" w:cs="宋体"/>
                <w:sz w:val="24"/>
                <w:lang w:val="zh-CN"/>
              </w:rPr>
              <w:t>服务期相关证明材料</w:t>
            </w:r>
            <w:r>
              <w:rPr>
                <w:rFonts w:hint="eastAsia" w:ascii="宋体" w:hAnsi="宋体" w:cs="宋体"/>
                <w:sz w:val="24"/>
              </w:rPr>
              <w:t>等</w:t>
            </w:r>
            <w:r>
              <w:rPr>
                <w:rFonts w:hint="eastAsia" w:ascii="宋体" w:hAnsi="宋体" w:cs="宋体"/>
                <w:sz w:val="24"/>
                <w:lang w:val="zh-CN"/>
              </w:rPr>
              <w:t>，</w:t>
            </w:r>
            <w:r>
              <w:rPr>
                <w:rFonts w:hint="eastAsia" w:ascii="宋体" w:hAnsi="宋体" w:cs="宋体"/>
                <w:sz w:val="24"/>
              </w:rPr>
              <w:t>且</w:t>
            </w:r>
            <w:r>
              <w:rPr>
                <w:rFonts w:hint="eastAsia" w:ascii="宋体" w:hAnsi="宋体" w:cs="宋体"/>
                <w:sz w:val="24"/>
                <w:lang w:val="zh-CN"/>
              </w:rPr>
              <w:t>每个标项车辆不得重复，提供投标人自有的机动车车辆行驶证复印件和车辆的购置发票复印件、</w:t>
            </w:r>
            <w:r>
              <w:rPr>
                <w:rFonts w:hint="eastAsia" w:ascii="宋体" w:hAnsi="宋体" w:cs="宋体"/>
                <w:sz w:val="24"/>
              </w:rPr>
              <w:t>租赁合同复印件及租赁发票复印件照片清晰</w:t>
            </w:r>
            <w:r>
              <w:rPr>
                <w:rFonts w:hint="eastAsia" w:ascii="宋体" w:hAnsi="宋体" w:cs="宋体"/>
                <w:sz w:val="24"/>
                <w:lang w:val="zh-CN"/>
              </w:rPr>
              <w:t>，否则不得分。）</w:t>
            </w:r>
          </w:p>
          <w:p>
            <w:pPr>
              <w:adjustRightInd w:val="0"/>
              <w:snapToGrid w:val="0"/>
              <w:spacing w:line="360" w:lineRule="auto"/>
              <w:jc w:val="left"/>
              <w:rPr>
                <w:rFonts w:ascii="宋体" w:hAnsi="宋体" w:cs="宋体"/>
                <w:sz w:val="24"/>
                <w:lang w:val="zh-CN"/>
              </w:rPr>
            </w:pPr>
            <w:r>
              <w:rPr>
                <w:rFonts w:hint="eastAsia" w:ascii="宋体" w:hAnsi="宋体" w:cs="宋体"/>
                <w:sz w:val="24"/>
              </w:rPr>
              <w:t>●投标人所投项目安全防护措施方案（安装安全、维护安全、围挡安全措施）根据提供的方案内容进行评分，方案内容完整、措施有效、符合采购人实际情况视为满足，满足得3分，</w:t>
            </w:r>
            <w:r>
              <w:rPr>
                <w:rFonts w:hint="eastAsia" w:ascii="宋体" w:hAnsi="宋体" w:cs="宋体"/>
                <w:sz w:val="24"/>
                <w:lang w:val="zh-CN"/>
              </w:rPr>
              <w:t>略有不足需完善的</w:t>
            </w:r>
            <w:r>
              <w:rPr>
                <w:rFonts w:hint="eastAsia" w:ascii="宋体" w:hAnsi="宋体" w:cs="宋体"/>
                <w:sz w:val="24"/>
              </w:rPr>
              <w:t>得1.5分，</w:t>
            </w:r>
            <w:r>
              <w:rPr>
                <w:rFonts w:hint="eastAsia" w:ascii="宋体" w:hAnsi="宋体" w:cs="宋体"/>
                <w:sz w:val="24"/>
                <w:lang w:val="zh-CN"/>
              </w:rPr>
              <w:t>不满足或与实际不符的不得分</w:t>
            </w:r>
            <w:r>
              <w:rPr>
                <w:rFonts w:hint="eastAsia" w:ascii="宋体" w:hAnsi="宋体" w:cs="宋体"/>
                <w:sz w:val="24"/>
              </w:rPr>
              <w:t>，最高得3分（3分）。</w:t>
            </w:r>
          </w:p>
        </w:tc>
        <w:tc>
          <w:tcPr>
            <w:tcW w:w="470" w:type="pct"/>
            <w:noWrap/>
            <w:vAlign w:val="center"/>
          </w:tcPr>
          <w:p>
            <w:pPr>
              <w:adjustRightInd w:val="0"/>
              <w:snapToGrid w:val="0"/>
              <w:spacing w:line="360" w:lineRule="auto"/>
              <w:jc w:val="center"/>
              <w:rPr>
                <w:rFonts w:ascii="宋体" w:hAnsi="宋体" w:cs="宋体"/>
                <w:sz w:val="24"/>
              </w:rPr>
            </w:pPr>
            <w:r>
              <w:rPr>
                <w:rFonts w:hint="eastAsia" w:ascii="宋体" w:hAnsi="宋体" w:cs="宋体"/>
                <w:sz w:val="24"/>
              </w:rPr>
              <w:t>24分</w:t>
            </w:r>
          </w:p>
        </w:tc>
        <w:tc>
          <w:tcPr>
            <w:tcW w:w="854" w:type="pct"/>
            <w:noWrap/>
            <w:vAlign w:val="center"/>
          </w:tcPr>
          <w:p>
            <w:pPr>
              <w:adjustRightInd w:val="0"/>
              <w:snapToGrid w:val="0"/>
              <w:spacing w:line="360" w:lineRule="auto"/>
              <w:jc w:val="center"/>
              <w:rPr>
                <w:rFonts w:ascii="宋体" w:hAnsi="宋体" w:cs="宋体"/>
                <w:sz w:val="24"/>
              </w:rPr>
            </w:pPr>
            <w:r>
              <w:rPr>
                <w:rFonts w:hint="eastAsia" w:ascii="宋体" w:hAnsi="宋体" w:cs="宋体"/>
                <w:sz w:val="24"/>
              </w:rPr>
              <w:t>（二）</w:t>
            </w:r>
            <w:r>
              <w:rPr>
                <w:rFonts w:hint="eastAsia" w:ascii="宋体" w:hAnsi="宋体" w:cs="宋体"/>
                <w:sz w:val="24"/>
                <w:lang w:val="zh-CN"/>
              </w:rPr>
              <w:t>投标方案优势情况（</w:t>
            </w:r>
            <w:r>
              <w:rPr>
                <w:rFonts w:hint="eastAsia" w:ascii="宋体" w:hAnsi="宋体" w:cs="宋体"/>
                <w:sz w:val="24"/>
              </w:rPr>
              <w:t>24分）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4" w:type="pct"/>
            <w:noWrap/>
            <w:vAlign w:val="center"/>
          </w:tcPr>
          <w:p>
            <w:pPr>
              <w:spacing w:line="360" w:lineRule="auto"/>
              <w:jc w:val="center"/>
              <w:outlineLvl w:val="0"/>
              <w:rPr>
                <w:rFonts w:ascii="宋体" w:hAnsi="宋体" w:cs="宋体"/>
                <w:sz w:val="24"/>
              </w:rPr>
            </w:pPr>
            <w:r>
              <w:rPr>
                <w:rFonts w:hint="eastAsia" w:ascii="宋体" w:hAnsi="宋体" w:cs="宋体"/>
                <w:sz w:val="24"/>
              </w:rPr>
              <w:t>3</w:t>
            </w:r>
          </w:p>
        </w:tc>
        <w:tc>
          <w:tcPr>
            <w:tcW w:w="3170" w:type="pct"/>
            <w:noWrap/>
            <w:vAlign w:val="center"/>
          </w:tcPr>
          <w:p>
            <w:pPr>
              <w:adjustRightInd w:val="0"/>
              <w:snapToGrid w:val="0"/>
              <w:spacing w:line="360" w:lineRule="auto"/>
              <w:jc w:val="left"/>
              <w:rPr>
                <w:rFonts w:ascii="宋体" w:hAnsi="宋体" w:cs="宋体"/>
                <w:sz w:val="24"/>
              </w:rPr>
            </w:pPr>
            <w:r>
              <w:rPr>
                <w:rFonts w:hint="eastAsia" w:ascii="宋体" w:hAnsi="宋体" w:cs="宋体"/>
                <w:sz w:val="24"/>
              </w:rPr>
              <w:t>●投标人所投项目</w:t>
            </w:r>
            <w:r>
              <w:rPr>
                <w:rFonts w:hint="eastAsia" w:ascii="宋体" w:hAnsi="宋体" w:cs="宋体"/>
                <w:sz w:val="24"/>
                <w:lang w:val="zh-CN"/>
              </w:rPr>
              <w:t>“设备材料制作”</w:t>
            </w:r>
            <w:r>
              <w:rPr>
                <w:rFonts w:hint="eastAsia" w:ascii="宋体" w:hAnsi="宋体" w:cs="宋体"/>
                <w:sz w:val="24"/>
              </w:rPr>
              <w:t>情况：</w:t>
            </w:r>
            <w:r>
              <w:rPr>
                <w:rFonts w:hint="eastAsia" w:ascii="宋体" w:hAnsi="宋体" w:cs="宋体"/>
                <w:sz w:val="24"/>
                <w:lang w:val="zh-CN"/>
              </w:rPr>
              <w:t>包括</w:t>
            </w:r>
            <w:r>
              <w:rPr>
                <w:rFonts w:hint="eastAsia" w:ascii="宋体" w:hAnsi="宋体" w:cs="宋体"/>
                <w:sz w:val="24"/>
              </w:rPr>
              <w:t>原材料制作标志牌，基础预埋件，钢支架</w:t>
            </w:r>
            <w:r>
              <w:rPr>
                <w:rFonts w:hint="eastAsia" w:ascii="宋体" w:hAnsi="宋体" w:cs="宋体"/>
                <w:sz w:val="24"/>
                <w:lang w:val="zh-CN"/>
              </w:rPr>
              <w:t>等。提供车间制作场景资料，</w:t>
            </w:r>
            <w:r>
              <w:rPr>
                <w:rFonts w:hint="eastAsia" w:ascii="宋体" w:hAnsi="宋体" w:cs="宋体"/>
                <w:sz w:val="24"/>
              </w:rPr>
              <w:t>满足采购需求的得3分，不满足不得分；</w:t>
            </w:r>
            <w:r>
              <w:rPr>
                <w:rFonts w:hint="eastAsia" w:ascii="宋体" w:hAnsi="宋体" w:cs="宋体"/>
                <w:sz w:val="24"/>
                <w:lang w:val="zh-CN"/>
              </w:rPr>
              <w:t>（提供产权证明（产权为</w:t>
            </w:r>
            <w:r>
              <w:rPr>
                <w:rFonts w:hint="eastAsia" w:ascii="宋体" w:hAnsi="宋体" w:cs="宋体"/>
                <w:sz w:val="24"/>
              </w:rPr>
              <w:t>投标人</w:t>
            </w:r>
            <w:r>
              <w:rPr>
                <w:rFonts w:hint="eastAsia" w:ascii="宋体" w:hAnsi="宋体" w:cs="宋体"/>
                <w:sz w:val="24"/>
                <w:lang w:val="zh-CN"/>
              </w:rPr>
              <w:t>所有的提供产权证，如非</w:t>
            </w:r>
            <w:r>
              <w:rPr>
                <w:rFonts w:hint="eastAsia" w:ascii="宋体" w:hAnsi="宋体" w:cs="宋体"/>
                <w:sz w:val="24"/>
              </w:rPr>
              <w:t>投标人</w:t>
            </w:r>
            <w:r>
              <w:rPr>
                <w:rFonts w:hint="eastAsia" w:ascii="宋体" w:hAnsi="宋体" w:cs="宋体"/>
                <w:sz w:val="24"/>
                <w:lang w:val="zh-CN"/>
              </w:rPr>
              <w:t>所有的，提供房屋产权证</w:t>
            </w:r>
            <w:r>
              <w:rPr>
                <w:rFonts w:hint="eastAsia" w:ascii="宋体" w:hAnsi="宋体" w:cs="宋体"/>
                <w:sz w:val="24"/>
              </w:rPr>
              <w:t>或</w:t>
            </w:r>
            <w:r>
              <w:rPr>
                <w:rFonts w:hint="eastAsia" w:ascii="宋体" w:hAnsi="宋体" w:cs="宋体"/>
                <w:sz w:val="24"/>
                <w:lang w:val="zh-CN"/>
              </w:rPr>
              <w:t>租赁合同复印件</w:t>
            </w:r>
            <w:r>
              <w:rPr>
                <w:rFonts w:hint="eastAsia" w:ascii="宋体" w:hAnsi="宋体" w:cs="宋体"/>
                <w:sz w:val="24"/>
              </w:rPr>
              <w:t>及租赁发票</w:t>
            </w:r>
            <w:r>
              <w:rPr>
                <w:rFonts w:hint="eastAsia" w:ascii="宋体" w:hAnsi="宋体" w:cs="宋体"/>
                <w:sz w:val="24"/>
                <w:lang w:val="zh-CN"/>
              </w:rPr>
              <w:t>复印件且租赁期长于</w:t>
            </w:r>
            <w:r>
              <w:rPr>
                <w:rFonts w:hint="eastAsia" w:ascii="宋体" w:hAnsi="宋体" w:cs="宋体"/>
                <w:sz w:val="24"/>
              </w:rPr>
              <w:t>本项目</w:t>
            </w:r>
            <w:r>
              <w:rPr>
                <w:rFonts w:hint="eastAsia" w:ascii="宋体" w:hAnsi="宋体" w:cs="宋体"/>
                <w:sz w:val="24"/>
                <w:lang w:val="zh-CN"/>
              </w:rPr>
              <w:t>服务期相关证明材料</w:t>
            </w:r>
            <w:r>
              <w:rPr>
                <w:rFonts w:hint="eastAsia" w:ascii="宋体" w:hAnsi="宋体" w:cs="宋体"/>
                <w:sz w:val="24"/>
              </w:rPr>
              <w:t>等</w:t>
            </w:r>
            <w:r>
              <w:rPr>
                <w:rFonts w:hint="eastAsia" w:ascii="宋体" w:hAnsi="宋体" w:cs="宋体"/>
                <w:sz w:val="24"/>
                <w:lang w:val="zh-CN"/>
              </w:rPr>
              <w:t>）</w:t>
            </w:r>
            <w:r>
              <w:rPr>
                <w:rFonts w:hint="eastAsia" w:ascii="宋体" w:hAnsi="宋体" w:cs="宋体"/>
                <w:sz w:val="24"/>
              </w:rPr>
              <w:t>；</w:t>
            </w:r>
          </w:p>
        </w:tc>
        <w:tc>
          <w:tcPr>
            <w:tcW w:w="470" w:type="pct"/>
            <w:noWrap/>
            <w:vAlign w:val="center"/>
          </w:tcPr>
          <w:p>
            <w:pPr>
              <w:adjustRightInd w:val="0"/>
              <w:snapToGrid w:val="0"/>
              <w:spacing w:line="360" w:lineRule="auto"/>
              <w:jc w:val="center"/>
              <w:rPr>
                <w:rFonts w:ascii="宋体" w:hAnsi="宋体" w:cs="宋体"/>
                <w:sz w:val="24"/>
              </w:rPr>
            </w:pPr>
            <w:r>
              <w:rPr>
                <w:rFonts w:hint="eastAsia" w:ascii="宋体" w:hAnsi="宋体" w:cs="宋体"/>
                <w:sz w:val="24"/>
              </w:rPr>
              <w:t>3分</w:t>
            </w:r>
          </w:p>
        </w:tc>
        <w:tc>
          <w:tcPr>
            <w:tcW w:w="854" w:type="pct"/>
            <w:noWrap/>
            <w:vAlign w:val="center"/>
          </w:tcPr>
          <w:p>
            <w:pPr>
              <w:adjustRightInd w:val="0"/>
              <w:snapToGrid w:val="0"/>
              <w:spacing w:line="360" w:lineRule="auto"/>
              <w:jc w:val="center"/>
              <w:rPr>
                <w:rFonts w:ascii="宋体" w:hAnsi="宋体" w:cs="宋体"/>
                <w:sz w:val="24"/>
              </w:rPr>
            </w:pPr>
            <w:r>
              <w:rPr>
                <w:rFonts w:hint="eastAsia" w:ascii="宋体" w:hAnsi="宋体" w:cs="宋体"/>
                <w:sz w:val="24"/>
                <w:lang w:val="zh-CN"/>
              </w:rPr>
              <w:t>（</w:t>
            </w:r>
            <w:r>
              <w:rPr>
                <w:rFonts w:hint="eastAsia" w:ascii="宋体" w:hAnsi="宋体" w:cs="宋体"/>
                <w:sz w:val="24"/>
              </w:rPr>
              <w:t>三）</w:t>
            </w:r>
            <w:r>
              <w:rPr>
                <w:rFonts w:hint="eastAsia" w:ascii="宋体" w:hAnsi="宋体" w:cs="宋体"/>
                <w:sz w:val="24"/>
                <w:lang w:val="zh-CN"/>
              </w:rPr>
              <w:t>设备材料制作（</w:t>
            </w:r>
            <w:r>
              <w:rPr>
                <w:rFonts w:hint="eastAsia" w:ascii="宋体" w:hAnsi="宋体" w:cs="宋体"/>
                <w:sz w:val="24"/>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4" w:type="pct"/>
            <w:noWrap/>
            <w:vAlign w:val="center"/>
          </w:tcPr>
          <w:p>
            <w:pPr>
              <w:spacing w:line="360" w:lineRule="auto"/>
              <w:jc w:val="center"/>
              <w:outlineLvl w:val="0"/>
              <w:rPr>
                <w:rFonts w:ascii="宋体" w:hAnsi="宋体" w:cs="宋体"/>
                <w:sz w:val="24"/>
              </w:rPr>
            </w:pPr>
            <w:r>
              <w:rPr>
                <w:rFonts w:hint="eastAsia" w:ascii="宋体" w:hAnsi="宋体" w:cs="宋体"/>
                <w:sz w:val="24"/>
              </w:rPr>
              <w:t>4</w:t>
            </w:r>
          </w:p>
        </w:tc>
        <w:tc>
          <w:tcPr>
            <w:tcW w:w="3170" w:type="pct"/>
            <w:noWrap/>
            <w:vAlign w:val="center"/>
          </w:tcPr>
          <w:p>
            <w:pPr>
              <w:adjustRightInd w:val="0"/>
              <w:snapToGrid w:val="0"/>
              <w:spacing w:line="360" w:lineRule="auto"/>
              <w:jc w:val="left"/>
              <w:rPr>
                <w:rFonts w:ascii="宋体" w:hAnsi="宋体" w:cs="宋体"/>
                <w:sz w:val="24"/>
              </w:rPr>
            </w:pPr>
            <w:r>
              <w:rPr>
                <w:rFonts w:hint="eastAsia" w:ascii="宋体" w:hAnsi="宋体" w:cs="宋体"/>
                <w:sz w:val="24"/>
                <w:lang w:val="zh-CN"/>
              </w:rPr>
              <w:t>●</w:t>
            </w:r>
            <w:r>
              <w:rPr>
                <w:rFonts w:hint="eastAsia" w:ascii="宋体" w:hAnsi="宋体" w:cs="宋体"/>
                <w:sz w:val="24"/>
              </w:rPr>
              <w:t>设施巡查</w:t>
            </w:r>
            <w:r>
              <w:rPr>
                <w:rFonts w:hint="eastAsia" w:ascii="宋体" w:hAnsi="宋体" w:cs="宋体"/>
                <w:sz w:val="24"/>
                <w:lang w:val="zh-CN"/>
              </w:rPr>
              <w:t>方案，内容应包含</w:t>
            </w:r>
            <w:r>
              <w:rPr>
                <w:rFonts w:hint="eastAsia" w:ascii="宋体" w:hAnsi="宋体" w:cs="宋体"/>
                <w:sz w:val="24"/>
              </w:rPr>
              <w:t>对区域内交通设施的基础、交通标志、标牌和设施杆件等交通设施的安全检查、设施排查、统计及登记造册</w:t>
            </w:r>
            <w:r>
              <w:rPr>
                <w:rFonts w:hint="eastAsia" w:ascii="宋体" w:hAnsi="宋体" w:cs="宋体"/>
                <w:sz w:val="24"/>
                <w:lang w:val="zh-CN"/>
              </w:rPr>
              <w:t>；巡查后发现问题的处理方案，</w:t>
            </w:r>
            <w:r>
              <w:rPr>
                <w:rFonts w:hint="eastAsia" w:ascii="宋体" w:hAnsi="宋体" w:cs="宋体"/>
                <w:sz w:val="24"/>
              </w:rPr>
              <w:t>满足</w:t>
            </w:r>
            <w:r>
              <w:rPr>
                <w:rFonts w:hint="eastAsia" w:ascii="宋体" w:hAnsi="宋体" w:cs="宋体"/>
                <w:sz w:val="24"/>
                <w:lang w:val="zh-CN"/>
              </w:rPr>
              <w:t>的得</w:t>
            </w:r>
            <w:r>
              <w:rPr>
                <w:rFonts w:hint="eastAsia" w:ascii="宋体" w:hAnsi="宋体" w:cs="宋体"/>
                <w:sz w:val="24"/>
              </w:rPr>
              <w:t>4</w:t>
            </w:r>
            <w:r>
              <w:rPr>
                <w:rFonts w:hint="eastAsia" w:ascii="宋体" w:hAnsi="宋体" w:cs="宋体"/>
                <w:sz w:val="24"/>
                <w:lang w:val="zh-CN"/>
              </w:rPr>
              <w:t>分，略有不足需完善的</w:t>
            </w:r>
            <w:r>
              <w:rPr>
                <w:rFonts w:hint="eastAsia" w:ascii="宋体" w:hAnsi="宋体" w:cs="宋体"/>
                <w:sz w:val="24"/>
              </w:rPr>
              <w:t>得2分，</w:t>
            </w:r>
            <w:r>
              <w:rPr>
                <w:rFonts w:hint="eastAsia" w:ascii="宋体" w:hAnsi="宋体" w:cs="宋体"/>
                <w:sz w:val="24"/>
                <w:lang w:val="zh-CN"/>
              </w:rPr>
              <w:t>不满足或与实际不符的不得分。最高</w:t>
            </w:r>
            <w:r>
              <w:rPr>
                <w:rFonts w:hint="eastAsia" w:ascii="宋体" w:hAnsi="宋体" w:cs="宋体"/>
                <w:sz w:val="24"/>
              </w:rPr>
              <w:t>4</w:t>
            </w:r>
            <w:r>
              <w:rPr>
                <w:rFonts w:hint="eastAsia" w:ascii="宋体" w:hAnsi="宋体" w:cs="宋体"/>
                <w:sz w:val="24"/>
                <w:lang w:val="zh-CN"/>
              </w:rPr>
              <w:t>分。</w:t>
            </w:r>
          </w:p>
        </w:tc>
        <w:tc>
          <w:tcPr>
            <w:tcW w:w="470" w:type="pct"/>
            <w:noWrap/>
            <w:vAlign w:val="center"/>
          </w:tcPr>
          <w:p>
            <w:pPr>
              <w:adjustRightInd w:val="0"/>
              <w:snapToGrid w:val="0"/>
              <w:spacing w:line="360" w:lineRule="auto"/>
              <w:jc w:val="center"/>
              <w:rPr>
                <w:rFonts w:ascii="宋体" w:hAnsi="宋体" w:cs="宋体"/>
                <w:sz w:val="24"/>
              </w:rPr>
            </w:pPr>
            <w:r>
              <w:rPr>
                <w:rFonts w:hint="eastAsia" w:ascii="宋体" w:hAnsi="宋体" w:cs="宋体"/>
                <w:sz w:val="24"/>
              </w:rPr>
              <w:t>4分</w:t>
            </w:r>
          </w:p>
        </w:tc>
        <w:tc>
          <w:tcPr>
            <w:tcW w:w="854" w:type="pct"/>
            <w:noWrap/>
            <w:vAlign w:val="center"/>
          </w:tcPr>
          <w:p>
            <w:pPr>
              <w:adjustRightInd w:val="0"/>
              <w:snapToGrid w:val="0"/>
              <w:spacing w:line="360" w:lineRule="auto"/>
              <w:jc w:val="center"/>
              <w:rPr>
                <w:rFonts w:ascii="宋体" w:hAnsi="宋体" w:cs="宋体"/>
                <w:sz w:val="24"/>
              </w:rPr>
            </w:pPr>
            <w:r>
              <w:rPr>
                <w:rFonts w:hint="eastAsia" w:ascii="宋体" w:hAnsi="宋体" w:cs="宋体"/>
                <w:sz w:val="24"/>
              </w:rPr>
              <w:t>（四）设施巡查</w:t>
            </w:r>
            <w:r>
              <w:rPr>
                <w:rFonts w:hint="eastAsia" w:ascii="宋体" w:hAnsi="宋体" w:cs="宋体"/>
                <w:sz w:val="24"/>
                <w:lang w:val="zh-CN"/>
              </w:rPr>
              <w:t>方案（</w:t>
            </w:r>
            <w:r>
              <w:rPr>
                <w:rFonts w:hint="eastAsia" w:ascii="宋体" w:hAnsi="宋体" w:cs="宋体"/>
                <w:sz w:val="24"/>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504" w:type="pct"/>
            <w:noWrap/>
            <w:vAlign w:val="center"/>
          </w:tcPr>
          <w:p>
            <w:pPr>
              <w:spacing w:line="360" w:lineRule="auto"/>
              <w:jc w:val="center"/>
              <w:rPr>
                <w:rFonts w:ascii="宋体" w:hAnsi="宋体" w:cs="宋体"/>
                <w:sz w:val="24"/>
              </w:rPr>
            </w:pPr>
            <w:r>
              <w:rPr>
                <w:rFonts w:hint="eastAsia" w:ascii="宋体" w:hAnsi="宋体" w:cs="宋体"/>
                <w:sz w:val="24"/>
              </w:rPr>
              <w:t>5</w:t>
            </w:r>
          </w:p>
        </w:tc>
        <w:tc>
          <w:tcPr>
            <w:tcW w:w="3170" w:type="pct"/>
            <w:noWrap/>
            <w:vAlign w:val="center"/>
          </w:tcPr>
          <w:p>
            <w:pPr>
              <w:adjustRightInd w:val="0"/>
              <w:snapToGrid w:val="0"/>
              <w:spacing w:line="360" w:lineRule="auto"/>
              <w:jc w:val="left"/>
              <w:rPr>
                <w:rFonts w:ascii="宋体" w:hAnsi="宋体" w:cs="宋体"/>
                <w:sz w:val="24"/>
              </w:rPr>
            </w:pPr>
            <w:r>
              <w:rPr>
                <w:rFonts w:hint="eastAsia" w:ascii="宋体" w:hAnsi="宋体" w:cs="宋体"/>
                <w:sz w:val="24"/>
              </w:rPr>
              <w:t>●投标人所投项目应急方案</w:t>
            </w:r>
            <w:r>
              <w:rPr>
                <w:rFonts w:hint="eastAsia" w:ascii="宋体" w:hAnsi="宋体" w:cs="宋体"/>
                <w:sz w:val="24"/>
                <w:lang w:val="zh-CN"/>
              </w:rPr>
              <w:t>：投标</w:t>
            </w:r>
            <w:r>
              <w:rPr>
                <w:rFonts w:hint="eastAsia" w:ascii="宋体" w:hAnsi="宋体" w:cs="宋体"/>
                <w:sz w:val="24"/>
              </w:rPr>
              <w:t>人</w:t>
            </w:r>
            <w:r>
              <w:rPr>
                <w:rFonts w:hint="eastAsia" w:ascii="宋体" w:hAnsi="宋体" w:cs="宋体"/>
                <w:sz w:val="24"/>
                <w:lang w:val="zh-CN"/>
              </w:rPr>
              <w:t>的维护机构情况是否满足采购人日常维护服务需求，配有较强的专业技术队伍，能承诺提供快速的服务响应（接到采购人紧急抢修任务30分钟内至现场进行应急处置，一般情况3小时内完成）。</w:t>
            </w:r>
            <w:r>
              <w:rPr>
                <w:rFonts w:hint="eastAsia" w:ascii="宋体" w:hAnsi="宋体" w:cs="宋体"/>
                <w:sz w:val="24"/>
              </w:rPr>
              <w:t>承诺</w:t>
            </w:r>
            <w:r>
              <w:rPr>
                <w:rFonts w:hint="eastAsia" w:ascii="宋体" w:hAnsi="宋体" w:cs="宋体"/>
                <w:sz w:val="24"/>
                <w:lang w:val="zh-CN"/>
              </w:rPr>
              <w:t>满足要求的得</w:t>
            </w:r>
            <w:r>
              <w:rPr>
                <w:rFonts w:hint="eastAsia" w:ascii="宋体" w:hAnsi="宋体" w:cs="宋体"/>
                <w:sz w:val="24"/>
              </w:rPr>
              <w:t>3</w:t>
            </w:r>
            <w:r>
              <w:rPr>
                <w:rFonts w:hint="eastAsia" w:ascii="宋体" w:hAnsi="宋体" w:cs="宋体"/>
                <w:sz w:val="24"/>
                <w:lang w:val="zh-CN"/>
              </w:rPr>
              <w:t>分，</w:t>
            </w:r>
            <w:r>
              <w:rPr>
                <w:rFonts w:hint="eastAsia" w:ascii="宋体" w:hAnsi="宋体" w:cs="宋体"/>
                <w:sz w:val="24"/>
              </w:rPr>
              <w:t>不承诺或</w:t>
            </w:r>
            <w:r>
              <w:rPr>
                <w:rFonts w:hint="eastAsia" w:ascii="宋体" w:hAnsi="宋体" w:cs="宋体"/>
                <w:sz w:val="24"/>
                <w:lang w:val="zh-CN"/>
              </w:rPr>
              <w:t>未提供不得分，最高</w:t>
            </w:r>
            <w:r>
              <w:rPr>
                <w:rFonts w:hint="eastAsia" w:ascii="宋体" w:hAnsi="宋体" w:cs="宋体"/>
                <w:sz w:val="24"/>
              </w:rPr>
              <w:t>3</w:t>
            </w:r>
            <w:r>
              <w:rPr>
                <w:rFonts w:hint="eastAsia" w:ascii="宋体" w:hAnsi="宋体" w:cs="宋体"/>
                <w:sz w:val="24"/>
                <w:lang w:val="zh-CN"/>
              </w:rPr>
              <w:t>分。（</w:t>
            </w:r>
            <w:r>
              <w:rPr>
                <w:rFonts w:hint="eastAsia" w:ascii="宋体" w:hAnsi="宋体" w:cs="宋体"/>
                <w:sz w:val="24"/>
              </w:rPr>
              <w:t>3</w:t>
            </w:r>
            <w:r>
              <w:rPr>
                <w:rFonts w:hint="eastAsia" w:ascii="宋体" w:hAnsi="宋体" w:cs="宋体"/>
                <w:sz w:val="24"/>
                <w:lang w:val="zh-CN"/>
              </w:rPr>
              <w:t>分）</w:t>
            </w:r>
          </w:p>
        </w:tc>
        <w:tc>
          <w:tcPr>
            <w:tcW w:w="470" w:type="pct"/>
            <w:noWrap/>
            <w:vAlign w:val="center"/>
          </w:tcPr>
          <w:p>
            <w:pPr>
              <w:adjustRightInd w:val="0"/>
              <w:snapToGrid w:val="0"/>
              <w:spacing w:line="360" w:lineRule="auto"/>
              <w:jc w:val="center"/>
              <w:rPr>
                <w:rFonts w:ascii="宋体" w:hAnsi="宋体" w:cs="宋体"/>
                <w:sz w:val="24"/>
              </w:rPr>
            </w:pPr>
            <w:r>
              <w:rPr>
                <w:rFonts w:hint="eastAsia" w:ascii="宋体" w:hAnsi="宋体" w:cs="宋体"/>
                <w:sz w:val="24"/>
              </w:rPr>
              <w:t>3分</w:t>
            </w:r>
          </w:p>
        </w:tc>
        <w:tc>
          <w:tcPr>
            <w:tcW w:w="854" w:type="pct"/>
            <w:noWrap/>
            <w:vAlign w:val="center"/>
          </w:tcPr>
          <w:p>
            <w:pPr>
              <w:adjustRightInd w:val="0"/>
              <w:snapToGrid w:val="0"/>
              <w:spacing w:line="360" w:lineRule="auto"/>
              <w:jc w:val="center"/>
              <w:rPr>
                <w:rFonts w:ascii="宋体" w:hAnsi="宋体" w:cs="宋体"/>
                <w:sz w:val="24"/>
              </w:rPr>
            </w:pPr>
            <w:r>
              <w:rPr>
                <w:rFonts w:hint="eastAsia" w:ascii="宋体" w:hAnsi="宋体" w:cs="宋体"/>
                <w:sz w:val="24"/>
              </w:rPr>
              <w:t>（五）应急方案（3分）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504" w:type="pct"/>
            <w:noWrap/>
            <w:vAlign w:val="center"/>
          </w:tcPr>
          <w:p>
            <w:pPr>
              <w:adjustRightInd w:val="0"/>
              <w:snapToGrid w:val="0"/>
              <w:spacing w:line="360" w:lineRule="auto"/>
              <w:jc w:val="center"/>
              <w:rPr>
                <w:rFonts w:ascii="宋体" w:hAnsi="宋体" w:cs="宋体"/>
                <w:sz w:val="24"/>
              </w:rPr>
            </w:pPr>
            <w:r>
              <w:rPr>
                <w:rFonts w:hint="eastAsia" w:ascii="宋体" w:hAnsi="宋体" w:cs="宋体"/>
                <w:sz w:val="24"/>
              </w:rPr>
              <w:t>6</w:t>
            </w:r>
          </w:p>
        </w:tc>
        <w:tc>
          <w:tcPr>
            <w:tcW w:w="3170" w:type="pct"/>
            <w:noWrap/>
            <w:vAlign w:val="center"/>
          </w:tcPr>
          <w:p>
            <w:pPr>
              <w:adjustRightInd w:val="0"/>
              <w:snapToGrid w:val="0"/>
              <w:spacing w:line="360" w:lineRule="auto"/>
              <w:jc w:val="left"/>
              <w:rPr>
                <w:rFonts w:ascii="宋体" w:hAnsi="宋体" w:cs="宋体"/>
                <w:sz w:val="24"/>
              </w:rPr>
            </w:pPr>
            <w:r>
              <w:rPr>
                <w:rFonts w:hint="eastAsia" w:ascii="宋体" w:hAnsi="宋体" w:cs="宋体"/>
                <w:sz w:val="24"/>
              </w:rPr>
              <w:t>投标人所投项目备品备件情况：</w:t>
            </w:r>
          </w:p>
          <w:p>
            <w:pPr>
              <w:adjustRightInd w:val="0"/>
              <w:snapToGrid w:val="0"/>
              <w:spacing w:line="360" w:lineRule="auto"/>
              <w:jc w:val="left"/>
            </w:pPr>
            <w:r>
              <w:rPr>
                <w:rFonts w:hint="eastAsia" w:ascii="宋体" w:hAnsi="宋体" w:cs="宋体"/>
                <w:sz w:val="24"/>
              </w:rPr>
              <w:t>●提供的备品备件库满足采购需求的得3分，不满足不得分，最高得3分（3分）</w:t>
            </w:r>
            <w:r>
              <w:rPr>
                <w:rFonts w:hint="eastAsia" w:ascii="宋体" w:hAnsi="宋体" w:cs="宋体"/>
                <w:sz w:val="24"/>
                <w:lang w:val="zh-CN"/>
              </w:rPr>
              <w:t>（提供产权证明（产权为</w:t>
            </w:r>
            <w:r>
              <w:rPr>
                <w:rFonts w:hint="eastAsia" w:ascii="宋体" w:hAnsi="宋体" w:cs="宋体"/>
                <w:sz w:val="24"/>
              </w:rPr>
              <w:t>投标人</w:t>
            </w:r>
            <w:r>
              <w:rPr>
                <w:rFonts w:hint="eastAsia" w:ascii="宋体" w:hAnsi="宋体" w:cs="宋体"/>
                <w:sz w:val="24"/>
                <w:lang w:val="zh-CN"/>
              </w:rPr>
              <w:t>所有的提供产权证，如非</w:t>
            </w:r>
            <w:r>
              <w:rPr>
                <w:rFonts w:hint="eastAsia" w:ascii="宋体" w:hAnsi="宋体" w:cs="宋体"/>
                <w:sz w:val="24"/>
              </w:rPr>
              <w:t>投标人</w:t>
            </w:r>
            <w:r>
              <w:rPr>
                <w:rFonts w:hint="eastAsia" w:ascii="宋体" w:hAnsi="宋体" w:cs="宋体"/>
                <w:sz w:val="24"/>
                <w:lang w:val="zh-CN"/>
              </w:rPr>
              <w:t>所有的，提供房屋产权证</w:t>
            </w:r>
            <w:r>
              <w:rPr>
                <w:rFonts w:hint="eastAsia" w:ascii="宋体" w:hAnsi="宋体" w:cs="宋体"/>
                <w:sz w:val="24"/>
              </w:rPr>
              <w:t>或</w:t>
            </w:r>
            <w:r>
              <w:rPr>
                <w:rFonts w:hint="eastAsia" w:ascii="宋体" w:hAnsi="宋体" w:cs="宋体"/>
                <w:sz w:val="24"/>
                <w:lang w:val="zh-CN"/>
              </w:rPr>
              <w:t>租赁合同复印件</w:t>
            </w:r>
            <w:r>
              <w:rPr>
                <w:rFonts w:hint="eastAsia" w:ascii="宋体" w:hAnsi="宋体" w:cs="宋体"/>
                <w:sz w:val="24"/>
              </w:rPr>
              <w:t>及租赁发票</w:t>
            </w:r>
            <w:r>
              <w:rPr>
                <w:rFonts w:hint="eastAsia" w:ascii="宋体" w:hAnsi="宋体" w:cs="宋体"/>
                <w:sz w:val="24"/>
                <w:lang w:val="zh-CN"/>
              </w:rPr>
              <w:t>复印件且租赁期长于</w:t>
            </w:r>
            <w:r>
              <w:rPr>
                <w:rFonts w:hint="eastAsia" w:ascii="宋体" w:hAnsi="宋体" w:cs="宋体"/>
                <w:sz w:val="24"/>
              </w:rPr>
              <w:t>本项目</w:t>
            </w:r>
            <w:r>
              <w:rPr>
                <w:rFonts w:hint="eastAsia" w:ascii="宋体" w:hAnsi="宋体" w:cs="宋体"/>
                <w:sz w:val="24"/>
                <w:lang w:val="zh-CN"/>
              </w:rPr>
              <w:t>服务期相关证明材料</w:t>
            </w:r>
            <w:r>
              <w:rPr>
                <w:rFonts w:hint="eastAsia" w:ascii="宋体" w:hAnsi="宋体" w:cs="宋体"/>
                <w:sz w:val="24"/>
              </w:rPr>
              <w:t>等</w:t>
            </w:r>
            <w:r>
              <w:rPr>
                <w:rFonts w:hint="eastAsia" w:ascii="宋体" w:hAnsi="宋体" w:cs="宋体"/>
                <w:sz w:val="24"/>
                <w:lang w:val="zh-CN"/>
              </w:rPr>
              <w:t>）；</w:t>
            </w:r>
          </w:p>
          <w:p>
            <w:pPr>
              <w:adjustRightInd w:val="0"/>
              <w:snapToGrid w:val="0"/>
              <w:spacing w:line="360" w:lineRule="auto"/>
              <w:jc w:val="left"/>
              <w:rPr>
                <w:rFonts w:ascii="宋体" w:hAnsi="宋体" w:cs="宋体"/>
                <w:sz w:val="24"/>
              </w:rPr>
            </w:pPr>
            <w:r>
              <w:rPr>
                <w:rFonts w:hint="eastAsia" w:ascii="宋体" w:hAnsi="宋体" w:cs="宋体"/>
                <w:sz w:val="24"/>
              </w:rPr>
              <w:t>●在6小时内提供必要的备品备件，满足采购需求得2分，不满足的不得分，最高得2分（2分）</w:t>
            </w:r>
          </w:p>
        </w:tc>
        <w:tc>
          <w:tcPr>
            <w:tcW w:w="470" w:type="pct"/>
            <w:noWrap/>
            <w:vAlign w:val="center"/>
          </w:tcPr>
          <w:p>
            <w:pPr>
              <w:adjustRightInd w:val="0"/>
              <w:snapToGrid w:val="0"/>
              <w:spacing w:line="360" w:lineRule="auto"/>
              <w:jc w:val="center"/>
              <w:rPr>
                <w:rFonts w:ascii="宋体" w:hAnsi="宋体" w:cs="宋体"/>
                <w:sz w:val="24"/>
              </w:rPr>
            </w:pPr>
            <w:r>
              <w:rPr>
                <w:rFonts w:hint="eastAsia" w:ascii="宋体" w:hAnsi="宋体" w:cs="宋体"/>
                <w:sz w:val="24"/>
              </w:rPr>
              <w:t>5分</w:t>
            </w:r>
          </w:p>
        </w:tc>
        <w:tc>
          <w:tcPr>
            <w:tcW w:w="854" w:type="pct"/>
            <w:noWrap/>
            <w:vAlign w:val="center"/>
          </w:tcPr>
          <w:p>
            <w:pPr>
              <w:adjustRightInd w:val="0"/>
              <w:snapToGrid w:val="0"/>
              <w:spacing w:line="360" w:lineRule="auto"/>
              <w:jc w:val="center"/>
              <w:rPr>
                <w:rFonts w:ascii="宋体" w:hAnsi="宋体" w:cs="宋体"/>
                <w:sz w:val="24"/>
              </w:rPr>
            </w:pPr>
            <w:r>
              <w:rPr>
                <w:rFonts w:hint="eastAsia" w:ascii="宋体" w:hAnsi="宋体" w:cs="宋体"/>
                <w:sz w:val="24"/>
              </w:rPr>
              <w:t>（六）备品备件（5分）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504" w:type="pct"/>
            <w:noWrap/>
            <w:vAlign w:val="center"/>
          </w:tcPr>
          <w:p>
            <w:pPr>
              <w:adjustRightInd w:val="0"/>
              <w:snapToGrid w:val="0"/>
              <w:spacing w:line="360" w:lineRule="auto"/>
              <w:jc w:val="center"/>
              <w:rPr>
                <w:rFonts w:ascii="宋体" w:hAnsi="宋体" w:cs="宋体"/>
                <w:sz w:val="24"/>
              </w:rPr>
            </w:pPr>
            <w:r>
              <w:rPr>
                <w:rFonts w:hint="eastAsia" w:ascii="宋体" w:hAnsi="宋体" w:cs="宋体"/>
                <w:sz w:val="24"/>
              </w:rPr>
              <w:t>7</w:t>
            </w:r>
          </w:p>
        </w:tc>
        <w:tc>
          <w:tcPr>
            <w:tcW w:w="3170" w:type="pct"/>
            <w:noWrap/>
            <w:vAlign w:val="center"/>
          </w:tcPr>
          <w:p>
            <w:pPr>
              <w:adjustRightInd w:val="0"/>
              <w:snapToGrid w:val="0"/>
              <w:spacing w:line="360" w:lineRule="auto"/>
              <w:jc w:val="left"/>
              <w:rPr>
                <w:rFonts w:ascii="宋体" w:hAnsi="宋体" w:cs="宋体"/>
                <w:sz w:val="24"/>
              </w:rPr>
            </w:pPr>
            <w:r>
              <w:rPr>
                <w:rFonts w:hint="eastAsia" w:ascii="宋体" w:hAnsi="宋体" w:cs="宋体"/>
                <w:sz w:val="24"/>
              </w:rPr>
              <w:t>● 投标人承诺：①明确的质量目标，②质量保证措施，③提供质量保证承诺书等。每项满足采购需求的得1分，不满足不得分。本项最高得3分（3分）。</w:t>
            </w:r>
          </w:p>
        </w:tc>
        <w:tc>
          <w:tcPr>
            <w:tcW w:w="470" w:type="pct"/>
            <w:noWrap/>
            <w:vAlign w:val="center"/>
          </w:tcPr>
          <w:p>
            <w:pPr>
              <w:adjustRightInd w:val="0"/>
              <w:snapToGrid w:val="0"/>
              <w:spacing w:line="360" w:lineRule="auto"/>
              <w:jc w:val="center"/>
              <w:rPr>
                <w:rFonts w:ascii="宋体" w:hAnsi="宋体" w:cs="宋体"/>
                <w:sz w:val="24"/>
              </w:rPr>
            </w:pPr>
            <w:r>
              <w:rPr>
                <w:rFonts w:hint="eastAsia" w:ascii="宋体" w:hAnsi="宋体" w:cs="宋体"/>
                <w:sz w:val="24"/>
              </w:rPr>
              <w:t>3分</w:t>
            </w:r>
          </w:p>
        </w:tc>
        <w:tc>
          <w:tcPr>
            <w:tcW w:w="854" w:type="pct"/>
            <w:noWrap/>
            <w:vAlign w:val="center"/>
          </w:tcPr>
          <w:p>
            <w:pPr>
              <w:adjustRightInd w:val="0"/>
              <w:snapToGrid w:val="0"/>
              <w:spacing w:line="360" w:lineRule="auto"/>
              <w:jc w:val="center"/>
              <w:rPr>
                <w:rFonts w:ascii="宋体" w:hAnsi="宋体" w:cs="宋体"/>
                <w:sz w:val="24"/>
              </w:rPr>
            </w:pPr>
            <w:r>
              <w:rPr>
                <w:rFonts w:hint="eastAsia" w:ascii="宋体" w:hAnsi="宋体" w:cs="宋体"/>
                <w:sz w:val="24"/>
              </w:rPr>
              <w:t>（七）、质量保证措施（3分）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504" w:type="pct"/>
            <w:noWrap/>
            <w:vAlign w:val="center"/>
          </w:tcPr>
          <w:p>
            <w:pPr>
              <w:adjustRightInd w:val="0"/>
              <w:snapToGrid w:val="0"/>
              <w:spacing w:line="360" w:lineRule="auto"/>
              <w:jc w:val="center"/>
              <w:rPr>
                <w:rFonts w:ascii="宋体" w:hAnsi="宋体" w:cs="宋体"/>
                <w:sz w:val="24"/>
              </w:rPr>
            </w:pPr>
            <w:r>
              <w:rPr>
                <w:rFonts w:hint="eastAsia" w:ascii="宋体" w:hAnsi="宋体" w:cs="宋体"/>
                <w:sz w:val="24"/>
              </w:rPr>
              <w:t>8</w:t>
            </w:r>
          </w:p>
        </w:tc>
        <w:tc>
          <w:tcPr>
            <w:tcW w:w="3170" w:type="pct"/>
            <w:noWrap/>
            <w:vAlign w:val="center"/>
          </w:tcPr>
          <w:p>
            <w:pPr>
              <w:adjustRightInd w:val="0"/>
              <w:snapToGrid w:val="0"/>
              <w:spacing w:line="360" w:lineRule="auto"/>
              <w:jc w:val="left"/>
              <w:rPr>
                <w:rFonts w:ascii="宋体" w:hAnsi="宋体" w:cs="宋体"/>
                <w:sz w:val="24"/>
              </w:rPr>
            </w:pPr>
            <w:r>
              <w:rPr>
                <w:rFonts w:hint="eastAsia" w:ascii="宋体" w:hAnsi="宋体" w:cs="宋体"/>
                <w:sz w:val="24"/>
              </w:rPr>
              <w:t>●根据投标人服务机构的便利性，售后服务技术力量、设备设施配置等。每项满足采购需求的得3分，内容欠缺或部分满足采购需求的得1.5分，不满足不得分。本项最高得3分（3分）。</w:t>
            </w:r>
          </w:p>
        </w:tc>
        <w:tc>
          <w:tcPr>
            <w:tcW w:w="470" w:type="pct"/>
            <w:noWrap/>
            <w:vAlign w:val="center"/>
          </w:tcPr>
          <w:p>
            <w:pPr>
              <w:adjustRightInd w:val="0"/>
              <w:snapToGrid w:val="0"/>
              <w:spacing w:line="360" w:lineRule="auto"/>
              <w:jc w:val="center"/>
              <w:rPr>
                <w:rFonts w:ascii="宋体" w:hAnsi="宋体" w:cs="宋体"/>
                <w:sz w:val="24"/>
              </w:rPr>
            </w:pPr>
            <w:r>
              <w:rPr>
                <w:rFonts w:hint="eastAsia" w:ascii="宋体" w:hAnsi="宋体" w:cs="宋体"/>
                <w:sz w:val="24"/>
              </w:rPr>
              <w:t>3分</w:t>
            </w:r>
          </w:p>
        </w:tc>
        <w:tc>
          <w:tcPr>
            <w:tcW w:w="854" w:type="pct"/>
            <w:noWrap/>
            <w:vAlign w:val="center"/>
          </w:tcPr>
          <w:p>
            <w:pPr>
              <w:adjustRightInd w:val="0"/>
              <w:snapToGrid w:val="0"/>
              <w:spacing w:line="360" w:lineRule="auto"/>
              <w:jc w:val="center"/>
              <w:rPr>
                <w:rFonts w:ascii="宋体" w:hAnsi="宋体" w:cs="宋体"/>
                <w:sz w:val="24"/>
              </w:rPr>
            </w:pPr>
            <w:r>
              <w:rPr>
                <w:rFonts w:hint="eastAsia" w:ascii="宋体" w:hAnsi="宋体" w:cs="宋体"/>
                <w:sz w:val="24"/>
              </w:rPr>
              <w:t>（八）售后服务要求（3分）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504" w:type="pct"/>
            <w:noWrap/>
            <w:vAlign w:val="center"/>
          </w:tcPr>
          <w:p>
            <w:pPr>
              <w:adjustRightInd w:val="0"/>
              <w:snapToGrid w:val="0"/>
              <w:spacing w:line="360" w:lineRule="auto"/>
              <w:jc w:val="center"/>
              <w:rPr>
                <w:rFonts w:ascii="宋体" w:hAnsi="宋体" w:cs="宋体"/>
                <w:sz w:val="24"/>
              </w:rPr>
            </w:pPr>
            <w:r>
              <w:rPr>
                <w:rFonts w:hint="eastAsia" w:ascii="宋体" w:hAnsi="宋体" w:cs="宋体"/>
                <w:sz w:val="24"/>
              </w:rPr>
              <w:t>9</w:t>
            </w:r>
          </w:p>
        </w:tc>
        <w:tc>
          <w:tcPr>
            <w:tcW w:w="3170" w:type="pct"/>
            <w:noWrap/>
            <w:vAlign w:val="center"/>
          </w:tcPr>
          <w:p>
            <w:pPr>
              <w:adjustRightInd w:val="0"/>
              <w:snapToGrid w:val="0"/>
              <w:spacing w:line="360" w:lineRule="auto"/>
              <w:jc w:val="left"/>
              <w:rPr>
                <w:rFonts w:ascii="宋体" w:hAnsi="宋体" w:cs="宋体"/>
                <w:sz w:val="24"/>
                <w:lang w:val="zh-CN"/>
              </w:rPr>
            </w:pPr>
            <w:r>
              <w:rPr>
                <w:rFonts w:hint="eastAsia" w:ascii="宋体" w:hAnsi="宋体" w:cs="宋体"/>
                <w:sz w:val="24"/>
                <w:lang w:val="zh-CN"/>
              </w:rPr>
              <w:t>针对本项目的人员</w:t>
            </w:r>
            <w:r>
              <w:rPr>
                <w:rFonts w:hint="eastAsia" w:ascii="宋体" w:hAnsi="宋体" w:cs="宋体"/>
                <w:sz w:val="24"/>
              </w:rPr>
              <w:t>要求</w:t>
            </w:r>
            <w:r>
              <w:rPr>
                <w:rFonts w:hint="eastAsia" w:ascii="宋体" w:hAnsi="宋体" w:cs="宋体"/>
                <w:sz w:val="24"/>
                <w:lang w:val="zh-CN"/>
              </w:rPr>
              <w:t>：</w:t>
            </w:r>
          </w:p>
          <w:p>
            <w:pPr>
              <w:adjustRightInd w:val="0"/>
              <w:snapToGrid w:val="0"/>
              <w:spacing w:line="360" w:lineRule="auto"/>
              <w:jc w:val="left"/>
              <w:rPr>
                <w:rFonts w:ascii="宋体" w:hAnsi="宋体" w:cs="宋体"/>
                <w:sz w:val="24"/>
                <w:lang w:val="zh-CN"/>
              </w:rPr>
            </w:pPr>
            <w:r>
              <w:rPr>
                <w:rFonts w:hint="eastAsia" w:ascii="宋体" w:hAnsi="宋体" w:cs="宋体"/>
                <w:sz w:val="24"/>
                <w:lang w:val="zh-CN"/>
              </w:rPr>
              <w:t>●</w:t>
            </w:r>
            <w:r>
              <w:rPr>
                <w:rFonts w:hint="eastAsia" w:ascii="宋体" w:hAnsi="宋体" w:cs="宋体"/>
                <w:sz w:val="24"/>
              </w:rPr>
              <w:t>拟担任本项目项目负责人的技术能力、经验等情况</w:t>
            </w:r>
            <w:r>
              <w:rPr>
                <w:rFonts w:hint="eastAsia" w:ascii="宋体" w:hAnsi="宋体" w:cs="宋体"/>
                <w:sz w:val="24"/>
                <w:lang w:val="zh-CN"/>
              </w:rPr>
              <w:t>。①</w:t>
            </w:r>
            <w:r>
              <w:rPr>
                <w:rFonts w:hint="eastAsia" w:ascii="宋体" w:hAnsi="宋体" w:cs="宋体"/>
                <w:sz w:val="24"/>
              </w:rPr>
              <w:t>具有二级建造师及以上职称</w:t>
            </w:r>
            <w:r>
              <w:rPr>
                <w:rFonts w:hint="eastAsia" w:ascii="宋体" w:hAnsi="宋体" w:cs="宋体"/>
                <w:sz w:val="24"/>
                <w:lang w:val="zh-CN"/>
              </w:rPr>
              <w:t>得</w:t>
            </w:r>
            <w:r>
              <w:rPr>
                <w:rFonts w:hint="eastAsia" w:ascii="宋体" w:hAnsi="宋体" w:cs="宋体"/>
                <w:sz w:val="24"/>
              </w:rPr>
              <w:t>3分，</w:t>
            </w:r>
            <w:r>
              <w:rPr>
                <w:rFonts w:hint="eastAsia" w:ascii="宋体" w:hAnsi="宋体" w:cs="宋体"/>
                <w:sz w:val="24"/>
                <w:lang w:val="zh-CN"/>
              </w:rPr>
              <w:t>不</w:t>
            </w:r>
            <w:r>
              <w:rPr>
                <w:rFonts w:hint="eastAsia" w:ascii="宋体" w:hAnsi="宋体" w:cs="宋体"/>
                <w:sz w:val="24"/>
              </w:rPr>
              <w:t>提供</w:t>
            </w:r>
            <w:r>
              <w:rPr>
                <w:rFonts w:hint="eastAsia" w:ascii="宋体" w:hAnsi="宋体" w:cs="宋体"/>
                <w:sz w:val="24"/>
                <w:lang w:val="zh-CN"/>
              </w:rPr>
              <w:t>不得分。②</w:t>
            </w:r>
            <w:r>
              <w:rPr>
                <w:rFonts w:hint="eastAsia" w:ascii="宋体" w:hAnsi="宋体" w:cs="宋体"/>
                <w:sz w:val="24"/>
              </w:rPr>
              <w:t>具有交通设施项目经验。（需提供项目合同（项目合同如不能体现项目负责人信息需同时提供业主证明材料）提供得3分，不提供不得分）本项最高得6分（6分）</w:t>
            </w:r>
          </w:p>
          <w:p>
            <w:pPr>
              <w:adjustRightInd w:val="0"/>
              <w:snapToGrid w:val="0"/>
              <w:spacing w:line="360" w:lineRule="auto"/>
              <w:jc w:val="left"/>
              <w:rPr>
                <w:rFonts w:ascii="宋体" w:hAnsi="宋体" w:cs="宋体"/>
                <w:sz w:val="24"/>
                <w:lang w:val="zh-CN"/>
              </w:rPr>
            </w:pPr>
            <w:r>
              <w:rPr>
                <w:rFonts w:hint="eastAsia" w:ascii="宋体" w:hAnsi="宋体" w:cs="宋体"/>
                <w:sz w:val="24"/>
                <w:lang w:val="zh-CN"/>
              </w:rPr>
              <w:t>●</w:t>
            </w:r>
            <w:r>
              <w:rPr>
                <w:rFonts w:hint="eastAsia" w:ascii="宋体" w:hAnsi="宋体" w:cs="宋体"/>
                <w:sz w:val="24"/>
              </w:rPr>
              <w:t>拟担任本项目驻点人员的经验等情况</w:t>
            </w:r>
            <w:r>
              <w:rPr>
                <w:rFonts w:hint="eastAsia" w:ascii="宋体" w:hAnsi="宋体" w:cs="宋体"/>
                <w:sz w:val="24"/>
                <w:lang w:val="zh-CN"/>
              </w:rPr>
              <w:t>。①</w:t>
            </w:r>
            <w:r>
              <w:rPr>
                <w:rFonts w:hint="eastAsia" w:ascii="宋体" w:hAnsi="宋体" w:cs="宋体"/>
                <w:sz w:val="24"/>
              </w:rPr>
              <w:t>具有相关交通设施项目经验（需提供项目合同（项目合同如不能体现驻点人员信息需同时提供业主证明材料），提供得3分，不提供不得分），本项最高得3分（3分）</w:t>
            </w:r>
          </w:p>
          <w:p>
            <w:pPr>
              <w:adjustRightInd w:val="0"/>
              <w:snapToGrid w:val="0"/>
              <w:spacing w:line="360" w:lineRule="auto"/>
              <w:jc w:val="left"/>
              <w:rPr>
                <w:rFonts w:ascii="宋体" w:hAnsi="宋体" w:cs="宋体"/>
                <w:sz w:val="24"/>
                <w:lang w:val="zh-CN"/>
              </w:rPr>
            </w:pPr>
            <w:r>
              <w:rPr>
                <w:rFonts w:hint="eastAsia" w:ascii="宋体" w:hAnsi="宋体" w:cs="宋体"/>
                <w:sz w:val="24"/>
                <w:lang w:val="zh-CN"/>
              </w:rPr>
              <w:t>●</w:t>
            </w:r>
            <w:r>
              <w:rPr>
                <w:rFonts w:hint="eastAsia" w:ascii="宋体" w:hAnsi="宋体" w:cs="宋体"/>
                <w:sz w:val="24"/>
              </w:rPr>
              <w:t>拟担任本项目实施团队人员（维护、抢修技术人员）的技术能力等情况、经验等情况</w:t>
            </w:r>
            <w:r>
              <w:rPr>
                <w:rFonts w:hint="eastAsia" w:ascii="宋体" w:hAnsi="宋体" w:cs="宋体"/>
                <w:sz w:val="24"/>
                <w:lang w:val="zh-CN"/>
              </w:rPr>
              <w:t>。①</w:t>
            </w:r>
            <w:r>
              <w:rPr>
                <w:rFonts w:hint="eastAsia" w:ascii="宋体" w:hAnsi="宋体" w:cs="宋体"/>
                <w:sz w:val="24"/>
              </w:rPr>
              <w:t>需不少于一位持有电工证，提供得3分，不提供不得分，</w:t>
            </w:r>
            <w:r>
              <w:rPr>
                <w:rFonts w:hint="eastAsia" w:ascii="宋体" w:hAnsi="宋体" w:cs="宋体"/>
                <w:sz w:val="24"/>
                <w:lang w:val="zh-CN"/>
              </w:rPr>
              <w:t>②</w:t>
            </w:r>
            <w:r>
              <w:rPr>
                <w:rFonts w:hint="eastAsia" w:ascii="宋体" w:hAnsi="宋体" w:cs="宋体"/>
                <w:sz w:val="24"/>
              </w:rPr>
              <w:t>需不少于一位持有高空作业证，提供得3分，不提供不得分</w:t>
            </w:r>
            <w:r>
              <w:rPr>
                <w:rFonts w:hint="eastAsia" w:ascii="宋体" w:hAnsi="宋体" w:cs="宋体"/>
                <w:sz w:val="24"/>
                <w:lang w:val="zh-CN"/>
              </w:rPr>
              <w:t>③</w:t>
            </w:r>
            <w:r>
              <w:rPr>
                <w:rFonts w:hint="eastAsia" w:ascii="宋体" w:hAnsi="宋体" w:cs="宋体"/>
                <w:sz w:val="24"/>
              </w:rPr>
              <w:t>具有相关交通设施项目经验（需提供项目合同（项目合同如不能体现实施团队人员信息需同时提供业主证明材料），提供得3分，不提供不得分，本项最高得9分（9分）</w:t>
            </w:r>
          </w:p>
          <w:p>
            <w:pPr>
              <w:spacing w:line="360" w:lineRule="auto"/>
              <w:jc w:val="left"/>
              <w:rPr>
                <w:rFonts w:ascii="宋体" w:hAnsi="宋体" w:cs="宋体"/>
                <w:sz w:val="24"/>
              </w:rPr>
            </w:pPr>
            <w:r>
              <w:rPr>
                <w:rFonts w:hint="eastAsia" w:ascii="宋体" w:hAnsi="宋体" w:cs="宋体"/>
                <w:sz w:val="24"/>
                <w:lang w:val="zh-CN"/>
              </w:rPr>
              <w:t>●</w:t>
            </w:r>
            <w:r>
              <w:rPr>
                <w:rFonts w:hint="eastAsia" w:ascii="宋体" w:hAnsi="宋体" w:cs="宋体"/>
                <w:sz w:val="24"/>
              </w:rPr>
              <w:t>拟担任本项目实施团队人员（维护、抢修技术人员）在满足采购需求的情况下，每增加1人得1分，不提供不得分，本项最高得4分（4分）</w:t>
            </w:r>
          </w:p>
          <w:p>
            <w:pPr>
              <w:adjustRightInd w:val="0"/>
              <w:snapToGrid w:val="0"/>
              <w:spacing w:line="360" w:lineRule="auto"/>
              <w:jc w:val="left"/>
              <w:rPr>
                <w:rFonts w:ascii="宋体" w:hAnsi="宋体" w:cs="宋体"/>
                <w:sz w:val="24"/>
              </w:rPr>
            </w:pPr>
            <w:r>
              <w:rPr>
                <w:rFonts w:hint="eastAsia" w:ascii="宋体" w:hAnsi="宋体" w:cs="宋体"/>
                <w:sz w:val="24"/>
              </w:rPr>
              <w:t>注：</w:t>
            </w:r>
            <w:r>
              <w:rPr>
                <w:rFonts w:hint="eastAsia" w:ascii="宋体" w:hAnsi="宋体" w:cs="宋体"/>
                <w:sz w:val="24"/>
                <w:lang w:val="zh-CN"/>
              </w:rPr>
              <w:t>每个标项</w:t>
            </w:r>
            <w:r>
              <w:rPr>
                <w:rFonts w:hint="eastAsia" w:ascii="宋体" w:hAnsi="宋体" w:cs="宋体"/>
                <w:sz w:val="24"/>
              </w:rPr>
              <w:t>人员</w:t>
            </w:r>
            <w:r>
              <w:rPr>
                <w:rFonts w:hint="eastAsia" w:ascii="宋体" w:hAnsi="宋体" w:cs="宋体"/>
                <w:sz w:val="24"/>
                <w:lang w:val="zh-CN"/>
              </w:rPr>
              <w:t>不得重复，</w:t>
            </w:r>
            <w:r>
              <w:rPr>
                <w:rFonts w:hint="eastAsia" w:ascii="宋体" w:hAnsi="宋体" w:cs="宋体"/>
                <w:sz w:val="24"/>
              </w:rPr>
              <w:t>所有人员均需提供社保缴纳证明复印件及提供本项目服务期间为本项目提供服务的承诺函，否则不得分。</w:t>
            </w:r>
          </w:p>
        </w:tc>
        <w:tc>
          <w:tcPr>
            <w:tcW w:w="470" w:type="pct"/>
            <w:noWrap/>
            <w:vAlign w:val="center"/>
          </w:tcPr>
          <w:p>
            <w:pPr>
              <w:adjustRightInd w:val="0"/>
              <w:snapToGrid w:val="0"/>
              <w:spacing w:line="360" w:lineRule="auto"/>
              <w:jc w:val="center"/>
              <w:rPr>
                <w:rFonts w:ascii="宋体" w:hAnsi="宋体" w:cs="宋体"/>
                <w:sz w:val="24"/>
              </w:rPr>
            </w:pPr>
            <w:r>
              <w:rPr>
                <w:rFonts w:hint="eastAsia" w:ascii="宋体" w:hAnsi="宋体" w:cs="宋体"/>
                <w:sz w:val="24"/>
              </w:rPr>
              <w:t>22分</w:t>
            </w:r>
          </w:p>
        </w:tc>
        <w:tc>
          <w:tcPr>
            <w:tcW w:w="854" w:type="pct"/>
            <w:noWrap/>
            <w:vAlign w:val="center"/>
          </w:tcPr>
          <w:p>
            <w:pPr>
              <w:adjustRightInd w:val="0"/>
              <w:snapToGrid w:val="0"/>
              <w:spacing w:line="360" w:lineRule="auto"/>
              <w:jc w:val="center"/>
              <w:rPr>
                <w:rFonts w:ascii="宋体" w:hAnsi="宋体" w:cs="宋体"/>
                <w:sz w:val="24"/>
              </w:rPr>
            </w:pPr>
            <w:r>
              <w:rPr>
                <w:rFonts w:hint="eastAsia" w:ascii="宋体" w:hAnsi="宋体" w:cs="宋体"/>
                <w:sz w:val="24"/>
              </w:rPr>
              <w:t>（九）</w:t>
            </w:r>
            <w:r>
              <w:rPr>
                <w:rFonts w:hint="eastAsia" w:ascii="宋体" w:hAnsi="宋体" w:cs="宋体"/>
                <w:sz w:val="24"/>
                <w:lang w:val="zh-CN"/>
              </w:rPr>
              <w:t>人员情况（</w:t>
            </w:r>
            <w:r>
              <w:rPr>
                <w:rFonts w:hint="eastAsia" w:ascii="宋体" w:hAnsi="宋体" w:cs="宋体"/>
                <w:sz w:val="24"/>
              </w:rPr>
              <w:t>22</w:t>
            </w:r>
            <w:r>
              <w:rPr>
                <w:rFonts w:hint="eastAsia" w:ascii="宋体" w:hAnsi="宋体" w:cs="宋体"/>
                <w:sz w:val="24"/>
                <w:lang w:val="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0" w:hRule="atLeast"/>
        </w:trPr>
        <w:tc>
          <w:tcPr>
            <w:tcW w:w="504" w:type="pct"/>
            <w:noWrap/>
            <w:vAlign w:val="center"/>
          </w:tcPr>
          <w:p>
            <w:pPr>
              <w:spacing w:line="360" w:lineRule="auto"/>
              <w:jc w:val="center"/>
              <w:rPr>
                <w:rFonts w:ascii="宋体" w:hAnsi="宋体" w:cs="宋体"/>
                <w:sz w:val="24"/>
              </w:rPr>
            </w:pPr>
            <w:r>
              <w:rPr>
                <w:rFonts w:hint="eastAsia" w:ascii="宋体" w:hAnsi="宋体" w:cs="宋体"/>
                <w:sz w:val="24"/>
              </w:rPr>
              <w:t>10</w:t>
            </w:r>
          </w:p>
        </w:tc>
        <w:tc>
          <w:tcPr>
            <w:tcW w:w="3170" w:type="pct"/>
            <w:noWrap/>
            <w:vAlign w:val="center"/>
          </w:tcPr>
          <w:p>
            <w:pPr>
              <w:snapToGrid w:val="0"/>
              <w:spacing w:before="120" w:line="360" w:lineRule="auto"/>
              <w:jc w:val="left"/>
              <w:rPr>
                <w:rFonts w:ascii="宋体" w:hAnsi="宋体" w:cs="宋体"/>
                <w:sz w:val="24"/>
              </w:rPr>
            </w:pPr>
            <w:r>
              <w:rPr>
                <w:rFonts w:hint="eastAsia" w:ascii="宋体" w:hAnsi="宋体" w:cs="宋体"/>
                <w:sz w:val="24"/>
              </w:rPr>
              <w:t>●投标人保密承诺：对投标人及工作人员开展常态化安全保密教育，组织签订安全保密承诺书，明确具体安全管理内容、安全保密义务和责任的安排。确保网络安全，不发生数据泄露。严格按照采购人规定使用、存储、处理文档资料和数据。合同终止时，应当交还全部公安资料和数据。</w:t>
            </w:r>
            <w:r>
              <w:rPr>
                <w:rFonts w:hint="eastAsia" w:ascii="宋体" w:hAnsi="宋体" w:cs="宋体"/>
                <w:bCs/>
                <w:sz w:val="24"/>
              </w:rPr>
              <w:t>满足</w:t>
            </w:r>
            <w:r>
              <w:rPr>
                <w:rFonts w:hint="eastAsia" w:ascii="宋体" w:hAnsi="宋体" w:cs="宋体"/>
                <w:sz w:val="24"/>
              </w:rPr>
              <w:t>采购需求的</w:t>
            </w:r>
            <w:r>
              <w:rPr>
                <w:rFonts w:hint="eastAsia" w:ascii="宋体" w:hAnsi="宋体" w:cs="宋体"/>
                <w:bCs/>
                <w:sz w:val="24"/>
              </w:rPr>
              <w:t>得1分，不满足不得分。本项最高得1分（1分）。</w:t>
            </w:r>
          </w:p>
          <w:p>
            <w:pPr>
              <w:snapToGrid w:val="0"/>
              <w:spacing w:before="120" w:line="360" w:lineRule="auto"/>
              <w:jc w:val="left"/>
              <w:rPr>
                <w:rFonts w:ascii="宋体" w:hAnsi="宋体" w:cs="宋体"/>
                <w:sz w:val="24"/>
              </w:rPr>
            </w:pPr>
            <w:r>
              <w:rPr>
                <w:rFonts w:hint="eastAsia" w:ascii="宋体" w:hAnsi="宋体" w:cs="宋体"/>
                <w:sz w:val="24"/>
              </w:rPr>
              <w:t>●投标人承诺工作人员违反安全管理要求，构成违法犯罪的，接受采购人及时报送本级政府采购和市场监督管理部门，提请列入政府采购严重违法失信行为记录名单、市场监督管理严重失信名单，并追究相关责任。</w:t>
            </w:r>
            <w:r>
              <w:rPr>
                <w:rFonts w:hint="eastAsia" w:ascii="宋体" w:hAnsi="宋体" w:cs="宋体"/>
                <w:bCs/>
                <w:sz w:val="24"/>
              </w:rPr>
              <w:t>满足</w:t>
            </w:r>
            <w:r>
              <w:rPr>
                <w:rFonts w:hint="eastAsia" w:ascii="宋体" w:hAnsi="宋体" w:cs="宋体"/>
                <w:sz w:val="24"/>
              </w:rPr>
              <w:t>采购需求的</w:t>
            </w:r>
            <w:r>
              <w:rPr>
                <w:rFonts w:hint="eastAsia" w:ascii="宋体" w:hAnsi="宋体" w:cs="宋体"/>
                <w:bCs/>
                <w:sz w:val="24"/>
              </w:rPr>
              <w:t>得1分，不满足不得分。本项最高得1分（1分）。</w:t>
            </w:r>
          </w:p>
        </w:tc>
        <w:tc>
          <w:tcPr>
            <w:tcW w:w="470" w:type="pct"/>
            <w:noWrap/>
            <w:vAlign w:val="center"/>
          </w:tcPr>
          <w:p>
            <w:pPr>
              <w:snapToGrid w:val="0"/>
              <w:spacing w:before="120" w:line="360" w:lineRule="auto"/>
              <w:jc w:val="center"/>
              <w:rPr>
                <w:rFonts w:ascii="宋体" w:hAnsi="宋体" w:cs="宋体"/>
                <w:sz w:val="24"/>
              </w:rPr>
            </w:pPr>
            <w:r>
              <w:rPr>
                <w:rFonts w:hint="eastAsia" w:ascii="宋体" w:hAnsi="宋体" w:cs="宋体"/>
                <w:sz w:val="24"/>
              </w:rPr>
              <w:t>2</w:t>
            </w:r>
          </w:p>
        </w:tc>
        <w:tc>
          <w:tcPr>
            <w:tcW w:w="854" w:type="pct"/>
            <w:noWrap/>
            <w:vAlign w:val="center"/>
          </w:tcPr>
          <w:p>
            <w:pPr>
              <w:snapToGrid w:val="0"/>
              <w:spacing w:before="120" w:line="360" w:lineRule="auto"/>
              <w:jc w:val="center"/>
              <w:rPr>
                <w:rFonts w:ascii="宋体" w:hAnsi="宋体" w:cs="宋体"/>
                <w:sz w:val="24"/>
              </w:rPr>
            </w:pPr>
            <w:r>
              <w:rPr>
                <w:rFonts w:hint="eastAsia" w:ascii="宋体" w:hAnsi="宋体" w:cs="宋体"/>
                <w:sz w:val="24"/>
              </w:rPr>
              <w:t>（十）、保密承诺（2分）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4" w:type="pct"/>
            <w:noWrap/>
            <w:vAlign w:val="center"/>
          </w:tcPr>
          <w:p>
            <w:pPr>
              <w:spacing w:line="360" w:lineRule="auto"/>
              <w:jc w:val="center"/>
              <w:rPr>
                <w:rFonts w:ascii="宋体" w:hAnsi="宋体" w:cs="宋体"/>
                <w:sz w:val="24"/>
              </w:rPr>
            </w:pPr>
            <w:r>
              <w:rPr>
                <w:rFonts w:hint="eastAsia" w:ascii="宋体" w:hAnsi="宋体" w:cs="宋体"/>
                <w:sz w:val="24"/>
              </w:rPr>
              <w:t>11</w:t>
            </w:r>
          </w:p>
        </w:tc>
        <w:tc>
          <w:tcPr>
            <w:tcW w:w="3170" w:type="pct"/>
            <w:noWrap/>
            <w:vAlign w:val="center"/>
          </w:tcPr>
          <w:p>
            <w:pPr>
              <w:spacing w:line="360" w:lineRule="auto"/>
              <w:jc w:val="left"/>
              <w:rPr>
                <w:rFonts w:ascii="宋体" w:hAnsi="宋体" w:cs="宋体"/>
                <w:sz w:val="24"/>
              </w:rPr>
            </w:pPr>
            <w:r>
              <w:rPr>
                <w:rFonts w:hint="eastAsia" w:ascii="宋体" w:hAnsi="宋体" w:cs="宋体"/>
                <w:sz w:val="24"/>
                <w:lang w:val="zh-CN"/>
              </w:rPr>
              <w:t>投标人类似项目建设的经验（</w:t>
            </w:r>
            <w:r>
              <w:rPr>
                <w:rFonts w:hint="eastAsia" w:ascii="宋体" w:hAnsi="宋体" w:cs="宋体"/>
                <w:sz w:val="24"/>
              </w:rPr>
              <w:t>1</w:t>
            </w:r>
            <w:r>
              <w:rPr>
                <w:rFonts w:hint="eastAsia" w:ascii="宋体" w:hAnsi="宋体" w:cs="宋体"/>
                <w:sz w:val="24"/>
                <w:lang w:val="zh-CN"/>
              </w:rPr>
              <w:t>分）：</w:t>
            </w:r>
            <w:r>
              <w:rPr>
                <w:rFonts w:hint="eastAsia" w:ascii="宋体" w:hAnsi="宋体" w:cs="宋体"/>
                <w:sz w:val="24"/>
              </w:rPr>
              <w:t>投标截止时间前三年内</w:t>
            </w:r>
            <w:r>
              <w:rPr>
                <w:rFonts w:hint="eastAsia" w:ascii="宋体" w:hAnsi="宋体" w:cs="宋体"/>
                <w:sz w:val="24"/>
                <w:lang w:val="zh-CN"/>
              </w:rPr>
              <w:t>（以合同签订时间为准），具有</w:t>
            </w:r>
            <w:r>
              <w:rPr>
                <w:rFonts w:hint="eastAsia" w:ascii="宋体" w:hAnsi="宋体" w:cs="宋体"/>
                <w:sz w:val="24"/>
              </w:rPr>
              <w:t>交通设施</w:t>
            </w:r>
            <w:r>
              <w:rPr>
                <w:rFonts w:hint="eastAsia" w:ascii="宋体" w:hAnsi="宋体" w:cs="宋体"/>
                <w:sz w:val="24"/>
                <w:lang w:val="zh-CN"/>
              </w:rPr>
              <w:t>项目案例，每个合同得0.5分；最高得</w:t>
            </w:r>
            <w:r>
              <w:rPr>
                <w:rFonts w:hint="eastAsia" w:ascii="宋体" w:hAnsi="宋体" w:cs="宋体"/>
                <w:sz w:val="24"/>
              </w:rPr>
              <w:t>1</w:t>
            </w:r>
            <w:r>
              <w:rPr>
                <w:rFonts w:hint="eastAsia" w:ascii="宋体" w:hAnsi="宋体" w:cs="宋体"/>
                <w:sz w:val="24"/>
                <w:lang w:val="zh-CN"/>
              </w:rPr>
              <w:t>分。（采购人在项目评审直至合同签订、履约期间，有权要求投标人出具投标文件中的主要业绩证明原件：如合同及用户验收报告等，予以确认其的真实性和有效性，如出现与事实不符等情况，将根据有关规定以“提供虚假材料谋取中标”予以处罚）。</w:t>
            </w:r>
          </w:p>
        </w:tc>
        <w:tc>
          <w:tcPr>
            <w:tcW w:w="470" w:type="pct"/>
            <w:noWrap/>
            <w:vAlign w:val="center"/>
          </w:tcPr>
          <w:p>
            <w:pPr>
              <w:spacing w:line="360" w:lineRule="auto"/>
              <w:rPr>
                <w:rFonts w:ascii="宋体" w:hAnsi="宋体" w:cs="宋体"/>
                <w:sz w:val="24"/>
              </w:rPr>
            </w:pPr>
            <w:r>
              <w:rPr>
                <w:rFonts w:hint="eastAsia" w:ascii="宋体" w:hAnsi="宋体" w:cs="宋体"/>
                <w:sz w:val="24"/>
              </w:rPr>
              <w:t>1分</w:t>
            </w:r>
          </w:p>
        </w:tc>
        <w:tc>
          <w:tcPr>
            <w:tcW w:w="854" w:type="pct"/>
            <w:noWrap/>
            <w:vAlign w:val="center"/>
          </w:tcPr>
          <w:p>
            <w:pPr>
              <w:spacing w:line="360" w:lineRule="auto"/>
              <w:jc w:val="center"/>
              <w:rPr>
                <w:rFonts w:ascii="宋体" w:hAnsi="宋体" w:cs="宋体"/>
                <w:sz w:val="24"/>
              </w:rPr>
            </w:pPr>
            <w:r>
              <w:rPr>
                <w:rFonts w:hint="eastAsia" w:ascii="宋体" w:hAnsi="宋体" w:cs="宋体"/>
                <w:sz w:val="24"/>
              </w:rPr>
              <w:t>（十一）</w:t>
            </w:r>
            <w:r>
              <w:rPr>
                <w:rFonts w:hint="eastAsia" w:ascii="宋体" w:hAnsi="宋体" w:cs="宋体"/>
                <w:sz w:val="24"/>
                <w:lang w:val="zh-CN"/>
              </w:rPr>
              <w:t>投标人的业绩（</w:t>
            </w:r>
            <w:r>
              <w:rPr>
                <w:rFonts w:hint="eastAsia" w:ascii="宋体" w:hAnsi="宋体" w:cs="宋体"/>
                <w:sz w:val="24"/>
              </w:rPr>
              <w:t>1</w:t>
            </w:r>
            <w:r>
              <w:rPr>
                <w:rFonts w:hint="eastAsia" w:ascii="宋体" w:hAnsi="宋体" w:cs="宋体"/>
                <w:sz w:val="24"/>
                <w:lang w:val="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4" w:type="pct"/>
            <w:noWrap/>
            <w:vAlign w:val="center"/>
          </w:tcPr>
          <w:p>
            <w:pPr>
              <w:spacing w:line="360" w:lineRule="auto"/>
              <w:jc w:val="center"/>
              <w:rPr>
                <w:rFonts w:ascii="宋体" w:hAnsi="宋体" w:cs="宋体"/>
                <w:sz w:val="24"/>
              </w:rPr>
            </w:pPr>
            <w:r>
              <w:rPr>
                <w:rFonts w:hint="eastAsia" w:ascii="宋体" w:hAnsi="宋体" w:cs="宋体"/>
                <w:sz w:val="24"/>
              </w:rPr>
              <w:t>12</w:t>
            </w:r>
          </w:p>
        </w:tc>
        <w:tc>
          <w:tcPr>
            <w:tcW w:w="3170" w:type="pct"/>
            <w:noWrap/>
            <w:vAlign w:val="center"/>
          </w:tcPr>
          <w:p>
            <w:pPr>
              <w:spacing w:line="360" w:lineRule="auto"/>
              <w:ind w:firstLine="480" w:firstLineChars="200"/>
              <w:jc w:val="left"/>
              <w:rPr>
                <w:rFonts w:ascii="宋体" w:hAnsi="宋体" w:cs="宋体"/>
                <w:sz w:val="24"/>
              </w:rPr>
            </w:pPr>
            <w:r>
              <w:rPr>
                <w:rFonts w:hint="eastAsia" w:ascii="宋体" w:hAnsi="宋体" w:cs="宋体"/>
                <w:sz w:val="24"/>
              </w:rPr>
              <w:t>满足招标文件要求且有效投标报价的最低价作为评标基准价，其余投标人投标报价与该基准价对比，计算出报价评分值（小数点后按四舍五入保留2位）：</w:t>
            </w:r>
          </w:p>
          <w:p>
            <w:pPr>
              <w:spacing w:line="360" w:lineRule="auto"/>
              <w:ind w:firstLine="240" w:firstLineChars="100"/>
              <w:jc w:val="left"/>
              <w:rPr>
                <w:rFonts w:ascii="宋体" w:hAnsi="宋体" w:cs="宋体"/>
                <w:sz w:val="24"/>
              </w:rPr>
            </w:pPr>
            <w:r>
              <w:rPr>
                <w:rFonts w:hint="eastAsia" w:ascii="宋体" w:hAnsi="宋体" w:cs="宋体"/>
                <w:sz w:val="24"/>
              </w:rPr>
              <w:t>（1）有效投标人的投标报价等于评标基准价时其报价分为满分；</w:t>
            </w:r>
          </w:p>
          <w:p>
            <w:pPr>
              <w:spacing w:line="360" w:lineRule="auto"/>
              <w:ind w:firstLine="240" w:firstLineChars="100"/>
              <w:jc w:val="left"/>
              <w:rPr>
                <w:rFonts w:ascii="宋体" w:hAnsi="宋体" w:cs="宋体"/>
                <w:sz w:val="24"/>
              </w:rPr>
            </w:pPr>
            <w:r>
              <w:rPr>
                <w:rFonts w:hint="eastAsia" w:ascii="宋体" w:hAnsi="宋体" w:cs="宋体"/>
                <w:sz w:val="24"/>
              </w:rPr>
              <w:t>（2）其他投标人的价格分按以下公式计算：</w:t>
            </w:r>
          </w:p>
          <w:p>
            <w:pPr>
              <w:spacing w:line="360" w:lineRule="auto"/>
              <w:jc w:val="left"/>
              <w:rPr>
                <w:rFonts w:ascii="宋体" w:hAnsi="宋体" w:cs="宋体"/>
                <w:sz w:val="24"/>
                <w:lang w:val="zh-CN"/>
              </w:rPr>
            </w:pPr>
            <w:r>
              <w:rPr>
                <w:rFonts w:hint="eastAsia" w:ascii="宋体" w:hAnsi="宋体" w:cs="宋体"/>
                <w:sz w:val="24"/>
              </w:rPr>
              <w:t>最终投标报价得分=（评标基准价/最终投标报价）×10%×100。</w:t>
            </w:r>
          </w:p>
        </w:tc>
        <w:tc>
          <w:tcPr>
            <w:tcW w:w="470" w:type="pct"/>
            <w:noWrap/>
            <w:vAlign w:val="center"/>
          </w:tcPr>
          <w:p>
            <w:pPr>
              <w:spacing w:line="360" w:lineRule="auto"/>
              <w:jc w:val="center"/>
              <w:rPr>
                <w:rFonts w:ascii="宋体" w:hAnsi="宋体" w:cs="宋体"/>
                <w:sz w:val="24"/>
              </w:rPr>
            </w:pPr>
            <w:r>
              <w:rPr>
                <w:rFonts w:hint="eastAsia" w:ascii="宋体" w:hAnsi="宋体" w:cs="宋体"/>
                <w:sz w:val="24"/>
              </w:rPr>
              <w:t>10分</w:t>
            </w:r>
          </w:p>
        </w:tc>
        <w:tc>
          <w:tcPr>
            <w:tcW w:w="854" w:type="pct"/>
            <w:noWrap/>
            <w:vAlign w:val="center"/>
          </w:tcPr>
          <w:p>
            <w:pPr>
              <w:spacing w:line="360" w:lineRule="auto"/>
              <w:jc w:val="center"/>
              <w:rPr>
                <w:rFonts w:ascii="宋体" w:hAnsi="宋体" w:cs="宋体"/>
                <w:sz w:val="24"/>
              </w:rPr>
            </w:pPr>
            <w:r>
              <w:rPr>
                <w:rFonts w:hint="eastAsia" w:ascii="宋体" w:hAnsi="宋体" w:cs="宋体"/>
                <w:sz w:val="24"/>
              </w:rPr>
              <w:t>（十二）报价评分（10分）</w:t>
            </w:r>
          </w:p>
        </w:tc>
      </w:tr>
    </w:tbl>
    <w:p>
      <w:pPr>
        <w:spacing w:line="360" w:lineRule="auto"/>
        <w:ind w:firstLine="241" w:firstLineChars="100"/>
        <w:rPr>
          <w:rFonts w:ascii="宋体" w:hAnsi="宋体" w:cs="宋体"/>
          <w:b/>
          <w:bCs/>
          <w:sz w:val="24"/>
        </w:rPr>
      </w:pPr>
      <w:r>
        <w:rPr>
          <w:rFonts w:hint="eastAsia" w:ascii="宋体" w:hAnsi="宋体" w:cs="宋体"/>
          <w:b/>
          <w:bCs/>
          <w:sz w:val="24"/>
        </w:rPr>
        <w:t>（十五）授予合同</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1、中标公告</w:t>
      </w:r>
    </w:p>
    <w:p>
      <w:pPr>
        <w:adjustRightInd w:val="0"/>
        <w:snapToGrid w:val="0"/>
        <w:spacing w:line="360" w:lineRule="auto"/>
        <w:ind w:firstLine="480" w:firstLineChars="200"/>
        <w:rPr>
          <w:rFonts w:ascii="宋体" w:hAnsi="宋体" w:cs="宋体"/>
          <w:sz w:val="24"/>
        </w:rPr>
      </w:pPr>
      <w:r>
        <w:rPr>
          <w:rFonts w:hint="eastAsia" w:ascii="宋体" w:hAnsi="宋体" w:cs="宋体"/>
          <w:bCs/>
          <w:sz w:val="24"/>
        </w:rPr>
        <w:t>评审小组确定的中标候选人将在“浙江省政府采购网”上公告。</w:t>
      </w:r>
    </w:p>
    <w:p>
      <w:pPr>
        <w:adjustRightInd w:val="0"/>
        <w:snapToGrid w:val="0"/>
        <w:spacing w:line="360" w:lineRule="auto"/>
        <w:ind w:firstLine="480" w:firstLineChars="200"/>
        <w:rPr>
          <w:rFonts w:ascii="宋体" w:hAnsi="宋体" w:cs="宋体"/>
          <w:sz w:val="24"/>
        </w:rPr>
      </w:pPr>
      <w:r>
        <w:rPr>
          <w:rFonts w:hint="eastAsia" w:ascii="宋体" w:hAnsi="宋体" w:cs="宋体"/>
          <w:bCs/>
          <w:sz w:val="24"/>
        </w:rPr>
        <w:t>2、中标通知</w:t>
      </w:r>
    </w:p>
    <w:p>
      <w:pPr>
        <w:adjustRightInd w:val="0"/>
        <w:snapToGrid w:val="0"/>
        <w:spacing w:line="360" w:lineRule="auto"/>
        <w:ind w:firstLine="480" w:firstLineChars="200"/>
        <w:rPr>
          <w:rFonts w:ascii="宋体" w:hAnsi="宋体" w:cs="宋体"/>
          <w:sz w:val="24"/>
        </w:rPr>
      </w:pPr>
      <w:r>
        <w:rPr>
          <w:rFonts w:hint="eastAsia" w:ascii="宋体" w:hAnsi="宋体" w:cs="宋体"/>
          <w:bCs/>
          <w:sz w:val="24"/>
        </w:rPr>
        <w:t>（1）</w:t>
      </w:r>
      <w:r>
        <w:rPr>
          <w:rFonts w:hint="eastAsia" w:ascii="宋体" w:hAnsi="宋体" w:cs="宋体"/>
          <w:sz w:val="24"/>
        </w:rPr>
        <w:t>中标人确定后，采购代理机构在政采云平台向中标人签发《中标通知书》。</w:t>
      </w:r>
    </w:p>
    <w:p>
      <w:pPr>
        <w:adjustRightInd w:val="0"/>
        <w:snapToGrid w:val="0"/>
        <w:spacing w:line="360" w:lineRule="auto"/>
        <w:ind w:firstLine="480" w:firstLineChars="200"/>
        <w:rPr>
          <w:rFonts w:ascii="宋体" w:hAnsi="宋体" w:cs="宋体"/>
          <w:sz w:val="24"/>
        </w:rPr>
      </w:pPr>
      <w:r>
        <w:rPr>
          <w:rFonts w:hint="eastAsia" w:ascii="宋体" w:hAnsi="宋体" w:cs="宋体"/>
          <w:bCs/>
          <w:sz w:val="24"/>
        </w:rPr>
        <w:t>（2）</w:t>
      </w:r>
      <w:r>
        <w:rPr>
          <w:rFonts w:hint="eastAsia" w:ascii="宋体" w:hAnsi="宋体" w:cs="宋体"/>
          <w:sz w:val="24"/>
        </w:rPr>
        <w:t>中标通知书是合同的一个组成部分,对采购人和中标人均具有同等法律效力。</w:t>
      </w:r>
    </w:p>
    <w:p>
      <w:pPr>
        <w:spacing w:line="360" w:lineRule="auto"/>
        <w:ind w:firstLine="480" w:firstLineChars="200"/>
        <w:rPr>
          <w:rFonts w:ascii="宋体" w:hAnsi="宋体" w:cs="宋体"/>
          <w:bCs/>
          <w:sz w:val="24"/>
        </w:rPr>
      </w:pPr>
      <w:r>
        <w:rPr>
          <w:rFonts w:hint="eastAsia" w:ascii="宋体" w:hAnsi="宋体" w:cs="宋体"/>
          <w:bCs/>
          <w:sz w:val="24"/>
        </w:rPr>
        <w:t>3、签订合同</w:t>
      </w:r>
    </w:p>
    <w:p>
      <w:pPr>
        <w:spacing w:line="360" w:lineRule="auto"/>
        <w:ind w:firstLine="480" w:firstLineChars="200"/>
        <w:rPr>
          <w:rFonts w:ascii="宋体" w:hAnsi="宋体" w:cs="宋体"/>
          <w:bCs/>
          <w:sz w:val="24"/>
        </w:rPr>
      </w:pPr>
      <w:r>
        <w:rPr>
          <w:rFonts w:hint="eastAsia" w:ascii="宋体" w:hAnsi="宋体" w:cs="宋体"/>
          <w:sz w:val="24"/>
        </w:rPr>
        <w:t>（1）自《中标通知书》发出后三十天内与采购人签订合同。</w:t>
      </w:r>
    </w:p>
    <w:p>
      <w:pPr>
        <w:spacing w:line="360" w:lineRule="auto"/>
        <w:ind w:firstLine="480" w:firstLineChars="200"/>
        <w:rPr>
          <w:rFonts w:ascii="宋体" w:hAnsi="宋体" w:cs="宋体"/>
          <w:bCs/>
          <w:sz w:val="24"/>
        </w:rPr>
      </w:pPr>
      <w:r>
        <w:rPr>
          <w:rFonts w:hint="eastAsia" w:ascii="宋体" w:hAnsi="宋体" w:cs="宋体"/>
          <w:sz w:val="24"/>
        </w:rPr>
        <w:t>（2）招标文件、投标文件、评审过程中投标供应商在澄清时作出的承诺及其澄清文件等，均为签订合同的依据。</w:t>
      </w:r>
    </w:p>
    <w:p>
      <w:pPr>
        <w:spacing w:line="360" w:lineRule="auto"/>
        <w:ind w:firstLine="480" w:firstLineChars="200"/>
        <w:rPr>
          <w:rFonts w:ascii="宋体" w:hAnsi="宋体" w:cs="宋体"/>
          <w:bCs/>
          <w:sz w:val="24"/>
        </w:rPr>
      </w:pPr>
      <w:r>
        <w:rPr>
          <w:rFonts w:hint="eastAsia" w:ascii="宋体" w:hAnsi="宋体" w:cs="宋体"/>
          <w:sz w:val="24"/>
        </w:rPr>
        <w:t>（3）中标人不遵守招标文件和投标文件的要约及承诺而擅自修改报价，或在接到《中标通知书》后借故拖延、拒签合同而造成超过规定时间的，将取消该投标供应商的中标资格。在此情况下，采购人和采购代理机构可视情况重新进行招标，对受影响的投标供应商不承担任何责任。</w:t>
      </w:r>
    </w:p>
    <w:p>
      <w:pPr>
        <w:spacing w:line="360" w:lineRule="auto"/>
        <w:ind w:firstLine="480" w:firstLineChars="200"/>
        <w:rPr>
          <w:rFonts w:ascii="宋体" w:hAnsi="宋体" w:cs="宋体"/>
          <w:bCs/>
          <w:sz w:val="24"/>
        </w:rPr>
      </w:pPr>
      <w:r>
        <w:rPr>
          <w:rFonts w:hint="eastAsia" w:ascii="宋体" w:hAnsi="宋体" w:cs="宋体"/>
          <w:bCs/>
          <w:sz w:val="24"/>
        </w:rPr>
        <w:t>4、履约验收</w:t>
      </w:r>
    </w:p>
    <w:p>
      <w:pPr>
        <w:spacing w:line="360" w:lineRule="auto"/>
        <w:ind w:firstLine="480" w:firstLineChars="200"/>
        <w:rPr>
          <w:rFonts w:ascii="宋体" w:hAnsi="宋体" w:cs="宋体"/>
          <w:sz w:val="24"/>
        </w:rPr>
      </w:pPr>
      <w:r>
        <w:rPr>
          <w:rFonts w:hint="eastAsia" w:ascii="宋体" w:hAnsi="宋体" w:cs="宋体"/>
          <w:sz w:val="24"/>
        </w:rPr>
        <w:t>采购人根据招标文件、中标人的投标文件、合同等材料及时组织验收，并严把质量关。</w:t>
      </w:r>
    </w:p>
    <w:p>
      <w:pPr>
        <w:spacing w:line="360" w:lineRule="auto"/>
        <w:ind w:firstLine="241" w:firstLineChars="100"/>
        <w:rPr>
          <w:rFonts w:ascii="宋体" w:hAnsi="宋体" w:cs="宋体"/>
          <w:b/>
          <w:bCs/>
          <w:sz w:val="24"/>
        </w:rPr>
      </w:pPr>
      <w:r>
        <w:rPr>
          <w:rFonts w:hint="eastAsia" w:ascii="宋体" w:hAnsi="宋体" w:cs="宋体"/>
          <w:b/>
          <w:bCs/>
          <w:sz w:val="24"/>
        </w:rPr>
        <w:t>（十六）可中止电子交易活动的情形</w:t>
      </w:r>
    </w:p>
    <w:p>
      <w:pPr>
        <w:spacing w:line="360" w:lineRule="auto"/>
        <w:ind w:firstLine="480" w:firstLineChars="200"/>
        <w:rPr>
          <w:rFonts w:ascii="宋体" w:hAnsi="宋体" w:cs="宋体"/>
          <w:sz w:val="24"/>
        </w:rPr>
      </w:pPr>
      <w:r>
        <w:rPr>
          <w:rFonts w:hint="eastAsia" w:ascii="宋体" w:hAnsi="宋体" w:cs="宋体"/>
          <w:sz w:val="24"/>
        </w:rPr>
        <w:t>采购过程中出现以下情形，导致电子交易平台无法正常运行，或者无法保证电子交易的公平、公正和安全时，采购代理机构可中止电子交易活动：</w:t>
      </w:r>
    </w:p>
    <w:p>
      <w:pPr>
        <w:spacing w:line="360" w:lineRule="auto"/>
        <w:ind w:firstLine="480" w:firstLineChars="200"/>
        <w:rPr>
          <w:rFonts w:ascii="宋体" w:hAnsi="宋体" w:cs="宋体"/>
          <w:sz w:val="24"/>
        </w:rPr>
      </w:pPr>
      <w:r>
        <w:rPr>
          <w:rFonts w:hint="eastAsia" w:ascii="宋体" w:hAnsi="宋体" w:cs="宋体"/>
          <w:sz w:val="24"/>
        </w:rPr>
        <w:t>（一）电子交易平台发生故障而无法登录访问的；</w:t>
      </w:r>
    </w:p>
    <w:p>
      <w:pPr>
        <w:spacing w:line="360" w:lineRule="auto"/>
        <w:ind w:firstLine="480" w:firstLineChars="200"/>
        <w:rPr>
          <w:rFonts w:ascii="宋体" w:hAnsi="宋体" w:cs="宋体"/>
          <w:sz w:val="24"/>
        </w:rPr>
      </w:pPr>
      <w:r>
        <w:rPr>
          <w:rFonts w:hint="eastAsia" w:ascii="宋体" w:hAnsi="宋体" w:cs="宋体"/>
          <w:sz w:val="24"/>
        </w:rPr>
        <w:t>（二）电子交易平台应用或数据库出现错误，不能进行正常操作的；</w:t>
      </w:r>
    </w:p>
    <w:p>
      <w:pPr>
        <w:spacing w:line="360" w:lineRule="auto"/>
        <w:ind w:firstLine="480" w:firstLineChars="200"/>
        <w:rPr>
          <w:rFonts w:ascii="宋体" w:hAnsi="宋体" w:cs="宋体"/>
          <w:sz w:val="24"/>
        </w:rPr>
      </w:pPr>
      <w:r>
        <w:rPr>
          <w:rFonts w:hint="eastAsia" w:ascii="宋体" w:hAnsi="宋体" w:cs="宋体"/>
          <w:sz w:val="24"/>
        </w:rPr>
        <w:t>（三）电子交易平台发现严重安全漏洞，有潜在泄密危险的；</w:t>
      </w:r>
    </w:p>
    <w:p>
      <w:pPr>
        <w:spacing w:line="360" w:lineRule="auto"/>
        <w:ind w:firstLine="480" w:firstLineChars="200"/>
        <w:rPr>
          <w:rFonts w:ascii="宋体" w:hAnsi="宋体" w:cs="宋体"/>
          <w:sz w:val="24"/>
        </w:rPr>
      </w:pPr>
      <w:r>
        <w:rPr>
          <w:rFonts w:hint="eastAsia" w:ascii="宋体" w:hAnsi="宋体" w:cs="宋体"/>
          <w:sz w:val="24"/>
        </w:rPr>
        <w:t>（四）病毒发作导致不能进行正常操作的；</w:t>
      </w:r>
    </w:p>
    <w:p>
      <w:pPr>
        <w:spacing w:line="360" w:lineRule="auto"/>
        <w:ind w:firstLine="480" w:firstLineChars="200"/>
        <w:rPr>
          <w:rFonts w:ascii="宋体" w:hAnsi="宋体" w:cs="宋体"/>
          <w:sz w:val="24"/>
        </w:rPr>
      </w:pPr>
      <w:r>
        <w:rPr>
          <w:rFonts w:hint="eastAsia" w:ascii="宋体" w:hAnsi="宋体" w:cs="宋体"/>
          <w:sz w:val="24"/>
        </w:rPr>
        <w:t>（五）其他无法保证电子交易的公平、公正和安全的情况。</w:t>
      </w:r>
    </w:p>
    <w:p>
      <w:pPr>
        <w:spacing w:line="360" w:lineRule="auto"/>
        <w:ind w:firstLine="480" w:firstLineChars="200"/>
        <w:rPr>
          <w:rFonts w:ascii="宋体" w:hAnsi="宋体" w:cs="宋体"/>
          <w:sz w:val="24"/>
        </w:rPr>
      </w:pPr>
      <w:r>
        <w:rPr>
          <w:rFonts w:hint="eastAsia" w:ascii="宋体" w:hAnsi="宋体" w:cs="宋体"/>
          <w:sz w:val="24"/>
        </w:rPr>
        <w:t>出现前款规定情形，不影响采购公平、公正性的，采购代理机构可以待上述情形消除后继续组织电子交易活动，也可以决定某些环节以纸质形式进行；影响或可能影响采购公平、公正性的，应当重新采购。</w:t>
      </w:r>
    </w:p>
    <w:p>
      <w:pPr>
        <w:spacing w:line="360" w:lineRule="auto"/>
        <w:rPr>
          <w:rFonts w:ascii="宋体" w:hAnsi="宋体" w:cs="宋体"/>
          <w:sz w:val="24"/>
        </w:rPr>
      </w:pPr>
      <w:r>
        <w:rPr>
          <w:rFonts w:hint="eastAsia" w:ascii="宋体" w:hAnsi="宋体" w:cs="宋体"/>
          <w:sz w:val="24"/>
        </w:rPr>
        <w:br w:type="page"/>
      </w:r>
    </w:p>
    <w:p>
      <w:pPr>
        <w:pStyle w:val="11"/>
        <w:spacing w:line="360" w:lineRule="auto"/>
        <w:rPr>
          <w:rFonts w:hAnsi="宋体" w:cs="宋体"/>
        </w:rPr>
      </w:pPr>
    </w:p>
    <w:p>
      <w:pPr>
        <w:spacing w:line="360" w:lineRule="auto"/>
        <w:jc w:val="center"/>
        <w:outlineLvl w:val="0"/>
        <w:rPr>
          <w:rFonts w:ascii="宋体" w:hAnsi="宋体" w:cs="宋体"/>
          <w:b/>
          <w:bCs/>
          <w:sz w:val="36"/>
          <w:szCs w:val="36"/>
        </w:rPr>
      </w:pPr>
      <w:bookmarkStart w:id="17" w:name="_Toc1717"/>
      <w:r>
        <w:rPr>
          <w:rFonts w:hint="eastAsia" w:ascii="宋体" w:hAnsi="宋体" w:cs="宋体"/>
          <w:b/>
          <w:bCs/>
          <w:sz w:val="36"/>
          <w:szCs w:val="36"/>
        </w:rPr>
        <w:t>第六部分采购需求</w:t>
      </w:r>
      <w:bookmarkEnd w:id="17"/>
    </w:p>
    <w:p>
      <w:pPr>
        <w:spacing w:line="360" w:lineRule="auto"/>
        <w:jc w:val="center"/>
        <w:rPr>
          <w:rFonts w:ascii="宋体" w:hAnsi="宋体" w:cs="宋体"/>
          <w:sz w:val="24"/>
        </w:rPr>
      </w:pPr>
      <w:r>
        <w:rPr>
          <w:rFonts w:hint="eastAsia" w:ascii="宋体" w:hAnsi="宋体" w:cs="宋体"/>
          <w:sz w:val="24"/>
        </w:rPr>
        <w:t>一、总则</w:t>
      </w:r>
    </w:p>
    <w:p>
      <w:pPr>
        <w:spacing w:line="360" w:lineRule="auto"/>
        <w:ind w:firstLine="480" w:firstLineChars="200"/>
        <w:rPr>
          <w:rFonts w:ascii="宋体" w:hAnsi="宋体" w:cs="宋体"/>
          <w:sz w:val="24"/>
        </w:rPr>
      </w:pPr>
      <w:r>
        <w:rPr>
          <w:rFonts w:hint="eastAsia" w:ascii="宋体" w:hAnsi="宋体" w:cs="宋体"/>
          <w:sz w:val="24"/>
        </w:rPr>
        <w:t>1、采购的服务所涉及的产品标准、规范，验收标准、规范，应符合国家有关条例及规范，如有新的标准应采纳新标准，如是国外相应标准应征得采购人认可。</w:t>
      </w:r>
    </w:p>
    <w:p>
      <w:pPr>
        <w:spacing w:line="360" w:lineRule="auto"/>
        <w:rPr>
          <w:rFonts w:ascii="宋体" w:hAnsi="宋体" w:cs="宋体"/>
          <w:sz w:val="24"/>
        </w:rPr>
      </w:pPr>
      <w:r>
        <w:rPr>
          <w:rFonts w:hint="eastAsia" w:ascii="宋体" w:hAnsi="宋体" w:cs="宋体"/>
          <w:sz w:val="24"/>
        </w:rPr>
        <w:t>本次招标采购为2023年温州市区（三、五大队）道路标志、标线、隔离护栏及其他设施建设维护采购项目，投标人应根据招标文件所提出的技术规格和服务要求，综合考虑，选择具有最佳性能价格比的服务前来投标。希望投标人以精良的设备、优良的服务和优惠的价格，充分显示你们的竞争实力。</w:t>
      </w:r>
    </w:p>
    <w:p>
      <w:pPr>
        <w:spacing w:line="360" w:lineRule="auto"/>
        <w:rPr>
          <w:rFonts w:ascii="宋体" w:hAnsi="宋体" w:cs="宋体"/>
          <w:sz w:val="24"/>
        </w:rPr>
      </w:pPr>
      <w:r>
        <w:rPr>
          <w:rFonts w:hint="eastAsia" w:ascii="宋体" w:hAnsi="宋体" w:cs="宋体"/>
          <w:sz w:val="24"/>
          <w:u w:val="single"/>
        </w:rPr>
        <w:t>▲投标人必须根据自己的技术及商务和报价优势对全部内容进行投标，不得只投部分内容。</w:t>
      </w:r>
    </w:p>
    <w:p>
      <w:pPr>
        <w:spacing w:line="360" w:lineRule="auto"/>
        <w:rPr>
          <w:rFonts w:ascii="宋体" w:hAnsi="宋体" w:cs="宋体"/>
          <w:sz w:val="24"/>
        </w:rPr>
      </w:pPr>
      <w:r>
        <w:rPr>
          <w:rFonts w:hint="eastAsia" w:ascii="宋体" w:hAnsi="宋体" w:cs="宋体"/>
          <w:sz w:val="24"/>
        </w:rPr>
        <w:t>本次服务期限为：自合同签订之日至2023年10月31日。</w:t>
      </w:r>
    </w:p>
    <w:p>
      <w:pPr>
        <w:spacing w:line="360" w:lineRule="auto"/>
        <w:jc w:val="center"/>
        <w:rPr>
          <w:rFonts w:ascii="宋体" w:hAnsi="宋体" w:cs="宋体"/>
          <w:sz w:val="24"/>
        </w:rPr>
      </w:pPr>
      <w:bookmarkStart w:id="18" w:name="_Toc6231126"/>
      <w:r>
        <w:rPr>
          <w:rFonts w:hint="eastAsia" w:ascii="宋体" w:hAnsi="宋体" w:cs="宋体"/>
          <w:sz w:val="24"/>
        </w:rPr>
        <w:t>二、项目基本情况</w:t>
      </w:r>
      <w:bookmarkEnd w:id="18"/>
      <w:r>
        <w:rPr>
          <w:rFonts w:hint="eastAsia" w:ascii="宋体" w:hAnsi="宋体" w:cs="宋体"/>
          <w:sz w:val="24"/>
        </w:rPr>
        <w:t>及要求</w:t>
      </w:r>
    </w:p>
    <w:p>
      <w:pPr>
        <w:spacing w:line="360" w:lineRule="auto"/>
        <w:outlineLvl w:val="1"/>
        <w:rPr>
          <w:rFonts w:ascii="宋体" w:hAnsi="宋体" w:cs="宋体"/>
          <w:sz w:val="24"/>
        </w:rPr>
      </w:pPr>
      <w:r>
        <w:rPr>
          <w:rFonts w:hint="eastAsia" w:ascii="宋体" w:hAnsi="宋体" w:cs="宋体"/>
          <w:sz w:val="24"/>
        </w:rPr>
        <w:t>（一）基本情况</w:t>
      </w:r>
    </w:p>
    <w:p>
      <w:pPr>
        <w:spacing w:line="360" w:lineRule="auto"/>
        <w:ind w:firstLine="480" w:firstLineChars="200"/>
        <w:rPr>
          <w:rFonts w:ascii="宋体" w:hAnsi="宋体" w:cs="宋体"/>
          <w:b/>
          <w:bCs/>
          <w:sz w:val="24"/>
        </w:rPr>
      </w:pPr>
      <w:r>
        <w:rPr>
          <w:rFonts w:hint="eastAsia" w:ascii="宋体" w:hAnsi="宋体" w:cs="宋体"/>
          <w:sz w:val="24"/>
        </w:rPr>
        <w:t>温州市交通设施维护工作分为两个标项，标项一为2023年温州市区（三大队）道路标志、标线、隔离护栏及其他设施建设维护项目，标项二为2023年温州市区（五大队）道路标志、标线、隔离护栏及其他设施建设维护项目。采用固定投标单价，最终按实际数量与合同单价进行结算，但不超项目总报价。《开标一览表》是报价的唯一载体。</w:t>
      </w:r>
      <w:r>
        <w:rPr>
          <w:rFonts w:hint="eastAsia" w:ascii="宋体" w:hAnsi="宋体" w:cs="宋体"/>
          <w:b/>
          <w:bCs/>
          <w:sz w:val="24"/>
        </w:rPr>
        <w:t>供应商可以同时参与多个标项的投标，但应分开制作投标文件。</w:t>
      </w:r>
    </w:p>
    <w:p>
      <w:pPr>
        <w:spacing w:line="360" w:lineRule="auto"/>
        <w:outlineLvl w:val="1"/>
        <w:rPr>
          <w:rFonts w:ascii="宋体" w:hAnsi="宋体" w:cs="宋体"/>
          <w:sz w:val="24"/>
        </w:rPr>
      </w:pPr>
      <w:r>
        <w:rPr>
          <w:rFonts w:hint="eastAsia" w:ascii="宋体" w:hAnsi="宋体" w:cs="宋体"/>
          <w:sz w:val="24"/>
        </w:rPr>
        <w:t>（二）预算金额（元）</w:t>
      </w:r>
    </w:p>
    <w:p>
      <w:pPr>
        <w:spacing w:line="360" w:lineRule="auto"/>
        <w:ind w:firstLine="480" w:firstLineChars="200"/>
        <w:rPr>
          <w:rFonts w:ascii="宋体" w:hAnsi="宋体" w:cs="宋体"/>
          <w:sz w:val="24"/>
        </w:rPr>
      </w:pPr>
      <w:r>
        <w:rPr>
          <w:rFonts w:hint="eastAsia" w:ascii="宋体" w:hAnsi="宋体" w:cs="宋体"/>
          <w:sz w:val="24"/>
        </w:rPr>
        <w:t>总预算为人民710万元，其中标项一370万元，标项二340万元。</w:t>
      </w:r>
    </w:p>
    <w:p>
      <w:pPr>
        <w:spacing w:line="360" w:lineRule="auto"/>
        <w:jc w:val="left"/>
        <w:outlineLvl w:val="1"/>
        <w:rPr>
          <w:rFonts w:ascii="宋体" w:hAnsi="宋体" w:cs="宋体"/>
          <w:sz w:val="24"/>
        </w:rPr>
      </w:pPr>
      <w:r>
        <w:rPr>
          <w:rFonts w:hint="eastAsia" w:ascii="宋体" w:hAnsi="宋体" w:cs="宋体"/>
          <w:sz w:val="24"/>
        </w:rPr>
        <w:t>（三）项目技术规范和服务要求</w:t>
      </w:r>
    </w:p>
    <w:p>
      <w:pPr>
        <w:adjustRightInd w:val="0"/>
        <w:spacing w:line="360" w:lineRule="auto"/>
        <w:jc w:val="left"/>
        <w:outlineLvl w:val="2"/>
        <w:rPr>
          <w:rFonts w:ascii="宋体" w:hAnsi="宋体" w:cs="宋体"/>
          <w:sz w:val="24"/>
        </w:rPr>
      </w:pPr>
      <w:r>
        <w:rPr>
          <w:rFonts w:hint="eastAsia" w:ascii="宋体" w:hAnsi="宋体" w:cs="宋体"/>
          <w:sz w:val="24"/>
        </w:rPr>
        <w:t>3.1主要技术规范</w:t>
      </w:r>
    </w:p>
    <w:p>
      <w:pPr>
        <w:spacing w:line="360" w:lineRule="auto"/>
        <w:jc w:val="left"/>
        <w:rPr>
          <w:rFonts w:ascii="宋体" w:hAnsi="宋体" w:cs="宋体"/>
          <w:sz w:val="24"/>
        </w:rPr>
      </w:pPr>
      <w:r>
        <w:rPr>
          <w:rFonts w:hint="eastAsia" w:ascii="宋体" w:hAnsi="宋体" w:cs="宋体"/>
          <w:sz w:val="24"/>
        </w:rPr>
        <w:t>GB5768.2-2022道路交通标志和标线第2部分：道路交通标志。</w:t>
      </w:r>
    </w:p>
    <w:p>
      <w:pPr>
        <w:spacing w:line="360" w:lineRule="auto"/>
        <w:jc w:val="left"/>
        <w:rPr>
          <w:rFonts w:ascii="宋体" w:hAnsi="宋体" w:cs="宋体"/>
          <w:sz w:val="24"/>
        </w:rPr>
      </w:pPr>
      <w:r>
        <w:rPr>
          <w:rFonts w:hint="eastAsia" w:ascii="宋体" w:hAnsi="宋体" w:cs="宋体"/>
          <w:sz w:val="24"/>
        </w:rPr>
        <w:t>JT/T280-2022路面标线涂料；</w:t>
      </w:r>
    </w:p>
    <w:p>
      <w:pPr>
        <w:spacing w:line="360" w:lineRule="auto"/>
        <w:jc w:val="left"/>
        <w:rPr>
          <w:rFonts w:ascii="宋体" w:hAnsi="宋体" w:cs="宋体"/>
          <w:sz w:val="24"/>
        </w:rPr>
      </w:pPr>
      <w:r>
        <w:rPr>
          <w:rFonts w:hint="eastAsia" w:ascii="宋体" w:hAnsi="宋体" w:cs="宋体"/>
          <w:sz w:val="24"/>
        </w:rPr>
        <w:t>GB5768—2009《道路交通标志和标线》国家标准：除总则和标线。</w:t>
      </w:r>
    </w:p>
    <w:p>
      <w:pPr>
        <w:spacing w:line="360" w:lineRule="auto"/>
        <w:jc w:val="left"/>
        <w:rPr>
          <w:rFonts w:ascii="宋体" w:hAnsi="宋体" w:cs="宋体"/>
          <w:sz w:val="24"/>
        </w:rPr>
      </w:pPr>
      <w:r>
        <w:rPr>
          <w:rFonts w:hint="eastAsia" w:ascii="宋体" w:hAnsi="宋体" w:cs="宋体"/>
          <w:sz w:val="24"/>
        </w:rPr>
        <w:t>GB51038—2015《城市道路交通标志和标线设置规范》国家标准。</w:t>
      </w:r>
    </w:p>
    <w:p>
      <w:pPr>
        <w:spacing w:line="360" w:lineRule="auto"/>
        <w:jc w:val="left"/>
        <w:rPr>
          <w:rFonts w:ascii="宋体" w:hAnsi="宋体" w:cs="宋体"/>
          <w:sz w:val="24"/>
        </w:rPr>
      </w:pPr>
      <w:r>
        <w:rPr>
          <w:rFonts w:hint="eastAsia" w:ascii="宋体" w:hAnsi="宋体" w:cs="宋体"/>
          <w:sz w:val="24"/>
        </w:rPr>
        <w:t>DB33/T818—2010《城市道路交通标志和标线设置规范》省标。</w:t>
      </w:r>
    </w:p>
    <w:p>
      <w:pPr>
        <w:spacing w:line="360" w:lineRule="auto"/>
        <w:jc w:val="left"/>
        <w:rPr>
          <w:rFonts w:ascii="宋体" w:hAnsi="宋体" w:cs="宋体"/>
          <w:sz w:val="24"/>
        </w:rPr>
      </w:pPr>
      <w:r>
        <w:rPr>
          <w:rFonts w:hint="eastAsia" w:ascii="宋体" w:hAnsi="宋体" w:cs="宋体"/>
          <w:sz w:val="24"/>
        </w:rPr>
        <w:t>GB/T16311—2009《道路交通标线质量要求和检测方法》国家标准。</w:t>
      </w:r>
    </w:p>
    <w:p>
      <w:pPr>
        <w:spacing w:line="360" w:lineRule="auto"/>
        <w:jc w:val="left"/>
        <w:rPr>
          <w:rFonts w:ascii="宋体" w:hAnsi="宋体" w:cs="宋体"/>
          <w:sz w:val="24"/>
        </w:rPr>
      </w:pPr>
      <w:r>
        <w:rPr>
          <w:rFonts w:hint="eastAsia" w:ascii="宋体" w:hAnsi="宋体" w:cs="宋体"/>
          <w:sz w:val="24"/>
        </w:rPr>
        <w:t>GB/T23827—2021《道路交通标志板及支撑件》国家标准。</w:t>
      </w:r>
    </w:p>
    <w:p>
      <w:pPr>
        <w:spacing w:line="360" w:lineRule="auto"/>
        <w:jc w:val="left"/>
        <w:rPr>
          <w:rFonts w:ascii="宋体" w:hAnsi="宋体" w:cs="宋体"/>
          <w:sz w:val="24"/>
        </w:rPr>
      </w:pPr>
      <w:r>
        <w:rPr>
          <w:rFonts w:hint="eastAsia" w:ascii="宋体" w:hAnsi="宋体" w:cs="宋体"/>
          <w:sz w:val="24"/>
        </w:rPr>
        <w:t>JTJ001—2014《公路工程技术标准》行业标准。</w:t>
      </w:r>
    </w:p>
    <w:p>
      <w:pPr>
        <w:spacing w:line="360" w:lineRule="auto"/>
        <w:jc w:val="left"/>
        <w:rPr>
          <w:rFonts w:ascii="宋体" w:hAnsi="宋体" w:cs="宋体"/>
          <w:sz w:val="24"/>
        </w:rPr>
      </w:pPr>
      <w:r>
        <w:rPr>
          <w:rFonts w:hint="eastAsia" w:ascii="宋体" w:hAnsi="宋体" w:cs="宋体"/>
          <w:sz w:val="24"/>
        </w:rPr>
        <w:t>GB/T18833-2012《道路交通反光膜》行业标准。</w:t>
      </w:r>
    </w:p>
    <w:p>
      <w:pPr>
        <w:spacing w:line="360" w:lineRule="auto"/>
        <w:jc w:val="left"/>
        <w:rPr>
          <w:rFonts w:ascii="宋体" w:hAnsi="宋体" w:cs="宋体"/>
          <w:sz w:val="24"/>
        </w:rPr>
      </w:pPr>
      <w:r>
        <w:rPr>
          <w:rFonts w:hint="eastAsia" w:ascii="宋体" w:hAnsi="宋体" w:cs="宋体"/>
          <w:sz w:val="24"/>
        </w:rPr>
        <w:t>JTGF80/1-2017《公路工程质量检验评定标准第一册土建工程》</w:t>
      </w:r>
    </w:p>
    <w:p>
      <w:pPr>
        <w:spacing w:line="360" w:lineRule="auto"/>
        <w:jc w:val="left"/>
        <w:rPr>
          <w:rFonts w:ascii="宋体" w:hAnsi="宋体" w:cs="宋体"/>
          <w:sz w:val="24"/>
        </w:rPr>
      </w:pPr>
      <w:r>
        <w:rPr>
          <w:rFonts w:hint="eastAsia" w:ascii="宋体" w:hAnsi="宋体" w:cs="宋体"/>
          <w:sz w:val="24"/>
        </w:rPr>
        <w:t>GB14887—2011《道路交通信号灯》国家标准。</w:t>
      </w:r>
    </w:p>
    <w:p>
      <w:pPr>
        <w:spacing w:line="360" w:lineRule="auto"/>
        <w:jc w:val="left"/>
        <w:rPr>
          <w:rFonts w:ascii="宋体" w:hAnsi="宋体" w:cs="宋体"/>
          <w:sz w:val="24"/>
        </w:rPr>
      </w:pPr>
      <w:r>
        <w:rPr>
          <w:rFonts w:hint="eastAsia" w:ascii="宋体" w:hAnsi="宋体" w:cs="宋体"/>
          <w:sz w:val="24"/>
        </w:rPr>
        <w:t>GAT652—2017《公安交通管理外场设备》行业标准。</w:t>
      </w:r>
    </w:p>
    <w:p>
      <w:pPr>
        <w:spacing w:line="360" w:lineRule="auto"/>
        <w:jc w:val="left"/>
        <w:rPr>
          <w:rFonts w:ascii="宋体" w:hAnsi="宋体" w:cs="宋体"/>
          <w:sz w:val="24"/>
        </w:rPr>
      </w:pPr>
      <w:r>
        <w:rPr>
          <w:rFonts w:hint="eastAsia" w:ascii="宋体" w:hAnsi="宋体" w:cs="宋体"/>
          <w:sz w:val="24"/>
        </w:rPr>
        <w:t>DBJ08-39-1994《道路交通管理设施设置技术规程》。</w:t>
      </w:r>
    </w:p>
    <w:p>
      <w:pPr>
        <w:spacing w:line="360" w:lineRule="auto"/>
        <w:jc w:val="left"/>
        <w:rPr>
          <w:rFonts w:ascii="宋体" w:hAnsi="宋体" w:cs="宋体"/>
          <w:sz w:val="24"/>
        </w:rPr>
      </w:pPr>
      <w:r>
        <w:rPr>
          <w:rFonts w:hint="eastAsia" w:ascii="宋体" w:hAnsi="宋体" w:cs="宋体"/>
          <w:sz w:val="24"/>
        </w:rPr>
        <w:t>GB50009-2012《建筑结构荷载规范》。</w:t>
      </w:r>
    </w:p>
    <w:p>
      <w:pPr>
        <w:spacing w:line="360" w:lineRule="auto"/>
        <w:jc w:val="left"/>
        <w:rPr>
          <w:rFonts w:ascii="宋体" w:hAnsi="宋体" w:cs="宋体"/>
          <w:sz w:val="24"/>
        </w:rPr>
      </w:pPr>
      <w:r>
        <w:rPr>
          <w:rFonts w:hint="eastAsia" w:ascii="宋体" w:hAnsi="宋体" w:cs="宋体"/>
          <w:sz w:val="24"/>
        </w:rPr>
        <w:t>GB50017-2017《钢结构设计标准》。</w:t>
      </w:r>
    </w:p>
    <w:p>
      <w:pPr>
        <w:spacing w:line="360" w:lineRule="auto"/>
        <w:jc w:val="left"/>
        <w:rPr>
          <w:rFonts w:ascii="宋体" w:hAnsi="宋体" w:cs="宋体"/>
          <w:sz w:val="24"/>
        </w:rPr>
      </w:pPr>
      <w:r>
        <w:rPr>
          <w:rFonts w:hint="eastAsia" w:ascii="宋体" w:hAnsi="宋体" w:cs="宋体"/>
          <w:sz w:val="24"/>
        </w:rPr>
        <w:t>DB3301/T0170-2018《道路交通指示标识英文译写规范》。</w:t>
      </w:r>
    </w:p>
    <w:p>
      <w:pPr>
        <w:spacing w:line="360" w:lineRule="auto"/>
        <w:jc w:val="left"/>
        <w:rPr>
          <w:rFonts w:ascii="宋体" w:hAnsi="宋体" w:cs="宋体"/>
          <w:sz w:val="24"/>
        </w:rPr>
      </w:pPr>
      <w:r>
        <w:rPr>
          <w:rFonts w:hint="eastAsia" w:ascii="宋体" w:hAnsi="宋体" w:cs="宋体"/>
          <w:sz w:val="24"/>
        </w:rPr>
        <w:t xml:space="preserve"> GB50688-2011《城市道路交通设施设计规范》</w:t>
      </w:r>
    </w:p>
    <w:p>
      <w:pPr>
        <w:spacing w:line="360" w:lineRule="auto"/>
        <w:jc w:val="left"/>
        <w:rPr>
          <w:rFonts w:ascii="宋体" w:hAnsi="宋体" w:cs="宋体"/>
          <w:sz w:val="24"/>
        </w:rPr>
      </w:pPr>
      <w:r>
        <w:rPr>
          <w:rFonts w:hint="eastAsia" w:ascii="宋体" w:hAnsi="宋体" w:cs="宋体"/>
          <w:sz w:val="24"/>
        </w:rPr>
        <w:t>CJJ37-2012)(2016年版《城市道路工程设计规范》</w:t>
      </w:r>
    </w:p>
    <w:p>
      <w:pPr>
        <w:spacing w:line="360" w:lineRule="auto"/>
        <w:jc w:val="left"/>
        <w:rPr>
          <w:rFonts w:ascii="宋体" w:hAnsi="宋体" w:cs="宋体"/>
          <w:sz w:val="24"/>
        </w:rPr>
      </w:pPr>
      <w:r>
        <w:rPr>
          <w:rFonts w:hint="eastAsia" w:ascii="宋体" w:hAnsi="宋体" w:cs="宋体"/>
          <w:sz w:val="24"/>
        </w:rPr>
        <w:t>GB55011-2021《城市道路交通工程项目规范》</w:t>
      </w:r>
    </w:p>
    <w:p>
      <w:pPr>
        <w:spacing w:line="360" w:lineRule="auto"/>
        <w:jc w:val="left"/>
        <w:rPr>
          <w:rFonts w:ascii="宋体" w:hAnsi="宋体" w:cs="宋体"/>
          <w:sz w:val="24"/>
        </w:rPr>
      </w:pPr>
      <w:r>
        <w:rPr>
          <w:rFonts w:hint="eastAsia" w:ascii="宋体" w:hAnsi="宋体" w:cs="宋体"/>
          <w:sz w:val="24"/>
        </w:rPr>
        <w:t>CJ129-2009《城市快速路设计规程》</w:t>
      </w:r>
    </w:p>
    <w:p>
      <w:pPr>
        <w:spacing w:line="360" w:lineRule="auto"/>
        <w:jc w:val="left"/>
        <w:rPr>
          <w:rFonts w:ascii="宋体" w:hAnsi="宋体" w:cs="宋体"/>
          <w:sz w:val="24"/>
        </w:rPr>
      </w:pPr>
      <w:r>
        <w:rPr>
          <w:rFonts w:hint="eastAsia" w:ascii="宋体" w:hAnsi="宋体" w:cs="宋体"/>
          <w:sz w:val="24"/>
        </w:rPr>
        <w:t>按现行的国家、省、市施工验收规范、质量评定标准及有关规定。合同期内的标准、规范，采购文件中的技术要求等。如有新版标准则按新发行的标准执行。</w:t>
      </w:r>
    </w:p>
    <w:p>
      <w:pPr>
        <w:adjustRightInd w:val="0"/>
        <w:spacing w:line="360" w:lineRule="auto"/>
        <w:jc w:val="left"/>
        <w:outlineLvl w:val="2"/>
        <w:rPr>
          <w:rFonts w:ascii="宋体" w:hAnsi="宋体" w:cs="宋体"/>
          <w:sz w:val="24"/>
        </w:rPr>
      </w:pPr>
      <w:r>
        <w:rPr>
          <w:rFonts w:hint="eastAsia" w:ascii="宋体" w:hAnsi="宋体" w:cs="宋体"/>
          <w:sz w:val="24"/>
        </w:rPr>
        <w:t>3.2产品参数</w:t>
      </w:r>
    </w:p>
    <w:p>
      <w:pPr>
        <w:adjustRightInd w:val="0"/>
        <w:spacing w:line="360" w:lineRule="auto"/>
        <w:ind w:firstLine="240" w:firstLineChars="100"/>
        <w:jc w:val="left"/>
        <w:outlineLvl w:val="2"/>
        <w:rPr>
          <w:rFonts w:ascii="宋体" w:hAnsi="宋体" w:cs="宋体"/>
          <w:sz w:val="24"/>
        </w:rPr>
      </w:pPr>
      <w:r>
        <w:rPr>
          <w:rFonts w:hint="eastAsia" w:ascii="宋体" w:hAnsi="宋体" w:cs="宋体"/>
          <w:sz w:val="24"/>
        </w:rPr>
        <w:t>1.标线</w:t>
      </w:r>
    </w:p>
    <w:p>
      <w:pPr>
        <w:spacing w:line="360" w:lineRule="auto"/>
        <w:ind w:firstLine="480" w:firstLineChars="200"/>
        <w:jc w:val="left"/>
        <w:rPr>
          <w:rFonts w:ascii="宋体" w:hAnsi="宋体" w:cs="宋体"/>
          <w:sz w:val="24"/>
        </w:rPr>
      </w:pPr>
      <w:r>
        <w:rPr>
          <w:rFonts w:hint="eastAsia" w:ascii="宋体" w:hAnsi="宋体" w:cs="宋体"/>
          <w:sz w:val="24"/>
        </w:rPr>
        <w:t>1、标线分类及逆反射要求</w:t>
      </w:r>
    </w:p>
    <w:p>
      <w:pPr>
        <w:spacing w:line="360" w:lineRule="auto"/>
        <w:ind w:firstLine="480" w:firstLineChars="200"/>
        <w:jc w:val="left"/>
        <w:rPr>
          <w:rFonts w:ascii="宋体" w:hAnsi="宋体" w:cs="宋体"/>
          <w:sz w:val="24"/>
        </w:rPr>
      </w:pPr>
      <w:r>
        <w:rPr>
          <w:rFonts w:hint="eastAsia" w:ascii="宋体" w:hAnsi="宋体" w:cs="宋体"/>
          <w:sz w:val="24"/>
        </w:rPr>
        <w:t>标线漆为常温型、普通热熔标线、Ⅱ级反光热熔标线、Ⅱ级反光振荡热熔标线、双组份反光型涂料。</w:t>
      </w:r>
    </w:p>
    <w:p>
      <w:pPr>
        <w:spacing w:line="360" w:lineRule="auto"/>
        <w:ind w:firstLine="480" w:firstLineChars="200"/>
        <w:jc w:val="left"/>
        <w:rPr>
          <w:rFonts w:ascii="宋体" w:hAnsi="宋体" w:cs="宋体"/>
          <w:sz w:val="24"/>
        </w:rPr>
      </w:pPr>
      <w:r>
        <w:rPr>
          <w:rFonts w:hint="eastAsia" w:ascii="宋体" w:hAnsi="宋体" w:cs="宋体"/>
          <w:sz w:val="24"/>
        </w:rPr>
        <w:t>（1）常温型标线</w:t>
      </w:r>
    </w:p>
    <w:p>
      <w:pPr>
        <w:spacing w:line="360" w:lineRule="auto"/>
        <w:ind w:firstLine="480" w:firstLineChars="200"/>
        <w:jc w:val="left"/>
        <w:rPr>
          <w:rFonts w:ascii="宋体" w:hAnsi="宋体" w:cs="宋体"/>
          <w:sz w:val="24"/>
        </w:rPr>
      </w:pPr>
      <w:r>
        <w:rPr>
          <w:rFonts w:hint="eastAsia" w:ascii="宋体" w:hAnsi="宋体" w:cs="宋体"/>
          <w:sz w:val="24"/>
        </w:rPr>
        <w:t>1）粘度（KU值）:≥60</w:t>
      </w:r>
    </w:p>
    <w:p>
      <w:pPr>
        <w:spacing w:line="360" w:lineRule="auto"/>
        <w:ind w:firstLine="480" w:firstLineChars="200"/>
        <w:jc w:val="left"/>
        <w:rPr>
          <w:rFonts w:ascii="宋体" w:hAnsi="宋体" w:cs="宋体"/>
          <w:sz w:val="24"/>
        </w:rPr>
      </w:pPr>
      <w:r>
        <w:rPr>
          <w:rFonts w:hint="eastAsia" w:ascii="宋体" w:hAnsi="宋体" w:cs="宋体"/>
          <w:sz w:val="24"/>
        </w:rPr>
        <w:t>2）密度（g/cm3）:≥1.6</w:t>
      </w:r>
    </w:p>
    <w:p>
      <w:pPr>
        <w:spacing w:line="360" w:lineRule="auto"/>
        <w:ind w:firstLine="480" w:firstLineChars="200"/>
        <w:jc w:val="left"/>
        <w:rPr>
          <w:rFonts w:ascii="宋体" w:hAnsi="宋体" w:cs="宋体"/>
          <w:sz w:val="24"/>
        </w:rPr>
      </w:pPr>
      <w:r>
        <w:rPr>
          <w:rFonts w:hint="eastAsia" w:ascii="宋体" w:hAnsi="宋体" w:cs="宋体"/>
          <w:sz w:val="24"/>
        </w:rPr>
        <w:t>3）标线涂层厚度0.3~0.5mm</w:t>
      </w:r>
    </w:p>
    <w:p>
      <w:pPr>
        <w:spacing w:line="360" w:lineRule="auto"/>
        <w:ind w:firstLine="480" w:firstLineChars="200"/>
        <w:jc w:val="left"/>
        <w:rPr>
          <w:rFonts w:ascii="宋体" w:hAnsi="宋体" w:cs="宋体"/>
          <w:sz w:val="24"/>
        </w:rPr>
      </w:pPr>
      <w:r>
        <w:rPr>
          <w:rFonts w:hint="eastAsia" w:ascii="宋体" w:hAnsi="宋体" w:cs="宋体"/>
          <w:sz w:val="24"/>
        </w:rPr>
        <w:t>4）不粘胎干燥时间≤15min，开放交通干燥时间≤20min</w:t>
      </w:r>
    </w:p>
    <w:p>
      <w:pPr>
        <w:spacing w:line="360" w:lineRule="auto"/>
        <w:ind w:firstLine="480" w:firstLineChars="200"/>
        <w:jc w:val="left"/>
        <w:rPr>
          <w:rFonts w:ascii="宋体" w:hAnsi="宋体" w:cs="宋体"/>
          <w:sz w:val="24"/>
        </w:rPr>
      </w:pPr>
      <w:r>
        <w:rPr>
          <w:rFonts w:hint="eastAsia" w:ascii="宋体" w:hAnsi="宋体" w:cs="宋体"/>
          <w:sz w:val="24"/>
        </w:rPr>
        <w:t>5）耐磨性（mg）:200转/1000g后减重≤40</w:t>
      </w:r>
    </w:p>
    <w:p>
      <w:pPr>
        <w:spacing w:line="360" w:lineRule="auto"/>
        <w:ind w:firstLine="480" w:firstLineChars="200"/>
        <w:jc w:val="left"/>
        <w:rPr>
          <w:rFonts w:ascii="宋体" w:hAnsi="宋体" w:cs="宋体"/>
          <w:sz w:val="24"/>
        </w:rPr>
      </w:pPr>
      <w:r>
        <w:rPr>
          <w:rFonts w:hint="eastAsia" w:ascii="宋体" w:hAnsi="宋体" w:cs="宋体"/>
          <w:sz w:val="24"/>
        </w:rPr>
        <w:t>6）固体含量（%）:≥60</w:t>
      </w:r>
    </w:p>
    <w:p>
      <w:pPr>
        <w:spacing w:line="360" w:lineRule="auto"/>
        <w:ind w:firstLine="480" w:firstLineChars="200"/>
        <w:jc w:val="left"/>
        <w:rPr>
          <w:rFonts w:ascii="宋体" w:hAnsi="宋体" w:cs="宋体"/>
          <w:sz w:val="24"/>
        </w:rPr>
      </w:pPr>
      <w:r>
        <w:rPr>
          <w:rFonts w:hint="eastAsia" w:ascii="宋体" w:hAnsi="宋体" w:cs="宋体"/>
          <w:sz w:val="24"/>
        </w:rPr>
        <w:t>7）遮盖率（g/㎡）：白色≤190；黄色≤200</w:t>
      </w:r>
    </w:p>
    <w:p>
      <w:pPr>
        <w:spacing w:line="360" w:lineRule="auto"/>
        <w:ind w:firstLine="480" w:firstLineChars="200"/>
        <w:jc w:val="left"/>
        <w:rPr>
          <w:rFonts w:ascii="宋体" w:hAnsi="宋体" w:cs="宋体"/>
          <w:sz w:val="24"/>
        </w:rPr>
      </w:pPr>
      <w:r>
        <w:rPr>
          <w:rFonts w:hint="eastAsia" w:ascii="宋体" w:hAnsi="宋体" w:cs="宋体"/>
          <w:sz w:val="24"/>
        </w:rPr>
        <w:t>（2）普通热熔标线</w:t>
      </w:r>
    </w:p>
    <w:p>
      <w:pPr>
        <w:spacing w:line="360" w:lineRule="auto"/>
        <w:ind w:firstLine="480" w:firstLineChars="200"/>
        <w:jc w:val="left"/>
        <w:rPr>
          <w:rFonts w:ascii="宋体" w:hAnsi="宋体" w:cs="宋体"/>
          <w:sz w:val="24"/>
        </w:rPr>
      </w:pPr>
      <w:r>
        <w:rPr>
          <w:rFonts w:hint="eastAsia" w:ascii="宋体" w:hAnsi="宋体" w:cs="宋体"/>
          <w:sz w:val="24"/>
        </w:rPr>
        <w:t>1）在规定的使用期限内，标线不应出现明显的变色。道路交通标线颜色的色度性能应符合现行国家标准《道路交通标线质量要求和检测方法》GB／T16311的规定。</w:t>
      </w:r>
    </w:p>
    <w:p>
      <w:pPr>
        <w:spacing w:line="360" w:lineRule="auto"/>
        <w:ind w:firstLine="480" w:firstLineChars="200"/>
        <w:rPr>
          <w:rFonts w:ascii="宋体" w:hAnsi="宋体" w:cs="宋体"/>
          <w:sz w:val="24"/>
        </w:rPr>
      </w:pPr>
      <w:r>
        <w:rPr>
          <w:rFonts w:hint="eastAsia" w:ascii="宋体" w:hAnsi="宋体" w:cs="宋体"/>
          <w:sz w:val="24"/>
        </w:rPr>
        <w:t>2）城市快速路、主干路应采用反光标线，次干路、支路及其他城市道路可根据需要采用反光标线。白色反光标线的亮度因数应≥0．35，黄色反光标线的亮度因数应≥0．27。在多雨地区易积水路段和人机非混行路段，宜采用水下反光标线材料或附加突起路标。</w:t>
      </w:r>
    </w:p>
    <w:p>
      <w:pPr>
        <w:spacing w:line="360" w:lineRule="auto"/>
        <w:ind w:firstLine="480" w:firstLineChars="200"/>
        <w:rPr>
          <w:rFonts w:ascii="宋体" w:hAnsi="宋体" w:cs="宋体"/>
          <w:sz w:val="24"/>
        </w:rPr>
      </w:pPr>
      <w:r>
        <w:rPr>
          <w:rFonts w:hint="eastAsia" w:ascii="宋体" w:hAnsi="宋体" w:cs="宋体"/>
          <w:sz w:val="24"/>
        </w:rPr>
        <w:t>3）新施划标线的初始逆反射亮度系数应符合现行国家标准《新划路面标线初始逆反射亮度系数及测试方法》GB／T21383的规定，白色反光标线的逆反射亮度系数应≥150mcd·m-2·1x-1，黄色反光标线的逆反射亮度系数≥100mcd·m-2·1x-1。</w:t>
      </w:r>
    </w:p>
    <w:p>
      <w:pPr>
        <w:spacing w:line="360" w:lineRule="auto"/>
        <w:ind w:firstLine="480" w:firstLineChars="200"/>
        <w:jc w:val="left"/>
        <w:rPr>
          <w:rFonts w:ascii="宋体" w:hAnsi="宋体" w:cs="宋体"/>
          <w:sz w:val="24"/>
        </w:rPr>
      </w:pPr>
      <w:r>
        <w:rPr>
          <w:rFonts w:hint="eastAsia" w:ascii="宋体" w:hAnsi="宋体" w:cs="宋体"/>
          <w:sz w:val="24"/>
        </w:rPr>
        <w:t>4）标线在正常使用期间，反射标线的逆反射系数应满足夜间水下视认要求，白色反光标线的逆反射亮度系数≥80mcd·m-2·1x-1，黄色反光标线的逆反射亮度系数≥50mcd·m-2·1x-1。</w:t>
      </w:r>
    </w:p>
    <w:p>
      <w:pPr>
        <w:spacing w:line="360" w:lineRule="auto"/>
        <w:ind w:firstLine="480" w:firstLineChars="200"/>
        <w:jc w:val="left"/>
        <w:rPr>
          <w:rFonts w:ascii="宋体" w:hAnsi="宋体" w:cs="宋体"/>
          <w:sz w:val="24"/>
        </w:rPr>
      </w:pPr>
      <w:r>
        <w:rPr>
          <w:rFonts w:hint="eastAsia" w:ascii="宋体" w:hAnsi="宋体" w:cs="宋体"/>
          <w:sz w:val="24"/>
        </w:rPr>
        <w:t>（3）Ⅱ级反光热熔标线：涂膜厚度≥1.8mm，内混≥25%玻璃珠。新划标线的初始逆反射亮度系数≥250mcd•m-2•lx-1（黄色标线为≥250mcd•m-2•lx-1），持续使用一年内，标线的持续逆反射亮度系数＞150mcd•m-2•lx-1（黄色标线为100mcd•m-2•lx-1）。</w:t>
      </w:r>
    </w:p>
    <w:p>
      <w:pPr>
        <w:spacing w:line="360" w:lineRule="auto"/>
        <w:ind w:firstLine="480" w:firstLineChars="200"/>
        <w:jc w:val="left"/>
        <w:rPr>
          <w:rFonts w:ascii="宋体" w:hAnsi="宋体" w:cs="宋体"/>
          <w:sz w:val="24"/>
        </w:rPr>
      </w:pPr>
      <w:r>
        <w:rPr>
          <w:rFonts w:hint="eastAsia" w:ascii="宋体" w:hAnsi="宋体" w:cs="宋体"/>
          <w:sz w:val="24"/>
        </w:rPr>
        <w:t>（4）Ⅱ级反光振荡热熔标线：基线涂膜厚度1.5mm以上，凸起部分高度5mm，突起部分每组3个，每个2.5cm*6.5cm，每组间距10cm~15cm；内混≥25%玻璃珠。新划标线的初始逆反射亮度系数≥250mcd•m-2•1x-1（黄色标线为250mcd•m-2•1x-1），持续使用一年内，标线的持续逆反射亮度系数≥150mcd•m-2•1x-1（黄色标线≥100mcd•m-2•1x-1）。</w:t>
      </w:r>
    </w:p>
    <w:p>
      <w:pPr>
        <w:spacing w:line="360" w:lineRule="auto"/>
        <w:ind w:firstLine="480" w:firstLineChars="200"/>
        <w:jc w:val="left"/>
        <w:rPr>
          <w:rFonts w:ascii="宋体" w:hAnsi="宋体" w:cs="宋体"/>
          <w:sz w:val="24"/>
        </w:rPr>
      </w:pPr>
      <w:r>
        <w:rPr>
          <w:rFonts w:hint="eastAsia" w:ascii="宋体" w:hAnsi="宋体" w:cs="宋体"/>
          <w:sz w:val="24"/>
        </w:rPr>
        <w:t>（5）双组份反光型涂料</w:t>
      </w:r>
    </w:p>
    <w:p>
      <w:pPr>
        <w:spacing w:line="360" w:lineRule="auto"/>
        <w:ind w:firstLine="480" w:firstLineChars="200"/>
        <w:jc w:val="left"/>
        <w:rPr>
          <w:rFonts w:ascii="宋体" w:hAnsi="宋体" w:cs="宋体"/>
          <w:sz w:val="24"/>
        </w:rPr>
      </w:pPr>
      <w:r>
        <w:rPr>
          <w:rFonts w:hint="eastAsia" w:ascii="宋体" w:hAnsi="宋体" w:cs="宋体"/>
          <w:sz w:val="24"/>
        </w:rPr>
        <w:t>①密度（g/cm3）:1.5~2.0</w:t>
      </w:r>
    </w:p>
    <w:p>
      <w:pPr>
        <w:spacing w:line="360" w:lineRule="auto"/>
        <w:ind w:firstLine="480" w:firstLineChars="200"/>
        <w:jc w:val="left"/>
        <w:rPr>
          <w:rFonts w:ascii="宋体" w:hAnsi="宋体" w:cs="宋体"/>
          <w:sz w:val="24"/>
        </w:rPr>
      </w:pPr>
      <w:r>
        <w:rPr>
          <w:rFonts w:hint="eastAsia" w:ascii="宋体" w:hAnsi="宋体" w:cs="宋体"/>
          <w:sz w:val="24"/>
        </w:rPr>
        <w:t>②选用双组份反光涂料，内含反光微珠必须≥20%</w:t>
      </w:r>
    </w:p>
    <w:p>
      <w:pPr>
        <w:spacing w:line="360" w:lineRule="auto"/>
        <w:ind w:firstLine="480" w:firstLineChars="200"/>
        <w:jc w:val="left"/>
        <w:rPr>
          <w:rFonts w:ascii="宋体" w:hAnsi="宋体" w:cs="宋体"/>
          <w:sz w:val="24"/>
        </w:rPr>
      </w:pPr>
      <w:r>
        <w:rPr>
          <w:rFonts w:hint="eastAsia" w:ascii="宋体" w:hAnsi="宋体" w:cs="宋体"/>
          <w:sz w:val="24"/>
        </w:rPr>
        <w:t>③初始施划时逆反射系数：白色≥350，黄色≥200</w:t>
      </w:r>
    </w:p>
    <w:p>
      <w:pPr>
        <w:spacing w:line="360" w:lineRule="auto"/>
        <w:ind w:firstLine="480" w:firstLineChars="200"/>
        <w:jc w:val="left"/>
        <w:rPr>
          <w:rFonts w:ascii="宋体" w:hAnsi="宋体" w:cs="宋体"/>
          <w:sz w:val="24"/>
        </w:rPr>
      </w:pPr>
      <w:r>
        <w:rPr>
          <w:rFonts w:hint="eastAsia" w:ascii="宋体" w:hAnsi="宋体" w:cs="宋体"/>
          <w:sz w:val="24"/>
        </w:rPr>
        <w:t>④不粘胎干燥时间≤35min</w:t>
      </w:r>
    </w:p>
    <w:p>
      <w:pPr>
        <w:spacing w:line="360" w:lineRule="auto"/>
        <w:ind w:firstLine="480" w:firstLineChars="200"/>
        <w:jc w:val="left"/>
        <w:rPr>
          <w:rFonts w:ascii="宋体" w:hAnsi="宋体" w:cs="宋体"/>
          <w:sz w:val="24"/>
        </w:rPr>
      </w:pPr>
      <w:r>
        <w:rPr>
          <w:rFonts w:hint="eastAsia" w:ascii="宋体" w:hAnsi="宋体" w:cs="宋体"/>
          <w:sz w:val="24"/>
        </w:rPr>
        <w:t>⑤耐磨性（mg）:200转/1000g后减重≤30</w:t>
      </w:r>
    </w:p>
    <w:p>
      <w:pPr>
        <w:spacing w:line="360" w:lineRule="auto"/>
        <w:ind w:firstLine="480" w:firstLineChars="200"/>
        <w:jc w:val="left"/>
        <w:rPr>
          <w:rFonts w:ascii="宋体" w:hAnsi="宋体" w:cs="宋体"/>
          <w:sz w:val="24"/>
        </w:rPr>
      </w:pPr>
      <w:r>
        <w:rPr>
          <w:rFonts w:hint="eastAsia" w:ascii="宋体" w:hAnsi="宋体" w:cs="宋体"/>
          <w:sz w:val="24"/>
        </w:rPr>
        <w:t>⑥喷涂标线厚度0.6~1mm；刮涂标线厚度≥1mm</w:t>
      </w:r>
    </w:p>
    <w:p>
      <w:pPr>
        <w:spacing w:line="360" w:lineRule="auto"/>
        <w:ind w:firstLine="480" w:firstLineChars="200"/>
        <w:jc w:val="left"/>
        <w:rPr>
          <w:rFonts w:ascii="宋体" w:hAnsi="宋体" w:cs="宋体"/>
          <w:color w:val="FF0000"/>
          <w:sz w:val="24"/>
        </w:rPr>
      </w:pPr>
      <w:r>
        <w:rPr>
          <w:rFonts w:hint="eastAsia" w:ascii="宋体" w:hAnsi="宋体" w:cs="宋体"/>
          <w:sz w:val="24"/>
        </w:rPr>
        <w:t>2、雨夜标线材料</w:t>
      </w:r>
    </w:p>
    <w:p>
      <w:pPr>
        <w:spacing w:line="360" w:lineRule="auto"/>
        <w:ind w:firstLine="480" w:firstLineChars="200"/>
        <w:rPr>
          <w:rFonts w:ascii="宋体" w:hAnsi="宋体" w:cs="宋体"/>
          <w:sz w:val="24"/>
        </w:rPr>
      </w:pPr>
      <w:r>
        <w:rPr>
          <w:rFonts w:hint="eastAsia" w:ascii="宋体" w:hAnsi="宋体" w:cs="宋体"/>
          <w:sz w:val="24"/>
        </w:rPr>
        <w:t>1）新划白色标线的初始逆反射亮度系数应满足，干燥状态下的平均值不低于500 mcd·m-2·lx-1,潮湿状态下的平均值不低于350 mcd·m-2·lx-1,连续降雨状态下的平均值不低于200 mcd·m-2·lx-1。标线使用寿命不低于一年，在正常使用年限内，逆反射系数不低于80 mcd·m-2·lx-1。</w:t>
      </w:r>
    </w:p>
    <w:p>
      <w:pPr>
        <w:spacing w:line="360" w:lineRule="auto"/>
        <w:ind w:firstLine="480" w:firstLineChars="200"/>
        <w:rPr>
          <w:rFonts w:ascii="宋体" w:hAnsi="宋体" w:cs="宋体"/>
          <w:sz w:val="24"/>
        </w:rPr>
      </w:pPr>
      <w:r>
        <w:rPr>
          <w:rFonts w:hint="eastAsia" w:ascii="宋体" w:hAnsi="宋体" w:cs="宋体"/>
          <w:sz w:val="24"/>
        </w:rPr>
        <w:t>2）标线施划表面撒播白色或黄色雨夜反光珠和玻璃珠，雨夜珠播量≥200g/m</w:t>
      </w:r>
      <w:r>
        <w:rPr>
          <w:rFonts w:hint="eastAsia" w:ascii="宋体" w:hAnsi="宋体" w:cs="宋体"/>
          <w:sz w:val="24"/>
          <w:vertAlign w:val="superscript"/>
        </w:rPr>
        <w:t>2</w:t>
      </w:r>
      <w:r>
        <w:rPr>
          <w:rFonts w:hint="eastAsia" w:ascii="宋体" w:hAnsi="宋体" w:cs="宋体"/>
          <w:sz w:val="24"/>
        </w:rPr>
        <w:t>，玻璃珠撒播量≥200g/m</w:t>
      </w:r>
      <w:r>
        <w:rPr>
          <w:rFonts w:hint="eastAsia" w:ascii="宋体" w:hAnsi="宋体" w:cs="宋体"/>
          <w:sz w:val="24"/>
          <w:vertAlign w:val="superscript"/>
        </w:rPr>
        <w:t>2</w:t>
      </w:r>
      <w:r>
        <w:rPr>
          <w:rFonts w:hint="eastAsia" w:ascii="宋体" w:hAnsi="宋体" w:cs="宋体"/>
          <w:sz w:val="24"/>
        </w:rPr>
        <w:t>。雨夜珠应为全天候高亮雨夜珠，外观为不规则形状，表层为微晶陶瓷珠涂层结构。标线施工前，应根据不同情况采用扫帚、板刷或煤气燃烧器彻底清除路面灰尘。</w:t>
      </w:r>
    </w:p>
    <w:p>
      <w:pPr>
        <w:spacing w:line="360" w:lineRule="auto"/>
        <w:ind w:firstLine="480" w:firstLineChars="200"/>
        <w:jc w:val="left"/>
        <w:rPr>
          <w:rFonts w:ascii="宋体" w:hAnsi="宋体" w:cs="宋体"/>
          <w:sz w:val="24"/>
        </w:rPr>
      </w:pPr>
      <w:r>
        <w:rPr>
          <w:rFonts w:hint="eastAsia" w:ascii="宋体" w:hAnsi="宋体" w:cs="宋体"/>
          <w:sz w:val="24"/>
        </w:rPr>
        <w:t>3、地面标识：地面标识需预涂压敏胶，施工时涂刷粘结剂或底胶，标识厚度≥1.5mm，初始逆反射亮度系数白色≥250mcd•m-2•1x-1，其余颜色≥175mcd•m-2•1x-1）。</w:t>
      </w:r>
    </w:p>
    <w:p>
      <w:pPr>
        <w:spacing w:line="360" w:lineRule="auto"/>
        <w:ind w:firstLine="480" w:firstLineChars="200"/>
        <w:rPr>
          <w:rFonts w:ascii="宋体" w:hAnsi="宋体" w:cs="宋体"/>
          <w:sz w:val="24"/>
        </w:rPr>
      </w:pPr>
      <w:r>
        <w:rPr>
          <w:rFonts w:hint="eastAsia" w:ascii="宋体" w:hAnsi="宋体" w:cs="宋体"/>
          <w:sz w:val="24"/>
        </w:rPr>
        <w:t>4、高压水除线：超高压水磨清洗法，清除老标线，无明显痕迹。</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5、标线性能与质量。①应具有良好的视认性，颜色均匀、边缘整齐、线型规则、线条流畅。②涂层厚度应均匀，无明显起泡、皱纹、斑点、开裂、发粘、脱落、泛花等缺陷。③面撒玻璃珠应均匀，其性能和粒径分布符合GB/T24722-2009的要求。④实际位置与设计位置的横向误差≤±30mm。⑤宽度误差≤5mm。⑥标线长度以及间断线纵向间距的允许误差不得超出GB/T16311-2009规定的值。⑦防滑值≥45BPN。⑧其他要求应符合GB/T16311-2009规定的要求。</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6、所有标线施划均应先放样后漆划（除标线要求覆盖外）。</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7、对需要铲除的旧线，要做到铲除后不会引起驾驶员的误解和投诉，施工后需要清理路面卫生，不引起投诉。</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8、标线涂料需符合JT/T280-2022路面标线涂料标准。</w:t>
      </w:r>
    </w:p>
    <w:p>
      <w:pPr>
        <w:adjustRightInd w:val="0"/>
        <w:spacing w:line="360" w:lineRule="auto"/>
        <w:ind w:firstLine="480" w:firstLineChars="200"/>
        <w:outlineLvl w:val="2"/>
        <w:rPr>
          <w:rFonts w:ascii="宋体" w:hAnsi="宋体" w:cs="宋体"/>
          <w:sz w:val="24"/>
        </w:rPr>
      </w:pPr>
      <w:r>
        <w:rPr>
          <w:rFonts w:hint="eastAsia" w:ascii="宋体" w:hAnsi="宋体" w:cs="宋体"/>
          <w:sz w:val="24"/>
        </w:rPr>
        <w:t>2.</w:t>
      </w:r>
      <w:r>
        <w:rPr>
          <w:rFonts w:hint="eastAsia" w:ascii="宋体" w:hAnsi="宋体" w:cs="宋体"/>
          <w:sz w:val="24"/>
          <w:lang w:val="zh-CN"/>
        </w:rPr>
        <w:t>标志类</w:t>
      </w:r>
    </w:p>
    <w:p>
      <w:pPr>
        <w:spacing w:line="360" w:lineRule="auto"/>
        <w:ind w:firstLine="480" w:firstLineChars="200"/>
        <w:rPr>
          <w:rFonts w:ascii="宋体" w:hAnsi="宋体" w:cs="宋体"/>
          <w:sz w:val="24"/>
          <w:lang w:val="zh-CN"/>
        </w:rPr>
      </w:pPr>
      <w:r>
        <w:rPr>
          <w:rFonts w:hint="eastAsia" w:ascii="宋体" w:hAnsi="宋体" w:cs="宋体"/>
          <w:sz w:val="24"/>
          <w:lang w:val="zh-CN"/>
        </w:rPr>
        <w:t>交通标志牌的版面形式、交通标志杆的性能参数及安装位置应符合设计图纸的要求，现场实际情况与设计图纸有出入的，应及时通知招标人及设计单位进行现场确认，不得擅自施工。</w:t>
      </w:r>
    </w:p>
    <w:p>
      <w:pPr>
        <w:spacing w:line="360" w:lineRule="auto"/>
        <w:ind w:left="640"/>
        <w:rPr>
          <w:rFonts w:ascii="宋体" w:hAnsi="宋体" w:cs="宋体"/>
          <w:b/>
          <w:bCs/>
          <w:color w:val="FF0000"/>
          <w:sz w:val="24"/>
          <w:lang w:val="zh-CN"/>
        </w:rPr>
      </w:pPr>
      <w:r>
        <w:rPr>
          <w:rFonts w:hint="eastAsia" w:ascii="宋体" w:hAnsi="宋体" w:cs="宋体"/>
          <w:sz w:val="24"/>
        </w:rPr>
        <w:t>1、</w:t>
      </w:r>
      <w:r>
        <w:rPr>
          <w:rFonts w:hint="eastAsia" w:ascii="宋体" w:hAnsi="宋体" w:cs="宋体"/>
          <w:sz w:val="24"/>
          <w:lang w:val="zh-CN"/>
        </w:rPr>
        <w:t>标志板</w:t>
      </w:r>
    </w:p>
    <w:p>
      <w:pPr>
        <w:spacing w:line="360" w:lineRule="auto"/>
        <w:ind w:left="640"/>
        <w:rPr>
          <w:rFonts w:ascii="宋体" w:hAnsi="宋体" w:cs="宋体"/>
          <w:sz w:val="24"/>
        </w:rPr>
      </w:pPr>
      <w:r>
        <w:rPr>
          <w:rFonts w:hint="eastAsia" w:ascii="宋体" w:hAnsi="宋体" w:cs="宋体"/>
          <w:sz w:val="24"/>
          <w:lang w:val="zh-CN"/>
        </w:rPr>
        <w:t>（</w:t>
      </w:r>
      <w:r>
        <w:rPr>
          <w:rFonts w:ascii="宋体" w:hAnsi="宋体" w:cs="宋体"/>
          <w:sz w:val="24"/>
          <w:lang w:val="zh-CN"/>
        </w:rPr>
        <w:t>1）</w:t>
      </w:r>
      <w:r>
        <w:rPr>
          <w:rFonts w:hint="eastAsia" w:ascii="宋体" w:hAnsi="宋体" w:cs="宋体"/>
          <w:sz w:val="24"/>
          <w:lang w:val="zh-CN"/>
        </w:rPr>
        <w:t>材质为铝合金板面,牌号为3004或3104，状态为0或H111、抗拉强度不小于155MPa，断后生长率不小于15%。</w:t>
      </w:r>
    </w:p>
    <w:p>
      <w:pPr>
        <w:spacing w:line="360" w:lineRule="auto"/>
        <w:ind w:left="640"/>
        <w:rPr>
          <w:rFonts w:ascii="宋体" w:hAnsi="宋体" w:cs="宋体"/>
          <w:sz w:val="24"/>
          <w:lang w:val="zh-CN"/>
        </w:rPr>
      </w:pPr>
      <w:r>
        <w:rPr>
          <w:rFonts w:hint="eastAsia" w:ascii="宋体" w:hAnsi="宋体" w:cs="宋体"/>
          <w:sz w:val="24"/>
          <w:lang w:val="zh-CN"/>
        </w:rPr>
        <w:t>（</w:t>
      </w:r>
      <w:r>
        <w:rPr>
          <w:rFonts w:ascii="宋体" w:hAnsi="宋体" w:cs="宋体"/>
          <w:sz w:val="24"/>
          <w:lang w:val="zh-CN"/>
        </w:rPr>
        <w:t>2</w:t>
      </w:r>
      <w:r>
        <w:rPr>
          <w:rFonts w:hint="eastAsia" w:ascii="宋体" w:hAnsi="宋体" w:cs="宋体"/>
          <w:sz w:val="24"/>
          <w:lang w:val="zh-CN"/>
        </w:rPr>
        <w:t>）铝合金板面厚度应符合下表：</w:t>
      </w:r>
    </w:p>
    <w:tbl>
      <w:tblPr>
        <w:tblStyle w:val="20"/>
        <w:tblW w:w="5000" w:type="pct"/>
        <w:jc w:val="center"/>
        <w:tblLayout w:type="autofit"/>
        <w:tblCellMar>
          <w:top w:w="0" w:type="dxa"/>
          <w:left w:w="0" w:type="dxa"/>
          <w:bottom w:w="0" w:type="dxa"/>
          <w:right w:w="0" w:type="dxa"/>
        </w:tblCellMar>
      </w:tblPr>
      <w:tblGrid>
        <w:gridCol w:w="5076"/>
        <w:gridCol w:w="3213"/>
      </w:tblGrid>
      <w:tr>
        <w:tblPrEx>
          <w:tblCellMar>
            <w:top w:w="0" w:type="dxa"/>
            <w:left w:w="0" w:type="dxa"/>
            <w:bottom w:w="0" w:type="dxa"/>
            <w:right w:w="0" w:type="dxa"/>
          </w:tblCellMar>
        </w:tblPrEx>
        <w:trPr>
          <w:jc w:val="center"/>
        </w:trPr>
        <w:tc>
          <w:tcPr>
            <w:tcW w:w="3062" w:type="pct"/>
            <w:tcBorders>
              <w:top w:val="single" w:color="000000" w:sz="4" w:space="0"/>
              <w:left w:val="single" w:color="000000" w:sz="4" w:space="0"/>
              <w:bottom w:val="single" w:color="000000" w:sz="4" w:space="0"/>
              <w:right w:val="single" w:color="000000" w:sz="4" w:space="0"/>
            </w:tcBorders>
            <w:noWrap/>
            <w:vAlign w:val="center"/>
          </w:tcPr>
          <w:p>
            <w:pPr>
              <w:pStyle w:val="28"/>
              <w:kinsoku w:val="0"/>
              <w:overflowPunct w:val="0"/>
              <w:spacing w:before="152" w:line="360" w:lineRule="auto"/>
              <w:jc w:val="center"/>
              <w:rPr>
                <w:rFonts w:ascii="宋体" w:hAnsi="宋体" w:cs="宋体"/>
              </w:rPr>
            </w:pPr>
            <w:r>
              <w:rPr>
                <w:rFonts w:hint="eastAsia" w:ascii="宋体" w:hAnsi="宋体" w:cs="宋体"/>
                <w:spacing w:val="1"/>
              </w:rPr>
              <w:t>标志板规格</w:t>
            </w:r>
          </w:p>
        </w:tc>
        <w:tc>
          <w:tcPr>
            <w:tcW w:w="1938" w:type="pct"/>
            <w:tcBorders>
              <w:top w:val="single" w:color="000000" w:sz="4" w:space="0"/>
              <w:left w:val="single" w:color="000000" w:sz="4" w:space="0"/>
              <w:bottom w:val="single" w:color="000000" w:sz="4" w:space="0"/>
              <w:right w:val="single" w:color="000000" w:sz="4" w:space="0"/>
            </w:tcBorders>
            <w:noWrap/>
            <w:vAlign w:val="center"/>
          </w:tcPr>
          <w:p>
            <w:pPr>
              <w:pStyle w:val="28"/>
              <w:kinsoku w:val="0"/>
              <w:overflowPunct w:val="0"/>
              <w:spacing w:before="152" w:line="360" w:lineRule="auto"/>
              <w:jc w:val="center"/>
              <w:rPr>
                <w:rFonts w:ascii="宋体" w:hAnsi="宋体" w:cs="宋体"/>
              </w:rPr>
            </w:pPr>
            <w:r>
              <w:rPr>
                <w:rFonts w:hint="eastAsia" w:ascii="宋体" w:hAnsi="宋体" w:cs="宋体"/>
                <w:spacing w:val="1"/>
              </w:rPr>
              <w:t>标志板铝板厚度</w:t>
            </w:r>
          </w:p>
        </w:tc>
      </w:tr>
      <w:tr>
        <w:tblPrEx>
          <w:tblCellMar>
            <w:top w:w="0" w:type="dxa"/>
            <w:left w:w="0" w:type="dxa"/>
            <w:bottom w:w="0" w:type="dxa"/>
            <w:right w:w="0" w:type="dxa"/>
          </w:tblCellMar>
        </w:tblPrEx>
        <w:trPr>
          <w:jc w:val="center"/>
        </w:trPr>
        <w:tc>
          <w:tcPr>
            <w:tcW w:w="3062" w:type="pct"/>
            <w:tcBorders>
              <w:top w:val="single" w:color="000000" w:sz="4" w:space="0"/>
              <w:left w:val="single" w:color="000000" w:sz="4" w:space="0"/>
              <w:bottom w:val="single" w:color="000000" w:sz="4" w:space="0"/>
              <w:right w:val="single" w:color="000000" w:sz="4" w:space="0"/>
            </w:tcBorders>
            <w:noWrap/>
            <w:vAlign w:val="center"/>
          </w:tcPr>
          <w:p>
            <w:pPr>
              <w:pStyle w:val="28"/>
              <w:kinsoku w:val="0"/>
              <w:overflowPunct w:val="0"/>
              <w:spacing w:before="151" w:line="360" w:lineRule="auto"/>
              <w:jc w:val="center"/>
              <w:rPr>
                <w:rFonts w:ascii="宋体" w:hAnsi="宋体" w:cs="宋体"/>
              </w:rPr>
            </w:pPr>
            <w:r>
              <w:rPr>
                <w:rFonts w:hint="eastAsia" w:ascii="宋体" w:hAnsi="宋体" w:cs="宋体"/>
              </w:rPr>
              <w:t>标志面积≤2m</w:t>
            </w:r>
            <w:r>
              <w:rPr>
                <w:rFonts w:hint="eastAsia" w:ascii="宋体" w:hAnsi="宋体" w:cs="宋体"/>
                <w:position w:val="14"/>
              </w:rPr>
              <w:t>2</w:t>
            </w:r>
          </w:p>
        </w:tc>
        <w:tc>
          <w:tcPr>
            <w:tcW w:w="1938" w:type="pct"/>
            <w:tcBorders>
              <w:top w:val="single" w:color="000000" w:sz="4" w:space="0"/>
              <w:left w:val="single" w:color="000000" w:sz="4" w:space="0"/>
              <w:bottom w:val="single" w:color="000000" w:sz="4" w:space="0"/>
              <w:right w:val="single" w:color="000000" w:sz="4" w:space="0"/>
            </w:tcBorders>
            <w:noWrap/>
            <w:vAlign w:val="center"/>
          </w:tcPr>
          <w:p>
            <w:pPr>
              <w:pStyle w:val="28"/>
              <w:kinsoku w:val="0"/>
              <w:overflowPunct w:val="0"/>
              <w:spacing w:before="151" w:line="360" w:lineRule="auto"/>
              <w:jc w:val="center"/>
              <w:rPr>
                <w:rFonts w:ascii="宋体" w:hAnsi="宋体" w:cs="宋体"/>
              </w:rPr>
            </w:pPr>
            <w:r>
              <w:rPr>
                <w:rFonts w:hint="eastAsia" w:ascii="宋体" w:hAnsi="宋体" w:cs="宋体"/>
              </w:rPr>
              <w:t>2mm</w:t>
            </w:r>
          </w:p>
        </w:tc>
      </w:tr>
      <w:tr>
        <w:tblPrEx>
          <w:tblCellMar>
            <w:top w:w="0" w:type="dxa"/>
            <w:left w:w="0" w:type="dxa"/>
            <w:bottom w:w="0" w:type="dxa"/>
            <w:right w:w="0" w:type="dxa"/>
          </w:tblCellMar>
        </w:tblPrEx>
        <w:trPr>
          <w:jc w:val="center"/>
        </w:trPr>
        <w:tc>
          <w:tcPr>
            <w:tcW w:w="3062" w:type="pct"/>
            <w:tcBorders>
              <w:top w:val="single" w:color="000000" w:sz="4" w:space="0"/>
              <w:left w:val="single" w:color="000000" w:sz="4" w:space="0"/>
              <w:bottom w:val="single" w:color="000000" w:sz="4" w:space="0"/>
              <w:right w:val="single" w:color="000000" w:sz="4" w:space="0"/>
            </w:tcBorders>
            <w:noWrap/>
            <w:vAlign w:val="center"/>
          </w:tcPr>
          <w:p>
            <w:pPr>
              <w:pStyle w:val="28"/>
              <w:kinsoku w:val="0"/>
              <w:overflowPunct w:val="0"/>
              <w:spacing w:before="151" w:line="360" w:lineRule="auto"/>
              <w:jc w:val="center"/>
              <w:rPr>
                <w:rFonts w:ascii="宋体" w:hAnsi="宋体" w:cs="宋体"/>
              </w:rPr>
            </w:pPr>
            <w:r>
              <w:rPr>
                <w:rFonts w:hint="eastAsia" w:ascii="宋体" w:hAnsi="宋体" w:cs="宋体"/>
              </w:rPr>
              <w:t>2m</w:t>
            </w:r>
            <w:r>
              <w:rPr>
                <w:rFonts w:hint="eastAsia" w:ascii="宋体" w:hAnsi="宋体" w:cs="宋体"/>
                <w:position w:val="14"/>
              </w:rPr>
              <w:t>2</w:t>
            </w:r>
            <w:r>
              <w:rPr>
                <w:rFonts w:hint="eastAsia" w:ascii="宋体" w:hAnsi="宋体" w:cs="宋体"/>
              </w:rPr>
              <w:t>＜标志面积≤4.5m</w:t>
            </w:r>
            <w:r>
              <w:rPr>
                <w:rFonts w:hint="eastAsia" w:ascii="宋体" w:hAnsi="宋体" w:cs="宋体"/>
                <w:position w:val="14"/>
              </w:rPr>
              <w:t>2</w:t>
            </w:r>
          </w:p>
        </w:tc>
        <w:tc>
          <w:tcPr>
            <w:tcW w:w="1938" w:type="pct"/>
            <w:tcBorders>
              <w:top w:val="single" w:color="000000" w:sz="4" w:space="0"/>
              <w:left w:val="single" w:color="000000" w:sz="4" w:space="0"/>
              <w:bottom w:val="single" w:color="000000" w:sz="4" w:space="0"/>
              <w:right w:val="single" w:color="000000" w:sz="4" w:space="0"/>
            </w:tcBorders>
            <w:noWrap/>
            <w:vAlign w:val="center"/>
          </w:tcPr>
          <w:p>
            <w:pPr>
              <w:pStyle w:val="28"/>
              <w:kinsoku w:val="0"/>
              <w:overflowPunct w:val="0"/>
              <w:spacing w:before="151" w:line="360" w:lineRule="auto"/>
              <w:jc w:val="center"/>
              <w:rPr>
                <w:rFonts w:ascii="宋体" w:hAnsi="宋体" w:cs="宋体"/>
              </w:rPr>
            </w:pPr>
            <w:r>
              <w:rPr>
                <w:rFonts w:hint="eastAsia" w:ascii="宋体" w:hAnsi="宋体" w:cs="宋体"/>
              </w:rPr>
              <w:t>2.5mm</w:t>
            </w:r>
          </w:p>
        </w:tc>
      </w:tr>
      <w:tr>
        <w:tblPrEx>
          <w:tblCellMar>
            <w:top w:w="0" w:type="dxa"/>
            <w:left w:w="0" w:type="dxa"/>
            <w:bottom w:w="0" w:type="dxa"/>
            <w:right w:w="0" w:type="dxa"/>
          </w:tblCellMar>
        </w:tblPrEx>
        <w:trPr>
          <w:jc w:val="center"/>
        </w:trPr>
        <w:tc>
          <w:tcPr>
            <w:tcW w:w="3062" w:type="pct"/>
            <w:tcBorders>
              <w:top w:val="single" w:color="000000" w:sz="4" w:space="0"/>
              <w:left w:val="single" w:color="000000" w:sz="4" w:space="0"/>
              <w:bottom w:val="single" w:color="000000" w:sz="4" w:space="0"/>
              <w:right w:val="single" w:color="000000" w:sz="4" w:space="0"/>
            </w:tcBorders>
            <w:noWrap/>
            <w:vAlign w:val="center"/>
          </w:tcPr>
          <w:p>
            <w:pPr>
              <w:pStyle w:val="28"/>
              <w:kinsoku w:val="0"/>
              <w:overflowPunct w:val="0"/>
              <w:spacing w:before="152" w:line="360" w:lineRule="auto"/>
              <w:jc w:val="center"/>
              <w:rPr>
                <w:rFonts w:ascii="宋体" w:hAnsi="宋体" w:cs="宋体"/>
              </w:rPr>
            </w:pPr>
            <w:r>
              <w:rPr>
                <w:rFonts w:hint="eastAsia" w:ascii="宋体" w:hAnsi="宋体" w:cs="宋体"/>
              </w:rPr>
              <w:t>标志面积≥4.5m</w:t>
            </w:r>
            <w:r>
              <w:rPr>
                <w:rFonts w:hint="eastAsia" w:ascii="宋体" w:hAnsi="宋体" w:cs="宋体"/>
                <w:position w:val="14"/>
              </w:rPr>
              <w:t>2</w:t>
            </w:r>
          </w:p>
        </w:tc>
        <w:tc>
          <w:tcPr>
            <w:tcW w:w="1938" w:type="pct"/>
            <w:tcBorders>
              <w:top w:val="single" w:color="000000" w:sz="4" w:space="0"/>
              <w:left w:val="single" w:color="000000" w:sz="4" w:space="0"/>
              <w:bottom w:val="single" w:color="000000" w:sz="4" w:space="0"/>
              <w:right w:val="single" w:color="000000" w:sz="4" w:space="0"/>
            </w:tcBorders>
            <w:noWrap/>
            <w:vAlign w:val="center"/>
          </w:tcPr>
          <w:p>
            <w:pPr>
              <w:pStyle w:val="28"/>
              <w:kinsoku w:val="0"/>
              <w:overflowPunct w:val="0"/>
              <w:spacing w:before="152" w:line="360" w:lineRule="auto"/>
              <w:jc w:val="center"/>
              <w:rPr>
                <w:rFonts w:ascii="宋体" w:hAnsi="宋体" w:cs="宋体"/>
              </w:rPr>
            </w:pPr>
            <w:r>
              <w:rPr>
                <w:rFonts w:hint="eastAsia" w:ascii="宋体" w:hAnsi="宋体" w:cs="宋体"/>
              </w:rPr>
              <w:t>3mm</w:t>
            </w:r>
          </w:p>
        </w:tc>
      </w:tr>
    </w:tbl>
    <w:p>
      <w:pPr>
        <w:spacing w:line="360" w:lineRule="auto"/>
        <w:ind w:firstLine="482" w:firstLineChars="200"/>
        <w:rPr>
          <w:rFonts w:ascii="宋体" w:hAnsi="宋体" w:cs="宋体"/>
          <w:b/>
          <w:bCs/>
          <w:sz w:val="24"/>
        </w:rPr>
      </w:pPr>
      <w:r>
        <w:rPr>
          <w:rFonts w:hint="eastAsia" w:ascii="宋体" w:hAnsi="宋体" w:cs="宋体"/>
          <w:b/>
          <w:bCs/>
          <w:sz w:val="24"/>
        </w:rPr>
        <w:t>（1）主动发光标志</w:t>
      </w:r>
    </w:p>
    <w:p>
      <w:pPr>
        <w:spacing w:line="360" w:lineRule="auto"/>
        <w:ind w:firstLine="480" w:firstLineChars="200"/>
        <w:rPr>
          <w:rFonts w:ascii="宋体" w:hAnsi="宋体" w:cs="宋体"/>
          <w:sz w:val="24"/>
          <w:lang w:val="zh-CN"/>
        </w:rPr>
      </w:pPr>
      <w:r>
        <w:rPr>
          <w:rFonts w:hint="eastAsia" w:ascii="宋体" w:hAnsi="宋体" w:cs="宋体"/>
          <w:sz w:val="24"/>
          <w:lang w:val="zh-CN"/>
        </w:rPr>
        <w:t>主动发光标志板材：半透标志面板采用2.5mm厚1060铝合金板，背面采用1.0mm厚1060铝合金板；全透标志面板采用2mm厚透明板材，背面采用1.0mm厚1060铝合金板；反光膜采用V类反光膜，采用1.2mm厚树脂材质线路板，贴片式LED间距28*28mm布珠，贴片式LED规格为3.5*2.8mm。光源板布设于标志箱体，向标志逆反射材料背面定向投射，显示高清晰信息内容</w:t>
      </w:r>
    </w:p>
    <w:p>
      <w:pPr>
        <w:spacing w:line="360" w:lineRule="auto"/>
        <w:ind w:firstLine="480" w:firstLineChars="200"/>
        <w:rPr>
          <w:rFonts w:ascii="宋体" w:hAnsi="宋体" w:cs="宋体"/>
          <w:sz w:val="24"/>
        </w:rPr>
      </w:pPr>
      <w:r>
        <w:rPr>
          <w:rFonts w:hint="eastAsia" w:ascii="宋体" w:hAnsi="宋体" w:cs="宋体"/>
          <w:sz w:val="24"/>
        </w:rPr>
        <w:t>2、反光膜</w:t>
      </w:r>
    </w:p>
    <w:p>
      <w:pPr>
        <w:spacing w:line="360" w:lineRule="auto"/>
        <w:ind w:firstLine="480" w:firstLineChars="200"/>
        <w:rPr>
          <w:rFonts w:ascii="宋体" w:hAnsi="宋体" w:cs="宋体"/>
          <w:sz w:val="24"/>
        </w:rPr>
      </w:pPr>
      <w:r>
        <w:rPr>
          <w:rFonts w:hint="eastAsia" w:ascii="宋体" w:hAnsi="宋体" w:cs="宋体"/>
          <w:sz w:val="24"/>
          <w:lang w:val="zh-CN"/>
        </w:rPr>
        <w:t>反光膜的色度性能及逆反射系数值根据《道路交通反光膜》（GB/T18833-2012）的相应技术指标规定。</w:t>
      </w:r>
    </w:p>
    <w:p>
      <w:pPr>
        <w:autoSpaceDE w:val="0"/>
        <w:autoSpaceDN w:val="0"/>
        <w:adjustRightInd w:val="0"/>
        <w:snapToGrid w:val="0"/>
        <w:spacing w:line="360" w:lineRule="auto"/>
        <w:ind w:firstLine="420"/>
        <w:rPr>
          <w:rFonts w:ascii="宋体" w:hAnsi="宋体" w:cs="宋体"/>
          <w:sz w:val="24"/>
          <w:lang w:val="zh-CN"/>
        </w:rPr>
      </w:pPr>
      <w:r>
        <w:rPr>
          <w:rFonts w:hint="eastAsia" w:ascii="宋体" w:hAnsi="宋体" w:cs="宋体"/>
          <w:sz w:val="24"/>
        </w:rPr>
        <w:t>（1）Ⅳ类反光膜要求：</w:t>
      </w:r>
      <w:r>
        <w:rPr>
          <w:rFonts w:hint="eastAsia" w:ascii="宋体" w:hAnsi="宋体" w:cs="宋体"/>
          <w:sz w:val="24"/>
          <w:lang w:val="zh-CN"/>
        </w:rPr>
        <w:t>标志反光膜应符合GB18833-2012</w:t>
      </w:r>
      <w:r>
        <w:rPr>
          <w:rFonts w:hint="eastAsia" w:ascii="宋体" w:hAnsi="宋体" w:cs="宋体"/>
          <w:b w:val="0"/>
          <w:bCs w:val="0"/>
          <w:color w:val="auto"/>
          <w:sz w:val="24"/>
          <w:lang w:val="zh-CN"/>
        </w:rPr>
        <w:t>《道路交通反光膜》</w:t>
      </w:r>
      <w:r>
        <w:rPr>
          <w:rFonts w:hint="eastAsia" w:ascii="宋体" w:hAnsi="宋体" w:cs="宋体"/>
          <w:sz w:val="24"/>
          <w:lang w:val="zh-CN"/>
        </w:rPr>
        <w:t>的IV类要求并同时满足以下条件：</w:t>
      </w:r>
    </w:p>
    <w:p>
      <w:pPr>
        <w:autoSpaceDE w:val="0"/>
        <w:autoSpaceDN w:val="0"/>
        <w:adjustRightInd w:val="0"/>
        <w:snapToGrid w:val="0"/>
        <w:spacing w:line="360" w:lineRule="auto"/>
        <w:ind w:firstLine="420"/>
        <w:rPr>
          <w:rFonts w:ascii="宋体" w:hAnsi="宋体" w:cs="宋体"/>
          <w:sz w:val="24"/>
          <w:lang w:val="zh-CN"/>
        </w:rPr>
      </w:pPr>
      <w:r>
        <w:rPr>
          <w:rFonts w:hint="eastAsia" w:ascii="宋体" w:hAnsi="宋体" w:cs="宋体"/>
          <w:sz w:val="24"/>
          <w:lang w:val="zh-CN"/>
        </w:rPr>
        <w:t>1）采用微棱镜结构，不含金属镀层,表面具有明暗条纹；</w:t>
      </w:r>
    </w:p>
    <w:p>
      <w:pPr>
        <w:autoSpaceDE w:val="0"/>
        <w:autoSpaceDN w:val="0"/>
        <w:adjustRightInd w:val="0"/>
        <w:snapToGrid w:val="0"/>
        <w:spacing w:line="360" w:lineRule="auto"/>
        <w:ind w:firstLine="420"/>
        <w:rPr>
          <w:rFonts w:ascii="宋体" w:hAnsi="宋体" w:cs="宋体"/>
          <w:sz w:val="24"/>
        </w:rPr>
      </w:pPr>
      <w:r>
        <w:rPr>
          <w:rFonts w:hint="eastAsia" w:ascii="宋体" w:hAnsi="宋体" w:cs="宋体"/>
          <w:sz w:val="24"/>
          <w:lang w:val="zh-CN"/>
        </w:rPr>
        <w:t>2）反光膜检测包括光度性能、色度性能、附着性能等十一项技术指标并符合《道路交通反光膜》GB/T18833-2012中IV类的技术要求；</w:t>
      </w:r>
    </w:p>
    <w:p>
      <w:pPr>
        <w:autoSpaceDE w:val="0"/>
        <w:autoSpaceDN w:val="0"/>
        <w:adjustRightInd w:val="0"/>
        <w:snapToGrid w:val="0"/>
        <w:spacing w:line="360" w:lineRule="auto"/>
        <w:ind w:firstLine="420"/>
        <w:rPr>
          <w:rFonts w:ascii="宋体" w:hAnsi="宋体" w:cs="宋体"/>
          <w:sz w:val="24"/>
          <w:lang w:val="zh-CN"/>
        </w:rPr>
      </w:pPr>
      <w:r>
        <w:rPr>
          <w:rFonts w:hint="eastAsia" w:ascii="宋体" w:hAnsi="宋体" w:cs="宋体"/>
          <w:sz w:val="24"/>
        </w:rPr>
        <w:t>3</w:t>
      </w:r>
      <w:r>
        <w:rPr>
          <w:rFonts w:hint="eastAsia" w:ascii="宋体" w:hAnsi="宋体" w:cs="宋体"/>
          <w:sz w:val="24"/>
          <w:lang w:val="zh-CN"/>
        </w:rPr>
        <w:t>）反光膜应满足下表的技术要求：</w:t>
      </w:r>
    </w:p>
    <w:tbl>
      <w:tblPr>
        <w:tblStyle w:val="20"/>
        <w:tblW w:w="4998" w:type="pct"/>
        <w:jc w:val="center"/>
        <w:tblLayout w:type="autofit"/>
        <w:tblCellMar>
          <w:top w:w="0" w:type="dxa"/>
          <w:left w:w="108" w:type="dxa"/>
          <w:bottom w:w="0" w:type="dxa"/>
          <w:right w:w="108" w:type="dxa"/>
        </w:tblCellMar>
      </w:tblPr>
      <w:tblGrid>
        <w:gridCol w:w="1065"/>
        <w:gridCol w:w="1028"/>
        <w:gridCol w:w="1065"/>
        <w:gridCol w:w="1065"/>
        <w:gridCol w:w="1065"/>
        <w:gridCol w:w="1065"/>
        <w:gridCol w:w="1065"/>
        <w:gridCol w:w="1074"/>
      </w:tblGrid>
      <w:tr>
        <w:tblPrEx>
          <w:tblCellMar>
            <w:top w:w="0" w:type="dxa"/>
            <w:left w:w="108" w:type="dxa"/>
            <w:bottom w:w="0" w:type="dxa"/>
            <w:right w:w="108" w:type="dxa"/>
          </w:tblCellMar>
        </w:tblPrEx>
        <w:trPr>
          <w:cantSplit/>
          <w:trHeight w:val="408" w:hRule="atLeast"/>
          <w:jc w:val="center"/>
        </w:trPr>
        <w:tc>
          <w:tcPr>
            <w:tcW w:w="627" w:type="pct"/>
            <w:vMerge w:val="restar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napToGrid w:val="0"/>
              <w:spacing w:line="360" w:lineRule="auto"/>
              <w:rPr>
                <w:rFonts w:ascii="宋体" w:hAnsi="宋体" w:cs="宋体"/>
                <w:sz w:val="24"/>
                <w:lang w:val="zh-CN"/>
              </w:rPr>
            </w:pPr>
            <w:r>
              <w:rPr>
                <w:rFonts w:hint="eastAsia" w:ascii="宋体" w:hAnsi="宋体" w:cs="宋体"/>
                <w:sz w:val="24"/>
                <w:lang w:val="zh-CN"/>
              </w:rPr>
              <w:t>观察角</w:t>
            </w:r>
          </w:p>
        </w:tc>
        <w:tc>
          <w:tcPr>
            <w:tcW w:w="605" w:type="pct"/>
            <w:vMerge w:val="restart"/>
            <w:tcBorders>
              <w:top w:val="single" w:color="auto" w:sz="4" w:space="0"/>
              <w:left w:val="nil"/>
              <w:bottom w:val="single" w:color="auto" w:sz="4" w:space="0"/>
              <w:right w:val="single" w:color="auto" w:sz="4" w:space="0"/>
            </w:tcBorders>
            <w:noWrap/>
            <w:vAlign w:val="center"/>
          </w:tcPr>
          <w:p>
            <w:pPr>
              <w:autoSpaceDE w:val="0"/>
              <w:autoSpaceDN w:val="0"/>
              <w:adjustRightInd w:val="0"/>
              <w:snapToGrid w:val="0"/>
              <w:spacing w:line="360" w:lineRule="auto"/>
              <w:rPr>
                <w:rFonts w:ascii="宋体" w:hAnsi="宋体" w:cs="宋体"/>
                <w:sz w:val="24"/>
                <w:lang w:val="zh-CN"/>
              </w:rPr>
            </w:pPr>
            <w:r>
              <w:rPr>
                <w:rFonts w:hint="eastAsia" w:ascii="宋体" w:hAnsi="宋体" w:cs="宋体"/>
                <w:sz w:val="24"/>
                <w:lang w:val="zh-CN"/>
              </w:rPr>
              <w:t>入射角</w:t>
            </w:r>
          </w:p>
        </w:tc>
        <w:tc>
          <w:tcPr>
            <w:tcW w:w="3767" w:type="pct"/>
            <w:gridSpan w:val="6"/>
            <w:tcBorders>
              <w:top w:val="single" w:color="auto" w:sz="4" w:space="0"/>
              <w:left w:val="nil"/>
              <w:bottom w:val="single" w:color="auto" w:sz="4" w:space="0"/>
              <w:right w:val="single" w:color="auto" w:sz="4" w:space="0"/>
            </w:tcBorders>
            <w:noWrap/>
            <w:vAlign w:val="center"/>
          </w:tcPr>
          <w:p>
            <w:pPr>
              <w:autoSpaceDE w:val="0"/>
              <w:autoSpaceDN w:val="0"/>
              <w:adjustRightInd w:val="0"/>
              <w:snapToGrid w:val="0"/>
              <w:spacing w:line="360" w:lineRule="auto"/>
              <w:rPr>
                <w:rFonts w:ascii="宋体" w:hAnsi="宋体" w:cs="宋体"/>
                <w:sz w:val="24"/>
                <w:lang w:val="zh-CN"/>
              </w:rPr>
            </w:pPr>
            <w:r>
              <w:rPr>
                <w:rFonts w:hint="eastAsia" w:ascii="宋体" w:hAnsi="宋体" w:cs="宋体"/>
                <w:sz w:val="24"/>
                <w:lang w:val="zh-CN"/>
              </w:rPr>
              <w:t>最小逆反射系数cd·lx</w:t>
            </w:r>
            <w:r>
              <w:rPr>
                <w:rFonts w:hint="eastAsia" w:ascii="宋体" w:hAnsi="宋体" w:cs="宋体"/>
                <w:sz w:val="24"/>
                <w:vertAlign w:val="superscript"/>
                <w:lang w:val="zh-CN"/>
              </w:rPr>
              <w:t>-1</w:t>
            </w:r>
            <w:r>
              <w:rPr>
                <w:rFonts w:hint="eastAsia" w:ascii="宋体" w:hAnsi="宋体" w:cs="宋体"/>
                <w:sz w:val="24"/>
                <w:lang w:val="zh-CN"/>
              </w:rPr>
              <w:t>·m</w:t>
            </w:r>
            <w:r>
              <w:rPr>
                <w:rFonts w:hint="eastAsia" w:ascii="宋体" w:hAnsi="宋体" w:cs="宋体"/>
                <w:sz w:val="24"/>
                <w:vertAlign w:val="superscript"/>
                <w:lang w:val="zh-CN"/>
              </w:rPr>
              <w:t>-2</w:t>
            </w:r>
          </w:p>
        </w:tc>
      </w:tr>
      <w:tr>
        <w:tblPrEx>
          <w:tblCellMar>
            <w:top w:w="0" w:type="dxa"/>
            <w:left w:w="108" w:type="dxa"/>
            <w:bottom w:w="0" w:type="dxa"/>
            <w:right w:w="108" w:type="dxa"/>
          </w:tblCellMar>
        </w:tblPrEx>
        <w:trPr>
          <w:cantSplit/>
          <w:trHeight w:val="157" w:hRule="atLeast"/>
          <w:jc w:val="center"/>
        </w:trPr>
        <w:tc>
          <w:tcPr>
            <w:tcW w:w="627" w:type="pct"/>
            <w:vMerge w:val="continue"/>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napToGrid w:val="0"/>
              <w:spacing w:line="360" w:lineRule="auto"/>
              <w:rPr>
                <w:rFonts w:ascii="宋体" w:hAnsi="宋体" w:cs="宋体"/>
                <w:sz w:val="24"/>
                <w:lang w:val="zh-CN"/>
              </w:rPr>
            </w:pPr>
          </w:p>
        </w:tc>
        <w:tc>
          <w:tcPr>
            <w:tcW w:w="605" w:type="pct"/>
            <w:vMerge w:val="continue"/>
            <w:tcBorders>
              <w:top w:val="single" w:color="auto" w:sz="4" w:space="0"/>
              <w:left w:val="nil"/>
              <w:bottom w:val="single" w:color="auto" w:sz="4" w:space="0"/>
              <w:right w:val="single" w:color="auto" w:sz="4" w:space="0"/>
            </w:tcBorders>
            <w:noWrap/>
            <w:vAlign w:val="center"/>
          </w:tcPr>
          <w:p>
            <w:pPr>
              <w:autoSpaceDE w:val="0"/>
              <w:autoSpaceDN w:val="0"/>
              <w:adjustRightInd w:val="0"/>
              <w:snapToGrid w:val="0"/>
              <w:spacing w:line="360" w:lineRule="auto"/>
              <w:rPr>
                <w:rFonts w:ascii="宋体" w:hAnsi="宋体" w:cs="宋体"/>
                <w:sz w:val="24"/>
                <w:lang w:val="zh-CN"/>
              </w:rPr>
            </w:pPr>
          </w:p>
        </w:tc>
        <w:tc>
          <w:tcPr>
            <w:tcW w:w="627" w:type="pct"/>
            <w:tcBorders>
              <w:top w:val="single" w:color="auto" w:sz="4" w:space="0"/>
              <w:left w:val="nil"/>
              <w:bottom w:val="single" w:color="auto" w:sz="4" w:space="0"/>
              <w:right w:val="single" w:color="auto" w:sz="4" w:space="0"/>
            </w:tcBorders>
            <w:noWrap/>
            <w:vAlign w:val="center"/>
          </w:tcPr>
          <w:p>
            <w:pPr>
              <w:autoSpaceDE w:val="0"/>
              <w:autoSpaceDN w:val="0"/>
              <w:adjustRightInd w:val="0"/>
              <w:snapToGrid w:val="0"/>
              <w:spacing w:line="360" w:lineRule="auto"/>
              <w:jc w:val="center"/>
              <w:rPr>
                <w:rFonts w:ascii="宋体" w:hAnsi="宋体" w:cs="宋体"/>
                <w:sz w:val="24"/>
                <w:lang w:val="zh-CN"/>
              </w:rPr>
            </w:pPr>
            <w:r>
              <w:rPr>
                <w:rFonts w:hint="eastAsia" w:ascii="宋体" w:hAnsi="宋体" w:cs="宋体"/>
                <w:sz w:val="24"/>
                <w:lang w:val="zh-CN"/>
              </w:rPr>
              <w:t>白色</w:t>
            </w:r>
          </w:p>
        </w:tc>
        <w:tc>
          <w:tcPr>
            <w:tcW w:w="627" w:type="pct"/>
            <w:tcBorders>
              <w:top w:val="single" w:color="auto" w:sz="4" w:space="0"/>
              <w:left w:val="nil"/>
              <w:bottom w:val="single" w:color="auto" w:sz="4" w:space="0"/>
              <w:right w:val="single" w:color="auto" w:sz="4" w:space="0"/>
            </w:tcBorders>
            <w:noWrap/>
            <w:vAlign w:val="center"/>
          </w:tcPr>
          <w:p>
            <w:pPr>
              <w:autoSpaceDE w:val="0"/>
              <w:autoSpaceDN w:val="0"/>
              <w:adjustRightInd w:val="0"/>
              <w:snapToGrid w:val="0"/>
              <w:spacing w:line="360" w:lineRule="auto"/>
              <w:jc w:val="center"/>
              <w:rPr>
                <w:rFonts w:ascii="宋体" w:hAnsi="宋体" w:cs="宋体"/>
                <w:sz w:val="24"/>
                <w:lang w:val="zh-CN"/>
              </w:rPr>
            </w:pPr>
            <w:r>
              <w:rPr>
                <w:rFonts w:hint="eastAsia" w:ascii="宋体" w:hAnsi="宋体" w:cs="宋体"/>
                <w:sz w:val="24"/>
                <w:lang w:val="zh-CN"/>
              </w:rPr>
              <w:t>黄色</w:t>
            </w:r>
          </w:p>
        </w:tc>
        <w:tc>
          <w:tcPr>
            <w:tcW w:w="627" w:type="pct"/>
            <w:tcBorders>
              <w:top w:val="single" w:color="auto" w:sz="4" w:space="0"/>
              <w:left w:val="nil"/>
              <w:bottom w:val="single" w:color="auto" w:sz="4" w:space="0"/>
              <w:right w:val="single" w:color="auto" w:sz="4" w:space="0"/>
            </w:tcBorders>
            <w:noWrap/>
            <w:vAlign w:val="center"/>
          </w:tcPr>
          <w:p>
            <w:pPr>
              <w:autoSpaceDE w:val="0"/>
              <w:autoSpaceDN w:val="0"/>
              <w:adjustRightInd w:val="0"/>
              <w:snapToGrid w:val="0"/>
              <w:spacing w:line="360" w:lineRule="auto"/>
              <w:jc w:val="center"/>
              <w:rPr>
                <w:rFonts w:ascii="宋体" w:hAnsi="宋体" w:cs="宋体"/>
                <w:sz w:val="24"/>
                <w:lang w:val="zh-CN"/>
              </w:rPr>
            </w:pPr>
            <w:r>
              <w:rPr>
                <w:rFonts w:hint="eastAsia" w:ascii="宋体" w:hAnsi="宋体" w:cs="宋体"/>
                <w:sz w:val="24"/>
                <w:lang w:val="zh-CN"/>
              </w:rPr>
              <w:t>红色</w:t>
            </w:r>
          </w:p>
        </w:tc>
        <w:tc>
          <w:tcPr>
            <w:tcW w:w="627" w:type="pct"/>
            <w:tcBorders>
              <w:top w:val="single" w:color="auto" w:sz="4" w:space="0"/>
              <w:left w:val="nil"/>
              <w:bottom w:val="single" w:color="auto" w:sz="4" w:space="0"/>
              <w:right w:val="single" w:color="auto" w:sz="4" w:space="0"/>
            </w:tcBorders>
            <w:noWrap/>
            <w:vAlign w:val="center"/>
          </w:tcPr>
          <w:p>
            <w:pPr>
              <w:autoSpaceDE w:val="0"/>
              <w:autoSpaceDN w:val="0"/>
              <w:adjustRightInd w:val="0"/>
              <w:snapToGrid w:val="0"/>
              <w:spacing w:line="360" w:lineRule="auto"/>
              <w:jc w:val="center"/>
              <w:rPr>
                <w:rFonts w:ascii="宋体" w:hAnsi="宋体" w:cs="宋体"/>
                <w:sz w:val="24"/>
                <w:lang w:val="zh-CN"/>
              </w:rPr>
            </w:pPr>
            <w:r>
              <w:rPr>
                <w:rFonts w:hint="eastAsia" w:ascii="宋体" w:hAnsi="宋体" w:cs="宋体"/>
                <w:sz w:val="24"/>
                <w:lang w:val="zh-CN"/>
              </w:rPr>
              <w:t>绿色</w:t>
            </w:r>
          </w:p>
        </w:tc>
        <w:tc>
          <w:tcPr>
            <w:tcW w:w="627" w:type="pct"/>
            <w:tcBorders>
              <w:top w:val="single" w:color="auto" w:sz="4" w:space="0"/>
              <w:left w:val="nil"/>
              <w:bottom w:val="single" w:color="auto" w:sz="4" w:space="0"/>
              <w:right w:val="single" w:color="auto" w:sz="4" w:space="0"/>
            </w:tcBorders>
            <w:noWrap/>
            <w:vAlign w:val="center"/>
          </w:tcPr>
          <w:p>
            <w:pPr>
              <w:autoSpaceDE w:val="0"/>
              <w:autoSpaceDN w:val="0"/>
              <w:adjustRightInd w:val="0"/>
              <w:snapToGrid w:val="0"/>
              <w:spacing w:line="360" w:lineRule="auto"/>
              <w:jc w:val="center"/>
              <w:rPr>
                <w:rFonts w:ascii="宋体" w:hAnsi="宋体" w:cs="宋体"/>
                <w:sz w:val="24"/>
                <w:lang w:val="zh-CN"/>
              </w:rPr>
            </w:pPr>
            <w:r>
              <w:rPr>
                <w:rFonts w:hint="eastAsia" w:ascii="宋体" w:hAnsi="宋体" w:cs="宋体"/>
                <w:sz w:val="24"/>
                <w:lang w:val="zh-CN"/>
              </w:rPr>
              <w:t>蓝色</w:t>
            </w:r>
          </w:p>
        </w:tc>
        <w:tc>
          <w:tcPr>
            <w:tcW w:w="631" w:type="pct"/>
            <w:tcBorders>
              <w:top w:val="single" w:color="auto" w:sz="4" w:space="0"/>
              <w:left w:val="nil"/>
              <w:bottom w:val="single" w:color="auto" w:sz="4" w:space="0"/>
              <w:right w:val="single" w:color="auto" w:sz="4" w:space="0"/>
            </w:tcBorders>
            <w:noWrap/>
            <w:vAlign w:val="center"/>
          </w:tcPr>
          <w:p>
            <w:pPr>
              <w:autoSpaceDE w:val="0"/>
              <w:autoSpaceDN w:val="0"/>
              <w:adjustRightInd w:val="0"/>
              <w:snapToGrid w:val="0"/>
              <w:spacing w:line="360" w:lineRule="auto"/>
              <w:jc w:val="center"/>
              <w:rPr>
                <w:rFonts w:ascii="宋体" w:hAnsi="宋体" w:cs="宋体"/>
                <w:sz w:val="24"/>
                <w:lang w:val="zh-CN"/>
              </w:rPr>
            </w:pPr>
            <w:r>
              <w:rPr>
                <w:rFonts w:hint="eastAsia" w:ascii="宋体" w:hAnsi="宋体" w:cs="宋体"/>
                <w:sz w:val="24"/>
                <w:lang w:val="zh-CN"/>
              </w:rPr>
              <w:t>棕色</w:t>
            </w:r>
          </w:p>
        </w:tc>
      </w:tr>
      <w:tr>
        <w:tblPrEx>
          <w:tblCellMar>
            <w:top w:w="0" w:type="dxa"/>
            <w:left w:w="108" w:type="dxa"/>
            <w:bottom w:w="0" w:type="dxa"/>
            <w:right w:w="108" w:type="dxa"/>
          </w:tblCellMar>
        </w:tblPrEx>
        <w:trPr>
          <w:cantSplit/>
          <w:trHeight w:val="408" w:hRule="atLeast"/>
          <w:jc w:val="center"/>
        </w:trPr>
        <w:tc>
          <w:tcPr>
            <w:tcW w:w="627" w:type="pct"/>
            <w:vMerge w:val="restart"/>
            <w:tcBorders>
              <w:top w:val="nil"/>
              <w:left w:val="single" w:color="auto" w:sz="4" w:space="0"/>
              <w:bottom w:val="single" w:color="auto" w:sz="4" w:space="0"/>
              <w:right w:val="single" w:color="auto" w:sz="4" w:space="0"/>
            </w:tcBorders>
            <w:noWrap/>
            <w:vAlign w:val="center"/>
          </w:tcPr>
          <w:p>
            <w:pPr>
              <w:autoSpaceDE w:val="0"/>
              <w:autoSpaceDN w:val="0"/>
              <w:adjustRightInd w:val="0"/>
              <w:snapToGrid w:val="0"/>
              <w:spacing w:line="360" w:lineRule="auto"/>
              <w:rPr>
                <w:rFonts w:ascii="宋体" w:hAnsi="宋体" w:cs="宋体"/>
                <w:sz w:val="24"/>
                <w:lang w:val="zh-CN"/>
              </w:rPr>
            </w:pPr>
            <w:r>
              <w:rPr>
                <w:rFonts w:hint="eastAsia" w:ascii="宋体" w:hAnsi="宋体" w:cs="宋体"/>
                <w:sz w:val="24"/>
                <w:lang w:val="zh-CN"/>
              </w:rPr>
              <w:t>0.2º</w:t>
            </w:r>
          </w:p>
        </w:tc>
        <w:tc>
          <w:tcPr>
            <w:tcW w:w="605" w:type="pct"/>
            <w:tcBorders>
              <w:top w:val="single" w:color="auto" w:sz="4" w:space="0"/>
              <w:left w:val="nil"/>
              <w:bottom w:val="single" w:color="auto" w:sz="4" w:space="0"/>
              <w:right w:val="single" w:color="auto" w:sz="4" w:space="0"/>
            </w:tcBorders>
            <w:noWrap/>
          </w:tcPr>
          <w:p>
            <w:pPr>
              <w:autoSpaceDE w:val="0"/>
              <w:autoSpaceDN w:val="0"/>
              <w:adjustRightInd w:val="0"/>
              <w:snapToGrid w:val="0"/>
              <w:spacing w:line="360" w:lineRule="auto"/>
              <w:rPr>
                <w:rFonts w:ascii="宋体" w:hAnsi="宋体" w:cs="宋体"/>
                <w:sz w:val="24"/>
                <w:lang w:val="zh-CN"/>
              </w:rPr>
            </w:pPr>
            <w:r>
              <w:rPr>
                <w:rFonts w:hint="eastAsia" w:ascii="宋体" w:hAnsi="宋体" w:cs="宋体"/>
                <w:sz w:val="24"/>
                <w:lang w:val="zh-CN"/>
              </w:rPr>
              <w:t>-4º</w:t>
            </w:r>
          </w:p>
        </w:tc>
        <w:tc>
          <w:tcPr>
            <w:tcW w:w="627" w:type="pct"/>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color w:val="000000"/>
                <w:sz w:val="24"/>
              </w:rPr>
            </w:pPr>
            <w:r>
              <w:rPr>
                <w:rFonts w:hint="eastAsia" w:ascii="宋体" w:hAnsi="宋体" w:cs="宋体"/>
                <w:color w:val="000000"/>
                <w:sz w:val="24"/>
              </w:rPr>
              <w:t>580</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480</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93</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71</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43</w:t>
            </w:r>
          </w:p>
        </w:tc>
        <w:tc>
          <w:tcPr>
            <w:tcW w:w="631"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26</w:t>
            </w:r>
          </w:p>
        </w:tc>
      </w:tr>
      <w:tr>
        <w:tblPrEx>
          <w:tblCellMar>
            <w:top w:w="0" w:type="dxa"/>
            <w:left w:w="108" w:type="dxa"/>
            <w:bottom w:w="0" w:type="dxa"/>
            <w:right w:w="108" w:type="dxa"/>
          </w:tblCellMar>
        </w:tblPrEx>
        <w:trPr>
          <w:cantSplit/>
          <w:trHeight w:val="157" w:hRule="atLeast"/>
          <w:jc w:val="center"/>
        </w:trPr>
        <w:tc>
          <w:tcPr>
            <w:tcW w:w="627" w:type="pct"/>
            <w:vMerge w:val="continue"/>
            <w:tcBorders>
              <w:top w:val="nil"/>
              <w:left w:val="single" w:color="auto" w:sz="4" w:space="0"/>
              <w:bottom w:val="single" w:color="auto" w:sz="4" w:space="0"/>
              <w:right w:val="single" w:color="auto" w:sz="4" w:space="0"/>
            </w:tcBorders>
            <w:noWrap/>
            <w:vAlign w:val="center"/>
          </w:tcPr>
          <w:p>
            <w:pPr>
              <w:autoSpaceDE w:val="0"/>
              <w:autoSpaceDN w:val="0"/>
              <w:adjustRightInd w:val="0"/>
              <w:snapToGrid w:val="0"/>
              <w:spacing w:line="360" w:lineRule="auto"/>
              <w:rPr>
                <w:rFonts w:ascii="宋体" w:hAnsi="宋体" w:cs="宋体"/>
                <w:sz w:val="24"/>
                <w:lang w:val="zh-CN"/>
              </w:rPr>
            </w:pPr>
          </w:p>
        </w:tc>
        <w:tc>
          <w:tcPr>
            <w:tcW w:w="605" w:type="pct"/>
            <w:tcBorders>
              <w:top w:val="single" w:color="auto" w:sz="4" w:space="0"/>
              <w:left w:val="nil"/>
              <w:bottom w:val="single" w:color="auto" w:sz="4" w:space="0"/>
              <w:right w:val="single" w:color="auto" w:sz="4" w:space="0"/>
            </w:tcBorders>
            <w:noWrap/>
          </w:tcPr>
          <w:p>
            <w:pPr>
              <w:autoSpaceDE w:val="0"/>
              <w:autoSpaceDN w:val="0"/>
              <w:adjustRightInd w:val="0"/>
              <w:snapToGrid w:val="0"/>
              <w:spacing w:line="360" w:lineRule="auto"/>
              <w:rPr>
                <w:rFonts w:ascii="宋体" w:hAnsi="宋体" w:cs="宋体"/>
                <w:sz w:val="24"/>
                <w:lang w:val="zh-CN"/>
              </w:rPr>
            </w:pPr>
            <w:r>
              <w:rPr>
                <w:rFonts w:hint="eastAsia" w:ascii="宋体" w:hAnsi="宋体" w:cs="宋体"/>
                <w:sz w:val="24"/>
                <w:lang w:val="zh-CN"/>
              </w:rPr>
              <w:t>15º</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480</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380</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69</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54</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31</w:t>
            </w:r>
          </w:p>
        </w:tc>
        <w:tc>
          <w:tcPr>
            <w:tcW w:w="631"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19</w:t>
            </w:r>
          </w:p>
        </w:tc>
      </w:tr>
      <w:tr>
        <w:tblPrEx>
          <w:tblCellMar>
            <w:top w:w="0" w:type="dxa"/>
            <w:left w:w="108" w:type="dxa"/>
            <w:bottom w:w="0" w:type="dxa"/>
            <w:right w:w="108" w:type="dxa"/>
          </w:tblCellMar>
        </w:tblPrEx>
        <w:trPr>
          <w:cantSplit/>
          <w:trHeight w:val="157" w:hRule="atLeast"/>
          <w:jc w:val="center"/>
        </w:trPr>
        <w:tc>
          <w:tcPr>
            <w:tcW w:w="627" w:type="pct"/>
            <w:vMerge w:val="continue"/>
            <w:tcBorders>
              <w:top w:val="nil"/>
              <w:left w:val="single" w:color="auto" w:sz="4" w:space="0"/>
              <w:bottom w:val="single" w:color="auto" w:sz="4" w:space="0"/>
              <w:right w:val="single" w:color="auto" w:sz="4" w:space="0"/>
            </w:tcBorders>
            <w:noWrap/>
            <w:vAlign w:val="center"/>
          </w:tcPr>
          <w:p>
            <w:pPr>
              <w:autoSpaceDE w:val="0"/>
              <w:autoSpaceDN w:val="0"/>
              <w:adjustRightInd w:val="0"/>
              <w:snapToGrid w:val="0"/>
              <w:spacing w:line="360" w:lineRule="auto"/>
              <w:rPr>
                <w:rFonts w:ascii="宋体" w:hAnsi="宋体" w:cs="宋体"/>
                <w:sz w:val="24"/>
                <w:lang w:val="zh-CN"/>
              </w:rPr>
            </w:pPr>
          </w:p>
        </w:tc>
        <w:tc>
          <w:tcPr>
            <w:tcW w:w="605" w:type="pct"/>
            <w:tcBorders>
              <w:top w:val="single" w:color="auto" w:sz="4" w:space="0"/>
              <w:left w:val="nil"/>
              <w:bottom w:val="single" w:color="auto" w:sz="4" w:space="0"/>
              <w:right w:val="single" w:color="auto" w:sz="4" w:space="0"/>
            </w:tcBorders>
            <w:noWrap/>
          </w:tcPr>
          <w:p>
            <w:pPr>
              <w:autoSpaceDE w:val="0"/>
              <w:autoSpaceDN w:val="0"/>
              <w:adjustRightInd w:val="0"/>
              <w:snapToGrid w:val="0"/>
              <w:spacing w:line="360" w:lineRule="auto"/>
              <w:rPr>
                <w:rFonts w:ascii="宋体" w:hAnsi="宋体" w:cs="宋体"/>
                <w:sz w:val="24"/>
                <w:lang w:val="zh-CN"/>
              </w:rPr>
            </w:pPr>
            <w:r>
              <w:rPr>
                <w:rFonts w:hint="eastAsia" w:ascii="宋体" w:hAnsi="宋体" w:cs="宋体"/>
                <w:sz w:val="24"/>
                <w:lang w:val="zh-CN"/>
              </w:rPr>
              <w:t>30º</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350</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250</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43</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36</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20</w:t>
            </w:r>
          </w:p>
        </w:tc>
        <w:tc>
          <w:tcPr>
            <w:tcW w:w="631"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10</w:t>
            </w:r>
          </w:p>
        </w:tc>
      </w:tr>
      <w:tr>
        <w:tblPrEx>
          <w:tblCellMar>
            <w:top w:w="0" w:type="dxa"/>
            <w:left w:w="108" w:type="dxa"/>
            <w:bottom w:w="0" w:type="dxa"/>
            <w:right w:w="108" w:type="dxa"/>
          </w:tblCellMar>
        </w:tblPrEx>
        <w:trPr>
          <w:cantSplit/>
          <w:trHeight w:val="408" w:hRule="atLeast"/>
          <w:jc w:val="center"/>
        </w:trPr>
        <w:tc>
          <w:tcPr>
            <w:tcW w:w="627" w:type="pct"/>
            <w:vMerge w:val="restart"/>
            <w:tcBorders>
              <w:top w:val="nil"/>
              <w:left w:val="single" w:color="auto" w:sz="4" w:space="0"/>
              <w:bottom w:val="single" w:color="auto" w:sz="4" w:space="0"/>
              <w:right w:val="single" w:color="auto" w:sz="4" w:space="0"/>
            </w:tcBorders>
            <w:noWrap/>
            <w:vAlign w:val="center"/>
          </w:tcPr>
          <w:p>
            <w:pPr>
              <w:autoSpaceDE w:val="0"/>
              <w:autoSpaceDN w:val="0"/>
              <w:adjustRightInd w:val="0"/>
              <w:snapToGrid w:val="0"/>
              <w:spacing w:line="360" w:lineRule="auto"/>
              <w:rPr>
                <w:rFonts w:ascii="宋体" w:hAnsi="宋体" w:cs="宋体"/>
                <w:sz w:val="24"/>
                <w:lang w:val="zh-CN"/>
              </w:rPr>
            </w:pPr>
            <w:r>
              <w:rPr>
                <w:rFonts w:hint="eastAsia" w:ascii="宋体" w:hAnsi="宋体" w:cs="宋体"/>
                <w:sz w:val="24"/>
                <w:lang w:val="zh-CN"/>
              </w:rPr>
              <w:t>0.5º</w:t>
            </w:r>
          </w:p>
        </w:tc>
        <w:tc>
          <w:tcPr>
            <w:tcW w:w="605" w:type="pct"/>
            <w:tcBorders>
              <w:top w:val="single" w:color="auto" w:sz="4" w:space="0"/>
              <w:left w:val="nil"/>
              <w:bottom w:val="single" w:color="auto" w:sz="4" w:space="0"/>
              <w:right w:val="single" w:color="auto" w:sz="4" w:space="0"/>
            </w:tcBorders>
            <w:noWrap/>
          </w:tcPr>
          <w:p>
            <w:pPr>
              <w:autoSpaceDE w:val="0"/>
              <w:autoSpaceDN w:val="0"/>
              <w:adjustRightInd w:val="0"/>
              <w:snapToGrid w:val="0"/>
              <w:spacing w:line="360" w:lineRule="auto"/>
              <w:rPr>
                <w:rFonts w:ascii="宋体" w:hAnsi="宋体" w:cs="宋体"/>
                <w:sz w:val="24"/>
                <w:lang w:val="zh-CN"/>
              </w:rPr>
            </w:pPr>
            <w:r>
              <w:rPr>
                <w:rFonts w:hint="eastAsia" w:ascii="宋体" w:hAnsi="宋体" w:cs="宋体"/>
                <w:sz w:val="24"/>
                <w:lang w:val="zh-CN"/>
              </w:rPr>
              <w:t>-4º</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320</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220</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39</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30</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19</w:t>
            </w:r>
          </w:p>
        </w:tc>
        <w:tc>
          <w:tcPr>
            <w:tcW w:w="631"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11</w:t>
            </w:r>
          </w:p>
        </w:tc>
      </w:tr>
      <w:tr>
        <w:tblPrEx>
          <w:tblCellMar>
            <w:top w:w="0" w:type="dxa"/>
            <w:left w:w="108" w:type="dxa"/>
            <w:bottom w:w="0" w:type="dxa"/>
            <w:right w:w="108" w:type="dxa"/>
          </w:tblCellMar>
        </w:tblPrEx>
        <w:trPr>
          <w:cantSplit/>
          <w:trHeight w:val="157" w:hRule="atLeast"/>
          <w:jc w:val="center"/>
        </w:trPr>
        <w:tc>
          <w:tcPr>
            <w:tcW w:w="627" w:type="pct"/>
            <w:vMerge w:val="continue"/>
            <w:tcBorders>
              <w:top w:val="nil"/>
              <w:left w:val="single" w:color="auto" w:sz="4" w:space="0"/>
              <w:bottom w:val="single" w:color="auto" w:sz="4" w:space="0"/>
              <w:right w:val="single" w:color="auto" w:sz="4" w:space="0"/>
            </w:tcBorders>
            <w:noWrap/>
            <w:vAlign w:val="center"/>
          </w:tcPr>
          <w:p>
            <w:pPr>
              <w:autoSpaceDE w:val="0"/>
              <w:autoSpaceDN w:val="0"/>
              <w:adjustRightInd w:val="0"/>
              <w:snapToGrid w:val="0"/>
              <w:spacing w:line="360" w:lineRule="auto"/>
              <w:rPr>
                <w:rFonts w:ascii="宋体" w:hAnsi="宋体" w:cs="宋体"/>
                <w:sz w:val="24"/>
                <w:lang w:val="zh-CN"/>
              </w:rPr>
            </w:pPr>
          </w:p>
        </w:tc>
        <w:tc>
          <w:tcPr>
            <w:tcW w:w="605" w:type="pct"/>
            <w:tcBorders>
              <w:top w:val="single" w:color="auto" w:sz="4" w:space="0"/>
              <w:left w:val="nil"/>
              <w:bottom w:val="single" w:color="auto" w:sz="4" w:space="0"/>
              <w:right w:val="single" w:color="auto" w:sz="4" w:space="0"/>
            </w:tcBorders>
            <w:noWrap/>
          </w:tcPr>
          <w:p>
            <w:pPr>
              <w:autoSpaceDE w:val="0"/>
              <w:autoSpaceDN w:val="0"/>
              <w:adjustRightInd w:val="0"/>
              <w:snapToGrid w:val="0"/>
              <w:spacing w:line="360" w:lineRule="auto"/>
              <w:rPr>
                <w:rFonts w:ascii="宋体" w:hAnsi="宋体" w:cs="宋体"/>
                <w:sz w:val="24"/>
                <w:lang w:val="zh-CN"/>
              </w:rPr>
            </w:pPr>
            <w:r>
              <w:rPr>
                <w:rFonts w:hint="eastAsia" w:ascii="宋体" w:hAnsi="宋体" w:cs="宋体"/>
                <w:sz w:val="24"/>
                <w:lang w:val="zh-CN"/>
              </w:rPr>
              <w:t>15º</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220</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120</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29</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23</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14</w:t>
            </w:r>
          </w:p>
        </w:tc>
        <w:tc>
          <w:tcPr>
            <w:tcW w:w="631"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8</w:t>
            </w:r>
          </w:p>
        </w:tc>
      </w:tr>
      <w:tr>
        <w:tblPrEx>
          <w:tblCellMar>
            <w:top w:w="0" w:type="dxa"/>
            <w:left w:w="108" w:type="dxa"/>
            <w:bottom w:w="0" w:type="dxa"/>
            <w:right w:w="108" w:type="dxa"/>
          </w:tblCellMar>
        </w:tblPrEx>
        <w:trPr>
          <w:cantSplit/>
          <w:trHeight w:val="157" w:hRule="atLeast"/>
          <w:jc w:val="center"/>
        </w:trPr>
        <w:tc>
          <w:tcPr>
            <w:tcW w:w="627" w:type="pct"/>
            <w:vMerge w:val="continue"/>
            <w:tcBorders>
              <w:top w:val="nil"/>
              <w:left w:val="single" w:color="auto" w:sz="4" w:space="0"/>
              <w:bottom w:val="single" w:color="auto" w:sz="4" w:space="0"/>
              <w:right w:val="single" w:color="auto" w:sz="4" w:space="0"/>
            </w:tcBorders>
            <w:noWrap/>
            <w:vAlign w:val="center"/>
          </w:tcPr>
          <w:p>
            <w:pPr>
              <w:autoSpaceDE w:val="0"/>
              <w:autoSpaceDN w:val="0"/>
              <w:adjustRightInd w:val="0"/>
              <w:snapToGrid w:val="0"/>
              <w:spacing w:line="360" w:lineRule="auto"/>
              <w:rPr>
                <w:rFonts w:ascii="宋体" w:hAnsi="宋体" w:cs="宋体"/>
                <w:sz w:val="24"/>
                <w:lang w:val="zh-CN"/>
              </w:rPr>
            </w:pPr>
          </w:p>
        </w:tc>
        <w:tc>
          <w:tcPr>
            <w:tcW w:w="605" w:type="pct"/>
            <w:tcBorders>
              <w:top w:val="single" w:color="auto" w:sz="4" w:space="0"/>
              <w:left w:val="nil"/>
              <w:bottom w:val="single" w:color="auto" w:sz="4" w:space="0"/>
              <w:right w:val="single" w:color="auto" w:sz="4" w:space="0"/>
            </w:tcBorders>
            <w:noWrap/>
          </w:tcPr>
          <w:p>
            <w:pPr>
              <w:autoSpaceDE w:val="0"/>
              <w:autoSpaceDN w:val="0"/>
              <w:adjustRightInd w:val="0"/>
              <w:snapToGrid w:val="0"/>
              <w:spacing w:line="360" w:lineRule="auto"/>
              <w:rPr>
                <w:rFonts w:ascii="宋体" w:hAnsi="宋体" w:cs="宋体"/>
                <w:sz w:val="24"/>
                <w:lang w:val="zh-CN"/>
              </w:rPr>
            </w:pPr>
            <w:r>
              <w:rPr>
                <w:rFonts w:hint="eastAsia" w:ascii="宋体" w:hAnsi="宋体" w:cs="宋体"/>
                <w:sz w:val="24"/>
                <w:lang w:val="zh-CN"/>
              </w:rPr>
              <w:t>30º</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170</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70</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19</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14</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9</w:t>
            </w:r>
          </w:p>
        </w:tc>
        <w:tc>
          <w:tcPr>
            <w:tcW w:w="631"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5</w:t>
            </w:r>
          </w:p>
        </w:tc>
      </w:tr>
      <w:tr>
        <w:tblPrEx>
          <w:tblCellMar>
            <w:top w:w="0" w:type="dxa"/>
            <w:left w:w="108" w:type="dxa"/>
            <w:bottom w:w="0" w:type="dxa"/>
            <w:right w:w="108" w:type="dxa"/>
          </w:tblCellMar>
        </w:tblPrEx>
        <w:trPr>
          <w:cantSplit/>
          <w:trHeight w:val="408" w:hRule="atLeast"/>
          <w:jc w:val="center"/>
        </w:trPr>
        <w:tc>
          <w:tcPr>
            <w:tcW w:w="627" w:type="pct"/>
            <w:vMerge w:val="restart"/>
            <w:tcBorders>
              <w:top w:val="nil"/>
              <w:left w:val="single" w:color="auto" w:sz="4" w:space="0"/>
              <w:bottom w:val="single" w:color="auto" w:sz="4" w:space="0"/>
              <w:right w:val="single" w:color="auto" w:sz="4" w:space="0"/>
            </w:tcBorders>
            <w:noWrap/>
            <w:vAlign w:val="center"/>
          </w:tcPr>
          <w:p>
            <w:pPr>
              <w:autoSpaceDE w:val="0"/>
              <w:autoSpaceDN w:val="0"/>
              <w:adjustRightInd w:val="0"/>
              <w:snapToGrid w:val="0"/>
              <w:spacing w:line="360" w:lineRule="auto"/>
              <w:rPr>
                <w:rFonts w:ascii="宋体" w:hAnsi="宋体" w:cs="宋体"/>
                <w:sz w:val="24"/>
                <w:lang w:val="zh-CN"/>
              </w:rPr>
            </w:pPr>
            <w:r>
              <w:rPr>
                <w:rFonts w:hint="eastAsia" w:ascii="宋体" w:hAnsi="宋体" w:cs="宋体"/>
                <w:sz w:val="24"/>
                <w:lang w:val="zh-CN"/>
              </w:rPr>
              <w:t>1º</w:t>
            </w:r>
          </w:p>
        </w:tc>
        <w:tc>
          <w:tcPr>
            <w:tcW w:w="605" w:type="pct"/>
            <w:tcBorders>
              <w:top w:val="single" w:color="auto" w:sz="4" w:space="0"/>
              <w:left w:val="nil"/>
              <w:bottom w:val="single" w:color="auto" w:sz="4" w:space="0"/>
              <w:right w:val="single" w:color="auto" w:sz="4" w:space="0"/>
            </w:tcBorders>
            <w:noWrap/>
          </w:tcPr>
          <w:p>
            <w:pPr>
              <w:autoSpaceDE w:val="0"/>
              <w:autoSpaceDN w:val="0"/>
              <w:adjustRightInd w:val="0"/>
              <w:snapToGrid w:val="0"/>
              <w:spacing w:line="360" w:lineRule="auto"/>
              <w:rPr>
                <w:rFonts w:ascii="宋体" w:hAnsi="宋体" w:cs="宋体"/>
                <w:sz w:val="24"/>
                <w:lang w:val="zh-CN"/>
              </w:rPr>
            </w:pPr>
            <w:r>
              <w:rPr>
                <w:rFonts w:hint="eastAsia" w:ascii="宋体" w:hAnsi="宋体" w:cs="宋体"/>
                <w:sz w:val="24"/>
                <w:lang w:val="zh-CN"/>
              </w:rPr>
              <w:t>-4º</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35</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26</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3</w:t>
            </w:r>
          </w:p>
        </w:tc>
        <w:tc>
          <w:tcPr>
            <w:tcW w:w="631"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3</w:t>
            </w:r>
          </w:p>
        </w:tc>
      </w:tr>
      <w:tr>
        <w:tblPrEx>
          <w:tblCellMar>
            <w:top w:w="0" w:type="dxa"/>
            <w:left w:w="108" w:type="dxa"/>
            <w:bottom w:w="0" w:type="dxa"/>
            <w:right w:w="108" w:type="dxa"/>
          </w:tblCellMar>
        </w:tblPrEx>
        <w:trPr>
          <w:cantSplit/>
          <w:trHeight w:val="157" w:hRule="atLeast"/>
          <w:jc w:val="center"/>
        </w:trPr>
        <w:tc>
          <w:tcPr>
            <w:tcW w:w="627" w:type="pct"/>
            <w:vMerge w:val="continue"/>
            <w:tcBorders>
              <w:top w:val="nil"/>
              <w:left w:val="single" w:color="auto" w:sz="4" w:space="0"/>
              <w:bottom w:val="single" w:color="auto" w:sz="4" w:space="0"/>
              <w:right w:val="single" w:color="auto" w:sz="4" w:space="0"/>
            </w:tcBorders>
            <w:noWrap/>
            <w:vAlign w:val="center"/>
          </w:tcPr>
          <w:p>
            <w:pPr>
              <w:autoSpaceDE w:val="0"/>
              <w:autoSpaceDN w:val="0"/>
              <w:adjustRightInd w:val="0"/>
              <w:snapToGrid w:val="0"/>
              <w:spacing w:line="360" w:lineRule="auto"/>
              <w:rPr>
                <w:rFonts w:ascii="宋体" w:hAnsi="宋体" w:cs="宋体"/>
                <w:sz w:val="24"/>
                <w:lang w:val="zh-CN"/>
              </w:rPr>
            </w:pPr>
          </w:p>
        </w:tc>
        <w:tc>
          <w:tcPr>
            <w:tcW w:w="605" w:type="pct"/>
            <w:tcBorders>
              <w:top w:val="single" w:color="auto" w:sz="4" w:space="0"/>
              <w:left w:val="nil"/>
              <w:bottom w:val="single" w:color="auto" w:sz="4" w:space="0"/>
              <w:right w:val="single" w:color="auto" w:sz="4" w:space="0"/>
            </w:tcBorders>
            <w:noWrap/>
          </w:tcPr>
          <w:p>
            <w:pPr>
              <w:autoSpaceDE w:val="0"/>
              <w:autoSpaceDN w:val="0"/>
              <w:adjustRightInd w:val="0"/>
              <w:snapToGrid w:val="0"/>
              <w:spacing w:line="360" w:lineRule="auto"/>
              <w:rPr>
                <w:rFonts w:ascii="宋体" w:hAnsi="宋体" w:cs="宋体"/>
                <w:sz w:val="24"/>
                <w:lang w:val="zh-CN"/>
              </w:rPr>
            </w:pPr>
            <w:r>
              <w:rPr>
                <w:rFonts w:hint="eastAsia" w:ascii="宋体" w:hAnsi="宋体" w:cs="宋体"/>
                <w:sz w:val="24"/>
                <w:lang w:val="zh-CN"/>
              </w:rPr>
              <w:t>15º</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28</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20</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4</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2</w:t>
            </w:r>
          </w:p>
        </w:tc>
        <w:tc>
          <w:tcPr>
            <w:tcW w:w="631"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2</w:t>
            </w:r>
          </w:p>
        </w:tc>
      </w:tr>
      <w:tr>
        <w:tblPrEx>
          <w:tblCellMar>
            <w:top w:w="0" w:type="dxa"/>
            <w:left w:w="108" w:type="dxa"/>
            <w:bottom w:w="0" w:type="dxa"/>
            <w:right w:w="108" w:type="dxa"/>
          </w:tblCellMar>
        </w:tblPrEx>
        <w:trPr>
          <w:cantSplit/>
          <w:trHeight w:val="157" w:hRule="atLeast"/>
          <w:jc w:val="center"/>
        </w:trPr>
        <w:tc>
          <w:tcPr>
            <w:tcW w:w="627" w:type="pct"/>
            <w:vMerge w:val="continue"/>
            <w:tcBorders>
              <w:top w:val="nil"/>
              <w:left w:val="single" w:color="auto" w:sz="4" w:space="0"/>
              <w:bottom w:val="single" w:color="auto" w:sz="4" w:space="0"/>
              <w:right w:val="single" w:color="auto" w:sz="4" w:space="0"/>
            </w:tcBorders>
            <w:noWrap/>
            <w:vAlign w:val="center"/>
          </w:tcPr>
          <w:p>
            <w:pPr>
              <w:autoSpaceDE w:val="0"/>
              <w:autoSpaceDN w:val="0"/>
              <w:adjustRightInd w:val="0"/>
              <w:snapToGrid w:val="0"/>
              <w:spacing w:line="360" w:lineRule="auto"/>
              <w:rPr>
                <w:rFonts w:ascii="宋体" w:hAnsi="宋体" w:cs="宋体"/>
                <w:sz w:val="24"/>
                <w:lang w:val="zh-CN"/>
              </w:rPr>
            </w:pPr>
          </w:p>
        </w:tc>
        <w:tc>
          <w:tcPr>
            <w:tcW w:w="605" w:type="pct"/>
            <w:tcBorders>
              <w:top w:val="single" w:color="auto" w:sz="4" w:space="0"/>
              <w:left w:val="nil"/>
              <w:bottom w:val="single" w:color="auto" w:sz="4" w:space="0"/>
              <w:right w:val="single" w:color="auto" w:sz="4" w:space="0"/>
            </w:tcBorders>
            <w:noWrap/>
          </w:tcPr>
          <w:p>
            <w:pPr>
              <w:autoSpaceDE w:val="0"/>
              <w:autoSpaceDN w:val="0"/>
              <w:adjustRightInd w:val="0"/>
              <w:snapToGrid w:val="0"/>
              <w:spacing w:line="360" w:lineRule="auto"/>
              <w:rPr>
                <w:rFonts w:ascii="宋体" w:hAnsi="宋体" w:cs="宋体"/>
                <w:sz w:val="24"/>
                <w:lang w:val="zh-CN"/>
              </w:rPr>
            </w:pPr>
            <w:r>
              <w:rPr>
                <w:rFonts w:hint="eastAsia" w:ascii="宋体" w:hAnsi="宋体" w:cs="宋体"/>
                <w:sz w:val="24"/>
                <w:lang w:val="zh-CN"/>
              </w:rPr>
              <w:t>30º</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20</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15</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4</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3</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631"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r>
    </w:tbl>
    <w:p>
      <w:pPr>
        <w:autoSpaceDE w:val="0"/>
        <w:autoSpaceDN w:val="0"/>
        <w:spacing w:line="360" w:lineRule="auto"/>
        <w:rPr>
          <w:rFonts w:ascii="宋体" w:hAnsi="宋体" w:cs="宋体"/>
          <w:sz w:val="24"/>
          <w:lang w:val="zh-CN"/>
        </w:rPr>
      </w:pPr>
      <w:r>
        <w:rPr>
          <w:rFonts w:hint="eastAsia" w:ascii="宋体" w:hAnsi="宋体" w:cs="宋体"/>
          <w:sz w:val="24"/>
        </w:rPr>
        <w:t>2）</w:t>
      </w:r>
      <w:r>
        <w:rPr>
          <w:rFonts w:hint="eastAsia" w:ascii="宋体" w:hAnsi="宋体" w:cs="宋体"/>
          <w:sz w:val="24"/>
          <w:lang w:val="zh-CN"/>
        </w:rPr>
        <w:t>V类反光膜要求：</w:t>
      </w:r>
    </w:p>
    <w:p>
      <w:pPr>
        <w:autoSpaceDE w:val="0"/>
        <w:autoSpaceDN w:val="0"/>
        <w:adjustRightInd w:val="0"/>
        <w:snapToGrid w:val="0"/>
        <w:spacing w:line="360" w:lineRule="auto"/>
        <w:ind w:firstLine="420"/>
        <w:rPr>
          <w:rFonts w:ascii="宋体" w:hAnsi="宋体" w:cs="宋体"/>
          <w:sz w:val="24"/>
          <w:lang w:val="zh-CN"/>
        </w:rPr>
      </w:pPr>
      <w:r>
        <w:rPr>
          <w:rFonts w:hint="eastAsia" w:ascii="宋体" w:hAnsi="宋体" w:cs="宋体"/>
          <w:sz w:val="24"/>
        </w:rPr>
        <w:t>1）</w:t>
      </w:r>
      <w:r>
        <w:rPr>
          <w:rFonts w:hint="eastAsia" w:ascii="宋体" w:hAnsi="宋体" w:cs="宋体"/>
          <w:sz w:val="24"/>
          <w:lang w:val="zh-CN"/>
        </w:rPr>
        <w:t>标志反光膜应符合GB18833-2012&lt;&lt;道路交通反光膜&gt;&gt;的V类要求。</w:t>
      </w:r>
    </w:p>
    <w:p>
      <w:pPr>
        <w:autoSpaceDE w:val="0"/>
        <w:autoSpaceDN w:val="0"/>
        <w:adjustRightInd w:val="0"/>
        <w:snapToGrid w:val="0"/>
        <w:spacing w:line="360" w:lineRule="auto"/>
        <w:ind w:firstLine="420"/>
        <w:rPr>
          <w:rFonts w:ascii="宋体" w:hAnsi="宋体" w:cs="宋体"/>
          <w:sz w:val="24"/>
          <w:lang w:val="zh-CN"/>
        </w:rPr>
      </w:pPr>
      <w:r>
        <w:rPr>
          <w:rFonts w:hint="eastAsia" w:ascii="宋体" w:hAnsi="宋体" w:cs="宋体"/>
          <w:sz w:val="24"/>
        </w:rPr>
        <w:t>2</w:t>
      </w:r>
      <w:r>
        <w:rPr>
          <w:rFonts w:hint="eastAsia" w:ascii="宋体" w:hAnsi="宋体" w:cs="宋体"/>
          <w:sz w:val="24"/>
          <w:lang w:val="zh-CN"/>
        </w:rPr>
        <w:t>）采用全棱镜结构，不含金属镀层；</w:t>
      </w:r>
    </w:p>
    <w:p>
      <w:pPr>
        <w:autoSpaceDE w:val="0"/>
        <w:autoSpaceDN w:val="0"/>
        <w:adjustRightInd w:val="0"/>
        <w:snapToGrid w:val="0"/>
        <w:spacing w:line="360" w:lineRule="auto"/>
        <w:ind w:firstLine="420"/>
        <w:rPr>
          <w:rFonts w:ascii="宋体" w:hAnsi="宋体" w:cs="宋体"/>
          <w:sz w:val="24"/>
          <w:lang w:val="zh-CN"/>
        </w:rPr>
      </w:pPr>
      <w:r>
        <w:rPr>
          <w:rFonts w:hint="eastAsia" w:ascii="宋体" w:hAnsi="宋体" w:cs="宋体"/>
          <w:sz w:val="24"/>
        </w:rPr>
        <w:t>3</w:t>
      </w:r>
      <w:r>
        <w:rPr>
          <w:rFonts w:hint="eastAsia" w:ascii="宋体" w:hAnsi="宋体" w:cs="宋体"/>
          <w:sz w:val="24"/>
          <w:lang w:val="zh-CN"/>
        </w:rPr>
        <w:t>）反光膜检测包括光度性能、色度性能、附着性能等十一项技术指标，</w:t>
      </w:r>
      <w:r>
        <w:rPr>
          <w:rFonts w:hint="eastAsia" w:ascii="宋体" w:hAnsi="宋体" w:cs="宋体"/>
          <w:sz w:val="24"/>
        </w:rPr>
        <w:t>需</w:t>
      </w:r>
      <w:r>
        <w:rPr>
          <w:rFonts w:hint="eastAsia" w:ascii="宋体" w:hAnsi="宋体" w:cs="宋体"/>
          <w:sz w:val="24"/>
          <w:lang w:val="zh-CN"/>
        </w:rPr>
        <w:t>符合《道路交通反光膜》GB/T18833-2012中V类的技术要求；</w:t>
      </w:r>
    </w:p>
    <w:p>
      <w:pPr>
        <w:autoSpaceDE w:val="0"/>
        <w:autoSpaceDN w:val="0"/>
        <w:adjustRightInd w:val="0"/>
        <w:snapToGrid w:val="0"/>
        <w:spacing w:line="360" w:lineRule="auto"/>
        <w:ind w:firstLine="420"/>
        <w:rPr>
          <w:rFonts w:ascii="宋体" w:hAnsi="宋体" w:cs="宋体"/>
          <w:sz w:val="24"/>
          <w:lang w:val="zh-CN"/>
        </w:rPr>
      </w:pPr>
      <w:r>
        <w:rPr>
          <w:rFonts w:hint="eastAsia" w:ascii="宋体" w:hAnsi="宋体" w:cs="宋体"/>
          <w:sz w:val="24"/>
        </w:rPr>
        <w:t>4</w:t>
      </w:r>
      <w:r>
        <w:rPr>
          <w:rFonts w:hint="eastAsia" w:ascii="宋体" w:hAnsi="宋体" w:cs="宋体"/>
          <w:sz w:val="24"/>
          <w:lang w:val="zh-CN"/>
        </w:rPr>
        <w:t>）反光膜应满足下表的技术要求：</w:t>
      </w:r>
    </w:p>
    <w:tbl>
      <w:tblPr>
        <w:tblStyle w:val="20"/>
        <w:tblW w:w="4998" w:type="pct"/>
        <w:jc w:val="center"/>
        <w:tblLayout w:type="autofit"/>
        <w:tblCellMar>
          <w:top w:w="0" w:type="dxa"/>
          <w:left w:w="108" w:type="dxa"/>
          <w:bottom w:w="0" w:type="dxa"/>
          <w:right w:w="108" w:type="dxa"/>
        </w:tblCellMar>
      </w:tblPr>
      <w:tblGrid>
        <w:gridCol w:w="1065"/>
        <w:gridCol w:w="1028"/>
        <w:gridCol w:w="1065"/>
        <w:gridCol w:w="1065"/>
        <w:gridCol w:w="1065"/>
        <w:gridCol w:w="1065"/>
        <w:gridCol w:w="1065"/>
        <w:gridCol w:w="1074"/>
      </w:tblGrid>
      <w:tr>
        <w:tblPrEx>
          <w:tblCellMar>
            <w:top w:w="0" w:type="dxa"/>
            <w:left w:w="108" w:type="dxa"/>
            <w:bottom w:w="0" w:type="dxa"/>
            <w:right w:w="108" w:type="dxa"/>
          </w:tblCellMar>
        </w:tblPrEx>
        <w:trPr>
          <w:cantSplit/>
          <w:trHeight w:val="408" w:hRule="atLeast"/>
          <w:jc w:val="center"/>
        </w:trPr>
        <w:tc>
          <w:tcPr>
            <w:tcW w:w="627" w:type="pct"/>
            <w:vMerge w:val="restart"/>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napToGrid w:val="0"/>
              <w:spacing w:line="360" w:lineRule="auto"/>
              <w:rPr>
                <w:rFonts w:ascii="宋体" w:hAnsi="宋体" w:cs="宋体"/>
                <w:sz w:val="24"/>
                <w:lang w:val="zh-CN"/>
              </w:rPr>
            </w:pPr>
            <w:r>
              <w:rPr>
                <w:rFonts w:hint="eastAsia" w:ascii="宋体" w:hAnsi="宋体" w:cs="宋体"/>
                <w:sz w:val="24"/>
                <w:lang w:val="zh-CN"/>
              </w:rPr>
              <w:t>观察角</w:t>
            </w:r>
          </w:p>
        </w:tc>
        <w:tc>
          <w:tcPr>
            <w:tcW w:w="605" w:type="pct"/>
            <w:vMerge w:val="restart"/>
            <w:tcBorders>
              <w:top w:val="single" w:color="auto" w:sz="4" w:space="0"/>
              <w:left w:val="nil"/>
              <w:bottom w:val="single" w:color="auto" w:sz="4" w:space="0"/>
              <w:right w:val="single" w:color="auto" w:sz="4" w:space="0"/>
            </w:tcBorders>
            <w:noWrap/>
            <w:vAlign w:val="center"/>
          </w:tcPr>
          <w:p>
            <w:pPr>
              <w:autoSpaceDE w:val="0"/>
              <w:autoSpaceDN w:val="0"/>
              <w:adjustRightInd w:val="0"/>
              <w:snapToGrid w:val="0"/>
              <w:spacing w:line="360" w:lineRule="auto"/>
              <w:rPr>
                <w:rFonts w:ascii="宋体" w:hAnsi="宋体" w:cs="宋体"/>
                <w:sz w:val="24"/>
                <w:lang w:val="zh-CN"/>
              </w:rPr>
            </w:pPr>
            <w:r>
              <w:rPr>
                <w:rFonts w:hint="eastAsia" w:ascii="宋体" w:hAnsi="宋体" w:cs="宋体"/>
                <w:sz w:val="24"/>
                <w:lang w:val="zh-CN"/>
              </w:rPr>
              <w:t>入射角</w:t>
            </w:r>
          </w:p>
        </w:tc>
        <w:tc>
          <w:tcPr>
            <w:tcW w:w="3767" w:type="pct"/>
            <w:gridSpan w:val="6"/>
            <w:tcBorders>
              <w:top w:val="single" w:color="auto" w:sz="4" w:space="0"/>
              <w:left w:val="nil"/>
              <w:bottom w:val="single" w:color="auto" w:sz="4" w:space="0"/>
              <w:right w:val="single" w:color="auto" w:sz="4" w:space="0"/>
            </w:tcBorders>
            <w:noWrap/>
            <w:vAlign w:val="center"/>
          </w:tcPr>
          <w:p>
            <w:pPr>
              <w:autoSpaceDE w:val="0"/>
              <w:autoSpaceDN w:val="0"/>
              <w:adjustRightInd w:val="0"/>
              <w:snapToGrid w:val="0"/>
              <w:spacing w:line="360" w:lineRule="auto"/>
              <w:rPr>
                <w:rFonts w:ascii="宋体" w:hAnsi="宋体" w:cs="宋体"/>
                <w:sz w:val="24"/>
                <w:lang w:val="zh-CN"/>
              </w:rPr>
            </w:pPr>
            <w:r>
              <w:rPr>
                <w:rFonts w:hint="eastAsia" w:ascii="宋体" w:hAnsi="宋体" w:cs="宋体"/>
                <w:sz w:val="24"/>
                <w:lang w:val="zh-CN"/>
              </w:rPr>
              <w:t>最小逆反射系数cd·lx</w:t>
            </w:r>
            <w:r>
              <w:rPr>
                <w:rFonts w:hint="eastAsia" w:ascii="宋体" w:hAnsi="宋体" w:cs="宋体"/>
                <w:sz w:val="24"/>
                <w:vertAlign w:val="superscript"/>
                <w:lang w:val="zh-CN"/>
              </w:rPr>
              <w:t>-1</w:t>
            </w:r>
            <w:r>
              <w:rPr>
                <w:rFonts w:hint="eastAsia" w:ascii="宋体" w:hAnsi="宋体" w:cs="宋体"/>
                <w:sz w:val="24"/>
                <w:lang w:val="zh-CN"/>
              </w:rPr>
              <w:t>·m</w:t>
            </w:r>
            <w:r>
              <w:rPr>
                <w:rFonts w:hint="eastAsia" w:ascii="宋体" w:hAnsi="宋体" w:cs="宋体"/>
                <w:sz w:val="24"/>
                <w:vertAlign w:val="superscript"/>
                <w:lang w:val="zh-CN"/>
              </w:rPr>
              <w:t>-2</w:t>
            </w:r>
          </w:p>
        </w:tc>
      </w:tr>
      <w:tr>
        <w:tblPrEx>
          <w:tblCellMar>
            <w:top w:w="0" w:type="dxa"/>
            <w:left w:w="108" w:type="dxa"/>
            <w:bottom w:w="0" w:type="dxa"/>
            <w:right w:w="108" w:type="dxa"/>
          </w:tblCellMar>
        </w:tblPrEx>
        <w:trPr>
          <w:cantSplit/>
          <w:trHeight w:val="157" w:hRule="atLeast"/>
          <w:jc w:val="center"/>
        </w:trPr>
        <w:tc>
          <w:tcPr>
            <w:tcW w:w="627" w:type="pct"/>
            <w:vMerge w:val="continue"/>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napToGrid w:val="0"/>
              <w:spacing w:line="360" w:lineRule="auto"/>
              <w:rPr>
                <w:rFonts w:ascii="宋体" w:hAnsi="宋体" w:cs="宋体"/>
                <w:sz w:val="24"/>
                <w:lang w:val="zh-CN"/>
              </w:rPr>
            </w:pPr>
          </w:p>
        </w:tc>
        <w:tc>
          <w:tcPr>
            <w:tcW w:w="605" w:type="pct"/>
            <w:vMerge w:val="continue"/>
            <w:tcBorders>
              <w:top w:val="single" w:color="auto" w:sz="4" w:space="0"/>
              <w:left w:val="nil"/>
              <w:bottom w:val="single" w:color="auto" w:sz="4" w:space="0"/>
              <w:right w:val="single" w:color="auto" w:sz="4" w:space="0"/>
            </w:tcBorders>
            <w:noWrap/>
            <w:vAlign w:val="center"/>
          </w:tcPr>
          <w:p>
            <w:pPr>
              <w:autoSpaceDE w:val="0"/>
              <w:autoSpaceDN w:val="0"/>
              <w:adjustRightInd w:val="0"/>
              <w:snapToGrid w:val="0"/>
              <w:spacing w:line="360" w:lineRule="auto"/>
              <w:rPr>
                <w:rFonts w:ascii="宋体" w:hAnsi="宋体" w:cs="宋体"/>
                <w:sz w:val="24"/>
                <w:lang w:val="zh-CN"/>
              </w:rPr>
            </w:pPr>
          </w:p>
        </w:tc>
        <w:tc>
          <w:tcPr>
            <w:tcW w:w="627" w:type="pct"/>
            <w:tcBorders>
              <w:top w:val="single" w:color="auto" w:sz="4" w:space="0"/>
              <w:left w:val="nil"/>
              <w:bottom w:val="single" w:color="auto" w:sz="4" w:space="0"/>
              <w:right w:val="single" w:color="auto" w:sz="4" w:space="0"/>
            </w:tcBorders>
            <w:noWrap/>
            <w:vAlign w:val="center"/>
          </w:tcPr>
          <w:p>
            <w:pPr>
              <w:autoSpaceDE w:val="0"/>
              <w:autoSpaceDN w:val="0"/>
              <w:adjustRightInd w:val="0"/>
              <w:snapToGrid w:val="0"/>
              <w:spacing w:line="360" w:lineRule="auto"/>
              <w:jc w:val="center"/>
              <w:rPr>
                <w:rFonts w:ascii="宋体" w:hAnsi="宋体" w:cs="宋体"/>
                <w:sz w:val="24"/>
                <w:lang w:val="zh-CN"/>
              </w:rPr>
            </w:pPr>
            <w:r>
              <w:rPr>
                <w:rFonts w:hint="eastAsia" w:ascii="宋体" w:hAnsi="宋体" w:cs="宋体"/>
                <w:sz w:val="24"/>
                <w:lang w:val="zh-CN"/>
              </w:rPr>
              <w:t>白色</w:t>
            </w:r>
          </w:p>
        </w:tc>
        <w:tc>
          <w:tcPr>
            <w:tcW w:w="627" w:type="pct"/>
            <w:tcBorders>
              <w:top w:val="single" w:color="auto" w:sz="4" w:space="0"/>
              <w:left w:val="nil"/>
              <w:bottom w:val="single" w:color="auto" w:sz="4" w:space="0"/>
              <w:right w:val="single" w:color="auto" w:sz="4" w:space="0"/>
            </w:tcBorders>
            <w:noWrap/>
            <w:vAlign w:val="center"/>
          </w:tcPr>
          <w:p>
            <w:pPr>
              <w:autoSpaceDE w:val="0"/>
              <w:autoSpaceDN w:val="0"/>
              <w:adjustRightInd w:val="0"/>
              <w:snapToGrid w:val="0"/>
              <w:spacing w:line="360" w:lineRule="auto"/>
              <w:jc w:val="center"/>
              <w:rPr>
                <w:rFonts w:ascii="宋体" w:hAnsi="宋体" w:cs="宋体"/>
                <w:sz w:val="24"/>
                <w:lang w:val="zh-CN"/>
              </w:rPr>
            </w:pPr>
            <w:r>
              <w:rPr>
                <w:rFonts w:hint="eastAsia" w:ascii="宋体" w:hAnsi="宋体" w:cs="宋体"/>
                <w:sz w:val="24"/>
                <w:lang w:val="zh-CN"/>
              </w:rPr>
              <w:t>黄色</w:t>
            </w:r>
          </w:p>
        </w:tc>
        <w:tc>
          <w:tcPr>
            <w:tcW w:w="627" w:type="pct"/>
            <w:tcBorders>
              <w:top w:val="single" w:color="auto" w:sz="4" w:space="0"/>
              <w:left w:val="nil"/>
              <w:bottom w:val="single" w:color="auto" w:sz="4" w:space="0"/>
              <w:right w:val="single" w:color="auto" w:sz="4" w:space="0"/>
            </w:tcBorders>
            <w:noWrap/>
            <w:vAlign w:val="center"/>
          </w:tcPr>
          <w:p>
            <w:pPr>
              <w:autoSpaceDE w:val="0"/>
              <w:autoSpaceDN w:val="0"/>
              <w:adjustRightInd w:val="0"/>
              <w:snapToGrid w:val="0"/>
              <w:spacing w:line="360" w:lineRule="auto"/>
              <w:jc w:val="center"/>
              <w:rPr>
                <w:rFonts w:ascii="宋体" w:hAnsi="宋体" w:cs="宋体"/>
                <w:sz w:val="24"/>
                <w:lang w:val="zh-CN"/>
              </w:rPr>
            </w:pPr>
            <w:r>
              <w:rPr>
                <w:rFonts w:hint="eastAsia" w:ascii="宋体" w:hAnsi="宋体" w:cs="宋体"/>
                <w:sz w:val="24"/>
                <w:lang w:val="zh-CN"/>
              </w:rPr>
              <w:t>红色</w:t>
            </w:r>
          </w:p>
        </w:tc>
        <w:tc>
          <w:tcPr>
            <w:tcW w:w="627" w:type="pct"/>
            <w:tcBorders>
              <w:top w:val="single" w:color="auto" w:sz="4" w:space="0"/>
              <w:left w:val="nil"/>
              <w:bottom w:val="single" w:color="auto" w:sz="4" w:space="0"/>
              <w:right w:val="single" w:color="auto" w:sz="4" w:space="0"/>
            </w:tcBorders>
            <w:noWrap/>
            <w:vAlign w:val="center"/>
          </w:tcPr>
          <w:p>
            <w:pPr>
              <w:autoSpaceDE w:val="0"/>
              <w:autoSpaceDN w:val="0"/>
              <w:adjustRightInd w:val="0"/>
              <w:snapToGrid w:val="0"/>
              <w:spacing w:line="360" w:lineRule="auto"/>
              <w:jc w:val="center"/>
              <w:rPr>
                <w:rFonts w:ascii="宋体" w:hAnsi="宋体" w:cs="宋体"/>
                <w:sz w:val="24"/>
                <w:lang w:val="zh-CN"/>
              </w:rPr>
            </w:pPr>
            <w:r>
              <w:rPr>
                <w:rFonts w:hint="eastAsia" w:ascii="宋体" w:hAnsi="宋体" w:cs="宋体"/>
                <w:sz w:val="24"/>
                <w:lang w:val="zh-CN"/>
              </w:rPr>
              <w:t>绿色</w:t>
            </w:r>
          </w:p>
        </w:tc>
        <w:tc>
          <w:tcPr>
            <w:tcW w:w="627" w:type="pct"/>
            <w:tcBorders>
              <w:top w:val="single" w:color="auto" w:sz="4" w:space="0"/>
              <w:left w:val="nil"/>
              <w:bottom w:val="single" w:color="auto" w:sz="4" w:space="0"/>
              <w:right w:val="single" w:color="auto" w:sz="4" w:space="0"/>
            </w:tcBorders>
            <w:noWrap/>
            <w:vAlign w:val="center"/>
          </w:tcPr>
          <w:p>
            <w:pPr>
              <w:autoSpaceDE w:val="0"/>
              <w:autoSpaceDN w:val="0"/>
              <w:adjustRightInd w:val="0"/>
              <w:snapToGrid w:val="0"/>
              <w:spacing w:line="360" w:lineRule="auto"/>
              <w:jc w:val="center"/>
              <w:rPr>
                <w:rFonts w:ascii="宋体" w:hAnsi="宋体" w:cs="宋体"/>
                <w:sz w:val="24"/>
                <w:lang w:val="zh-CN"/>
              </w:rPr>
            </w:pPr>
            <w:r>
              <w:rPr>
                <w:rFonts w:hint="eastAsia" w:ascii="宋体" w:hAnsi="宋体" w:cs="宋体"/>
                <w:sz w:val="24"/>
                <w:lang w:val="zh-CN"/>
              </w:rPr>
              <w:t>蓝色</w:t>
            </w:r>
          </w:p>
        </w:tc>
        <w:tc>
          <w:tcPr>
            <w:tcW w:w="631" w:type="pct"/>
            <w:tcBorders>
              <w:top w:val="single" w:color="auto" w:sz="4" w:space="0"/>
              <w:left w:val="nil"/>
              <w:bottom w:val="single" w:color="auto" w:sz="4" w:space="0"/>
              <w:right w:val="single" w:color="auto" w:sz="4" w:space="0"/>
            </w:tcBorders>
            <w:noWrap/>
            <w:vAlign w:val="center"/>
          </w:tcPr>
          <w:p>
            <w:pPr>
              <w:autoSpaceDE w:val="0"/>
              <w:autoSpaceDN w:val="0"/>
              <w:adjustRightInd w:val="0"/>
              <w:snapToGrid w:val="0"/>
              <w:spacing w:line="360" w:lineRule="auto"/>
              <w:jc w:val="center"/>
              <w:rPr>
                <w:rFonts w:ascii="宋体" w:hAnsi="宋体" w:cs="宋体"/>
                <w:sz w:val="24"/>
                <w:lang w:val="zh-CN"/>
              </w:rPr>
            </w:pPr>
            <w:r>
              <w:rPr>
                <w:rFonts w:hint="eastAsia" w:ascii="宋体" w:hAnsi="宋体" w:cs="宋体"/>
                <w:sz w:val="24"/>
                <w:lang w:val="zh-CN"/>
              </w:rPr>
              <w:t>棕色</w:t>
            </w:r>
          </w:p>
        </w:tc>
      </w:tr>
      <w:tr>
        <w:tblPrEx>
          <w:tblCellMar>
            <w:top w:w="0" w:type="dxa"/>
            <w:left w:w="108" w:type="dxa"/>
            <w:bottom w:w="0" w:type="dxa"/>
            <w:right w:w="108" w:type="dxa"/>
          </w:tblCellMar>
        </w:tblPrEx>
        <w:trPr>
          <w:cantSplit/>
          <w:trHeight w:val="408" w:hRule="atLeast"/>
          <w:jc w:val="center"/>
        </w:trPr>
        <w:tc>
          <w:tcPr>
            <w:tcW w:w="627" w:type="pct"/>
            <w:vMerge w:val="restart"/>
            <w:tcBorders>
              <w:top w:val="nil"/>
              <w:left w:val="single" w:color="auto" w:sz="4" w:space="0"/>
              <w:bottom w:val="single" w:color="auto" w:sz="4" w:space="0"/>
              <w:right w:val="single" w:color="auto" w:sz="4" w:space="0"/>
            </w:tcBorders>
            <w:noWrap/>
            <w:vAlign w:val="center"/>
          </w:tcPr>
          <w:p>
            <w:pPr>
              <w:autoSpaceDE w:val="0"/>
              <w:autoSpaceDN w:val="0"/>
              <w:adjustRightInd w:val="0"/>
              <w:snapToGrid w:val="0"/>
              <w:spacing w:line="360" w:lineRule="auto"/>
              <w:rPr>
                <w:rFonts w:ascii="宋体" w:hAnsi="宋体" w:cs="宋体"/>
                <w:sz w:val="24"/>
                <w:lang w:val="zh-CN"/>
              </w:rPr>
            </w:pPr>
            <w:r>
              <w:rPr>
                <w:rFonts w:hint="eastAsia" w:ascii="宋体" w:hAnsi="宋体" w:cs="宋体"/>
                <w:sz w:val="24"/>
                <w:lang w:val="zh-CN"/>
              </w:rPr>
              <w:t>0.2º</w:t>
            </w:r>
          </w:p>
        </w:tc>
        <w:tc>
          <w:tcPr>
            <w:tcW w:w="605" w:type="pct"/>
            <w:tcBorders>
              <w:top w:val="single" w:color="auto" w:sz="4" w:space="0"/>
              <w:left w:val="nil"/>
              <w:bottom w:val="single" w:color="auto" w:sz="4" w:space="0"/>
              <w:right w:val="single" w:color="auto" w:sz="4" w:space="0"/>
            </w:tcBorders>
            <w:noWrap/>
          </w:tcPr>
          <w:p>
            <w:pPr>
              <w:autoSpaceDE w:val="0"/>
              <w:autoSpaceDN w:val="0"/>
              <w:adjustRightInd w:val="0"/>
              <w:snapToGrid w:val="0"/>
              <w:spacing w:line="360" w:lineRule="auto"/>
              <w:rPr>
                <w:rFonts w:ascii="宋体" w:hAnsi="宋体" w:cs="宋体"/>
                <w:sz w:val="24"/>
                <w:lang w:val="zh-CN"/>
              </w:rPr>
            </w:pPr>
            <w:r>
              <w:rPr>
                <w:rFonts w:hint="eastAsia" w:ascii="宋体" w:hAnsi="宋体" w:cs="宋体"/>
                <w:sz w:val="24"/>
                <w:lang w:val="zh-CN"/>
              </w:rPr>
              <w:t>-4º</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829</w:t>
            </w:r>
          </w:p>
        </w:tc>
        <w:tc>
          <w:tcPr>
            <w:tcW w:w="627" w:type="pct"/>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color w:val="000000"/>
                <w:sz w:val="24"/>
              </w:rPr>
            </w:pPr>
            <w:r>
              <w:rPr>
                <w:rFonts w:hint="eastAsia" w:ascii="宋体" w:hAnsi="宋体" w:cs="宋体"/>
                <w:color w:val="000000"/>
                <w:sz w:val="24"/>
              </w:rPr>
              <w:t>621</w:t>
            </w:r>
          </w:p>
        </w:tc>
        <w:tc>
          <w:tcPr>
            <w:tcW w:w="627" w:type="pct"/>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color w:val="000000"/>
                <w:sz w:val="24"/>
              </w:rPr>
            </w:pPr>
            <w:r>
              <w:rPr>
                <w:rFonts w:hint="eastAsia" w:ascii="宋体" w:hAnsi="宋体" w:cs="宋体"/>
                <w:color w:val="000000"/>
                <w:sz w:val="24"/>
              </w:rPr>
              <w:t>124</w:t>
            </w:r>
          </w:p>
        </w:tc>
        <w:tc>
          <w:tcPr>
            <w:tcW w:w="627" w:type="pct"/>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color w:val="000000"/>
                <w:sz w:val="24"/>
              </w:rPr>
            </w:pPr>
            <w:r>
              <w:rPr>
                <w:rFonts w:hint="eastAsia" w:ascii="宋体" w:hAnsi="宋体" w:cs="宋体"/>
                <w:color w:val="000000"/>
                <w:sz w:val="24"/>
              </w:rPr>
              <w:t>83</w:t>
            </w:r>
          </w:p>
        </w:tc>
        <w:tc>
          <w:tcPr>
            <w:tcW w:w="627" w:type="pct"/>
            <w:tcBorders>
              <w:top w:val="single" w:color="auto" w:sz="4" w:space="0"/>
              <w:left w:val="nil"/>
              <w:bottom w:val="single" w:color="auto" w:sz="4" w:space="0"/>
              <w:right w:val="single" w:color="auto" w:sz="4" w:space="0"/>
            </w:tcBorders>
            <w:noWrap/>
            <w:vAlign w:val="center"/>
          </w:tcPr>
          <w:p>
            <w:pPr>
              <w:widowControl/>
              <w:spacing w:line="360" w:lineRule="auto"/>
              <w:jc w:val="center"/>
              <w:rPr>
                <w:rFonts w:ascii="宋体" w:hAnsi="宋体" w:cs="宋体"/>
                <w:color w:val="000000"/>
                <w:sz w:val="24"/>
              </w:rPr>
            </w:pPr>
            <w:r>
              <w:rPr>
                <w:rFonts w:hint="eastAsia" w:ascii="宋体" w:hAnsi="宋体" w:cs="宋体"/>
                <w:color w:val="000000"/>
                <w:sz w:val="24"/>
              </w:rPr>
              <w:t>37</w:t>
            </w:r>
          </w:p>
        </w:tc>
        <w:tc>
          <w:tcPr>
            <w:tcW w:w="631"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24</w:t>
            </w:r>
          </w:p>
        </w:tc>
      </w:tr>
      <w:tr>
        <w:tblPrEx>
          <w:tblCellMar>
            <w:top w:w="0" w:type="dxa"/>
            <w:left w:w="108" w:type="dxa"/>
            <w:bottom w:w="0" w:type="dxa"/>
            <w:right w:w="108" w:type="dxa"/>
          </w:tblCellMar>
        </w:tblPrEx>
        <w:trPr>
          <w:cantSplit/>
          <w:trHeight w:val="157" w:hRule="atLeast"/>
          <w:jc w:val="center"/>
        </w:trPr>
        <w:tc>
          <w:tcPr>
            <w:tcW w:w="627" w:type="pct"/>
            <w:vMerge w:val="continue"/>
            <w:tcBorders>
              <w:top w:val="nil"/>
              <w:left w:val="single" w:color="auto" w:sz="4" w:space="0"/>
              <w:bottom w:val="single" w:color="auto" w:sz="4" w:space="0"/>
              <w:right w:val="single" w:color="auto" w:sz="4" w:space="0"/>
            </w:tcBorders>
            <w:noWrap/>
            <w:vAlign w:val="center"/>
          </w:tcPr>
          <w:p>
            <w:pPr>
              <w:autoSpaceDE w:val="0"/>
              <w:autoSpaceDN w:val="0"/>
              <w:adjustRightInd w:val="0"/>
              <w:snapToGrid w:val="0"/>
              <w:spacing w:line="360" w:lineRule="auto"/>
              <w:rPr>
                <w:rFonts w:ascii="宋体" w:hAnsi="宋体" w:cs="宋体"/>
                <w:sz w:val="24"/>
                <w:lang w:val="zh-CN"/>
              </w:rPr>
            </w:pPr>
          </w:p>
        </w:tc>
        <w:tc>
          <w:tcPr>
            <w:tcW w:w="605" w:type="pct"/>
            <w:tcBorders>
              <w:top w:val="single" w:color="auto" w:sz="4" w:space="0"/>
              <w:left w:val="nil"/>
              <w:bottom w:val="single" w:color="auto" w:sz="4" w:space="0"/>
              <w:right w:val="single" w:color="auto" w:sz="4" w:space="0"/>
            </w:tcBorders>
            <w:noWrap/>
          </w:tcPr>
          <w:p>
            <w:pPr>
              <w:autoSpaceDE w:val="0"/>
              <w:autoSpaceDN w:val="0"/>
              <w:adjustRightInd w:val="0"/>
              <w:snapToGrid w:val="0"/>
              <w:spacing w:line="360" w:lineRule="auto"/>
              <w:rPr>
                <w:rFonts w:ascii="宋体" w:hAnsi="宋体" w:cs="宋体"/>
                <w:sz w:val="24"/>
                <w:lang w:val="zh-CN"/>
              </w:rPr>
            </w:pPr>
            <w:r>
              <w:rPr>
                <w:rFonts w:hint="eastAsia" w:ascii="宋体" w:hAnsi="宋体" w:cs="宋体"/>
                <w:sz w:val="24"/>
                <w:lang w:val="zh-CN"/>
              </w:rPr>
              <w:t>15º</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497</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373</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74</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50</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23</w:t>
            </w:r>
          </w:p>
        </w:tc>
        <w:tc>
          <w:tcPr>
            <w:tcW w:w="631"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14</w:t>
            </w:r>
          </w:p>
        </w:tc>
      </w:tr>
      <w:tr>
        <w:tblPrEx>
          <w:tblCellMar>
            <w:top w:w="0" w:type="dxa"/>
            <w:left w:w="108" w:type="dxa"/>
            <w:bottom w:w="0" w:type="dxa"/>
            <w:right w:w="108" w:type="dxa"/>
          </w:tblCellMar>
        </w:tblPrEx>
        <w:trPr>
          <w:cantSplit/>
          <w:trHeight w:val="157" w:hRule="atLeast"/>
          <w:jc w:val="center"/>
        </w:trPr>
        <w:tc>
          <w:tcPr>
            <w:tcW w:w="627" w:type="pct"/>
            <w:vMerge w:val="continue"/>
            <w:tcBorders>
              <w:top w:val="nil"/>
              <w:left w:val="single" w:color="auto" w:sz="4" w:space="0"/>
              <w:bottom w:val="single" w:color="auto" w:sz="4" w:space="0"/>
              <w:right w:val="single" w:color="auto" w:sz="4" w:space="0"/>
            </w:tcBorders>
            <w:noWrap/>
            <w:vAlign w:val="center"/>
          </w:tcPr>
          <w:p>
            <w:pPr>
              <w:autoSpaceDE w:val="0"/>
              <w:autoSpaceDN w:val="0"/>
              <w:adjustRightInd w:val="0"/>
              <w:snapToGrid w:val="0"/>
              <w:spacing w:line="360" w:lineRule="auto"/>
              <w:rPr>
                <w:rFonts w:ascii="宋体" w:hAnsi="宋体" w:cs="宋体"/>
                <w:sz w:val="24"/>
                <w:lang w:val="zh-CN"/>
              </w:rPr>
            </w:pPr>
          </w:p>
        </w:tc>
        <w:tc>
          <w:tcPr>
            <w:tcW w:w="605" w:type="pct"/>
            <w:tcBorders>
              <w:top w:val="single" w:color="auto" w:sz="4" w:space="0"/>
              <w:left w:val="nil"/>
              <w:bottom w:val="single" w:color="auto" w:sz="4" w:space="0"/>
              <w:right w:val="single" w:color="auto" w:sz="4" w:space="0"/>
            </w:tcBorders>
            <w:noWrap/>
          </w:tcPr>
          <w:p>
            <w:pPr>
              <w:autoSpaceDE w:val="0"/>
              <w:autoSpaceDN w:val="0"/>
              <w:adjustRightInd w:val="0"/>
              <w:snapToGrid w:val="0"/>
              <w:spacing w:line="360" w:lineRule="auto"/>
              <w:rPr>
                <w:rFonts w:ascii="宋体" w:hAnsi="宋体" w:cs="宋体"/>
                <w:sz w:val="24"/>
                <w:lang w:val="zh-CN"/>
              </w:rPr>
            </w:pPr>
            <w:r>
              <w:rPr>
                <w:rFonts w:hint="eastAsia" w:ascii="宋体" w:hAnsi="宋体" w:cs="宋体"/>
                <w:sz w:val="24"/>
                <w:lang w:val="zh-CN"/>
              </w:rPr>
              <w:t>30º</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329</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236</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47</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31</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14</w:t>
            </w:r>
          </w:p>
        </w:tc>
        <w:tc>
          <w:tcPr>
            <w:tcW w:w="631"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10</w:t>
            </w:r>
          </w:p>
        </w:tc>
      </w:tr>
      <w:tr>
        <w:tblPrEx>
          <w:tblCellMar>
            <w:top w:w="0" w:type="dxa"/>
            <w:left w:w="108" w:type="dxa"/>
            <w:bottom w:w="0" w:type="dxa"/>
            <w:right w:w="108" w:type="dxa"/>
          </w:tblCellMar>
        </w:tblPrEx>
        <w:trPr>
          <w:cantSplit/>
          <w:trHeight w:val="408" w:hRule="atLeast"/>
          <w:jc w:val="center"/>
        </w:trPr>
        <w:tc>
          <w:tcPr>
            <w:tcW w:w="627" w:type="pct"/>
            <w:vMerge w:val="restart"/>
            <w:tcBorders>
              <w:top w:val="nil"/>
              <w:left w:val="single" w:color="auto" w:sz="4" w:space="0"/>
              <w:bottom w:val="single" w:color="auto" w:sz="4" w:space="0"/>
              <w:right w:val="single" w:color="auto" w:sz="4" w:space="0"/>
            </w:tcBorders>
            <w:noWrap/>
            <w:vAlign w:val="center"/>
          </w:tcPr>
          <w:p>
            <w:pPr>
              <w:autoSpaceDE w:val="0"/>
              <w:autoSpaceDN w:val="0"/>
              <w:adjustRightInd w:val="0"/>
              <w:snapToGrid w:val="0"/>
              <w:spacing w:line="360" w:lineRule="auto"/>
              <w:rPr>
                <w:rFonts w:ascii="宋体" w:hAnsi="宋体" w:cs="宋体"/>
                <w:sz w:val="24"/>
                <w:lang w:val="zh-CN"/>
              </w:rPr>
            </w:pPr>
            <w:r>
              <w:rPr>
                <w:rFonts w:hint="eastAsia" w:ascii="宋体" w:hAnsi="宋体" w:cs="宋体"/>
                <w:sz w:val="24"/>
                <w:lang w:val="zh-CN"/>
              </w:rPr>
              <w:t>0.5º</w:t>
            </w:r>
          </w:p>
        </w:tc>
        <w:tc>
          <w:tcPr>
            <w:tcW w:w="605" w:type="pct"/>
            <w:tcBorders>
              <w:top w:val="single" w:color="auto" w:sz="4" w:space="0"/>
              <w:left w:val="nil"/>
              <w:bottom w:val="single" w:color="auto" w:sz="4" w:space="0"/>
              <w:right w:val="single" w:color="auto" w:sz="4" w:space="0"/>
            </w:tcBorders>
            <w:noWrap/>
          </w:tcPr>
          <w:p>
            <w:pPr>
              <w:autoSpaceDE w:val="0"/>
              <w:autoSpaceDN w:val="0"/>
              <w:adjustRightInd w:val="0"/>
              <w:snapToGrid w:val="0"/>
              <w:spacing w:line="360" w:lineRule="auto"/>
              <w:rPr>
                <w:rFonts w:ascii="宋体" w:hAnsi="宋体" w:cs="宋体"/>
                <w:sz w:val="24"/>
                <w:lang w:val="zh-CN"/>
              </w:rPr>
            </w:pPr>
            <w:r>
              <w:rPr>
                <w:rFonts w:hint="eastAsia" w:ascii="宋体" w:hAnsi="宋体" w:cs="宋体"/>
                <w:sz w:val="24"/>
                <w:lang w:val="zh-CN"/>
              </w:rPr>
              <w:t>-4º</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525</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394</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85</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60</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27</w:t>
            </w:r>
          </w:p>
        </w:tc>
        <w:tc>
          <w:tcPr>
            <w:tcW w:w="631"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18</w:t>
            </w:r>
          </w:p>
        </w:tc>
      </w:tr>
      <w:tr>
        <w:tblPrEx>
          <w:tblCellMar>
            <w:top w:w="0" w:type="dxa"/>
            <w:left w:w="108" w:type="dxa"/>
            <w:bottom w:w="0" w:type="dxa"/>
            <w:right w:w="108" w:type="dxa"/>
          </w:tblCellMar>
        </w:tblPrEx>
        <w:trPr>
          <w:cantSplit/>
          <w:trHeight w:val="157" w:hRule="atLeast"/>
          <w:jc w:val="center"/>
        </w:trPr>
        <w:tc>
          <w:tcPr>
            <w:tcW w:w="627" w:type="pct"/>
            <w:vMerge w:val="continue"/>
            <w:tcBorders>
              <w:top w:val="nil"/>
              <w:left w:val="single" w:color="auto" w:sz="4" w:space="0"/>
              <w:bottom w:val="single" w:color="auto" w:sz="4" w:space="0"/>
              <w:right w:val="single" w:color="auto" w:sz="4" w:space="0"/>
            </w:tcBorders>
            <w:noWrap/>
            <w:vAlign w:val="center"/>
          </w:tcPr>
          <w:p>
            <w:pPr>
              <w:autoSpaceDE w:val="0"/>
              <w:autoSpaceDN w:val="0"/>
              <w:adjustRightInd w:val="0"/>
              <w:snapToGrid w:val="0"/>
              <w:spacing w:line="360" w:lineRule="auto"/>
              <w:rPr>
                <w:rFonts w:ascii="宋体" w:hAnsi="宋体" w:cs="宋体"/>
                <w:sz w:val="24"/>
                <w:lang w:val="zh-CN"/>
              </w:rPr>
            </w:pPr>
          </w:p>
        </w:tc>
        <w:tc>
          <w:tcPr>
            <w:tcW w:w="605" w:type="pct"/>
            <w:tcBorders>
              <w:top w:val="single" w:color="auto" w:sz="4" w:space="0"/>
              <w:left w:val="nil"/>
              <w:bottom w:val="single" w:color="auto" w:sz="4" w:space="0"/>
              <w:right w:val="single" w:color="auto" w:sz="4" w:space="0"/>
            </w:tcBorders>
            <w:noWrap/>
          </w:tcPr>
          <w:p>
            <w:pPr>
              <w:autoSpaceDE w:val="0"/>
              <w:autoSpaceDN w:val="0"/>
              <w:adjustRightInd w:val="0"/>
              <w:snapToGrid w:val="0"/>
              <w:spacing w:line="360" w:lineRule="auto"/>
              <w:rPr>
                <w:rFonts w:ascii="宋体" w:hAnsi="宋体" w:cs="宋体"/>
                <w:sz w:val="24"/>
                <w:lang w:val="zh-CN"/>
              </w:rPr>
            </w:pPr>
            <w:r>
              <w:rPr>
                <w:rFonts w:hint="eastAsia" w:ascii="宋体" w:hAnsi="宋体" w:cs="宋体"/>
                <w:sz w:val="24"/>
                <w:lang w:val="zh-CN"/>
              </w:rPr>
              <w:t>15º</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315</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236</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48</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36</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16</w:t>
            </w:r>
          </w:p>
        </w:tc>
        <w:tc>
          <w:tcPr>
            <w:tcW w:w="631"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11</w:t>
            </w:r>
          </w:p>
        </w:tc>
      </w:tr>
      <w:tr>
        <w:tblPrEx>
          <w:tblCellMar>
            <w:top w:w="0" w:type="dxa"/>
            <w:left w:w="108" w:type="dxa"/>
            <w:bottom w:w="0" w:type="dxa"/>
            <w:right w:w="108" w:type="dxa"/>
          </w:tblCellMar>
        </w:tblPrEx>
        <w:trPr>
          <w:cantSplit/>
          <w:trHeight w:val="157" w:hRule="atLeast"/>
          <w:jc w:val="center"/>
        </w:trPr>
        <w:tc>
          <w:tcPr>
            <w:tcW w:w="627" w:type="pct"/>
            <w:vMerge w:val="continue"/>
            <w:tcBorders>
              <w:top w:val="nil"/>
              <w:left w:val="single" w:color="auto" w:sz="4" w:space="0"/>
              <w:bottom w:val="single" w:color="auto" w:sz="4" w:space="0"/>
              <w:right w:val="single" w:color="auto" w:sz="4" w:space="0"/>
            </w:tcBorders>
            <w:noWrap/>
            <w:vAlign w:val="center"/>
          </w:tcPr>
          <w:p>
            <w:pPr>
              <w:autoSpaceDE w:val="0"/>
              <w:autoSpaceDN w:val="0"/>
              <w:adjustRightInd w:val="0"/>
              <w:snapToGrid w:val="0"/>
              <w:spacing w:line="360" w:lineRule="auto"/>
              <w:rPr>
                <w:rFonts w:ascii="宋体" w:hAnsi="宋体" w:cs="宋体"/>
                <w:sz w:val="24"/>
                <w:lang w:val="zh-CN"/>
              </w:rPr>
            </w:pPr>
          </w:p>
        </w:tc>
        <w:tc>
          <w:tcPr>
            <w:tcW w:w="605" w:type="pct"/>
            <w:tcBorders>
              <w:top w:val="single" w:color="auto" w:sz="4" w:space="0"/>
              <w:left w:val="nil"/>
              <w:bottom w:val="single" w:color="auto" w:sz="4" w:space="0"/>
              <w:right w:val="single" w:color="auto" w:sz="4" w:space="0"/>
            </w:tcBorders>
            <w:noWrap/>
          </w:tcPr>
          <w:p>
            <w:pPr>
              <w:autoSpaceDE w:val="0"/>
              <w:autoSpaceDN w:val="0"/>
              <w:adjustRightInd w:val="0"/>
              <w:snapToGrid w:val="0"/>
              <w:spacing w:line="360" w:lineRule="auto"/>
              <w:rPr>
                <w:rFonts w:ascii="宋体" w:hAnsi="宋体" w:cs="宋体"/>
                <w:sz w:val="24"/>
                <w:lang w:val="zh-CN"/>
              </w:rPr>
            </w:pPr>
            <w:r>
              <w:rPr>
                <w:rFonts w:hint="eastAsia" w:ascii="宋体" w:hAnsi="宋体" w:cs="宋体"/>
                <w:sz w:val="24"/>
                <w:lang w:val="zh-CN"/>
              </w:rPr>
              <w:t>30º</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188</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138</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29</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21</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10</w:t>
            </w:r>
          </w:p>
        </w:tc>
        <w:tc>
          <w:tcPr>
            <w:tcW w:w="631"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w:t>
            </w:r>
          </w:p>
        </w:tc>
      </w:tr>
      <w:tr>
        <w:tblPrEx>
          <w:tblCellMar>
            <w:top w:w="0" w:type="dxa"/>
            <w:left w:w="108" w:type="dxa"/>
            <w:bottom w:w="0" w:type="dxa"/>
            <w:right w:w="108" w:type="dxa"/>
          </w:tblCellMar>
        </w:tblPrEx>
        <w:trPr>
          <w:cantSplit/>
          <w:trHeight w:val="408" w:hRule="atLeast"/>
          <w:jc w:val="center"/>
        </w:trPr>
        <w:tc>
          <w:tcPr>
            <w:tcW w:w="627" w:type="pct"/>
            <w:vMerge w:val="restart"/>
            <w:tcBorders>
              <w:top w:val="nil"/>
              <w:left w:val="single" w:color="auto" w:sz="4" w:space="0"/>
              <w:bottom w:val="single" w:color="auto" w:sz="4" w:space="0"/>
              <w:right w:val="single" w:color="auto" w:sz="4" w:space="0"/>
            </w:tcBorders>
            <w:noWrap/>
            <w:vAlign w:val="center"/>
          </w:tcPr>
          <w:p>
            <w:pPr>
              <w:autoSpaceDE w:val="0"/>
              <w:autoSpaceDN w:val="0"/>
              <w:adjustRightInd w:val="0"/>
              <w:snapToGrid w:val="0"/>
              <w:spacing w:line="360" w:lineRule="auto"/>
              <w:rPr>
                <w:rFonts w:ascii="宋体" w:hAnsi="宋体" w:cs="宋体"/>
                <w:sz w:val="24"/>
                <w:lang w:val="zh-CN"/>
              </w:rPr>
            </w:pPr>
            <w:r>
              <w:rPr>
                <w:rFonts w:hint="eastAsia" w:ascii="宋体" w:hAnsi="宋体" w:cs="宋体"/>
                <w:sz w:val="24"/>
                <w:lang w:val="zh-CN"/>
              </w:rPr>
              <w:t>1º</w:t>
            </w:r>
          </w:p>
        </w:tc>
        <w:tc>
          <w:tcPr>
            <w:tcW w:w="605" w:type="pct"/>
            <w:tcBorders>
              <w:top w:val="single" w:color="auto" w:sz="4" w:space="0"/>
              <w:left w:val="nil"/>
              <w:bottom w:val="single" w:color="auto" w:sz="4" w:space="0"/>
              <w:right w:val="single" w:color="auto" w:sz="4" w:space="0"/>
            </w:tcBorders>
            <w:noWrap/>
          </w:tcPr>
          <w:p>
            <w:pPr>
              <w:autoSpaceDE w:val="0"/>
              <w:autoSpaceDN w:val="0"/>
              <w:adjustRightInd w:val="0"/>
              <w:snapToGrid w:val="0"/>
              <w:spacing w:line="360" w:lineRule="auto"/>
              <w:rPr>
                <w:rFonts w:ascii="宋体" w:hAnsi="宋体" w:cs="宋体"/>
                <w:sz w:val="24"/>
                <w:lang w:val="zh-CN"/>
              </w:rPr>
            </w:pPr>
            <w:r>
              <w:rPr>
                <w:rFonts w:hint="eastAsia" w:ascii="宋体" w:hAnsi="宋体" w:cs="宋体"/>
                <w:sz w:val="24"/>
                <w:lang w:val="zh-CN"/>
              </w:rPr>
              <w:t>-4º</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150</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113</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23</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17</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w:t>
            </w:r>
          </w:p>
        </w:tc>
        <w:tc>
          <w:tcPr>
            <w:tcW w:w="631"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5</w:t>
            </w:r>
          </w:p>
        </w:tc>
      </w:tr>
      <w:tr>
        <w:tblPrEx>
          <w:tblCellMar>
            <w:top w:w="0" w:type="dxa"/>
            <w:left w:w="108" w:type="dxa"/>
            <w:bottom w:w="0" w:type="dxa"/>
            <w:right w:w="108" w:type="dxa"/>
          </w:tblCellMar>
        </w:tblPrEx>
        <w:trPr>
          <w:cantSplit/>
          <w:trHeight w:val="157" w:hRule="atLeast"/>
          <w:jc w:val="center"/>
        </w:trPr>
        <w:tc>
          <w:tcPr>
            <w:tcW w:w="627" w:type="pct"/>
            <w:vMerge w:val="continue"/>
            <w:tcBorders>
              <w:top w:val="nil"/>
              <w:left w:val="single" w:color="auto" w:sz="4" w:space="0"/>
              <w:bottom w:val="single" w:color="auto" w:sz="4" w:space="0"/>
              <w:right w:val="single" w:color="auto" w:sz="4" w:space="0"/>
            </w:tcBorders>
            <w:noWrap/>
            <w:vAlign w:val="center"/>
          </w:tcPr>
          <w:p>
            <w:pPr>
              <w:autoSpaceDE w:val="0"/>
              <w:autoSpaceDN w:val="0"/>
              <w:adjustRightInd w:val="0"/>
              <w:snapToGrid w:val="0"/>
              <w:spacing w:line="360" w:lineRule="auto"/>
              <w:rPr>
                <w:rFonts w:ascii="宋体" w:hAnsi="宋体" w:cs="宋体"/>
                <w:sz w:val="24"/>
                <w:lang w:val="zh-CN"/>
              </w:rPr>
            </w:pPr>
          </w:p>
        </w:tc>
        <w:tc>
          <w:tcPr>
            <w:tcW w:w="605" w:type="pct"/>
            <w:tcBorders>
              <w:top w:val="single" w:color="auto" w:sz="4" w:space="0"/>
              <w:left w:val="nil"/>
              <w:bottom w:val="single" w:color="auto" w:sz="4" w:space="0"/>
              <w:right w:val="single" w:color="auto" w:sz="4" w:space="0"/>
            </w:tcBorders>
            <w:noWrap/>
          </w:tcPr>
          <w:p>
            <w:pPr>
              <w:autoSpaceDE w:val="0"/>
              <w:autoSpaceDN w:val="0"/>
              <w:adjustRightInd w:val="0"/>
              <w:snapToGrid w:val="0"/>
              <w:spacing w:line="360" w:lineRule="auto"/>
              <w:rPr>
                <w:rFonts w:ascii="宋体" w:hAnsi="宋体" w:cs="宋体"/>
                <w:sz w:val="24"/>
                <w:lang w:val="zh-CN"/>
              </w:rPr>
            </w:pPr>
            <w:r>
              <w:rPr>
                <w:rFonts w:hint="eastAsia" w:ascii="宋体" w:hAnsi="宋体" w:cs="宋体"/>
                <w:sz w:val="24"/>
                <w:lang w:val="zh-CN"/>
              </w:rPr>
              <w:t>15º</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90</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68</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14</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10</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4</w:t>
            </w:r>
          </w:p>
        </w:tc>
        <w:tc>
          <w:tcPr>
            <w:tcW w:w="631"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3</w:t>
            </w:r>
          </w:p>
        </w:tc>
      </w:tr>
      <w:tr>
        <w:tblPrEx>
          <w:tblCellMar>
            <w:top w:w="0" w:type="dxa"/>
            <w:left w:w="108" w:type="dxa"/>
            <w:bottom w:w="0" w:type="dxa"/>
            <w:right w:w="108" w:type="dxa"/>
          </w:tblCellMar>
        </w:tblPrEx>
        <w:trPr>
          <w:cantSplit/>
          <w:trHeight w:val="157" w:hRule="atLeast"/>
          <w:jc w:val="center"/>
        </w:trPr>
        <w:tc>
          <w:tcPr>
            <w:tcW w:w="627" w:type="pct"/>
            <w:vMerge w:val="continue"/>
            <w:tcBorders>
              <w:top w:val="nil"/>
              <w:left w:val="single" w:color="auto" w:sz="4" w:space="0"/>
              <w:bottom w:val="single" w:color="auto" w:sz="4" w:space="0"/>
              <w:right w:val="single" w:color="auto" w:sz="4" w:space="0"/>
            </w:tcBorders>
            <w:noWrap/>
            <w:vAlign w:val="center"/>
          </w:tcPr>
          <w:p>
            <w:pPr>
              <w:autoSpaceDE w:val="0"/>
              <w:autoSpaceDN w:val="0"/>
              <w:adjustRightInd w:val="0"/>
              <w:snapToGrid w:val="0"/>
              <w:spacing w:line="360" w:lineRule="auto"/>
              <w:rPr>
                <w:rFonts w:ascii="宋体" w:hAnsi="宋体" w:cs="宋体"/>
                <w:sz w:val="24"/>
                <w:lang w:val="zh-CN"/>
              </w:rPr>
            </w:pPr>
          </w:p>
        </w:tc>
        <w:tc>
          <w:tcPr>
            <w:tcW w:w="605" w:type="pct"/>
            <w:tcBorders>
              <w:top w:val="single" w:color="auto" w:sz="4" w:space="0"/>
              <w:left w:val="nil"/>
              <w:bottom w:val="single" w:color="auto" w:sz="4" w:space="0"/>
              <w:right w:val="single" w:color="auto" w:sz="4" w:space="0"/>
            </w:tcBorders>
            <w:noWrap/>
          </w:tcPr>
          <w:p>
            <w:pPr>
              <w:autoSpaceDE w:val="0"/>
              <w:autoSpaceDN w:val="0"/>
              <w:adjustRightInd w:val="0"/>
              <w:snapToGrid w:val="0"/>
              <w:spacing w:line="360" w:lineRule="auto"/>
              <w:rPr>
                <w:rFonts w:ascii="宋体" w:hAnsi="宋体" w:cs="宋体"/>
                <w:sz w:val="24"/>
                <w:lang w:val="zh-CN"/>
              </w:rPr>
            </w:pPr>
            <w:r>
              <w:rPr>
                <w:rFonts w:hint="eastAsia" w:ascii="宋体" w:hAnsi="宋体" w:cs="宋体"/>
                <w:sz w:val="24"/>
                <w:lang w:val="zh-CN"/>
              </w:rPr>
              <w:t>30º</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56</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43</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9</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w:t>
            </w:r>
          </w:p>
        </w:tc>
        <w:tc>
          <w:tcPr>
            <w:tcW w:w="627"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3</w:t>
            </w:r>
          </w:p>
        </w:tc>
        <w:tc>
          <w:tcPr>
            <w:tcW w:w="631" w:type="pct"/>
            <w:tcBorders>
              <w:top w:val="single" w:color="auto" w:sz="4" w:space="0"/>
              <w:left w:val="nil"/>
              <w:bottom w:val="single" w:color="auto" w:sz="4" w:space="0"/>
              <w:right w:val="single" w:color="auto"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r>
    </w:tbl>
    <w:p>
      <w:pPr>
        <w:spacing w:line="360" w:lineRule="auto"/>
        <w:ind w:firstLine="480" w:firstLineChars="200"/>
        <w:rPr>
          <w:rFonts w:ascii="宋体" w:hAnsi="宋体" w:cs="宋体"/>
          <w:sz w:val="24"/>
        </w:rPr>
      </w:pPr>
      <w:r>
        <w:rPr>
          <w:rFonts w:hint="eastAsia" w:ascii="宋体" w:hAnsi="宋体" w:cs="宋体"/>
          <w:sz w:val="24"/>
        </w:rPr>
        <w:t>3、</w:t>
      </w:r>
      <w:r>
        <w:rPr>
          <w:rFonts w:hint="eastAsia" w:ascii="宋体" w:hAnsi="宋体" w:cs="宋体"/>
          <w:sz w:val="24"/>
          <w:lang w:val="zh-CN"/>
        </w:rPr>
        <w:t>字体要求：</w:t>
      </w:r>
      <w:r>
        <w:rPr>
          <w:rFonts w:hint="eastAsia" w:ascii="宋体" w:hAnsi="宋体" w:cs="宋体"/>
          <w:sz w:val="24"/>
        </w:rPr>
        <w:t>符合</w:t>
      </w:r>
      <w:r>
        <w:rPr>
          <w:rFonts w:hint="eastAsia" w:ascii="宋体" w:hAnsi="宋体" w:cs="宋体"/>
          <w:sz w:val="24"/>
          <w:lang w:val="zh-CN"/>
        </w:rPr>
        <w:t>GB5768.2-2022</w:t>
      </w:r>
      <w:r>
        <w:rPr>
          <w:rFonts w:hint="eastAsia" w:ascii="宋体" w:hAnsi="宋体" w:cs="宋体"/>
          <w:sz w:val="24"/>
        </w:rPr>
        <w:t>标准。</w:t>
      </w:r>
    </w:p>
    <w:p>
      <w:pPr>
        <w:spacing w:line="360" w:lineRule="auto"/>
        <w:ind w:firstLine="480" w:firstLineChars="200"/>
        <w:rPr>
          <w:rFonts w:ascii="宋体" w:hAnsi="宋体" w:cs="宋体"/>
          <w:sz w:val="24"/>
          <w:lang w:val="zh-CN"/>
        </w:rPr>
      </w:pPr>
      <w:r>
        <w:rPr>
          <w:rFonts w:hint="eastAsia" w:ascii="宋体" w:hAnsi="宋体" w:cs="宋体"/>
          <w:sz w:val="24"/>
        </w:rPr>
        <w:t>4、</w:t>
      </w:r>
      <w:r>
        <w:rPr>
          <w:rFonts w:hint="eastAsia" w:ascii="宋体" w:hAnsi="宋体" w:cs="宋体"/>
          <w:sz w:val="24"/>
          <w:lang w:val="zh-CN"/>
        </w:rPr>
        <w:t>安装要求：除另有规定外标志安装时板面垂直于行车方向，视实际情况调整其水平或俯仰角度:</w:t>
      </w:r>
    </w:p>
    <w:p>
      <w:pPr>
        <w:spacing w:line="360" w:lineRule="auto"/>
        <w:ind w:firstLine="480" w:firstLineChars="200"/>
        <w:rPr>
          <w:rFonts w:ascii="宋体" w:hAnsi="宋体" w:cs="宋体"/>
          <w:sz w:val="24"/>
          <w:lang w:val="zh-CN"/>
        </w:rPr>
      </w:pPr>
      <w:r>
        <w:rPr>
          <w:rFonts w:hint="eastAsia" w:ascii="宋体" w:hAnsi="宋体" w:cs="宋体"/>
          <w:sz w:val="24"/>
          <w:lang w:val="zh-CN"/>
        </w:rPr>
        <w:t xml:space="preserve">a) 标志安装应避免标志板面对驾驶人造成的眩光; </w:t>
      </w:r>
    </w:p>
    <w:p>
      <w:pPr>
        <w:spacing w:line="360" w:lineRule="auto"/>
        <w:ind w:firstLine="480" w:firstLineChars="200"/>
        <w:rPr>
          <w:rFonts w:ascii="宋体" w:hAnsi="宋体" w:cs="宋体"/>
          <w:sz w:val="24"/>
          <w:lang w:val="zh-CN"/>
        </w:rPr>
      </w:pPr>
      <w:r>
        <w:rPr>
          <w:rFonts w:hint="eastAsia" w:ascii="宋体" w:hAnsi="宋体" w:cs="宋体"/>
          <w:sz w:val="24"/>
          <w:lang w:val="zh-CN"/>
        </w:rPr>
        <w:t>b) 路侧标志应与道路中线垂直，或与垂直方向成一定角度。其中，禁令标志、指示标志为0°~10°或30°~45°，其他标志为0°~10°;</w:t>
      </w:r>
    </w:p>
    <w:p>
      <w:pPr>
        <w:spacing w:line="360" w:lineRule="auto"/>
        <w:ind w:firstLine="480" w:firstLineChars="200"/>
        <w:rPr>
          <w:rFonts w:ascii="宋体" w:hAnsi="宋体" w:cs="宋体"/>
          <w:sz w:val="24"/>
          <w:lang w:val="zh-CN"/>
        </w:rPr>
      </w:pPr>
      <w:r>
        <w:rPr>
          <w:rFonts w:hint="eastAsia" w:ascii="宋体" w:hAnsi="宋体" w:cs="宋体"/>
          <w:sz w:val="24"/>
          <w:lang w:val="zh-CN"/>
        </w:rPr>
        <w:t>c) 路上方标志的板面宜面向来车俯仰0°~15°。</w:t>
      </w:r>
    </w:p>
    <w:p>
      <w:pPr>
        <w:spacing w:line="360" w:lineRule="auto"/>
        <w:ind w:firstLine="480" w:firstLineChars="200"/>
        <w:rPr>
          <w:rFonts w:ascii="宋体" w:hAnsi="宋体" w:cs="宋体"/>
          <w:sz w:val="24"/>
          <w:lang w:val="zh-CN"/>
        </w:rPr>
      </w:pPr>
      <w:r>
        <w:rPr>
          <w:rFonts w:hint="eastAsia" w:ascii="宋体" w:hAnsi="宋体" w:cs="宋体"/>
          <w:sz w:val="24"/>
        </w:rPr>
        <w:t>5、</w:t>
      </w:r>
      <w:r>
        <w:rPr>
          <w:rFonts w:hint="eastAsia" w:ascii="宋体" w:hAnsi="宋体" w:cs="宋体"/>
          <w:sz w:val="24"/>
          <w:lang w:val="zh-CN"/>
        </w:rPr>
        <w:t>标志版面最短边长度或直径≤1.2m时，反光膜不得有拼接缝。标志版面最短边长度或直径</w:t>
      </w:r>
      <w:r>
        <w:rPr>
          <w:rFonts w:hint="eastAsia" w:ascii="宋体" w:hAnsi="宋体" w:cs="宋体"/>
          <w:sz w:val="24"/>
        </w:rPr>
        <w:t>＞</w:t>
      </w:r>
      <w:r>
        <w:rPr>
          <w:rFonts w:hint="eastAsia" w:ascii="宋体" w:hAnsi="宋体" w:cs="宋体"/>
          <w:sz w:val="24"/>
          <w:lang w:val="zh-CN"/>
        </w:rPr>
        <w:t>1.2m时，应使用反光膜产品的最大宽度进行搭接，重叠部分不应≤5mm。距标志板边缘≤50mm，不得有拼接。标志版面应无裂缝、撕破或其它表面缺陷。</w:t>
      </w:r>
    </w:p>
    <w:p>
      <w:pPr>
        <w:adjustRightInd w:val="0"/>
        <w:spacing w:line="360" w:lineRule="auto"/>
        <w:jc w:val="left"/>
        <w:outlineLvl w:val="2"/>
        <w:rPr>
          <w:rFonts w:ascii="宋体" w:hAnsi="宋体" w:cs="宋体"/>
          <w:sz w:val="24"/>
        </w:rPr>
      </w:pPr>
      <w:r>
        <w:rPr>
          <w:rFonts w:hint="eastAsia" w:ascii="宋体" w:hAnsi="宋体" w:cs="宋体"/>
          <w:sz w:val="24"/>
        </w:rPr>
        <w:t>3.立杆</w:t>
      </w:r>
    </w:p>
    <w:p>
      <w:pPr>
        <w:spacing w:line="360" w:lineRule="auto"/>
        <w:ind w:firstLine="480" w:firstLineChars="200"/>
        <w:jc w:val="left"/>
        <w:rPr>
          <w:rFonts w:ascii="宋体" w:hAnsi="宋体" w:cs="宋体"/>
          <w:sz w:val="24"/>
        </w:rPr>
      </w:pPr>
      <w:r>
        <w:rPr>
          <w:rFonts w:hint="eastAsia" w:ascii="宋体" w:hAnsi="宋体" w:cs="宋体"/>
          <w:sz w:val="24"/>
        </w:rPr>
        <w:t>1、标志杆及连接件：</w:t>
      </w:r>
    </w:p>
    <w:p>
      <w:pPr>
        <w:spacing w:line="360" w:lineRule="auto"/>
        <w:ind w:firstLine="480" w:firstLineChars="200"/>
        <w:jc w:val="left"/>
        <w:rPr>
          <w:rFonts w:ascii="宋体" w:hAnsi="宋体" w:cs="宋体"/>
          <w:sz w:val="24"/>
        </w:rPr>
      </w:pPr>
      <w:r>
        <w:rPr>
          <w:rFonts w:hint="eastAsia" w:ascii="宋体" w:hAnsi="宋体" w:cs="宋体"/>
          <w:sz w:val="24"/>
        </w:rPr>
        <w:t>杆件形式要求：长臂杆、F型杆、直立杆、门架4类。</w:t>
      </w:r>
    </w:p>
    <w:p>
      <w:pPr>
        <w:spacing w:line="360" w:lineRule="auto"/>
        <w:ind w:firstLine="480" w:firstLineChars="200"/>
        <w:jc w:val="left"/>
        <w:rPr>
          <w:rFonts w:ascii="宋体" w:hAnsi="宋体" w:cs="宋体"/>
          <w:sz w:val="24"/>
        </w:rPr>
      </w:pPr>
      <w:r>
        <w:rPr>
          <w:rFonts w:hint="eastAsia" w:ascii="宋体" w:hAnsi="宋体" w:cs="宋体"/>
          <w:sz w:val="24"/>
        </w:rPr>
        <w:t>杆件加工要求：F型杆、直立杆结构中的圆形钢管须采用整根无缝钢管，不允许焊接加长。长臂杆结构中的八角管采用整块钢板一次性弯折成型，不允许焊接加长。</w:t>
      </w:r>
    </w:p>
    <w:p>
      <w:pPr>
        <w:spacing w:line="360" w:lineRule="auto"/>
        <w:ind w:firstLine="480" w:firstLineChars="200"/>
        <w:jc w:val="left"/>
        <w:rPr>
          <w:rFonts w:ascii="宋体" w:hAnsi="宋体" w:cs="宋体"/>
          <w:sz w:val="24"/>
        </w:rPr>
      </w:pPr>
      <w:r>
        <w:rPr>
          <w:rFonts w:hint="eastAsia" w:ascii="宋体" w:hAnsi="宋体" w:cs="宋体"/>
          <w:sz w:val="24"/>
        </w:rPr>
        <w:t>2、镀锌要求：标志杆立柱、横杆结构件及其它金属钢件应热镀锌处理，镀锌后涂漆，</w:t>
      </w:r>
      <w:r>
        <w:rPr>
          <w:rFonts w:hint="eastAsia" w:ascii="宋体" w:hAnsi="宋体" w:cs="宋体"/>
          <w:sz w:val="24"/>
          <w:highlight w:val="none"/>
        </w:rPr>
        <w:t>颜色为RAL7042（交通灰A），</w:t>
      </w:r>
      <w:r>
        <w:rPr>
          <w:rFonts w:hint="eastAsia" w:ascii="宋体" w:hAnsi="宋体" w:cs="宋体"/>
          <w:sz w:val="24"/>
        </w:rPr>
        <w:t>表面涂层光滑、均匀，不允许有流挂、滴瘤或多余结块，且无漏镀等缺陷。安装过程中有磕碰掉漆的，应在安装后补漆。</w:t>
      </w:r>
    </w:p>
    <w:p>
      <w:pPr>
        <w:spacing w:line="360" w:lineRule="auto"/>
        <w:ind w:firstLine="480" w:firstLineChars="200"/>
        <w:jc w:val="left"/>
        <w:rPr>
          <w:rFonts w:ascii="宋体" w:hAnsi="宋体" w:cs="宋体"/>
          <w:sz w:val="24"/>
        </w:rPr>
      </w:pPr>
      <w:r>
        <w:rPr>
          <w:rFonts w:hint="eastAsia" w:ascii="宋体" w:hAnsi="宋体" w:cs="宋体"/>
          <w:sz w:val="24"/>
        </w:rPr>
        <w:t>3、安装要求：</w:t>
      </w:r>
    </w:p>
    <w:p>
      <w:pPr>
        <w:spacing w:line="360" w:lineRule="auto"/>
        <w:ind w:firstLine="480" w:firstLineChars="200"/>
        <w:jc w:val="left"/>
        <w:rPr>
          <w:rFonts w:ascii="宋体" w:hAnsi="宋体" w:cs="宋体"/>
          <w:sz w:val="24"/>
        </w:rPr>
      </w:pPr>
      <w:r>
        <w:rPr>
          <w:rFonts w:hint="eastAsia" w:ascii="宋体" w:hAnsi="宋体" w:cs="宋体"/>
          <w:sz w:val="24"/>
        </w:rPr>
        <w:t>交通标志杆安装时，横杆需保持1.5°～2°的预拱度水平向上，立杆应保证杆体垂直，倾斜度≤±0.5%。</w:t>
      </w:r>
    </w:p>
    <w:p>
      <w:pPr>
        <w:spacing w:line="360" w:lineRule="auto"/>
        <w:ind w:firstLine="480" w:firstLineChars="200"/>
        <w:jc w:val="left"/>
        <w:rPr>
          <w:rFonts w:ascii="宋体" w:hAnsi="宋体" w:cs="宋体"/>
          <w:sz w:val="24"/>
        </w:rPr>
      </w:pPr>
      <w:r>
        <w:rPr>
          <w:rFonts w:hint="eastAsia" w:ascii="宋体" w:hAnsi="宋体" w:cs="宋体"/>
          <w:sz w:val="24"/>
        </w:rPr>
        <w:t>采用直立杆安装于人行道或隔离栏端头时，路侧有行人时，应不小于2.1m；有非机动车时，应不小于2.3m，标志板下缘距路面的高度为1.8m～2.5m；安装在绿化隔离带时，标志板下缘距路面的高度为1.5m～2.5m；采用长臂杆、F型杆安装的交通标志净空需在5.5m～5.7m。同一道路中标志板的安装高度、安装净空应保持一致，误差在±0.2m内。</w:t>
      </w:r>
    </w:p>
    <w:p>
      <w:pPr>
        <w:spacing w:line="360" w:lineRule="auto"/>
        <w:ind w:firstLine="480" w:firstLineChars="200"/>
        <w:jc w:val="left"/>
        <w:rPr>
          <w:rFonts w:ascii="宋体" w:hAnsi="宋体" w:cs="宋体"/>
          <w:sz w:val="24"/>
        </w:rPr>
      </w:pPr>
      <w:r>
        <w:rPr>
          <w:rFonts w:hint="eastAsia" w:ascii="宋体" w:hAnsi="宋体" w:cs="宋体"/>
          <w:sz w:val="24"/>
        </w:rPr>
        <w:t>4、连接件要求：</w:t>
      </w:r>
    </w:p>
    <w:p>
      <w:pPr>
        <w:spacing w:line="360" w:lineRule="auto"/>
        <w:ind w:firstLine="480" w:firstLineChars="200"/>
        <w:jc w:val="left"/>
        <w:rPr>
          <w:rFonts w:ascii="宋体" w:hAnsi="宋体" w:cs="宋体"/>
          <w:sz w:val="24"/>
        </w:rPr>
      </w:pPr>
      <w:r>
        <w:rPr>
          <w:rFonts w:hint="eastAsia" w:ascii="宋体" w:hAnsi="宋体" w:cs="宋体"/>
          <w:sz w:val="24"/>
        </w:rPr>
        <w:t>加劲肋：加劲肋的厚度需满足交通标志结构图的要求，厚度误差控制在±0.5mm内，加劲肋与杆件、基础之间应满焊，无气孔夹渣。</w:t>
      </w:r>
    </w:p>
    <w:p>
      <w:pPr>
        <w:spacing w:line="360" w:lineRule="auto"/>
        <w:ind w:firstLine="480" w:firstLineChars="200"/>
        <w:jc w:val="left"/>
        <w:rPr>
          <w:rFonts w:ascii="宋体" w:hAnsi="宋体" w:cs="宋体"/>
          <w:sz w:val="24"/>
        </w:rPr>
      </w:pPr>
      <w:r>
        <w:rPr>
          <w:rFonts w:hint="eastAsia" w:ascii="宋体" w:hAnsi="宋体" w:cs="宋体"/>
          <w:sz w:val="24"/>
        </w:rPr>
        <w:t>螺母与螺栓：采用DN168杆及以上的杆件、悬臂杆、门架连接基础法兰的要求为2枚螺母加1个垫片；采用DN168杆以下的杆件连接基础法兰、横杆连接立柱法兰要求为1枚螺母加1个垫片，所有螺母及垫片出厂时应热镀锌，安装完成后进行防锈补锌处理。</w:t>
      </w:r>
    </w:p>
    <w:p>
      <w:pPr>
        <w:spacing w:line="360" w:lineRule="auto"/>
        <w:ind w:firstLine="480" w:firstLineChars="200"/>
        <w:jc w:val="left"/>
        <w:rPr>
          <w:rFonts w:ascii="宋体" w:hAnsi="宋体" w:cs="宋体"/>
          <w:sz w:val="24"/>
        </w:rPr>
      </w:pPr>
      <w:r>
        <w:rPr>
          <w:rFonts w:hint="eastAsia" w:ascii="宋体" w:hAnsi="宋体" w:cs="宋体"/>
          <w:sz w:val="24"/>
        </w:rPr>
        <w:t>扎带：扎带边缘应平滑，以防损坏支撑件的渡层；扎扣和夹座上应分别有四个尖锐触角，在紧固时能切入构件中防止标志版松动。</w:t>
      </w:r>
    </w:p>
    <w:p>
      <w:pPr>
        <w:spacing w:line="360" w:lineRule="auto"/>
        <w:ind w:firstLine="480" w:firstLineChars="200"/>
        <w:jc w:val="left"/>
        <w:rPr>
          <w:rFonts w:ascii="宋体" w:hAnsi="宋体" w:cs="宋体"/>
          <w:sz w:val="24"/>
        </w:rPr>
      </w:pPr>
      <w:r>
        <w:rPr>
          <w:rFonts w:hint="eastAsia" w:ascii="宋体" w:hAnsi="宋体" w:cs="宋体"/>
          <w:sz w:val="24"/>
        </w:rPr>
        <w:t>杆件基础要求：（1）施工前必须先开挖样洞，在确保其他管线安全运行的前提下，方可施工标志基础。</w:t>
      </w:r>
    </w:p>
    <w:p>
      <w:pPr>
        <w:spacing w:line="360" w:lineRule="auto"/>
        <w:ind w:firstLine="480" w:firstLineChars="200"/>
        <w:jc w:val="left"/>
        <w:rPr>
          <w:rFonts w:ascii="宋体" w:hAnsi="宋体" w:cs="宋体"/>
          <w:sz w:val="24"/>
        </w:rPr>
      </w:pPr>
      <w:r>
        <w:rPr>
          <w:rFonts w:hint="eastAsia" w:ascii="宋体" w:hAnsi="宋体" w:cs="宋体"/>
          <w:sz w:val="24"/>
        </w:rPr>
        <w:t>（2）基础一般采用现浇制作。基础顶面应预埋钢制底座法兰盘及地脚螺栓。在浇筑混凝土时，应注意使底座法兰盘与基础对中，并将其嵌进基础（其上表面与基础齐平），同时保持其顶面水平；设在人行道上的基础的顶面标高应与人行道或绿化带标高一致，基础周围的填土应夯实，表面应平整。基底法兰的边线应与侧石线（或车道边线）平行，地脚下部为标准弯钩，地脚螺栓宜事先进行热浸镀锌处理，预埋时其方向应与底座法兰盘保持垂直。</w:t>
      </w:r>
    </w:p>
    <w:p>
      <w:pPr>
        <w:spacing w:line="360" w:lineRule="auto"/>
        <w:ind w:firstLine="480" w:firstLineChars="200"/>
        <w:jc w:val="left"/>
        <w:rPr>
          <w:rFonts w:ascii="宋体" w:hAnsi="宋体" w:cs="宋体"/>
          <w:sz w:val="24"/>
        </w:rPr>
      </w:pPr>
      <w:r>
        <w:rPr>
          <w:rFonts w:hint="eastAsia" w:ascii="宋体" w:hAnsi="宋体" w:cs="宋体"/>
          <w:sz w:val="24"/>
        </w:rPr>
        <w:t>（3）施工时如果遇到平曲线路段，应注意调整预埋法兰盘的方向，使其纵向中心线与行车方向保持一致。标志安装时基础需经养护达到设计强度后，方可安装标志立柱。立柱通过法兰盘与基础连接。在拧紧螺栓前应调整好方向和垂直度。立柱安装好后，即可通过抱箍或不锈钢万能夹把标志固定在立柱上。标志板安装后应进行板面平整度调整和安装角度的调整。</w:t>
      </w:r>
    </w:p>
    <w:p>
      <w:pPr>
        <w:spacing w:line="360" w:lineRule="auto"/>
        <w:ind w:firstLine="480" w:firstLineChars="200"/>
        <w:jc w:val="left"/>
        <w:rPr>
          <w:rFonts w:ascii="宋体" w:hAnsi="宋体" w:cs="宋体"/>
          <w:sz w:val="24"/>
        </w:rPr>
      </w:pPr>
      <w:r>
        <w:rPr>
          <w:rFonts w:hint="eastAsia" w:ascii="宋体" w:hAnsi="宋体" w:cs="宋体"/>
          <w:sz w:val="24"/>
        </w:rPr>
        <w:t>（4）标杆安装完后要求：</w:t>
      </w:r>
    </w:p>
    <w:p>
      <w:pPr>
        <w:spacing w:line="360" w:lineRule="auto"/>
        <w:ind w:firstLine="480" w:firstLineChars="200"/>
        <w:jc w:val="left"/>
        <w:rPr>
          <w:rFonts w:ascii="宋体" w:hAnsi="宋体" w:cs="宋体"/>
          <w:sz w:val="24"/>
        </w:rPr>
      </w:pPr>
      <w:r>
        <w:rPr>
          <w:rFonts w:hint="eastAsia" w:ascii="宋体" w:hAnsi="宋体" w:cs="宋体"/>
          <w:sz w:val="24"/>
        </w:rPr>
        <w:t>①除立杆外露外，其余均应恢复原来铺装或植被,清理余土。</w:t>
      </w:r>
    </w:p>
    <w:p>
      <w:pPr>
        <w:spacing w:line="360" w:lineRule="auto"/>
        <w:ind w:firstLine="480" w:firstLineChars="200"/>
        <w:jc w:val="left"/>
        <w:rPr>
          <w:rFonts w:ascii="宋体" w:hAnsi="宋体" w:cs="宋体"/>
          <w:sz w:val="24"/>
        </w:rPr>
      </w:pPr>
      <w:r>
        <w:rPr>
          <w:rFonts w:hint="eastAsia" w:ascii="宋体" w:hAnsi="宋体" w:cs="宋体"/>
          <w:sz w:val="24"/>
        </w:rPr>
        <w:t>②外露的地脚螺栓须作防锈处理，一般采用刷漆或用素砼包封。</w:t>
      </w:r>
    </w:p>
    <w:p>
      <w:pPr>
        <w:spacing w:line="360" w:lineRule="auto"/>
        <w:ind w:firstLine="480" w:firstLineChars="200"/>
        <w:jc w:val="left"/>
        <w:rPr>
          <w:rFonts w:ascii="宋体" w:hAnsi="宋体" w:cs="宋体"/>
          <w:sz w:val="24"/>
        </w:rPr>
      </w:pPr>
      <w:r>
        <w:rPr>
          <w:rFonts w:hint="eastAsia" w:ascii="宋体" w:hAnsi="宋体" w:cs="宋体"/>
          <w:sz w:val="24"/>
        </w:rPr>
        <w:t>③基础混凝土采用标号为C25的预拌混凝土。</w:t>
      </w:r>
    </w:p>
    <w:p>
      <w:pPr>
        <w:spacing w:line="360" w:lineRule="auto"/>
        <w:ind w:firstLine="480" w:firstLineChars="200"/>
        <w:jc w:val="left"/>
        <w:rPr>
          <w:rFonts w:ascii="宋体" w:hAnsi="宋体" w:cs="宋体"/>
          <w:sz w:val="24"/>
        </w:rPr>
      </w:pPr>
      <w:r>
        <w:rPr>
          <w:rFonts w:hint="eastAsia" w:ascii="宋体" w:hAnsi="宋体" w:cs="宋体"/>
          <w:sz w:val="24"/>
        </w:rPr>
        <w:t>④安装有监控、信号灯等用电设施的杆件基础预埋件需做接地处理，接地电阻接地电阻＜4欧，接地线不得外露。</w:t>
      </w:r>
    </w:p>
    <w:p>
      <w:pPr>
        <w:spacing w:line="360" w:lineRule="auto"/>
        <w:ind w:firstLine="480" w:firstLineChars="200"/>
        <w:jc w:val="left"/>
        <w:rPr>
          <w:rFonts w:ascii="宋体" w:hAnsi="宋体" w:cs="宋体"/>
          <w:sz w:val="24"/>
        </w:rPr>
      </w:pPr>
      <w:r>
        <w:rPr>
          <w:rFonts w:hint="eastAsia" w:ascii="宋体" w:hAnsi="宋体" w:cs="宋体"/>
          <w:sz w:val="24"/>
        </w:rPr>
        <w:t>5、钢材（钢管、钢板、型钢）材质为Q345B，质量符合《低合金高强度结构钢》GB/T1591的规定。所有标杆及标志牌结构、基础、尺寸等均见附件。</w:t>
      </w:r>
    </w:p>
    <w:p>
      <w:pPr>
        <w:adjustRightInd w:val="0"/>
        <w:spacing w:line="360" w:lineRule="auto"/>
        <w:outlineLvl w:val="2"/>
        <w:rPr>
          <w:rFonts w:ascii="宋体" w:hAnsi="宋体" w:cs="宋体"/>
          <w:sz w:val="24"/>
        </w:rPr>
      </w:pPr>
      <w:r>
        <w:rPr>
          <w:rFonts w:hint="eastAsia" w:ascii="宋体" w:hAnsi="宋体" w:cs="宋体"/>
          <w:sz w:val="24"/>
        </w:rPr>
        <w:t>4.护栏（详见8.附件：图纸）</w:t>
      </w:r>
    </w:p>
    <w:p>
      <w:pPr>
        <w:spacing w:line="360" w:lineRule="auto"/>
        <w:ind w:firstLine="480" w:firstLineChars="200"/>
        <w:rPr>
          <w:rFonts w:ascii="宋体" w:hAnsi="宋体" w:cs="宋体"/>
          <w:sz w:val="24"/>
        </w:rPr>
      </w:pPr>
      <w:r>
        <w:rPr>
          <w:rFonts w:hint="eastAsia" w:ascii="宋体" w:hAnsi="宋体" w:cs="宋体"/>
          <w:sz w:val="24"/>
        </w:rPr>
        <w:t>1、符合JT/T 281-2007公路波形梁钢护栏标准</w:t>
      </w:r>
    </w:p>
    <w:p>
      <w:pPr>
        <w:spacing w:line="360" w:lineRule="auto"/>
        <w:ind w:firstLine="480" w:firstLineChars="200"/>
        <w:rPr>
          <w:rFonts w:ascii="宋体" w:hAnsi="宋体" w:cs="宋体"/>
          <w:sz w:val="24"/>
        </w:rPr>
      </w:pPr>
      <w:r>
        <w:rPr>
          <w:rFonts w:hint="eastAsia" w:ascii="宋体" w:hAnsi="宋体" w:cs="宋体"/>
          <w:sz w:val="24"/>
        </w:rPr>
        <w:t>2、栏板的宽度310mm，厚度3mm</w:t>
      </w:r>
    </w:p>
    <w:p>
      <w:pPr>
        <w:spacing w:line="360" w:lineRule="auto"/>
        <w:ind w:firstLine="480" w:firstLineChars="200"/>
        <w:rPr>
          <w:rFonts w:ascii="宋体" w:hAnsi="宋体" w:cs="宋体"/>
          <w:sz w:val="24"/>
        </w:rPr>
      </w:pPr>
      <w:r>
        <w:rPr>
          <w:rFonts w:hint="eastAsia" w:ascii="宋体" w:hAnsi="宋体" w:cs="宋体"/>
          <w:sz w:val="24"/>
        </w:rPr>
        <w:t>3、立柱：规格∮140，壁厚4.5mm,立柱间距4米</w:t>
      </w:r>
    </w:p>
    <w:p>
      <w:pPr>
        <w:spacing w:line="360" w:lineRule="auto"/>
        <w:rPr>
          <w:rFonts w:ascii="宋体" w:hAnsi="宋体" w:cs="宋体"/>
          <w:sz w:val="24"/>
          <w:highlight w:val="none"/>
        </w:rPr>
      </w:pPr>
      <w:r>
        <w:rPr>
          <w:rFonts w:hint="eastAsia" w:ascii="宋体" w:hAnsi="宋体" w:cs="宋体"/>
          <w:sz w:val="24"/>
          <w:highlight w:val="none"/>
        </w:rPr>
        <w:t>5.其他要求：</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1、投标人需有设备材料制作车间，用于原材料制作标志牌，基础预埋件，钢支架等，投标时需提供</w:t>
      </w:r>
      <w:r>
        <w:rPr>
          <w:rFonts w:hint="eastAsia" w:ascii="宋体" w:hAnsi="宋体" w:cs="宋体"/>
          <w:sz w:val="24"/>
          <w:highlight w:val="none"/>
          <w:lang w:val="zh-CN"/>
        </w:rPr>
        <w:t>提供车间制作场景资料。</w:t>
      </w:r>
      <w:r>
        <w:rPr>
          <w:rFonts w:hint="eastAsia" w:ascii="宋体" w:hAnsi="宋体" w:cs="宋体"/>
          <w:b/>
          <w:bCs/>
          <w:color w:val="FF0000"/>
          <w:sz w:val="24"/>
          <w:highlight w:val="none"/>
          <w:lang w:val="zh-CN"/>
        </w:rPr>
        <w:t>车间面积</w:t>
      </w:r>
      <w:r>
        <w:rPr>
          <w:rFonts w:hint="eastAsia" w:ascii="宋体" w:hAnsi="宋体" w:cs="宋体"/>
          <w:b/>
          <w:bCs/>
          <w:color w:val="FF0000"/>
          <w:sz w:val="24"/>
          <w:highlight w:val="none"/>
        </w:rPr>
        <w:t>需满足本项目要求</w:t>
      </w:r>
      <w:r>
        <w:rPr>
          <w:rFonts w:hint="eastAsia" w:ascii="宋体" w:hAnsi="宋体" w:cs="宋体"/>
          <w:sz w:val="24"/>
          <w:highlight w:val="none"/>
        </w:rPr>
        <w:t>，保证项目完成。</w:t>
      </w:r>
    </w:p>
    <w:p>
      <w:pPr>
        <w:spacing w:line="360" w:lineRule="auto"/>
        <w:ind w:firstLine="480" w:firstLineChars="200"/>
        <w:rPr>
          <w:rFonts w:ascii="宋体" w:hAnsi="宋体" w:cs="宋体"/>
          <w:sz w:val="24"/>
          <w:highlight w:val="none"/>
          <w:lang w:val="zh-CN"/>
        </w:rPr>
      </w:pPr>
      <w:r>
        <w:rPr>
          <w:rFonts w:hint="eastAsia" w:ascii="宋体" w:hAnsi="宋体" w:cs="宋体"/>
          <w:sz w:val="24"/>
          <w:highlight w:val="none"/>
        </w:rPr>
        <w:t>2、</w:t>
      </w:r>
      <w:r>
        <w:rPr>
          <w:rFonts w:hint="eastAsia" w:ascii="宋体" w:hAnsi="宋体" w:cs="宋体"/>
          <w:sz w:val="24"/>
          <w:highlight w:val="none"/>
          <w:lang w:val="zh-CN"/>
        </w:rPr>
        <w:t>投标人所用</w:t>
      </w:r>
      <w:r>
        <w:rPr>
          <w:rFonts w:hint="eastAsia" w:ascii="宋体" w:hAnsi="宋体" w:cs="宋体"/>
          <w:b/>
          <w:bCs/>
          <w:color w:val="FF0000"/>
          <w:sz w:val="24"/>
          <w:highlight w:val="none"/>
          <w:lang w:val="zh-CN"/>
        </w:rPr>
        <w:t>主要材料</w:t>
      </w:r>
      <w:r>
        <w:rPr>
          <w:rFonts w:hint="eastAsia" w:ascii="宋体" w:hAnsi="宋体" w:cs="宋体"/>
          <w:sz w:val="24"/>
          <w:highlight w:val="none"/>
          <w:lang w:val="zh-CN"/>
        </w:rPr>
        <w:t>，包括反光膜、涂料等材料必须提供出厂合格证及</w:t>
      </w:r>
      <w:r>
        <w:rPr>
          <w:rFonts w:hint="eastAsia" w:ascii="宋体" w:hAnsi="宋体" w:cs="宋体"/>
          <w:sz w:val="24"/>
          <w:highlight w:val="none"/>
        </w:rPr>
        <w:t>提供具有CMA检测资质的第三方检测机构出具的CMA检测报告复印件</w:t>
      </w:r>
      <w:r>
        <w:rPr>
          <w:rFonts w:hint="eastAsia" w:ascii="宋体" w:hAnsi="宋体" w:cs="宋体"/>
          <w:sz w:val="24"/>
          <w:highlight w:val="none"/>
          <w:lang w:val="zh-CN"/>
        </w:rPr>
        <w:t>（其中反光膜、涂料必须提供厂家品牌），产品质量合格。</w:t>
      </w:r>
    </w:p>
    <w:p>
      <w:pPr>
        <w:spacing w:line="360" w:lineRule="auto"/>
        <w:ind w:firstLine="480" w:firstLineChars="200"/>
        <w:rPr>
          <w:rFonts w:ascii="宋体" w:hAnsi="宋体" w:cs="宋体"/>
          <w:sz w:val="24"/>
          <w:highlight w:val="none"/>
          <w:lang w:val="zh-CN"/>
        </w:rPr>
      </w:pPr>
      <w:r>
        <w:rPr>
          <w:rFonts w:hint="eastAsia" w:ascii="宋体" w:hAnsi="宋体" w:cs="宋体"/>
          <w:sz w:val="24"/>
          <w:highlight w:val="none"/>
        </w:rPr>
        <w:t>3、所投产品需提供产品说</w:t>
      </w:r>
      <w:r>
        <w:rPr>
          <w:rFonts w:hint="eastAsia" w:ascii="宋体" w:hAnsi="宋体" w:cs="宋体"/>
          <w:sz w:val="24"/>
          <w:highlight w:val="none"/>
          <w:lang w:val="zh-CN"/>
        </w:rPr>
        <w:t>明书、产品合格证、原厂质保承诺函、质量保证书原件、三包凭证、原配的附件（如有）、产品生产日期凭证等。</w:t>
      </w:r>
    </w:p>
    <w:p>
      <w:pPr>
        <w:spacing w:line="360" w:lineRule="auto"/>
        <w:ind w:firstLine="480" w:firstLineChars="200"/>
        <w:rPr>
          <w:rFonts w:ascii="宋体" w:hAnsi="宋体" w:cs="宋体"/>
          <w:sz w:val="24"/>
          <w:highlight w:val="none"/>
        </w:rPr>
      </w:pPr>
      <w:r>
        <w:rPr>
          <w:rFonts w:hint="eastAsia" w:ascii="宋体" w:hAnsi="宋体" w:cs="宋体"/>
          <w:sz w:val="24"/>
          <w:highlight w:val="none"/>
          <w:lang w:val="zh-CN"/>
        </w:rPr>
        <w:t>4、</w:t>
      </w:r>
      <w:r>
        <w:rPr>
          <w:rFonts w:hint="eastAsia" w:ascii="宋体" w:hAnsi="宋体" w:cs="宋体"/>
          <w:sz w:val="24"/>
          <w:highlight w:val="none"/>
        </w:rPr>
        <w:t>本项目采用固定单价采购，</w:t>
      </w:r>
      <w:r>
        <w:rPr>
          <w:rFonts w:hint="eastAsia" w:ascii="宋体" w:hAnsi="宋体" w:cs="宋体"/>
          <w:sz w:val="24"/>
          <w:highlight w:val="none"/>
          <w:lang w:val="zh-CN"/>
        </w:rPr>
        <w:t>最终付款按实际施工使用的产品数量*投标报价单价进行结算</w:t>
      </w:r>
      <w:r>
        <w:rPr>
          <w:rFonts w:hint="eastAsia" w:ascii="宋体" w:hAnsi="宋体" w:cs="宋体"/>
          <w:sz w:val="24"/>
          <w:highlight w:val="none"/>
        </w:rPr>
        <w:t>，采购人不保证中标人的最低采购数量，最终</w:t>
      </w:r>
      <w:r>
        <w:rPr>
          <w:rFonts w:hint="eastAsia" w:ascii="宋体" w:hAnsi="宋体" w:cs="宋体"/>
          <w:sz w:val="24"/>
          <w:highlight w:val="none"/>
          <w:lang w:val="zh-CN"/>
        </w:rPr>
        <w:t>产品数量</w:t>
      </w:r>
      <w:r>
        <w:rPr>
          <w:rFonts w:hint="eastAsia" w:ascii="宋体" w:hAnsi="宋体" w:cs="宋体"/>
          <w:sz w:val="24"/>
          <w:highlight w:val="none"/>
        </w:rPr>
        <w:t>以采购人实际需要采购清单为准，直至合同金额使用完为止。</w:t>
      </w:r>
    </w:p>
    <w:p>
      <w:pPr>
        <w:spacing w:line="360" w:lineRule="auto"/>
        <w:ind w:firstLine="480" w:firstLineChars="200"/>
        <w:rPr>
          <w:rFonts w:ascii="宋体" w:hAnsi="宋体" w:cs="宋体"/>
          <w:sz w:val="24"/>
          <w:highlight w:val="none"/>
          <w:lang w:val="zh-CN"/>
        </w:rPr>
      </w:pPr>
      <w:r>
        <w:rPr>
          <w:rFonts w:hint="eastAsia" w:ascii="宋体" w:hAnsi="宋体" w:cs="宋体"/>
          <w:sz w:val="24"/>
          <w:highlight w:val="none"/>
        </w:rPr>
        <w:t>5.投标人各项投标报价单价不得超过</w:t>
      </w:r>
      <w:r>
        <w:rPr>
          <w:rFonts w:hint="eastAsia" w:ascii="宋体" w:hAnsi="宋体" w:cs="宋体"/>
          <w:sz w:val="24"/>
          <w:highlight w:val="none"/>
          <w:lang w:val="zh-CN"/>
        </w:rPr>
        <w:t>最高限价单价</w:t>
      </w:r>
      <w:r>
        <w:rPr>
          <w:rFonts w:hint="eastAsia" w:ascii="宋体" w:hAnsi="宋体" w:cs="宋体"/>
          <w:sz w:val="24"/>
          <w:highlight w:val="none"/>
        </w:rPr>
        <w:t>，若超过</w:t>
      </w:r>
      <w:r>
        <w:rPr>
          <w:rFonts w:hint="eastAsia" w:ascii="宋体" w:hAnsi="宋体" w:cs="宋体"/>
          <w:sz w:val="24"/>
          <w:highlight w:val="none"/>
          <w:lang w:val="zh-CN"/>
        </w:rPr>
        <w:t>最高限价单价</w:t>
      </w:r>
      <w:r>
        <w:rPr>
          <w:rFonts w:hint="eastAsia" w:ascii="宋体" w:hAnsi="宋体" w:cs="宋体"/>
          <w:sz w:val="24"/>
          <w:highlight w:val="none"/>
        </w:rPr>
        <w:t>，其报价无效。</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6、</w:t>
      </w:r>
      <w:r>
        <w:rPr>
          <w:rFonts w:hint="eastAsia" w:ascii="宋体" w:hAnsi="宋体" w:cs="宋体"/>
          <w:sz w:val="24"/>
          <w:highlight w:val="none"/>
          <w:lang w:val="zh-CN"/>
        </w:rPr>
        <w:t>本项目</w:t>
      </w:r>
      <w:r>
        <w:rPr>
          <w:rFonts w:hint="eastAsia" w:ascii="宋体" w:hAnsi="宋体" w:cs="宋体"/>
          <w:sz w:val="24"/>
          <w:highlight w:val="none"/>
        </w:rPr>
        <w:t>采购清单的各项投标报价单价，包含产品费用、人工、车辆、安装调试及维护所需的费用。</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7、本项目施工所需的材料在需求中未列明的，投标人也需提供，涉及费用包含在投标报价中。</w:t>
      </w:r>
    </w:p>
    <w:p>
      <w:pPr>
        <w:spacing w:line="360" w:lineRule="auto"/>
        <w:ind w:firstLine="480" w:firstLineChars="200"/>
        <w:rPr>
          <w:rFonts w:ascii="宋体" w:hAnsi="宋体" w:cs="宋体"/>
          <w:sz w:val="24"/>
        </w:rPr>
      </w:pPr>
      <w:r>
        <w:rPr>
          <w:rFonts w:hint="eastAsia" w:ascii="宋体" w:hAnsi="宋体" w:cs="宋体"/>
          <w:sz w:val="24"/>
        </w:rPr>
        <w:t>8.采购清单</w:t>
      </w:r>
    </w:p>
    <w:tbl>
      <w:tblPr>
        <w:tblStyle w:val="20"/>
        <w:tblW w:w="5499" w:type="pct"/>
        <w:tblInd w:w="0" w:type="dxa"/>
        <w:tblLayout w:type="fixed"/>
        <w:tblCellMar>
          <w:top w:w="0" w:type="dxa"/>
          <w:left w:w="108" w:type="dxa"/>
          <w:bottom w:w="0" w:type="dxa"/>
          <w:right w:w="108" w:type="dxa"/>
        </w:tblCellMar>
      </w:tblPr>
      <w:tblGrid>
        <w:gridCol w:w="560"/>
        <w:gridCol w:w="1674"/>
        <w:gridCol w:w="3605"/>
        <w:gridCol w:w="1157"/>
        <w:gridCol w:w="785"/>
        <w:gridCol w:w="960"/>
        <w:gridCol w:w="602"/>
      </w:tblGrid>
      <w:tr>
        <w:tblPrEx>
          <w:tblCellMar>
            <w:top w:w="0" w:type="dxa"/>
            <w:left w:w="108" w:type="dxa"/>
            <w:bottom w:w="0" w:type="dxa"/>
            <w:right w:w="108" w:type="dxa"/>
          </w:tblCellMar>
        </w:tblPrEx>
        <w:trPr>
          <w:trHeight w:val="1404" w:hRule="atLeast"/>
        </w:trPr>
        <w:tc>
          <w:tcPr>
            <w:tcW w:w="29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序号</w:t>
            </w:r>
          </w:p>
        </w:tc>
        <w:tc>
          <w:tcPr>
            <w:tcW w:w="8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名称</w:t>
            </w:r>
          </w:p>
        </w:tc>
        <w:tc>
          <w:tcPr>
            <w:tcW w:w="19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规格配置</w:t>
            </w:r>
          </w:p>
        </w:tc>
        <w:tc>
          <w:tcPr>
            <w:tcW w:w="6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单位</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数量</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最高限价单价（元）</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备注</w:t>
            </w:r>
          </w:p>
        </w:tc>
      </w:tr>
      <w:tr>
        <w:tblPrEx>
          <w:tblCellMar>
            <w:top w:w="0" w:type="dxa"/>
            <w:left w:w="108" w:type="dxa"/>
            <w:bottom w:w="0" w:type="dxa"/>
            <w:right w:w="108" w:type="dxa"/>
          </w:tblCellMar>
        </w:tblPrEx>
        <w:trPr>
          <w:trHeight w:val="27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left"/>
              <w:rPr>
                <w:rFonts w:ascii="宋体" w:hAnsi="宋体" w:cs="宋体"/>
                <w:color w:val="000000"/>
                <w:kern w:val="0"/>
                <w:sz w:val="24"/>
              </w:rPr>
            </w:pPr>
            <w:r>
              <w:rPr>
                <w:rFonts w:hint="eastAsia" w:ascii="宋体" w:hAnsi="宋体" w:cs="宋体"/>
                <w:color w:val="000000"/>
                <w:kern w:val="0"/>
                <w:sz w:val="24"/>
              </w:rPr>
              <w:t>一、标线类</w:t>
            </w:r>
          </w:p>
        </w:tc>
      </w:tr>
      <w:tr>
        <w:tblPrEx>
          <w:tblCellMar>
            <w:top w:w="0" w:type="dxa"/>
            <w:left w:w="108" w:type="dxa"/>
            <w:bottom w:w="0" w:type="dxa"/>
            <w:right w:w="108" w:type="dxa"/>
          </w:tblCellMar>
        </w:tblPrEx>
        <w:trPr>
          <w:trHeight w:val="3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w:t>
            </w:r>
          </w:p>
        </w:tc>
        <w:tc>
          <w:tcPr>
            <w:tcW w:w="8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预成型反光标带</w:t>
            </w:r>
          </w:p>
        </w:tc>
        <w:tc>
          <w:tcPr>
            <w:tcW w:w="19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彩色防滑标线，厚度1.5-2.5mm</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120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6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w:t>
            </w:r>
          </w:p>
        </w:tc>
        <w:tc>
          <w:tcPr>
            <w:tcW w:w="8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彩色防滑路面标线</w:t>
            </w:r>
          </w:p>
        </w:tc>
        <w:tc>
          <w:tcPr>
            <w:tcW w:w="19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厚度≥3.0mm,彩色公交专用道(含黄色专用道)</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138</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30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w:t>
            </w:r>
          </w:p>
        </w:tc>
        <w:tc>
          <w:tcPr>
            <w:tcW w:w="8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绿色泊位标线</w:t>
            </w:r>
          </w:p>
        </w:tc>
        <w:tc>
          <w:tcPr>
            <w:tcW w:w="19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厚度≥3.0mm</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138</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4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常温标线</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厚度：0.3mm～0.5mm</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普通热熔标线、地面标识</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热熔反光型标线厚度≥1.8mm，均匀撒布反光珠</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3"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Ⅱ级反光热熔标线</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热熔反光型标线厚度≥1.8mm，均匀撒布反光珠，符合F80-2017(公路工程质量检验评定标准）标线施划后检测逆反射亮度系数≥250，一年内任意一次检测时数值均需≥150。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53</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7</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普通热熔振荡标线</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基线厚度≥1.5mm，突起部分高度≥5mm，均匀撒布反光珠</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70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142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8</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Ⅱ级振荡反光热熔标线</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基线厚度≥1.5mm，突起部分高度≥5mm，均匀撒布反光珠，符合F80-2017(公路工程质量检验评定标准）标线施划后检测逆反射亮度系数≥250，一年内任意一次检测时数值均需≥150。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adjustRightInd/>
              <w:spacing w:line="360" w:lineRule="auto"/>
              <w:ind w:firstLine="0"/>
              <w:jc w:val="center"/>
              <w:textAlignment w:val="auto"/>
              <w:rPr>
                <w:rFonts w:cs="宋体" w:asciiTheme="minorEastAsia" w:hAnsiTheme="minorEastAsia" w:eastAsiaTheme="minorEastAsia"/>
                <w:color w:val="000000"/>
                <w:sz w:val="24"/>
              </w:rPr>
            </w:pPr>
            <w:r>
              <w:rPr>
                <w:rFonts w:asciiTheme="minorEastAsia" w:hAnsiTheme="minorEastAsia" w:eastAsiaTheme="minorEastAsia"/>
                <w:sz w:val="24"/>
                <w:szCs w:val="24"/>
              </w:rPr>
              <w:t>93</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120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9</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双组份结构型反光标线</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1、MMA材质；2、不粘胎干结时间：≤15分钟；3、耐磨性：≤40mg；4、符合F80-2017(公路工程质量检验评定标准）标线施划后检测逆反射亮度系数≥350，一年内任意一次检测时数值均需≥150。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123</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120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10</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雨夜标线</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标线施划表面撒播白色或黄色雨夜反光珠和玻璃珠，雨夜珠播量≥200g/m2，玻璃珠撒播量≥200g/m2。雨夜珠应为全天候高亮雨夜珠，外观为不规则形状，表层</w:t>
            </w:r>
          </w:p>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为微晶陶瓷珠涂层结构。</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161</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11</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绿化带端头刷漆</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按照GB5768要求施划立面标记，黄黑反光漆</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34</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12</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双组份标线（甩涂型）</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含地面、夯平、图形制作、底胶浸倒、陶珠散布、余珠清除</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87</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13</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双组份标线（喷涂型）</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含地面、夯平、图形制作、底胶浸倒、陶珠散布、余珠清除</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30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14</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高亮反光热熔标线（刮涂型）</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厚度≥0.7mm，逆反射亮度系数≥350。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85</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30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15</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高亮反光热熔标线（喷涂型）</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厚度≥0.7mm，逆反射亮度系数≥350。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110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16</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高压水除线（带回收）</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超高压水磨清洗法，清除老标线，无明显痕迹（回收残渣）</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45</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16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17</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高压水除线</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超高压水磨清洗法，清除老标线，无明显痕迹，</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left"/>
              <w:rPr>
                <w:rFonts w:cs="宋体" w:asciiTheme="minorEastAsia" w:hAnsiTheme="minorEastAsia" w:eastAsiaTheme="minorEastAsia"/>
                <w:color w:val="000000"/>
                <w:sz w:val="24"/>
              </w:rPr>
            </w:pPr>
            <w:r>
              <w:rPr>
                <w:rFonts w:hint="eastAsia" w:cs="宋体" w:asciiTheme="minorEastAsia" w:hAnsiTheme="minorEastAsia" w:eastAsiaTheme="minorEastAsia"/>
                <w:color w:val="000000"/>
                <w:kern w:val="0"/>
                <w:sz w:val="24"/>
              </w:rPr>
              <w:t>二、标志类</w:t>
            </w:r>
          </w:p>
        </w:tc>
      </w:tr>
      <w:tr>
        <w:tblPrEx>
          <w:tblCellMar>
            <w:top w:w="0" w:type="dxa"/>
            <w:left w:w="108" w:type="dxa"/>
            <w:bottom w:w="0" w:type="dxa"/>
            <w:right w:w="108" w:type="dxa"/>
          </w:tblCellMar>
        </w:tblPrEx>
        <w:trPr>
          <w:trHeight w:val="70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道路标志牌三角形（单位：cm)△70</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标志膜采用第IV类反光膜,并安装于指定位置，采用2.0mm厚度铝合金板。详见项目技术规范</w:t>
            </w:r>
          </w:p>
        </w:tc>
        <w:tc>
          <w:tcPr>
            <w:tcW w:w="6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cs="宋体" w:asciiTheme="minorEastAsia" w:hAnsiTheme="minorEastAsia" w:eastAsiaTheme="minorEastAsia"/>
                <w:color w:val="000000"/>
                <w:sz w:val="24"/>
              </w:rPr>
            </w:pPr>
            <w:r>
              <w:rPr>
                <w:rFonts w:asciiTheme="minorEastAsia" w:hAnsiTheme="minorEastAsia" w:eastAsiaTheme="minorEastAsia"/>
                <w:sz w:val="24"/>
                <w:szCs w:val="24"/>
              </w:rPr>
              <w:t>150</w:t>
            </w:r>
          </w:p>
        </w:tc>
        <w:tc>
          <w:tcPr>
            <w:tcW w:w="322"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p>
        </w:tc>
      </w:tr>
      <w:tr>
        <w:tblPrEx>
          <w:tblCellMar>
            <w:top w:w="0" w:type="dxa"/>
            <w:left w:w="108" w:type="dxa"/>
            <w:bottom w:w="0" w:type="dxa"/>
            <w:right w:w="108" w:type="dxa"/>
          </w:tblCellMar>
        </w:tblPrEx>
        <w:trPr>
          <w:trHeight w:val="66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道路标志牌三角形（单位：cm)△90</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6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180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道路标志牌三角形（单位：cm)△110</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6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300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道路标志牌圆形（单位：cm）Φ60</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6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170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道路标志牌圆形（单位：cm）Φ80</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6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240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道路标志牌圆形（单位：cm）Φ100</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6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390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7</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道路标志牌正方形（单位:cm）60×60</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6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196</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8</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道路标志牌正方形（单位:cm）80×80</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6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320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9</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道路标志牌正方形（单位:cm）100×100</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6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485</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10</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道路标志牌长方形（单位：cm）60×30</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6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105</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11</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道路标志牌长方形（单位：cm）80×40</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180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12</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道路标志牌长方形（单位：cm）100×50</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250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13</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道路标志牌长方形（单位：cm）120×60</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360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14</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道路标志牌三角形（单位：cm)△130</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标志膜采用第IV类反光膜,并安装于指定位置，采用3.0mm厚度铝合金板。</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500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72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15</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道路标志牌圆形（单位：cm）Φ120</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标志膜采用第IV类反光膜,并安装于指定位置，采用3.0mm厚度铝合金板。详见项目技术规范</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750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16</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道路标志牌正方形（单位:cm）120×120</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标志膜采用第IV类反光膜,并安装于指定位置，采用3.0mm厚度铝合金板。</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color w:val="000000"/>
                <w:sz w:val="24"/>
                <w:szCs w:val="24"/>
              </w:rPr>
              <w:t>853</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17</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道路标志牌长方形（单位：cm）140×100</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标志膜采用第IV类反光膜,并安装于指定位置，采用3.0mm厚度铝合金板。</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color w:val="000000"/>
                <w:sz w:val="24"/>
                <w:szCs w:val="24"/>
              </w:rPr>
              <w:t>814</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18</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道路标志牌三角形（单位：cm)△70</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cs="宋体" w:asciiTheme="minorEastAsia" w:hAnsiTheme="minorEastAsia" w:eastAsiaTheme="minorEastAsia"/>
                <w:color w:val="000000"/>
                <w:sz w:val="24"/>
              </w:rPr>
            </w:pPr>
            <w:r>
              <w:rPr>
                <w:rFonts w:asciiTheme="minorEastAsia" w:hAnsiTheme="minorEastAsia" w:eastAsiaTheme="minorEastAsia"/>
                <w:sz w:val="24"/>
                <w:szCs w:val="24"/>
              </w:rPr>
              <w:t>250</w:t>
            </w:r>
          </w:p>
        </w:tc>
        <w:tc>
          <w:tcPr>
            <w:tcW w:w="322"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19</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道路标志牌三角形（单位：cm)△90</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450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20</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道路标志牌三角形（单位：cm)△110</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500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21</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道路标志牌圆形（单位：cm）Φ60</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320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22</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道路标志牌圆形（单位：cm）Φ80</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420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23</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道路标志牌圆形（单位：cm）Φ100</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791</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24</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道路标志牌正方形（单位:cm）60×60</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300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25</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道路标志牌正方形（单位:cm）80×80</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520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26</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道路标志牌正方形（单位:cm）100×100</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810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27</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道路标志牌长方形（单位：cm）60×30</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170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28</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道路标志牌长方形（单位：cm）80×40</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270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29</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道路标志牌长方形（单位：cm）100×50</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420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30</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道路标志牌长方形（单位：cm）120×60</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590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31</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道路标志牌三角形（单位：cm)△130</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标志膜采用第V类反光膜,并安装于指定位置，采用3.0mm厚度铝合金板。</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610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32</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道路标志牌圆形（单位：cm）Φ120</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标志膜采用第V类反光膜,并安装于指定位置，采用3.0mm厚度铝合金板。</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1100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33</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道路标志牌正方形（单位:cm）120×120</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标志膜采用第V类反光膜,并安装于指定位置，采用3.0mm厚度铝合金板。</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1200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34</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道路标志牌长方形（单位：cm）140×100</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标志膜采用第V类反光膜,并安装于指定位置，采用3.0mm厚度铝合金板。</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1150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35</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道路标志牌1.2至3m²（按2.1 m²板计）</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标志膜采用第V类反光膜,并安装于指定位置，采用3.0mm厚度铝合金板。</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1900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36</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道路标志牌3至5m²（按4 m²板计）</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标志膜采用第V类反光膜,并安装于指定位置，采用3.0mm厚度铝合金板。</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3300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37</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道路标志牌5至7m²（按6 m²板计）</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标志膜采用第V类反光膜,并安装于指定位置，采用3.0mm厚度铝合金板。</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4600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38</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道路标志牌7至9m²（按8 m²板计）</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标志膜采用第V类反光膜,并安装于指定位置，采用3.0mm厚度铝合金板。</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5800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39</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道路标志牌9至12m²（按10.5 m²板计）</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标志膜采用第V类反光膜,并安装于指定位置，采用3.0mm厚度铝合金板。</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8400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40</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道路标志牌12至15m²（按13.5 m²板计）</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标志膜采用第V类反光膜,并安装于指定位置，采用3.0mm厚度铝合金板。</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11000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41</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道路标志牌15m²以上（按18 m²板计）</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标志膜采用第V类反光膜,并安装于指定位置，采用3.0mm厚度铝合金板。</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15000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42</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标志牌去膜改版（字按热熔字考虑，字体面积按版面的1/3计算）</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贴第IV类反光膜(单块标牌面积1m²起算)</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m2</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216</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43</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标志牌去膜改版</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贴第V类反光膜(单块标牌面积1m²起算)</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m2</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441</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52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44</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贴膜</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杆件、警示桩、护栏边柱、岗亭等设施贴第IV类反光膜</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m2</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119</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45</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标志牌清洗</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仅限大于5m²的，小于等于5m²的包含于年度维护费中</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m2</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0.79</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46</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钢支架</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钢制活动支架，用以直接设置在路上，并安装于指定位置</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t</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5340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47</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设备支架制作安装</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设备支架制作安装每组重量0.2t以内</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t</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8540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48</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设备支架制作安装</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设备支架制作安装每组重量0.2-0.5t</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t</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8413</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49</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设备支架制作安装</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设备支架制作安装每组重量0.5-1t</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t</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8144</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50</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设备支架制作安装</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设备支架制作安装每组重量1-3t</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t</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7866</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51</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设备支架制作安装</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设备支架制作安装每组重量3-5t</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t</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7607</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52</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KT板（广告牌）</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按1*1.2m亚克力板计算</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110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53</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三角形（单位：cm)△70标志版拆除</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95</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54</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三角形（单位：cm)△90标志版拆除</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103</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55</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三角形（单位：cm)△110标志版拆除</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110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56</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三角形（单位：cm)△130标志版拆除</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118</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57</w:t>
            </w:r>
          </w:p>
        </w:tc>
        <w:tc>
          <w:tcPr>
            <w:tcW w:w="895"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圆形（单位：cm）Φ60标志版拆除</w:t>
            </w:r>
          </w:p>
        </w:tc>
        <w:tc>
          <w:tcPr>
            <w:tcW w:w="19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6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103</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58</w:t>
            </w:r>
          </w:p>
        </w:tc>
        <w:tc>
          <w:tcPr>
            <w:tcW w:w="895"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圆形（单位：cm）Φ80标志版拆除</w:t>
            </w:r>
          </w:p>
        </w:tc>
        <w:tc>
          <w:tcPr>
            <w:tcW w:w="19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6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110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59</w:t>
            </w:r>
          </w:p>
        </w:tc>
        <w:tc>
          <w:tcPr>
            <w:tcW w:w="895"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圆形（单位：cm）Φ100标志版拆除</w:t>
            </w:r>
          </w:p>
        </w:tc>
        <w:tc>
          <w:tcPr>
            <w:tcW w:w="19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6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118</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60</w:t>
            </w:r>
          </w:p>
        </w:tc>
        <w:tc>
          <w:tcPr>
            <w:tcW w:w="895"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圆形（单位：cm）Φ120标志版拆除</w:t>
            </w:r>
          </w:p>
        </w:tc>
        <w:tc>
          <w:tcPr>
            <w:tcW w:w="19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6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145</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61</w:t>
            </w:r>
          </w:p>
        </w:tc>
        <w:tc>
          <w:tcPr>
            <w:tcW w:w="895"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正方形（单位:cm）60×60标志版拆除</w:t>
            </w:r>
          </w:p>
        </w:tc>
        <w:tc>
          <w:tcPr>
            <w:tcW w:w="19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6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103</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62</w:t>
            </w:r>
          </w:p>
        </w:tc>
        <w:tc>
          <w:tcPr>
            <w:tcW w:w="895"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正方形（单位:cm）80×80标志版拆除</w:t>
            </w:r>
          </w:p>
        </w:tc>
        <w:tc>
          <w:tcPr>
            <w:tcW w:w="19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6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110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63</w:t>
            </w:r>
          </w:p>
        </w:tc>
        <w:tc>
          <w:tcPr>
            <w:tcW w:w="895"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正方形（单位:cm）100×100标志版拆除</w:t>
            </w:r>
          </w:p>
        </w:tc>
        <w:tc>
          <w:tcPr>
            <w:tcW w:w="19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6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118</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64</w:t>
            </w:r>
          </w:p>
        </w:tc>
        <w:tc>
          <w:tcPr>
            <w:tcW w:w="895"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正方形（单位:cm）120×120标志版拆除</w:t>
            </w:r>
          </w:p>
        </w:tc>
        <w:tc>
          <w:tcPr>
            <w:tcW w:w="19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6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145</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65</w:t>
            </w:r>
          </w:p>
        </w:tc>
        <w:tc>
          <w:tcPr>
            <w:tcW w:w="895"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长方形（单位：cm）60×30标志版拆除</w:t>
            </w:r>
          </w:p>
        </w:tc>
        <w:tc>
          <w:tcPr>
            <w:tcW w:w="19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6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95</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66</w:t>
            </w:r>
          </w:p>
        </w:tc>
        <w:tc>
          <w:tcPr>
            <w:tcW w:w="895"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长方形（单位：cm）80×40标志版拆除</w:t>
            </w:r>
          </w:p>
        </w:tc>
        <w:tc>
          <w:tcPr>
            <w:tcW w:w="19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6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103</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67</w:t>
            </w:r>
          </w:p>
        </w:tc>
        <w:tc>
          <w:tcPr>
            <w:tcW w:w="895"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长方形（单位：cm）100×50标志版拆除</w:t>
            </w:r>
          </w:p>
        </w:tc>
        <w:tc>
          <w:tcPr>
            <w:tcW w:w="19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6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110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68</w:t>
            </w:r>
          </w:p>
        </w:tc>
        <w:tc>
          <w:tcPr>
            <w:tcW w:w="895"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长方形（单位：cm）120×60标志版拆除</w:t>
            </w:r>
          </w:p>
        </w:tc>
        <w:tc>
          <w:tcPr>
            <w:tcW w:w="19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6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118</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69</w:t>
            </w:r>
          </w:p>
        </w:tc>
        <w:tc>
          <w:tcPr>
            <w:tcW w:w="895"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长方形（单位：cm）140×100标志版拆除</w:t>
            </w:r>
          </w:p>
        </w:tc>
        <w:tc>
          <w:tcPr>
            <w:tcW w:w="19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6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126</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70</w:t>
            </w:r>
          </w:p>
        </w:tc>
        <w:tc>
          <w:tcPr>
            <w:tcW w:w="895"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面积1.5-3m2以内标志版拆除</w:t>
            </w:r>
          </w:p>
        </w:tc>
        <w:tc>
          <w:tcPr>
            <w:tcW w:w="19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6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280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71</w:t>
            </w:r>
          </w:p>
        </w:tc>
        <w:tc>
          <w:tcPr>
            <w:tcW w:w="895"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面积3-5m2以内标志版拆除</w:t>
            </w:r>
          </w:p>
        </w:tc>
        <w:tc>
          <w:tcPr>
            <w:tcW w:w="19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6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446</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72</w:t>
            </w:r>
          </w:p>
        </w:tc>
        <w:tc>
          <w:tcPr>
            <w:tcW w:w="895"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面积5-7m2以内标志版拆除</w:t>
            </w:r>
          </w:p>
        </w:tc>
        <w:tc>
          <w:tcPr>
            <w:tcW w:w="19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6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646</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73</w:t>
            </w:r>
          </w:p>
        </w:tc>
        <w:tc>
          <w:tcPr>
            <w:tcW w:w="895"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面积7-9m2以内标志版拆除</w:t>
            </w:r>
          </w:p>
        </w:tc>
        <w:tc>
          <w:tcPr>
            <w:tcW w:w="19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6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859</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74</w:t>
            </w:r>
          </w:p>
        </w:tc>
        <w:tc>
          <w:tcPr>
            <w:tcW w:w="895"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面积9-12m2以内标志版拆除</w:t>
            </w:r>
          </w:p>
        </w:tc>
        <w:tc>
          <w:tcPr>
            <w:tcW w:w="19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6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1045</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75</w:t>
            </w:r>
          </w:p>
        </w:tc>
        <w:tc>
          <w:tcPr>
            <w:tcW w:w="895"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面积12-15m2以内标志版拆除</w:t>
            </w:r>
          </w:p>
        </w:tc>
        <w:tc>
          <w:tcPr>
            <w:tcW w:w="19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6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1214</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76</w:t>
            </w:r>
          </w:p>
        </w:tc>
        <w:tc>
          <w:tcPr>
            <w:tcW w:w="895"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面积15m2以上标志版拆除</w:t>
            </w:r>
          </w:p>
        </w:tc>
        <w:tc>
          <w:tcPr>
            <w:tcW w:w="19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6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1343</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77</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发光标志</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标志板面发光设计，全（半）透型面板显示</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m²</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4000</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78</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LED分体式可变车道标志板</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V类反光膜</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6500</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79</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可变车道诱导屏</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0.8*1.2m，含控制箱，匹配现有工程</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12000</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left"/>
              <w:rPr>
                <w:rFonts w:cs="宋体" w:asciiTheme="minorEastAsia" w:hAnsiTheme="minorEastAsia" w:eastAsiaTheme="minorEastAsia"/>
                <w:color w:val="000000"/>
                <w:sz w:val="24"/>
              </w:rPr>
            </w:pPr>
            <w:r>
              <w:rPr>
                <w:rFonts w:hint="eastAsia" w:cs="宋体" w:asciiTheme="minorEastAsia" w:hAnsiTheme="minorEastAsia" w:eastAsiaTheme="minorEastAsia"/>
                <w:color w:val="000000"/>
                <w:kern w:val="0"/>
                <w:sz w:val="24"/>
              </w:rPr>
              <w:t>三、立杆</w:t>
            </w: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Ф60H3米立杆</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201</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Ф89H2米立杆</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210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Ф89H3米立杆</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270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Ф89H3.5米立杆</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300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Ф89H4米立杆</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330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Ф114H0.85米反光柱</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176</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7</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Ф114H1米立杆</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200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8</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Ф114H3米立杆</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330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9</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Ф114H3.3米立杆</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365</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10</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Ф114H3.5米立杆</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400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11</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Ф114H4米立杆</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420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12</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Ф114H4.5米立杆</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450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13</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Ф114H4.7米立杆</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465</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14</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Ф114H4.8米立杆</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500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15</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Ф114H5米立杆</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557</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16</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Ф114H5.5米立杆</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601</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17</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Ф114H6米立杆</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644</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85"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18</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165*5.5米</w:t>
            </w:r>
            <w:r>
              <w:rPr>
                <w:rStyle w:val="30"/>
                <w:rFonts w:hint="eastAsia" w:ascii="宋体" w:hAnsi="宋体" w:cs="宋体"/>
                <w:sz w:val="24"/>
                <w:szCs w:val="24"/>
              </w:rPr>
              <w:t>F</w:t>
            </w:r>
            <w:r>
              <w:rPr>
                <w:rFonts w:hint="eastAsia" w:ascii="宋体" w:hAnsi="宋体" w:cs="宋体"/>
                <w:color w:val="000000"/>
                <w:kern w:val="0"/>
                <w:sz w:val="24"/>
              </w:rPr>
              <w:t>杆</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1、立柱：165*10*6500镀锌钢管</w:t>
            </w:r>
            <w:r>
              <w:rPr>
                <w:rFonts w:hint="eastAsia" w:ascii="宋体" w:hAnsi="宋体" w:cs="宋体"/>
                <w:color w:val="000000"/>
                <w:kern w:val="0"/>
                <w:sz w:val="24"/>
              </w:rPr>
              <w:cr/>
            </w:r>
            <w:r>
              <w:rPr>
                <w:rFonts w:hint="eastAsia" w:ascii="宋体" w:hAnsi="宋体" w:cs="宋体"/>
                <w:color w:val="000000"/>
                <w:kern w:val="0"/>
                <w:sz w:val="24"/>
              </w:rPr>
              <w:t>2、横梁：89*8*5500镀锌钢管</w:t>
            </w:r>
            <w:r>
              <w:rPr>
                <w:rFonts w:hint="eastAsia" w:ascii="宋体" w:hAnsi="宋体" w:cs="宋体"/>
                <w:color w:val="000000"/>
                <w:kern w:val="0"/>
                <w:sz w:val="24"/>
              </w:rPr>
              <w:cr/>
            </w:r>
            <w:r>
              <w:rPr>
                <w:rFonts w:hint="eastAsia" w:ascii="宋体" w:hAnsi="宋体" w:cs="宋体"/>
                <w:color w:val="000000"/>
                <w:kern w:val="0"/>
                <w:sz w:val="24"/>
              </w:rPr>
              <w:t>3、滑动槽钢、抱箍及加劲肋等，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9000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85"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19</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165*4.5米</w:t>
            </w:r>
            <w:r>
              <w:rPr>
                <w:rStyle w:val="30"/>
                <w:rFonts w:hint="eastAsia" w:ascii="宋体" w:hAnsi="宋体" w:cs="宋体"/>
                <w:sz w:val="24"/>
                <w:szCs w:val="24"/>
              </w:rPr>
              <w:t>F</w:t>
            </w:r>
            <w:r>
              <w:rPr>
                <w:rFonts w:hint="eastAsia" w:ascii="宋体" w:hAnsi="宋体" w:cs="宋体"/>
                <w:color w:val="000000"/>
                <w:kern w:val="0"/>
                <w:sz w:val="24"/>
              </w:rPr>
              <w:t>杆</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1、立柱：165*10*6500镀锌钢管</w:t>
            </w:r>
            <w:r>
              <w:rPr>
                <w:rFonts w:hint="eastAsia" w:ascii="宋体" w:hAnsi="宋体" w:cs="宋体"/>
                <w:color w:val="000000"/>
                <w:kern w:val="0"/>
                <w:sz w:val="24"/>
              </w:rPr>
              <w:cr/>
            </w:r>
            <w:r>
              <w:rPr>
                <w:rFonts w:hint="eastAsia" w:ascii="宋体" w:hAnsi="宋体" w:cs="宋体"/>
                <w:color w:val="000000"/>
                <w:kern w:val="0"/>
                <w:sz w:val="24"/>
              </w:rPr>
              <w:t>2、横梁：89*8*5500镀锌钢管</w:t>
            </w:r>
            <w:r>
              <w:rPr>
                <w:rFonts w:hint="eastAsia" w:ascii="宋体" w:hAnsi="宋体" w:cs="宋体"/>
                <w:color w:val="000000"/>
                <w:kern w:val="0"/>
                <w:sz w:val="24"/>
              </w:rPr>
              <w:cr/>
            </w:r>
            <w:r>
              <w:rPr>
                <w:rFonts w:hint="eastAsia" w:ascii="宋体" w:hAnsi="宋体" w:cs="宋体"/>
                <w:color w:val="000000"/>
                <w:kern w:val="0"/>
                <w:sz w:val="24"/>
              </w:rPr>
              <w:t>3、滑动槽钢、抱箍及加劲肋等，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8900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20</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6.8*5米悬臂八棱杆</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1、立柱：八角φ（300~500）*10*6.9m镀锌钢管</w:t>
            </w:r>
            <w:r>
              <w:rPr>
                <w:rFonts w:hint="eastAsia" w:ascii="宋体" w:hAnsi="宋体" w:cs="宋体"/>
                <w:color w:val="000000"/>
                <w:kern w:val="0"/>
                <w:sz w:val="24"/>
              </w:rPr>
              <w:cr/>
            </w:r>
            <w:r>
              <w:rPr>
                <w:rFonts w:hint="eastAsia" w:ascii="宋体" w:hAnsi="宋体" w:cs="宋体"/>
                <w:color w:val="000000"/>
                <w:kern w:val="0"/>
                <w:sz w:val="24"/>
              </w:rPr>
              <w:t>2、横梁：八角φ（110~250）*8*5.0m镀锌钢管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26994</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21</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6.8*6米悬臂八棱杆</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1、立柱：八角φ（300~500）*10*6.9m镀锌钢管</w:t>
            </w:r>
            <w:r>
              <w:rPr>
                <w:rFonts w:hint="eastAsia" w:ascii="宋体" w:hAnsi="宋体" w:cs="宋体"/>
                <w:color w:val="000000"/>
                <w:kern w:val="0"/>
                <w:sz w:val="24"/>
              </w:rPr>
              <w:cr/>
            </w:r>
            <w:r>
              <w:rPr>
                <w:rFonts w:hint="eastAsia" w:ascii="宋体" w:hAnsi="宋体" w:cs="宋体"/>
                <w:color w:val="000000"/>
                <w:kern w:val="0"/>
                <w:sz w:val="24"/>
              </w:rPr>
              <w:t>2、横梁：八角φ（110~250）*8*6.0m镀锌钢管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27228</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22</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6.8*7米悬臂八棱杆</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1、立柱：八角φ（300~500）*10*6.9m镀锌钢管</w:t>
            </w:r>
            <w:r>
              <w:rPr>
                <w:rFonts w:hint="eastAsia" w:ascii="宋体" w:hAnsi="宋体" w:cs="宋体"/>
                <w:color w:val="000000"/>
                <w:kern w:val="0"/>
                <w:sz w:val="24"/>
              </w:rPr>
              <w:cr/>
            </w:r>
            <w:r>
              <w:rPr>
                <w:rFonts w:hint="eastAsia" w:ascii="宋体" w:hAnsi="宋体" w:cs="宋体"/>
                <w:color w:val="000000"/>
                <w:kern w:val="0"/>
                <w:sz w:val="24"/>
              </w:rPr>
              <w:t>2、横梁：八角φ（110~250）*8*7.0m镀锌钢管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27461</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23</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6.8*8米悬臂八棱杆</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1、立柱：八角φ（300~500）*10*6.9m镀锌钢管</w:t>
            </w:r>
            <w:r>
              <w:rPr>
                <w:rFonts w:hint="eastAsia" w:ascii="宋体" w:hAnsi="宋体" w:cs="宋体"/>
                <w:color w:val="000000"/>
                <w:kern w:val="0"/>
                <w:sz w:val="24"/>
              </w:rPr>
              <w:cr/>
            </w:r>
            <w:r>
              <w:rPr>
                <w:rFonts w:hint="eastAsia" w:ascii="宋体" w:hAnsi="宋体" w:cs="宋体"/>
                <w:color w:val="000000"/>
                <w:kern w:val="0"/>
                <w:sz w:val="24"/>
              </w:rPr>
              <w:t>2、横梁：八角φ（110~250）*8*8.0m镀锌钢管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27688</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24</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6.8*9米悬臂八棱杆</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1、立柱：八角φ（300~500）*10*6.9m镀锌钢管</w:t>
            </w:r>
            <w:r>
              <w:rPr>
                <w:rFonts w:hint="eastAsia" w:ascii="宋体" w:hAnsi="宋体" w:cs="宋体"/>
                <w:color w:val="000000"/>
                <w:kern w:val="0"/>
                <w:sz w:val="24"/>
              </w:rPr>
              <w:cr/>
            </w:r>
            <w:r>
              <w:rPr>
                <w:rFonts w:hint="eastAsia" w:ascii="宋体" w:hAnsi="宋体" w:cs="宋体"/>
                <w:color w:val="000000"/>
                <w:kern w:val="0"/>
                <w:sz w:val="24"/>
              </w:rPr>
              <w:t>2、横梁：八角φ（110~250）*8*9.0m镀锌钢管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27922</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25</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6.8*9米*7米双挑悬臂八棱杆</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1、立柱：八角φ（300~500）*10*6.9m镀锌钢管</w:t>
            </w:r>
            <w:r>
              <w:rPr>
                <w:rFonts w:hint="eastAsia" w:ascii="宋体" w:hAnsi="宋体" w:cs="宋体"/>
                <w:color w:val="000000"/>
                <w:kern w:val="0"/>
                <w:sz w:val="24"/>
              </w:rPr>
              <w:cr/>
            </w:r>
            <w:r>
              <w:rPr>
                <w:rFonts w:hint="eastAsia" w:ascii="宋体" w:hAnsi="宋体" w:cs="宋体"/>
                <w:color w:val="000000"/>
                <w:kern w:val="0"/>
                <w:sz w:val="24"/>
              </w:rPr>
              <w:t>2、横梁：八角φ（110~250）*8*(9+7)m镀锌钢管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29556</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26</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6.8*9米双挑悬臂八棱杆</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1、立柱：八角φ（300~500）*10*6.9m镀锌钢管</w:t>
            </w:r>
            <w:r>
              <w:rPr>
                <w:rFonts w:hint="eastAsia" w:ascii="宋体" w:hAnsi="宋体" w:cs="宋体"/>
                <w:color w:val="000000"/>
                <w:kern w:val="0"/>
                <w:sz w:val="24"/>
              </w:rPr>
              <w:cr/>
            </w:r>
            <w:r>
              <w:rPr>
                <w:rFonts w:hint="eastAsia" w:ascii="宋体" w:hAnsi="宋体" w:cs="宋体"/>
                <w:color w:val="000000"/>
                <w:kern w:val="0"/>
                <w:sz w:val="24"/>
              </w:rPr>
              <w:t>2、横梁：八角φ（110~250）*8*(9+9)m镀锌钢管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30023</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27</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6.8*11米悬臂八棱杆</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1、立柱：八角φ（300~500）*10*6.9m镀锌钢管</w:t>
            </w:r>
            <w:r>
              <w:rPr>
                <w:rFonts w:hint="eastAsia" w:ascii="宋体" w:hAnsi="宋体" w:cs="宋体"/>
                <w:color w:val="000000"/>
                <w:kern w:val="0"/>
                <w:sz w:val="24"/>
              </w:rPr>
              <w:cr/>
            </w:r>
            <w:r>
              <w:rPr>
                <w:rFonts w:hint="eastAsia" w:ascii="宋体" w:hAnsi="宋体" w:cs="宋体"/>
                <w:color w:val="000000"/>
                <w:kern w:val="0"/>
                <w:sz w:val="24"/>
              </w:rPr>
              <w:t>2、横梁：八角φ（110~250）*8*11m镀锌钢管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28389</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28</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6.8*15米悬臂八棱杆</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1、立柱：八角φ（300~500）*10*6.9m镀锌钢管</w:t>
            </w:r>
            <w:r>
              <w:rPr>
                <w:rFonts w:hint="eastAsia" w:ascii="宋体" w:hAnsi="宋体" w:cs="宋体"/>
                <w:color w:val="000000"/>
                <w:kern w:val="0"/>
                <w:sz w:val="24"/>
              </w:rPr>
              <w:cr/>
            </w:r>
            <w:r>
              <w:rPr>
                <w:rFonts w:hint="eastAsia" w:ascii="宋体" w:hAnsi="宋体" w:cs="宋体"/>
                <w:color w:val="000000"/>
                <w:kern w:val="0"/>
                <w:sz w:val="24"/>
              </w:rPr>
              <w:t>2、横梁：八角φ（110~250）*8*15m镀锌钢管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29323</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29</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219杆4*5.5悬臂杆</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w:t>
            </w:r>
            <w:r>
              <w:rPr>
                <w:rFonts w:hint="eastAsia" w:ascii="宋体" w:hAnsi="宋体" w:cs="宋体"/>
                <w:color w:val="FF0000"/>
                <w:kern w:val="0"/>
                <w:sz w:val="24"/>
              </w:rPr>
              <w:t>立柱：φ219*10*6500镀锌钢管</w:t>
            </w:r>
            <w:r>
              <w:rPr>
                <w:rFonts w:hint="eastAsia" w:ascii="宋体" w:hAnsi="宋体" w:cs="宋体"/>
                <w:color w:val="FF0000"/>
                <w:kern w:val="0"/>
                <w:sz w:val="24"/>
              </w:rPr>
              <w:cr/>
            </w:r>
            <w:r>
              <w:rPr>
                <w:rFonts w:hint="eastAsia" w:ascii="宋体" w:hAnsi="宋体" w:cs="宋体"/>
                <w:color w:val="000000"/>
                <w:kern w:val="0"/>
                <w:sz w:val="24"/>
              </w:rPr>
              <w:t>2、横梁：φ168*8*5000(543)镀锌钢管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r>
              <w:rPr>
                <w:rFonts w:hint="eastAsia" w:ascii="宋体" w:hAnsi="宋体" w:cs="宋体"/>
                <w:color w:val="000000"/>
                <w:kern w:val="0"/>
                <w:sz w:val="24"/>
                <w:highlight w:val="none"/>
              </w:rPr>
              <w:t>，如参数与图纸不一致，以图纸为准。</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9600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30</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273型×4.5"×5.5m(Ф800)</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1、立柱：φ273*14*7900镀锌钢管</w:t>
            </w:r>
            <w:r>
              <w:rPr>
                <w:rFonts w:hint="eastAsia" w:ascii="宋体" w:hAnsi="宋体" w:cs="宋体"/>
                <w:color w:val="000000"/>
                <w:kern w:val="0"/>
                <w:sz w:val="24"/>
              </w:rPr>
              <w:cr/>
            </w:r>
            <w:r>
              <w:rPr>
                <w:rFonts w:hint="eastAsia" w:ascii="宋体" w:hAnsi="宋体" w:cs="宋体"/>
                <w:color w:val="000000"/>
                <w:kern w:val="0"/>
                <w:sz w:val="24"/>
              </w:rPr>
              <w:t>2、横梁：φ150*8*5500(543)镀锌钢管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18000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31</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273型*5"*5米悬臂杆</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1、立柱：φ273*14*7900镀锌钢管</w:t>
            </w:r>
            <w:r>
              <w:rPr>
                <w:rFonts w:hint="eastAsia" w:ascii="宋体" w:hAnsi="宋体" w:cs="宋体"/>
                <w:color w:val="000000"/>
                <w:kern w:val="0"/>
                <w:sz w:val="24"/>
              </w:rPr>
              <w:cr/>
            </w:r>
            <w:r>
              <w:rPr>
                <w:rFonts w:hint="eastAsia" w:ascii="宋体" w:hAnsi="宋体" w:cs="宋体"/>
                <w:color w:val="000000"/>
                <w:kern w:val="0"/>
                <w:sz w:val="24"/>
              </w:rPr>
              <w:t>2、横梁：φ168*8*5000(543)镀锌钢管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18800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32</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273型*5"*5.5米悬臂杆</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1、立柱：φ273*14*7900镀锌钢管</w:t>
            </w:r>
            <w:r>
              <w:rPr>
                <w:rFonts w:hint="eastAsia" w:ascii="宋体" w:hAnsi="宋体" w:cs="宋体"/>
                <w:color w:val="000000"/>
                <w:kern w:val="0"/>
                <w:sz w:val="24"/>
              </w:rPr>
              <w:cr/>
            </w:r>
            <w:r>
              <w:rPr>
                <w:rFonts w:hint="eastAsia" w:ascii="宋体" w:hAnsi="宋体" w:cs="宋体"/>
                <w:color w:val="000000"/>
                <w:kern w:val="0"/>
                <w:sz w:val="24"/>
              </w:rPr>
              <w:t>2、横梁：φ168*8*5500(543)镀锌钢管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19200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33</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273型*7*7双挑悬臂杆（厚10cm）</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1、立柱：φ273*14*7900镀锌钢管</w:t>
            </w:r>
            <w:r>
              <w:rPr>
                <w:rFonts w:hint="eastAsia" w:ascii="宋体" w:hAnsi="宋体" w:cs="宋体"/>
                <w:color w:val="000000"/>
                <w:kern w:val="0"/>
                <w:sz w:val="24"/>
              </w:rPr>
              <w:cr/>
            </w:r>
            <w:r>
              <w:rPr>
                <w:rFonts w:hint="eastAsia" w:ascii="宋体" w:hAnsi="宋体" w:cs="宋体"/>
                <w:color w:val="000000"/>
                <w:kern w:val="0"/>
                <w:sz w:val="24"/>
              </w:rPr>
              <w:t>2、横梁：φ168*10*7000(543)镀锌钢管(双排）</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24800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34</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龙门架杆件</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1、立柱(mm)：Ф377×12×8000</w:t>
            </w:r>
            <w:r>
              <w:rPr>
                <w:rFonts w:hint="eastAsia" w:ascii="宋体" w:hAnsi="宋体" w:cs="宋体"/>
                <w:color w:val="000000"/>
                <w:kern w:val="0"/>
                <w:sz w:val="24"/>
              </w:rPr>
              <w:cr/>
            </w:r>
            <w:r>
              <w:rPr>
                <w:rFonts w:hint="eastAsia" w:ascii="宋体" w:hAnsi="宋体" w:cs="宋体"/>
                <w:color w:val="000000"/>
                <w:kern w:val="0"/>
                <w:sz w:val="24"/>
              </w:rPr>
              <w:t>2、横梁(mm)：Ф159×8×13220</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50177</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35</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龙门架杆件</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1、立柱(mm)：立柱(mm)：Ф426×12×8000</w:t>
            </w:r>
            <w:r>
              <w:rPr>
                <w:rFonts w:hint="eastAsia" w:ascii="宋体" w:hAnsi="宋体" w:cs="宋体"/>
                <w:color w:val="000000"/>
                <w:kern w:val="0"/>
                <w:sz w:val="24"/>
              </w:rPr>
              <w:cr/>
            </w:r>
            <w:r>
              <w:rPr>
                <w:rFonts w:hint="eastAsia" w:ascii="宋体" w:hAnsi="宋体" w:cs="宋体"/>
                <w:color w:val="000000"/>
                <w:kern w:val="0"/>
                <w:sz w:val="24"/>
              </w:rPr>
              <w:t>2、横梁(mm)：Ф219×12×17170</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65321</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36</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龙门架杆件</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1、立柱(mm)：杆(mm)：Ф273×10×7400</w:t>
            </w:r>
            <w:r>
              <w:rPr>
                <w:rFonts w:hint="eastAsia" w:ascii="宋体" w:hAnsi="宋体" w:cs="宋体"/>
                <w:color w:val="000000"/>
                <w:kern w:val="0"/>
                <w:sz w:val="24"/>
              </w:rPr>
              <w:cr/>
            </w:r>
            <w:r>
              <w:rPr>
                <w:rFonts w:hint="eastAsia" w:ascii="宋体" w:hAnsi="宋体" w:cs="宋体"/>
                <w:color w:val="000000"/>
                <w:kern w:val="0"/>
                <w:sz w:val="24"/>
              </w:rPr>
              <w:t>2、臂(mm)：Ф152×8×（≥17米）</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46735</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37</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Ф60 3米以内立柱立杆拆除</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69</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38</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Ф89 5米以内立柱拆除</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91</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39</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Ф114 5米以内立柱拆除</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125</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40</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Ф140 4.5米以内立柱拆除，</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139</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41</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Ф140 8米以内立柱拆除</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200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42</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165*5.5米F杆拆除</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adjustRightInd/>
              <w:spacing w:line="360" w:lineRule="auto"/>
              <w:ind w:firstLine="0"/>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670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43</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165*4.5米F杆拆除</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592</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44</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6.8*5米悬臂八棱杆拆除</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630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45</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6.8*6米悬臂八棱杆拆除</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709</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46</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6.8*7米悬臂八棱杆拆除</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787</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47</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6.8*8米悬臂八棱杆拆除</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865</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48</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6.8*9米悬臂八棱杆拆除</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943</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49</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6.8*11米悬臂八棱杆拆除</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1100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50</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6.8*15米悬臂八棱杆拆除</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1411</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51</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219杆悬臂杆拆除</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277</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52</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273型立杆拆除</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554</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53</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龙门架杆件拆除</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2422</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54</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标杆（仅计底盘）</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Ф89 立杆底盘，法兰盘、加劲肋及地脚螺栓等，详见项目技术规范</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386</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55</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标杆（仅计底盘）</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Ф114 立杆底盘，法兰盘、加劲肋及地脚螺栓等，详见项目技术规范</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441</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56</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混凝土基础</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Ф89 米立杆C25混凝土基础，详见项目技术规范</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个</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530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57</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混凝土基础</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Ф114 米立杆C25混凝土基础，详见项目技术规范</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个</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943</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54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58</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混凝土基础</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C25砼（含C10素砼垫层及砂砾石底层），含挖土方、运土、基础笼、清理现场等</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m3</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1200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left"/>
              <w:rPr>
                <w:rFonts w:cs="宋体" w:asciiTheme="minorEastAsia" w:hAnsiTheme="minorEastAsia" w:eastAsiaTheme="minorEastAsia"/>
                <w:color w:val="000000"/>
                <w:sz w:val="24"/>
              </w:rPr>
            </w:pPr>
            <w:r>
              <w:rPr>
                <w:rFonts w:hint="eastAsia" w:cs="宋体" w:asciiTheme="minorEastAsia" w:hAnsiTheme="minorEastAsia" w:eastAsiaTheme="minorEastAsia"/>
                <w:color w:val="000000"/>
                <w:kern w:val="0"/>
                <w:sz w:val="24"/>
              </w:rPr>
              <w:t>四、护栏类</w:t>
            </w: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A型立柱</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A型护栏</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90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A型护栏(含立柱)</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145</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B型立柱</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110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B型护栏</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B型护栏(含立柱)</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155</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7</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新款塑钢立柱</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8</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新款塑钢护栏（导向牌）</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90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9</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导向牌面板</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155</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10</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新款塑钢立柱顶帽</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11</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交通导向牌(含护栏)</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320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12</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新款塑钢立柱</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110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13</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新款塑钢护栏（导向牌）</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14</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导向牌面板</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170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15</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新款塑钢立柱顶帽</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85"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16</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交通导向牌(含护栏)</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350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3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17</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端头反光柱(右侧通行、机动车通行)</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325</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18</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太阳能自发光端头导向牌(中心护栏)</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470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19</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120型太阳能自发光护栏立杆</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218</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20</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N型中心护栏</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M</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135</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21</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N型机非护栏</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详见8.附件：图纸</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m</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120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22</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A级波形护栏</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4320*310*85*3mm</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M</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87</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23</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护栏立柱</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打桩型立柱，长1.8米</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163</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24</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护栏立柱</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预埋型立柱，长1.2米</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109</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25</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隔离护栏防撞头</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路侧端头R160mm</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个</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65</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sz w:val="24"/>
              </w:rPr>
              <w:t>26</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钢索护栏</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kern w:val="0"/>
                <w:sz w:val="24"/>
              </w:rPr>
            </w:pPr>
            <w:r>
              <w:rPr>
                <w:rFonts w:hint="eastAsia" w:ascii="宋体" w:hAnsi="宋体" w:cs="宋体"/>
                <w:color w:val="000000"/>
                <w:kern w:val="0"/>
                <w:sz w:val="24"/>
              </w:rPr>
              <w:t>镀锌钢管、钢丝绳</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kern w:val="0"/>
                <w:sz w:val="24"/>
              </w:rPr>
            </w:pPr>
            <w:r>
              <w:rPr>
                <w:rFonts w:hint="eastAsia" w:ascii="宋体" w:hAnsi="宋体" w:cs="宋体"/>
                <w:color w:val="000000"/>
                <w:kern w:val="0"/>
                <w:sz w:val="24"/>
              </w:rPr>
              <w:t>M</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left"/>
              <w:rPr>
                <w:rFonts w:cs="宋体" w:asciiTheme="minorEastAsia" w:hAnsiTheme="minorEastAsia" w:eastAsiaTheme="minorEastAsia"/>
                <w:color w:val="000000"/>
                <w:sz w:val="24"/>
              </w:rPr>
            </w:pPr>
            <w:r>
              <w:rPr>
                <w:rFonts w:hint="eastAsia" w:cs="宋体" w:asciiTheme="minorEastAsia" w:hAnsiTheme="minorEastAsia" w:eastAsiaTheme="minorEastAsia"/>
                <w:color w:val="000000"/>
                <w:kern w:val="0"/>
                <w:sz w:val="24"/>
              </w:rPr>
              <w:t>五、其他</w:t>
            </w: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锁具</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3米链条+防剪锁加粗8mm+锁具</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adjustRightInd/>
              <w:spacing w:line="360" w:lineRule="auto"/>
              <w:ind w:firstLine="0"/>
              <w:jc w:val="center"/>
              <w:textAlignment w:val="auto"/>
              <w:rPr>
                <w:rFonts w:cs="宋体" w:asciiTheme="minorEastAsia" w:hAnsiTheme="minorEastAsia" w:eastAsiaTheme="minorEastAsia"/>
                <w:color w:val="000000"/>
                <w:sz w:val="24"/>
              </w:rPr>
            </w:pPr>
            <w:r>
              <w:rPr>
                <w:rFonts w:asciiTheme="minorEastAsia" w:hAnsiTheme="minorEastAsia" w:eastAsiaTheme="minorEastAsia"/>
                <w:sz w:val="24"/>
                <w:szCs w:val="24"/>
              </w:rPr>
              <w:t>46</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抽屉锁</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A级锁，岗亭衣柜及办公抽屉锁等</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岗亭门锁</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B级锁即可</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120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岗亭玻璃</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更换岗亭玻璃</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m2</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271</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岗亭灯管</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更换岗亭日光灯管</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根</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岗亭（空调加氟利昂）</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老旧空调加氟利昂</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次</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180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7</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岗亭（空调遥控器）</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适配岗亭空调</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只</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8</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岗亭空调</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（≥1.5P，适用面积9-18平方米，尺寸≥285*770*223cm）</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台</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2400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6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9</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岗亭内的扫把、拖把、水桶、垃圾畚斗、抹布</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满足岗亭日常清洁需求</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件</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10</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岗亭玻璃(曲面)</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更换岗亭玻璃</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m2</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294</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11</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岗亭（空调铜管）</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更换岗亭空调铜管</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12</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岗亭（空调插座）</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更换岗亭空调插座</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25</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13</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岗亭（空调清洗，漏水）</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岗亭空调清洗，漏水修复</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处</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14</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岗亭清洗</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对岗亭进行整体清洗</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501</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15</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PVC管6分</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6.5</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16</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32PE管</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17</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60PE管2寸</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15</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18</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50PE管1.5寸</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11</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19</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75PE管2.5寸</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20</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110PE管</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34</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21</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镀锌扁铁</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49</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22</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镀锌管</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SC89</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71</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23</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镀锌管</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SC114</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24</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镀锌管接头</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kern w:val="0"/>
                <w:sz w:val="24"/>
              </w:rPr>
              <w:t>匹配SC89镀锌管</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35</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25</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镀锌管接头</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kern w:val="0"/>
                <w:sz w:val="24"/>
              </w:rPr>
              <w:t>匹配SC114镀锌管</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60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26</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顶管DN110</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PE管￠110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220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27</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水泥工井</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带砌口40cm*65cm</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627</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28</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大水泥工井</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带砌口76cm*85cm</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753</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29</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绿化带开挖.恢复</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30cm*50cm</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109</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30</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透水砖面人行道开挖、恢复</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30cm*50cm</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395</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31</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沥青混凝土(板块)过街开挖.恢复</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50cm宽，70cm深，C25砼修复</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199</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32</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水泥混凝土(板块)过街开挖.恢复</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50cm宽，70cm深，C25砼修复</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300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33</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圆形防撞桶</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600mm×800mm，PE，含黄沙（1/3高）</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186</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34</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防撞桶</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90CM*90CM*90CM，新款防撞桶，贴红白反光膜，桶内装入适当沙石，并放置指定位置</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465</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35</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路锥</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71cmpvc，30*30*71cm</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47</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36</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路锥</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H=700mm,底36*36mm</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38</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37</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路锥</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H=500mm，底28*28mm</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15</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38</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路锥连接杆</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∮33.5×2000mm</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21</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39</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荧光轮廓标</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单侧反光、双侧反光14.05*4.05公分</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22</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72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40</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道钉（单面）</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left"/>
              <w:textAlignment w:val="center"/>
              <w:rPr>
                <w:rFonts w:ascii="宋体" w:hAnsi="宋体" w:cs="宋体"/>
                <w:color w:val="000000"/>
                <w:sz w:val="24"/>
              </w:rPr>
            </w:pPr>
            <w:r>
              <w:rPr>
                <w:rFonts w:hint="eastAsia" w:ascii="宋体" w:hAnsi="宋体" w:cs="宋体"/>
                <w:color w:val="000000"/>
                <w:kern w:val="0"/>
                <w:sz w:val="24"/>
              </w:rPr>
              <w:t xml:space="preserve"> 采用GB/T24725-2009《突起路标》中A1类突起路标的性能要求。</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只</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72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41</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道钉（双面）</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left"/>
              <w:textAlignment w:val="center"/>
              <w:rPr>
                <w:rFonts w:ascii="宋体" w:hAnsi="宋体" w:cs="宋体"/>
                <w:color w:val="000000"/>
                <w:sz w:val="24"/>
              </w:rPr>
            </w:pPr>
            <w:r>
              <w:rPr>
                <w:rFonts w:hint="eastAsia" w:ascii="宋体" w:hAnsi="宋体" w:cs="宋体"/>
                <w:color w:val="000000"/>
                <w:kern w:val="0"/>
                <w:sz w:val="24"/>
              </w:rPr>
              <w:t>采用GB/T24725-2009《突起路标》对A2类突起路标的性能要求。</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只</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34</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42</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80cmpu磁铁潮汐车道弹性柱</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符合GBT24972-2010弹性交通柱标准</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160</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9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43</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磁铁</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auto"/>
                <w:sz w:val="24"/>
              </w:rPr>
            </w:pPr>
            <w:r>
              <w:rPr>
                <w:rFonts w:hint="eastAsia" w:ascii="宋体" w:hAnsi="宋体" w:cs="宋体"/>
                <w:b w:val="0"/>
                <w:bCs/>
                <w:color w:val="auto"/>
                <w:sz w:val="24"/>
              </w:rPr>
              <w:t>适配磁吸警示柱</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auto"/>
                <w:sz w:val="24"/>
              </w:rPr>
            </w:pPr>
            <w:r>
              <w:rPr>
                <w:rFonts w:hint="eastAsia" w:ascii="宋体" w:hAnsi="宋体" w:cs="宋体"/>
                <w:color w:val="auto"/>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FF0000"/>
                <w:sz w:val="24"/>
              </w:rPr>
            </w:pPr>
            <w:r>
              <w:rPr>
                <w:rFonts w:asciiTheme="minorEastAsia" w:hAnsiTheme="minorEastAsia" w:eastAsiaTheme="minorEastAsia"/>
                <w:sz w:val="24"/>
                <w:szCs w:val="24"/>
              </w:rPr>
              <w:t>54</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FF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44</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橡胶减速带</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380×50mm</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auto"/>
                <w:sz w:val="24"/>
              </w:rPr>
            </w:pPr>
            <w:r>
              <w:rPr>
                <w:rFonts w:hint="eastAsia" w:ascii="宋体" w:hAnsi="宋体" w:cs="宋体"/>
                <w:color w:val="auto"/>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85</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4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45</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铸铁减速带</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350×45mm</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auto"/>
                <w:sz w:val="24"/>
              </w:rPr>
            </w:pPr>
            <w:r>
              <w:rPr>
                <w:rFonts w:hint="eastAsia" w:ascii="宋体" w:hAnsi="宋体" w:cs="宋体"/>
                <w:color w:val="auto"/>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104</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left"/>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46</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Ф80广角镜</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Φ800（镜面PC+铝合金包边，镜背ABS塑料）</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4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auto"/>
                <w:sz w:val="24"/>
              </w:rPr>
            </w:pPr>
            <w:r>
              <w:rPr>
                <w:rFonts w:hint="eastAsia" w:ascii="宋体" w:hAnsi="宋体" w:cs="宋体"/>
                <w:color w:val="auto"/>
                <w:sz w:val="24"/>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FF0000"/>
                <w:sz w:val="24"/>
              </w:rPr>
            </w:pPr>
            <w:r>
              <w:rPr>
                <w:rFonts w:asciiTheme="minorEastAsia" w:hAnsiTheme="minorEastAsia" w:eastAsiaTheme="minorEastAsia"/>
                <w:sz w:val="24"/>
                <w:szCs w:val="24"/>
              </w:rPr>
              <w:t>148</w:t>
            </w:r>
          </w:p>
        </w:tc>
        <w:tc>
          <w:tcPr>
            <w:tcW w:w="32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left"/>
              <w:rPr>
                <w:rFonts w:ascii="宋体" w:hAnsi="宋体" w:cs="宋体"/>
                <w:color w:val="FF0000"/>
                <w:sz w:val="24"/>
              </w:rPr>
            </w:pPr>
          </w:p>
        </w:tc>
      </w:tr>
      <w:tr>
        <w:tblPrEx>
          <w:tblCellMar>
            <w:top w:w="0" w:type="dxa"/>
            <w:left w:w="108" w:type="dxa"/>
            <w:bottom w:w="0" w:type="dxa"/>
            <w:right w:w="108" w:type="dxa"/>
          </w:tblCellMar>
        </w:tblPrEx>
        <w:trPr>
          <w:trHeight w:val="480" w:hRule="atLeast"/>
        </w:trPr>
        <w:tc>
          <w:tcPr>
            <w:tcW w:w="29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47</w:t>
            </w:r>
          </w:p>
        </w:tc>
        <w:tc>
          <w:tcPr>
            <w:tcW w:w="89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Ф100广角镜</w:t>
            </w:r>
          </w:p>
        </w:tc>
        <w:tc>
          <w:tcPr>
            <w:tcW w:w="192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Φ1000（镜面PC+铝合金包边，镜背ABS塑料）</w:t>
            </w:r>
          </w:p>
        </w:tc>
        <w:tc>
          <w:tcPr>
            <w:tcW w:w="61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420"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231</w:t>
            </w:r>
          </w:p>
        </w:tc>
        <w:tc>
          <w:tcPr>
            <w:tcW w:w="32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48</w:t>
            </w:r>
          </w:p>
        </w:tc>
        <w:tc>
          <w:tcPr>
            <w:tcW w:w="89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四联爆闪灯</w:t>
            </w:r>
          </w:p>
        </w:tc>
        <w:tc>
          <w:tcPr>
            <w:tcW w:w="192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双面四片爆闪灯（550mm×150mm太阳能）</w:t>
            </w:r>
          </w:p>
        </w:tc>
        <w:tc>
          <w:tcPr>
            <w:tcW w:w="61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组</w:t>
            </w:r>
          </w:p>
        </w:tc>
        <w:tc>
          <w:tcPr>
            <w:tcW w:w="420"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794</w:t>
            </w:r>
          </w:p>
        </w:tc>
        <w:tc>
          <w:tcPr>
            <w:tcW w:w="32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49</w:t>
            </w:r>
          </w:p>
        </w:tc>
        <w:tc>
          <w:tcPr>
            <w:tcW w:w="89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警戒带</w:t>
            </w:r>
          </w:p>
        </w:tc>
        <w:tc>
          <w:tcPr>
            <w:tcW w:w="192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宽6cm*长100m</w:t>
            </w:r>
          </w:p>
        </w:tc>
        <w:tc>
          <w:tcPr>
            <w:tcW w:w="61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卷</w:t>
            </w:r>
          </w:p>
        </w:tc>
        <w:tc>
          <w:tcPr>
            <w:tcW w:w="420"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w:t>
            </w:r>
          </w:p>
        </w:tc>
        <w:tc>
          <w:tcPr>
            <w:tcW w:w="32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85"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50</w:t>
            </w:r>
          </w:p>
        </w:tc>
        <w:tc>
          <w:tcPr>
            <w:tcW w:w="8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塑胶水马</w:t>
            </w:r>
          </w:p>
        </w:tc>
        <w:tc>
          <w:tcPr>
            <w:tcW w:w="19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1500mm×800mm×480mm，PE</w:t>
            </w:r>
          </w:p>
        </w:tc>
        <w:tc>
          <w:tcPr>
            <w:tcW w:w="619" w:type="pct"/>
            <w:tcBorders>
              <w:top w:val="nil"/>
              <w:left w:val="nil"/>
              <w:bottom w:val="single" w:color="000000" w:sz="8" w:space="0"/>
              <w:right w:val="single" w:color="000000" w:sz="8"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只</w:t>
            </w:r>
          </w:p>
        </w:tc>
        <w:tc>
          <w:tcPr>
            <w:tcW w:w="420"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106</w:t>
            </w:r>
          </w:p>
        </w:tc>
        <w:tc>
          <w:tcPr>
            <w:tcW w:w="32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51</w:t>
            </w:r>
          </w:p>
        </w:tc>
        <w:tc>
          <w:tcPr>
            <w:tcW w:w="89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铁马</w:t>
            </w:r>
          </w:p>
        </w:tc>
        <w:tc>
          <w:tcPr>
            <w:tcW w:w="192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铁质，高0.8米，长1.2米</w:t>
            </w:r>
          </w:p>
        </w:tc>
        <w:tc>
          <w:tcPr>
            <w:tcW w:w="61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p>
        </w:tc>
        <w:tc>
          <w:tcPr>
            <w:tcW w:w="420"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44</w:t>
            </w:r>
          </w:p>
        </w:tc>
        <w:tc>
          <w:tcPr>
            <w:tcW w:w="32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52</w:t>
            </w:r>
          </w:p>
        </w:tc>
        <w:tc>
          <w:tcPr>
            <w:tcW w:w="89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铁马</w:t>
            </w:r>
          </w:p>
        </w:tc>
        <w:tc>
          <w:tcPr>
            <w:tcW w:w="1929"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 xml:space="preserve">304不锈钢，1*1.5m, </w:t>
            </w:r>
          </w:p>
        </w:tc>
        <w:tc>
          <w:tcPr>
            <w:tcW w:w="61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m</w:t>
            </w:r>
          </w:p>
        </w:tc>
        <w:tc>
          <w:tcPr>
            <w:tcW w:w="420"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205</w:t>
            </w:r>
          </w:p>
        </w:tc>
        <w:tc>
          <w:tcPr>
            <w:tcW w:w="32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53</w:t>
            </w:r>
          </w:p>
        </w:tc>
        <w:tc>
          <w:tcPr>
            <w:tcW w:w="89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灯杆后盖</w:t>
            </w:r>
          </w:p>
        </w:tc>
        <w:tc>
          <w:tcPr>
            <w:tcW w:w="1929"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ascii="宋体" w:hAnsi="宋体" w:cs="宋体"/>
                <w:color w:val="000000"/>
                <w:sz w:val="24"/>
              </w:rPr>
            </w:pPr>
          </w:p>
        </w:tc>
        <w:tc>
          <w:tcPr>
            <w:tcW w:w="61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420"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54</w:t>
            </w:r>
          </w:p>
        </w:tc>
        <w:tc>
          <w:tcPr>
            <w:tcW w:w="32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500" w:hRule="atLeast"/>
        </w:trPr>
        <w:tc>
          <w:tcPr>
            <w:tcW w:w="29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54</w:t>
            </w:r>
          </w:p>
        </w:tc>
        <w:tc>
          <w:tcPr>
            <w:tcW w:w="89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人行护栏</w:t>
            </w:r>
          </w:p>
        </w:tc>
        <w:tc>
          <w:tcPr>
            <w:tcW w:w="192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黑色，高100公分或110公分</w:t>
            </w:r>
          </w:p>
        </w:tc>
        <w:tc>
          <w:tcPr>
            <w:tcW w:w="61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420"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132</w:t>
            </w:r>
          </w:p>
        </w:tc>
        <w:tc>
          <w:tcPr>
            <w:tcW w:w="32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55</w:t>
            </w:r>
          </w:p>
        </w:tc>
        <w:tc>
          <w:tcPr>
            <w:tcW w:w="89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路口遮阳棚</w:t>
            </w:r>
          </w:p>
        </w:tc>
        <w:tc>
          <w:tcPr>
            <w:tcW w:w="192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匹配现有类型</w:t>
            </w:r>
          </w:p>
        </w:tc>
        <w:tc>
          <w:tcPr>
            <w:tcW w:w="61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M²</w:t>
            </w:r>
          </w:p>
        </w:tc>
        <w:tc>
          <w:tcPr>
            <w:tcW w:w="420"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81</w:t>
            </w:r>
          </w:p>
        </w:tc>
        <w:tc>
          <w:tcPr>
            <w:tcW w:w="32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56</w:t>
            </w:r>
          </w:p>
        </w:tc>
        <w:tc>
          <w:tcPr>
            <w:tcW w:w="89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工井盖更换</w:t>
            </w:r>
          </w:p>
        </w:tc>
        <w:tc>
          <w:tcPr>
            <w:tcW w:w="192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匹配现有工程</w:t>
            </w:r>
          </w:p>
        </w:tc>
        <w:tc>
          <w:tcPr>
            <w:tcW w:w="61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420"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410</w:t>
            </w:r>
          </w:p>
        </w:tc>
        <w:tc>
          <w:tcPr>
            <w:tcW w:w="32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57</w:t>
            </w:r>
          </w:p>
        </w:tc>
        <w:tc>
          <w:tcPr>
            <w:tcW w:w="89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磁吸警示柱</w:t>
            </w:r>
          </w:p>
        </w:tc>
        <w:tc>
          <w:tcPr>
            <w:tcW w:w="192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∮80×750</w:t>
            </w:r>
          </w:p>
        </w:tc>
        <w:tc>
          <w:tcPr>
            <w:tcW w:w="61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只</w:t>
            </w:r>
          </w:p>
        </w:tc>
        <w:tc>
          <w:tcPr>
            <w:tcW w:w="420"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84</w:t>
            </w:r>
          </w:p>
        </w:tc>
        <w:tc>
          <w:tcPr>
            <w:tcW w:w="32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58</w:t>
            </w:r>
          </w:p>
        </w:tc>
        <w:tc>
          <w:tcPr>
            <w:tcW w:w="89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磁吸式突起路标</w:t>
            </w:r>
          </w:p>
        </w:tc>
        <w:tc>
          <w:tcPr>
            <w:tcW w:w="192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100×100×19</w:t>
            </w:r>
          </w:p>
        </w:tc>
        <w:tc>
          <w:tcPr>
            <w:tcW w:w="61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只</w:t>
            </w:r>
          </w:p>
        </w:tc>
        <w:tc>
          <w:tcPr>
            <w:tcW w:w="420"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31</w:t>
            </w:r>
          </w:p>
        </w:tc>
        <w:tc>
          <w:tcPr>
            <w:tcW w:w="32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59</w:t>
            </w:r>
          </w:p>
        </w:tc>
        <w:tc>
          <w:tcPr>
            <w:tcW w:w="89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示警桩</w:t>
            </w:r>
          </w:p>
        </w:tc>
        <w:tc>
          <w:tcPr>
            <w:tcW w:w="192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∮114×（800+400）</w:t>
            </w:r>
          </w:p>
        </w:tc>
        <w:tc>
          <w:tcPr>
            <w:tcW w:w="61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只</w:t>
            </w:r>
          </w:p>
        </w:tc>
        <w:tc>
          <w:tcPr>
            <w:tcW w:w="420"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119</w:t>
            </w:r>
          </w:p>
        </w:tc>
        <w:tc>
          <w:tcPr>
            <w:tcW w:w="32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9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60</w:t>
            </w:r>
          </w:p>
        </w:tc>
        <w:tc>
          <w:tcPr>
            <w:tcW w:w="89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示警桩</w:t>
            </w:r>
          </w:p>
        </w:tc>
        <w:tc>
          <w:tcPr>
            <w:tcW w:w="192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∮89×（800+400）</w:t>
            </w:r>
          </w:p>
        </w:tc>
        <w:tc>
          <w:tcPr>
            <w:tcW w:w="61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只</w:t>
            </w:r>
          </w:p>
        </w:tc>
        <w:tc>
          <w:tcPr>
            <w:tcW w:w="420"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90</w:t>
            </w:r>
          </w:p>
        </w:tc>
        <w:tc>
          <w:tcPr>
            <w:tcW w:w="32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1092" w:hRule="atLeast"/>
        </w:trPr>
        <w:tc>
          <w:tcPr>
            <w:tcW w:w="29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61</w:t>
            </w:r>
          </w:p>
        </w:tc>
        <w:tc>
          <w:tcPr>
            <w:tcW w:w="895"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右转隔离墩短端头</w:t>
            </w:r>
          </w:p>
        </w:tc>
        <w:tc>
          <w:tcPr>
            <w:tcW w:w="1929"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232*250*190mm</w:t>
            </w:r>
          </w:p>
        </w:tc>
        <w:tc>
          <w:tcPr>
            <w:tcW w:w="619"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个</w:t>
            </w:r>
          </w:p>
        </w:tc>
        <w:tc>
          <w:tcPr>
            <w:tcW w:w="420" w:type="pct"/>
            <w:tcBorders>
              <w:top w:val="single" w:color="000000" w:sz="4" w:space="0"/>
              <w:left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40</w:t>
            </w:r>
          </w:p>
        </w:tc>
        <w:tc>
          <w:tcPr>
            <w:tcW w:w="322"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1092" w:hRule="atLeast"/>
        </w:trPr>
        <w:tc>
          <w:tcPr>
            <w:tcW w:w="29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62</w:t>
            </w:r>
          </w:p>
        </w:tc>
        <w:tc>
          <w:tcPr>
            <w:tcW w:w="895"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右转隔离墩长端头</w:t>
            </w:r>
          </w:p>
        </w:tc>
        <w:tc>
          <w:tcPr>
            <w:tcW w:w="1929"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502*250*200mm</w:t>
            </w:r>
          </w:p>
        </w:tc>
        <w:tc>
          <w:tcPr>
            <w:tcW w:w="619"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个</w:t>
            </w:r>
          </w:p>
        </w:tc>
        <w:tc>
          <w:tcPr>
            <w:tcW w:w="420" w:type="pct"/>
            <w:tcBorders>
              <w:top w:val="single" w:color="000000" w:sz="4" w:space="0"/>
              <w:left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50</w:t>
            </w:r>
          </w:p>
        </w:tc>
        <w:tc>
          <w:tcPr>
            <w:tcW w:w="322"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968" w:hRule="atLeast"/>
        </w:trPr>
        <w:tc>
          <w:tcPr>
            <w:tcW w:w="29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63</w:t>
            </w:r>
          </w:p>
        </w:tc>
        <w:tc>
          <w:tcPr>
            <w:tcW w:w="895" w:type="pct"/>
            <w:tcBorders>
              <w:top w:val="single" w:color="000000" w:sz="4" w:space="0"/>
              <w:left w:val="single" w:color="000000" w:sz="4" w:space="0"/>
              <w:right w:val="single" w:color="000000" w:sz="4" w:space="0"/>
            </w:tcBorders>
            <w:noWrap/>
            <w:vAlign w:val="center"/>
          </w:tcPr>
          <w:p>
            <w:pPr>
              <w:spacing w:line="360" w:lineRule="auto"/>
              <w:jc w:val="center"/>
              <w:rPr>
                <w:rFonts w:ascii="宋体" w:hAnsi="宋体" w:cs="宋体"/>
                <w:color w:val="000000"/>
                <w:kern w:val="0"/>
                <w:sz w:val="24"/>
              </w:rPr>
            </w:pPr>
            <w:r>
              <w:rPr>
                <w:rFonts w:hint="eastAsia" w:ascii="宋体" w:hAnsi="宋体" w:cs="宋体"/>
                <w:color w:val="000000"/>
                <w:kern w:val="0"/>
                <w:sz w:val="24"/>
              </w:rPr>
              <w:t>弹性分道标</w:t>
            </w:r>
          </w:p>
        </w:tc>
        <w:tc>
          <w:tcPr>
            <w:tcW w:w="1929"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详见附件8图纸</w:t>
            </w:r>
          </w:p>
        </w:tc>
        <w:tc>
          <w:tcPr>
            <w:tcW w:w="619"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个</w:t>
            </w:r>
          </w:p>
        </w:tc>
        <w:tc>
          <w:tcPr>
            <w:tcW w:w="420" w:type="pct"/>
            <w:tcBorders>
              <w:top w:val="single" w:color="000000" w:sz="4" w:space="0"/>
              <w:left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50</w:t>
            </w:r>
          </w:p>
        </w:tc>
        <w:tc>
          <w:tcPr>
            <w:tcW w:w="322"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p>
        </w:tc>
      </w:tr>
      <w:tr>
        <w:tblPrEx>
          <w:tblCellMar>
            <w:top w:w="0" w:type="dxa"/>
            <w:left w:w="108" w:type="dxa"/>
            <w:bottom w:w="0" w:type="dxa"/>
            <w:right w:w="108" w:type="dxa"/>
          </w:tblCellMar>
        </w:tblPrEx>
        <w:trPr>
          <w:trHeight w:val="1092" w:hRule="atLeast"/>
        </w:trPr>
        <w:tc>
          <w:tcPr>
            <w:tcW w:w="29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64</w:t>
            </w:r>
          </w:p>
        </w:tc>
        <w:tc>
          <w:tcPr>
            <w:tcW w:w="895"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右转隔离墩主体</w:t>
            </w:r>
          </w:p>
        </w:tc>
        <w:tc>
          <w:tcPr>
            <w:tcW w:w="1929"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238.5*250*190mm</w:t>
            </w:r>
          </w:p>
        </w:tc>
        <w:tc>
          <w:tcPr>
            <w:tcW w:w="619"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个</w:t>
            </w:r>
          </w:p>
        </w:tc>
        <w:tc>
          <w:tcPr>
            <w:tcW w:w="420" w:type="pct"/>
            <w:tcBorders>
              <w:top w:val="single" w:color="000000" w:sz="4" w:space="0"/>
              <w:left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cs="宋体" w:asciiTheme="minorEastAsia" w:hAnsiTheme="minorEastAsia" w:eastAsiaTheme="minorEastAsia"/>
                <w:color w:val="000000"/>
                <w:sz w:val="24"/>
              </w:rPr>
              <w:t>90</w:t>
            </w:r>
          </w:p>
        </w:tc>
        <w:tc>
          <w:tcPr>
            <w:tcW w:w="322"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p>
        </w:tc>
      </w:tr>
      <w:tr>
        <w:tblPrEx>
          <w:tblCellMar>
            <w:top w:w="0" w:type="dxa"/>
            <w:left w:w="108" w:type="dxa"/>
            <w:bottom w:w="0" w:type="dxa"/>
            <w:right w:w="108" w:type="dxa"/>
          </w:tblCellMar>
        </w:tblPrEx>
        <w:trPr>
          <w:trHeight w:val="1092" w:hRule="atLeast"/>
        </w:trPr>
        <w:tc>
          <w:tcPr>
            <w:tcW w:w="29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65</w:t>
            </w:r>
          </w:p>
        </w:tc>
        <w:tc>
          <w:tcPr>
            <w:tcW w:w="895"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一体式弹性交通柱</w:t>
            </w:r>
          </w:p>
        </w:tc>
        <w:tc>
          <w:tcPr>
            <w:tcW w:w="1929"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∮80×750</w:t>
            </w:r>
          </w:p>
        </w:tc>
        <w:tc>
          <w:tcPr>
            <w:tcW w:w="619"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只</w:t>
            </w:r>
          </w:p>
        </w:tc>
        <w:tc>
          <w:tcPr>
            <w:tcW w:w="420" w:type="pct"/>
            <w:tcBorders>
              <w:top w:val="single" w:color="000000" w:sz="4" w:space="0"/>
              <w:left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cs="宋体" w:asciiTheme="minorEastAsia" w:hAnsiTheme="minorEastAsia" w:eastAsiaTheme="minorEastAsia"/>
                <w:color w:val="000000"/>
                <w:sz w:val="24"/>
              </w:rPr>
              <w:t>54</w:t>
            </w:r>
          </w:p>
        </w:tc>
        <w:tc>
          <w:tcPr>
            <w:tcW w:w="322"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p>
        </w:tc>
      </w:tr>
      <w:tr>
        <w:tblPrEx>
          <w:tblCellMar>
            <w:top w:w="0" w:type="dxa"/>
            <w:left w:w="108" w:type="dxa"/>
            <w:bottom w:w="0" w:type="dxa"/>
            <w:right w:w="108" w:type="dxa"/>
          </w:tblCellMar>
        </w:tblPrEx>
        <w:trPr>
          <w:trHeight w:val="1092" w:hRule="atLeast"/>
        </w:trPr>
        <w:tc>
          <w:tcPr>
            <w:tcW w:w="29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65</w:t>
            </w:r>
          </w:p>
        </w:tc>
        <w:tc>
          <w:tcPr>
            <w:tcW w:w="895"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临时车辆</w:t>
            </w:r>
          </w:p>
        </w:tc>
        <w:tc>
          <w:tcPr>
            <w:tcW w:w="1929"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sz w:val="24"/>
              </w:rPr>
              <w:t>采购人临时任务通知所需车辆，按每小时结算</w:t>
            </w:r>
          </w:p>
        </w:tc>
        <w:tc>
          <w:tcPr>
            <w:tcW w:w="619"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辆</w:t>
            </w:r>
          </w:p>
        </w:tc>
        <w:tc>
          <w:tcPr>
            <w:tcW w:w="420" w:type="pct"/>
            <w:tcBorders>
              <w:top w:val="single" w:color="000000" w:sz="4" w:space="0"/>
              <w:left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cs="宋体" w:asciiTheme="minorEastAsia" w:hAnsiTheme="minorEastAsia" w:eastAsiaTheme="minorEastAsia"/>
                <w:color w:val="000000"/>
                <w:sz w:val="24"/>
              </w:rPr>
              <w:t>218</w:t>
            </w:r>
          </w:p>
        </w:tc>
        <w:tc>
          <w:tcPr>
            <w:tcW w:w="322" w:type="pct"/>
            <w:tcBorders>
              <w:top w:val="single" w:color="000000" w:sz="4" w:space="0"/>
              <w:left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720" w:hRule="atLeast"/>
        </w:trPr>
        <w:tc>
          <w:tcPr>
            <w:tcW w:w="299"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66</w:t>
            </w:r>
          </w:p>
        </w:tc>
        <w:tc>
          <w:tcPr>
            <w:tcW w:w="89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临时人员费用</w:t>
            </w:r>
          </w:p>
        </w:tc>
        <w:tc>
          <w:tcPr>
            <w:tcW w:w="192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sz w:val="24"/>
              </w:rPr>
              <w:t>采购人临时任务通知所需人员，按每小时结算</w:t>
            </w:r>
          </w:p>
        </w:tc>
        <w:tc>
          <w:tcPr>
            <w:tcW w:w="61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人</w:t>
            </w:r>
          </w:p>
        </w:tc>
        <w:tc>
          <w:tcPr>
            <w:tcW w:w="420"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51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cs="宋体" w:asciiTheme="minorEastAsia" w:hAnsiTheme="minorEastAsia" w:eastAsiaTheme="minorEastAsia"/>
                <w:color w:val="000000"/>
                <w:sz w:val="24"/>
              </w:rPr>
              <w:t>35</w:t>
            </w:r>
          </w:p>
        </w:tc>
        <w:tc>
          <w:tcPr>
            <w:tcW w:w="32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bl>
    <w:p>
      <w:pPr>
        <w:spacing w:line="360" w:lineRule="auto"/>
        <w:rPr>
          <w:rFonts w:ascii="宋体" w:hAnsi="宋体" w:cs="宋体"/>
          <w:sz w:val="24"/>
        </w:rPr>
      </w:pPr>
      <w:r>
        <w:rPr>
          <w:rFonts w:hint="eastAsia" w:ascii="宋体" w:hAnsi="宋体" w:cs="宋体"/>
          <w:sz w:val="24"/>
        </w:rPr>
        <w:t>7.备用备件要求</w:t>
      </w:r>
    </w:p>
    <w:p>
      <w:pPr>
        <w:spacing w:line="360" w:lineRule="auto"/>
        <w:ind w:firstLine="480" w:firstLineChars="200"/>
        <w:jc w:val="left"/>
        <w:rPr>
          <w:rFonts w:ascii="宋体" w:hAnsi="宋体" w:cs="宋体"/>
          <w:sz w:val="24"/>
        </w:rPr>
      </w:pPr>
      <w:r>
        <w:rPr>
          <w:rFonts w:hint="eastAsia" w:ascii="宋体" w:hAnsi="宋体" w:cs="宋体"/>
          <w:sz w:val="24"/>
        </w:rPr>
        <w:t>1、根据设施建设的实际情况，投标人需有备品备件库，用于存放备品备件，确保如遇设备故障4小时内无法处理，须在6小时内提供必要的备品备件，确保设施建设正常运行。</w:t>
      </w:r>
    </w:p>
    <w:p>
      <w:pPr>
        <w:pStyle w:val="40"/>
        <w:widowControl w:val="0"/>
        <w:tabs>
          <w:tab w:val="left" w:pos="420"/>
        </w:tabs>
        <w:spacing w:line="360" w:lineRule="auto"/>
        <w:ind w:firstLine="480" w:firstLineChars="200"/>
        <w:jc w:val="both"/>
        <w:outlineLvl w:val="1"/>
        <w:rPr>
          <w:rFonts w:ascii="宋体" w:hAnsi="宋体" w:eastAsia="宋体" w:cs="宋体"/>
          <w:snapToGrid w:val="0"/>
          <w:sz w:val="24"/>
          <w:szCs w:val="24"/>
        </w:rPr>
      </w:pPr>
      <w:r>
        <w:rPr>
          <w:rFonts w:hint="eastAsia" w:ascii="宋体" w:hAnsi="宋体" w:eastAsia="宋体" w:cs="宋体"/>
          <w:snapToGrid w:val="0"/>
          <w:sz w:val="24"/>
          <w:szCs w:val="24"/>
        </w:rPr>
        <w:t>2、备品备件明细表</w:t>
      </w:r>
    </w:p>
    <w:tbl>
      <w:tblPr>
        <w:tblStyle w:val="20"/>
        <w:tblpPr w:leftFromText="180" w:rightFromText="180" w:vertAnchor="text" w:horzAnchor="page" w:tblpX="1477" w:tblpY="100"/>
        <w:tblOverlap w:val="never"/>
        <w:tblW w:w="93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938"/>
        <w:gridCol w:w="2846"/>
        <w:gridCol w:w="1276"/>
        <w:gridCol w:w="1262"/>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序号</w:t>
            </w:r>
          </w:p>
        </w:tc>
        <w:tc>
          <w:tcPr>
            <w:tcW w:w="1938"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名称</w:t>
            </w:r>
          </w:p>
        </w:tc>
        <w:tc>
          <w:tcPr>
            <w:tcW w:w="2846"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color w:val="000000"/>
                <w:sz w:val="24"/>
                <w:szCs w:val="24"/>
              </w:rPr>
              <w:t>规格要求</w:t>
            </w:r>
          </w:p>
        </w:tc>
        <w:tc>
          <w:tcPr>
            <w:tcW w:w="1276"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单位</w:t>
            </w:r>
          </w:p>
        </w:tc>
        <w:tc>
          <w:tcPr>
            <w:tcW w:w="1262"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数量</w:t>
            </w:r>
          </w:p>
        </w:tc>
        <w:tc>
          <w:tcPr>
            <w:tcW w:w="1350"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1</w:t>
            </w:r>
          </w:p>
        </w:tc>
        <w:tc>
          <w:tcPr>
            <w:tcW w:w="1938"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color w:val="000000"/>
                <w:sz w:val="24"/>
                <w:szCs w:val="24"/>
              </w:rPr>
              <w:t>道路标志牌圆形（单位：cm）Φ80</w:t>
            </w:r>
          </w:p>
        </w:tc>
        <w:tc>
          <w:tcPr>
            <w:tcW w:w="2846"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color w:val="000000"/>
                <w:sz w:val="24"/>
                <w:szCs w:val="24"/>
              </w:rPr>
              <w:t>标志膜采用第IV类反光膜,并安装于指定位置，采用2.0mm厚度铝合金板。</w:t>
            </w:r>
          </w:p>
        </w:tc>
        <w:tc>
          <w:tcPr>
            <w:tcW w:w="1276"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块</w:t>
            </w:r>
          </w:p>
        </w:tc>
        <w:tc>
          <w:tcPr>
            <w:tcW w:w="1262"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30</w:t>
            </w:r>
          </w:p>
        </w:tc>
        <w:tc>
          <w:tcPr>
            <w:tcW w:w="1350"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2</w:t>
            </w:r>
          </w:p>
        </w:tc>
        <w:tc>
          <w:tcPr>
            <w:tcW w:w="1938" w:type="dxa"/>
            <w:noWrap/>
            <w:vAlign w:val="center"/>
          </w:tcPr>
          <w:p>
            <w:pPr>
              <w:spacing w:line="360" w:lineRule="auto"/>
              <w:jc w:val="center"/>
              <w:outlineLvl w:val="1"/>
              <w:rPr>
                <w:rFonts w:ascii="宋体" w:hAnsi="宋体" w:cs="宋体"/>
                <w:snapToGrid w:val="0"/>
                <w:sz w:val="24"/>
              </w:rPr>
            </w:pPr>
            <w:r>
              <w:rPr>
                <w:rFonts w:hint="eastAsia" w:ascii="宋体" w:hAnsi="宋体" w:cs="宋体"/>
                <w:color w:val="000000"/>
                <w:kern w:val="0"/>
                <w:sz w:val="24"/>
              </w:rPr>
              <w:t>道路标志牌圆形（单位：cm）Φ100</w:t>
            </w:r>
          </w:p>
        </w:tc>
        <w:tc>
          <w:tcPr>
            <w:tcW w:w="2846"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color w:val="000000"/>
                <w:sz w:val="24"/>
                <w:szCs w:val="24"/>
              </w:rPr>
              <w:t>标志膜采用第IV类反光膜,并安装于指定位置，采用2.0mm厚度铝合金板。</w:t>
            </w:r>
          </w:p>
        </w:tc>
        <w:tc>
          <w:tcPr>
            <w:tcW w:w="1276"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块</w:t>
            </w:r>
          </w:p>
        </w:tc>
        <w:tc>
          <w:tcPr>
            <w:tcW w:w="1262"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20</w:t>
            </w:r>
          </w:p>
        </w:tc>
        <w:tc>
          <w:tcPr>
            <w:tcW w:w="1350"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3</w:t>
            </w:r>
          </w:p>
        </w:tc>
        <w:tc>
          <w:tcPr>
            <w:tcW w:w="1938" w:type="dxa"/>
            <w:noWrap/>
            <w:vAlign w:val="center"/>
          </w:tcPr>
          <w:p>
            <w:pPr>
              <w:spacing w:line="360" w:lineRule="auto"/>
              <w:jc w:val="center"/>
              <w:outlineLvl w:val="1"/>
              <w:rPr>
                <w:rFonts w:ascii="宋体" w:hAnsi="宋体" w:cs="宋体"/>
                <w:snapToGrid w:val="0"/>
                <w:sz w:val="24"/>
              </w:rPr>
            </w:pPr>
            <w:r>
              <w:rPr>
                <w:rFonts w:hint="eastAsia" w:ascii="宋体" w:hAnsi="宋体" w:cs="宋体"/>
                <w:color w:val="000000"/>
                <w:kern w:val="0"/>
                <w:sz w:val="24"/>
              </w:rPr>
              <w:t>道路标志牌1.2至3m²</w:t>
            </w:r>
          </w:p>
        </w:tc>
        <w:tc>
          <w:tcPr>
            <w:tcW w:w="2846"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color w:val="000000"/>
                <w:sz w:val="24"/>
                <w:szCs w:val="24"/>
              </w:rPr>
              <w:t>标志膜采用第IV类反光膜,并安装于指定位置，采用3.0mm厚度铝合金板。</w:t>
            </w:r>
          </w:p>
        </w:tc>
        <w:tc>
          <w:tcPr>
            <w:tcW w:w="1276"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块</w:t>
            </w:r>
          </w:p>
        </w:tc>
        <w:tc>
          <w:tcPr>
            <w:tcW w:w="1262"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20</w:t>
            </w:r>
          </w:p>
        </w:tc>
        <w:tc>
          <w:tcPr>
            <w:tcW w:w="1350"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4</w:t>
            </w:r>
          </w:p>
        </w:tc>
        <w:tc>
          <w:tcPr>
            <w:tcW w:w="1938" w:type="dxa"/>
            <w:noWrap/>
            <w:vAlign w:val="center"/>
          </w:tcPr>
          <w:p>
            <w:pPr>
              <w:spacing w:line="360" w:lineRule="auto"/>
              <w:jc w:val="center"/>
              <w:outlineLvl w:val="1"/>
              <w:rPr>
                <w:rFonts w:ascii="宋体" w:hAnsi="宋体" w:cs="宋体"/>
                <w:color w:val="000000"/>
                <w:kern w:val="0"/>
                <w:sz w:val="24"/>
              </w:rPr>
            </w:pPr>
            <w:r>
              <w:rPr>
                <w:rFonts w:hint="eastAsia" w:ascii="宋体" w:hAnsi="宋体" w:cs="宋体"/>
                <w:color w:val="000000"/>
                <w:kern w:val="0"/>
                <w:sz w:val="24"/>
              </w:rPr>
              <w:t>道路标志牌1.2至3m²</w:t>
            </w:r>
          </w:p>
        </w:tc>
        <w:tc>
          <w:tcPr>
            <w:tcW w:w="2846" w:type="dxa"/>
            <w:noWrap/>
            <w:vAlign w:val="center"/>
          </w:tcPr>
          <w:p>
            <w:pPr>
              <w:pStyle w:val="40"/>
              <w:widowControl w:val="0"/>
              <w:tabs>
                <w:tab w:val="left" w:pos="420"/>
              </w:tabs>
              <w:spacing w:line="360" w:lineRule="auto"/>
              <w:jc w:val="center"/>
              <w:outlineLvl w:val="1"/>
              <w:rPr>
                <w:rFonts w:ascii="宋体" w:hAnsi="宋体" w:eastAsia="宋体" w:cs="宋体"/>
                <w:color w:val="000000"/>
                <w:sz w:val="24"/>
                <w:szCs w:val="24"/>
              </w:rPr>
            </w:pPr>
            <w:r>
              <w:rPr>
                <w:rFonts w:hint="eastAsia" w:ascii="宋体" w:hAnsi="宋体" w:eastAsia="宋体" w:cs="宋体"/>
                <w:color w:val="000000"/>
                <w:sz w:val="24"/>
                <w:szCs w:val="24"/>
              </w:rPr>
              <w:t>标志膜采用第V类反光膜,并安装于指定位置，采用3.0mm厚度铝合金板。</w:t>
            </w:r>
          </w:p>
        </w:tc>
        <w:tc>
          <w:tcPr>
            <w:tcW w:w="1276"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块</w:t>
            </w:r>
          </w:p>
        </w:tc>
        <w:tc>
          <w:tcPr>
            <w:tcW w:w="1262"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10</w:t>
            </w:r>
          </w:p>
        </w:tc>
        <w:tc>
          <w:tcPr>
            <w:tcW w:w="1350"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5</w:t>
            </w:r>
          </w:p>
        </w:tc>
        <w:tc>
          <w:tcPr>
            <w:tcW w:w="1938" w:type="dxa"/>
            <w:noWrap/>
            <w:vAlign w:val="center"/>
          </w:tcPr>
          <w:p>
            <w:pPr>
              <w:spacing w:line="360" w:lineRule="auto"/>
              <w:jc w:val="center"/>
              <w:outlineLvl w:val="1"/>
              <w:rPr>
                <w:rFonts w:ascii="宋体" w:hAnsi="宋体" w:cs="宋体"/>
                <w:color w:val="000000"/>
                <w:kern w:val="0"/>
                <w:sz w:val="24"/>
              </w:rPr>
            </w:pPr>
            <w:r>
              <w:rPr>
                <w:rFonts w:hint="eastAsia" w:ascii="宋体" w:hAnsi="宋体" w:cs="宋体"/>
                <w:color w:val="000000"/>
                <w:kern w:val="0"/>
                <w:sz w:val="24"/>
              </w:rPr>
              <w:t>钢支架</w:t>
            </w:r>
          </w:p>
        </w:tc>
        <w:tc>
          <w:tcPr>
            <w:tcW w:w="2846" w:type="dxa"/>
            <w:noWrap/>
            <w:vAlign w:val="center"/>
          </w:tcPr>
          <w:p>
            <w:pPr>
              <w:pStyle w:val="40"/>
              <w:widowControl w:val="0"/>
              <w:tabs>
                <w:tab w:val="left" w:pos="420"/>
              </w:tabs>
              <w:spacing w:line="360" w:lineRule="auto"/>
              <w:jc w:val="center"/>
              <w:outlineLvl w:val="1"/>
              <w:rPr>
                <w:rFonts w:ascii="宋体" w:hAnsi="宋体" w:eastAsia="宋体" w:cs="宋体"/>
                <w:color w:val="000000"/>
                <w:sz w:val="24"/>
                <w:szCs w:val="24"/>
              </w:rPr>
            </w:pPr>
            <w:r>
              <w:rPr>
                <w:rFonts w:hint="eastAsia" w:ascii="宋体" w:hAnsi="宋体" w:eastAsia="宋体" w:cs="宋体"/>
                <w:color w:val="000000"/>
                <w:sz w:val="24"/>
                <w:szCs w:val="24"/>
              </w:rPr>
              <w:t>钢制活动支架，用以直接设置在路上，并安装于指定位置</w:t>
            </w:r>
          </w:p>
        </w:tc>
        <w:tc>
          <w:tcPr>
            <w:tcW w:w="1276"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color w:val="000000"/>
                <w:sz w:val="24"/>
                <w:szCs w:val="24"/>
              </w:rPr>
              <w:t>t</w:t>
            </w:r>
          </w:p>
        </w:tc>
        <w:tc>
          <w:tcPr>
            <w:tcW w:w="1262"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0.2</w:t>
            </w:r>
          </w:p>
        </w:tc>
        <w:tc>
          <w:tcPr>
            <w:tcW w:w="1350"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6</w:t>
            </w:r>
          </w:p>
        </w:tc>
        <w:tc>
          <w:tcPr>
            <w:tcW w:w="1938" w:type="dxa"/>
            <w:noWrap/>
            <w:vAlign w:val="center"/>
          </w:tcPr>
          <w:p>
            <w:pPr>
              <w:spacing w:line="360" w:lineRule="auto"/>
              <w:jc w:val="center"/>
              <w:outlineLvl w:val="1"/>
              <w:rPr>
                <w:rFonts w:ascii="宋体" w:hAnsi="宋体" w:cs="宋体"/>
                <w:color w:val="000000"/>
                <w:kern w:val="0"/>
                <w:sz w:val="24"/>
              </w:rPr>
            </w:pPr>
            <w:r>
              <w:rPr>
                <w:rFonts w:hint="eastAsia" w:ascii="宋体" w:hAnsi="宋体" w:cs="宋体"/>
                <w:color w:val="000000"/>
                <w:kern w:val="0"/>
                <w:sz w:val="24"/>
              </w:rPr>
              <w:t>Ф114H1米反光柱</w:t>
            </w:r>
          </w:p>
        </w:tc>
        <w:tc>
          <w:tcPr>
            <w:tcW w:w="2846" w:type="dxa"/>
            <w:noWrap/>
            <w:vAlign w:val="center"/>
          </w:tcPr>
          <w:p>
            <w:pPr>
              <w:pStyle w:val="40"/>
              <w:widowControl w:val="0"/>
              <w:tabs>
                <w:tab w:val="left" w:pos="420"/>
              </w:tabs>
              <w:spacing w:line="360" w:lineRule="auto"/>
              <w:jc w:val="center"/>
              <w:outlineLvl w:val="1"/>
              <w:rPr>
                <w:rFonts w:ascii="宋体" w:hAnsi="宋体" w:eastAsia="宋体" w:cs="宋体"/>
                <w:color w:val="000000"/>
                <w:sz w:val="24"/>
                <w:szCs w:val="24"/>
              </w:rPr>
            </w:pPr>
          </w:p>
        </w:tc>
        <w:tc>
          <w:tcPr>
            <w:tcW w:w="1276" w:type="dxa"/>
            <w:noWrap/>
            <w:vAlign w:val="center"/>
          </w:tcPr>
          <w:p>
            <w:pPr>
              <w:pStyle w:val="40"/>
              <w:widowControl w:val="0"/>
              <w:tabs>
                <w:tab w:val="left" w:pos="420"/>
              </w:tabs>
              <w:spacing w:line="360" w:lineRule="auto"/>
              <w:jc w:val="center"/>
              <w:outlineLvl w:val="1"/>
              <w:rPr>
                <w:rFonts w:ascii="宋体" w:hAnsi="宋体" w:eastAsia="宋体" w:cs="宋体"/>
                <w:color w:val="000000"/>
                <w:sz w:val="24"/>
                <w:szCs w:val="24"/>
              </w:rPr>
            </w:pPr>
            <w:r>
              <w:rPr>
                <w:rFonts w:hint="eastAsia" w:ascii="宋体" w:hAnsi="宋体" w:eastAsia="宋体" w:cs="宋体"/>
                <w:color w:val="000000"/>
                <w:sz w:val="24"/>
                <w:szCs w:val="24"/>
              </w:rPr>
              <w:t>条</w:t>
            </w:r>
          </w:p>
        </w:tc>
        <w:tc>
          <w:tcPr>
            <w:tcW w:w="1262"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30</w:t>
            </w:r>
          </w:p>
        </w:tc>
        <w:tc>
          <w:tcPr>
            <w:tcW w:w="1350"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7</w:t>
            </w:r>
          </w:p>
        </w:tc>
        <w:tc>
          <w:tcPr>
            <w:tcW w:w="1938" w:type="dxa"/>
            <w:noWrap/>
            <w:vAlign w:val="center"/>
          </w:tcPr>
          <w:p>
            <w:pPr>
              <w:spacing w:line="360" w:lineRule="auto"/>
              <w:jc w:val="center"/>
              <w:outlineLvl w:val="1"/>
              <w:rPr>
                <w:rFonts w:ascii="宋体" w:hAnsi="宋体" w:cs="宋体"/>
                <w:color w:val="000000"/>
                <w:kern w:val="0"/>
                <w:sz w:val="24"/>
              </w:rPr>
            </w:pPr>
            <w:r>
              <w:rPr>
                <w:rFonts w:hint="eastAsia" w:ascii="宋体" w:hAnsi="宋体" w:cs="宋体"/>
                <w:color w:val="000000"/>
                <w:kern w:val="0"/>
                <w:sz w:val="24"/>
              </w:rPr>
              <w:t>Ф114H3.5米立杆</w:t>
            </w:r>
          </w:p>
        </w:tc>
        <w:tc>
          <w:tcPr>
            <w:tcW w:w="2846" w:type="dxa"/>
            <w:noWrap/>
            <w:vAlign w:val="center"/>
          </w:tcPr>
          <w:p>
            <w:pPr>
              <w:pStyle w:val="40"/>
              <w:widowControl w:val="0"/>
              <w:tabs>
                <w:tab w:val="left" w:pos="420"/>
              </w:tabs>
              <w:spacing w:line="360" w:lineRule="auto"/>
              <w:jc w:val="center"/>
              <w:outlineLvl w:val="1"/>
              <w:rPr>
                <w:rFonts w:ascii="宋体" w:hAnsi="宋体" w:eastAsia="宋体" w:cs="宋体"/>
                <w:color w:val="000000"/>
                <w:sz w:val="24"/>
                <w:szCs w:val="24"/>
              </w:rPr>
            </w:pPr>
          </w:p>
        </w:tc>
        <w:tc>
          <w:tcPr>
            <w:tcW w:w="1276" w:type="dxa"/>
            <w:noWrap/>
            <w:vAlign w:val="center"/>
          </w:tcPr>
          <w:p>
            <w:pPr>
              <w:pStyle w:val="40"/>
              <w:widowControl w:val="0"/>
              <w:tabs>
                <w:tab w:val="left" w:pos="420"/>
              </w:tabs>
              <w:spacing w:line="360" w:lineRule="auto"/>
              <w:jc w:val="center"/>
              <w:outlineLvl w:val="1"/>
              <w:rPr>
                <w:rFonts w:ascii="宋体" w:hAnsi="宋体" w:eastAsia="宋体" w:cs="宋体"/>
                <w:color w:val="000000"/>
                <w:sz w:val="24"/>
                <w:szCs w:val="24"/>
              </w:rPr>
            </w:pPr>
            <w:r>
              <w:rPr>
                <w:rFonts w:hint="eastAsia" w:ascii="宋体" w:hAnsi="宋体" w:eastAsia="宋体" w:cs="宋体"/>
                <w:color w:val="000000"/>
                <w:sz w:val="24"/>
                <w:szCs w:val="24"/>
              </w:rPr>
              <w:t>条</w:t>
            </w:r>
          </w:p>
        </w:tc>
        <w:tc>
          <w:tcPr>
            <w:tcW w:w="1262"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15</w:t>
            </w:r>
          </w:p>
        </w:tc>
        <w:tc>
          <w:tcPr>
            <w:tcW w:w="1350"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8</w:t>
            </w:r>
          </w:p>
        </w:tc>
        <w:tc>
          <w:tcPr>
            <w:tcW w:w="1938" w:type="dxa"/>
            <w:noWrap/>
            <w:vAlign w:val="center"/>
          </w:tcPr>
          <w:p>
            <w:pPr>
              <w:spacing w:line="360" w:lineRule="auto"/>
              <w:jc w:val="center"/>
              <w:outlineLvl w:val="1"/>
              <w:rPr>
                <w:rFonts w:ascii="宋体" w:hAnsi="宋体" w:cs="宋体"/>
                <w:color w:val="000000"/>
                <w:kern w:val="0"/>
                <w:sz w:val="24"/>
              </w:rPr>
            </w:pPr>
            <w:r>
              <w:rPr>
                <w:rFonts w:hint="eastAsia" w:ascii="宋体" w:hAnsi="宋体" w:cs="宋体"/>
                <w:color w:val="000000"/>
                <w:kern w:val="0"/>
                <w:sz w:val="24"/>
              </w:rPr>
              <w:t>Ф114H4.5米立杆</w:t>
            </w:r>
          </w:p>
        </w:tc>
        <w:tc>
          <w:tcPr>
            <w:tcW w:w="2846" w:type="dxa"/>
            <w:noWrap/>
            <w:vAlign w:val="center"/>
          </w:tcPr>
          <w:p>
            <w:pPr>
              <w:pStyle w:val="40"/>
              <w:widowControl w:val="0"/>
              <w:tabs>
                <w:tab w:val="left" w:pos="420"/>
              </w:tabs>
              <w:spacing w:line="360" w:lineRule="auto"/>
              <w:jc w:val="center"/>
              <w:outlineLvl w:val="1"/>
              <w:rPr>
                <w:rFonts w:ascii="宋体" w:hAnsi="宋体" w:eastAsia="宋体" w:cs="宋体"/>
                <w:color w:val="000000"/>
                <w:sz w:val="24"/>
                <w:szCs w:val="24"/>
              </w:rPr>
            </w:pPr>
          </w:p>
        </w:tc>
        <w:tc>
          <w:tcPr>
            <w:tcW w:w="1276" w:type="dxa"/>
            <w:noWrap/>
            <w:vAlign w:val="center"/>
          </w:tcPr>
          <w:p>
            <w:pPr>
              <w:pStyle w:val="40"/>
              <w:widowControl w:val="0"/>
              <w:tabs>
                <w:tab w:val="left" w:pos="420"/>
              </w:tabs>
              <w:spacing w:line="360" w:lineRule="auto"/>
              <w:jc w:val="center"/>
              <w:outlineLvl w:val="1"/>
              <w:rPr>
                <w:rFonts w:ascii="宋体" w:hAnsi="宋体" w:eastAsia="宋体" w:cs="宋体"/>
                <w:color w:val="000000"/>
                <w:sz w:val="24"/>
                <w:szCs w:val="24"/>
              </w:rPr>
            </w:pPr>
            <w:r>
              <w:rPr>
                <w:rFonts w:hint="eastAsia" w:ascii="宋体" w:hAnsi="宋体" w:eastAsia="宋体" w:cs="宋体"/>
                <w:color w:val="000000"/>
                <w:sz w:val="24"/>
                <w:szCs w:val="24"/>
              </w:rPr>
              <w:t>条</w:t>
            </w:r>
          </w:p>
        </w:tc>
        <w:tc>
          <w:tcPr>
            <w:tcW w:w="1262"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20</w:t>
            </w:r>
          </w:p>
        </w:tc>
        <w:tc>
          <w:tcPr>
            <w:tcW w:w="1350"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9</w:t>
            </w:r>
          </w:p>
        </w:tc>
        <w:tc>
          <w:tcPr>
            <w:tcW w:w="1938" w:type="dxa"/>
            <w:noWrap/>
            <w:vAlign w:val="center"/>
          </w:tcPr>
          <w:p>
            <w:pPr>
              <w:spacing w:line="360" w:lineRule="auto"/>
              <w:jc w:val="center"/>
              <w:outlineLvl w:val="1"/>
              <w:rPr>
                <w:rFonts w:ascii="宋体" w:hAnsi="宋体" w:cs="宋体"/>
                <w:color w:val="000000"/>
                <w:kern w:val="0"/>
                <w:sz w:val="24"/>
              </w:rPr>
            </w:pPr>
            <w:r>
              <w:rPr>
                <w:rFonts w:hint="eastAsia" w:ascii="宋体" w:hAnsi="宋体" w:cs="宋体"/>
                <w:color w:val="000000"/>
                <w:kern w:val="0"/>
                <w:sz w:val="24"/>
              </w:rPr>
              <w:t>Ф114H3.3米带底盘立杆</w:t>
            </w:r>
          </w:p>
        </w:tc>
        <w:tc>
          <w:tcPr>
            <w:tcW w:w="2846" w:type="dxa"/>
            <w:noWrap/>
            <w:vAlign w:val="center"/>
          </w:tcPr>
          <w:p>
            <w:pPr>
              <w:pStyle w:val="40"/>
              <w:widowControl w:val="0"/>
              <w:tabs>
                <w:tab w:val="left" w:pos="420"/>
              </w:tabs>
              <w:spacing w:line="360" w:lineRule="auto"/>
              <w:jc w:val="center"/>
              <w:outlineLvl w:val="1"/>
              <w:rPr>
                <w:rFonts w:ascii="宋体" w:hAnsi="宋体" w:eastAsia="宋体" w:cs="宋体"/>
                <w:color w:val="000000"/>
                <w:sz w:val="24"/>
                <w:szCs w:val="24"/>
              </w:rPr>
            </w:pPr>
          </w:p>
        </w:tc>
        <w:tc>
          <w:tcPr>
            <w:tcW w:w="1276" w:type="dxa"/>
            <w:noWrap/>
            <w:vAlign w:val="center"/>
          </w:tcPr>
          <w:p>
            <w:pPr>
              <w:pStyle w:val="40"/>
              <w:widowControl w:val="0"/>
              <w:tabs>
                <w:tab w:val="left" w:pos="420"/>
              </w:tabs>
              <w:spacing w:line="360" w:lineRule="auto"/>
              <w:jc w:val="center"/>
              <w:outlineLvl w:val="1"/>
              <w:rPr>
                <w:rFonts w:ascii="宋体" w:hAnsi="宋体" w:eastAsia="宋体" w:cs="宋体"/>
                <w:color w:val="000000"/>
                <w:sz w:val="24"/>
                <w:szCs w:val="24"/>
              </w:rPr>
            </w:pPr>
            <w:r>
              <w:rPr>
                <w:rFonts w:hint="eastAsia" w:ascii="宋体" w:hAnsi="宋体" w:eastAsia="宋体" w:cs="宋体"/>
                <w:color w:val="000000"/>
                <w:sz w:val="24"/>
                <w:szCs w:val="24"/>
              </w:rPr>
              <w:t>条</w:t>
            </w:r>
          </w:p>
        </w:tc>
        <w:tc>
          <w:tcPr>
            <w:tcW w:w="1262"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10</w:t>
            </w:r>
          </w:p>
        </w:tc>
        <w:tc>
          <w:tcPr>
            <w:tcW w:w="1350"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10</w:t>
            </w:r>
          </w:p>
        </w:tc>
        <w:tc>
          <w:tcPr>
            <w:tcW w:w="1938" w:type="dxa"/>
            <w:noWrap/>
            <w:vAlign w:val="center"/>
          </w:tcPr>
          <w:p>
            <w:pPr>
              <w:spacing w:line="360" w:lineRule="auto"/>
              <w:jc w:val="center"/>
              <w:outlineLvl w:val="1"/>
              <w:rPr>
                <w:rFonts w:ascii="宋体" w:hAnsi="宋体" w:cs="宋体"/>
                <w:color w:val="000000"/>
                <w:kern w:val="0"/>
                <w:sz w:val="24"/>
              </w:rPr>
            </w:pPr>
            <w:r>
              <w:rPr>
                <w:rFonts w:hint="eastAsia" w:ascii="宋体" w:hAnsi="宋体" w:cs="宋体"/>
                <w:color w:val="000000"/>
                <w:kern w:val="0"/>
                <w:sz w:val="24"/>
              </w:rPr>
              <w:t>6.8*7米悬臂八棱杆</w:t>
            </w:r>
          </w:p>
        </w:tc>
        <w:tc>
          <w:tcPr>
            <w:tcW w:w="2846" w:type="dxa"/>
            <w:noWrap/>
            <w:vAlign w:val="center"/>
          </w:tcPr>
          <w:p>
            <w:pPr>
              <w:pStyle w:val="40"/>
              <w:widowControl w:val="0"/>
              <w:tabs>
                <w:tab w:val="left" w:pos="420"/>
              </w:tabs>
              <w:spacing w:line="360" w:lineRule="auto"/>
              <w:jc w:val="center"/>
              <w:outlineLvl w:val="1"/>
              <w:rPr>
                <w:rFonts w:ascii="宋体" w:hAnsi="宋体" w:eastAsia="宋体" w:cs="宋体"/>
                <w:color w:val="000000"/>
                <w:sz w:val="24"/>
                <w:szCs w:val="24"/>
              </w:rPr>
            </w:pPr>
          </w:p>
        </w:tc>
        <w:tc>
          <w:tcPr>
            <w:tcW w:w="1276" w:type="dxa"/>
            <w:noWrap/>
            <w:vAlign w:val="center"/>
          </w:tcPr>
          <w:p>
            <w:pPr>
              <w:pStyle w:val="40"/>
              <w:widowControl w:val="0"/>
              <w:tabs>
                <w:tab w:val="left" w:pos="420"/>
              </w:tabs>
              <w:spacing w:line="360" w:lineRule="auto"/>
              <w:jc w:val="center"/>
              <w:outlineLvl w:val="1"/>
              <w:rPr>
                <w:rFonts w:ascii="宋体" w:hAnsi="宋体" w:eastAsia="宋体" w:cs="宋体"/>
                <w:color w:val="000000"/>
                <w:sz w:val="24"/>
                <w:szCs w:val="24"/>
              </w:rPr>
            </w:pPr>
            <w:r>
              <w:rPr>
                <w:rFonts w:hint="eastAsia" w:ascii="宋体" w:hAnsi="宋体" w:eastAsia="宋体" w:cs="宋体"/>
                <w:color w:val="000000"/>
                <w:sz w:val="24"/>
                <w:szCs w:val="24"/>
              </w:rPr>
              <w:t>套</w:t>
            </w:r>
          </w:p>
        </w:tc>
        <w:tc>
          <w:tcPr>
            <w:tcW w:w="1262"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5</w:t>
            </w:r>
          </w:p>
        </w:tc>
        <w:tc>
          <w:tcPr>
            <w:tcW w:w="1350"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11</w:t>
            </w:r>
          </w:p>
        </w:tc>
        <w:tc>
          <w:tcPr>
            <w:tcW w:w="1938" w:type="dxa"/>
            <w:noWrap/>
            <w:vAlign w:val="center"/>
          </w:tcPr>
          <w:p>
            <w:pPr>
              <w:spacing w:line="360" w:lineRule="auto"/>
              <w:jc w:val="center"/>
              <w:outlineLvl w:val="1"/>
              <w:rPr>
                <w:rFonts w:ascii="宋体" w:hAnsi="宋体" w:cs="宋体"/>
                <w:color w:val="000000"/>
                <w:kern w:val="0"/>
                <w:sz w:val="24"/>
              </w:rPr>
            </w:pPr>
            <w:r>
              <w:rPr>
                <w:rFonts w:hint="eastAsia" w:ascii="宋体" w:hAnsi="宋体" w:cs="宋体"/>
                <w:color w:val="000000"/>
                <w:kern w:val="0"/>
                <w:sz w:val="24"/>
              </w:rPr>
              <w:t>6.8*9米悬臂八棱杆</w:t>
            </w:r>
          </w:p>
        </w:tc>
        <w:tc>
          <w:tcPr>
            <w:tcW w:w="2846" w:type="dxa"/>
            <w:noWrap/>
            <w:vAlign w:val="center"/>
          </w:tcPr>
          <w:p>
            <w:pPr>
              <w:pStyle w:val="40"/>
              <w:widowControl w:val="0"/>
              <w:tabs>
                <w:tab w:val="left" w:pos="420"/>
              </w:tabs>
              <w:spacing w:line="360" w:lineRule="auto"/>
              <w:jc w:val="center"/>
              <w:outlineLvl w:val="1"/>
              <w:rPr>
                <w:rFonts w:ascii="宋体" w:hAnsi="宋体" w:eastAsia="宋体" w:cs="宋体"/>
                <w:color w:val="000000"/>
                <w:sz w:val="24"/>
                <w:szCs w:val="24"/>
              </w:rPr>
            </w:pPr>
          </w:p>
        </w:tc>
        <w:tc>
          <w:tcPr>
            <w:tcW w:w="1276" w:type="dxa"/>
            <w:noWrap/>
            <w:vAlign w:val="center"/>
          </w:tcPr>
          <w:p>
            <w:pPr>
              <w:pStyle w:val="40"/>
              <w:widowControl w:val="0"/>
              <w:tabs>
                <w:tab w:val="left" w:pos="420"/>
              </w:tabs>
              <w:spacing w:line="360" w:lineRule="auto"/>
              <w:jc w:val="center"/>
              <w:outlineLvl w:val="1"/>
              <w:rPr>
                <w:rFonts w:ascii="宋体" w:hAnsi="宋体" w:eastAsia="宋体" w:cs="宋体"/>
                <w:color w:val="000000"/>
                <w:sz w:val="24"/>
                <w:szCs w:val="24"/>
              </w:rPr>
            </w:pPr>
            <w:r>
              <w:rPr>
                <w:rFonts w:hint="eastAsia" w:ascii="宋体" w:hAnsi="宋体" w:eastAsia="宋体" w:cs="宋体"/>
                <w:color w:val="000000"/>
                <w:sz w:val="24"/>
                <w:szCs w:val="24"/>
              </w:rPr>
              <w:t>套</w:t>
            </w:r>
          </w:p>
        </w:tc>
        <w:tc>
          <w:tcPr>
            <w:tcW w:w="1262"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10</w:t>
            </w:r>
          </w:p>
        </w:tc>
        <w:tc>
          <w:tcPr>
            <w:tcW w:w="1350"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12</w:t>
            </w:r>
          </w:p>
        </w:tc>
        <w:tc>
          <w:tcPr>
            <w:tcW w:w="1938" w:type="dxa"/>
            <w:noWrap/>
            <w:vAlign w:val="center"/>
          </w:tcPr>
          <w:p>
            <w:pPr>
              <w:spacing w:line="360" w:lineRule="auto"/>
              <w:jc w:val="center"/>
              <w:outlineLvl w:val="1"/>
              <w:rPr>
                <w:rFonts w:ascii="宋体" w:hAnsi="宋体" w:cs="宋体"/>
                <w:color w:val="000000"/>
                <w:kern w:val="0"/>
                <w:sz w:val="24"/>
              </w:rPr>
            </w:pPr>
            <w:r>
              <w:rPr>
                <w:rFonts w:hint="eastAsia" w:ascii="宋体" w:hAnsi="宋体" w:cs="宋体"/>
                <w:color w:val="000000"/>
                <w:kern w:val="0"/>
                <w:sz w:val="24"/>
              </w:rPr>
              <w:t>273型*5"*5.5米悬臂杆</w:t>
            </w:r>
          </w:p>
        </w:tc>
        <w:tc>
          <w:tcPr>
            <w:tcW w:w="2846" w:type="dxa"/>
            <w:noWrap/>
            <w:vAlign w:val="center"/>
          </w:tcPr>
          <w:p>
            <w:pPr>
              <w:pStyle w:val="40"/>
              <w:widowControl w:val="0"/>
              <w:tabs>
                <w:tab w:val="left" w:pos="420"/>
              </w:tabs>
              <w:spacing w:line="360" w:lineRule="auto"/>
              <w:jc w:val="center"/>
              <w:outlineLvl w:val="1"/>
              <w:rPr>
                <w:rFonts w:ascii="宋体" w:hAnsi="宋体" w:eastAsia="宋体" w:cs="宋体"/>
                <w:color w:val="000000"/>
                <w:sz w:val="24"/>
                <w:szCs w:val="24"/>
              </w:rPr>
            </w:pPr>
          </w:p>
        </w:tc>
        <w:tc>
          <w:tcPr>
            <w:tcW w:w="1276" w:type="dxa"/>
            <w:noWrap/>
            <w:vAlign w:val="center"/>
          </w:tcPr>
          <w:p>
            <w:pPr>
              <w:pStyle w:val="40"/>
              <w:widowControl w:val="0"/>
              <w:tabs>
                <w:tab w:val="left" w:pos="420"/>
              </w:tabs>
              <w:spacing w:line="360" w:lineRule="auto"/>
              <w:jc w:val="center"/>
              <w:outlineLvl w:val="1"/>
              <w:rPr>
                <w:rFonts w:ascii="宋体" w:hAnsi="宋体" w:eastAsia="宋体" w:cs="宋体"/>
                <w:color w:val="000000"/>
                <w:sz w:val="24"/>
                <w:szCs w:val="24"/>
              </w:rPr>
            </w:pPr>
            <w:r>
              <w:rPr>
                <w:rFonts w:hint="eastAsia" w:ascii="宋体" w:hAnsi="宋体" w:eastAsia="宋体" w:cs="宋体"/>
                <w:color w:val="000000"/>
                <w:sz w:val="24"/>
                <w:szCs w:val="24"/>
              </w:rPr>
              <w:t>套</w:t>
            </w:r>
          </w:p>
        </w:tc>
        <w:tc>
          <w:tcPr>
            <w:tcW w:w="1262"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5</w:t>
            </w:r>
          </w:p>
        </w:tc>
        <w:tc>
          <w:tcPr>
            <w:tcW w:w="1350"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13</w:t>
            </w:r>
          </w:p>
        </w:tc>
        <w:tc>
          <w:tcPr>
            <w:tcW w:w="1938" w:type="dxa"/>
            <w:noWrap/>
            <w:vAlign w:val="center"/>
          </w:tcPr>
          <w:p>
            <w:pPr>
              <w:spacing w:line="360" w:lineRule="auto"/>
              <w:jc w:val="center"/>
              <w:outlineLvl w:val="1"/>
              <w:rPr>
                <w:rFonts w:ascii="宋体" w:hAnsi="宋体" w:cs="宋体"/>
                <w:color w:val="000000"/>
                <w:kern w:val="0"/>
                <w:sz w:val="24"/>
              </w:rPr>
            </w:pPr>
            <w:r>
              <w:rPr>
                <w:rFonts w:hint="eastAsia" w:ascii="宋体" w:hAnsi="宋体" w:cs="宋体"/>
                <w:color w:val="000000"/>
                <w:kern w:val="0"/>
                <w:sz w:val="24"/>
              </w:rPr>
              <w:t>圆形防撞桶</w:t>
            </w:r>
          </w:p>
        </w:tc>
        <w:tc>
          <w:tcPr>
            <w:tcW w:w="2846" w:type="dxa"/>
            <w:noWrap/>
            <w:vAlign w:val="center"/>
          </w:tcPr>
          <w:p>
            <w:pPr>
              <w:pStyle w:val="40"/>
              <w:widowControl w:val="0"/>
              <w:tabs>
                <w:tab w:val="left" w:pos="420"/>
              </w:tabs>
              <w:spacing w:line="360" w:lineRule="auto"/>
              <w:jc w:val="center"/>
              <w:outlineLvl w:val="1"/>
              <w:rPr>
                <w:rFonts w:ascii="宋体" w:hAnsi="宋体" w:eastAsia="宋体" w:cs="宋体"/>
                <w:color w:val="000000"/>
                <w:sz w:val="24"/>
                <w:szCs w:val="24"/>
              </w:rPr>
            </w:pPr>
            <w:r>
              <w:rPr>
                <w:rFonts w:hint="eastAsia" w:ascii="宋体" w:hAnsi="宋体" w:eastAsia="宋体" w:cs="宋体"/>
                <w:color w:val="000000"/>
                <w:sz w:val="24"/>
                <w:szCs w:val="24"/>
              </w:rPr>
              <w:t>600mm×800mm，PE，含黄沙（1/3高）</w:t>
            </w:r>
          </w:p>
        </w:tc>
        <w:tc>
          <w:tcPr>
            <w:tcW w:w="1276" w:type="dxa"/>
            <w:noWrap/>
            <w:vAlign w:val="center"/>
          </w:tcPr>
          <w:p>
            <w:pPr>
              <w:pStyle w:val="40"/>
              <w:widowControl w:val="0"/>
              <w:tabs>
                <w:tab w:val="left" w:pos="420"/>
              </w:tabs>
              <w:spacing w:line="360" w:lineRule="auto"/>
              <w:jc w:val="center"/>
              <w:outlineLvl w:val="1"/>
              <w:rPr>
                <w:rFonts w:ascii="宋体" w:hAnsi="宋体" w:eastAsia="宋体" w:cs="宋体"/>
                <w:color w:val="000000"/>
                <w:sz w:val="24"/>
                <w:szCs w:val="24"/>
              </w:rPr>
            </w:pPr>
            <w:r>
              <w:rPr>
                <w:rFonts w:hint="eastAsia" w:ascii="宋体" w:hAnsi="宋体" w:eastAsia="宋体" w:cs="宋体"/>
                <w:color w:val="000000"/>
                <w:sz w:val="24"/>
                <w:szCs w:val="24"/>
              </w:rPr>
              <w:t>个</w:t>
            </w:r>
          </w:p>
        </w:tc>
        <w:tc>
          <w:tcPr>
            <w:tcW w:w="1262"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10</w:t>
            </w:r>
          </w:p>
        </w:tc>
        <w:tc>
          <w:tcPr>
            <w:tcW w:w="1350"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14</w:t>
            </w:r>
          </w:p>
        </w:tc>
        <w:tc>
          <w:tcPr>
            <w:tcW w:w="1938" w:type="dxa"/>
            <w:noWrap/>
            <w:vAlign w:val="center"/>
          </w:tcPr>
          <w:p>
            <w:pPr>
              <w:spacing w:line="360" w:lineRule="auto"/>
              <w:jc w:val="center"/>
              <w:outlineLvl w:val="1"/>
              <w:rPr>
                <w:rFonts w:ascii="宋体" w:hAnsi="宋体" w:cs="宋体"/>
                <w:color w:val="000000"/>
                <w:kern w:val="0"/>
                <w:sz w:val="24"/>
              </w:rPr>
            </w:pPr>
            <w:r>
              <w:rPr>
                <w:rFonts w:hint="eastAsia" w:ascii="宋体" w:hAnsi="宋体" w:cs="宋体"/>
                <w:color w:val="000000"/>
                <w:kern w:val="0"/>
                <w:sz w:val="24"/>
              </w:rPr>
              <w:t>路锥</w:t>
            </w:r>
          </w:p>
        </w:tc>
        <w:tc>
          <w:tcPr>
            <w:tcW w:w="2846" w:type="dxa"/>
            <w:noWrap/>
            <w:vAlign w:val="center"/>
          </w:tcPr>
          <w:p>
            <w:pPr>
              <w:pStyle w:val="40"/>
              <w:widowControl w:val="0"/>
              <w:tabs>
                <w:tab w:val="left" w:pos="420"/>
              </w:tabs>
              <w:spacing w:line="360" w:lineRule="auto"/>
              <w:jc w:val="center"/>
              <w:outlineLvl w:val="1"/>
              <w:rPr>
                <w:rFonts w:ascii="宋体" w:hAnsi="宋体" w:eastAsia="宋体" w:cs="宋体"/>
                <w:color w:val="000000"/>
                <w:sz w:val="24"/>
                <w:szCs w:val="24"/>
              </w:rPr>
            </w:pPr>
            <w:r>
              <w:rPr>
                <w:rFonts w:hint="eastAsia" w:ascii="宋体" w:hAnsi="宋体" w:eastAsia="宋体" w:cs="宋体"/>
                <w:color w:val="000000"/>
                <w:sz w:val="24"/>
                <w:szCs w:val="24"/>
              </w:rPr>
              <w:t>71cmpvc</w:t>
            </w:r>
          </w:p>
        </w:tc>
        <w:tc>
          <w:tcPr>
            <w:tcW w:w="1276" w:type="dxa"/>
            <w:noWrap/>
            <w:vAlign w:val="center"/>
          </w:tcPr>
          <w:p>
            <w:pPr>
              <w:pStyle w:val="40"/>
              <w:widowControl w:val="0"/>
              <w:tabs>
                <w:tab w:val="left" w:pos="420"/>
              </w:tabs>
              <w:spacing w:line="360" w:lineRule="auto"/>
              <w:jc w:val="center"/>
              <w:outlineLvl w:val="1"/>
              <w:rPr>
                <w:rFonts w:ascii="宋体" w:hAnsi="宋体" w:eastAsia="宋体" w:cs="宋体"/>
                <w:color w:val="000000"/>
                <w:sz w:val="24"/>
                <w:szCs w:val="24"/>
              </w:rPr>
            </w:pPr>
            <w:r>
              <w:rPr>
                <w:rFonts w:hint="eastAsia" w:ascii="宋体" w:hAnsi="宋体" w:eastAsia="宋体" w:cs="宋体"/>
                <w:color w:val="000000"/>
                <w:sz w:val="24"/>
                <w:szCs w:val="24"/>
              </w:rPr>
              <w:t>个</w:t>
            </w:r>
          </w:p>
        </w:tc>
        <w:tc>
          <w:tcPr>
            <w:tcW w:w="1262"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2000</w:t>
            </w:r>
          </w:p>
        </w:tc>
        <w:tc>
          <w:tcPr>
            <w:tcW w:w="1350"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15</w:t>
            </w:r>
          </w:p>
        </w:tc>
        <w:tc>
          <w:tcPr>
            <w:tcW w:w="1938" w:type="dxa"/>
            <w:noWrap/>
            <w:vAlign w:val="center"/>
          </w:tcPr>
          <w:p>
            <w:pPr>
              <w:spacing w:line="360" w:lineRule="auto"/>
              <w:jc w:val="center"/>
              <w:outlineLvl w:val="1"/>
              <w:rPr>
                <w:rFonts w:ascii="宋体" w:hAnsi="宋体" w:cs="宋体"/>
                <w:color w:val="000000"/>
                <w:kern w:val="0"/>
                <w:sz w:val="24"/>
              </w:rPr>
            </w:pPr>
            <w:r>
              <w:rPr>
                <w:rFonts w:hint="eastAsia" w:ascii="宋体" w:hAnsi="宋体" w:cs="宋体"/>
                <w:color w:val="000000"/>
                <w:kern w:val="0"/>
                <w:sz w:val="24"/>
              </w:rPr>
              <w:t>路锥连接杆</w:t>
            </w:r>
          </w:p>
        </w:tc>
        <w:tc>
          <w:tcPr>
            <w:tcW w:w="2846" w:type="dxa"/>
            <w:noWrap/>
            <w:vAlign w:val="center"/>
          </w:tcPr>
          <w:p>
            <w:pPr>
              <w:pStyle w:val="40"/>
              <w:widowControl w:val="0"/>
              <w:tabs>
                <w:tab w:val="left" w:pos="420"/>
              </w:tabs>
              <w:spacing w:line="360" w:lineRule="auto"/>
              <w:jc w:val="center"/>
              <w:outlineLvl w:val="1"/>
              <w:rPr>
                <w:rFonts w:ascii="宋体" w:hAnsi="宋体" w:eastAsia="宋体" w:cs="宋体"/>
                <w:color w:val="000000"/>
                <w:sz w:val="24"/>
                <w:szCs w:val="24"/>
              </w:rPr>
            </w:pPr>
            <w:r>
              <w:rPr>
                <w:rFonts w:hint="eastAsia" w:ascii="宋体" w:hAnsi="宋体" w:eastAsia="宋体" w:cs="宋体"/>
                <w:color w:val="000000"/>
                <w:sz w:val="24"/>
                <w:szCs w:val="24"/>
              </w:rPr>
              <w:t>∮33.5×2000</w:t>
            </w:r>
          </w:p>
        </w:tc>
        <w:tc>
          <w:tcPr>
            <w:tcW w:w="1276" w:type="dxa"/>
            <w:noWrap/>
            <w:vAlign w:val="center"/>
          </w:tcPr>
          <w:p>
            <w:pPr>
              <w:pStyle w:val="40"/>
              <w:widowControl w:val="0"/>
              <w:tabs>
                <w:tab w:val="left" w:pos="420"/>
              </w:tabs>
              <w:spacing w:line="360" w:lineRule="auto"/>
              <w:jc w:val="center"/>
              <w:outlineLvl w:val="1"/>
              <w:rPr>
                <w:rFonts w:ascii="宋体" w:hAnsi="宋体" w:eastAsia="宋体" w:cs="宋体"/>
                <w:color w:val="000000"/>
                <w:sz w:val="24"/>
                <w:szCs w:val="24"/>
              </w:rPr>
            </w:pPr>
            <w:r>
              <w:rPr>
                <w:rFonts w:hint="eastAsia" w:ascii="宋体" w:hAnsi="宋体" w:eastAsia="宋体" w:cs="宋体"/>
                <w:color w:val="000000"/>
                <w:sz w:val="24"/>
                <w:szCs w:val="24"/>
              </w:rPr>
              <w:t>条</w:t>
            </w:r>
          </w:p>
        </w:tc>
        <w:tc>
          <w:tcPr>
            <w:tcW w:w="1262"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300</w:t>
            </w:r>
          </w:p>
        </w:tc>
        <w:tc>
          <w:tcPr>
            <w:tcW w:w="1350"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16</w:t>
            </w:r>
          </w:p>
        </w:tc>
        <w:tc>
          <w:tcPr>
            <w:tcW w:w="1938" w:type="dxa"/>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Ф80广角镜</w:t>
            </w:r>
          </w:p>
        </w:tc>
        <w:tc>
          <w:tcPr>
            <w:tcW w:w="2846" w:type="dxa"/>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Φ800（镜面PC+铝合金包边，镜背ABS塑料）</w:t>
            </w:r>
          </w:p>
        </w:tc>
        <w:tc>
          <w:tcPr>
            <w:tcW w:w="1276" w:type="dxa"/>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1262"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5</w:t>
            </w:r>
          </w:p>
        </w:tc>
        <w:tc>
          <w:tcPr>
            <w:tcW w:w="1350"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17</w:t>
            </w:r>
          </w:p>
        </w:tc>
        <w:tc>
          <w:tcPr>
            <w:tcW w:w="1938" w:type="dxa"/>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Ф100广角镜</w:t>
            </w:r>
          </w:p>
        </w:tc>
        <w:tc>
          <w:tcPr>
            <w:tcW w:w="2846" w:type="dxa"/>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Φ1000（镜面PC+铝合金包边，镜背ABS塑料）</w:t>
            </w:r>
          </w:p>
        </w:tc>
        <w:tc>
          <w:tcPr>
            <w:tcW w:w="1276" w:type="dxa"/>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1262"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5</w:t>
            </w:r>
          </w:p>
        </w:tc>
        <w:tc>
          <w:tcPr>
            <w:tcW w:w="1350"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18</w:t>
            </w:r>
          </w:p>
        </w:tc>
        <w:tc>
          <w:tcPr>
            <w:tcW w:w="1938" w:type="dxa"/>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四联爆闪灯</w:t>
            </w:r>
          </w:p>
        </w:tc>
        <w:tc>
          <w:tcPr>
            <w:tcW w:w="2846" w:type="dxa"/>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双面四片爆闪灯（550mm×150mm太阳能）</w:t>
            </w:r>
          </w:p>
        </w:tc>
        <w:tc>
          <w:tcPr>
            <w:tcW w:w="1276" w:type="dxa"/>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组</w:t>
            </w:r>
          </w:p>
        </w:tc>
        <w:tc>
          <w:tcPr>
            <w:tcW w:w="1262"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5</w:t>
            </w:r>
          </w:p>
        </w:tc>
        <w:tc>
          <w:tcPr>
            <w:tcW w:w="1350"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19</w:t>
            </w:r>
          </w:p>
        </w:tc>
        <w:tc>
          <w:tcPr>
            <w:tcW w:w="1938" w:type="dxa"/>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人行护栏</w:t>
            </w:r>
          </w:p>
        </w:tc>
        <w:tc>
          <w:tcPr>
            <w:tcW w:w="2846" w:type="dxa"/>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银灰色，深灰色，高100公分或110公分</w:t>
            </w:r>
          </w:p>
        </w:tc>
        <w:tc>
          <w:tcPr>
            <w:tcW w:w="1276" w:type="dxa"/>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1262"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500</w:t>
            </w:r>
          </w:p>
        </w:tc>
        <w:tc>
          <w:tcPr>
            <w:tcW w:w="1350"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20</w:t>
            </w:r>
          </w:p>
        </w:tc>
        <w:tc>
          <w:tcPr>
            <w:tcW w:w="1938" w:type="dxa"/>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立柱</w:t>
            </w:r>
          </w:p>
        </w:tc>
        <w:tc>
          <w:tcPr>
            <w:tcW w:w="2846" w:type="dxa"/>
            <w:noWrap/>
            <w:vAlign w:val="center"/>
          </w:tcPr>
          <w:p>
            <w:pPr>
              <w:spacing w:line="360" w:lineRule="auto"/>
              <w:jc w:val="center"/>
              <w:rPr>
                <w:rFonts w:ascii="宋体" w:hAnsi="宋体" w:cs="宋体"/>
                <w:color w:val="000000"/>
                <w:sz w:val="24"/>
              </w:rPr>
            </w:pPr>
          </w:p>
        </w:tc>
        <w:tc>
          <w:tcPr>
            <w:tcW w:w="1276" w:type="dxa"/>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1262"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100</w:t>
            </w:r>
          </w:p>
        </w:tc>
        <w:tc>
          <w:tcPr>
            <w:tcW w:w="1350"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21</w:t>
            </w:r>
          </w:p>
        </w:tc>
        <w:tc>
          <w:tcPr>
            <w:tcW w:w="1938" w:type="dxa"/>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圆管</w:t>
            </w:r>
          </w:p>
        </w:tc>
        <w:tc>
          <w:tcPr>
            <w:tcW w:w="2846" w:type="dxa"/>
            <w:noWrap/>
            <w:vAlign w:val="center"/>
          </w:tcPr>
          <w:p>
            <w:pPr>
              <w:spacing w:line="360" w:lineRule="auto"/>
              <w:jc w:val="center"/>
              <w:rPr>
                <w:rFonts w:ascii="宋体" w:hAnsi="宋体" w:cs="宋体"/>
                <w:color w:val="000000"/>
                <w:sz w:val="24"/>
              </w:rPr>
            </w:pPr>
          </w:p>
        </w:tc>
        <w:tc>
          <w:tcPr>
            <w:tcW w:w="1276" w:type="dxa"/>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1262"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200</w:t>
            </w:r>
          </w:p>
        </w:tc>
        <w:tc>
          <w:tcPr>
            <w:tcW w:w="1350"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22</w:t>
            </w:r>
          </w:p>
        </w:tc>
        <w:tc>
          <w:tcPr>
            <w:tcW w:w="1938" w:type="dxa"/>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普通热熔涂料</w:t>
            </w:r>
          </w:p>
        </w:tc>
        <w:tc>
          <w:tcPr>
            <w:tcW w:w="2846" w:type="dxa"/>
            <w:noWrap/>
            <w:vAlign w:val="center"/>
          </w:tcPr>
          <w:p>
            <w:pPr>
              <w:spacing w:line="360" w:lineRule="auto"/>
              <w:jc w:val="center"/>
              <w:rPr>
                <w:rFonts w:ascii="宋体" w:hAnsi="宋体" w:cs="宋体"/>
                <w:color w:val="000000"/>
                <w:sz w:val="24"/>
              </w:rPr>
            </w:pPr>
          </w:p>
        </w:tc>
        <w:tc>
          <w:tcPr>
            <w:tcW w:w="1276" w:type="dxa"/>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吨</w:t>
            </w:r>
          </w:p>
        </w:tc>
        <w:tc>
          <w:tcPr>
            <w:tcW w:w="1262"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r>
              <w:rPr>
                <w:rFonts w:hint="eastAsia" w:ascii="宋体" w:hAnsi="宋体" w:eastAsia="宋体" w:cs="宋体"/>
                <w:snapToGrid w:val="0"/>
                <w:sz w:val="24"/>
                <w:szCs w:val="24"/>
              </w:rPr>
              <w:t>60</w:t>
            </w:r>
          </w:p>
        </w:tc>
        <w:tc>
          <w:tcPr>
            <w:tcW w:w="1350" w:type="dxa"/>
            <w:noWrap/>
            <w:vAlign w:val="center"/>
          </w:tcPr>
          <w:p>
            <w:pPr>
              <w:pStyle w:val="40"/>
              <w:widowControl w:val="0"/>
              <w:tabs>
                <w:tab w:val="left" w:pos="420"/>
              </w:tabs>
              <w:spacing w:line="360" w:lineRule="auto"/>
              <w:jc w:val="center"/>
              <w:outlineLvl w:val="1"/>
              <w:rPr>
                <w:rFonts w:ascii="宋体" w:hAnsi="宋体" w:eastAsia="宋体" w:cs="宋体"/>
                <w:snapToGrid w:val="0"/>
                <w:sz w:val="24"/>
                <w:szCs w:val="24"/>
              </w:rPr>
            </w:pPr>
          </w:p>
        </w:tc>
      </w:tr>
    </w:tbl>
    <w:p>
      <w:pPr>
        <w:spacing w:line="360" w:lineRule="auto"/>
        <w:rPr>
          <w:rFonts w:ascii="宋体" w:hAnsi="宋体" w:cs="宋体"/>
          <w:sz w:val="24"/>
        </w:rPr>
      </w:pPr>
    </w:p>
    <w:p>
      <w:pPr>
        <w:pStyle w:val="11"/>
        <w:spacing w:line="360" w:lineRule="auto"/>
        <w:rPr>
          <w:rFonts w:hAnsi="宋体" w:cs="宋体"/>
          <w:sz w:val="24"/>
          <w:szCs w:val="24"/>
        </w:rPr>
      </w:pPr>
    </w:p>
    <w:p>
      <w:pPr>
        <w:spacing w:line="360" w:lineRule="auto"/>
        <w:rPr>
          <w:rFonts w:ascii="宋体" w:hAnsi="宋体" w:cs="宋体"/>
          <w:sz w:val="24"/>
          <w:lang w:val="zh-CN"/>
        </w:rPr>
      </w:pPr>
      <w:r>
        <w:rPr>
          <w:rFonts w:hint="eastAsia" w:ascii="宋体" w:hAnsi="宋体" w:cs="宋体"/>
          <w:sz w:val="24"/>
          <w:lang w:val="zh-CN"/>
        </w:rPr>
        <w:br w:type="page"/>
      </w:r>
    </w:p>
    <w:p>
      <w:pPr>
        <w:spacing w:line="360" w:lineRule="auto"/>
        <w:outlineLvl w:val="1"/>
        <w:rPr>
          <w:rFonts w:ascii="宋体" w:hAnsi="宋体" w:cs="宋体"/>
          <w:sz w:val="24"/>
          <w:lang w:val="zh-CN"/>
        </w:rPr>
      </w:pPr>
      <w:r>
        <w:rPr>
          <w:rFonts w:hint="eastAsia" w:ascii="宋体" w:hAnsi="宋体" w:cs="宋体"/>
          <w:sz w:val="24"/>
        </w:rPr>
        <w:t>8.</w:t>
      </w:r>
      <w:r>
        <w:rPr>
          <w:rFonts w:hint="eastAsia" w:ascii="宋体" w:hAnsi="宋体" w:cs="宋体"/>
          <w:sz w:val="24"/>
          <w:lang w:val="zh-CN"/>
        </w:rPr>
        <w:t>附件：图纸</w:t>
      </w:r>
    </w:p>
    <w:p>
      <w:pPr>
        <w:adjustRightInd w:val="0"/>
        <w:spacing w:line="360" w:lineRule="auto"/>
        <w:outlineLvl w:val="2"/>
        <w:rPr>
          <w:rFonts w:ascii="宋体" w:hAnsi="宋体" w:cs="宋体"/>
          <w:sz w:val="24"/>
        </w:rPr>
      </w:pPr>
      <w:r>
        <w:rPr>
          <w:rFonts w:hint="eastAsia" w:ascii="宋体" w:hAnsi="宋体" w:cs="宋体"/>
          <w:sz w:val="24"/>
        </w:rPr>
        <w:t>1、横道灯杆立柱结构图</w:t>
      </w:r>
    </w:p>
    <w:p>
      <w:pPr>
        <w:spacing w:line="360" w:lineRule="auto"/>
        <w:rPr>
          <w:rFonts w:ascii="宋体" w:hAnsi="宋体" w:cs="宋体"/>
          <w:sz w:val="24"/>
        </w:rPr>
      </w:pPr>
      <w:r>
        <w:rPr>
          <w:rFonts w:hint="eastAsia" w:ascii="宋体" w:hAnsi="宋体" w:cs="宋体"/>
          <w:sz w:val="24"/>
        </w:rPr>
        <w:drawing>
          <wp:anchor distT="0" distB="0" distL="114300" distR="114300" simplePos="0" relativeHeight="251661312" behindDoc="0" locked="0" layoutInCell="1" allowOverlap="1">
            <wp:simplePos x="0" y="0"/>
            <wp:positionH relativeFrom="column">
              <wp:posOffset>-1205865</wp:posOffset>
            </wp:positionH>
            <wp:positionV relativeFrom="paragraph">
              <wp:posOffset>1301750</wp:posOffset>
            </wp:positionV>
            <wp:extent cx="7071995" cy="4999990"/>
            <wp:effectExtent l="0" t="0" r="3810" b="1905"/>
            <wp:wrapTopAndBottom/>
            <wp:docPr id="2" name="图片 1" descr="横道灯杆立柱结构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横道灯杆立柱结构图_00"/>
                    <pic:cNvPicPr>
                      <a:picLocks noChangeAspect="1"/>
                    </pic:cNvPicPr>
                  </pic:nvPicPr>
                  <pic:blipFill>
                    <a:blip r:embed="rId16"/>
                    <a:stretch>
                      <a:fillRect/>
                    </a:stretch>
                  </pic:blipFill>
                  <pic:spPr>
                    <a:xfrm rot="5400000">
                      <a:off x="0" y="0"/>
                      <a:ext cx="7071995" cy="4999990"/>
                    </a:xfrm>
                    <a:prstGeom prst="rect">
                      <a:avLst/>
                    </a:prstGeom>
                    <a:noFill/>
                    <a:ln>
                      <a:noFill/>
                    </a:ln>
                  </pic:spPr>
                </pic:pic>
              </a:graphicData>
            </a:graphic>
          </wp:anchor>
        </w:drawing>
      </w:r>
    </w:p>
    <w:p>
      <w:pPr>
        <w:spacing w:line="360" w:lineRule="auto"/>
        <w:rPr>
          <w:rFonts w:ascii="宋体" w:hAnsi="宋体" w:cs="宋体"/>
          <w:sz w:val="24"/>
        </w:rPr>
      </w:pPr>
      <w:r>
        <w:rPr>
          <w:rFonts w:hint="eastAsia" w:ascii="宋体" w:hAnsi="宋体" w:cs="宋体"/>
          <w:sz w:val="24"/>
        </w:rPr>
        <w:br w:type="page"/>
      </w:r>
    </w:p>
    <w:p>
      <w:pPr>
        <w:pStyle w:val="26"/>
        <w:adjustRightInd w:val="0"/>
        <w:ind w:firstLine="0" w:firstLineChars="0"/>
        <w:textAlignment w:val="baseline"/>
        <w:outlineLvl w:val="2"/>
        <w:rPr>
          <w:rFonts w:cs="宋体"/>
          <w:b w:val="0"/>
          <w:color w:val="auto"/>
          <w:sz w:val="24"/>
          <w:szCs w:val="24"/>
        </w:rPr>
      </w:pPr>
      <w:r>
        <w:rPr>
          <w:rFonts w:hint="eastAsia" w:cs="宋体"/>
          <w:b w:val="0"/>
          <w:color w:val="auto"/>
          <w:sz w:val="24"/>
          <w:szCs w:val="24"/>
        </w:rPr>
        <w:t>2、辅灯杆立柱结构图</w:t>
      </w:r>
    </w:p>
    <w:p>
      <w:pPr>
        <w:spacing w:line="360" w:lineRule="auto"/>
        <w:jc w:val="left"/>
        <w:rPr>
          <w:rFonts w:ascii="宋体" w:hAnsi="宋体" w:cs="宋体"/>
          <w:sz w:val="24"/>
        </w:rPr>
      </w:pPr>
      <w:r>
        <w:rPr>
          <w:rFonts w:hint="eastAsia" w:ascii="宋体" w:hAnsi="宋体" w:cs="宋体"/>
          <w:sz w:val="24"/>
        </w:rPr>
        <w:drawing>
          <wp:anchor distT="0" distB="0" distL="114300" distR="114300" simplePos="0" relativeHeight="251662336" behindDoc="0" locked="0" layoutInCell="1" allowOverlap="1">
            <wp:simplePos x="0" y="0"/>
            <wp:positionH relativeFrom="column">
              <wp:posOffset>-1187450</wp:posOffset>
            </wp:positionH>
            <wp:positionV relativeFrom="paragraph">
              <wp:posOffset>1251585</wp:posOffset>
            </wp:positionV>
            <wp:extent cx="7766050" cy="5490210"/>
            <wp:effectExtent l="0" t="0" r="8890" b="6350"/>
            <wp:wrapSquare wrapText="bothSides"/>
            <wp:docPr id="3" name="图片 2" descr="辅灯杆立柱结构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辅灯杆立柱结构图_00"/>
                    <pic:cNvPicPr>
                      <a:picLocks noChangeAspect="1"/>
                    </pic:cNvPicPr>
                  </pic:nvPicPr>
                  <pic:blipFill>
                    <a:blip r:embed="rId17"/>
                    <a:stretch>
                      <a:fillRect/>
                    </a:stretch>
                  </pic:blipFill>
                  <pic:spPr>
                    <a:xfrm rot="5400000">
                      <a:off x="0" y="0"/>
                      <a:ext cx="7766050" cy="5490210"/>
                    </a:xfrm>
                    <a:prstGeom prst="rect">
                      <a:avLst/>
                    </a:prstGeom>
                    <a:noFill/>
                    <a:ln>
                      <a:noFill/>
                    </a:ln>
                  </pic:spPr>
                </pic:pic>
              </a:graphicData>
            </a:graphic>
          </wp:anchor>
        </w:drawing>
      </w:r>
    </w:p>
    <w:p>
      <w:pPr>
        <w:spacing w:line="360" w:lineRule="auto"/>
        <w:rPr>
          <w:rFonts w:ascii="宋体" w:hAnsi="宋体" w:cs="宋体"/>
          <w:sz w:val="24"/>
        </w:rPr>
      </w:pPr>
      <w:r>
        <w:rPr>
          <w:rFonts w:hint="eastAsia" w:ascii="宋体" w:hAnsi="宋体" w:cs="宋体"/>
          <w:sz w:val="24"/>
        </w:rPr>
        <w:br w:type="page"/>
      </w:r>
    </w:p>
    <w:p>
      <w:pPr>
        <w:pStyle w:val="26"/>
        <w:adjustRightInd w:val="0"/>
        <w:ind w:firstLine="0" w:firstLineChars="0"/>
        <w:textAlignment w:val="baseline"/>
        <w:outlineLvl w:val="2"/>
        <w:rPr>
          <w:rFonts w:cs="宋体"/>
          <w:b w:val="0"/>
          <w:color w:val="auto"/>
          <w:sz w:val="24"/>
          <w:szCs w:val="24"/>
        </w:rPr>
      </w:pPr>
      <w:r>
        <w:rPr>
          <w:rFonts w:hint="eastAsia" w:cs="宋体"/>
          <w:b w:val="0"/>
          <w:color w:val="auto"/>
          <w:sz w:val="24"/>
          <w:szCs w:val="24"/>
        </w:rPr>
        <w:t>3、地面门架结构图</w:t>
      </w:r>
    </w:p>
    <w:p>
      <w:pPr>
        <w:pStyle w:val="26"/>
        <w:adjustRightInd w:val="0"/>
        <w:ind w:firstLine="0" w:firstLineChars="0"/>
        <w:jc w:val="left"/>
        <w:textAlignment w:val="baseline"/>
        <w:rPr>
          <w:rFonts w:cs="宋体"/>
          <w:b w:val="0"/>
          <w:sz w:val="24"/>
          <w:szCs w:val="24"/>
        </w:rPr>
      </w:pPr>
      <w:r>
        <w:rPr>
          <w:rFonts w:hint="eastAsia" w:cs="宋体"/>
          <w:b w:val="0"/>
          <w:sz w:val="24"/>
          <w:szCs w:val="24"/>
        </w:rPr>
        <w:drawing>
          <wp:anchor distT="0" distB="0" distL="114300" distR="114300" simplePos="0" relativeHeight="251663360" behindDoc="0" locked="0" layoutInCell="1" allowOverlap="1">
            <wp:simplePos x="0" y="0"/>
            <wp:positionH relativeFrom="column">
              <wp:posOffset>-1125220</wp:posOffset>
            </wp:positionH>
            <wp:positionV relativeFrom="paragraph">
              <wp:posOffset>1179830</wp:posOffset>
            </wp:positionV>
            <wp:extent cx="7720965" cy="5459730"/>
            <wp:effectExtent l="0" t="0" r="1270" b="635"/>
            <wp:wrapSquare wrapText="bothSides"/>
            <wp:docPr id="4" name="图片 3" descr="地面门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地面门架_01"/>
                    <pic:cNvPicPr>
                      <a:picLocks noChangeAspect="1"/>
                    </pic:cNvPicPr>
                  </pic:nvPicPr>
                  <pic:blipFill>
                    <a:blip r:embed="rId18"/>
                    <a:stretch>
                      <a:fillRect/>
                    </a:stretch>
                  </pic:blipFill>
                  <pic:spPr>
                    <a:xfrm rot="5400000">
                      <a:off x="0" y="0"/>
                      <a:ext cx="7720965" cy="5459730"/>
                    </a:xfrm>
                    <a:prstGeom prst="rect">
                      <a:avLst/>
                    </a:prstGeom>
                    <a:noFill/>
                    <a:ln>
                      <a:noFill/>
                    </a:ln>
                  </pic:spPr>
                </pic:pic>
              </a:graphicData>
            </a:graphic>
          </wp:anchor>
        </w:drawing>
      </w:r>
    </w:p>
    <w:p>
      <w:pPr>
        <w:spacing w:line="360" w:lineRule="auto"/>
        <w:rPr>
          <w:rFonts w:ascii="宋体" w:hAnsi="宋体" w:cs="宋体"/>
          <w:sz w:val="24"/>
        </w:rPr>
      </w:pPr>
      <w:r>
        <w:rPr>
          <w:rFonts w:hint="eastAsia" w:ascii="宋体" w:hAnsi="宋体" w:cs="宋体"/>
          <w:sz w:val="24"/>
        </w:rPr>
        <w:br w:type="page"/>
      </w:r>
    </w:p>
    <w:p>
      <w:pPr>
        <w:pStyle w:val="26"/>
        <w:adjustRightInd w:val="0"/>
        <w:ind w:firstLine="0" w:firstLineChars="0"/>
        <w:jc w:val="left"/>
        <w:textAlignment w:val="baseline"/>
        <w:outlineLvl w:val="2"/>
        <w:rPr>
          <w:rFonts w:cs="宋体"/>
          <w:b w:val="0"/>
          <w:sz w:val="24"/>
          <w:szCs w:val="24"/>
        </w:rPr>
      </w:pPr>
      <w:r>
        <w:rPr>
          <w:rFonts w:hint="eastAsia" w:cs="宋体"/>
          <w:b w:val="0"/>
          <w:sz w:val="24"/>
          <w:szCs w:val="24"/>
        </w:rPr>
        <w:drawing>
          <wp:anchor distT="0" distB="0" distL="114300" distR="114300" simplePos="0" relativeHeight="251664384" behindDoc="0" locked="0" layoutInCell="1" allowOverlap="1">
            <wp:simplePos x="0" y="0"/>
            <wp:positionH relativeFrom="column">
              <wp:posOffset>-1206500</wp:posOffset>
            </wp:positionH>
            <wp:positionV relativeFrom="paragraph">
              <wp:posOffset>1520190</wp:posOffset>
            </wp:positionV>
            <wp:extent cx="7823200" cy="5529580"/>
            <wp:effectExtent l="0" t="0" r="7620" b="0"/>
            <wp:wrapSquare wrapText="bothSides"/>
            <wp:docPr id="8" name="图片 4" descr="横道灯杆、辅灯杆基础结构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横道灯杆、辅灯杆基础结构图_00"/>
                    <pic:cNvPicPr>
                      <a:picLocks noChangeAspect="1"/>
                    </pic:cNvPicPr>
                  </pic:nvPicPr>
                  <pic:blipFill>
                    <a:blip r:embed="rId19"/>
                    <a:stretch>
                      <a:fillRect/>
                    </a:stretch>
                  </pic:blipFill>
                  <pic:spPr>
                    <a:xfrm rot="5400000">
                      <a:off x="0" y="0"/>
                      <a:ext cx="7823200" cy="5529580"/>
                    </a:xfrm>
                    <a:prstGeom prst="rect">
                      <a:avLst/>
                    </a:prstGeom>
                    <a:noFill/>
                    <a:ln>
                      <a:noFill/>
                    </a:ln>
                  </pic:spPr>
                </pic:pic>
              </a:graphicData>
            </a:graphic>
          </wp:anchor>
        </w:drawing>
      </w:r>
      <w:r>
        <w:rPr>
          <w:rFonts w:hint="eastAsia" w:cs="宋体"/>
          <w:b w:val="0"/>
          <w:color w:val="auto"/>
          <w:sz w:val="24"/>
          <w:szCs w:val="24"/>
        </w:rPr>
        <w:t>4、横道灯杆、辅灯杆基础结构图</w:t>
      </w:r>
      <w:r>
        <w:rPr>
          <w:rFonts w:hint="eastAsia" w:cs="宋体"/>
          <w:b w:val="0"/>
          <w:sz w:val="24"/>
          <w:szCs w:val="24"/>
        </w:rPr>
        <w:br w:type="page"/>
      </w:r>
    </w:p>
    <w:p>
      <w:pPr>
        <w:pStyle w:val="26"/>
        <w:adjustRightInd w:val="0"/>
        <w:ind w:firstLine="0" w:firstLineChars="0"/>
        <w:jc w:val="left"/>
        <w:textAlignment w:val="baseline"/>
        <w:outlineLvl w:val="2"/>
        <w:rPr>
          <w:rFonts w:cs="宋体"/>
          <w:b w:val="0"/>
          <w:color w:val="auto"/>
          <w:sz w:val="24"/>
          <w:szCs w:val="24"/>
        </w:rPr>
      </w:pPr>
      <w:r>
        <w:rPr>
          <w:rFonts w:hint="eastAsia" w:cs="宋体"/>
          <w:b w:val="0"/>
          <w:color w:val="auto"/>
          <w:sz w:val="24"/>
          <w:szCs w:val="24"/>
        </w:rPr>
        <w:t>5、89单立柱标志结构安装图</w:t>
      </w:r>
    </w:p>
    <w:p>
      <w:pPr>
        <w:spacing w:line="360" w:lineRule="auto"/>
        <w:rPr>
          <w:rFonts w:ascii="宋体" w:hAnsi="宋体" w:cs="宋体"/>
          <w:sz w:val="24"/>
        </w:rPr>
      </w:pPr>
    </w:p>
    <w:p>
      <w:pPr>
        <w:pStyle w:val="26"/>
        <w:adjustRightInd w:val="0"/>
        <w:ind w:firstLine="0" w:firstLineChars="0"/>
        <w:jc w:val="left"/>
        <w:textAlignment w:val="baseline"/>
        <w:rPr>
          <w:rFonts w:cs="宋体"/>
          <w:b w:val="0"/>
          <w:sz w:val="24"/>
          <w:szCs w:val="24"/>
        </w:rPr>
      </w:pPr>
      <w:r>
        <w:rPr>
          <w:rFonts w:hint="eastAsia" w:cs="宋体"/>
          <w:b w:val="0"/>
          <w:sz w:val="24"/>
          <w:szCs w:val="24"/>
        </w:rPr>
        <w:drawing>
          <wp:inline distT="0" distB="0" distL="114300" distR="114300">
            <wp:extent cx="5260340" cy="7442200"/>
            <wp:effectExtent l="0" t="0" r="10160" b="0"/>
            <wp:docPr id="5" name="图片 5" descr="89单立柱标志结构安装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9单立柱标志结构安装图_00"/>
                    <pic:cNvPicPr>
                      <a:picLocks noChangeAspect="1"/>
                    </pic:cNvPicPr>
                  </pic:nvPicPr>
                  <pic:blipFill>
                    <a:blip r:embed="rId20"/>
                    <a:stretch>
                      <a:fillRect/>
                    </a:stretch>
                  </pic:blipFill>
                  <pic:spPr>
                    <a:xfrm>
                      <a:off x="0" y="0"/>
                      <a:ext cx="5260340" cy="7442200"/>
                    </a:xfrm>
                    <a:prstGeom prst="rect">
                      <a:avLst/>
                    </a:prstGeom>
                    <a:noFill/>
                    <a:ln>
                      <a:noFill/>
                    </a:ln>
                  </pic:spPr>
                </pic:pic>
              </a:graphicData>
            </a:graphic>
          </wp:inline>
        </w:drawing>
      </w:r>
    </w:p>
    <w:p>
      <w:pPr>
        <w:spacing w:line="360" w:lineRule="auto"/>
        <w:rPr>
          <w:rFonts w:ascii="宋体" w:hAnsi="宋体" w:cs="宋体"/>
          <w:sz w:val="24"/>
        </w:rPr>
      </w:pPr>
      <w:r>
        <w:rPr>
          <w:rFonts w:hint="eastAsia" w:ascii="宋体" w:hAnsi="宋体" w:cs="宋体"/>
          <w:sz w:val="24"/>
        </w:rPr>
        <w:br w:type="page"/>
      </w:r>
    </w:p>
    <w:p>
      <w:pPr>
        <w:pStyle w:val="26"/>
        <w:adjustRightInd w:val="0"/>
        <w:ind w:firstLine="0" w:firstLineChars="0"/>
        <w:jc w:val="left"/>
        <w:textAlignment w:val="baseline"/>
        <w:outlineLvl w:val="2"/>
        <w:rPr>
          <w:rFonts w:cs="宋体"/>
          <w:b w:val="0"/>
          <w:sz w:val="24"/>
          <w:szCs w:val="24"/>
        </w:rPr>
      </w:pPr>
      <w:r>
        <w:rPr>
          <w:rFonts w:hint="eastAsia" w:cs="宋体"/>
          <w:b w:val="0"/>
          <w:color w:val="auto"/>
          <w:sz w:val="24"/>
          <w:szCs w:val="24"/>
        </w:rPr>
        <w:t>6、114单立杆标志结构图</w:t>
      </w:r>
      <w:r>
        <w:rPr>
          <w:rFonts w:hint="eastAsia" w:cs="宋体"/>
          <w:b w:val="0"/>
          <w:sz w:val="24"/>
          <w:szCs w:val="24"/>
        </w:rPr>
        <w:drawing>
          <wp:inline distT="0" distB="0" distL="114300" distR="114300">
            <wp:extent cx="5261610" cy="7440930"/>
            <wp:effectExtent l="0" t="0" r="8890" b="1270"/>
            <wp:docPr id="9" name="图片 6" descr="114单立柱标志结构安装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114单立柱标志结构安装图_00"/>
                    <pic:cNvPicPr>
                      <a:picLocks noChangeAspect="1"/>
                    </pic:cNvPicPr>
                  </pic:nvPicPr>
                  <pic:blipFill>
                    <a:blip r:embed="rId21"/>
                    <a:stretch>
                      <a:fillRect/>
                    </a:stretch>
                  </pic:blipFill>
                  <pic:spPr>
                    <a:xfrm>
                      <a:off x="0" y="0"/>
                      <a:ext cx="5261610" cy="7440930"/>
                    </a:xfrm>
                    <a:prstGeom prst="rect">
                      <a:avLst/>
                    </a:prstGeom>
                    <a:noFill/>
                    <a:ln>
                      <a:noFill/>
                    </a:ln>
                  </pic:spPr>
                </pic:pic>
              </a:graphicData>
            </a:graphic>
          </wp:inline>
        </w:drawing>
      </w:r>
      <w:r>
        <w:rPr>
          <w:rFonts w:hint="eastAsia" w:cs="宋体"/>
          <w:b w:val="0"/>
          <w:sz w:val="24"/>
          <w:szCs w:val="24"/>
        </w:rPr>
        <w:drawing>
          <wp:inline distT="0" distB="0" distL="114300" distR="114300">
            <wp:extent cx="5260340" cy="7442200"/>
            <wp:effectExtent l="0" t="0" r="10160" b="0"/>
            <wp:docPr id="6" name="图片 7" descr="168F杆件标志结构及基础图0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168F杆件标志结构及基础图01_00"/>
                    <pic:cNvPicPr>
                      <a:picLocks noChangeAspect="1"/>
                    </pic:cNvPicPr>
                  </pic:nvPicPr>
                  <pic:blipFill>
                    <a:blip r:embed="rId22"/>
                    <a:stretch>
                      <a:fillRect/>
                    </a:stretch>
                  </pic:blipFill>
                  <pic:spPr>
                    <a:xfrm>
                      <a:off x="0" y="0"/>
                      <a:ext cx="5260340" cy="7442200"/>
                    </a:xfrm>
                    <a:prstGeom prst="rect">
                      <a:avLst/>
                    </a:prstGeom>
                    <a:noFill/>
                    <a:ln>
                      <a:noFill/>
                    </a:ln>
                  </pic:spPr>
                </pic:pic>
              </a:graphicData>
            </a:graphic>
          </wp:inline>
        </w:drawing>
      </w:r>
      <w:r>
        <w:rPr>
          <w:rFonts w:hint="eastAsia" w:cs="宋体"/>
          <w:b w:val="0"/>
          <w:sz w:val="24"/>
          <w:szCs w:val="24"/>
        </w:rPr>
        <w:drawing>
          <wp:inline distT="0" distB="0" distL="114300" distR="114300">
            <wp:extent cx="5260340" cy="7442200"/>
            <wp:effectExtent l="0" t="0" r="10160" b="0"/>
            <wp:docPr id="11" name="图片 8" descr="168F杆件标志结构及基础图0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168F杆件标志结构及基础图02_00"/>
                    <pic:cNvPicPr>
                      <a:picLocks noChangeAspect="1"/>
                    </pic:cNvPicPr>
                  </pic:nvPicPr>
                  <pic:blipFill>
                    <a:blip r:embed="rId23"/>
                    <a:stretch>
                      <a:fillRect/>
                    </a:stretch>
                  </pic:blipFill>
                  <pic:spPr>
                    <a:xfrm>
                      <a:off x="0" y="0"/>
                      <a:ext cx="5260340" cy="7442200"/>
                    </a:xfrm>
                    <a:prstGeom prst="rect">
                      <a:avLst/>
                    </a:prstGeom>
                    <a:noFill/>
                    <a:ln>
                      <a:noFill/>
                    </a:ln>
                  </pic:spPr>
                </pic:pic>
              </a:graphicData>
            </a:graphic>
          </wp:inline>
        </w:drawing>
      </w:r>
    </w:p>
    <w:p>
      <w:pPr>
        <w:adjustRightInd w:val="0"/>
        <w:spacing w:line="360" w:lineRule="auto"/>
        <w:outlineLvl w:val="2"/>
        <w:rPr>
          <w:rFonts w:ascii="宋体" w:hAnsi="宋体" w:cs="宋体"/>
          <w:sz w:val="24"/>
        </w:rPr>
      </w:pPr>
      <w:r>
        <w:rPr>
          <w:rFonts w:hint="eastAsia" w:ascii="宋体" w:hAnsi="宋体" w:cs="宋体"/>
          <w:sz w:val="24"/>
        </w:rPr>
        <w:br w:type="page"/>
      </w:r>
      <w:r>
        <w:rPr>
          <w:rFonts w:hint="eastAsia" w:ascii="宋体" w:hAnsi="宋体" w:cs="宋体"/>
          <w:sz w:val="24"/>
        </w:rPr>
        <w:t>7、168F单立杆标志结构图</w:t>
      </w:r>
    </w:p>
    <w:p>
      <w:pPr>
        <w:spacing w:line="360" w:lineRule="auto"/>
        <w:rPr>
          <w:rFonts w:ascii="宋体" w:hAnsi="宋体" w:cs="宋体"/>
          <w:sz w:val="24"/>
        </w:rPr>
      </w:pPr>
      <w:r>
        <w:rPr>
          <w:rFonts w:hint="eastAsia" w:ascii="宋体" w:hAnsi="宋体" w:cs="宋体"/>
          <w:sz w:val="24"/>
        </w:rPr>
        <w:drawing>
          <wp:inline distT="0" distB="0" distL="114300" distR="114300">
            <wp:extent cx="5260340" cy="7442200"/>
            <wp:effectExtent l="0" t="0" r="10160" b="0"/>
            <wp:docPr id="7" name="图片 9" descr="168F杆件标志结构及基础图0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168F杆件标志结构及基础图03_00"/>
                    <pic:cNvPicPr>
                      <a:picLocks noChangeAspect="1"/>
                    </pic:cNvPicPr>
                  </pic:nvPicPr>
                  <pic:blipFill>
                    <a:blip r:embed="rId24"/>
                    <a:stretch>
                      <a:fillRect/>
                    </a:stretch>
                  </pic:blipFill>
                  <pic:spPr>
                    <a:xfrm>
                      <a:off x="0" y="0"/>
                      <a:ext cx="5260340" cy="7442200"/>
                    </a:xfrm>
                    <a:prstGeom prst="rect">
                      <a:avLst/>
                    </a:prstGeom>
                    <a:noFill/>
                    <a:ln>
                      <a:noFill/>
                    </a:ln>
                  </pic:spPr>
                </pic:pic>
              </a:graphicData>
            </a:graphic>
          </wp:inline>
        </w:drawing>
      </w:r>
    </w:p>
    <w:p>
      <w:pPr>
        <w:spacing w:line="360" w:lineRule="auto"/>
        <w:rPr>
          <w:rFonts w:ascii="宋体" w:hAnsi="宋体" w:cs="宋体"/>
          <w:sz w:val="24"/>
        </w:rPr>
      </w:pPr>
      <w:r>
        <w:rPr>
          <w:rFonts w:hint="eastAsia" w:ascii="宋体" w:hAnsi="宋体" w:cs="宋体"/>
          <w:sz w:val="24"/>
        </w:rPr>
        <w:br w:type="page"/>
      </w:r>
    </w:p>
    <w:p>
      <w:pPr>
        <w:pStyle w:val="26"/>
        <w:adjustRightInd w:val="0"/>
        <w:ind w:firstLine="0" w:firstLineChars="0"/>
        <w:jc w:val="left"/>
        <w:textAlignment w:val="baseline"/>
        <w:outlineLvl w:val="2"/>
        <w:rPr>
          <w:rFonts w:cs="宋体"/>
          <w:b w:val="0"/>
          <w:color w:val="auto"/>
          <w:sz w:val="24"/>
          <w:szCs w:val="24"/>
        </w:rPr>
      </w:pPr>
      <w:r>
        <w:rPr>
          <w:rFonts w:hint="eastAsia" w:cs="宋体"/>
          <w:b w:val="0"/>
          <w:color w:val="auto"/>
          <w:sz w:val="24"/>
          <w:szCs w:val="24"/>
        </w:rPr>
        <w:t>8、219F杆件标志结构安装图</w:t>
      </w:r>
    </w:p>
    <w:p>
      <w:pPr>
        <w:pStyle w:val="26"/>
        <w:ind w:firstLine="0" w:firstLineChars="0"/>
        <w:jc w:val="left"/>
        <w:rPr>
          <w:rFonts w:cs="宋体"/>
          <w:b w:val="0"/>
          <w:sz w:val="24"/>
          <w:szCs w:val="24"/>
        </w:rPr>
      </w:pPr>
      <w:r>
        <w:rPr>
          <w:rFonts w:hint="eastAsia" w:cs="宋体"/>
          <w:b w:val="0"/>
          <w:sz w:val="24"/>
          <w:szCs w:val="24"/>
        </w:rPr>
        <w:drawing>
          <wp:inline distT="0" distB="0" distL="114300" distR="114300">
            <wp:extent cx="5261610" cy="7440930"/>
            <wp:effectExtent l="0" t="0" r="8890" b="1270"/>
            <wp:docPr id="1" name="图片 10" descr="219F杆件标志结构及基础图0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219F杆件标志结构及基础图01_00"/>
                    <pic:cNvPicPr>
                      <a:picLocks noChangeAspect="1"/>
                    </pic:cNvPicPr>
                  </pic:nvPicPr>
                  <pic:blipFill>
                    <a:blip r:embed="rId25"/>
                    <a:stretch>
                      <a:fillRect/>
                    </a:stretch>
                  </pic:blipFill>
                  <pic:spPr>
                    <a:xfrm>
                      <a:off x="0" y="0"/>
                      <a:ext cx="5261610" cy="7440930"/>
                    </a:xfrm>
                    <a:prstGeom prst="rect">
                      <a:avLst/>
                    </a:prstGeom>
                    <a:noFill/>
                    <a:ln>
                      <a:noFill/>
                    </a:ln>
                  </pic:spPr>
                </pic:pic>
              </a:graphicData>
            </a:graphic>
          </wp:inline>
        </w:drawing>
      </w:r>
      <w:r>
        <w:rPr>
          <w:rFonts w:hint="eastAsia" w:cs="宋体"/>
          <w:b w:val="0"/>
          <w:sz w:val="24"/>
          <w:szCs w:val="24"/>
        </w:rPr>
        <w:drawing>
          <wp:inline distT="0" distB="0" distL="114300" distR="114300">
            <wp:extent cx="5260340" cy="7442200"/>
            <wp:effectExtent l="0" t="0" r="10160" b="0"/>
            <wp:docPr id="19" name="图片 11" descr="219F杆件标志结构及基础图0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219F杆件标志结构及基础图02_00"/>
                    <pic:cNvPicPr>
                      <a:picLocks noChangeAspect="1"/>
                    </pic:cNvPicPr>
                  </pic:nvPicPr>
                  <pic:blipFill>
                    <a:blip r:embed="rId26"/>
                    <a:stretch>
                      <a:fillRect/>
                    </a:stretch>
                  </pic:blipFill>
                  <pic:spPr>
                    <a:xfrm>
                      <a:off x="0" y="0"/>
                      <a:ext cx="5260340" cy="7442200"/>
                    </a:xfrm>
                    <a:prstGeom prst="rect">
                      <a:avLst/>
                    </a:prstGeom>
                    <a:noFill/>
                    <a:ln>
                      <a:noFill/>
                    </a:ln>
                  </pic:spPr>
                </pic:pic>
              </a:graphicData>
            </a:graphic>
          </wp:inline>
        </w:drawing>
      </w:r>
      <w:r>
        <w:rPr>
          <w:rFonts w:hint="eastAsia" w:cs="宋体"/>
          <w:b w:val="0"/>
          <w:sz w:val="24"/>
          <w:szCs w:val="24"/>
        </w:rPr>
        <w:drawing>
          <wp:inline distT="0" distB="0" distL="114300" distR="114300">
            <wp:extent cx="5260340" cy="7442200"/>
            <wp:effectExtent l="0" t="0" r="10160" b="0"/>
            <wp:docPr id="25" name="图片 12" descr="219F杆件标志结构及基础图0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descr="219F杆件标志结构及基础图03_00"/>
                    <pic:cNvPicPr>
                      <a:picLocks noChangeAspect="1"/>
                    </pic:cNvPicPr>
                  </pic:nvPicPr>
                  <pic:blipFill>
                    <a:blip r:embed="rId27"/>
                    <a:stretch>
                      <a:fillRect/>
                    </a:stretch>
                  </pic:blipFill>
                  <pic:spPr>
                    <a:xfrm>
                      <a:off x="0" y="0"/>
                      <a:ext cx="5260340" cy="7442200"/>
                    </a:xfrm>
                    <a:prstGeom prst="rect">
                      <a:avLst/>
                    </a:prstGeom>
                    <a:noFill/>
                    <a:ln>
                      <a:noFill/>
                    </a:ln>
                  </pic:spPr>
                </pic:pic>
              </a:graphicData>
            </a:graphic>
          </wp:inline>
        </w:drawing>
      </w:r>
    </w:p>
    <w:p>
      <w:pPr>
        <w:spacing w:line="360" w:lineRule="auto"/>
        <w:rPr>
          <w:rFonts w:ascii="宋体" w:hAnsi="宋体" w:cs="宋体"/>
          <w:sz w:val="24"/>
        </w:rPr>
      </w:pPr>
      <w:r>
        <w:rPr>
          <w:rFonts w:hint="eastAsia" w:ascii="宋体" w:hAnsi="宋体" w:cs="宋体"/>
          <w:sz w:val="24"/>
        </w:rPr>
        <w:br w:type="page"/>
      </w:r>
    </w:p>
    <w:p>
      <w:pPr>
        <w:pStyle w:val="26"/>
        <w:adjustRightInd w:val="0"/>
        <w:ind w:firstLine="0" w:firstLineChars="0"/>
        <w:jc w:val="left"/>
        <w:textAlignment w:val="baseline"/>
        <w:outlineLvl w:val="2"/>
        <w:rPr>
          <w:rFonts w:cs="宋体"/>
          <w:b w:val="0"/>
          <w:color w:val="auto"/>
          <w:sz w:val="24"/>
          <w:szCs w:val="24"/>
        </w:rPr>
      </w:pPr>
      <w:r>
        <w:rPr>
          <w:rFonts w:hint="eastAsia" w:cs="宋体"/>
          <w:b w:val="0"/>
          <w:color w:val="auto"/>
          <w:sz w:val="24"/>
          <w:szCs w:val="24"/>
        </w:rPr>
        <w:t>9、273F杆件标志结构安装图</w:t>
      </w:r>
    </w:p>
    <w:p>
      <w:pPr>
        <w:pStyle w:val="26"/>
        <w:ind w:firstLine="0" w:firstLineChars="0"/>
        <w:jc w:val="left"/>
        <w:rPr>
          <w:rFonts w:cs="宋体"/>
          <w:b w:val="0"/>
          <w:sz w:val="24"/>
          <w:szCs w:val="24"/>
        </w:rPr>
      </w:pPr>
      <w:r>
        <w:rPr>
          <w:rFonts w:hint="eastAsia" w:cs="宋体"/>
          <w:b w:val="0"/>
          <w:sz w:val="24"/>
          <w:szCs w:val="24"/>
        </w:rPr>
        <w:drawing>
          <wp:inline distT="0" distB="0" distL="114300" distR="114300">
            <wp:extent cx="5543550" cy="7843520"/>
            <wp:effectExtent l="0" t="0" r="6350" b="5080"/>
            <wp:docPr id="29" name="图片 13" descr="273F杆件标志结构及基础图0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descr="273F杆件标志结构及基础图01_00"/>
                    <pic:cNvPicPr>
                      <a:picLocks noChangeAspect="1"/>
                    </pic:cNvPicPr>
                  </pic:nvPicPr>
                  <pic:blipFill>
                    <a:blip r:embed="rId28" cstate="print"/>
                    <a:stretch>
                      <a:fillRect/>
                    </a:stretch>
                  </pic:blipFill>
                  <pic:spPr>
                    <a:xfrm>
                      <a:off x="0" y="0"/>
                      <a:ext cx="5543550" cy="7843520"/>
                    </a:xfrm>
                    <a:prstGeom prst="rect">
                      <a:avLst/>
                    </a:prstGeom>
                    <a:noFill/>
                    <a:ln>
                      <a:noFill/>
                    </a:ln>
                  </pic:spPr>
                </pic:pic>
              </a:graphicData>
            </a:graphic>
          </wp:inline>
        </w:drawing>
      </w:r>
    </w:p>
    <w:p>
      <w:pPr>
        <w:spacing w:line="360" w:lineRule="auto"/>
        <w:rPr>
          <w:rFonts w:ascii="宋体" w:hAnsi="宋体" w:cs="宋体"/>
          <w:sz w:val="24"/>
        </w:rPr>
      </w:pPr>
      <w:r>
        <w:rPr>
          <w:rFonts w:hint="eastAsia" w:ascii="宋体" w:hAnsi="宋体" w:cs="宋体"/>
          <w:sz w:val="24"/>
        </w:rPr>
        <w:br w:type="page"/>
      </w:r>
    </w:p>
    <w:p>
      <w:pPr>
        <w:pStyle w:val="26"/>
        <w:ind w:firstLine="0" w:firstLineChars="0"/>
        <w:jc w:val="left"/>
        <w:rPr>
          <w:rFonts w:cs="宋体"/>
          <w:b w:val="0"/>
          <w:sz w:val="24"/>
          <w:szCs w:val="24"/>
        </w:rPr>
      </w:pPr>
      <w:r>
        <w:rPr>
          <w:rFonts w:hint="eastAsia" w:cs="宋体"/>
          <w:b w:val="0"/>
          <w:sz w:val="24"/>
          <w:szCs w:val="24"/>
        </w:rPr>
        <w:drawing>
          <wp:inline distT="0" distB="0" distL="114300" distR="114300">
            <wp:extent cx="5260340" cy="7442200"/>
            <wp:effectExtent l="0" t="0" r="10160" b="0"/>
            <wp:docPr id="14" name="图片 14" descr="273F杆件标志结构及基础图0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73F杆件标志结构及基础图01_00"/>
                    <pic:cNvPicPr>
                      <a:picLocks noChangeAspect="1"/>
                    </pic:cNvPicPr>
                  </pic:nvPicPr>
                  <pic:blipFill>
                    <a:blip r:embed="rId29" cstate="print"/>
                    <a:stretch>
                      <a:fillRect/>
                    </a:stretch>
                  </pic:blipFill>
                  <pic:spPr>
                    <a:xfrm>
                      <a:off x="0" y="0"/>
                      <a:ext cx="5260340" cy="7442200"/>
                    </a:xfrm>
                    <a:prstGeom prst="rect">
                      <a:avLst/>
                    </a:prstGeom>
                    <a:noFill/>
                    <a:ln>
                      <a:noFill/>
                    </a:ln>
                  </pic:spPr>
                </pic:pic>
              </a:graphicData>
            </a:graphic>
          </wp:inline>
        </w:drawing>
      </w:r>
      <w:r>
        <w:rPr>
          <w:rFonts w:hint="eastAsia" w:cs="宋体"/>
          <w:b w:val="0"/>
          <w:sz w:val="24"/>
          <w:szCs w:val="24"/>
        </w:rPr>
        <w:drawing>
          <wp:inline distT="0" distB="0" distL="114300" distR="114300">
            <wp:extent cx="5261610" cy="7440930"/>
            <wp:effectExtent l="0" t="0" r="8890" b="1270"/>
            <wp:docPr id="17" name="图片 15" descr="273F杆件标志结构及基础图0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273F杆件标志结构及基础图02_00"/>
                    <pic:cNvPicPr>
                      <a:picLocks noChangeAspect="1"/>
                    </pic:cNvPicPr>
                  </pic:nvPicPr>
                  <pic:blipFill>
                    <a:blip r:embed="rId30"/>
                    <a:stretch>
                      <a:fillRect/>
                    </a:stretch>
                  </pic:blipFill>
                  <pic:spPr>
                    <a:xfrm>
                      <a:off x="0" y="0"/>
                      <a:ext cx="5261610" cy="7440930"/>
                    </a:xfrm>
                    <a:prstGeom prst="rect">
                      <a:avLst/>
                    </a:prstGeom>
                    <a:noFill/>
                    <a:ln>
                      <a:noFill/>
                    </a:ln>
                  </pic:spPr>
                </pic:pic>
              </a:graphicData>
            </a:graphic>
          </wp:inline>
        </w:drawing>
      </w:r>
      <w:r>
        <w:rPr>
          <w:rFonts w:hint="eastAsia" w:cs="宋体"/>
          <w:b w:val="0"/>
          <w:sz w:val="24"/>
          <w:szCs w:val="24"/>
        </w:rPr>
        <w:drawing>
          <wp:inline distT="0" distB="0" distL="114300" distR="114300">
            <wp:extent cx="5260340" cy="7442200"/>
            <wp:effectExtent l="0" t="0" r="10160" b="0"/>
            <wp:docPr id="15" name="图片 16" descr="273F杆件标志结构及基础图0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273F杆件标志结构及基础图03_00"/>
                    <pic:cNvPicPr>
                      <a:picLocks noChangeAspect="1"/>
                    </pic:cNvPicPr>
                  </pic:nvPicPr>
                  <pic:blipFill>
                    <a:blip r:embed="rId31"/>
                    <a:stretch>
                      <a:fillRect/>
                    </a:stretch>
                  </pic:blipFill>
                  <pic:spPr>
                    <a:xfrm>
                      <a:off x="0" y="0"/>
                      <a:ext cx="5260340" cy="7442200"/>
                    </a:xfrm>
                    <a:prstGeom prst="rect">
                      <a:avLst/>
                    </a:prstGeom>
                    <a:noFill/>
                    <a:ln>
                      <a:noFill/>
                    </a:ln>
                  </pic:spPr>
                </pic:pic>
              </a:graphicData>
            </a:graphic>
          </wp:inline>
        </w:drawing>
      </w:r>
    </w:p>
    <w:p>
      <w:pPr>
        <w:spacing w:line="360" w:lineRule="auto"/>
        <w:rPr>
          <w:rFonts w:ascii="宋体" w:hAnsi="宋体" w:cs="宋体"/>
          <w:sz w:val="24"/>
        </w:rPr>
      </w:pPr>
      <w:r>
        <w:rPr>
          <w:rFonts w:hint="eastAsia" w:ascii="宋体" w:hAnsi="宋体" w:cs="宋体"/>
          <w:sz w:val="24"/>
        </w:rPr>
        <w:br w:type="page"/>
      </w:r>
    </w:p>
    <w:p>
      <w:pPr>
        <w:pStyle w:val="26"/>
        <w:adjustRightInd w:val="0"/>
        <w:ind w:firstLine="0" w:firstLineChars="0"/>
        <w:jc w:val="left"/>
        <w:textAlignment w:val="baseline"/>
        <w:outlineLvl w:val="2"/>
        <w:rPr>
          <w:rFonts w:cs="宋体"/>
          <w:b w:val="0"/>
          <w:color w:val="auto"/>
          <w:sz w:val="24"/>
          <w:szCs w:val="24"/>
        </w:rPr>
      </w:pPr>
      <w:r>
        <w:rPr>
          <w:rFonts w:hint="eastAsia" w:cs="宋体"/>
          <w:b w:val="0"/>
          <w:color w:val="auto"/>
          <w:sz w:val="24"/>
          <w:szCs w:val="24"/>
        </w:rPr>
        <w:t>10、L杆标志结构安装图</w:t>
      </w:r>
    </w:p>
    <w:p>
      <w:pPr>
        <w:pStyle w:val="26"/>
        <w:ind w:firstLine="0" w:firstLineChars="0"/>
        <w:jc w:val="left"/>
        <w:rPr>
          <w:rFonts w:cs="宋体"/>
          <w:b w:val="0"/>
          <w:sz w:val="24"/>
          <w:szCs w:val="24"/>
        </w:rPr>
      </w:pPr>
      <w:r>
        <w:rPr>
          <w:rFonts w:hint="eastAsia" w:cs="宋体"/>
          <w:b w:val="0"/>
          <w:sz w:val="24"/>
          <w:szCs w:val="24"/>
        </w:rPr>
        <w:drawing>
          <wp:inline distT="0" distB="0" distL="114300" distR="114300">
            <wp:extent cx="5260340" cy="7442200"/>
            <wp:effectExtent l="0" t="0" r="10160" b="0"/>
            <wp:docPr id="22" name="图片 17" descr="L杆标志结构及基础图0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descr="L杆标志结构及基础图01_00"/>
                    <pic:cNvPicPr>
                      <a:picLocks noChangeAspect="1"/>
                    </pic:cNvPicPr>
                  </pic:nvPicPr>
                  <pic:blipFill>
                    <a:blip r:embed="rId32"/>
                    <a:stretch>
                      <a:fillRect/>
                    </a:stretch>
                  </pic:blipFill>
                  <pic:spPr>
                    <a:xfrm>
                      <a:off x="0" y="0"/>
                      <a:ext cx="5260340" cy="7442200"/>
                    </a:xfrm>
                    <a:prstGeom prst="rect">
                      <a:avLst/>
                    </a:prstGeom>
                    <a:noFill/>
                    <a:ln>
                      <a:noFill/>
                    </a:ln>
                  </pic:spPr>
                </pic:pic>
              </a:graphicData>
            </a:graphic>
          </wp:inline>
        </w:drawing>
      </w:r>
      <w:r>
        <w:rPr>
          <w:rFonts w:hint="eastAsia" w:cs="宋体"/>
          <w:b w:val="0"/>
          <w:sz w:val="24"/>
          <w:szCs w:val="24"/>
        </w:rPr>
        <w:drawing>
          <wp:inline distT="0" distB="0" distL="114300" distR="114300">
            <wp:extent cx="5260340" cy="7442200"/>
            <wp:effectExtent l="0" t="0" r="10160" b="0"/>
            <wp:docPr id="20" name="图片 18" descr="L杆标志结构及基础图0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L杆标志结构及基础图02_00"/>
                    <pic:cNvPicPr>
                      <a:picLocks noChangeAspect="1"/>
                    </pic:cNvPicPr>
                  </pic:nvPicPr>
                  <pic:blipFill>
                    <a:blip r:embed="rId33" cstate="print"/>
                    <a:stretch>
                      <a:fillRect/>
                    </a:stretch>
                  </pic:blipFill>
                  <pic:spPr>
                    <a:xfrm>
                      <a:off x="0" y="0"/>
                      <a:ext cx="5260340" cy="7442200"/>
                    </a:xfrm>
                    <a:prstGeom prst="rect">
                      <a:avLst/>
                    </a:prstGeom>
                    <a:noFill/>
                    <a:ln>
                      <a:noFill/>
                    </a:ln>
                  </pic:spPr>
                </pic:pic>
              </a:graphicData>
            </a:graphic>
          </wp:inline>
        </w:drawing>
      </w:r>
    </w:p>
    <w:p>
      <w:pPr>
        <w:spacing w:line="360" w:lineRule="auto"/>
        <w:rPr>
          <w:rFonts w:ascii="宋体" w:hAnsi="宋体" w:cs="宋体"/>
          <w:sz w:val="24"/>
        </w:rPr>
      </w:pPr>
      <w:r>
        <w:rPr>
          <w:rFonts w:hint="eastAsia" w:ascii="宋体" w:hAnsi="宋体" w:cs="宋体"/>
          <w:sz w:val="24"/>
        </w:rPr>
        <w:br w:type="page"/>
      </w:r>
    </w:p>
    <w:p>
      <w:pPr>
        <w:pStyle w:val="26"/>
        <w:adjustRightInd w:val="0"/>
        <w:ind w:firstLine="0" w:firstLineChars="0"/>
        <w:jc w:val="left"/>
        <w:textAlignment w:val="baseline"/>
        <w:outlineLvl w:val="2"/>
        <w:rPr>
          <w:rFonts w:cs="宋体"/>
          <w:b w:val="0"/>
          <w:color w:val="auto"/>
          <w:sz w:val="24"/>
          <w:szCs w:val="24"/>
        </w:rPr>
      </w:pPr>
      <w:r>
        <w:rPr>
          <w:rFonts w:hint="eastAsia" w:cs="宋体"/>
          <w:b w:val="0"/>
          <w:color w:val="auto"/>
          <w:sz w:val="24"/>
          <w:szCs w:val="24"/>
        </w:rPr>
        <w:t>11、信号灯L杆标志结构及基础图</w:t>
      </w:r>
    </w:p>
    <w:p>
      <w:pPr>
        <w:pStyle w:val="26"/>
        <w:ind w:firstLine="0" w:firstLineChars="0"/>
        <w:jc w:val="left"/>
        <w:rPr>
          <w:rFonts w:cs="宋体"/>
          <w:b w:val="0"/>
          <w:sz w:val="24"/>
          <w:szCs w:val="24"/>
        </w:rPr>
      </w:pPr>
      <w:r>
        <w:rPr>
          <w:rFonts w:hint="eastAsia" w:cs="宋体"/>
          <w:b w:val="0"/>
          <w:sz w:val="24"/>
          <w:szCs w:val="24"/>
        </w:rPr>
        <w:drawing>
          <wp:inline distT="0" distB="0" distL="114300" distR="114300">
            <wp:extent cx="5530850" cy="7825740"/>
            <wp:effectExtent l="0" t="0" r="6350" b="10160"/>
            <wp:docPr id="18" name="图片 19" descr="L杆标志结构及基础图0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L杆标志结构及基础图02_00"/>
                    <pic:cNvPicPr>
                      <a:picLocks noChangeAspect="1"/>
                    </pic:cNvPicPr>
                  </pic:nvPicPr>
                  <pic:blipFill>
                    <a:blip r:embed="rId34" cstate="print"/>
                    <a:stretch>
                      <a:fillRect/>
                    </a:stretch>
                  </pic:blipFill>
                  <pic:spPr>
                    <a:xfrm>
                      <a:off x="0" y="0"/>
                      <a:ext cx="5530850" cy="7825740"/>
                    </a:xfrm>
                    <a:prstGeom prst="rect">
                      <a:avLst/>
                    </a:prstGeom>
                    <a:noFill/>
                    <a:ln>
                      <a:noFill/>
                    </a:ln>
                  </pic:spPr>
                </pic:pic>
              </a:graphicData>
            </a:graphic>
          </wp:inline>
        </w:drawing>
      </w:r>
      <w:r>
        <w:rPr>
          <w:rFonts w:hint="eastAsia" w:cs="宋体"/>
          <w:b w:val="0"/>
          <w:sz w:val="24"/>
          <w:szCs w:val="24"/>
        </w:rPr>
        <w:drawing>
          <wp:inline distT="0" distB="0" distL="114300" distR="114300">
            <wp:extent cx="5260340" cy="7442200"/>
            <wp:effectExtent l="0" t="0" r="10160" b="0"/>
            <wp:docPr id="31" name="图片 20" descr="信号灯L杆标志结构及基础图0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descr="信号灯L杆标志结构及基础图02_00"/>
                    <pic:cNvPicPr>
                      <a:picLocks noChangeAspect="1"/>
                    </pic:cNvPicPr>
                  </pic:nvPicPr>
                  <pic:blipFill>
                    <a:blip r:embed="rId35"/>
                    <a:stretch>
                      <a:fillRect/>
                    </a:stretch>
                  </pic:blipFill>
                  <pic:spPr>
                    <a:xfrm>
                      <a:off x="0" y="0"/>
                      <a:ext cx="5260340" cy="7442200"/>
                    </a:xfrm>
                    <a:prstGeom prst="rect">
                      <a:avLst/>
                    </a:prstGeom>
                    <a:noFill/>
                    <a:ln>
                      <a:noFill/>
                    </a:ln>
                  </pic:spPr>
                </pic:pic>
              </a:graphicData>
            </a:graphic>
          </wp:inline>
        </w:drawing>
      </w:r>
    </w:p>
    <w:p>
      <w:pPr>
        <w:spacing w:line="360" w:lineRule="auto"/>
        <w:rPr>
          <w:rFonts w:ascii="宋体" w:hAnsi="宋体" w:cs="宋体"/>
          <w:sz w:val="24"/>
        </w:rPr>
      </w:pPr>
      <w:r>
        <w:rPr>
          <w:rFonts w:hint="eastAsia" w:ascii="宋体" w:hAnsi="宋体" w:cs="宋体"/>
          <w:sz w:val="24"/>
        </w:rPr>
        <w:br w:type="page"/>
      </w:r>
    </w:p>
    <w:p>
      <w:pPr>
        <w:pStyle w:val="26"/>
        <w:adjustRightInd w:val="0"/>
        <w:ind w:firstLine="0" w:firstLineChars="0"/>
        <w:jc w:val="left"/>
        <w:textAlignment w:val="baseline"/>
        <w:outlineLvl w:val="2"/>
        <w:rPr>
          <w:rFonts w:cs="宋体"/>
          <w:b w:val="0"/>
          <w:sz w:val="24"/>
          <w:szCs w:val="24"/>
        </w:rPr>
      </w:pPr>
      <w:r>
        <w:rPr>
          <w:rFonts w:hint="eastAsia" w:cs="宋体"/>
          <w:b w:val="0"/>
          <w:color w:val="auto"/>
          <w:sz w:val="24"/>
          <w:szCs w:val="24"/>
        </w:rPr>
        <w:t>12、人行道灯立柱大样图</w:t>
      </w:r>
      <w:r>
        <w:rPr>
          <w:rFonts w:hint="eastAsia" w:cs="宋体"/>
          <w:b w:val="0"/>
          <w:sz w:val="24"/>
          <w:szCs w:val="24"/>
        </w:rPr>
        <w:drawing>
          <wp:inline distT="0" distB="0" distL="114300" distR="114300">
            <wp:extent cx="5266690" cy="7452360"/>
            <wp:effectExtent l="0" t="0" r="3810" b="2540"/>
            <wp:docPr id="27" name="图片 21" descr="人行护栏示意图(1) Model (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descr="人行护栏示意图(1) Model (1)_01"/>
                    <pic:cNvPicPr>
                      <a:picLocks noChangeAspect="1"/>
                    </pic:cNvPicPr>
                  </pic:nvPicPr>
                  <pic:blipFill>
                    <a:blip r:embed="rId36"/>
                    <a:stretch>
                      <a:fillRect/>
                    </a:stretch>
                  </pic:blipFill>
                  <pic:spPr>
                    <a:xfrm>
                      <a:off x="0" y="0"/>
                      <a:ext cx="5266690" cy="7452360"/>
                    </a:xfrm>
                    <a:prstGeom prst="rect">
                      <a:avLst/>
                    </a:prstGeom>
                    <a:noFill/>
                    <a:ln>
                      <a:noFill/>
                    </a:ln>
                  </pic:spPr>
                </pic:pic>
              </a:graphicData>
            </a:graphic>
          </wp:inline>
        </w:drawing>
      </w:r>
    </w:p>
    <w:p>
      <w:pPr>
        <w:spacing w:line="360" w:lineRule="auto"/>
        <w:outlineLvl w:val="2"/>
        <w:rPr>
          <w:rFonts w:ascii="宋体" w:hAnsi="宋体" w:cs="宋体"/>
          <w:sz w:val="24"/>
        </w:rPr>
      </w:pPr>
      <w:r>
        <w:rPr>
          <w:rFonts w:hint="eastAsia" w:ascii="宋体" w:hAnsi="宋体" w:cs="宋体"/>
          <w:sz w:val="24"/>
        </w:rPr>
        <w:br w:type="page"/>
      </w:r>
      <w:r>
        <w:rPr>
          <w:rFonts w:hint="eastAsia" w:ascii="宋体" w:hAnsi="宋体" w:cs="宋体"/>
          <w:sz w:val="24"/>
        </w:rPr>
        <w:t>13、人行护栏大样图</w:t>
      </w:r>
    </w:p>
    <w:p>
      <w:pPr>
        <w:tabs>
          <w:tab w:val="left" w:pos="6075"/>
        </w:tabs>
        <w:spacing w:line="360" w:lineRule="auto"/>
        <w:rPr>
          <w:rFonts w:ascii="宋体" w:hAnsi="宋体" w:cs="宋体"/>
          <w:sz w:val="24"/>
        </w:rPr>
      </w:pPr>
      <w:r>
        <w:rPr>
          <w:rFonts w:hint="eastAsia" w:ascii="宋体" w:hAnsi="宋体" w:cs="宋体"/>
          <w:sz w:val="24"/>
        </w:rPr>
        <w:drawing>
          <wp:inline distT="0" distB="0" distL="114300" distR="114300">
            <wp:extent cx="4476750" cy="8427085"/>
            <wp:effectExtent l="0" t="0" r="6350" b="5715"/>
            <wp:docPr id="23" name="图片 22" descr="人行护栏示意图(1) Model (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人行护栏示意图(1) Model (1)_00"/>
                    <pic:cNvPicPr>
                      <a:picLocks noChangeAspect="1"/>
                    </pic:cNvPicPr>
                  </pic:nvPicPr>
                  <pic:blipFill>
                    <a:blip r:embed="rId37"/>
                    <a:srcRect l="28247" t="4539"/>
                    <a:stretch>
                      <a:fillRect/>
                    </a:stretch>
                  </pic:blipFill>
                  <pic:spPr>
                    <a:xfrm>
                      <a:off x="0" y="0"/>
                      <a:ext cx="4476750" cy="8427085"/>
                    </a:xfrm>
                    <a:prstGeom prst="rect">
                      <a:avLst/>
                    </a:prstGeom>
                    <a:noFill/>
                    <a:ln>
                      <a:noFill/>
                    </a:ln>
                  </pic:spPr>
                </pic:pic>
              </a:graphicData>
            </a:graphic>
          </wp:inline>
        </w:drawing>
      </w:r>
    </w:p>
    <w:p>
      <w:pPr>
        <w:pStyle w:val="11"/>
        <w:spacing w:line="360" w:lineRule="auto"/>
        <w:rPr>
          <w:rFonts w:hAnsi="宋体" w:cs="宋体"/>
          <w:sz w:val="24"/>
          <w:szCs w:val="24"/>
        </w:rPr>
      </w:pPr>
      <w:r>
        <w:rPr>
          <w:rFonts w:hint="eastAsia" w:hAnsi="宋体" w:cs="宋体"/>
          <w:sz w:val="24"/>
          <w:szCs w:val="24"/>
        </w:rPr>
        <w:t>13.1、A型护栏大样图</w:t>
      </w:r>
    </w:p>
    <w:p>
      <w:pPr>
        <w:spacing w:line="360" w:lineRule="auto"/>
        <w:rPr>
          <w:rFonts w:ascii="宋体" w:hAnsi="宋体" w:cs="宋体"/>
          <w:sz w:val="24"/>
        </w:rPr>
      </w:pPr>
      <w:r>
        <w:rPr>
          <w:rFonts w:hint="eastAsia" w:ascii="宋体" w:hAnsi="宋体" w:cs="宋体"/>
          <w:sz w:val="24"/>
        </w:rPr>
        <w:drawing>
          <wp:inline distT="0" distB="0" distL="0" distR="0">
            <wp:extent cx="5257165" cy="7528560"/>
            <wp:effectExtent l="0" t="0" r="635" b="2540"/>
            <wp:docPr id="28" name="图片 27"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11.png"/>
                    <pic:cNvPicPr>
                      <a:picLocks noChangeAspect="1"/>
                    </pic:cNvPicPr>
                  </pic:nvPicPr>
                  <pic:blipFill>
                    <a:blip r:embed="rId38"/>
                    <a:stretch>
                      <a:fillRect/>
                    </a:stretch>
                  </pic:blipFill>
                  <pic:spPr>
                    <a:xfrm>
                      <a:off x="0" y="0"/>
                      <a:ext cx="5257165" cy="7528560"/>
                    </a:xfrm>
                    <a:prstGeom prst="rect">
                      <a:avLst/>
                    </a:prstGeom>
                  </pic:spPr>
                </pic:pic>
              </a:graphicData>
            </a:graphic>
          </wp:inline>
        </w:drawing>
      </w:r>
    </w:p>
    <w:p>
      <w:pPr>
        <w:spacing w:line="360" w:lineRule="auto"/>
        <w:jc w:val="left"/>
        <w:rPr>
          <w:rFonts w:ascii="宋体" w:hAnsi="宋体" w:cs="宋体"/>
          <w:sz w:val="24"/>
        </w:rPr>
      </w:pPr>
      <w:r>
        <w:rPr>
          <w:rFonts w:hint="eastAsia" w:ascii="宋体" w:hAnsi="宋体" w:cs="宋体"/>
          <w:sz w:val="24"/>
        </w:rPr>
        <w:drawing>
          <wp:inline distT="0" distB="0" distL="0" distR="0">
            <wp:extent cx="5257165" cy="7556500"/>
            <wp:effectExtent l="0" t="0" r="635" b="0"/>
            <wp:docPr id="30" name="图片 29"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22.png"/>
                    <pic:cNvPicPr>
                      <a:picLocks noChangeAspect="1"/>
                    </pic:cNvPicPr>
                  </pic:nvPicPr>
                  <pic:blipFill>
                    <a:blip r:embed="rId39"/>
                    <a:stretch>
                      <a:fillRect/>
                    </a:stretch>
                  </pic:blipFill>
                  <pic:spPr>
                    <a:xfrm>
                      <a:off x="0" y="0"/>
                      <a:ext cx="5257165" cy="7556500"/>
                    </a:xfrm>
                    <a:prstGeom prst="rect">
                      <a:avLst/>
                    </a:prstGeom>
                  </pic:spPr>
                </pic:pic>
              </a:graphicData>
            </a:graphic>
          </wp:inline>
        </w:drawing>
      </w:r>
    </w:p>
    <w:p>
      <w:pPr>
        <w:spacing w:line="360" w:lineRule="auto"/>
        <w:outlineLvl w:val="2"/>
        <w:rPr>
          <w:rFonts w:ascii="宋体" w:hAnsi="宋体" w:cs="宋体"/>
          <w:sz w:val="24"/>
        </w:rPr>
      </w:pPr>
      <w:r>
        <w:rPr>
          <w:rFonts w:hint="eastAsia" w:ascii="宋体" w:hAnsi="宋体" w:cs="宋体"/>
          <w:sz w:val="24"/>
        </w:rPr>
        <w:drawing>
          <wp:inline distT="0" distB="0" distL="0" distR="0">
            <wp:extent cx="5257165" cy="7544435"/>
            <wp:effectExtent l="0" t="0" r="635" b="12065"/>
            <wp:docPr id="35" name="图片 34" descr="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descr="33.png"/>
                    <pic:cNvPicPr>
                      <a:picLocks noChangeAspect="1"/>
                    </pic:cNvPicPr>
                  </pic:nvPicPr>
                  <pic:blipFill>
                    <a:blip r:embed="rId40"/>
                    <a:stretch>
                      <a:fillRect/>
                    </a:stretch>
                  </pic:blipFill>
                  <pic:spPr>
                    <a:xfrm>
                      <a:off x="0" y="0"/>
                      <a:ext cx="5257165" cy="7544435"/>
                    </a:xfrm>
                    <a:prstGeom prst="rect">
                      <a:avLst/>
                    </a:prstGeom>
                  </pic:spPr>
                </pic:pic>
              </a:graphicData>
            </a:graphic>
          </wp:inline>
        </w:drawing>
      </w:r>
    </w:p>
    <w:p>
      <w:pPr>
        <w:spacing w:line="360" w:lineRule="auto"/>
        <w:outlineLvl w:val="2"/>
        <w:rPr>
          <w:rFonts w:ascii="宋体" w:hAnsi="宋体" w:cs="宋体"/>
          <w:sz w:val="24"/>
        </w:rPr>
      </w:pPr>
    </w:p>
    <w:p>
      <w:pPr>
        <w:spacing w:line="360" w:lineRule="auto"/>
        <w:outlineLvl w:val="2"/>
        <w:rPr>
          <w:rFonts w:ascii="宋体" w:hAnsi="宋体" w:cs="宋体"/>
          <w:sz w:val="24"/>
        </w:rPr>
      </w:pPr>
    </w:p>
    <w:p>
      <w:pPr>
        <w:spacing w:line="360" w:lineRule="auto"/>
        <w:outlineLvl w:val="2"/>
        <w:rPr>
          <w:rFonts w:ascii="宋体" w:hAnsi="宋体" w:cs="宋体"/>
          <w:sz w:val="24"/>
        </w:rPr>
      </w:pPr>
    </w:p>
    <w:p>
      <w:pPr>
        <w:spacing w:line="360" w:lineRule="auto"/>
        <w:outlineLvl w:val="2"/>
        <w:rPr>
          <w:rFonts w:ascii="宋体" w:hAnsi="宋体" w:cs="宋体"/>
          <w:sz w:val="24"/>
        </w:rPr>
      </w:pPr>
    </w:p>
    <w:p>
      <w:pPr>
        <w:spacing w:line="360" w:lineRule="auto"/>
        <w:outlineLvl w:val="2"/>
        <w:rPr>
          <w:rFonts w:ascii="宋体" w:hAnsi="宋体" w:cs="宋体"/>
          <w:sz w:val="24"/>
        </w:rPr>
      </w:pPr>
      <w:r>
        <w:rPr>
          <w:rFonts w:hint="eastAsia" w:ascii="宋体" w:hAnsi="宋体" w:cs="宋体"/>
          <w:sz w:val="24"/>
        </w:rPr>
        <w:t>14.1N型护栏大样图</w:t>
      </w:r>
    </w:p>
    <w:p>
      <w:pPr>
        <w:spacing w:line="360" w:lineRule="auto"/>
        <w:jc w:val="left"/>
        <w:rPr>
          <w:rFonts w:ascii="宋体" w:hAnsi="宋体" w:cs="宋体"/>
          <w:sz w:val="24"/>
        </w:rPr>
      </w:pPr>
      <w:r>
        <w:rPr>
          <w:rFonts w:hint="eastAsia" w:ascii="宋体" w:hAnsi="宋体" w:cs="宋体"/>
          <w:sz w:val="24"/>
        </w:rPr>
        <w:drawing>
          <wp:inline distT="0" distB="0" distL="0" distR="0">
            <wp:extent cx="5257165" cy="7575550"/>
            <wp:effectExtent l="0" t="0" r="635" b="6350"/>
            <wp:docPr id="12" name="图片 11"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11.png"/>
                    <pic:cNvPicPr>
                      <a:picLocks noChangeAspect="1"/>
                    </pic:cNvPicPr>
                  </pic:nvPicPr>
                  <pic:blipFill>
                    <a:blip r:embed="rId41"/>
                    <a:stretch>
                      <a:fillRect/>
                    </a:stretch>
                  </pic:blipFill>
                  <pic:spPr>
                    <a:xfrm>
                      <a:off x="0" y="0"/>
                      <a:ext cx="5257165" cy="7575550"/>
                    </a:xfrm>
                    <a:prstGeom prst="rect">
                      <a:avLst/>
                    </a:prstGeom>
                  </pic:spPr>
                </pic:pic>
              </a:graphicData>
            </a:graphic>
          </wp:inline>
        </w:drawing>
      </w:r>
    </w:p>
    <w:p>
      <w:pPr>
        <w:pStyle w:val="11"/>
        <w:spacing w:line="360" w:lineRule="auto"/>
        <w:rPr>
          <w:rFonts w:hAnsi="宋体" w:cs="宋体"/>
          <w:sz w:val="24"/>
          <w:szCs w:val="24"/>
        </w:rPr>
      </w:pPr>
    </w:p>
    <w:p>
      <w:pPr>
        <w:spacing w:line="360" w:lineRule="auto"/>
        <w:rPr>
          <w:rFonts w:ascii="宋体" w:hAnsi="宋体" w:cs="宋体"/>
          <w:sz w:val="24"/>
        </w:rPr>
      </w:pPr>
      <w:r>
        <w:rPr>
          <w:rFonts w:hint="eastAsia" w:ascii="宋体" w:hAnsi="宋体" w:cs="宋体"/>
          <w:sz w:val="24"/>
        </w:rPr>
        <w:drawing>
          <wp:inline distT="0" distB="0" distL="0" distR="0">
            <wp:extent cx="5257165" cy="7492365"/>
            <wp:effectExtent l="0" t="0" r="635" b="635"/>
            <wp:docPr id="26" name="图片 25"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22.png"/>
                    <pic:cNvPicPr>
                      <a:picLocks noChangeAspect="1"/>
                    </pic:cNvPicPr>
                  </pic:nvPicPr>
                  <pic:blipFill>
                    <a:blip r:embed="rId42"/>
                    <a:stretch>
                      <a:fillRect/>
                    </a:stretch>
                  </pic:blipFill>
                  <pic:spPr>
                    <a:xfrm>
                      <a:off x="0" y="0"/>
                      <a:ext cx="5257165" cy="7492365"/>
                    </a:xfrm>
                    <a:prstGeom prst="rect">
                      <a:avLst/>
                    </a:prstGeom>
                  </pic:spPr>
                </pic:pic>
              </a:graphicData>
            </a:graphic>
          </wp:inline>
        </w:drawing>
      </w:r>
    </w:p>
    <w:p>
      <w:pPr>
        <w:spacing w:line="360" w:lineRule="auto"/>
        <w:rPr>
          <w:rFonts w:ascii="宋体" w:hAnsi="宋体" w:cs="宋体"/>
          <w:sz w:val="24"/>
        </w:rPr>
      </w:pPr>
    </w:p>
    <w:p>
      <w:pPr>
        <w:spacing w:line="360" w:lineRule="auto"/>
        <w:rPr>
          <w:rFonts w:ascii="宋体" w:hAnsi="宋体" w:cs="宋体"/>
          <w:sz w:val="24"/>
        </w:rPr>
      </w:pPr>
      <w:r>
        <w:rPr>
          <w:rFonts w:hint="eastAsia" w:ascii="宋体" w:hAnsi="宋体" w:cs="宋体"/>
          <w:sz w:val="24"/>
        </w:rPr>
        <w:drawing>
          <wp:inline distT="0" distB="0" distL="0" distR="0">
            <wp:extent cx="5257165" cy="7499350"/>
            <wp:effectExtent l="0" t="0" r="635" b="6350"/>
            <wp:docPr id="32" name="图片 31" descr="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33.png"/>
                    <pic:cNvPicPr>
                      <a:picLocks noChangeAspect="1"/>
                    </pic:cNvPicPr>
                  </pic:nvPicPr>
                  <pic:blipFill>
                    <a:blip r:embed="rId43"/>
                    <a:stretch>
                      <a:fillRect/>
                    </a:stretch>
                  </pic:blipFill>
                  <pic:spPr>
                    <a:xfrm>
                      <a:off x="0" y="0"/>
                      <a:ext cx="5257165" cy="7499350"/>
                    </a:xfrm>
                    <a:prstGeom prst="rect">
                      <a:avLst/>
                    </a:prstGeom>
                  </pic:spPr>
                </pic:pic>
              </a:graphicData>
            </a:graphic>
          </wp:inline>
        </w:drawing>
      </w:r>
    </w:p>
    <w:p>
      <w:pPr>
        <w:spacing w:line="360" w:lineRule="auto"/>
        <w:rPr>
          <w:rFonts w:ascii="宋体" w:hAnsi="宋体" w:cs="宋体"/>
          <w:sz w:val="24"/>
        </w:rPr>
      </w:pPr>
    </w:p>
    <w:p>
      <w:pPr>
        <w:spacing w:line="360" w:lineRule="auto"/>
        <w:rPr>
          <w:rFonts w:ascii="宋体" w:hAnsi="宋体" w:cs="宋体"/>
          <w:sz w:val="24"/>
        </w:rPr>
      </w:pPr>
    </w:p>
    <w:p>
      <w:pPr>
        <w:pStyle w:val="11"/>
        <w:spacing w:line="360" w:lineRule="auto"/>
        <w:rPr>
          <w:rFonts w:hAnsi="宋体" w:cs="宋体"/>
          <w:sz w:val="24"/>
          <w:szCs w:val="24"/>
        </w:rPr>
      </w:pPr>
    </w:p>
    <w:p>
      <w:pPr>
        <w:spacing w:line="360" w:lineRule="auto"/>
        <w:rPr>
          <w:rFonts w:ascii="宋体" w:hAnsi="宋体" w:cs="宋体"/>
          <w:sz w:val="24"/>
        </w:rPr>
      </w:pPr>
    </w:p>
    <w:p>
      <w:pPr>
        <w:spacing w:line="360" w:lineRule="auto"/>
        <w:rPr>
          <w:rFonts w:ascii="宋体" w:hAnsi="宋体" w:cs="宋体"/>
          <w:sz w:val="24"/>
        </w:rPr>
      </w:pPr>
      <w:r>
        <w:rPr>
          <w:rFonts w:hint="eastAsia" w:ascii="宋体" w:hAnsi="宋体" w:cs="宋体"/>
          <w:sz w:val="24"/>
        </w:rPr>
        <w:t>12.1、路锥连接杆</w:t>
      </w:r>
    </w:p>
    <w:p>
      <w:pPr>
        <w:spacing w:line="360" w:lineRule="auto"/>
        <w:rPr>
          <w:rFonts w:ascii="宋体" w:hAnsi="宋体" w:cs="宋体"/>
          <w:sz w:val="24"/>
        </w:rPr>
      </w:pPr>
      <w:r>
        <w:rPr>
          <w:rFonts w:hint="eastAsia" w:ascii="宋体" w:hAnsi="宋体" w:cs="宋体"/>
          <w:sz w:val="24"/>
        </w:rPr>
        <w:t>技术指标：</w:t>
      </w:r>
    </w:p>
    <w:p>
      <w:pPr>
        <w:spacing w:line="360" w:lineRule="auto"/>
        <w:rPr>
          <w:rFonts w:ascii="宋体" w:hAnsi="宋体" w:cs="宋体"/>
          <w:sz w:val="24"/>
        </w:rPr>
      </w:pPr>
      <w:r>
        <w:rPr>
          <w:rFonts w:hint="eastAsia" w:ascii="宋体" w:hAnsi="宋体" w:cs="宋体"/>
          <w:sz w:val="24"/>
        </w:rPr>
        <w:t>1.  符合国标GB/T 24720-2009标准</w:t>
      </w:r>
    </w:p>
    <w:p>
      <w:pPr>
        <w:spacing w:line="360" w:lineRule="auto"/>
        <w:rPr>
          <w:rFonts w:ascii="宋体" w:hAnsi="宋体" w:cs="宋体"/>
          <w:sz w:val="24"/>
        </w:rPr>
      </w:pPr>
      <w:r>
        <w:rPr>
          <w:rFonts w:hint="eastAsia" w:ascii="宋体" w:hAnsi="宋体" w:cs="宋体"/>
          <w:sz w:val="24"/>
        </w:rPr>
        <w:t>2. 采用全新PP高性能材料制成</w:t>
      </w:r>
    </w:p>
    <w:p>
      <w:pPr>
        <w:spacing w:line="360" w:lineRule="auto"/>
        <w:rPr>
          <w:rFonts w:ascii="宋体" w:hAnsi="宋体" w:cs="宋体"/>
          <w:sz w:val="24"/>
        </w:rPr>
      </w:pPr>
      <w:r>
        <w:rPr>
          <w:rFonts w:hint="eastAsia" w:ascii="宋体" w:hAnsi="宋体" w:cs="宋体"/>
          <w:sz w:val="24"/>
        </w:rPr>
        <w:t>3. 使用GB/T 18833 Type Ⅳ类柔性反光膜</w:t>
      </w:r>
    </w:p>
    <w:p>
      <w:pPr>
        <w:spacing w:line="360" w:lineRule="auto"/>
        <w:rPr>
          <w:rFonts w:ascii="宋体" w:hAnsi="宋体" w:cs="宋体"/>
          <w:sz w:val="24"/>
        </w:rPr>
      </w:pPr>
      <w:r>
        <w:rPr>
          <w:rFonts w:hint="eastAsia" w:ascii="宋体" w:hAnsi="宋体" w:cs="宋体"/>
          <w:sz w:val="24"/>
        </w:rPr>
        <w:t>4. 通体壁厚不小于3mm</w:t>
      </w:r>
    </w:p>
    <w:p>
      <w:pPr>
        <w:spacing w:line="360" w:lineRule="auto"/>
        <w:rPr>
          <w:rFonts w:ascii="宋体" w:hAnsi="宋体" w:cs="宋体"/>
          <w:sz w:val="24"/>
        </w:rPr>
      </w:pPr>
      <w:r>
        <w:rPr>
          <w:rFonts w:hint="eastAsia" w:ascii="宋体" w:hAnsi="宋体" w:cs="宋体"/>
          <w:sz w:val="24"/>
        </w:rPr>
        <w:t>5. 使用温度范围-25 ~ 38 °</w:t>
      </w:r>
    </w:p>
    <w:p>
      <w:pPr>
        <w:spacing w:line="360" w:lineRule="auto"/>
        <w:rPr>
          <w:rFonts w:ascii="宋体" w:hAnsi="宋体" w:cs="宋体"/>
          <w:sz w:val="24"/>
        </w:rPr>
      </w:pPr>
      <w:r>
        <w:rPr>
          <w:rFonts w:hint="eastAsia" w:ascii="宋体" w:hAnsi="宋体" w:cs="宋体"/>
          <w:sz w:val="24"/>
        </w:rPr>
        <w:drawing>
          <wp:inline distT="0" distB="0" distL="0" distR="0">
            <wp:extent cx="2191385" cy="3830320"/>
            <wp:effectExtent l="0" t="0" r="5715" b="5080"/>
            <wp:docPr id="36" name="图片 35" descr="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descr="44.png"/>
                    <pic:cNvPicPr>
                      <a:picLocks noChangeAspect="1"/>
                    </pic:cNvPicPr>
                  </pic:nvPicPr>
                  <pic:blipFill>
                    <a:blip r:embed="rId44"/>
                    <a:stretch>
                      <a:fillRect/>
                    </a:stretch>
                  </pic:blipFill>
                  <pic:spPr>
                    <a:xfrm>
                      <a:off x="0" y="0"/>
                      <a:ext cx="2191636" cy="3830598"/>
                    </a:xfrm>
                    <a:prstGeom prst="rect">
                      <a:avLst/>
                    </a:prstGeom>
                  </pic:spPr>
                </pic:pic>
              </a:graphicData>
            </a:graphic>
          </wp:inline>
        </w:drawing>
      </w:r>
      <w:r>
        <w:rPr>
          <w:rFonts w:hint="eastAsia" w:ascii="宋体" w:hAnsi="宋体" w:cs="宋体"/>
          <w:sz w:val="24"/>
        </w:rPr>
        <w:t> </w:t>
      </w:r>
    </w:p>
    <w:p>
      <w:pPr>
        <w:spacing w:line="360" w:lineRule="auto"/>
        <w:rPr>
          <w:rFonts w:ascii="宋体" w:hAnsi="宋体" w:cs="宋体"/>
          <w:sz w:val="24"/>
        </w:rPr>
      </w:pPr>
      <w:r>
        <w:rPr>
          <w:rFonts w:hint="eastAsia" w:ascii="宋体" w:hAnsi="宋体" w:cs="宋体"/>
          <w:sz w:val="24"/>
        </w:rPr>
        <w:t>13.1铁马</w:t>
      </w:r>
    </w:p>
    <w:p>
      <w:pPr>
        <w:spacing w:line="360" w:lineRule="auto"/>
        <w:rPr>
          <w:rFonts w:ascii="宋体" w:hAnsi="宋体" w:cs="宋体"/>
          <w:sz w:val="24"/>
        </w:rPr>
      </w:pPr>
      <w:r>
        <w:rPr>
          <w:rFonts w:hint="eastAsia" w:ascii="宋体" w:hAnsi="宋体" w:cs="宋体"/>
          <w:sz w:val="24"/>
        </w:rPr>
        <w:t>技术指标：</w:t>
      </w:r>
    </w:p>
    <w:p>
      <w:pPr>
        <w:spacing w:line="360" w:lineRule="auto"/>
        <w:rPr>
          <w:rFonts w:ascii="宋体" w:hAnsi="宋体" w:cs="宋体"/>
          <w:sz w:val="24"/>
        </w:rPr>
      </w:pPr>
      <w:r>
        <w:rPr>
          <w:rFonts w:hint="eastAsia" w:ascii="宋体" w:hAnsi="宋体" w:cs="宋体"/>
          <w:sz w:val="24"/>
        </w:rPr>
        <w:t>1.采用304不锈钢材质</w:t>
      </w:r>
    </w:p>
    <w:p>
      <w:pPr>
        <w:spacing w:line="360" w:lineRule="auto"/>
        <w:rPr>
          <w:rFonts w:ascii="宋体" w:hAnsi="宋体" w:cs="宋体"/>
          <w:sz w:val="24"/>
        </w:rPr>
      </w:pPr>
      <w:r>
        <w:rPr>
          <w:rFonts w:hint="eastAsia" w:ascii="宋体" w:hAnsi="宋体" w:cs="宋体"/>
          <w:sz w:val="24"/>
        </w:rPr>
        <w:drawing>
          <wp:inline distT="0" distB="0" distL="0" distR="0">
            <wp:extent cx="4009390" cy="2609850"/>
            <wp:effectExtent l="0" t="0" r="3810" b="6350"/>
            <wp:docPr id="39" name="图片 38" descr="3e3818d5556427d82c0f924930182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3e3818d5556427d82c0f924930182b7.jpg"/>
                    <pic:cNvPicPr>
                      <a:picLocks noChangeAspect="1"/>
                    </pic:cNvPicPr>
                  </pic:nvPicPr>
                  <pic:blipFill>
                    <a:blip r:embed="rId45"/>
                    <a:stretch>
                      <a:fillRect/>
                    </a:stretch>
                  </pic:blipFill>
                  <pic:spPr>
                    <a:xfrm>
                      <a:off x="0" y="0"/>
                      <a:ext cx="4019377" cy="2616387"/>
                    </a:xfrm>
                    <a:prstGeom prst="rect">
                      <a:avLst/>
                    </a:prstGeom>
                  </pic:spPr>
                </pic:pic>
              </a:graphicData>
            </a:graphic>
          </wp:inline>
        </w:drawing>
      </w:r>
    </w:p>
    <w:p>
      <w:pPr>
        <w:spacing w:line="360" w:lineRule="auto"/>
        <w:rPr>
          <w:rFonts w:ascii="宋体" w:hAnsi="宋体" w:cs="宋体"/>
          <w:sz w:val="24"/>
        </w:rPr>
      </w:pPr>
      <w:r>
        <w:rPr>
          <w:rFonts w:hint="eastAsia" w:ascii="宋体" w:hAnsi="宋体" w:cs="宋体"/>
          <w:sz w:val="24"/>
        </w:rPr>
        <w:t>14.1、大角度轮廓标 </w:t>
      </w:r>
    </w:p>
    <w:p>
      <w:pPr>
        <w:spacing w:line="360" w:lineRule="auto"/>
        <w:rPr>
          <w:rFonts w:ascii="宋体" w:hAnsi="宋体" w:cs="宋体"/>
          <w:sz w:val="24"/>
        </w:rPr>
      </w:pPr>
      <w:r>
        <w:rPr>
          <w:rFonts w:hint="eastAsia" w:ascii="宋体" w:hAnsi="宋体" w:cs="宋体"/>
          <w:sz w:val="24"/>
        </w:rPr>
        <w:tab/>
      </w:r>
      <w:r>
        <w:rPr>
          <w:rFonts w:hint="eastAsia" w:ascii="宋体" w:hAnsi="宋体" w:cs="宋体"/>
          <w:sz w:val="24"/>
        </w:rPr>
        <w:t>技术指标：</w:t>
      </w:r>
    </w:p>
    <w:p>
      <w:pPr>
        <w:widowControl/>
        <w:numPr>
          <w:ilvl w:val="0"/>
          <w:numId w:val="2"/>
        </w:numPr>
        <w:spacing w:after="160" w:line="360" w:lineRule="auto"/>
        <w:ind w:firstLine="480" w:firstLineChars="200"/>
        <w:jc w:val="left"/>
        <w:rPr>
          <w:rFonts w:ascii="宋体" w:hAnsi="宋体" w:cs="宋体"/>
          <w:sz w:val="24"/>
        </w:rPr>
      </w:pPr>
      <w:r>
        <w:rPr>
          <w:rFonts w:hint="eastAsia" w:ascii="宋体" w:hAnsi="宋体" w:cs="宋体"/>
          <w:sz w:val="24"/>
        </w:rPr>
        <w:t>由弹性高分子材料TPU结合金属卡扣制成；</w:t>
      </w:r>
    </w:p>
    <w:p>
      <w:pPr>
        <w:spacing w:line="360" w:lineRule="auto"/>
        <w:ind w:firstLine="480" w:firstLineChars="200"/>
        <w:rPr>
          <w:rFonts w:ascii="宋体" w:hAnsi="宋体" w:cs="宋体"/>
          <w:sz w:val="24"/>
        </w:rPr>
      </w:pPr>
      <w:r>
        <w:rPr>
          <w:rFonts w:hint="eastAsia" w:ascii="宋体" w:hAnsi="宋体" w:cs="宋体"/>
          <w:sz w:val="24"/>
        </w:rPr>
        <w:t>2. 反光可视角0-270度（对向车道可视）；</w:t>
      </w:r>
    </w:p>
    <w:p>
      <w:pPr>
        <w:spacing w:line="360" w:lineRule="auto"/>
        <w:ind w:firstLine="480" w:firstLineChars="200"/>
        <w:rPr>
          <w:rFonts w:ascii="宋体" w:hAnsi="宋体" w:cs="宋体"/>
          <w:sz w:val="24"/>
        </w:rPr>
      </w:pPr>
      <w:r>
        <w:rPr>
          <w:rFonts w:hint="eastAsia" w:ascii="宋体" w:hAnsi="宋体" w:cs="宋体"/>
          <w:sz w:val="24"/>
        </w:rPr>
        <w:t>3. 反光膜符合GB/T 18833 Type Ⅳ类指标；</w:t>
      </w:r>
    </w:p>
    <w:p>
      <w:pPr>
        <w:spacing w:line="360" w:lineRule="auto"/>
        <w:ind w:firstLine="480" w:firstLineChars="200"/>
        <w:rPr>
          <w:rFonts w:ascii="宋体" w:hAnsi="宋体" w:cs="宋体"/>
          <w:sz w:val="24"/>
        </w:rPr>
      </w:pPr>
      <w:r>
        <w:rPr>
          <w:rFonts w:hint="eastAsia" w:ascii="宋体" w:hAnsi="宋体" w:cs="宋体"/>
          <w:sz w:val="24"/>
        </w:rPr>
        <w:t>4. 反光膜四周凸起2MM以上保护槽；</w:t>
      </w:r>
    </w:p>
    <w:p>
      <w:pPr>
        <w:spacing w:line="360" w:lineRule="auto"/>
        <w:ind w:firstLine="480" w:firstLineChars="200"/>
        <w:rPr>
          <w:rFonts w:ascii="宋体" w:hAnsi="宋体" w:cs="宋体"/>
          <w:sz w:val="24"/>
        </w:rPr>
      </w:pPr>
      <w:r>
        <w:rPr>
          <w:rFonts w:hint="eastAsia" w:ascii="宋体" w:hAnsi="宋体" w:cs="宋体"/>
          <w:sz w:val="24"/>
        </w:rPr>
        <w:t>5. 匹配波形护栏M16紧固件；</w:t>
      </w:r>
    </w:p>
    <w:p>
      <w:pPr>
        <w:spacing w:line="360" w:lineRule="auto"/>
        <w:ind w:firstLine="480" w:firstLineChars="200"/>
        <w:rPr>
          <w:rFonts w:ascii="宋体" w:hAnsi="宋体" w:cs="宋体"/>
          <w:sz w:val="24"/>
        </w:rPr>
      </w:pPr>
      <w:r>
        <w:rPr>
          <w:rFonts w:hint="eastAsia" w:ascii="宋体" w:hAnsi="宋体" w:cs="宋体"/>
          <w:sz w:val="24"/>
        </w:rPr>
        <w:t>6. 使用寿命保证5年以上；</w:t>
      </w:r>
    </w:p>
    <w:p>
      <w:pPr>
        <w:spacing w:line="360" w:lineRule="auto"/>
        <w:jc w:val="left"/>
        <w:rPr>
          <w:rFonts w:ascii="宋体" w:hAnsi="宋体" w:cs="宋体"/>
          <w:sz w:val="24"/>
        </w:rPr>
      </w:pPr>
      <w:r>
        <w:rPr>
          <w:rFonts w:hint="eastAsia" w:ascii="宋体" w:hAnsi="宋体" w:cs="宋体"/>
          <w:sz w:val="24"/>
        </w:rPr>
        <w:drawing>
          <wp:inline distT="0" distB="0" distL="114300" distR="114300">
            <wp:extent cx="5253355" cy="3234690"/>
            <wp:effectExtent l="0" t="0" r="4445" b="381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46"/>
                    <a:stretch>
                      <a:fillRect/>
                    </a:stretch>
                  </pic:blipFill>
                  <pic:spPr>
                    <a:xfrm>
                      <a:off x="0" y="0"/>
                      <a:ext cx="5257165" cy="3237199"/>
                    </a:xfrm>
                    <a:prstGeom prst="rect">
                      <a:avLst/>
                    </a:prstGeom>
                    <a:noFill/>
                    <a:ln>
                      <a:noFill/>
                    </a:ln>
                  </pic:spPr>
                </pic:pic>
              </a:graphicData>
            </a:graphic>
          </wp:inline>
        </w:drawing>
      </w:r>
    </w:p>
    <w:p>
      <w:pPr>
        <w:spacing w:line="360" w:lineRule="auto"/>
        <w:rPr>
          <w:rFonts w:ascii="宋体" w:hAnsi="宋体" w:cs="宋体"/>
          <w:sz w:val="24"/>
        </w:rPr>
      </w:pPr>
      <w:r>
        <w:rPr>
          <w:rFonts w:hint="eastAsia" w:ascii="宋体" w:hAnsi="宋体" w:cs="宋体"/>
          <w:sz w:val="24"/>
        </w:rPr>
        <w:t>15.1、90CM 圆形防撞桶 </w:t>
      </w:r>
    </w:p>
    <w:p>
      <w:pPr>
        <w:spacing w:line="360" w:lineRule="auto"/>
        <w:ind w:firstLine="480" w:firstLineChars="200"/>
        <w:rPr>
          <w:rFonts w:ascii="宋体" w:hAnsi="宋体" w:cs="宋体"/>
          <w:sz w:val="24"/>
        </w:rPr>
      </w:pPr>
      <w:r>
        <w:rPr>
          <w:rFonts w:hint="eastAsia" w:ascii="宋体" w:hAnsi="宋体" w:cs="宋体"/>
          <w:sz w:val="24"/>
        </w:rPr>
        <w:t>技术指标：</w:t>
      </w:r>
    </w:p>
    <w:p>
      <w:pPr>
        <w:spacing w:line="360" w:lineRule="auto"/>
        <w:ind w:firstLine="480" w:firstLineChars="200"/>
        <w:rPr>
          <w:rFonts w:ascii="宋体" w:hAnsi="宋体" w:cs="宋体"/>
          <w:sz w:val="24"/>
        </w:rPr>
      </w:pPr>
      <w:r>
        <w:rPr>
          <w:rFonts w:hint="eastAsia" w:ascii="宋体" w:hAnsi="宋体" w:cs="宋体"/>
          <w:sz w:val="24"/>
        </w:rPr>
        <w:t>1. 符合GBT 28650公路防撞桶标准并认证检测；</w:t>
      </w:r>
    </w:p>
    <w:p>
      <w:pPr>
        <w:spacing w:line="360" w:lineRule="auto"/>
        <w:ind w:firstLine="480" w:firstLineChars="200"/>
        <w:rPr>
          <w:rFonts w:ascii="宋体" w:hAnsi="宋体" w:cs="宋体"/>
          <w:sz w:val="24"/>
        </w:rPr>
      </w:pPr>
      <w:r>
        <w:rPr>
          <w:rFonts w:hint="eastAsia" w:ascii="宋体" w:hAnsi="宋体" w:cs="宋体"/>
          <w:sz w:val="24"/>
        </w:rPr>
        <w:t>2. 桶体内部设置有增强面，底部设计有排水槽；</w:t>
      </w:r>
    </w:p>
    <w:p>
      <w:pPr>
        <w:spacing w:line="360" w:lineRule="auto"/>
        <w:ind w:firstLine="480" w:firstLineChars="200"/>
        <w:rPr>
          <w:rFonts w:ascii="宋体" w:hAnsi="宋体" w:cs="宋体"/>
          <w:sz w:val="24"/>
        </w:rPr>
      </w:pPr>
      <w:r>
        <w:rPr>
          <w:rFonts w:hint="eastAsia" w:ascii="宋体" w:hAnsi="宋体" w:cs="宋体"/>
          <w:sz w:val="24"/>
        </w:rPr>
        <w:t>3. 桶体粘贴条纹柔性反光膜，符合GB/T 18833 Type Ⅳ类以上指标</w:t>
      </w:r>
    </w:p>
    <w:p>
      <w:pPr>
        <w:spacing w:line="360" w:lineRule="auto"/>
        <w:ind w:firstLine="480" w:firstLineChars="200"/>
        <w:rPr>
          <w:rFonts w:ascii="宋体" w:hAnsi="宋体" w:cs="宋体"/>
          <w:sz w:val="24"/>
        </w:rPr>
      </w:pPr>
      <w:r>
        <w:rPr>
          <w:rFonts w:hint="eastAsia" w:ascii="宋体" w:hAnsi="宋体" w:cs="宋体"/>
          <w:sz w:val="24"/>
        </w:rPr>
        <w:t>4. 顶部可选择预装太阳能LED警示灯;</w:t>
      </w:r>
    </w:p>
    <w:p>
      <w:pPr>
        <w:spacing w:line="360" w:lineRule="auto"/>
        <w:ind w:firstLine="480" w:firstLineChars="200"/>
        <w:rPr>
          <w:rFonts w:ascii="宋体" w:hAnsi="宋体" w:cs="宋体"/>
          <w:sz w:val="24"/>
        </w:rPr>
      </w:pPr>
      <w:r>
        <w:rPr>
          <w:rFonts w:hint="eastAsia" w:ascii="宋体" w:hAnsi="宋体" w:cs="宋体"/>
          <w:sz w:val="24"/>
        </w:rPr>
        <w:t>5. 由高压聚乙烯HDPE结合弹性体EVA制成；</w:t>
      </w:r>
    </w:p>
    <w:p>
      <w:pPr>
        <w:pStyle w:val="11"/>
        <w:spacing w:line="360" w:lineRule="auto"/>
        <w:rPr>
          <w:rFonts w:hAnsi="宋体" w:cs="宋体"/>
          <w:sz w:val="24"/>
          <w:szCs w:val="24"/>
        </w:rPr>
      </w:pPr>
    </w:p>
    <w:p>
      <w:pPr>
        <w:spacing w:line="360" w:lineRule="auto"/>
        <w:rPr>
          <w:rFonts w:ascii="宋体" w:hAnsi="宋体" w:cs="宋体"/>
          <w:sz w:val="24"/>
        </w:rPr>
      </w:pPr>
      <w:r>
        <w:rPr>
          <w:rFonts w:hint="eastAsia" w:ascii="宋体" w:hAnsi="宋体" w:cs="宋体"/>
          <w:sz w:val="24"/>
        </w:rPr>
        <w:drawing>
          <wp:inline distT="0" distB="0" distL="0" distR="0">
            <wp:extent cx="5259070" cy="2984500"/>
            <wp:effectExtent l="0" t="0" r="11430"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47" cstate="print"/>
                    <a:stretch>
                      <a:fillRect/>
                    </a:stretch>
                  </pic:blipFill>
                  <pic:spPr>
                    <a:xfrm>
                      <a:off x="0" y="0"/>
                      <a:ext cx="5257165" cy="2983312"/>
                    </a:xfrm>
                    <a:prstGeom prst="rect">
                      <a:avLst/>
                    </a:prstGeom>
                  </pic:spPr>
                </pic:pic>
              </a:graphicData>
            </a:graphic>
          </wp:inline>
        </w:drawing>
      </w:r>
    </w:p>
    <w:p>
      <w:pPr>
        <w:spacing w:line="360" w:lineRule="auto"/>
        <w:rPr>
          <w:rFonts w:ascii="宋体" w:hAnsi="宋体" w:cs="宋体"/>
          <w:sz w:val="24"/>
        </w:rPr>
      </w:pPr>
      <w:r>
        <w:rPr>
          <w:rFonts w:hint="eastAsia" w:ascii="宋体" w:hAnsi="宋体" w:cs="宋体"/>
          <w:sz w:val="24"/>
        </w:rPr>
        <w:t>16.1弹性交通锥</w:t>
      </w:r>
    </w:p>
    <w:p>
      <w:pPr>
        <w:spacing w:line="360" w:lineRule="auto"/>
        <w:ind w:firstLine="480" w:firstLineChars="200"/>
        <w:rPr>
          <w:rFonts w:ascii="宋体" w:hAnsi="宋体" w:cs="宋体"/>
          <w:sz w:val="24"/>
        </w:rPr>
      </w:pPr>
      <w:r>
        <w:rPr>
          <w:rFonts w:hint="eastAsia" w:ascii="宋体" w:hAnsi="宋体" w:cs="宋体"/>
          <w:sz w:val="24"/>
        </w:rPr>
        <w:t>技术指标：</w:t>
      </w:r>
    </w:p>
    <w:p>
      <w:pPr>
        <w:spacing w:line="360" w:lineRule="auto"/>
        <w:ind w:firstLine="480" w:firstLineChars="200"/>
        <w:rPr>
          <w:rFonts w:ascii="宋体" w:hAnsi="宋体" w:cs="宋体"/>
          <w:sz w:val="24"/>
        </w:rPr>
      </w:pPr>
      <w:r>
        <w:rPr>
          <w:rFonts w:hint="eastAsia" w:ascii="宋体" w:hAnsi="宋体" w:cs="宋体"/>
          <w:sz w:val="24"/>
        </w:rPr>
        <w:t>符合国标GB/T24720-2009标准并取得认证；</w:t>
      </w:r>
    </w:p>
    <w:p>
      <w:pPr>
        <w:spacing w:line="360" w:lineRule="auto"/>
        <w:ind w:firstLine="480" w:firstLineChars="200"/>
        <w:rPr>
          <w:rFonts w:ascii="宋体" w:hAnsi="宋体" w:cs="宋体"/>
          <w:sz w:val="24"/>
        </w:rPr>
      </w:pPr>
      <w:r>
        <w:rPr>
          <w:rFonts w:hint="eastAsia" w:ascii="宋体" w:hAnsi="宋体" w:cs="宋体"/>
          <w:sz w:val="24"/>
        </w:rPr>
        <w:t>采用全新弹性PVC材料制成，可承受多次碾压；</w:t>
      </w:r>
    </w:p>
    <w:p>
      <w:pPr>
        <w:spacing w:line="360" w:lineRule="auto"/>
        <w:ind w:firstLine="480" w:firstLineChars="200"/>
        <w:rPr>
          <w:rFonts w:ascii="宋体" w:hAnsi="宋体" w:cs="宋体"/>
          <w:sz w:val="24"/>
        </w:rPr>
      </w:pPr>
      <w:r>
        <w:rPr>
          <w:rFonts w:hint="eastAsia" w:ascii="宋体" w:hAnsi="宋体" w:cs="宋体"/>
          <w:sz w:val="24"/>
        </w:rPr>
        <w:t>3.  反光膜区域凹陷2mm以上，反光膜符合GB/T 18833 Type Ⅳ类以上指标；</w:t>
      </w:r>
    </w:p>
    <w:p>
      <w:pPr>
        <w:spacing w:line="360" w:lineRule="auto"/>
        <w:ind w:firstLine="480" w:firstLineChars="200"/>
        <w:rPr>
          <w:rFonts w:ascii="宋体" w:hAnsi="宋体" w:cs="宋体"/>
          <w:sz w:val="24"/>
        </w:rPr>
      </w:pPr>
      <w:r>
        <w:rPr>
          <w:rFonts w:hint="eastAsia" w:ascii="宋体" w:hAnsi="宋体" w:cs="宋体"/>
          <w:sz w:val="24"/>
        </w:rPr>
        <w:t>4.通体壁厚不小于3mm，表面光滑无皱褶;</w:t>
      </w:r>
    </w:p>
    <w:p>
      <w:pPr>
        <w:spacing w:line="360" w:lineRule="auto"/>
        <w:ind w:firstLine="480" w:firstLineChars="200"/>
        <w:rPr>
          <w:rFonts w:ascii="宋体" w:hAnsi="宋体" w:cs="宋体"/>
          <w:sz w:val="24"/>
        </w:rPr>
      </w:pPr>
      <w:r>
        <w:rPr>
          <w:rFonts w:hint="eastAsia" w:ascii="宋体" w:hAnsi="宋体" w:cs="宋体"/>
          <w:sz w:val="24"/>
        </w:rPr>
        <w:t>5.  顶部含有提手凹槽；</w:t>
      </w:r>
    </w:p>
    <w:p>
      <w:pPr>
        <w:spacing w:line="360" w:lineRule="auto"/>
        <w:ind w:firstLine="480" w:firstLineChars="200"/>
        <w:rPr>
          <w:rFonts w:ascii="宋体" w:hAnsi="宋体" w:cs="宋体"/>
          <w:sz w:val="24"/>
        </w:rPr>
      </w:pPr>
      <w:r>
        <w:rPr>
          <w:rFonts w:hint="eastAsia" w:ascii="宋体" w:hAnsi="宋体" w:cs="宋体"/>
          <w:sz w:val="24"/>
        </w:rPr>
        <w:t>6. 锥体与底座不可分离；</w:t>
      </w:r>
    </w:p>
    <w:p>
      <w:pPr>
        <w:spacing w:line="360" w:lineRule="auto"/>
        <w:jc w:val="left"/>
        <w:rPr>
          <w:rFonts w:ascii="宋体" w:hAnsi="宋体" w:cs="宋体"/>
          <w:sz w:val="24"/>
        </w:rPr>
      </w:pPr>
      <w:r>
        <w:rPr>
          <w:rFonts w:hint="eastAsia" w:ascii="宋体" w:hAnsi="宋体" w:cs="宋体"/>
          <w:sz w:val="24"/>
        </w:rPr>
        <w:drawing>
          <wp:inline distT="0" distB="0" distL="0" distR="0">
            <wp:extent cx="5257165" cy="3706495"/>
            <wp:effectExtent l="0" t="0" r="635" b="190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48"/>
                    <a:stretch>
                      <a:fillRect/>
                    </a:stretch>
                  </pic:blipFill>
                  <pic:spPr>
                    <a:xfrm>
                      <a:off x="0" y="0"/>
                      <a:ext cx="5257165" cy="3706788"/>
                    </a:xfrm>
                    <a:prstGeom prst="rect">
                      <a:avLst/>
                    </a:prstGeom>
                  </pic:spPr>
                </pic:pic>
              </a:graphicData>
            </a:graphic>
          </wp:inline>
        </w:drawing>
      </w:r>
    </w:p>
    <w:p>
      <w:pPr>
        <w:spacing w:line="360" w:lineRule="auto"/>
        <w:rPr>
          <w:rFonts w:ascii="宋体" w:hAnsi="宋体" w:cs="宋体"/>
          <w:sz w:val="24"/>
        </w:rPr>
      </w:pPr>
      <w:r>
        <w:rPr>
          <w:rFonts w:hint="eastAsia" w:ascii="宋体" w:hAnsi="宋体" w:cs="宋体"/>
          <w:sz w:val="24"/>
        </w:rPr>
        <w:t>17.1磁吸弹性交通柱</w:t>
      </w:r>
    </w:p>
    <w:p>
      <w:pPr>
        <w:spacing w:line="360" w:lineRule="auto"/>
        <w:rPr>
          <w:rFonts w:ascii="宋体" w:hAnsi="宋体" w:cs="宋体"/>
          <w:sz w:val="24"/>
        </w:rPr>
      </w:pPr>
      <w:r>
        <w:rPr>
          <w:rFonts w:hint="eastAsia" w:ascii="宋体" w:hAnsi="宋体" w:cs="宋体"/>
          <w:sz w:val="24"/>
        </w:rPr>
        <w:drawing>
          <wp:inline distT="0" distB="0" distL="114300" distR="114300">
            <wp:extent cx="5257165" cy="3731895"/>
            <wp:effectExtent l="0" t="0" r="635" b="190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49"/>
                    <a:stretch>
                      <a:fillRect/>
                    </a:stretch>
                  </pic:blipFill>
                  <pic:spPr>
                    <a:xfrm>
                      <a:off x="0" y="0"/>
                      <a:ext cx="5257165" cy="3732007"/>
                    </a:xfrm>
                    <a:prstGeom prst="rect">
                      <a:avLst/>
                    </a:prstGeom>
                    <a:noFill/>
                    <a:ln>
                      <a:noFill/>
                    </a:ln>
                  </pic:spPr>
                </pic:pic>
              </a:graphicData>
            </a:graphic>
          </wp:inline>
        </w:drawing>
      </w:r>
    </w:p>
    <w:p>
      <w:pPr>
        <w:spacing w:line="360" w:lineRule="auto"/>
        <w:rPr>
          <w:rFonts w:ascii="宋体" w:hAnsi="宋体" w:cs="宋体"/>
          <w:sz w:val="24"/>
        </w:rPr>
      </w:pPr>
      <w:r>
        <w:rPr>
          <w:rFonts w:hint="eastAsia" w:ascii="宋体" w:hAnsi="宋体" w:cs="宋体"/>
          <w:sz w:val="24"/>
        </w:rPr>
        <w:t>17.1弹性分道标</w:t>
      </w:r>
    </w:p>
    <w:p>
      <w:pPr>
        <w:spacing w:line="360" w:lineRule="auto"/>
        <w:ind w:firstLine="480" w:firstLineChars="200"/>
        <w:rPr>
          <w:rFonts w:ascii="宋体" w:hAnsi="宋体" w:cs="宋体"/>
          <w:sz w:val="24"/>
        </w:rPr>
      </w:pPr>
      <w:r>
        <w:rPr>
          <w:rFonts w:hint="eastAsia" w:ascii="宋体" w:hAnsi="宋体" w:cs="宋体"/>
          <w:sz w:val="24"/>
        </w:rPr>
        <w:t>技术指标：</w:t>
      </w:r>
    </w:p>
    <w:p>
      <w:pPr>
        <w:spacing w:line="360" w:lineRule="auto"/>
        <w:ind w:firstLine="480" w:firstLineChars="200"/>
        <w:rPr>
          <w:rFonts w:ascii="宋体" w:hAnsi="宋体" w:cs="宋体"/>
          <w:sz w:val="24"/>
        </w:rPr>
      </w:pPr>
      <w:r>
        <w:rPr>
          <w:rFonts w:hint="eastAsia" w:ascii="宋体" w:hAnsi="宋体" w:cs="宋体"/>
          <w:sz w:val="24"/>
        </w:rPr>
        <w:t>1. 采用全新TPU高性能材料制成， 可承受重型车辆多次碾压；</w:t>
      </w:r>
    </w:p>
    <w:p>
      <w:pPr>
        <w:shd w:val="clear"/>
        <w:spacing w:line="360" w:lineRule="auto"/>
        <w:ind w:firstLine="480" w:firstLineChars="200"/>
        <w:rPr>
          <w:rFonts w:ascii="宋体" w:hAnsi="宋体" w:cs="宋体"/>
          <w:sz w:val="24"/>
        </w:rPr>
      </w:pPr>
      <w:r>
        <w:rPr>
          <w:rFonts w:hint="eastAsia" w:ascii="宋体" w:hAnsi="宋体" w:cs="宋体"/>
          <w:sz w:val="24"/>
        </w:rPr>
        <w:t>2. 柔性反光膜符合GB/T 18833 Type Ⅳ类指标;</w:t>
      </w:r>
    </w:p>
    <w:p>
      <w:pPr>
        <w:shd w:val="clear"/>
        <w:spacing w:line="360" w:lineRule="auto"/>
        <w:ind w:firstLine="480" w:firstLineChars="200"/>
        <w:rPr>
          <w:rFonts w:ascii="宋体" w:hAnsi="宋体" w:cs="宋体"/>
          <w:sz w:val="24"/>
        </w:rPr>
      </w:pPr>
      <w:r>
        <w:rPr>
          <w:rFonts w:hint="eastAsia" w:ascii="宋体" w:hAnsi="宋体" w:cs="宋体"/>
          <w:sz w:val="24"/>
        </w:rPr>
        <w:t>3. 反光膜表层透明滴塑，车轮碾压后不损伤反光膜；</w:t>
      </w:r>
    </w:p>
    <w:p>
      <w:pPr>
        <w:shd w:val="clear"/>
        <w:spacing w:line="360" w:lineRule="auto"/>
        <w:ind w:firstLine="480" w:firstLineChars="200"/>
        <w:rPr>
          <w:rFonts w:ascii="宋体" w:hAnsi="宋体" w:cs="宋体"/>
          <w:sz w:val="24"/>
          <w:highlight w:val="none"/>
        </w:rPr>
      </w:pPr>
      <w:r>
        <w:rPr>
          <w:rFonts w:hint="eastAsia" w:ascii="宋体" w:hAnsi="宋体" w:cs="宋体"/>
          <w:sz w:val="24"/>
        </w:rPr>
        <w:t xml:space="preserve">4. 底座两侧含3颗玻璃反光珠；     </w:t>
      </w:r>
    </w:p>
    <w:p>
      <w:pPr>
        <w:shd w:val="clear"/>
        <w:spacing w:line="360" w:lineRule="auto"/>
        <w:ind w:firstLine="480" w:firstLineChars="200"/>
        <w:rPr>
          <w:rFonts w:ascii="宋体" w:hAnsi="宋体" w:cs="宋体"/>
          <w:sz w:val="24"/>
          <w:highlight w:val="none"/>
        </w:rPr>
      </w:pPr>
      <w:r>
        <w:rPr>
          <w:rFonts w:hint="eastAsia" w:ascii="宋体" w:hAnsi="宋体" w:cs="宋体"/>
          <w:sz w:val="24"/>
          <w:highlight w:val="none"/>
        </w:rPr>
        <w:drawing>
          <wp:inline distT="0" distB="0" distL="114300" distR="114300">
            <wp:extent cx="5200015" cy="3402330"/>
            <wp:effectExtent l="0" t="0" r="6985" b="1270"/>
            <wp:docPr id="2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IMG_256"/>
                    <pic:cNvPicPr>
                      <a:picLocks noChangeAspect="1"/>
                    </pic:cNvPicPr>
                  </pic:nvPicPr>
                  <pic:blipFill>
                    <a:blip r:embed="rId50"/>
                    <a:stretch>
                      <a:fillRect/>
                    </a:stretch>
                  </pic:blipFill>
                  <pic:spPr>
                    <a:xfrm>
                      <a:off x="0" y="0"/>
                      <a:ext cx="5210593" cy="3409120"/>
                    </a:xfrm>
                    <a:prstGeom prst="rect">
                      <a:avLst/>
                    </a:prstGeom>
                    <a:noFill/>
                    <a:ln w="9525">
                      <a:noFill/>
                    </a:ln>
                  </pic:spPr>
                </pic:pic>
              </a:graphicData>
            </a:graphic>
          </wp:inline>
        </w:drawing>
      </w:r>
    </w:p>
    <w:p>
      <w:pPr>
        <w:shd w:val="clear"/>
        <w:rPr>
          <w:rFonts w:ascii="宋体" w:hAnsi="宋体"/>
          <w:b/>
          <w:sz w:val="24"/>
          <w:highlight w:val="none"/>
        </w:rPr>
      </w:pPr>
      <w:r>
        <w:rPr>
          <w:rFonts w:hint="eastAsia" w:ascii="宋体" w:hAnsi="宋体"/>
          <w:b/>
          <w:sz w:val="24"/>
          <w:highlight w:val="none"/>
        </w:rPr>
        <w:t>18.1可变车道标志</w:t>
      </w:r>
    </w:p>
    <w:p>
      <w:pPr>
        <w:shd w:val="clear"/>
        <w:spacing w:line="360" w:lineRule="auto"/>
        <w:ind w:firstLine="480" w:firstLineChars="200"/>
        <w:jc w:val="left"/>
        <w:rPr>
          <w:rFonts w:ascii="宋体" w:hAnsi="宋体" w:cs="宋体"/>
          <w:sz w:val="24"/>
          <w:highlight w:val="none"/>
        </w:rPr>
      </w:pPr>
      <w:r>
        <w:rPr>
          <w:rFonts w:hint="eastAsia" w:ascii="宋体" w:hAnsi="宋体" w:cs="宋体"/>
          <w:sz w:val="24"/>
          <w:highlight w:val="none"/>
        </w:rPr>
        <w:t>外壳体采用优质冷扎钢板材质，外形尺寸：1600*1200*50mm，上半部由LED灯珠排列成白色的左转、直行、右转三种车道指示图标；外壳防护等级：IP53，耐高、低温性能：-30℃~+55℃，LED显示屏： P10 表贴双色，工作电压：AC220V±20%，50Hz±2Hz。具体参数如下：</w:t>
      </w:r>
    </w:p>
    <w:tbl>
      <w:tblPr>
        <w:tblStyle w:val="20"/>
        <w:tblW w:w="0" w:type="auto"/>
        <w:jc w:val="center"/>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Layout w:type="fixed"/>
        <w:tblCellMar>
          <w:top w:w="0" w:type="dxa"/>
          <w:left w:w="108" w:type="dxa"/>
          <w:bottom w:w="0" w:type="dxa"/>
          <w:right w:w="108" w:type="dxa"/>
        </w:tblCellMar>
      </w:tblPr>
      <w:tblGrid>
        <w:gridCol w:w="709"/>
        <w:gridCol w:w="3297"/>
        <w:gridCol w:w="4443"/>
      </w:tblGrid>
      <w:tr>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single" w:color="auto" w:sz="12" w:space="0"/>
              <w:left w:val="single" w:color="auto" w:sz="12" w:space="0"/>
              <w:bottom w:val="dotted" w:color="auto" w:sz="4" w:space="0"/>
              <w:right w:val="dotted" w:color="auto" w:sz="4" w:space="0"/>
            </w:tcBorders>
            <w:shd w:val="clear" w:color="auto" w:fill="auto"/>
            <w:vAlign w:val="center"/>
          </w:tcPr>
          <w:p>
            <w:pPr>
              <w:widowControl/>
              <w:shd w:val="clear"/>
              <w:snapToGrid w:val="0"/>
              <w:spacing w:line="400" w:lineRule="exact"/>
              <w:rPr>
                <w:color w:val="000000"/>
                <w:kern w:val="0"/>
                <w:szCs w:val="21"/>
                <w:highlight w:val="none"/>
              </w:rPr>
            </w:pPr>
            <w:r>
              <w:rPr>
                <w:color w:val="000000"/>
                <w:kern w:val="0"/>
                <w:szCs w:val="21"/>
                <w:highlight w:val="none"/>
              </w:rPr>
              <w:t>序号</w:t>
            </w:r>
          </w:p>
        </w:tc>
        <w:tc>
          <w:tcPr>
            <w:tcW w:w="3297" w:type="dxa"/>
            <w:tcBorders>
              <w:top w:val="single" w:color="auto" w:sz="12" w:space="0"/>
              <w:left w:val="dotted" w:color="auto" w:sz="4"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项   目</w:t>
            </w:r>
          </w:p>
        </w:tc>
        <w:tc>
          <w:tcPr>
            <w:tcW w:w="4443" w:type="dxa"/>
            <w:tcBorders>
              <w:top w:val="single" w:color="auto" w:sz="12" w:space="0"/>
              <w:left w:val="dotted" w:color="auto" w:sz="4" w:space="0"/>
              <w:bottom w:val="dotted" w:color="auto" w:sz="4" w:space="0"/>
              <w:right w:val="single" w:color="auto" w:sz="12" w:space="0"/>
            </w:tcBorders>
            <w:shd w:val="clear" w:color="auto" w:fill="auto"/>
            <w:vAlign w:val="center"/>
          </w:tcPr>
          <w:p>
            <w:pPr>
              <w:widowControl/>
              <w:shd w:val="clear"/>
              <w:autoSpaceDE w:val="0"/>
              <w:snapToGrid w:val="0"/>
              <w:spacing w:line="400" w:lineRule="exact"/>
              <w:jc w:val="left"/>
              <w:rPr>
                <w:color w:val="000000"/>
                <w:highlight w:val="none"/>
              </w:rPr>
            </w:pPr>
            <w:r>
              <w:rPr>
                <w:color w:val="000000"/>
                <w:highlight w:val="none"/>
              </w:rPr>
              <w:t>参数与指标</w:t>
            </w:r>
          </w:p>
        </w:tc>
      </w:tr>
      <w:tr>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1</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hd w:val="clear"/>
              <w:snapToGrid w:val="0"/>
              <w:spacing w:line="400" w:lineRule="exact"/>
              <w:ind w:right="72"/>
              <w:jc w:val="center"/>
              <w:rPr>
                <w:color w:val="000000"/>
                <w:kern w:val="0"/>
                <w:szCs w:val="21"/>
                <w:highlight w:val="none"/>
              </w:rPr>
            </w:pPr>
            <w:r>
              <w:rPr>
                <w:color w:val="000000"/>
                <w:kern w:val="0"/>
                <w:szCs w:val="21"/>
                <w:highlight w:val="none"/>
              </w:rPr>
              <w:t>像素间距/像素密度</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pPr>
              <w:widowControl/>
              <w:shd w:val="clear"/>
              <w:snapToGrid w:val="0"/>
              <w:spacing w:line="400" w:lineRule="exact"/>
              <w:jc w:val="left"/>
              <w:rPr>
                <w:color w:val="000000"/>
                <w:kern w:val="0"/>
                <w:sz w:val="20"/>
                <w:szCs w:val="20"/>
                <w:highlight w:val="none"/>
              </w:rPr>
            </w:pPr>
            <w:r>
              <w:rPr>
                <w:color w:val="000000"/>
                <w:kern w:val="0"/>
                <w:szCs w:val="21"/>
                <w:highlight w:val="none"/>
              </w:rPr>
              <w:t>10mm/10000点/M²</w:t>
            </w:r>
          </w:p>
        </w:tc>
      </w:tr>
      <w:tr>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2</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hd w:val="clear"/>
              <w:snapToGrid w:val="0"/>
              <w:spacing w:line="400" w:lineRule="exact"/>
              <w:ind w:right="72"/>
              <w:jc w:val="center"/>
              <w:rPr>
                <w:color w:val="000000"/>
                <w:kern w:val="0"/>
                <w:szCs w:val="21"/>
                <w:highlight w:val="none"/>
              </w:rPr>
            </w:pPr>
            <w:r>
              <w:rPr>
                <w:color w:val="000000"/>
                <w:kern w:val="0"/>
                <w:szCs w:val="21"/>
                <w:highlight w:val="none"/>
              </w:rPr>
              <w:t>亮度</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pPr>
              <w:widowControl/>
              <w:shd w:val="clear"/>
              <w:snapToGrid w:val="0"/>
              <w:spacing w:line="400" w:lineRule="exact"/>
              <w:jc w:val="left"/>
              <w:rPr>
                <w:color w:val="000000"/>
                <w:kern w:val="0"/>
                <w:szCs w:val="21"/>
                <w:highlight w:val="none"/>
              </w:rPr>
            </w:pPr>
            <w:r>
              <w:rPr>
                <w:color w:val="000000"/>
                <w:kern w:val="0"/>
                <w:szCs w:val="21"/>
                <w:highlight w:val="none"/>
              </w:rPr>
              <w:t>≥4000cd/M²</w:t>
            </w:r>
          </w:p>
        </w:tc>
      </w:tr>
      <w:tr>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3</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hd w:val="clear"/>
              <w:snapToGrid w:val="0"/>
              <w:spacing w:line="400" w:lineRule="exact"/>
              <w:ind w:right="72"/>
              <w:jc w:val="center"/>
              <w:rPr>
                <w:color w:val="000000"/>
                <w:kern w:val="0"/>
                <w:szCs w:val="21"/>
                <w:highlight w:val="none"/>
              </w:rPr>
            </w:pPr>
            <w:r>
              <w:rPr>
                <w:color w:val="000000"/>
                <w:kern w:val="0"/>
                <w:szCs w:val="21"/>
                <w:highlight w:val="none"/>
              </w:rPr>
              <w:t>视角（水平/垂直）</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pPr>
              <w:widowControl/>
              <w:shd w:val="clear"/>
              <w:tabs>
                <w:tab w:val="left" w:pos="3952"/>
              </w:tabs>
              <w:snapToGrid w:val="0"/>
              <w:spacing w:line="400" w:lineRule="exact"/>
              <w:jc w:val="left"/>
              <w:rPr>
                <w:color w:val="000000"/>
                <w:kern w:val="0"/>
                <w:szCs w:val="21"/>
                <w:highlight w:val="none"/>
              </w:rPr>
            </w:pPr>
            <w:r>
              <w:rPr>
                <w:color w:val="000000"/>
                <w:kern w:val="0"/>
                <w:szCs w:val="21"/>
                <w:highlight w:val="none"/>
              </w:rPr>
              <w:t>水平：≥110°垂直≥110°</w:t>
            </w:r>
          </w:p>
        </w:tc>
      </w:tr>
      <w:tr>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4</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最佳可视距离</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pPr>
              <w:widowControl/>
              <w:shd w:val="clear"/>
              <w:snapToGrid w:val="0"/>
              <w:spacing w:line="400" w:lineRule="exact"/>
              <w:jc w:val="left"/>
              <w:rPr>
                <w:color w:val="000000"/>
                <w:kern w:val="0"/>
                <w:szCs w:val="21"/>
                <w:highlight w:val="none"/>
              </w:rPr>
            </w:pPr>
            <w:r>
              <w:rPr>
                <w:color w:val="000000"/>
                <w:kern w:val="0"/>
                <w:szCs w:val="21"/>
                <w:highlight w:val="none"/>
              </w:rPr>
              <w:t>5M～30M</w:t>
            </w:r>
          </w:p>
        </w:tc>
      </w:tr>
      <w:tr>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5</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灰度等级/显示颜色</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pPr>
              <w:widowControl/>
              <w:shd w:val="clear"/>
              <w:snapToGrid w:val="0"/>
              <w:spacing w:line="400" w:lineRule="exact"/>
              <w:jc w:val="left"/>
              <w:rPr>
                <w:color w:val="000000"/>
                <w:kern w:val="0"/>
                <w:szCs w:val="21"/>
                <w:highlight w:val="none"/>
              </w:rPr>
            </w:pPr>
            <w:r>
              <w:rPr>
                <w:color w:val="000000"/>
                <w:kern w:val="0"/>
                <w:szCs w:val="21"/>
                <w:highlight w:val="none"/>
              </w:rPr>
              <w:t>65536级灰度</w:t>
            </w:r>
          </w:p>
        </w:tc>
      </w:tr>
      <w:tr>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6</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换帧速度</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pPr>
              <w:widowControl/>
              <w:shd w:val="clear"/>
              <w:snapToGrid w:val="0"/>
              <w:spacing w:line="400" w:lineRule="exact"/>
              <w:jc w:val="left"/>
              <w:rPr>
                <w:color w:val="000000"/>
                <w:kern w:val="0"/>
                <w:szCs w:val="21"/>
                <w:highlight w:val="none"/>
              </w:rPr>
            </w:pPr>
            <w:r>
              <w:rPr>
                <w:color w:val="000000"/>
                <w:kern w:val="0"/>
                <w:szCs w:val="21"/>
                <w:highlight w:val="none"/>
              </w:rPr>
              <w:t>≥60（帧）/秒</w:t>
            </w:r>
          </w:p>
        </w:tc>
      </w:tr>
      <w:tr>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7</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刷新频率</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pPr>
              <w:widowControl/>
              <w:shd w:val="clear"/>
              <w:snapToGrid w:val="0"/>
              <w:spacing w:line="400" w:lineRule="exact"/>
              <w:jc w:val="left"/>
              <w:rPr>
                <w:color w:val="000000"/>
                <w:kern w:val="0"/>
                <w:szCs w:val="21"/>
                <w:highlight w:val="none"/>
              </w:rPr>
            </w:pPr>
            <w:r>
              <w:rPr>
                <w:color w:val="000000"/>
                <w:kern w:val="0"/>
                <w:szCs w:val="21"/>
                <w:highlight w:val="none"/>
              </w:rPr>
              <w:t>≥1000Hz/S</w:t>
            </w:r>
          </w:p>
        </w:tc>
      </w:tr>
      <w:tr>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8</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输入信号/控制方式</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pPr>
              <w:widowControl/>
              <w:shd w:val="clear"/>
              <w:snapToGrid w:val="0"/>
              <w:spacing w:line="400" w:lineRule="exact"/>
              <w:jc w:val="left"/>
              <w:rPr>
                <w:color w:val="000000"/>
                <w:kern w:val="0"/>
                <w:szCs w:val="21"/>
                <w:highlight w:val="none"/>
              </w:rPr>
            </w:pPr>
            <w:r>
              <w:rPr>
                <w:color w:val="000000"/>
                <w:kern w:val="0"/>
                <w:szCs w:val="21"/>
                <w:highlight w:val="none"/>
              </w:rPr>
              <w:t>APP或者GPRS控制</w:t>
            </w:r>
          </w:p>
        </w:tc>
      </w:tr>
      <w:tr>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9</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连续工作时间</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pPr>
              <w:widowControl/>
              <w:shd w:val="clear"/>
              <w:snapToGrid w:val="0"/>
              <w:spacing w:line="400" w:lineRule="exact"/>
              <w:jc w:val="left"/>
              <w:rPr>
                <w:color w:val="000000"/>
                <w:kern w:val="0"/>
                <w:szCs w:val="21"/>
                <w:highlight w:val="none"/>
              </w:rPr>
            </w:pPr>
            <w:r>
              <w:rPr>
                <w:color w:val="000000"/>
                <w:kern w:val="0"/>
                <w:szCs w:val="21"/>
                <w:highlight w:val="none"/>
              </w:rPr>
              <w:t>&gt;72（Hrs）</w:t>
            </w:r>
          </w:p>
        </w:tc>
      </w:tr>
      <w:tr>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10</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屏幕寿命</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pPr>
              <w:widowControl/>
              <w:shd w:val="clear"/>
              <w:snapToGrid w:val="0"/>
              <w:spacing w:line="400" w:lineRule="exact"/>
              <w:jc w:val="left"/>
              <w:rPr>
                <w:color w:val="000000"/>
                <w:kern w:val="0"/>
                <w:szCs w:val="21"/>
                <w:highlight w:val="none"/>
              </w:rPr>
            </w:pPr>
            <w:r>
              <w:rPr>
                <w:color w:val="000000"/>
                <w:kern w:val="0"/>
                <w:szCs w:val="21"/>
                <w:highlight w:val="none"/>
              </w:rPr>
              <w:t>&gt;50,000（H）</w:t>
            </w:r>
          </w:p>
        </w:tc>
      </w:tr>
      <w:tr>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11</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屏幕MTBF（平均无故障时间）</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pPr>
              <w:widowControl/>
              <w:shd w:val="clear"/>
              <w:snapToGrid w:val="0"/>
              <w:spacing w:line="400" w:lineRule="exact"/>
              <w:jc w:val="left"/>
              <w:rPr>
                <w:color w:val="000000"/>
                <w:kern w:val="0"/>
                <w:szCs w:val="21"/>
                <w:highlight w:val="none"/>
              </w:rPr>
            </w:pPr>
            <w:r>
              <w:rPr>
                <w:color w:val="000000"/>
                <w:kern w:val="0"/>
                <w:szCs w:val="21"/>
                <w:highlight w:val="none"/>
              </w:rPr>
              <w:t>&gt;8,000（H）</w:t>
            </w:r>
          </w:p>
        </w:tc>
      </w:tr>
      <w:tr>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12</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盲点率</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pPr>
              <w:widowControl/>
              <w:shd w:val="clear"/>
              <w:snapToGrid w:val="0"/>
              <w:spacing w:line="400" w:lineRule="exact"/>
              <w:jc w:val="left"/>
              <w:rPr>
                <w:color w:val="000000"/>
                <w:kern w:val="0"/>
                <w:szCs w:val="21"/>
                <w:highlight w:val="none"/>
              </w:rPr>
            </w:pPr>
            <w:r>
              <w:rPr>
                <w:color w:val="000000"/>
                <w:kern w:val="0"/>
                <w:szCs w:val="21"/>
                <w:highlight w:val="none"/>
              </w:rPr>
              <w:t>≤0.0001</w:t>
            </w:r>
          </w:p>
        </w:tc>
      </w:tr>
      <w:tr>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13</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控制距离</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pPr>
              <w:widowControl/>
              <w:shd w:val="clear"/>
              <w:snapToGrid w:val="0"/>
              <w:spacing w:line="400" w:lineRule="exact"/>
              <w:jc w:val="left"/>
              <w:rPr>
                <w:color w:val="000000"/>
                <w:kern w:val="0"/>
                <w:szCs w:val="21"/>
                <w:highlight w:val="none"/>
              </w:rPr>
            </w:pPr>
            <w:r>
              <w:rPr>
                <w:color w:val="000000"/>
                <w:kern w:val="0"/>
                <w:szCs w:val="21"/>
                <w:highlight w:val="none"/>
              </w:rPr>
              <w:t>APP：5米/GPRS:全国范围</w:t>
            </w:r>
          </w:p>
        </w:tc>
      </w:tr>
      <w:tr>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14</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表面平整度</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pPr>
              <w:widowControl/>
              <w:shd w:val="clear"/>
              <w:snapToGrid w:val="0"/>
              <w:spacing w:line="400" w:lineRule="exact"/>
              <w:jc w:val="left"/>
              <w:rPr>
                <w:color w:val="000000"/>
                <w:kern w:val="0"/>
                <w:szCs w:val="21"/>
                <w:highlight w:val="none"/>
              </w:rPr>
            </w:pPr>
            <w:r>
              <w:rPr>
                <w:color w:val="000000"/>
                <w:kern w:val="0"/>
                <w:szCs w:val="21"/>
                <w:highlight w:val="none"/>
              </w:rPr>
              <w:t>&lt;1mm</w:t>
            </w:r>
          </w:p>
        </w:tc>
      </w:tr>
      <w:tr>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15</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系统工作环境温度</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pPr>
              <w:widowControl/>
              <w:shd w:val="clear"/>
              <w:snapToGrid w:val="0"/>
              <w:spacing w:line="400" w:lineRule="exact"/>
              <w:jc w:val="left"/>
              <w:rPr>
                <w:color w:val="000000"/>
                <w:kern w:val="0"/>
                <w:szCs w:val="21"/>
                <w:highlight w:val="none"/>
              </w:rPr>
            </w:pPr>
            <w:r>
              <w:rPr>
                <w:color w:val="000000"/>
                <w:kern w:val="0"/>
                <w:szCs w:val="21"/>
                <w:highlight w:val="none"/>
              </w:rPr>
              <w:t>-40℃～+80℃</w:t>
            </w:r>
          </w:p>
          <w:p>
            <w:pPr>
              <w:widowControl/>
              <w:shd w:val="clear"/>
              <w:snapToGrid w:val="0"/>
              <w:spacing w:line="400" w:lineRule="exact"/>
              <w:jc w:val="left"/>
              <w:rPr>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16</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系统工作环境湿度</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pPr>
              <w:widowControl/>
              <w:shd w:val="clear"/>
              <w:snapToGrid w:val="0"/>
              <w:spacing w:line="400" w:lineRule="exact"/>
              <w:jc w:val="left"/>
              <w:rPr>
                <w:color w:val="000000"/>
                <w:kern w:val="0"/>
                <w:szCs w:val="21"/>
                <w:highlight w:val="none"/>
              </w:rPr>
            </w:pPr>
            <w:r>
              <w:rPr>
                <w:color w:val="000000"/>
                <w:kern w:val="0"/>
                <w:szCs w:val="21"/>
                <w:highlight w:val="none"/>
              </w:rPr>
              <w:t>10%～98%RH</w:t>
            </w:r>
          </w:p>
        </w:tc>
      </w:tr>
      <w:tr>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17</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防护等级</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pPr>
              <w:widowControl/>
              <w:shd w:val="clear"/>
              <w:snapToGrid w:val="0"/>
              <w:spacing w:line="400" w:lineRule="exact"/>
              <w:jc w:val="left"/>
              <w:rPr>
                <w:color w:val="000000"/>
                <w:kern w:val="0"/>
                <w:sz w:val="24"/>
                <w:highlight w:val="none"/>
              </w:rPr>
            </w:pPr>
            <w:r>
              <w:rPr>
                <w:color w:val="000000"/>
                <w:kern w:val="0"/>
                <w:szCs w:val="21"/>
                <w:highlight w:val="none"/>
              </w:rPr>
              <w:t>IP65</w:t>
            </w:r>
          </w:p>
        </w:tc>
      </w:tr>
      <w:tr>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18</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发光器件驱动方式</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pPr>
              <w:widowControl/>
              <w:shd w:val="clear"/>
              <w:snapToGrid w:val="0"/>
              <w:spacing w:line="400" w:lineRule="exact"/>
              <w:jc w:val="left"/>
              <w:rPr>
                <w:color w:val="000000"/>
                <w:kern w:val="0"/>
                <w:szCs w:val="21"/>
                <w:highlight w:val="none"/>
              </w:rPr>
            </w:pPr>
            <w:r>
              <w:rPr>
                <w:color w:val="000000"/>
                <w:kern w:val="0"/>
                <w:szCs w:val="28"/>
                <w:highlight w:val="none"/>
              </w:rPr>
              <w:t>1/2扫描 恒流驱动</w:t>
            </w:r>
          </w:p>
        </w:tc>
      </w:tr>
      <w:tr>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19</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软件接口</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pPr>
              <w:widowControl/>
              <w:shd w:val="clear"/>
              <w:snapToGrid w:val="0"/>
              <w:spacing w:line="400" w:lineRule="exact"/>
              <w:jc w:val="left"/>
              <w:rPr>
                <w:color w:val="000000"/>
                <w:kern w:val="0"/>
                <w:szCs w:val="21"/>
                <w:highlight w:val="none"/>
              </w:rPr>
            </w:pPr>
            <w:r>
              <w:rPr>
                <w:color w:val="000000"/>
                <w:kern w:val="0"/>
                <w:szCs w:val="21"/>
                <w:highlight w:val="none"/>
              </w:rPr>
              <w:t>标准计算机接口，兼容Windows、Unix、Novel</w:t>
            </w:r>
          </w:p>
        </w:tc>
      </w:tr>
      <w:tr>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20</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防护系统</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pPr>
              <w:widowControl/>
              <w:shd w:val="clear"/>
              <w:snapToGrid w:val="0"/>
              <w:spacing w:line="400" w:lineRule="exact"/>
              <w:jc w:val="left"/>
              <w:rPr>
                <w:color w:val="000000"/>
                <w:kern w:val="0"/>
                <w:sz w:val="20"/>
                <w:szCs w:val="20"/>
                <w:highlight w:val="none"/>
              </w:rPr>
            </w:pPr>
            <w:r>
              <w:rPr>
                <w:color w:val="000000"/>
                <w:kern w:val="0"/>
                <w:szCs w:val="21"/>
                <w:highlight w:val="none"/>
              </w:rPr>
              <w:t>超温/过载/掉电/图像补偿/非线性校正</w:t>
            </w:r>
          </w:p>
        </w:tc>
      </w:tr>
      <w:tr>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21</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工作电压</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pPr>
              <w:widowControl/>
              <w:shd w:val="clear"/>
              <w:snapToGrid w:val="0"/>
              <w:spacing w:line="400" w:lineRule="exact"/>
              <w:jc w:val="left"/>
              <w:rPr>
                <w:color w:val="000000"/>
                <w:kern w:val="0"/>
                <w:szCs w:val="21"/>
                <w:highlight w:val="none"/>
              </w:rPr>
            </w:pPr>
            <w:r>
              <w:rPr>
                <w:color w:val="000000"/>
                <w:kern w:val="0"/>
                <w:szCs w:val="21"/>
                <w:highlight w:val="none"/>
              </w:rPr>
              <w:t>AC220V±15%；50Hz；</w:t>
            </w:r>
          </w:p>
        </w:tc>
      </w:tr>
      <w:tr>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22</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功耗</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pPr>
              <w:widowControl/>
              <w:shd w:val="clear"/>
              <w:snapToGrid w:val="0"/>
              <w:spacing w:line="400" w:lineRule="exact"/>
              <w:jc w:val="left"/>
              <w:rPr>
                <w:color w:val="000000"/>
                <w:kern w:val="0"/>
                <w:szCs w:val="21"/>
                <w:highlight w:val="none"/>
              </w:rPr>
            </w:pPr>
            <w:r>
              <w:rPr>
                <w:color w:val="000000"/>
                <w:kern w:val="0"/>
                <w:szCs w:val="21"/>
                <w:highlight w:val="none"/>
              </w:rPr>
              <w:t>全屏亮70W</w:t>
            </w:r>
          </w:p>
        </w:tc>
      </w:tr>
      <w:tr>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23</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保护技术</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pPr>
              <w:widowControl/>
              <w:shd w:val="clear"/>
              <w:snapToGrid w:val="0"/>
              <w:spacing w:line="400" w:lineRule="exact"/>
              <w:rPr>
                <w:color w:val="000000"/>
                <w:kern w:val="0"/>
                <w:szCs w:val="21"/>
                <w:highlight w:val="none"/>
              </w:rPr>
            </w:pPr>
            <w:r>
              <w:rPr>
                <w:color w:val="000000"/>
                <w:kern w:val="0"/>
                <w:szCs w:val="21"/>
                <w:highlight w:val="none"/>
              </w:rPr>
              <w:t>防潮、防尘、防腐、防静电、同时具有过流、短路、过压、欠压保护功能。</w:t>
            </w:r>
          </w:p>
          <w:p>
            <w:pPr>
              <w:widowControl/>
              <w:shd w:val="clear"/>
              <w:snapToGrid w:val="0"/>
              <w:spacing w:line="400" w:lineRule="exact"/>
              <w:jc w:val="left"/>
              <w:rPr>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24</w:t>
            </w:r>
          </w:p>
        </w:tc>
        <w:tc>
          <w:tcPr>
            <w:tcW w:w="3297" w:type="dxa"/>
            <w:tcBorders>
              <w:top w:val="dotted" w:color="auto" w:sz="4" w:space="0"/>
              <w:left w:val="dotted" w:color="auto" w:sz="4" w:space="0"/>
              <w:bottom w:val="single" w:color="auto" w:sz="12" w:space="0"/>
              <w:right w:val="dotted" w:color="auto" w:sz="4" w:space="0"/>
            </w:tcBorders>
            <w:shd w:val="clear" w:color="auto" w:fill="auto"/>
            <w:vAlign w:val="center"/>
          </w:tcPr>
          <w:p>
            <w:pPr>
              <w:widowControl/>
              <w:shd w:val="clear"/>
              <w:snapToGrid w:val="0"/>
              <w:spacing w:line="400" w:lineRule="exact"/>
              <w:jc w:val="center"/>
              <w:rPr>
                <w:color w:val="000000"/>
                <w:kern w:val="0"/>
                <w:szCs w:val="21"/>
                <w:highlight w:val="none"/>
              </w:rPr>
            </w:pPr>
            <w:r>
              <w:rPr>
                <w:color w:val="000000"/>
                <w:kern w:val="0"/>
                <w:szCs w:val="21"/>
                <w:highlight w:val="none"/>
              </w:rPr>
              <w:t>产品重量</w:t>
            </w:r>
          </w:p>
        </w:tc>
        <w:tc>
          <w:tcPr>
            <w:tcW w:w="4443" w:type="dxa"/>
            <w:tcBorders>
              <w:top w:val="dotted" w:color="auto" w:sz="4" w:space="0"/>
              <w:left w:val="dotted" w:color="auto" w:sz="4" w:space="0"/>
              <w:bottom w:val="single" w:color="auto" w:sz="12" w:space="0"/>
              <w:right w:val="single" w:color="auto" w:sz="12" w:space="0"/>
            </w:tcBorders>
            <w:shd w:val="clear" w:color="auto" w:fill="auto"/>
            <w:vAlign w:val="center"/>
          </w:tcPr>
          <w:p>
            <w:pPr>
              <w:widowControl/>
              <w:shd w:val="clear"/>
              <w:snapToGrid w:val="0"/>
              <w:spacing w:line="400" w:lineRule="exact"/>
              <w:jc w:val="left"/>
              <w:rPr>
                <w:color w:val="000000"/>
                <w:kern w:val="0"/>
                <w:szCs w:val="21"/>
                <w:highlight w:val="none"/>
              </w:rPr>
            </w:pPr>
            <w:r>
              <w:rPr>
                <w:color w:val="000000"/>
                <w:kern w:val="0"/>
                <w:szCs w:val="21"/>
                <w:highlight w:val="none"/>
              </w:rPr>
              <w:t>35Kg（净重）</w:t>
            </w:r>
          </w:p>
        </w:tc>
      </w:tr>
    </w:tbl>
    <w:p>
      <w:pPr>
        <w:shd w:val="clear"/>
        <w:spacing w:line="360" w:lineRule="auto"/>
        <w:rPr>
          <w:rFonts w:ascii="宋体" w:hAnsi="宋体" w:cs="宋体"/>
          <w:sz w:val="24"/>
          <w:highlight w:val="none"/>
        </w:rPr>
      </w:pPr>
      <w:r>
        <w:rPr>
          <w:rFonts w:hint="eastAsia" w:ascii="宋体" w:hAnsi="宋体" w:cs="宋体"/>
          <w:sz w:val="24"/>
          <w:highlight w:val="none"/>
        </w:rPr>
        <w:t>19.1一体式弹性交通柱</w:t>
      </w:r>
    </w:p>
    <w:p>
      <w:pPr>
        <w:shd w:val="clear"/>
        <w:spacing w:line="360" w:lineRule="auto"/>
        <w:ind w:firstLine="480" w:firstLineChars="200"/>
        <w:rPr>
          <w:rFonts w:ascii="宋体" w:hAnsi="宋体" w:cs="宋体"/>
          <w:sz w:val="24"/>
          <w:highlight w:val="none"/>
        </w:rPr>
      </w:pPr>
      <w:r>
        <w:rPr>
          <w:rFonts w:hint="eastAsia" w:ascii="宋体" w:hAnsi="宋体" w:cs="宋体"/>
          <w:sz w:val="24"/>
          <w:highlight w:val="none"/>
        </w:rPr>
        <w:t>技术指标：</w:t>
      </w:r>
    </w:p>
    <w:p>
      <w:pPr>
        <w:shd w:val="clear"/>
        <w:spacing w:line="360" w:lineRule="auto"/>
        <w:jc w:val="left"/>
        <w:rPr>
          <w:rFonts w:ascii="宋体" w:hAnsi="宋体" w:cs="宋体"/>
          <w:sz w:val="24"/>
          <w:highlight w:val="none"/>
        </w:rPr>
      </w:pPr>
      <w:r>
        <w:rPr>
          <w:rFonts w:hint="eastAsia" w:ascii="宋体" w:hAnsi="宋体" w:cs="宋体"/>
          <w:sz w:val="24"/>
          <w:highlight w:val="none"/>
        </w:rPr>
        <w:t>1.  符合国标GB/T 24972标准并通过认证；</w:t>
      </w:r>
    </w:p>
    <w:p>
      <w:pPr>
        <w:shd w:val="clear"/>
        <w:spacing w:line="360" w:lineRule="auto"/>
        <w:jc w:val="left"/>
        <w:rPr>
          <w:rFonts w:ascii="宋体" w:hAnsi="宋体" w:cs="宋体"/>
          <w:sz w:val="24"/>
          <w:highlight w:val="none"/>
        </w:rPr>
      </w:pPr>
      <w:r>
        <w:rPr>
          <w:rFonts w:hint="eastAsia" w:ascii="宋体" w:hAnsi="宋体" w:cs="宋体"/>
          <w:sz w:val="24"/>
          <w:highlight w:val="none"/>
        </w:rPr>
        <w:t>2. 反光膜区域凹陷3MM以上，反光膜符合GB/T 18833 Type Ⅳ类以上指标；’</w:t>
      </w:r>
    </w:p>
    <w:p>
      <w:pPr>
        <w:shd w:val="clear"/>
        <w:spacing w:line="360" w:lineRule="auto"/>
        <w:jc w:val="left"/>
        <w:rPr>
          <w:rFonts w:ascii="宋体" w:hAnsi="宋体" w:cs="宋体"/>
          <w:sz w:val="24"/>
          <w:highlight w:val="none"/>
        </w:rPr>
      </w:pPr>
      <w:r>
        <w:rPr>
          <w:rFonts w:hint="eastAsia" w:ascii="宋体" w:hAnsi="宋体" w:cs="宋体"/>
          <w:sz w:val="24"/>
          <w:highlight w:val="none"/>
        </w:rPr>
        <w:t>3. 柱体底座含有2颗玻璃反光珠；</w:t>
      </w:r>
    </w:p>
    <w:p>
      <w:pPr>
        <w:shd w:val="clear"/>
        <w:spacing w:line="360" w:lineRule="auto"/>
        <w:jc w:val="left"/>
        <w:rPr>
          <w:rFonts w:ascii="宋体" w:hAnsi="宋体" w:cs="宋体"/>
          <w:sz w:val="24"/>
          <w:highlight w:val="none"/>
        </w:rPr>
      </w:pPr>
      <w:r>
        <w:rPr>
          <w:rFonts w:hint="eastAsia" w:ascii="宋体" w:hAnsi="宋体" w:cs="宋体"/>
          <w:sz w:val="24"/>
          <w:highlight w:val="none"/>
        </w:rPr>
        <w:t>4. 采用全新TPU高性能材料制成，通体壁厚不小于3mm；</w:t>
      </w:r>
    </w:p>
    <w:p>
      <w:pPr>
        <w:shd w:val="clear"/>
        <w:spacing w:line="360" w:lineRule="auto"/>
        <w:jc w:val="left"/>
        <w:rPr>
          <w:rFonts w:ascii="宋体" w:hAnsi="宋体" w:cs="宋体"/>
          <w:sz w:val="24"/>
          <w:highlight w:val="none"/>
        </w:rPr>
      </w:pPr>
      <w:r>
        <w:rPr>
          <w:rFonts w:hint="eastAsia" w:ascii="宋体" w:hAnsi="宋体" w:cs="宋体"/>
          <w:sz w:val="24"/>
          <w:highlight w:val="none"/>
        </w:rPr>
        <w:t>5.柱体荧光橙色， 保持2年以上不褪色；</w:t>
      </w:r>
    </w:p>
    <w:p>
      <w:pPr>
        <w:shd w:val="clear"/>
        <w:spacing w:line="360" w:lineRule="auto"/>
        <w:jc w:val="left"/>
        <w:rPr>
          <w:rFonts w:ascii="宋体" w:hAnsi="宋体" w:cs="宋体"/>
          <w:sz w:val="24"/>
          <w:highlight w:val="none"/>
        </w:rPr>
      </w:pPr>
      <w:r>
        <w:rPr>
          <w:rFonts w:hint="eastAsia" w:ascii="宋体" w:hAnsi="宋体" w:cs="宋体"/>
          <w:sz w:val="24"/>
          <w:highlight w:val="none"/>
        </w:rPr>
        <w:t>6. 使用温度范围-25 – 60 ℃；</w:t>
      </w:r>
    </w:p>
    <w:p>
      <w:pPr>
        <w:pStyle w:val="2"/>
        <w:spacing w:line="360" w:lineRule="auto"/>
        <w:jc w:val="left"/>
        <w:rPr>
          <w:rFonts w:ascii="宋体" w:hAnsi="宋体" w:cs="宋体"/>
          <w:sz w:val="24"/>
        </w:rPr>
      </w:pPr>
      <w:r>
        <w:rPr>
          <w:b/>
          <w:bCs/>
          <w:lang w:val="en-US"/>
        </w:rPr>
        <w:drawing>
          <wp:inline distT="0" distB="0" distL="0" distR="0">
            <wp:extent cx="5051425" cy="3631565"/>
            <wp:effectExtent l="19050" t="0" r="0" b="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049381" cy="3629906"/>
                    </a:xfrm>
                    <a:prstGeom prst="rect">
                      <a:avLst/>
                    </a:prstGeom>
                    <a:noFill/>
                    <a:ln>
                      <a:noFill/>
                    </a:ln>
                  </pic:spPr>
                </pic:pic>
              </a:graphicData>
            </a:graphic>
          </wp:inline>
        </w:drawing>
      </w:r>
    </w:p>
    <w:p>
      <w:pPr>
        <w:spacing w:line="360" w:lineRule="auto"/>
        <w:jc w:val="left"/>
        <w:rPr>
          <w:rFonts w:ascii="宋体" w:hAnsi="宋体" w:cs="宋体"/>
          <w:sz w:val="24"/>
        </w:rPr>
      </w:pPr>
      <w:r>
        <w:rPr>
          <w:rFonts w:hint="eastAsia" w:ascii="宋体" w:hAnsi="宋体" w:cs="宋体"/>
          <w:sz w:val="24"/>
        </w:rPr>
        <w:t>9.质量要求：</w:t>
      </w:r>
    </w:p>
    <w:p>
      <w:pPr>
        <w:spacing w:line="360" w:lineRule="auto"/>
        <w:jc w:val="left"/>
        <w:rPr>
          <w:rFonts w:ascii="宋体" w:hAnsi="宋体" w:cs="宋体"/>
          <w:sz w:val="24"/>
        </w:rPr>
      </w:pPr>
      <w:r>
        <w:rPr>
          <w:rFonts w:hint="eastAsia" w:ascii="宋体" w:hAnsi="宋体" w:cs="宋体"/>
          <w:sz w:val="24"/>
        </w:rPr>
        <w:t>合格，且符合规范标准。</w:t>
      </w:r>
    </w:p>
    <w:p>
      <w:pPr>
        <w:spacing w:line="360" w:lineRule="auto"/>
        <w:jc w:val="left"/>
        <w:rPr>
          <w:rFonts w:ascii="宋体" w:hAnsi="宋体" w:cs="宋体"/>
          <w:sz w:val="24"/>
        </w:rPr>
      </w:pPr>
      <w:r>
        <w:rPr>
          <w:rFonts w:hint="eastAsia" w:ascii="宋体" w:hAnsi="宋体" w:cs="宋体"/>
          <w:sz w:val="24"/>
        </w:rPr>
        <w:t>10.投标人职责</w:t>
      </w:r>
    </w:p>
    <w:p>
      <w:pPr>
        <w:spacing w:line="360" w:lineRule="auto"/>
        <w:ind w:firstLine="480" w:firstLineChars="200"/>
        <w:jc w:val="left"/>
        <w:rPr>
          <w:rFonts w:ascii="宋体" w:hAnsi="宋体" w:cs="宋体"/>
          <w:sz w:val="24"/>
        </w:rPr>
      </w:pPr>
      <w:r>
        <w:rPr>
          <w:rFonts w:hint="eastAsia" w:ascii="宋体" w:hAnsi="宋体" w:cs="宋体"/>
          <w:sz w:val="24"/>
        </w:rPr>
        <w:t>1、应严格按本次招投标的规定要求履行。在实施交通组织优化前提供交通设施图并按有关技术规范进行安装，确保项目质量。</w:t>
      </w:r>
    </w:p>
    <w:p>
      <w:pPr>
        <w:spacing w:line="360" w:lineRule="auto"/>
        <w:ind w:firstLine="480" w:firstLineChars="200"/>
        <w:jc w:val="left"/>
        <w:rPr>
          <w:rFonts w:ascii="宋体" w:hAnsi="宋体" w:cs="宋体"/>
          <w:sz w:val="24"/>
        </w:rPr>
      </w:pPr>
      <w:r>
        <w:rPr>
          <w:rFonts w:hint="eastAsia" w:ascii="宋体" w:hAnsi="宋体" w:cs="宋体"/>
          <w:sz w:val="24"/>
        </w:rPr>
        <w:t>2、维护内容主要包括服从采购人安排，及时进场工作并按要求①每日开展道路交通安全设施巡查和维护作业，包括对区域内交通设施的基础、交通标志、标牌和设施杆件等交通设施的安全检查、设施排查、统计及登记造册，确保交通安全设施完好率达到98%以上，发现存在安全隐患的，应立即排除或做好临时防护措施，确保管辖范围内所有设施的安全使用。②建立24小时值班制度，接采购人的应急抢修任务30分钟到现场，原则上3小时内修复完成，日常接到抢修任务1小时到现场，原则上5小时内修复完成。如遇材料不足或其他特殊情况无法完成的，应主动报采购人并协商提出合理的补救措施及设置临时安全设施。</w:t>
      </w:r>
    </w:p>
    <w:p>
      <w:pPr>
        <w:spacing w:line="360" w:lineRule="auto"/>
        <w:ind w:firstLine="480" w:firstLineChars="200"/>
        <w:jc w:val="left"/>
        <w:rPr>
          <w:rFonts w:ascii="宋体" w:hAnsi="宋体" w:cs="宋体"/>
          <w:sz w:val="24"/>
        </w:rPr>
      </w:pPr>
      <w:r>
        <w:rPr>
          <w:rFonts w:hint="eastAsia" w:ascii="宋体" w:hAnsi="宋体" w:cs="宋体"/>
          <w:sz w:val="24"/>
        </w:rPr>
        <w:t>3、在接到采购人提出的交通组织优化需求后，应在3个工作日内，提供符合技术规范要求的道路交通设施施工图等建设材料，向监理报备，并根据施工图要求进行施工，确保项目质量。</w:t>
      </w:r>
    </w:p>
    <w:p>
      <w:pPr>
        <w:spacing w:line="360" w:lineRule="auto"/>
        <w:ind w:firstLine="480" w:firstLineChars="200"/>
        <w:jc w:val="left"/>
        <w:rPr>
          <w:rFonts w:ascii="宋体" w:hAnsi="宋体" w:cs="宋体"/>
          <w:sz w:val="24"/>
        </w:rPr>
      </w:pPr>
      <w:r>
        <w:rPr>
          <w:rFonts w:hint="eastAsia" w:ascii="宋体" w:hAnsi="宋体" w:cs="宋体"/>
          <w:sz w:val="24"/>
        </w:rPr>
        <w:t>4、按采购人审定的图纸要求、合同条款、技术规范和清单材料的要求，承担项目的安装、调试及其缺陷修复工作,并及时将新增设施录入</w:t>
      </w:r>
      <w:r>
        <w:rPr>
          <w:rFonts w:hint="eastAsia" w:ascii="宋体" w:hAnsi="宋体" w:cs="宋体"/>
          <w:b/>
          <w:bCs/>
          <w:color w:val="FF0000"/>
          <w:sz w:val="24"/>
        </w:rPr>
        <w:t>“交安设施e智治”</w:t>
      </w:r>
      <w:r>
        <w:rPr>
          <w:rFonts w:hint="eastAsia" w:ascii="宋体" w:hAnsi="宋体" w:cs="宋体"/>
          <w:sz w:val="24"/>
        </w:rPr>
        <w:t>平台。</w:t>
      </w:r>
    </w:p>
    <w:p>
      <w:pPr>
        <w:spacing w:line="360" w:lineRule="auto"/>
        <w:ind w:firstLine="480" w:firstLineChars="200"/>
        <w:jc w:val="left"/>
        <w:rPr>
          <w:rFonts w:ascii="宋体" w:hAnsi="宋体" w:cs="宋体"/>
          <w:sz w:val="24"/>
        </w:rPr>
      </w:pPr>
      <w:r>
        <w:rPr>
          <w:rFonts w:hint="eastAsia" w:ascii="宋体" w:hAnsi="宋体" w:cs="宋体"/>
          <w:sz w:val="24"/>
        </w:rPr>
        <w:t>5、所使用的主要原材料均需要提供检测报告或产品合格证书。</w:t>
      </w:r>
    </w:p>
    <w:p>
      <w:pPr>
        <w:spacing w:line="360" w:lineRule="auto"/>
        <w:ind w:firstLine="480" w:firstLineChars="200"/>
        <w:jc w:val="left"/>
        <w:rPr>
          <w:rFonts w:ascii="宋体" w:hAnsi="宋体" w:cs="宋体"/>
          <w:sz w:val="24"/>
        </w:rPr>
      </w:pPr>
      <w:r>
        <w:rPr>
          <w:rFonts w:hint="eastAsia" w:ascii="宋体" w:hAnsi="宋体" w:cs="宋体"/>
          <w:sz w:val="24"/>
        </w:rPr>
        <w:t>6、接受采购人的各项工作业务指导。</w:t>
      </w:r>
    </w:p>
    <w:p>
      <w:pPr>
        <w:spacing w:line="360" w:lineRule="auto"/>
        <w:ind w:firstLine="480" w:firstLineChars="200"/>
        <w:jc w:val="left"/>
        <w:rPr>
          <w:rFonts w:ascii="宋体" w:hAnsi="宋体" w:cs="宋体"/>
          <w:sz w:val="24"/>
        </w:rPr>
      </w:pPr>
      <w:r>
        <w:rPr>
          <w:rFonts w:hint="eastAsia" w:ascii="宋体" w:hAnsi="宋体" w:cs="宋体"/>
          <w:sz w:val="24"/>
        </w:rPr>
        <w:t>7、负责项目现场的安全文明施工。</w:t>
      </w:r>
    </w:p>
    <w:p>
      <w:pPr>
        <w:spacing w:line="360" w:lineRule="auto"/>
        <w:ind w:firstLine="480" w:firstLineChars="200"/>
        <w:jc w:val="left"/>
        <w:rPr>
          <w:rFonts w:ascii="宋体" w:hAnsi="宋体" w:cs="宋体"/>
          <w:sz w:val="24"/>
        </w:rPr>
      </w:pPr>
      <w:r>
        <w:rPr>
          <w:rFonts w:hint="eastAsia" w:ascii="宋体" w:hAnsi="宋体" w:cs="宋体"/>
          <w:sz w:val="24"/>
        </w:rPr>
        <w:t>8、建立项目施工的质量保证体系。</w:t>
      </w:r>
    </w:p>
    <w:p>
      <w:pPr>
        <w:spacing w:line="360" w:lineRule="auto"/>
        <w:ind w:firstLine="480" w:firstLineChars="200"/>
        <w:jc w:val="left"/>
        <w:rPr>
          <w:rFonts w:ascii="宋体" w:hAnsi="宋体" w:cs="宋体"/>
          <w:sz w:val="24"/>
        </w:rPr>
      </w:pPr>
      <w:r>
        <w:rPr>
          <w:rFonts w:hint="eastAsia" w:ascii="宋体" w:hAnsi="宋体" w:cs="宋体"/>
          <w:sz w:val="24"/>
        </w:rPr>
        <w:t>9、负责交通安全设施安装、维护场地、车辆、机械设备、原材料等保障。</w:t>
      </w:r>
    </w:p>
    <w:p>
      <w:pPr>
        <w:spacing w:line="360" w:lineRule="auto"/>
        <w:ind w:firstLine="480" w:firstLineChars="200"/>
        <w:jc w:val="left"/>
        <w:rPr>
          <w:rFonts w:ascii="宋体" w:hAnsi="宋体" w:cs="宋体"/>
          <w:sz w:val="24"/>
        </w:rPr>
      </w:pPr>
      <w:r>
        <w:rPr>
          <w:rFonts w:hint="eastAsia" w:ascii="宋体" w:hAnsi="宋体" w:cs="宋体"/>
          <w:sz w:val="24"/>
        </w:rPr>
        <w:t>10、次月5日向采购人上报当月的工作量、工作数据、工作小结等。</w:t>
      </w:r>
    </w:p>
    <w:p>
      <w:pPr>
        <w:spacing w:line="360" w:lineRule="auto"/>
        <w:ind w:firstLine="480" w:firstLineChars="200"/>
        <w:jc w:val="left"/>
        <w:rPr>
          <w:rFonts w:ascii="宋体" w:hAnsi="宋体" w:cs="宋体"/>
          <w:sz w:val="24"/>
        </w:rPr>
      </w:pPr>
      <w:r>
        <w:rPr>
          <w:rFonts w:hint="eastAsia" w:ascii="宋体" w:hAnsi="宋体" w:cs="宋体"/>
          <w:sz w:val="24"/>
        </w:rPr>
        <w:t>11、更换标志牌、隔离设施等交通设施前需经采购人确认，</w:t>
      </w:r>
      <w:r>
        <w:rPr>
          <w:rFonts w:hint="eastAsia" w:ascii="宋体" w:hAnsi="宋体" w:cs="宋体"/>
          <w:color w:val="auto"/>
          <w:sz w:val="24"/>
        </w:rPr>
        <w:t>提供设备更换前后对比照片，</w:t>
      </w:r>
      <w:r>
        <w:rPr>
          <w:rFonts w:hint="eastAsia" w:ascii="宋体" w:hAnsi="宋体" w:cs="宋体"/>
          <w:sz w:val="24"/>
        </w:rPr>
        <w:t>投标人对项目范围内的交通安全设施无权自行增设与调整，否则责令投标人自行恢复。优先使用采购人可二次利用的标志牌、隔离设施等交通设施，利旧产生的费用不与投标人进行结算；</w:t>
      </w:r>
    </w:p>
    <w:p>
      <w:pPr>
        <w:spacing w:line="360" w:lineRule="auto"/>
        <w:ind w:firstLine="480" w:firstLineChars="200"/>
        <w:jc w:val="left"/>
        <w:rPr>
          <w:rFonts w:ascii="宋体" w:hAnsi="宋体" w:cs="宋体"/>
          <w:sz w:val="24"/>
        </w:rPr>
      </w:pPr>
      <w:r>
        <w:rPr>
          <w:rFonts w:hint="eastAsia" w:ascii="宋体" w:hAnsi="宋体" w:cs="宋体"/>
          <w:sz w:val="24"/>
        </w:rPr>
        <w:t>12、接受采购人、监理对文明施工、安全施工、质量、安装时效等的监管。</w:t>
      </w:r>
    </w:p>
    <w:p>
      <w:pPr>
        <w:spacing w:line="360" w:lineRule="auto"/>
        <w:ind w:firstLine="480" w:firstLineChars="200"/>
        <w:jc w:val="left"/>
        <w:rPr>
          <w:rFonts w:ascii="宋体" w:hAnsi="宋体" w:cs="宋体"/>
          <w:sz w:val="24"/>
        </w:rPr>
      </w:pPr>
      <w:r>
        <w:rPr>
          <w:rFonts w:hint="eastAsia" w:ascii="宋体" w:hAnsi="宋体" w:cs="宋体"/>
          <w:sz w:val="24"/>
        </w:rPr>
        <w:t>13、接受采购人《交通安全设施维护项目考核管理办法》（考核内容）进行考核。</w:t>
      </w:r>
    </w:p>
    <w:p>
      <w:pPr>
        <w:spacing w:line="360" w:lineRule="auto"/>
        <w:ind w:firstLine="480" w:firstLineChars="200"/>
        <w:jc w:val="left"/>
        <w:rPr>
          <w:rFonts w:ascii="宋体" w:hAnsi="宋体" w:cs="宋体"/>
          <w:sz w:val="24"/>
        </w:rPr>
      </w:pPr>
      <w:r>
        <w:rPr>
          <w:rFonts w:hint="eastAsia" w:ascii="宋体" w:hAnsi="宋体" w:cs="宋体"/>
          <w:sz w:val="24"/>
        </w:rPr>
        <w:t>14、发现未按以下要求将进行考核扣分。具体为：</w:t>
      </w:r>
    </w:p>
    <w:p>
      <w:pPr>
        <w:spacing w:line="360" w:lineRule="auto"/>
        <w:ind w:firstLine="480" w:firstLineChars="200"/>
        <w:jc w:val="left"/>
        <w:rPr>
          <w:rFonts w:ascii="宋体" w:hAnsi="宋体" w:cs="宋体"/>
          <w:sz w:val="24"/>
        </w:rPr>
      </w:pPr>
      <w:r>
        <w:rPr>
          <w:rFonts w:hint="eastAsia" w:ascii="宋体" w:hAnsi="宋体" w:cs="宋体"/>
          <w:sz w:val="24"/>
        </w:rPr>
        <w:t>A、标志类：标志牌的整修、拆除、移位、更换、信息内容纠错、设置纠错等；可变标志牌、待行区诱导显示屏、警示灯及其它电子设施的维护、整修、拆除、移位、更换等。</w:t>
      </w:r>
    </w:p>
    <w:p>
      <w:pPr>
        <w:spacing w:line="360" w:lineRule="auto"/>
        <w:ind w:firstLine="480" w:firstLineChars="200"/>
        <w:jc w:val="left"/>
        <w:rPr>
          <w:rFonts w:ascii="宋体" w:hAnsi="宋体" w:cs="宋体"/>
          <w:sz w:val="24"/>
        </w:rPr>
      </w:pPr>
      <w:r>
        <w:rPr>
          <w:rFonts w:hint="eastAsia" w:ascii="宋体" w:hAnsi="宋体" w:cs="宋体"/>
          <w:sz w:val="24"/>
        </w:rPr>
        <w:t>B、标线类：发现交通标线不规范、缺失淡化或错误，标志、标线信息不一致、矛盾冲突等，及时做好维护、修复，不能立即修复的要做好临时防护措施。</w:t>
      </w:r>
    </w:p>
    <w:p>
      <w:pPr>
        <w:spacing w:line="360" w:lineRule="auto"/>
        <w:ind w:firstLine="480" w:firstLineChars="200"/>
        <w:jc w:val="left"/>
        <w:rPr>
          <w:rFonts w:ascii="宋体" w:hAnsi="宋体" w:cs="宋体"/>
          <w:sz w:val="24"/>
        </w:rPr>
      </w:pPr>
      <w:r>
        <w:rPr>
          <w:rFonts w:hint="eastAsia" w:ascii="宋体" w:hAnsi="宋体" w:cs="宋体"/>
          <w:sz w:val="24"/>
        </w:rPr>
        <w:t>C、其它安全设施类：立杆、护栏、隔离墩、示警桩、橡胶缓冲带、爆闪灯、震荡减速标线（带）项目、路口凹凸镜的维护拆除、移位、更换等。</w:t>
      </w:r>
    </w:p>
    <w:p>
      <w:pPr>
        <w:spacing w:line="360" w:lineRule="auto"/>
        <w:ind w:firstLine="480" w:firstLineChars="200"/>
        <w:jc w:val="left"/>
        <w:rPr>
          <w:rFonts w:ascii="宋体" w:hAnsi="宋体" w:cs="宋体"/>
          <w:sz w:val="24"/>
        </w:rPr>
      </w:pPr>
      <w:r>
        <w:rPr>
          <w:rFonts w:hint="eastAsia" w:ascii="宋体" w:hAnsi="宋体" w:cs="宋体"/>
          <w:sz w:val="24"/>
        </w:rPr>
        <w:t>D、规范交通设施设置：对重复设置、擅自设置、妨碍安全、不符合规范设置的交通设施进行清理。</w:t>
      </w:r>
    </w:p>
    <w:p>
      <w:pPr>
        <w:spacing w:line="360" w:lineRule="auto"/>
        <w:ind w:firstLine="480" w:firstLineChars="200"/>
        <w:jc w:val="left"/>
        <w:rPr>
          <w:rFonts w:ascii="宋体" w:hAnsi="宋体" w:cs="宋体"/>
          <w:sz w:val="24"/>
        </w:rPr>
      </w:pPr>
      <w:r>
        <w:rPr>
          <w:rFonts w:hint="eastAsia" w:ascii="宋体" w:hAnsi="宋体" w:cs="宋体"/>
          <w:sz w:val="24"/>
        </w:rPr>
        <w:t>E、安全检查：负责区域内的交通杆件安全隐患排查，交通设施的安全性能进行检查，消除安全隐患，确保交通设施安全使用。</w:t>
      </w:r>
    </w:p>
    <w:p>
      <w:pPr>
        <w:spacing w:line="360" w:lineRule="auto"/>
        <w:ind w:firstLine="480" w:firstLineChars="200"/>
        <w:jc w:val="left"/>
        <w:rPr>
          <w:rFonts w:ascii="宋体" w:hAnsi="宋体" w:cs="宋体"/>
          <w:sz w:val="24"/>
        </w:rPr>
      </w:pPr>
      <w:r>
        <w:rPr>
          <w:rFonts w:hint="eastAsia" w:ascii="宋体" w:hAnsi="宋体" w:cs="宋体"/>
          <w:sz w:val="24"/>
        </w:rPr>
        <w:t>15、投标人应提供正常维护工作必须的所有人工（包括工种）、机械设备、主要维修原材料，配备护栏、护栏直档、护栏立柱、护栏底座、防眩档、PU警示柱、抱箍、冷漆滚筒、防撞桶、水马、锥筒等；</w:t>
      </w:r>
    </w:p>
    <w:p>
      <w:pPr>
        <w:spacing w:line="360" w:lineRule="auto"/>
        <w:ind w:firstLine="480" w:firstLineChars="200"/>
        <w:jc w:val="left"/>
        <w:rPr>
          <w:rFonts w:ascii="宋体" w:hAnsi="宋体" w:cs="宋体"/>
          <w:sz w:val="24"/>
        </w:rPr>
      </w:pPr>
      <w:r>
        <w:rPr>
          <w:rFonts w:hint="eastAsia" w:ascii="宋体" w:hAnsi="宋体" w:cs="宋体"/>
          <w:sz w:val="24"/>
        </w:rPr>
        <w:t>16、维护工作结束后更换的交接表，需经采购人、经办人、审核人及监理单位确认，并在工作清单上签字加盖公章后生效；合同期内采购人每季度对维护实施的内容进行抽查检测，检测由采购人委托具有CMA资质的检测机构进行并由投标人承担相应费用，并将相关抽查情况纳入考核验收范围。</w:t>
      </w:r>
    </w:p>
    <w:p>
      <w:pPr>
        <w:spacing w:line="360" w:lineRule="auto"/>
        <w:ind w:firstLine="480" w:firstLineChars="200"/>
        <w:jc w:val="left"/>
        <w:rPr>
          <w:rFonts w:ascii="宋体" w:hAnsi="宋体" w:cs="宋体"/>
          <w:sz w:val="24"/>
        </w:rPr>
      </w:pPr>
      <w:r>
        <w:rPr>
          <w:rFonts w:hint="eastAsia" w:ascii="宋体" w:hAnsi="宋体" w:cs="宋体"/>
          <w:sz w:val="24"/>
        </w:rPr>
        <w:t>17、更换后的材料统一上报采购人，经采购人签字确认后，</w:t>
      </w:r>
      <w:r>
        <w:rPr>
          <w:rFonts w:hint="eastAsia" w:ascii="宋体" w:hAnsi="宋体" w:cs="宋体"/>
          <w:color w:val="000000"/>
          <w:kern w:val="0"/>
          <w:sz w:val="24"/>
        </w:rPr>
        <w:t>运至备品仓库由投标人暂时保存，待接到采购人指令后交由采购人处置</w:t>
      </w:r>
      <w:r>
        <w:rPr>
          <w:rFonts w:hint="eastAsia" w:ascii="宋体" w:hAnsi="宋体" w:cs="宋体"/>
          <w:sz w:val="24"/>
        </w:rPr>
        <w:t>；</w:t>
      </w:r>
    </w:p>
    <w:p>
      <w:pPr>
        <w:spacing w:line="360" w:lineRule="auto"/>
        <w:ind w:firstLine="480" w:firstLineChars="200"/>
        <w:jc w:val="left"/>
        <w:rPr>
          <w:rFonts w:ascii="宋体" w:hAnsi="宋体" w:cs="宋体"/>
          <w:sz w:val="24"/>
        </w:rPr>
      </w:pPr>
      <w:r>
        <w:rPr>
          <w:rFonts w:hint="eastAsia" w:ascii="宋体" w:hAnsi="宋体" w:cs="宋体"/>
          <w:sz w:val="24"/>
        </w:rPr>
        <w:t>18、采购人、监理在巡查过程中发现投标人在工作中不按国家有关标准设置，责令其返工；</w:t>
      </w:r>
    </w:p>
    <w:p>
      <w:pPr>
        <w:spacing w:line="360" w:lineRule="auto"/>
        <w:ind w:firstLine="480" w:firstLineChars="200"/>
        <w:jc w:val="left"/>
        <w:rPr>
          <w:rFonts w:ascii="宋体" w:hAnsi="宋体" w:cs="宋体"/>
          <w:sz w:val="24"/>
        </w:rPr>
      </w:pPr>
      <w:r>
        <w:rPr>
          <w:rFonts w:hint="eastAsia" w:ascii="宋体" w:hAnsi="宋体" w:cs="宋体"/>
          <w:sz w:val="24"/>
        </w:rPr>
        <w:t>19、投标人有下列行为之一的，采购人有权终止合同。</w:t>
      </w:r>
    </w:p>
    <w:p>
      <w:pPr>
        <w:spacing w:line="360" w:lineRule="auto"/>
        <w:ind w:firstLine="480" w:firstLineChars="200"/>
        <w:jc w:val="left"/>
        <w:rPr>
          <w:rFonts w:ascii="宋体" w:hAnsi="宋体" w:cs="宋体"/>
          <w:sz w:val="24"/>
        </w:rPr>
      </w:pPr>
      <w:r>
        <w:rPr>
          <w:rFonts w:hint="eastAsia" w:ascii="宋体" w:hAnsi="宋体" w:cs="宋体"/>
          <w:sz w:val="24"/>
        </w:rPr>
        <w:t>A、不符合工程技术标准的；</w:t>
      </w:r>
    </w:p>
    <w:p>
      <w:pPr>
        <w:spacing w:line="360" w:lineRule="auto"/>
        <w:ind w:firstLine="480" w:firstLineChars="200"/>
        <w:jc w:val="left"/>
        <w:rPr>
          <w:rFonts w:ascii="宋体" w:hAnsi="宋体" w:cs="宋体"/>
          <w:sz w:val="24"/>
        </w:rPr>
      </w:pPr>
      <w:r>
        <w:rPr>
          <w:rFonts w:hint="eastAsia" w:ascii="宋体" w:hAnsi="宋体" w:cs="宋体"/>
          <w:sz w:val="24"/>
        </w:rPr>
        <w:t>B、偷工减料的；</w:t>
      </w:r>
    </w:p>
    <w:p>
      <w:pPr>
        <w:spacing w:line="360" w:lineRule="auto"/>
        <w:ind w:firstLine="480" w:firstLineChars="200"/>
        <w:jc w:val="left"/>
        <w:rPr>
          <w:rFonts w:ascii="宋体" w:hAnsi="宋体" w:cs="宋体"/>
          <w:sz w:val="24"/>
        </w:rPr>
      </w:pPr>
      <w:r>
        <w:rPr>
          <w:rFonts w:hint="eastAsia" w:ascii="宋体" w:hAnsi="宋体" w:cs="宋体"/>
          <w:sz w:val="24"/>
        </w:rPr>
        <w:t>C、未按图施工的；</w:t>
      </w:r>
    </w:p>
    <w:p>
      <w:pPr>
        <w:spacing w:line="360" w:lineRule="auto"/>
        <w:ind w:firstLine="480" w:firstLineChars="200"/>
        <w:jc w:val="left"/>
        <w:rPr>
          <w:rFonts w:ascii="宋体" w:hAnsi="宋体" w:cs="宋体"/>
          <w:sz w:val="24"/>
        </w:rPr>
      </w:pPr>
      <w:r>
        <w:rPr>
          <w:rFonts w:hint="eastAsia" w:ascii="宋体" w:hAnsi="宋体" w:cs="宋体"/>
          <w:sz w:val="24"/>
        </w:rPr>
        <w:t>D、造成重特大责任事故的；</w:t>
      </w:r>
    </w:p>
    <w:p>
      <w:pPr>
        <w:spacing w:line="360" w:lineRule="auto"/>
        <w:ind w:firstLine="480" w:firstLineChars="200"/>
        <w:jc w:val="left"/>
        <w:rPr>
          <w:rFonts w:ascii="宋体" w:hAnsi="宋体" w:cs="宋体"/>
          <w:sz w:val="24"/>
        </w:rPr>
      </w:pPr>
      <w:r>
        <w:rPr>
          <w:rFonts w:hint="eastAsia" w:ascii="宋体" w:hAnsi="宋体" w:cs="宋体"/>
          <w:sz w:val="24"/>
        </w:rPr>
        <w:t>E、未安全文明施工的；</w:t>
      </w:r>
    </w:p>
    <w:p>
      <w:pPr>
        <w:spacing w:line="360" w:lineRule="auto"/>
        <w:ind w:firstLine="480" w:firstLineChars="200"/>
        <w:jc w:val="left"/>
        <w:rPr>
          <w:rFonts w:ascii="宋体" w:hAnsi="宋体" w:cs="宋体"/>
          <w:sz w:val="24"/>
        </w:rPr>
      </w:pPr>
      <w:r>
        <w:rPr>
          <w:rFonts w:hint="eastAsia" w:ascii="宋体" w:hAnsi="宋体" w:cs="宋体"/>
          <w:sz w:val="24"/>
        </w:rPr>
        <w:t>F、不服从现场民警指挥的；</w:t>
      </w:r>
    </w:p>
    <w:p>
      <w:pPr>
        <w:spacing w:line="360" w:lineRule="auto"/>
        <w:ind w:firstLine="480" w:firstLineChars="200"/>
        <w:jc w:val="left"/>
        <w:rPr>
          <w:rFonts w:ascii="宋体" w:hAnsi="宋体" w:cs="宋体"/>
          <w:sz w:val="24"/>
        </w:rPr>
      </w:pPr>
      <w:r>
        <w:rPr>
          <w:rFonts w:hint="eastAsia" w:ascii="宋体" w:hAnsi="宋体" w:cs="宋体"/>
          <w:sz w:val="24"/>
        </w:rPr>
        <w:t>G、未按规定申报、擅自增设或变更交通安全设施的；</w:t>
      </w:r>
    </w:p>
    <w:p>
      <w:pPr>
        <w:spacing w:line="360" w:lineRule="auto"/>
        <w:ind w:firstLine="480" w:firstLineChars="200"/>
        <w:jc w:val="left"/>
        <w:rPr>
          <w:rFonts w:ascii="宋体" w:hAnsi="宋体" w:cs="宋体"/>
          <w:sz w:val="24"/>
        </w:rPr>
      </w:pPr>
      <w:r>
        <w:rPr>
          <w:rFonts w:hint="eastAsia" w:ascii="宋体" w:hAnsi="宋体" w:cs="宋体"/>
          <w:sz w:val="24"/>
        </w:rPr>
        <w:t>H、全部或部分转包、分包。</w:t>
      </w:r>
    </w:p>
    <w:p>
      <w:pPr>
        <w:spacing w:line="360" w:lineRule="auto"/>
        <w:ind w:firstLine="480" w:firstLineChars="200"/>
        <w:jc w:val="left"/>
        <w:rPr>
          <w:rFonts w:ascii="宋体" w:hAnsi="宋体" w:cs="宋体"/>
          <w:sz w:val="24"/>
        </w:rPr>
      </w:pPr>
      <w:r>
        <w:rPr>
          <w:rFonts w:hint="eastAsia" w:ascii="宋体" w:hAnsi="宋体" w:cs="宋体"/>
          <w:sz w:val="24"/>
        </w:rPr>
        <w:t>20、投标人在实施过程中应先制定完善的维护方案，自行办理道路挖掘手续的审批（含相关费用），尽可能减小因施工对道路通行带来的影响，施工时应服从现场交警的管理及指挥；</w:t>
      </w:r>
    </w:p>
    <w:p>
      <w:pPr>
        <w:spacing w:line="360" w:lineRule="auto"/>
        <w:ind w:firstLine="480" w:firstLineChars="200"/>
        <w:jc w:val="left"/>
        <w:rPr>
          <w:rFonts w:ascii="宋体" w:hAnsi="宋体" w:cs="宋体"/>
          <w:sz w:val="24"/>
        </w:rPr>
      </w:pPr>
      <w:r>
        <w:rPr>
          <w:rFonts w:hint="eastAsia" w:ascii="宋体" w:hAnsi="宋体" w:cs="宋体"/>
          <w:sz w:val="24"/>
        </w:rPr>
        <w:t>21、投标人需有专门的工作场地、工作人员、车辆、设备及维护工具以承担交通安全设施任务。</w:t>
      </w:r>
    </w:p>
    <w:p>
      <w:pPr>
        <w:spacing w:line="360" w:lineRule="auto"/>
        <w:ind w:firstLine="480" w:firstLineChars="200"/>
        <w:jc w:val="left"/>
        <w:rPr>
          <w:rFonts w:ascii="宋体" w:hAnsi="宋体" w:cs="宋体"/>
          <w:sz w:val="24"/>
        </w:rPr>
      </w:pPr>
      <w:r>
        <w:rPr>
          <w:rFonts w:hint="eastAsia" w:ascii="宋体" w:hAnsi="宋体" w:cs="宋体"/>
          <w:sz w:val="24"/>
        </w:rPr>
        <w:t>22、对抢修、维修、巡查等不及时造成后果除按考核办法处理外还需承担相应的法律责任。</w:t>
      </w:r>
    </w:p>
    <w:p>
      <w:pPr>
        <w:spacing w:line="360" w:lineRule="auto"/>
        <w:ind w:firstLine="480" w:firstLineChars="200"/>
        <w:jc w:val="left"/>
        <w:rPr>
          <w:rFonts w:ascii="宋体" w:hAnsi="宋体" w:cs="宋体"/>
          <w:sz w:val="24"/>
        </w:rPr>
      </w:pPr>
      <w:r>
        <w:rPr>
          <w:rFonts w:hint="eastAsia" w:ascii="宋体" w:hAnsi="宋体" w:cs="宋体"/>
          <w:sz w:val="24"/>
        </w:rPr>
        <w:t>23、自主巡查维护要求：维护区域内次干道（含）以上道路每周巡查覆盖，次干道（不含）以下道路每月巡查覆盖。并做好巡查登记记录及台账。对每次的设备设施维护时均应前、后拍照对比，做到有据可查。</w:t>
      </w:r>
    </w:p>
    <w:p>
      <w:pPr>
        <w:spacing w:line="360" w:lineRule="auto"/>
        <w:ind w:firstLine="480" w:firstLineChars="200"/>
        <w:jc w:val="left"/>
        <w:rPr>
          <w:rFonts w:ascii="宋体" w:hAnsi="宋体" w:cs="宋体"/>
          <w:sz w:val="24"/>
        </w:rPr>
      </w:pPr>
      <w:r>
        <w:rPr>
          <w:rFonts w:hint="eastAsia" w:ascii="宋体" w:hAnsi="宋体" w:cs="宋体"/>
          <w:sz w:val="24"/>
        </w:rPr>
        <w:t>24、杜绝因交通设施设置或维护问题造成不良后果，包括但不限被媒体、信访、投诉曝光，或上级部门、交警部门领导发现，事故追责。</w:t>
      </w:r>
    </w:p>
    <w:p>
      <w:pPr>
        <w:spacing w:line="360" w:lineRule="auto"/>
        <w:ind w:firstLine="480" w:firstLineChars="200"/>
        <w:rPr>
          <w:rFonts w:ascii="宋体" w:hAnsi="宋体" w:cs="宋体"/>
          <w:sz w:val="24"/>
        </w:rPr>
      </w:pPr>
      <w:r>
        <w:rPr>
          <w:rFonts w:hint="eastAsia" w:ascii="宋体" w:hAnsi="宋体" w:cs="宋体"/>
          <w:sz w:val="24"/>
        </w:rPr>
        <w:t>25、投标人实施项目全过程必须接受采购人指定的项目监理单位监督和管理，配合监理单位开展过程监理工作、事后监理工作。</w:t>
      </w:r>
    </w:p>
    <w:p>
      <w:pPr>
        <w:spacing w:line="360" w:lineRule="auto"/>
        <w:ind w:firstLine="480" w:firstLineChars="200"/>
        <w:rPr>
          <w:rFonts w:ascii="宋体" w:hAnsi="宋体" w:cs="宋体"/>
          <w:sz w:val="24"/>
        </w:rPr>
      </w:pPr>
      <w:r>
        <w:rPr>
          <w:rFonts w:hint="eastAsia" w:ascii="宋体" w:hAnsi="宋体" w:cs="宋体"/>
          <w:sz w:val="24"/>
        </w:rPr>
        <w:t>26、接到采购人临时任务通知，投标人需配合，产生的工人及车辆费用按每小时计算。</w:t>
      </w:r>
    </w:p>
    <w:p>
      <w:pPr>
        <w:spacing w:line="360" w:lineRule="auto"/>
        <w:rPr>
          <w:rFonts w:ascii="宋体" w:hAnsi="宋体" w:cs="宋体"/>
          <w:sz w:val="24"/>
        </w:rPr>
      </w:pPr>
      <w:r>
        <w:rPr>
          <w:rFonts w:hint="eastAsia" w:ascii="宋体" w:hAnsi="宋体" w:cs="宋体"/>
          <w:sz w:val="24"/>
        </w:rPr>
        <w:t>11.人员及车辆要求</w:t>
      </w:r>
    </w:p>
    <w:p>
      <w:pPr>
        <w:tabs>
          <w:tab w:val="left" w:pos="432"/>
        </w:tabs>
        <w:spacing w:line="360" w:lineRule="auto"/>
        <w:jc w:val="left"/>
        <w:rPr>
          <w:rFonts w:ascii="宋体" w:hAnsi="宋体" w:cs="宋体"/>
          <w:sz w:val="24"/>
        </w:rPr>
      </w:pPr>
      <w:r>
        <w:rPr>
          <w:rFonts w:hint="eastAsia" w:ascii="宋体" w:hAnsi="宋体" w:cs="宋体"/>
          <w:sz w:val="24"/>
        </w:rPr>
        <w:t>1、配备数量</w:t>
      </w:r>
    </w:p>
    <w:p>
      <w:pPr>
        <w:spacing w:line="360" w:lineRule="auto"/>
        <w:rPr>
          <w:rFonts w:ascii="宋体" w:hAnsi="宋体" w:cs="宋体"/>
          <w:b/>
          <w:bCs/>
          <w:color w:val="FF0000"/>
          <w:sz w:val="24"/>
          <w:u w:val="single"/>
        </w:rPr>
      </w:pPr>
      <w:r>
        <w:rPr>
          <w:rFonts w:hint="eastAsia" w:ascii="宋体" w:hAnsi="宋体" w:cs="宋体"/>
          <w:sz w:val="24"/>
          <w:u w:val="single"/>
        </w:rPr>
        <w:t>▲1）按照实际工作需要，本项目每各配备项目负责人1人，驻点人员不少于1人，实施团队人员（维护、抢修技术人员）标一不少于10人；标二不少于10人。同一投标人各标项人员不能重复。</w:t>
      </w:r>
    </w:p>
    <w:p>
      <w:pPr>
        <w:spacing w:line="360" w:lineRule="auto"/>
        <w:ind w:firstLine="480" w:firstLineChars="200"/>
        <w:rPr>
          <w:rFonts w:ascii="宋体" w:hAnsi="宋体" w:cs="宋体"/>
          <w:sz w:val="24"/>
        </w:rPr>
      </w:pPr>
      <w:r>
        <w:rPr>
          <w:rFonts w:hint="eastAsia" w:ascii="宋体" w:hAnsi="宋体" w:cs="宋体"/>
          <w:sz w:val="24"/>
        </w:rPr>
        <w:t>上述人员数量为本项目的基本采购需求，在本项目采购预算内，如投标人为了更好的为采购人提供高质量服务，可自行考虑增加配置数量。</w:t>
      </w:r>
    </w:p>
    <w:p>
      <w:pPr>
        <w:tabs>
          <w:tab w:val="left" w:pos="432"/>
        </w:tabs>
        <w:spacing w:line="360" w:lineRule="auto"/>
        <w:jc w:val="left"/>
        <w:rPr>
          <w:rFonts w:ascii="宋体" w:hAnsi="宋体" w:cs="宋体"/>
          <w:sz w:val="24"/>
        </w:rPr>
      </w:pPr>
      <w:r>
        <w:rPr>
          <w:rFonts w:hint="eastAsia" w:ascii="宋体" w:hAnsi="宋体" w:cs="宋体"/>
          <w:sz w:val="24"/>
        </w:rPr>
        <w:t>2、人员服务时间</w:t>
      </w:r>
    </w:p>
    <w:p>
      <w:pPr>
        <w:spacing w:line="360" w:lineRule="auto"/>
        <w:rPr>
          <w:rFonts w:ascii="宋体" w:hAnsi="宋体" w:cs="宋体"/>
          <w:sz w:val="24"/>
        </w:rPr>
      </w:pPr>
      <w:r>
        <w:rPr>
          <w:rFonts w:hint="eastAsia" w:ascii="宋体" w:hAnsi="宋体" w:cs="宋体"/>
          <w:sz w:val="24"/>
        </w:rPr>
        <w:t>1）项目负责人服务时间：7*24小时响应；</w:t>
      </w:r>
    </w:p>
    <w:p>
      <w:pPr>
        <w:spacing w:line="360" w:lineRule="auto"/>
        <w:rPr>
          <w:rFonts w:ascii="宋体" w:hAnsi="宋体" w:cs="宋体"/>
          <w:sz w:val="24"/>
        </w:rPr>
      </w:pPr>
      <w:r>
        <w:rPr>
          <w:rFonts w:hint="eastAsia" w:ascii="宋体" w:hAnsi="宋体" w:cs="宋体"/>
          <w:sz w:val="24"/>
        </w:rPr>
        <w:t>2）驻点人员服务时间：5*8小时，工作时间9：00-17：30；</w:t>
      </w:r>
    </w:p>
    <w:p>
      <w:pPr>
        <w:spacing w:line="360" w:lineRule="auto"/>
        <w:rPr>
          <w:rFonts w:ascii="宋体" w:hAnsi="宋体" w:cs="宋体"/>
          <w:sz w:val="24"/>
        </w:rPr>
      </w:pPr>
      <w:r>
        <w:rPr>
          <w:rFonts w:hint="eastAsia" w:ascii="宋体" w:hAnsi="宋体" w:cs="宋体"/>
          <w:sz w:val="24"/>
        </w:rPr>
        <w:t>3）实施团队人员（维护、抢修技术人员）服务时间：7*24小时响应；</w:t>
      </w:r>
    </w:p>
    <w:p>
      <w:pPr>
        <w:tabs>
          <w:tab w:val="left" w:pos="432"/>
        </w:tabs>
        <w:spacing w:line="360" w:lineRule="auto"/>
        <w:jc w:val="left"/>
        <w:rPr>
          <w:rFonts w:ascii="宋体" w:hAnsi="宋体" w:cs="宋体"/>
          <w:sz w:val="24"/>
        </w:rPr>
      </w:pPr>
      <w:r>
        <w:rPr>
          <w:rFonts w:hint="eastAsia" w:ascii="宋体" w:hAnsi="宋体" w:cs="宋体"/>
          <w:sz w:val="24"/>
        </w:rPr>
        <w:t>3、人员配备标准</w:t>
      </w:r>
    </w:p>
    <w:p>
      <w:pPr>
        <w:spacing w:line="360" w:lineRule="auto"/>
        <w:jc w:val="left"/>
        <w:rPr>
          <w:rFonts w:ascii="宋体" w:hAnsi="宋体" w:cs="宋体"/>
          <w:sz w:val="24"/>
        </w:rPr>
      </w:pPr>
      <w:r>
        <w:rPr>
          <w:rFonts w:hint="eastAsia" w:ascii="宋体" w:hAnsi="宋体" w:cs="宋体"/>
          <w:sz w:val="24"/>
        </w:rPr>
        <w:t>1）项目负责人配备标准：年龄55周岁（含）以下，具有二级建造师及以上职称，具有交通设施项目经验。（需提供项目合同（项目合同如不能体现项目负责人信息需同时提供业主证明材料）。</w:t>
      </w:r>
    </w:p>
    <w:p>
      <w:pPr>
        <w:spacing w:line="360" w:lineRule="auto"/>
        <w:jc w:val="left"/>
        <w:rPr>
          <w:rFonts w:ascii="宋体" w:hAnsi="宋体" w:cs="宋体"/>
          <w:sz w:val="24"/>
        </w:rPr>
      </w:pPr>
      <w:r>
        <w:rPr>
          <w:rFonts w:hint="eastAsia" w:ascii="宋体" w:hAnsi="宋体" w:cs="宋体"/>
          <w:sz w:val="24"/>
        </w:rPr>
        <w:t>2）驻点人员配备标准：年龄55周岁（含）以下，具备一定计算机知识、制图等技能。具有相关交通设施项目经验（需提供项目合同（项目合同如不能体现项目负责人信息需同时提供业主证明材料）。</w:t>
      </w:r>
    </w:p>
    <w:p>
      <w:pPr>
        <w:spacing w:line="360" w:lineRule="auto"/>
        <w:jc w:val="left"/>
        <w:rPr>
          <w:rFonts w:ascii="宋体" w:hAnsi="宋体" w:cs="宋体"/>
          <w:sz w:val="24"/>
        </w:rPr>
      </w:pPr>
      <w:r>
        <w:rPr>
          <w:rFonts w:hint="eastAsia" w:ascii="宋体" w:hAnsi="宋体" w:cs="宋体"/>
          <w:sz w:val="24"/>
        </w:rPr>
        <w:t>3）实施团队人员（维护、抢修技术人员）配备标准：年龄55周岁（含）以下，需不少于一位持有电工证、高空作业证，具有相关交通设施项目经验（需提供项目合同（项目合同如不能体现项目负责人信息需同时提供业主证明材料）。</w:t>
      </w:r>
    </w:p>
    <w:p>
      <w:pPr>
        <w:spacing w:line="360" w:lineRule="auto"/>
        <w:jc w:val="left"/>
        <w:rPr>
          <w:rFonts w:ascii="宋体" w:hAnsi="宋体" w:cs="宋体"/>
          <w:sz w:val="24"/>
        </w:rPr>
      </w:pPr>
      <w:r>
        <w:rPr>
          <w:rFonts w:hint="eastAsia" w:ascii="宋体" w:hAnsi="宋体" w:cs="宋体"/>
          <w:sz w:val="24"/>
        </w:rPr>
        <w:t>4、人员工作内容及职责</w:t>
      </w:r>
    </w:p>
    <w:p>
      <w:pPr>
        <w:spacing w:line="360" w:lineRule="auto"/>
        <w:rPr>
          <w:rFonts w:ascii="宋体" w:hAnsi="宋体" w:cs="宋体"/>
          <w:sz w:val="24"/>
        </w:rPr>
      </w:pPr>
      <w:r>
        <w:rPr>
          <w:rFonts w:hint="eastAsia" w:ascii="宋体" w:hAnsi="宋体" w:cs="宋体"/>
          <w:sz w:val="24"/>
        </w:rPr>
        <w:t>1）项目负责人工作内容及职责</w:t>
      </w:r>
    </w:p>
    <w:p>
      <w:pPr>
        <w:spacing w:line="360" w:lineRule="auto"/>
        <w:ind w:firstLine="309" w:firstLineChars="129"/>
        <w:rPr>
          <w:rFonts w:ascii="宋体" w:hAnsi="宋体" w:cs="宋体"/>
          <w:sz w:val="24"/>
        </w:rPr>
      </w:pPr>
      <w:r>
        <w:rPr>
          <w:rFonts w:hint="eastAsia" w:ascii="宋体" w:hAnsi="宋体" w:cs="宋体"/>
          <w:sz w:val="24"/>
        </w:rPr>
        <w:t>①负责项目整体实施管理、服务人员管理，实施团队人员（维护、抢修技术人员）、及与采购人的沟通协调等工作。</w:t>
      </w:r>
    </w:p>
    <w:p>
      <w:pPr>
        <w:spacing w:line="360" w:lineRule="auto"/>
        <w:rPr>
          <w:rFonts w:ascii="宋体" w:hAnsi="宋体" w:cs="宋体"/>
          <w:sz w:val="24"/>
        </w:rPr>
      </w:pPr>
      <w:r>
        <w:rPr>
          <w:rFonts w:hint="eastAsia" w:ascii="宋体" w:hAnsi="宋体" w:cs="宋体"/>
          <w:sz w:val="24"/>
        </w:rPr>
        <w:t>2）驻点人员工作内容及职责</w:t>
      </w:r>
    </w:p>
    <w:p>
      <w:pPr>
        <w:spacing w:line="360" w:lineRule="auto"/>
        <w:ind w:firstLine="480" w:firstLineChars="200"/>
        <w:rPr>
          <w:rFonts w:ascii="宋体" w:hAnsi="宋体" w:cs="宋体"/>
          <w:sz w:val="24"/>
        </w:rPr>
      </w:pPr>
      <w:r>
        <w:rPr>
          <w:rFonts w:hint="eastAsia" w:ascii="宋体" w:hAnsi="宋体" w:cs="宋体"/>
          <w:sz w:val="24"/>
        </w:rPr>
        <w:t>①进行设施数据统计以及日常性设施工作联系单、増设、调整的数据录入工作（増设、调整的数据要求实时录入），确保资料流程完整。</w:t>
      </w:r>
    </w:p>
    <w:p>
      <w:pPr>
        <w:spacing w:line="360" w:lineRule="auto"/>
        <w:ind w:firstLine="480" w:firstLineChars="200"/>
        <w:rPr>
          <w:rFonts w:ascii="宋体" w:hAnsi="宋体" w:cs="宋体"/>
          <w:sz w:val="24"/>
        </w:rPr>
      </w:pPr>
      <w:r>
        <w:rPr>
          <w:rFonts w:hint="eastAsia" w:ascii="宋体" w:hAnsi="宋体" w:cs="宋体"/>
          <w:sz w:val="24"/>
        </w:rPr>
        <w:t>②在收到监理核发的《问题告知单》后2个工作日内书面向采购人提出异议。</w:t>
      </w:r>
    </w:p>
    <w:p>
      <w:pPr>
        <w:spacing w:line="360" w:lineRule="auto"/>
        <w:ind w:firstLine="480" w:firstLineChars="200"/>
        <w:rPr>
          <w:rFonts w:ascii="宋体" w:hAnsi="宋体" w:cs="宋体"/>
          <w:sz w:val="24"/>
        </w:rPr>
      </w:pPr>
      <w:r>
        <w:rPr>
          <w:rFonts w:hint="eastAsia" w:ascii="宋体" w:hAnsi="宋体" w:cs="宋体"/>
          <w:sz w:val="24"/>
        </w:rPr>
        <w:t>③次月5日向采购人上报当月的工作量、工作数据、工作小结等。</w:t>
      </w:r>
    </w:p>
    <w:p>
      <w:pPr>
        <w:spacing w:line="360" w:lineRule="auto"/>
        <w:ind w:firstLine="480" w:firstLineChars="200"/>
        <w:rPr>
          <w:rFonts w:ascii="宋体" w:hAnsi="宋体" w:cs="宋体"/>
          <w:sz w:val="24"/>
        </w:rPr>
      </w:pPr>
      <w:r>
        <w:rPr>
          <w:rFonts w:hint="eastAsia" w:ascii="宋体" w:hAnsi="宋体" w:cs="宋体"/>
          <w:sz w:val="24"/>
        </w:rPr>
        <w:t>④每月5日向监理单位递交上月巡查维护报告。</w:t>
      </w:r>
    </w:p>
    <w:p>
      <w:pPr>
        <w:spacing w:line="360" w:lineRule="auto"/>
        <w:ind w:firstLine="480" w:firstLineChars="200"/>
        <w:rPr>
          <w:rFonts w:ascii="宋体" w:hAnsi="宋体" w:cs="宋体"/>
          <w:sz w:val="24"/>
        </w:rPr>
      </w:pPr>
      <w:r>
        <w:rPr>
          <w:rFonts w:hint="eastAsia" w:ascii="宋体" w:hAnsi="宋体" w:cs="宋体"/>
          <w:sz w:val="24"/>
        </w:rPr>
        <w:t>⑤落实采购人交办的工作。</w:t>
      </w:r>
    </w:p>
    <w:p>
      <w:pPr>
        <w:spacing w:line="360" w:lineRule="auto"/>
        <w:ind w:firstLine="480" w:firstLineChars="200"/>
        <w:rPr>
          <w:rFonts w:ascii="宋体" w:hAnsi="宋体" w:cs="宋体"/>
          <w:sz w:val="24"/>
        </w:rPr>
      </w:pPr>
      <w:r>
        <w:rPr>
          <w:rFonts w:hint="eastAsia" w:ascii="宋体" w:hAnsi="宋体" w:cs="宋体"/>
          <w:sz w:val="24"/>
        </w:rPr>
        <w:t>⑥岗亭的日常维护及清洗。</w:t>
      </w:r>
    </w:p>
    <w:p>
      <w:pPr>
        <w:spacing w:line="360" w:lineRule="auto"/>
        <w:ind w:firstLine="480" w:firstLineChars="200"/>
        <w:rPr>
          <w:rFonts w:ascii="宋体" w:hAnsi="宋体" w:cs="宋体"/>
          <w:sz w:val="24"/>
        </w:rPr>
      </w:pPr>
      <w:r>
        <w:rPr>
          <w:rFonts w:hint="eastAsia" w:ascii="宋体" w:hAnsi="宋体" w:cs="宋体"/>
          <w:sz w:val="24"/>
        </w:rPr>
        <w:t>3）实施团队人员（维护、抢修技术人员）工作内容及职责</w:t>
      </w:r>
    </w:p>
    <w:p>
      <w:pPr>
        <w:spacing w:line="360" w:lineRule="auto"/>
        <w:ind w:firstLine="480" w:firstLineChars="200"/>
        <w:rPr>
          <w:rFonts w:ascii="宋体" w:hAnsi="宋体" w:cs="宋体"/>
          <w:sz w:val="24"/>
        </w:rPr>
      </w:pPr>
      <w:r>
        <w:rPr>
          <w:rFonts w:hint="eastAsia" w:ascii="宋体" w:hAnsi="宋体" w:cs="宋体"/>
          <w:sz w:val="24"/>
        </w:rPr>
        <w:t>①在维护区域内巡检，承担维护、抢修工作。</w:t>
      </w:r>
    </w:p>
    <w:p>
      <w:pPr>
        <w:spacing w:line="360" w:lineRule="auto"/>
        <w:ind w:firstLine="480" w:firstLineChars="200"/>
        <w:rPr>
          <w:rFonts w:ascii="宋体" w:hAnsi="宋体" w:cs="宋体"/>
          <w:sz w:val="24"/>
        </w:rPr>
      </w:pPr>
      <w:r>
        <w:rPr>
          <w:rFonts w:hint="eastAsia" w:ascii="宋体" w:hAnsi="宋体" w:cs="宋体"/>
          <w:sz w:val="24"/>
        </w:rPr>
        <w:t>②车辆上路工作需开启定位系统，并每辆车每周上报巡查道路清单。</w:t>
      </w:r>
    </w:p>
    <w:p>
      <w:pPr>
        <w:spacing w:line="360" w:lineRule="auto"/>
        <w:ind w:firstLine="480" w:firstLineChars="200"/>
        <w:rPr>
          <w:rFonts w:ascii="宋体" w:hAnsi="宋体" w:cs="宋体"/>
          <w:sz w:val="24"/>
        </w:rPr>
      </w:pPr>
      <w:r>
        <w:rPr>
          <w:rFonts w:hint="eastAsia" w:ascii="宋体" w:hAnsi="宋体" w:cs="宋体"/>
          <w:sz w:val="24"/>
        </w:rPr>
        <w:t>③在工作时间通讯畅通、设施能要求到达现场、规范处置。</w:t>
      </w:r>
    </w:p>
    <w:p>
      <w:pPr>
        <w:spacing w:line="360" w:lineRule="auto"/>
        <w:ind w:firstLine="480" w:firstLineChars="200"/>
        <w:rPr>
          <w:rFonts w:ascii="宋体" w:hAnsi="宋体" w:cs="宋体"/>
          <w:sz w:val="24"/>
        </w:rPr>
      </w:pPr>
      <w:r>
        <w:rPr>
          <w:rFonts w:hint="eastAsia" w:ascii="宋体" w:hAnsi="宋体" w:cs="宋体"/>
          <w:sz w:val="24"/>
        </w:rPr>
        <w:t>④维护车辆、设施、人员在工作时间内需在工作区域内，如不在区域内需出具书面情况说明。</w:t>
      </w:r>
    </w:p>
    <w:p>
      <w:pPr>
        <w:spacing w:line="360" w:lineRule="auto"/>
        <w:ind w:firstLine="480" w:firstLineChars="200"/>
        <w:rPr>
          <w:rFonts w:ascii="宋体" w:hAnsi="宋体" w:cs="宋体"/>
          <w:sz w:val="24"/>
        </w:rPr>
      </w:pPr>
      <w:r>
        <w:rPr>
          <w:rFonts w:hint="eastAsia" w:ascii="宋体" w:hAnsi="宋体" w:cs="宋体"/>
          <w:sz w:val="24"/>
        </w:rPr>
        <w:t>⑤接受所属大队分指挥室任务派遣。</w:t>
      </w:r>
    </w:p>
    <w:p>
      <w:pPr>
        <w:spacing w:line="360" w:lineRule="auto"/>
        <w:rPr>
          <w:rFonts w:ascii="宋体" w:hAnsi="宋体" w:cs="宋体"/>
          <w:sz w:val="24"/>
        </w:rPr>
      </w:pPr>
      <w:r>
        <w:rPr>
          <w:rFonts w:hint="eastAsia" w:ascii="宋体" w:hAnsi="宋体" w:cs="宋体"/>
          <w:sz w:val="24"/>
        </w:rPr>
        <w:t>5、驻点人员实施地点：驻点人员地址由投标人在项目所在地自行确定。</w:t>
      </w:r>
    </w:p>
    <w:p>
      <w:pPr>
        <w:spacing w:line="360" w:lineRule="auto"/>
        <w:rPr>
          <w:rFonts w:ascii="宋体" w:hAnsi="宋体" w:cs="宋体"/>
          <w:sz w:val="24"/>
        </w:rPr>
      </w:pPr>
      <w:r>
        <w:rPr>
          <w:rFonts w:hint="eastAsia" w:ascii="宋体" w:hAnsi="宋体" w:cs="宋体"/>
          <w:sz w:val="24"/>
        </w:rPr>
        <w:t>6、车辆要求</w:t>
      </w:r>
    </w:p>
    <w:p>
      <w:pPr>
        <w:spacing w:line="360" w:lineRule="auto"/>
        <w:ind w:firstLine="480" w:firstLineChars="200"/>
        <w:rPr>
          <w:rFonts w:ascii="宋体" w:hAnsi="宋体" w:cs="宋体"/>
          <w:sz w:val="24"/>
        </w:rPr>
      </w:pPr>
      <w:r>
        <w:rPr>
          <w:rFonts w:hint="eastAsia" w:ascii="宋体" w:hAnsi="宋体" w:cs="宋体"/>
          <w:sz w:val="24"/>
        </w:rPr>
        <w:t>维护车辆要求为：标项一：1辆轻型非载货专项作业车（具有升降功能并且配备相应GPS系统），1辆重型货车（具有吊车功能且配备相应GPS系统），1辆中型非载货专项作业车（具有升降功能并且配备相应GPS系统），2辆1.5T（含）以上轻型栏板货车（配备相应GPS系统）；标项二1辆轻型非载货专项作业车（具有升降功能并且配备相应GPS系统），1辆重型货车（具有吊车功能且配备相应GPS系统），1辆中型非载货专项作业车（具有升降功能并且配备相应GPS系统），2辆1.5T（含）以上轻型栏板货车（配备相应GPS系统）；同一投标人各标项车辆不能重复。</w:t>
      </w:r>
    </w:p>
    <w:p>
      <w:pPr>
        <w:spacing w:line="360" w:lineRule="auto"/>
        <w:rPr>
          <w:rFonts w:ascii="宋体" w:hAnsi="宋体" w:cs="宋体"/>
          <w:sz w:val="24"/>
        </w:rPr>
      </w:pPr>
      <w:r>
        <w:rPr>
          <w:rFonts w:hint="eastAsia" w:ascii="宋体" w:hAnsi="宋体" w:cs="宋体"/>
          <w:sz w:val="24"/>
        </w:rPr>
        <w:t>上述车辆数量为车辆的基本采购需求。在本项目采购预算内，如投标人为了更好地为采购人提供高质量服务，可自行考虑增加配置数量。</w:t>
      </w:r>
    </w:p>
    <w:p>
      <w:pPr>
        <w:spacing w:line="360" w:lineRule="auto"/>
        <w:rPr>
          <w:rFonts w:ascii="宋体" w:hAnsi="宋体" w:cs="宋体"/>
          <w:sz w:val="24"/>
        </w:rPr>
      </w:pPr>
      <w:r>
        <w:rPr>
          <w:rFonts w:hint="eastAsia" w:ascii="宋体" w:hAnsi="宋体" w:cs="宋体"/>
          <w:sz w:val="24"/>
        </w:rPr>
        <w:t>7、其他要求</w:t>
      </w:r>
    </w:p>
    <w:p>
      <w:pPr>
        <w:spacing w:line="360" w:lineRule="auto"/>
        <w:ind w:firstLine="420"/>
        <w:jc w:val="left"/>
        <w:rPr>
          <w:rFonts w:ascii="宋体" w:hAnsi="宋体" w:cs="宋体"/>
          <w:sz w:val="24"/>
        </w:rPr>
      </w:pPr>
      <w:r>
        <w:rPr>
          <w:rFonts w:hint="eastAsia" w:ascii="宋体" w:hAnsi="宋体" w:cs="宋体"/>
          <w:sz w:val="24"/>
        </w:rPr>
        <w:t>1）投标人应派驻固定的驻点人员，合同期内人员不得随意变动；如人员进行变更时，需提前2个工作日向采购人提交书面报告，经采购人经办人、审核人对服务人员变更进行审批，签发人员变更审批单。书面审批通过后方可更换，更换人员资历不得低于投标时人员资历。</w:t>
      </w:r>
    </w:p>
    <w:p>
      <w:pPr>
        <w:spacing w:line="360" w:lineRule="auto"/>
        <w:ind w:firstLine="420"/>
        <w:jc w:val="left"/>
        <w:rPr>
          <w:rFonts w:ascii="宋体" w:hAnsi="宋体" w:cs="宋体"/>
          <w:sz w:val="24"/>
        </w:rPr>
      </w:pPr>
      <w:r>
        <w:rPr>
          <w:rFonts w:hint="eastAsia" w:ascii="宋体" w:hAnsi="宋体" w:cs="宋体"/>
          <w:sz w:val="24"/>
        </w:rPr>
        <w:t>2）项目负责人、驻点人员、实施团队人员（维护、抢修技术人员）须提供在投标人单位社保缴纳记录及提供投标人和拟派项目人员共同出具的保证能在本项目服务期间为本项目服务的承诺函。</w:t>
      </w:r>
    </w:p>
    <w:p>
      <w:pPr>
        <w:spacing w:line="360" w:lineRule="auto"/>
        <w:ind w:firstLine="240" w:firstLineChars="100"/>
        <w:rPr>
          <w:rFonts w:ascii="宋体" w:hAnsi="宋体" w:cs="宋体"/>
          <w:sz w:val="24"/>
        </w:rPr>
      </w:pPr>
      <w:r>
        <w:rPr>
          <w:rFonts w:hint="eastAsia" w:ascii="宋体" w:hAnsi="宋体" w:cs="宋体"/>
          <w:sz w:val="24"/>
        </w:rPr>
        <w:t>3）保密要求：1、采购人应当对投标人及工作人员开展常态化安全保密教育，组织签订安全保密承诺书，明确具体安全管理内容、安全保密义务和责任。严格按照采购人规定使用、存储、处理文档资料和数据。合同终止时，应当交还全部公安资料和数据。2、投标人及工作人员违反安全管理要求，构成违法犯罪的，采购人应当及时报送本级政府采购和市场监督管理部门，提请列入政府采购严重违法失信行为记录名单、市场监督管理严重失信名单，并追究相关责任。</w:t>
      </w:r>
    </w:p>
    <w:p>
      <w:pPr>
        <w:spacing w:line="360" w:lineRule="auto"/>
        <w:jc w:val="left"/>
        <w:rPr>
          <w:rFonts w:ascii="宋体" w:hAnsi="宋体" w:cs="宋体"/>
          <w:sz w:val="24"/>
        </w:rPr>
      </w:pPr>
      <w:r>
        <w:rPr>
          <w:rFonts w:hint="eastAsia" w:ascii="宋体" w:hAnsi="宋体" w:cs="宋体"/>
          <w:sz w:val="24"/>
        </w:rPr>
        <w:t>12.拟采购标的的商务要求</w:t>
      </w:r>
    </w:p>
    <w:p>
      <w:pPr>
        <w:spacing w:line="360" w:lineRule="auto"/>
        <w:ind w:left="210" w:leftChars="100"/>
        <w:jc w:val="left"/>
        <w:rPr>
          <w:rFonts w:ascii="宋体" w:hAnsi="宋体" w:cs="宋体"/>
          <w:sz w:val="24"/>
        </w:rPr>
      </w:pPr>
      <w:r>
        <w:rPr>
          <w:rFonts w:hint="eastAsia" w:ascii="宋体" w:hAnsi="宋体" w:cs="宋体"/>
          <w:sz w:val="24"/>
        </w:rPr>
        <w:t>1、交付（实施）的时间（期限）：合同签订之日起至2023年10月31日。</w:t>
      </w:r>
    </w:p>
    <w:p>
      <w:pPr>
        <w:spacing w:line="360" w:lineRule="auto"/>
        <w:ind w:left="210" w:leftChars="100"/>
        <w:jc w:val="left"/>
        <w:rPr>
          <w:rFonts w:ascii="宋体" w:hAnsi="宋体" w:cs="宋体"/>
          <w:sz w:val="24"/>
        </w:rPr>
      </w:pPr>
      <w:r>
        <w:rPr>
          <w:rFonts w:hint="eastAsia" w:ascii="宋体" w:hAnsi="宋体" w:cs="宋体"/>
          <w:sz w:val="24"/>
        </w:rPr>
        <w:t>2、交付（实施）的地点（范围）：三大队地址：温州市龙湾区状元街道兴华路8号对面；五大队地址： 浙江省温州市龙湾区滨海四路与杨柳路交叉口西南方向30米。</w:t>
      </w:r>
    </w:p>
    <w:p>
      <w:pPr>
        <w:spacing w:line="360" w:lineRule="auto"/>
        <w:ind w:left="210" w:leftChars="100"/>
        <w:jc w:val="left"/>
        <w:rPr>
          <w:rFonts w:ascii="宋体" w:hAnsi="宋体" w:cs="宋体"/>
          <w:sz w:val="24"/>
        </w:rPr>
      </w:pPr>
      <w:r>
        <w:rPr>
          <w:rFonts w:hint="eastAsia" w:ascii="宋体" w:hAnsi="宋体" w:cs="宋体"/>
          <w:sz w:val="24"/>
        </w:rPr>
        <w:t>3、付款条件（进度和方式）</w:t>
      </w:r>
    </w:p>
    <w:tbl>
      <w:tblPr>
        <w:tblStyle w:val="20"/>
        <w:tblW w:w="0" w:type="auto"/>
        <w:tblInd w:w="21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1171"/>
        <w:gridCol w:w="5056"/>
        <w:gridCol w:w="2058"/>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569" w:hRule="atLeast"/>
        </w:trPr>
        <w:tc>
          <w:tcPr>
            <w:tcW w:w="1174" w:type="dxa"/>
            <w:noWrap/>
            <w:vAlign w:val="center"/>
          </w:tcPr>
          <w:p>
            <w:pPr>
              <w:spacing w:line="360" w:lineRule="auto"/>
              <w:jc w:val="center"/>
              <w:rPr>
                <w:rFonts w:ascii="宋体" w:hAnsi="宋体" w:cs="宋体"/>
                <w:sz w:val="24"/>
              </w:rPr>
            </w:pPr>
            <w:r>
              <w:rPr>
                <w:rFonts w:hint="eastAsia" w:ascii="宋体" w:hAnsi="宋体" w:cs="宋体"/>
                <w:sz w:val="24"/>
              </w:rPr>
              <w:t>序号</w:t>
            </w:r>
          </w:p>
        </w:tc>
        <w:tc>
          <w:tcPr>
            <w:tcW w:w="5073" w:type="dxa"/>
            <w:noWrap/>
            <w:vAlign w:val="center"/>
          </w:tcPr>
          <w:p>
            <w:pPr>
              <w:spacing w:line="360" w:lineRule="auto"/>
              <w:jc w:val="center"/>
              <w:rPr>
                <w:rFonts w:ascii="宋体" w:hAnsi="宋体" w:cs="宋体"/>
                <w:sz w:val="24"/>
              </w:rPr>
            </w:pPr>
            <w:r>
              <w:rPr>
                <w:rFonts w:hint="eastAsia" w:ascii="宋体" w:hAnsi="宋体" w:cs="宋体"/>
                <w:sz w:val="24"/>
              </w:rPr>
              <w:t>付款比例（%）</w:t>
            </w:r>
          </w:p>
        </w:tc>
        <w:tc>
          <w:tcPr>
            <w:tcW w:w="2065" w:type="dxa"/>
            <w:noWrap/>
            <w:vAlign w:val="center"/>
          </w:tcPr>
          <w:p>
            <w:pPr>
              <w:spacing w:line="360" w:lineRule="auto"/>
              <w:jc w:val="center"/>
              <w:rPr>
                <w:rFonts w:ascii="宋体" w:hAnsi="宋体" w:cs="宋体"/>
                <w:sz w:val="24"/>
              </w:rPr>
            </w:pPr>
            <w:r>
              <w:rPr>
                <w:rFonts w:hint="eastAsia" w:ascii="宋体" w:hAnsi="宋体" w:cs="宋体"/>
                <w:sz w:val="24"/>
              </w:rPr>
              <w:t>付款方式</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1174" w:type="dxa"/>
            <w:noWrap/>
          </w:tcPr>
          <w:p>
            <w:pPr>
              <w:spacing w:line="360" w:lineRule="auto"/>
              <w:jc w:val="center"/>
              <w:rPr>
                <w:rFonts w:ascii="宋体" w:hAnsi="宋体" w:cs="宋体"/>
                <w:sz w:val="24"/>
              </w:rPr>
            </w:pPr>
            <w:r>
              <w:rPr>
                <w:rFonts w:hint="eastAsia" w:ascii="宋体" w:hAnsi="宋体" w:cs="宋体"/>
                <w:sz w:val="24"/>
              </w:rPr>
              <w:t>1</w:t>
            </w:r>
          </w:p>
        </w:tc>
        <w:tc>
          <w:tcPr>
            <w:tcW w:w="5073" w:type="dxa"/>
            <w:noWrap/>
          </w:tcPr>
          <w:p>
            <w:pPr>
              <w:spacing w:line="360" w:lineRule="auto"/>
              <w:jc w:val="left"/>
              <w:rPr>
                <w:rFonts w:ascii="宋体" w:hAnsi="宋体" w:cs="宋体"/>
                <w:sz w:val="24"/>
              </w:rPr>
            </w:pPr>
            <w:r>
              <w:rPr>
                <w:rFonts w:hint="eastAsia" w:ascii="宋体" w:hAnsi="宋体" w:cs="宋体"/>
                <w:sz w:val="24"/>
              </w:rPr>
              <w:t>第一期：</w:t>
            </w:r>
            <w:r>
              <w:rPr>
                <w:rFonts w:hint="eastAsia" w:ascii="宋体" w:hAnsi="宋体" w:cs="宋体"/>
                <w:sz w:val="24"/>
                <w:lang w:eastAsia="zh-CN"/>
              </w:rPr>
              <w:t>合同签订后7个工作日内，待财政资金到位</w:t>
            </w:r>
            <w:r>
              <w:rPr>
                <w:rFonts w:hint="eastAsia" w:ascii="宋体" w:hAnsi="宋体" w:cs="宋体"/>
                <w:sz w:val="24"/>
              </w:rPr>
              <w:t>，采购人支付中标人合同金额的40％，同时中标人缴纳项目预算1%的履约保证。</w:t>
            </w:r>
          </w:p>
        </w:tc>
        <w:tc>
          <w:tcPr>
            <w:tcW w:w="2065" w:type="dxa"/>
            <w:noWrap/>
          </w:tcPr>
          <w:p>
            <w:pPr>
              <w:spacing w:line="360" w:lineRule="auto"/>
              <w:jc w:val="center"/>
              <w:rPr>
                <w:rFonts w:ascii="宋体" w:hAnsi="宋体" w:cs="宋体"/>
                <w:sz w:val="24"/>
              </w:rPr>
            </w:pPr>
            <w:r>
              <w:rPr>
                <w:rFonts w:hint="eastAsia" w:ascii="宋体" w:hAnsi="宋体" w:cs="宋体"/>
                <w:sz w:val="24"/>
              </w:rPr>
              <w:t>国库转账支付</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1174" w:type="dxa"/>
            <w:noWrap/>
          </w:tcPr>
          <w:p>
            <w:pPr>
              <w:spacing w:line="360" w:lineRule="auto"/>
              <w:jc w:val="center"/>
              <w:rPr>
                <w:rFonts w:ascii="宋体" w:hAnsi="宋体" w:cs="宋体"/>
                <w:sz w:val="24"/>
              </w:rPr>
            </w:pPr>
            <w:r>
              <w:rPr>
                <w:rFonts w:hint="eastAsia" w:ascii="宋体" w:hAnsi="宋体" w:cs="宋体"/>
                <w:sz w:val="24"/>
              </w:rPr>
              <w:t>2</w:t>
            </w:r>
          </w:p>
        </w:tc>
        <w:tc>
          <w:tcPr>
            <w:tcW w:w="5073" w:type="dxa"/>
            <w:noWrap/>
          </w:tcPr>
          <w:p>
            <w:pPr>
              <w:spacing w:line="360" w:lineRule="auto"/>
              <w:jc w:val="left"/>
              <w:rPr>
                <w:rFonts w:ascii="宋体" w:hAnsi="宋体" w:cs="宋体"/>
                <w:sz w:val="24"/>
              </w:rPr>
            </w:pPr>
            <w:r>
              <w:rPr>
                <w:rFonts w:hint="eastAsia" w:ascii="宋体" w:hAnsi="宋体" w:cs="宋体"/>
                <w:sz w:val="24"/>
              </w:rPr>
              <w:t>第二期：至2023年5月30日，无任何服务问题,凭双方签字盖章的验收意见、验收小组签字的验收报告、采购合同、单位保密协议、个人保密承诺书、日常保密教育台账、人员清单、每月人员社保交纳清单、驻点人员每日打卡记录、人员变更审批表（如有）、车辆信息、维护方案、安装施工组织方案、安全防护措施方案、工作量、工作数据、工作小结、周巡查登记记录报告、月巡查登记记录报告、月巡查维护报告、台账、设施维护前后照片、工作联系单、每日巡检报告及巡检路线图、《问题告知单》、产品说明书、产品合格证、原厂质保承诺函、质量保证书原件、三包凭证、原配的附件（如有）、产品生产日期凭证等、设施更换交接表、每季度抽测表、第三方具有CMA检测机构出具的检测报告（采购需求中反光系数等相应技术参数）、相关考核材料，根据合同单价及实际施工使用的产品数量、人员到位数、车辆使用数量，监理出具意见后按实结算，最多支付至预算安排</w:t>
            </w:r>
            <w:r>
              <w:rPr>
                <w:rFonts w:hint="eastAsia" w:ascii="宋体" w:hAnsi="宋体" w:cs="宋体"/>
                <w:sz w:val="24"/>
                <w:lang w:val="zh-CN"/>
              </w:rPr>
              <w:t>（含</w:t>
            </w:r>
            <w:r>
              <w:rPr>
                <w:rFonts w:hint="eastAsia" w:ascii="宋体" w:hAnsi="宋体" w:cs="宋体"/>
                <w:sz w:val="24"/>
              </w:rPr>
              <w:t>采购人</w:t>
            </w:r>
            <w:r>
              <w:rPr>
                <w:rFonts w:hint="eastAsia" w:ascii="宋体" w:hAnsi="宋体" w:cs="宋体"/>
                <w:sz w:val="24"/>
                <w:lang w:val="zh-CN"/>
              </w:rPr>
              <w:t>已向</w:t>
            </w:r>
            <w:r>
              <w:rPr>
                <w:rFonts w:hint="eastAsia" w:ascii="宋体" w:hAnsi="宋体" w:cs="宋体"/>
                <w:sz w:val="24"/>
              </w:rPr>
              <w:t>投标人</w:t>
            </w:r>
            <w:r>
              <w:rPr>
                <w:rFonts w:hint="eastAsia" w:ascii="宋体" w:hAnsi="宋体" w:cs="宋体"/>
                <w:sz w:val="24"/>
                <w:lang w:val="zh-CN"/>
              </w:rPr>
              <w:t>支付的</w:t>
            </w:r>
            <w:r>
              <w:rPr>
                <w:rFonts w:hint="eastAsia" w:ascii="宋体" w:hAnsi="宋体" w:cs="宋体"/>
                <w:sz w:val="24"/>
              </w:rPr>
              <w:t>各标项</w:t>
            </w:r>
            <w:r>
              <w:rPr>
                <w:rFonts w:hint="eastAsia" w:ascii="宋体" w:hAnsi="宋体" w:cs="宋体"/>
                <w:sz w:val="24"/>
                <w:lang w:val="zh-CN"/>
              </w:rPr>
              <w:t>第一期合同价款）</w:t>
            </w:r>
            <w:r>
              <w:rPr>
                <w:rFonts w:hint="eastAsia" w:ascii="宋体" w:hAnsi="宋体" w:cs="宋体"/>
                <w:sz w:val="24"/>
              </w:rPr>
              <w:t>。</w:t>
            </w:r>
          </w:p>
        </w:tc>
        <w:tc>
          <w:tcPr>
            <w:tcW w:w="2065" w:type="dxa"/>
            <w:noWrap/>
          </w:tcPr>
          <w:p>
            <w:pPr>
              <w:spacing w:line="360" w:lineRule="auto"/>
              <w:jc w:val="center"/>
              <w:rPr>
                <w:rFonts w:ascii="宋体" w:hAnsi="宋体" w:cs="宋体"/>
                <w:sz w:val="24"/>
              </w:rPr>
            </w:pPr>
            <w:r>
              <w:rPr>
                <w:rFonts w:hint="eastAsia" w:ascii="宋体" w:hAnsi="宋体" w:cs="宋体"/>
                <w:sz w:val="24"/>
              </w:rPr>
              <w:t>国库转账支付</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1174" w:type="dxa"/>
            <w:noWrap/>
          </w:tcPr>
          <w:p>
            <w:pPr>
              <w:spacing w:line="360" w:lineRule="auto"/>
              <w:jc w:val="center"/>
              <w:rPr>
                <w:rFonts w:ascii="宋体" w:hAnsi="宋体" w:cs="宋体"/>
                <w:sz w:val="24"/>
              </w:rPr>
            </w:pPr>
            <w:r>
              <w:rPr>
                <w:rFonts w:hint="eastAsia" w:ascii="宋体" w:hAnsi="宋体" w:cs="宋体"/>
                <w:sz w:val="24"/>
              </w:rPr>
              <w:t>3</w:t>
            </w:r>
          </w:p>
        </w:tc>
        <w:tc>
          <w:tcPr>
            <w:tcW w:w="5073" w:type="dxa"/>
            <w:noWrap/>
          </w:tcPr>
          <w:p>
            <w:pPr>
              <w:spacing w:line="360" w:lineRule="auto"/>
              <w:jc w:val="left"/>
              <w:rPr>
                <w:rFonts w:ascii="宋体" w:hAnsi="宋体" w:cs="宋体"/>
                <w:sz w:val="24"/>
              </w:rPr>
            </w:pPr>
            <w:r>
              <w:rPr>
                <w:rFonts w:hint="eastAsia" w:ascii="宋体" w:hAnsi="宋体" w:cs="宋体"/>
                <w:sz w:val="24"/>
              </w:rPr>
              <w:t>第三期：合同期结束，无任何服务问题，凭双方签字盖章的验收意见、验收小组签字的验收报告、采购合同、单位保密协议、个人保密承诺书、日常保密教育台账、人员清单、每月人员社保交纳清单、驻点人员每日打卡记录、人员变更审批表（如有）、车辆信息、维护方案、安装施工组织方案、安全防护措施方案、工作量、工作数据、工作小结、周巡查登记记录报告、月巡查登记记录报告、月巡查维护报告、台账、设施维护前后照片、工作联系单、每日巡检报告及巡检路线图、《问题告知单》、产品说明书、产品合格证、原厂质保承诺函、质量保证书原件、三包凭证、原配的附件（如有）、产品生产日期凭证等、设施更换交接表、每季度抽测表、监理总结、验收总结报告、相关考核材料及公示截图等相关资料，根据合同单价及实际施工使用的产品数量、人员到位数、车辆使用数量，监理出具意见后按实结算合同尾款，</w:t>
            </w:r>
            <w:r>
              <w:rPr>
                <w:rFonts w:hint="eastAsia" w:ascii="宋体" w:hAnsi="宋体" w:cs="宋体"/>
                <w:sz w:val="24"/>
                <w:lang w:val="zh-CN"/>
              </w:rPr>
              <w:t>同时扣除</w:t>
            </w:r>
            <w:r>
              <w:rPr>
                <w:rFonts w:hint="eastAsia" w:ascii="宋体" w:hAnsi="宋体" w:cs="宋体"/>
                <w:sz w:val="24"/>
              </w:rPr>
              <w:t>投标人</w:t>
            </w:r>
            <w:r>
              <w:rPr>
                <w:rFonts w:hint="eastAsia" w:ascii="宋体" w:hAnsi="宋体" w:cs="宋体"/>
                <w:sz w:val="24"/>
                <w:lang w:val="zh-CN"/>
              </w:rPr>
              <w:t>应向采购人支付的违约金。</w:t>
            </w:r>
          </w:p>
        </w:tc>
        <w:tc>
          <w:tcPr>
            <w:tcW w:w="2065" w:type="dxa"/>
            <w:noWrap/>
          </w:tcPr>
          <w:p>
            <w:pPr>
              <w:spacing w:line="360" w:lineRule="auto"/>
              <w:jc w:val="center"/>
              <w:rPr>
                <w:rFonts w:ascii="宋体" w:hAnsi="宋体" w:cs="宋体"/>
                <w:sz w:val="24"/>
              </w:rPr>
            </w:pPr>
            <w:r>
              <w:rPr>
                <w:rFonts w:hint="eastAsia" w:ascii="宋体" w:hAnsi="宋体" w:cs="宋体"/>
                <w:sz w:val="24"/>
              </w:rPr>
              <w:t>国库转账支付</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8312" w:type="dxa"/>
            <w:gridSpan w:val="3"/>
            <w:noWrap/>
          </w:tcPr>
          <w:p>
            <w:pPr>
              <w:spacing w:line="360" w:lineRule="auto"/>
              <w:jc w:val="left"/>
              <w:rPr>
                <w:rFonts w:ascii="宋体" w:hAnsi="宋体" w:cs="宋体"/>
                <w:sz w:val="24"/>
                <w:lang w:val="zh-CN"/>
              </w:rPr>
            </w:pPr>
            <w:r>
              <w:rPr>
                <w:rFonts w:hint="eastAsia" w:ascii="宋体" w:hAnsi="宋体" w:cs="宋体"/>
                <w:sz w:val="24"/>
                <w:lang w:val="zh-CN"/>
              </w:rPr>
              <w:t>双方确认，</w:t>
            </w:r>
            <w:r>
              <w:rPr>
                <w:rFonts w:hint="eastAsia" w:ascii="宋体" w:hAnsi="宋体" w:cs="宋体"/>
                <w:sz w:val="24"/>
              </w:rPr>
              <w:t>采购人</w:t>
            </w:r>
            <w:r>
              <w:rPr>
                <w:rFonts w:hint="eastAsia" w:ascii="宋体" w:hAnsi="宋体" w:cs="宋体"/>
                <w:sz w:val="24"/>
                <w:lang w:val="zh-CN"/>
              </w:rPr>
              <w:t>按前</w:t>
            </w:r>
            <w:r>
              <w:rPr>
                <w:rFonts w:hint="eastAsia" w:ascii="宋体" w:hAnsi="宋体" w:cs="宋体"/>
                <w:sz w:val="24"/>
              </w:rPr>
              <w:t>三</w:t>
            </w:r>
            <w:r>
              <w:rPr>
                <w:rFonts w:hint="eastAsia" w:ascii="宋体" w:hAnsi="宋体" w:cs="宋体"/>
                <w:sz w:val="24"/>
                <w:lang w:val="zh-CN"/>
              </w:rPr>
              <w:t>款结算并向</w:t>
            </w:r>
            <w:r>
              <w:rPr>
                <w:rFonts w:hint="eastAsia" w:ascii="宋体" w:hAnsi="宋体" w:cs="宋体"/>
                <w:sz w:val="24"/>
              </w:rPr>
              <w:t>投标人</w:t>
            </w:r>
            <w:r>
              <w:rPr>
                <w:rFonts w:hint="eastAsia" w:ascii="宋体" w:hAnsi="宋体" w:cs="宋体"/>
                <w:sz w:val="24"/>
                <w:lang w:val="zh-CN"/>
              </w:rPr>
              <w:t>支付的款项总额不超过项目预算。</w:t>
            </w:r>
          </w:p>
          <w:p>
            <w:pPr>
              <w:spacing w:line="360" w:lineRule="auto"/>
              <w:jc w:val="left"/>
              <w:rPr>
                <w:rFonts w:ascii="宋体" w:hAnsi="宋体" w:cs="宋体"/>
                <w:sz w:val="24"/>
              </w:rPr>
            </w:pPr>
            <w:r>
              <w:rPr>
                <w:rFonts w:hint="eastAsia" w:ascii="宋体" w:hAnsi="宋体" w:cs="宋体"/>
                <w:sz w:val="24"/>
                <w:lang w:val="zh-CN"/>
              </w:rPr>
              <w:t>前述</w:t>
            </w:r>
            <w:r>
              <w:rPr>
                <w:rFonts w:hint="eastAsia" w:ascii="宋体" w:hAnsi="宋体" w:cs="宋体"/>
                <w:sz w:val="24"/>
              </w:rPr>
              <w:t>采购人根据合同单价及实际施工使用的产品数量、人员到位数、车辆使用数量</w:t>
            </w:r>
            <w:r>
              <w:rPr>
                <w:rFonts w:hint="eastAsia" w:ascii="宋体" w:hAnsi="宋体" w:cs="宋体"/>
                <w:sz w:val="24"/>
                <w:lang w:val="zh-CN"/>
              </w:rPr>
              <w:t>与</w:t>
            </w:r>
            <w:r>
              <w:rPr>
                <w:rFonts w:hint="eastAsia" w:ascii="宋体" w:hAnsi="宋体" w:cs="宋体"/>
                <w:sz w:val="24"/>
              </w:rPr>
              <w:t>投标人</w:t>
            </w:r>
            <w:r>
              <w:rPr>
                <w:rFonts w:hint="eastAsia" w:ascii="宋体" w:hAnsi="宋体" w:cs="宋体"/>
                <w:sz w:val="24"/>
                <w:lang w:val="zh-CN"/>
              </w:rPr>
              <w:t>进行按实结算付款的方式不影响</w:t>
            </w:r>
            <w:r>
              <w:rPr>
                <w:rFonts w:hint="eastAsia" w:ascii="宋体" w:hAnsi="宋体" w:cs="宋体"/>
                <w:sz w:val="24"/>
              </w:rPr>
              <w:t>投标人</w:t>
            </w:r>
            <w:r>
              <w:rPr>
                <w:rFonts w:hint="eastAsia" w:ascii="宋体" w:hAnsi="宋体" w:cs="宋体"/>
                <w:sz w:val="24"/>
                <w:lang w:val="zh-CN"/>
              </w:rPr>
              <w:t>承担其因未全面履行本合同义务而产生的相应违约金。</w:t>
            </w:r>
          </w:p>
        </w:tc>
      </w:tr>
    </w:tbl>
    <w:p>
      <w:pPr>
        <w:numPr>
          <w:ilvl w:val="0"/>
          <w:numId w:val="3"/>
        </w:numPr>
        <w:spacing w:line="360" w:lineRule="auto"/>
        <w:jc w:val="left"/>
        <w:rPr>
          <w:rFonts w:ascii="宋体" w:hAnsi="宋体" w:cs="宋体"/>
          <w:sz w:val="24"/>
        </w:rPr>
      </w:pPr>
      <w:r>
        <w:rPr>
          <w:rFonts w:hint="eastAsia" w:ascii="宋体" w:hAnsi="宋体" w:cs="宋体"/>
          <w:sz w:val="24"/>
        </w:rPr>
        <w:t>售后服务要求：</w:t>
      </w:r>
    </w:p>
    <w:p>
      <w:pPr>
        <w:numPr>
          <w:ilvl w:val="0"/>
          <w:numId w:val="4"/>
        </w:numPr>
        <w:spacing w:line="360" w:lineRule="auto"/>
        <w:ind w:firstLine="240" w:firstLineChars="100"/>
        <w:jc w:val="left"/>
        <w:rPr>
          <w:rFonts w:ascii="宋体" w:hAnsi="宋体" w:cs="宋体"/>
          <w:sz w:val="24"/>
        </w:rPr>
      </w:pPr>
      <w:r>
        <w:rPr>
          <w:rFonts w:hint="eastAsia" w:ascii="宋体" w:hAnsi="宋体" w:cs="宋体"/>
          <w:sz w:val="24"/>
        </w:rPr>
        <w:t>质保期：对合同期内提供的交通设施、设备提供原厂商质保期要求不少于1年（如原厂质保期长于本项目质保期，则按原厂质保期执行），自产品终验通过并交付采购人使用之日起开始计算，并在投标时提供承诺函，承诺函明确投标本项目产品质保由原厂商承担，费用包含在投标报价中。质保期内如发现质量问题实行三包直至产品符合质量要求，由此产生一切费用和直接经济损失由投标人承担。</w:t>
      </w:r>
    </w:p>
    <w:p>
      <w:pPr>
        <w:numPr>
          <w:ilvl w:val="0"/>
          <w:numId w:val="4"/>
        </w:numPr>
        <w:spacing w:line="360" w:lineRule="auto"/>
        <w:ind w:firstLine="240" w:firstLineChars="100"/>
        <w:jc w:val="left"/>
        <w:rPr>
          <w:rFonts w:ascii="宋体" w:hAnsi="宋体" w:cs="宋体"/>
          <w:sz w:val="24"/>
        </w:rPr>
      </w:pPr>
      <w:r>
        <w:rPr>
          <w:rFonts w:hint="eastAsia" w:ascii="宋体" w:hAnsi="宋体" w:cs="宋体"/>
          <w:sz w:val="24"/>
        </w:rPr>
        <w:t>服务响应：质保期内出现问题，应在1小时内响应；2小时内到达现场，3小时内修复；4小时内无法处理的需进行更换，并出具书面检修报告及情况说明。</w:t>
      </w:r>
    </w:p>
    <w:p>
      <w:pPr>
        <w:spacing w:line="360" w:lineRule="auto"/>
        <w:ind w:firstLine="480" w:firstLineChars="200"/>
        <w:jc w:val="left"/>
        <w:rPr>
          <w:rFonts w:ascii="宋体" w:hAnsi="宋体" w:cs="宋体"/>
          <w:sz w:val="24"/>
        </w:rPr>
      </w:pPr>
      <w:r>
        <w:rPr>
          <w:rFonts w:hint="eastAsia" w:ascii="宋体" w:hAnsi="宋体" w:cs="宋体"/>
          <w:sz w:val="24"/>
        </w:rPr>
        <w:t>3）质量要求：投标人所提供的产品必须是原装正品、是全新的、未使用过的，符合采购文件要求以及国家、行业有关技术规范和标准。 (投标文件中须提供质量保证承诺书、有明确的质量目标、质量保证措施)</w:t>
      </w:r>
    </w:p>
    <w:p>
      <w:pPr>
        <w:spacing w:line="360" w:lineRule="auto"/>
        <w:ind w:firstLine="480" w:firstLineChars="200"/>
        <w:jc w:val="left"/>
        <w:rPr>
          <w:rFonts w:ascii="宋体" w:hAnsi="宋体" w:cs="宋体"/>
          <w:sz w:val="24"/>
        </w:rPr>
      </w:pPr>
      <w:r>
        <w:rPr>
          <w:rFonts w:hint="eastAsia" w:ascii="宋体" w:hAnsi="宋体" w:cs="宋体"/>
          <w:sz w:val="24"/>
        </w:rPr>
        <w:t>4）投标人必须严格落实执行政府的各项实时新冠疫情防控政策，以及采购人的各项实时防控实施要求，并为服务人员配备必要的防护用品，按疫情防控要求做好服务人员的核酸检测工作。</w:t>
      </w:r>
    </w:p>
    <w:p>
      <w:pPr>
        <w:spacing w:line="360" w:lineRule="auto"/>
        <w:jc w:val="left"/>
        <w:rPr>
          <w:rFonts w:ascii="宋体" w:hAnsi="宋体" w:cs="宋体"/>
          <w:sz w:val="24"/>
        </w:rPr>
      </w:pPr>
      <w:r>
        <w:rPr>
          <w:rFonts w:hint="eastAsia" w:ascii="宋体" w:hAnsi="宋体" w:cs="宋体"/>
          <w:sz w:val="24"/>
        </w:rPr>
        <w:t>5、其他商务要求</w:t>
      </w:r>
    </w:p>
    <w:p>
      <w:pPr>
        <w:spacing w:line="360" w:lineRule="auto"/>
        <w:ind w:firstLine="480" w:firstLineChars="200"/>
        <w:jc w:val="left"/>
        <w:rPr>
          <w:rFonts w:ascii="宋体" w:hAnsi="宋体" w:cs="宋体"/>
          <w:sz w:val="24"/>
        </w:rPr>
      </w:pPr>
      <w:r>
        <w:rPr>
          <w:rFonts w:hint="eastAsia" w:ascii="宋体" w:hAnsi="宋体" w:cs="宋体"/>
          <w:sz w:val="24"/>
        </w:rPr>
        <w:t>1）履约保证金退还：验收合格后，无任何质量问题，采购人于收到投标人退还履约保证金申请之日起5个工作日内凭双方签字盖章的验收意见，原额（无息）归还履约保证金。</w:t>
      </w:r>
    </w:p>
    <w:p>
      <w:pPr>
        <w:spacing w:line="360" w:lineRule="auto"/>
        <w:ind w:firstLine="480" w:firstLineChars="200"/>
        <w:jc w:val="left"/>
        <w:rPr>
          <w:rFonts w:ascii="宋体" w:hAnsi="宋体" w:cs="宋体"/>
          <w:sz w:val="24"/>
        </w:rPr>
      </w:pPr>
      <w:r>
        <w:rPr>
          <w:rFonts w:hint="eastAsia" w:ascii="宋体" w:hAnsi="宋体" w:cs="宋体"/>
          <w:sz w:val="24"/>
        </w:rPr>
        <w:t>2）投标报价为投标单价，包括产品供货、运输、安装、调试、车辆、售后服务、维护费、服务费用（包含人员工资、加班工资、《劳动合同法》规定的各种社会保险费、人员食宿与交通、工具、办公费、车辆使用）及税金等一切费用均计入报价。</w:t>
      </w:r>
    </w:p>
    <w:p>
      <w:pPr>
        <w:pStyle w:val="11"/>
        <w:spacing w:line="360" w:lineRule="auto"/>
        <w:ind w:firstLine="0"/>
        <w:rPr>
          <w:rFonts w:hAnsi="宋体" w:cs="宋体"/>
          <w:sz w:val="24"/>
          <w:szCs w:val="24"/>
        </w:rPr>
      </w:pPr>
      <w:r>
        <w:rPr>
          <w:rFonts w:hint="eastAsia" w:hAnsi="宋体" w:cs="宋体"/>
          <w:sz w:val="24"/>
          <w:szCs w:val="24"/>
        </w:rPr>
        <w:t>13.考核</w:t>
      </w:r>
    </w:p>
    <w:p>
      <w:pPr>
        <w:spacing w:line="360" w:lineRule="auto"/>
        <w:ind w:firstLine="480" w:firstLineChars="200"/>
        <w:jc w:val="left"/>
        <w:rPr>
          <w:rFonts w:ascii="宋体" w:hAnsi="宋体" w:cs="宋体"/>
          <w:sz w:val="24"/>
        </w:rPr>
      </w:pPr>
      <w:r>
        <w:rPr>
          <w:rFonts w:hint="eastAsia" w:ascii="宋体" w:hAnsi="宋体" w:cs="宋体"/>
          <w:sz w:val="24"/>
        </w:rPr>
        <w:t>为进一步做好交通设施维护日常管理工作，特制订本考核管理办法。</w:t>
      </w:r>
    </w:p>
    <w:p>
      <w:pPr>
        <w:spacing w:line="360" w:lineRule="auto"/>
        <w:jc w:val="left"/>
        <w:rPr>
          <w:rFonts w:ascii="宋体" w:hAnsi="宋体" w:cs="宋体"/>
          <w:sz w:val="24"/>
        </w:rPr>
      </w:pPr>
      <w:r>
        <w:rPr>
          <w:rFonts w:hint="eastAsia" w:ascii="宋体" w:hAnsi="宋体" w:cs="宋体"/>
          <w:sz w:val="24"/>
        </w:rPr>
        <w:t>●考核对象</w:t>
      </w:r>
    </w:p>
    <w:p>
      <w:pPr>
        <w:spacing w:line="360" w:lineRule="auto"/>
        <w:jc w:val="left"/>
        <w:rPr>
          <w:rFonts w:ascii="宋体" w:hAnsi="宋体" w:cs="宋体"/>
          <w:sz w:val="24"/>
        </w:rPr>
      </w:pPr>
      <w:r>
        <w:rPr>
          <w:rFonts w:hint="eastAsia" w:ascii="宋体" w:hAnsi="宋体" w:cs="宋体"/>
          <w:sz w:val="24"/>
        </w:rPr>
        <w:t>交通安全设施维护项目单位。</w:t>
      </w:r>
    </w:p>
    <w:p>
      <w:pPr>
        <w:spacing w:line="360" w:lineRule="auto"/>
        <w:jc w:val="left"/>
        <w:rPr>
          <w:rFonts w:ascii="宋体" w:hAnsi="宋体" w:cs="宋体"/>
          <w:sz w:val="24"/>
        </w:rPr>
      </w:pPr>
      <w:r>
        <w:rPr>
          <w:rFonts w:hint="eastAsia" w:ascii="宋体" w:hAnsi="宋体" w:cs="宋体"/>
          <w:sz w:val="24"/>
        </w:rPr>
        <w:t>●考核原则</w:t>
      </w:r>
    </w:p>
    <w:p>
      <w:pPr>
        <w:snapToGrid w:val="0"/>
        <w:spacing w:line="360" w:lineRule="auto"/>
        <w:ind w:firstLine="480" w:firstLineChars="200"/>
        <w:rPr>
          <w:rFonts w:ascii="宋体" w:hAnsi="宋体" w:cs="宋体"/>
          <w:sz w:val="24"/>
          <w:lang w:val="zh-CN"/>
        </w:rPr>
      </w:pPr>
      <w:r>
        <w:rPr>
          <w:rFonts w:hint="eastAsia" w:ascii="宋体" w:hAnsi="宋体" w:cs="宋体"/>
          <w:sz w:val="24"/>
          <w:lang w:val="zh-CN"/>
        </w:rPr>
        <w:t>供应商履行对服务全流程服务内容及其相关的服务项目，采购人负责供应商的管理指导、验收考核等职责，督促其履行合同。</w:t>
      </w:r>
    </w:p>
    <w:p>
      <w:pPr>
        <w:spacing w:line="360" w:lineRule="auto"/>
        <w:ind w:firstLine="480" w:firstLineChars="200"/>
        <w:rPr>
          <w:rFonts w:ascii="宋体" w:hAnsi="宋体" w:cs="宋体"/>
          <w:sz w:val="24"/>
        </w:rPr>
      </w:pPr>
      <w:r>
        <w:rPr>
          <w:rFonts w:hint="eastAsia" w:ascii="宋体" w:hAnsi="宋体" w:cs="宋体"/>
          <w:sz w:val="24"/>
          <w:lang w:val="zh-CN"/>
        </w:rPr>
        <w:t>本考核以月为考核周期，采用百分制计分方式，采购人根据逐条考核事项及对应扣分对供应商（人员）进行计分。供应商每被扣1分，扣除违约金</w:t>
      </w:r>
      <w:r>
        <w:rPr>
          <w:rFonts w:hint="eastAsia" w:ascii="宋体" w:hAnsi="宋体" w:cs="宋体"/>
          <w:sz w:val="24"/>
        </w:rPr>
        <w:t>1000</w:t>
      </w:r>
      <w:r>
        <w:rPr>
          <w:rFonts w:hint="eastAsia" w:ascii="宋体" w:hAnsi="宋体" w:cs="宋体"/>
          <w:sz w:val="24"/>
          <w:lang w:val="zh-CN"/>
        </w:rPr>
        <w:t>元，违约金在结算合同尾款时扣除。考核分值高于</w:t>
      </w:r>
      <w:r>
        <w:rPr>
          <w:rFonts w:hint="eastAsia" w:ascii="宋体" w:hAnsi="宋体" w:cs="宋体"/>
          <w:sz w:val="24"/>
        </w:rPr>
        <w:t>8</w:t>
      </w:r>
      <w:r>
        <w:rPr>
          <w:rFonts w:hint="eastAsia" w:ascii="宋体" w:hAnsi="宋体" w:cs="宋体"/>
          <w:sz w:val="24"/>
          <w:lang w:val="zh-CN"/>
        </w:rPr>
        <w:t>0分（含</w:t>
      </w:r>
      <w:r>
        <w:rPr>
          <w:rFonts w:hint="eastAsia" w:ascii="宋体" w:hAnsi="宋体" w:cs="宋体"/>
          <w:sz w:val="24"/>
        </w:rPr>
        <w:t>8</w:t>
      </w:r>
      <w:r>
        <w:rPr>
          <w:rFonts w:hint="eastAsia" w:ascii="宋体" w:hAnsi="宋体" w:cs="宋体"/>
          <w:sz w:val="24"/>
          <w:lang w:val="zh-CN"/>
        </w:rPr>
        <w:t>0分）视为合格，</w:t>
      </w:r>
      <w:r>
        <w:rPr>
          <w:rFonts w:hint="eastAsia" w:ascii="宋体" w:hAnsi="宋体" w:cs="宋体"/>
          <w:sz w:val="24"/>
        </w:rPr>
        <w:t>80</w:t>
      </w:r>
      <w:r>
        <w:rPr>
          <w:rFonts w:hint="eastAsia" w:ascii="宋体" w:hAnsi="宋体" w:cs="宋体"/>
          <w:sz w:val="24"/>
          <w:lang w:val="zh-CN"/>
        </w:rPr>
        <w:t>分以下视为不合格；如供应商经采购人考评连续两次均为不合格，采购人有权无条件终止合同,并没收供应商全部履约保证金。如给采购人造成损失的有权向供应商提出索赔。如考核周期内重复出现相同扣分情形，累计计算扣除分值。</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858"/>
        <w:gridCol w:w="4237"/>
        <w:gridCol w:w="2066"/>
        <w:gridCol w:w="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000" w:type="pct"/>
            <w:gridSpan w:val="5"/>
            <w:tcBorders>
              <w:top w:val="nil"/>
              <w:left w:val="nil"/>
              <w:bottom w:val="single" w:color="auto" w:sz="4" w:space="0"/>
              <w:right w:val="nil"/>
            </w:tcBorders>
            <w:noWrap/>
            <w:vAlign w:val="center"/>
          </w:tcPr>
          <w:p>
            <w:pPr>
              <w:spacing w:line="360" w:lineRule="auto"/>
              <w:jc w:val="center"/>
              <w:rPr>
                <w:rFonts w:ascii="宋体" w:hAnsi="宋体" w:cs="宋体"/>
                <w:kern w:val="0"/>
                <w:sz w:val="24"/>
              </w:rPr>
            </w:pPr>
            <w:r>
              <w:rPr>
                <w:rFonts w:hint="eastAsia" w:ascii="宋体" w:hAnsi="宋体" w:cs="宋体"/>
                <w:kern w:val="0"/>
                <w:sz w:val="24"/>
              </w:rPr>
              <w:t>交通安全设施维护</w:t>
            </w:r>
            <w:r>
              <w:rPr>
                <w:rFonts w:hint="eastAsia" w:ascii="宋体" w:hAnsi="宋体" w:cs="宋体"/>
                <w:kern w:val="0"/>
                <w:sz w:val="24"/>
                <w:lang w:val="en-GB"/>
              </w:rPr>
              <w:t>考核表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344"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序号</w:t>
            </w:r>
          </w:p>
        </w:tc>
        <w:tc>
          <w:tcPr>
            <w:tcW w:w="2998" w:type="pct"/>
            <w:gridSpan w:val="2"/>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kern w:val="0"/>
                <w:sz w:val="24"/>
              </w:rPr>
            </w:pPr>
            <w:r>
              <w:rPr>
                <w:rFonts w:hint="eastAsia" w:ascii="宋体" w:hAnsi="宋体" w:cs="宋体"/>
                <w:kern w:val="0"/>
                <w:sz w:val="24"/>
              </w:rPr>
              <w:t>扣分项内容</w:t>
            </w:r>
          </w:p>
        </w:tc>
        <w:tc>
          <w:tcPr>
            <w:tcW w:w="1216" w:type="pct"/>
            <w:tcBorders>
              <w:top w:val="single" w:color="auto" w:sz="4" w:space="0"/>
              <w:left w:val="single" w:color="auto" w:sz="4" w:space="0"/>
              <w:bottom w:val="single" w:color="auto" w:sz="4" w:space="0"/>
              <w:right w:val="single" w:color="auto" w:sz="4" w:space="0"/>
            </w:tcBorders>
            <w:noWrap/>
            <w:vAlign w:val="center"/>
          </w:tcPr>
          <w:p>
            <w:pPr>
              <w:spacing w:beforeLines="50" w:line="360" w:lineRule="auto"/>
              <w:jc w:val="center"/>
              <w:rPr>
                <w:rFonts w:ascii="宋体" w:hAnsi="宋体" w:cs="宋体"/>
                <w:sz w:val="24"/>
              </w:rPr>
            </w:pPr>
            <w:r>
              <w:rPr>
                <w:rFonts w:hint="eastAsia" w:ascii="宋体" w:hAnsi="宋体" w:cs="宋体"/>
                <w:sz w:val="24"/>
              </w:rPr>
              <w:t>考核扣分</w:t>
            </w:r>
          </w:p>
        </w:tc>
        <w:tc>
          <w:tcPr>
            <w:tcW w:w="440"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4" w:type="pct"/>
            <w:vMerge w:val="restar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1</w:t>
            </w:r>
          </w:p>
        </w:tc>
        <w:tc>
          <w:tcPr>
            <w:tcW w:w="505" w:type="pct"/>
            <w:vMerge w:val="restar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人员、车辆管理</w:t>
            </w: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（1）供应商未按采购需求规定配备车辆、人员、设备</w:t>
            </w:r>
          </w:p>
        </w:tc>
        <w:tc>
          <w:tcPr>
            <w:tcW w:w="1216"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每出现一次扣1分</w:t>
            </w:r>
          </w:p>
        </w:tc>
        <w:tc>
          <w:tcPr>
            <w:tcW w:w="440"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44"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505"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（2）服务人员工作数据统计错误，工作信息不准确，资料流程存在缺失</w:t>
            </w:r>
          </w:p>
        </w:tc>
        <w:tc>
          <w:tcPr>
            <w:tcW w:w="1216"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每出现一次扣1分</w:t>
            </w:r>
          </w:p>
        </w:tc>
        <w:tc>
          <w:tcPr>
            <w:tcW w:w="440"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2" w:hRule="atLeast"/>
        </w:trPr>
        <w:tc>
          <w:tcPr>
            <w:tcW w:w="344"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505"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（3）交办的工作不落实，未按要求时间完成，完成结果未达采购人要求</w:t>
            </w:r>
          </w:p>
        </w:tc>
        <w:tc>
          <w:tcPr>
            <w:tcW w:w="1216"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每起扣1分；二次交办后仍未按要求落实办理，扣3分；产生不良后果扣5分。</w:t>
            </w:r>
          </w:p>
        </w:tc>
        <w:tc>
          <w:tcPr>
            <w:tcW w:w="440"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344"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505"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（4）人员变更时，没有提前2个工作日向采购人提交书面报告，没有审批单，更换人员资历低于投标时人员资历的</w:t>
            </w:r>
          </w:p>
        </w:tc>
        <w:tc>
          <w:tcPr>
            <w:tcW w:w="1216"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每出现一次扣1分</w:t>
            </w:r>
          </w:p>
        </w:tc>
        <w:tc>
          <w:tcPr>
            <w:tcW w:w="440"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344"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505"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（5）维护车辆及人员不每日上路巡查、维护，上路工作不开启车辆定位系统。</w:t>
            </w:r>
          </w:p>
        </w:tc>
        <w:tc>
          <w:tcPr>
            <w:tcW w:w="1216"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每出现一次扣1分</w:t>
            </w:r>
          </w:p>
        </w:tc>
        <w:tc>
          <w:tcPr>
            <w:tcW w:w="440"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2" w:hRule="atLeast"/>
        </w:trPr>
        <w:tc>
          <w:tcPr>
            <w:tcW w:w="344"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505"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（6）维护车辆、设备、人员虽在维护区域内，未做与采购人维护项目相关工作的，或工作时间未在维护工作区域内，且未出具书面情况并及时整改的。</w:t>
            </w:r>
          </w:p>
        </w:tc>
        <w:tc>
          <w:tcPr>
            <w:tcW w:w="1216"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每出现一次扣1分</w:t>
            </w:r>
          </w:p>
        </w:tc>
        <w:tc>
          <w:tcPr>
            <w:tcW w:w="440"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344" w:type="pct"/>
            <w:vMerge w:val="restart"/>
            <w:tcBorders>
              <w:top w:val="single" w:color="auto" w:sz="4" w:space="0"/>
              <w:left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2</w:t>
            </w:r>
          </w:p>
        </w:tc>
        <w:tc>
          <w:tcPr>
            <w:tcW w:w="505" w:type="pct"/>
            <w:vMerge w:val="restart"/>
            <w:tcBorders>
              <w:top w:val="single" w:color="auto" w:sz="4" w:space="0"/>
              <w:left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设施提供</w:t>
            </w: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（1）维护车辆未按要求配齐维护材料。</w:t>
            </w:r>
          </w:p>
        </w:tc>
        <w:tc>
          <w:tcPr>
            <w:tcW w:w="1216"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每出现一次扣1分</w:t>
            </w:r>
          </w:p>
        </w:tc>
        <w:tc>
          <w:tcPr>
            <w:tcW w:w="440"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344" w:type="pct"/>
            <w:vMerge w:val="continue"/>
            <w:tcBorders>
              <w:left w:val="single" w:color="auto" w:sz="4" w:space="0"/>
              <w:right w:val="single" w:color="auto" w:sz="4" w:space="0"/>
            </w:tcBorders>
            <w:noWrap/>
            <w:vAlign w:val="center"/>
          </w:tcPr>
          <w:p>
            <w:pPr>
              <w:spacing w:line="360" w:lineRule="auto"/>
              <w:rPr>
                <w:rFonts w:ascii="宋体" w:hAnsi="宋体" w:cs="宋体"/>
                <w:sz w:val="24"/>
              </w:rPr>
            </w:pPr>
          </w:p>
        </w:tc>
        <w:tc>
          <w:tcPr>
            <w:tcW w:w="505" w:type="pct"/>
            <w:vMerge w:val="continue"/>
            <w:tcBorders>
              <w:left w:val="single" w:color="auto" w:sz="4" w:space="0"/>
              <w:right w:val="single" w:color="auto" w:sz="4" w:space="0"/>
            </w:tcBorders>
            <w:noWrap/>
            <w:vAlign w:val="center"/>
          </w:tcPr>
          <w:p>
            <w:pPr>
              <w:spacing w:line="360" w:lineRule="auto"/>
              <w:rPr>
                <w:rFonts w:ascii="宋体" w:hAnsi="宋体" w:cs="宋体"/>
                <w:sz w:val="24"/>
              </w:rPr>
            </w:pP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（2）标志类：不对标志牌进行整修、拆除、移位、更换、信息内容纠错、设置纠错等；不对可变标志牌、待行区诱导显示屏、警示灯及其它电子设施进行维护、整修、拆除、移位、更换等。</w:t>
            </w:r>
          </w:p>
        </w:tc>
        <w:tc>
          <w:tcPr>
            <w:tcW w:w="1216"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每出现一次扣1分</w:t>
            </w:r>
          </w:p>
        </w:tc>
        <w:tc>
          <w:tcPr>
            <w:tcW w:w="440"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344" w:type="pct"/>
            <w:vMerge w:val="continue"/>
            <w:tcBorders>
              <w:left w:val="single" w:color="auto" w:sz="4" w:space="0"/>
              <w:right w:val="single" w:color="auto" w:sz="4" w:space="0"/>
            </w:tcBorders>
            <w:noWrap/>
            <w:vAlign w:val="center"/>
          </w:tcPr>
          <w:p>
            <w:pPr>
              <w:spacing w:line="360" w:lineRule="auto"/>
              <w:rPr>
                <w:rFonts w:ascii="宋体" w:hAnsi="宋体" w:cs="宋体"/>
                <w:sz w:val="24"/>
              </w:rPr>
            </w:pPr>
          </w:p>
        </w:tc>
        <w:tc>
          <w:tcPr>
            <w:tcW w:w="505" w:type="pct"/>
            <w:vMerge w:val="continue"/>
            <w:tcBorders>
              <w:left w:val="single" w:color="auto" w:sz="4" w:space="0"/>
              <w:right w:val="single" w:color="auto" w:sz="4" w:space="0"/>
            </w:tcBorders>
            <w:noWrap/>
            <w:vAlign w:val="center"/>
          </w:tcPr>
          <w:p>
            <w:pPr>
              <w:spacing w:line="360" w:lineRule="auto"/>
              <w:rPr>
                <w:rFonts w:ascii="宋体" w:hAnsi="宋体" w:cs="宋体"/>
                <w:sz w:val="24"/>
              </w:rPr>
            </w:pP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（3）标线类：对发现交通标线不规范、缺失淡化或错误，标志、标线信息不一致、矛盾冲突等护，不及时做好维护、修复，不能立即修复的不做好临时防护措施。</w:t>
            </w:r>
          </w:p>
        </w:tc>
        <w:tc>
          <w:tcPr>
            <w:tcW w:w="1216"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每出现一次扣1分</w:t>
            </w:r>
          </w:p>
        </w:tc>
        <w:tc>
          <w:tcPr>
            <w:tcW w:w="440"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344" w:type="pct"/>
            <w:vMerge w:val="continue"/>
            <w:tcBorders>
              <w:left w:val="single" w:color="auto" w:sz="4" w:space="0"/>
              <w:right w:val="single" w:color="auto" w:sz="4" w:space="0"/>
            </w:tcBorders>
            <w:noWrap/>
            <w:vAlign w:val="center"/>
          </w:tcPr>
          <w:p>
            <w:pPr>
              <w:spacing w:line="360" w:lineRule="auto"/>
              <w:rPr>
                <w:rFonts w:ascii="宋体" w:hAnsi="宋体" w:cs="宋体"/>
                <w:sz w:val="24"/>
              </w:rPr>
            </w:pPr>
          </w:p>
        </w:tc>
        <w:tc>
          <w:tcPr>
            <w:tcW w:w="505" w:type="pct"/>
            <w:vMerge w:val="continue"/>
            <w:tcBorders>
              <w:left w:val="single" w:color="auto" w:sz="4" w:space="0"/>
              <w:right w:val="single" w:color="auto" w:sz="4" w:space="0"/>
            </w:tcBorders>
            <w:noWrap/>
            <w:vAlign w:val="center"/>
          </w:tcPr>
          <w:p>
            <w:pPr>
              <w:spacing w:line="360" w:lineRule="auto"/>
              <w:rPr>
                <w:rFonts w:ascii="宋体" w:hAnsi="宋体" w:cs="宋体"/>
                <w:sz w:val="24"/>
              </w:rPr>
            </w:pP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（4）其它安全设施类：不对立杆、护栏、隔离墩、示警桩、橡胶缓冲带、爆闪灯、震荡减速标线（带）、路口凹凸镜进行维护拆除、移位、更换等。</w:t>
            </w:r>
          </w:p>
        </w:tc>
        <w:tc>
          <w:tcPr>
            <w:tcW w:w="1216"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每出现一次扣1分</w:t>
            </w:r>
          </w:p>
        </w:tc>
        <w:tc>
          <w:tcPr>
            <w:tcW w:w="440"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trPr>
        <w:tc>
          <w:tcPr>
            <w:tcW w:w="344" w:type="pct"/>
            <w:vMerge w:val="continue"/>
            <w:tcBorders>
              <w:left w:val="single" w:color="auto" w:sz="4" w:space="0"/>
              <w:right w:val="single" w:color="auto" w:sz="4" w:space="0"/>
            </w:tcBorders>
            <w:noWrap/>
            <w:vAlign w:val="center"/>
          </w:tcPr>
          <w:p>
            <w:pPr>
              <w:spacing w:line="360" w:lineRule="auto"/>
              <w:rPr>
                <w:rFonts w:ascii="宋体" w:hAnsi="宋体" w:cs="宋体"/>
                <w:sz w:val="24"/>
              </w:rPr>
            </w:pPr>
          </w:p>
        </w:tc>
        <w:tc>
          <w:tcPr>
            <w:tcW w:w="505" w:type="pct"/>
            <w:vMerge w:val="continue"/>
            <w:tcBorders>
              <w:left w:val="single" w:color="auto" w:sz="4" w:space="0"/>
              <w:right w:val="single" w:color="auto" w:sz="4" w:space="0"/>
            </w:tcBorders>
            <w:noWrap/>
            <w:vAlign w:val="center"/>
          </w:tcPr>
          <w:p>
            <w:pPr>
              <w:spacing w:line="360" w:lineRule="auto"/>
              <w:rPr>
                <w:rFonts w:ascii="宋体" w:hAnsi="宋体" w:cs="宋体"/>
                <w:sz w:val="24"/>
              </w:rPr>
            </w:pPr>
          </w:p>
        </w:tc>
        <w:tc>
          <w:tcPr>
            <w:tcW w:w="2493" w:type="pct"/>
            <w:tcBorders>
              <w:top w:val="single" w:color="auto" w:sz="4" w:space="0"/>
              <w:left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（5）投标人不设立备品备件库，不提供必要的备品备件，确保系统正常运行。</w:t>
            </w:r>
          </w:p>
        </w:tc>
        <w:tc>
          <w:tcPr>
            <w:tcW w:w="1216" w:type="pct"/>
            <w:tcBorders>
              <w:top w:val="single" w:color="auto" w:sz="4" w:space="0"/>
              <w:left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每出现一次扣2分</w:t>
            </w:r>
          </w:p>
        </w:tc>
        <w:tc>
          <w:tcPr>
            <w:tcW w:w="440"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344" w:type="pct"/>
            <w:vMerge w:val="restar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3</w:t>
            </w:r>
          </w:p>
        </w:tc>
        <w:tc>
          <w:tcPr>
            <w:tcW w:w="505" w:type="pct"/>
            <w:vMerge w:val="restar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安全管理</w:t>
            </w: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（1）安全检查：不负责中标区域的交通杆件安全隐患排查，不对交通设施的安全性能进行检查，不消除安全隐患。</w:t>
            </w:r>
          </w:p>
        </w:tc>
        <w:tc>
          <w:tcPr>
            <w:tcW w:w="1216"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每出现一次扣1分</w:t>
            </w:r>
          </w:p>
        </w:tc>
        <w:tc>
          <w:tcPr>
            <w:tcW w:w="440"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344"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505"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（2）规范交通设施设置：重复设置、擅自设置、妨碍安全、不符合规范设置的交通设施进行清理。</w:t>
            </w:r>
          </w:p>
        </w:tc>
        <w:tc>
          <w:tcPr>
            <w:tcW w:w="1216"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每出现一次扣1分</w:t>
            </w:r>
          </w:p>
        </w:tc>
        <w:tc>
          <w:tcPr>
            <w:tcW w:w="440"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344"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505"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（3）施工现场不规范，安全措施不足，未做到文明施工</w:t>
            </w:r>
          </w:p>
        </w:tc>
        <w:tc>
          <w:tcPr>
            <w:tcW w:w="1216"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每出现一次扣1分</w:t>
            </w:r>
          </w:p>
        </w:tc>
        <w:tc>
          <w:tcPr>
            <w:tcW w:w="440"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344" w:type="pct"/>
            <w:vMerge w:val="restar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4</w:t>
            </w:r>
          </w:p>
        </w:tc>
        <w:tc>
          <w:tcPr>
            <w:tcW w:w="505" w:type="pct"/>
            <w:vMerge w:val="restar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联系单、资料管理</w:t>
            </w: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（1）工作联系单填写不完整，不规范、不准确、资料不全，</w:t>
            </w:r>
          </w:p>
        </w:tc>
        <w:tc>
          <w:tcPr>
            <w:tcW w:w="1216"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每出现一次扣1分</w:t>
            </w:r>
          </w:p>
        </w:tc>
        <w:tc>
          <w:tcPr>
            <w:tcW w:w="440"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344"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505"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（2）采购人根据监理向供应商核发的《问题告知单》扣分</w:t>
            </w:r>
          </w:p>
        </w:tc>
        <w:tc>
          <w:tcPr>
            <w:tcW w:w="1216"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每张告知单扣一分，最多扣5分</w:t>
            </w:r>
          </w:p>
        </w:tc>
        <w:tc>
          <w:tcPr>
            <w:tcW w:w="440"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344"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505"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（3）不每周上报巡查道路清单的。</w:t>
            </w:r>
          </w:p>
        </w:tc>
        <w:tc>
          <w:tcPr>
            <w:tcW w:w="1216"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每出现一次扣1分</w:t>
            </w:r>
          </w:p>
        </w:tc>
        <w:tc>
          <w:tcPr>
            <w:tcW w:w="440"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344"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505"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（4）当月5日，未将上月巡查维护报告上交监理单位。</w:t>
            </w:r>
          </w:p>
        </w:tc>
        <w:tc>
          <w:tcPr>
            <w:tcW w:w="1216"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每出现一次扣1分</w:t>
            </w:r>
          </w:p>
        </w:tc>
        <w:tc>
          <w:tcPr>
            <w:tcW w:w="440"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4" w:hRule="atLeast"/>
        </w:trPr>
        <w:tc>
          <w:tcPr>
            <w:tcW w:w="344"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505"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2493" w:type="pct"/>
            <w:tcBorders>
              <w:top w:val="single" w:color="auto" w:sz="4" w:space="0"/>
              <w:left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（5）次月5日不向采购人上报当月的工作量、工作数据、工作小结等</w:t>
            </w:r>
          </w:p>
        </w:tc>
        <w:tc>
          <w:tcPr>
            <w:tcW w:w="1216" w:type="pct"/>
            <w:tcBorders>
              <w:top w:val="single" w:color="auto" w:sz="4" w:space="0"/>
              <w:left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每出现一次扣1分</w:t>
            </w:r>
          </w:p>
        </w:tc>
        <w:tc>
          <w:tcPr>
            <w:tcW w:w="440"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344"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505"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（6)上报联系单内容与实际不符，或未按联系单最终意见要求办理的。</w:t>
            </w:r>
          </w:p>
        </w:tc>
        <w:tc>
          <w:tcPr>
            <w:tcW w:w="1216"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每出现一次扣1分</w:t>
            </w:r>
          </w:p>
        </w:tc>
        <w:tc>
          <w:tcPr>
            <w:tcW w:w="440"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344" w:type="pct"/>
            <w:vMerge w:val="restar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5</w:t>
            </w:r>
          </w:p>
        </w:tc>
        <w:tc>
          <w:tcPr>
            <w:tcW w:w="505" w:type="pct"/>
            <w:vMerge w:val="restar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质量管理</w:t>
            </w: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（1）施工工艺不规范，施工工序遗漏，设施修复、维护不达标准，施工超期</w:t>
            </w:r>
          </w:p>
        </w:tc>
        <w:tc>
          <w:tcPr>
            <w:tcW w:w="1216"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每出现一次扣1分</w:t>
            </w:r>
          </w:p>
        </w:tc>
        <w:tc>
          <w:tcPr>
            <w:tcW w:w="440"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trPr>
        <w:tc>
          <w:tcPr>
            <w:tcW w:w="344"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505"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（2）施工中所用材料与投标文件不符，或未达质量要求</w:t>
            </w:r>
          </w:p>
        </w:tc>
        <w:tc>
          <w:tcPr>
            <w:tcW w:w="1216"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每出现一次扣3分</w:t>
            </w:r>
          </w:p>
        </w:tc>
        <w:tc>
          <w:tcPr>
            <w:tcW w:w="440"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344"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505"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（3）发生交通设施损坏未及时到达现场妥善处置，引发事故</w:t>
            </w:r>
          </w:p>
        </w:tc>
        <w:tc>
          <w:tcPr>
            <w:tcW w:w="1216"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每出现一次扣3分</w:t>
            </w:r>
          </w:p>
        </w:tc>
        <w:tc>
          <w:tcPr>
            <w:tcW w:w="440"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344"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505"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（4）出现重大质量问题、施工安全问题</w:t>
            </w:r>
          </w:p>
        </w:tc>
        <w:tc>
          <w:tcPr>
            <w:tcW w:w="1216"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直接解除合同</w:t>
            </w:r>
          </w:p>
        </w:tc>
        <w:tc>
          <w:tcPr>
            <w:tcW w:w="440"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344"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6</w:t>
            </w:r>
          </w:p>
        </w:tc>
        <w:tc>
          <w:tcPr>
            <w:tcW w:w="505"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效率管理</w:t>
            </w: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（1）在工作期间通讯不畅，或突发紧急情况人员、车辆、设施未能按要求到达现场、规范处置的</w:t>
            </w:r>
          </w:p>
        </w:tc>
        <w:tc>
          <w:tcPr>
            <w:tcW w:w="1216"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每起扣2分；</w:t>
            </w:r>
          </w:p>
          <w:p>
            <w:pPr>
              <w:spacing w:line="360" w:lineRule="auto"/>
              <w:jc w:val="center"/>
              <w:rPr>
                <w:rFonts w:ascii="宋体" w:hAnsi="宋体" w:cs="宋体"/>
                <w:sz w:val="24"/>
              </w:rPr>
            </w:pPr>
            <w:r>
              <w:rPr>
                <w:rFonts w:hint="eastAsia" w:ascii="宋体" w:hAnsi="宋体" w:cs="宋体"/>
                <w:sz w:val="24"/>
              </w:rPr>
              <w:t>造成工作贻误每起扣5分</w:t>
            </w:r>
          </w:p>
        </w:tc>
        <w:tc>
          <w:tcPr>
            <w:tcW w:w="440"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344" w:type="pct"/>
            <w:vMerge w:val="restar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7</w:t>
            </w:r>
          </w:p>
        </w:tc>
        <w:tc>
          <w:tcPr>
            <w:tcW w:w="505" w:type="pct"/>
            <w:vMerge w:val="restart"/>
            <w:tcBorders>
              <w:top w:val="single" w:color="auto" w:sz="4" w:space="0"/>
              <w:left w:val="single" w:color="auto" w:sz="4" w:space="0"/>
              <w:bottom w:val="single" w:color="auto" w:sz="4" w:space="0"/>
              <w:right w:val="single" w:color="auto" w:sz="4" w:space="0"/>
            </w:tcBorders>
            <w:noWrap/>
            <w:vAlign w:val="center"/>
          </w:tcPr>
          <w:p>
            <w:pPr>
              <w:spacing w:beforeLines="50" w:line="360" w:lineRule="auto"/>
              <w:rPr>
                <w:rFonts w:ascii="宋体" w:hAnsi="宋体" w:cs="宋体"/>
                <w:sz w:val="24"/>
              </w:rPr>
            </w:pPr>
            <w:r>
              <w:rPr>
                <w:rFonts w:hint="eastAsia" w:ascii="宋体" w:hAnsi="宋体" w:cs="宋体"/>
                <w:sz w:val="24"/>
              </w:rPr>
              <w:t>保密管理</w:t>
            </w: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1)供应商及工作人员未签订安全保密承诺书的，或签订的安全保密承诺书未明确具体安全管理内容、安全保密义务和责任的。未按照采购人规定使用、存储、处理文档资料和数据。合同终止时，不交还全部公安资料和数据。</w:t>
            </w:r>
          </w:p>
        </w:tc>
        <w:tc>
          <w:tcPr>
            <w:tcW w:w="1216"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每发生一次扣5分</w:t>
            </w:r>
          </w:p>
        </w:tc>
        <w:tc>
          <w:tcPr>
            <w:tcW w:w="440"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2" w:hRule="atLeast"/>
        </w:trPr>
        <w:tc>
          <w:tcPr>
            <w:tcW w:w="344"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505" w:type="pct"/>
            <w:vMerge w:val="continue"/>
            <w:tcBorders>
              <w:top w:val="single" w:color="auto" w:sz="4" w:space="0"/>
              <w:left w:val="single" w:color="auto" w:sz="4" w:space="0"/>
              <w:bottom w:val="single" w:color="auto" w:sz="4" w:space="0"/>
              <w:right w:val="single" w:color="auto" w:sz="4" w:space="0"/>
            </w:tcBorders>
            <w:noWrap/>
            <w:vAlign w:val="center"/>
          </w:tcPr>
          <w:p>
            <w:pPr>
              <w:spacing w:beforeLines="50" w:line="360" w:lineRule="auto"/>
              <w:rPr>
                <w:rFonts w:ascii="宋体" w:hAnsi="宋体" w:cs="宋体"/>
                <w:sz w:val="24"/>
              </w:rPr>
            </w:pP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(2)供应商及工作人员违反安全管理要求，出现各类涉及业务的文字内容、影视资料等外流泄密，构成违法犯罪的，采购人应当及时报送本级政府采购和市场监督管理部门，提请列入政府采购严重违法失信行为记录名单、市场监督管理严重失信名单，并追究相关责任。</w:t>
            </w:r>
          </w:p>
        </w:tc>
        <w:tc>
          <w:tcPr>
            <w:tcW w:w="1216"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没收全部履约保证金</w:t>
            </w:r>
          </w:p>
        </w:tc>
        <w:tc>
          <w:tcPr>
            <w:tcW w:w="440"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解除合同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344" w:type="pct"/>
            <w:vMerge w:val="restar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8</w:t>
            </w:r>
          </w:p>
        </w:tc>
        <w:tc>
          <w:tcPr>
            <w:tcW w:w="505" w:type="pct"/>
            <w:vMerge w:val="restar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其他</w:t>
            </w:r>
          </w:p>
          <w:p>
            <w:pPr>
              <w:spacing w:line="360" w:lineRule="auto"/>
              <w:rPr>
                <w:rFonts w:ascii="宋体" w:hAnsi="宋体" w:cs="宋体"/>
                <w:sz w:val="24"/>
              </w:rPr>
            </w:pP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（1）上述所有问题，由媒体、信访、投诉曝光，或由上级部门、交警部门领导发现。</w:t>
            </w:r>
          </w:p>
        </w:tc>
        <w:tc>
          <w:tcPr>
            <w:tcW w:w="1216"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在原分值基础上二倍扣分</w:t>
            </w:r>
          </w:p>
        </w:tc>
        <w:tc>
          <w:tcPr>
            <w:tcW w:w="440"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344"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505"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（2）上述所有问题，造成社会不良影响的</w:t>
            </w:r>
          </w:p>
        </w:tc>
        <w:tc>
          <w:tcPr>
            <w:tcW w:w="1216"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在原分值基础上三倍扣分</w:t>
            </w:r>
          </w:p>
        </w:tc>
        <w:tc>
          <w:tcPr>
            <w:tcW w:w="440"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3343" w:type="pct"/>
            <w:gridSpan w:val="3"/>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kern w:val="0"/>
                <w:sz w:val="24"/>
              </w:rPr>
            </w:pPr>
            <w:r>
              <w:rPr>
                <w:rFonts w:hint="eastAsia" w:ascii="宋体" w:hAnsi="宋体" w:cs="宋体"/>
                <w:kern w:val="0"/>
                <w:sz w:val="24"/>
              </w:rPr>
              <w:t>扣分总计</w:t>
            </w:r>
          </w:p>
        </w:tc>
        <w:tc>
          <w:tcPr>
            <w:tcW w:w="1656" w:type="pct"/>
            <w:gridSpan w:val="2"/>
            <w:tcBorders>
              <w:top w:val="single" w:color="auto" w:sz="4" w:space="0"/>
              <w:left w:val="single" w:color="auto" w:sz="4" w:space="0"/>
              <w:bottom w:val="single" w:color="auto" w:sz="4" w:space="0"/>
              <w:right w:val="single" w:color="auto" w:sz="4" w:space="0"/>
            </w:tcBorders>
            <w:noWrap/>
            <w:vAlign w:val="center"/>
          </w:tcPr>
          <w:p>
            <w:pPr>
              <w:spacing w:line="360" w:lineRule="auto"/>
              <w:ind w:firstLine="3600" w:firstLineChars="1500"/>
              <w:rPr>
                <w:rFonts w:ascii="宋体" w:hAnsi="宋体" w:cs="宋体"/>
                <w:kern w:val="0"/>
                <w:sz w:val="24"/>
              </w:rPr>
            </w:pPr>
            <w:r>
              <w:rPr>
                <w:rFonts w:hint="eastAsia" w:ascii="宋体" w:hAnsi="宋体" w:cs="宋体"/>
                <w:kern w:val="0"/>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6" w:hRule="atLeast"/>
        </w:trPr>
        <w:tc>
          <w:tcPr>
            <w:tcW w:w="5000" w:type="pct"/>
            <w:gridSpan w:val="5"/>
            <w:tcBorders>
              <w:top w:val="single" w:color="auto" w:sz="4" w:space="0"/>
              <w:left w:val="single" w:color="auto" w:sz="4" w:space="0"/>
              <w:bottom w:val="single" w:color="auto" w:sz="4" w:space="0"/>
              <w:right w:val="single" w:color="auto" w:sz="4" w:space="0"/>
            </w:tcBorders>
            <w:noWrap/>
            <w:vAlign w:val="center"/>
          </w:tcPr>
          <w:p>
            <w:pPr>
              <w:widowControl/>
              <w:spacing w:line="360" w:lineRule="auto"/>
              <w:textAlignment w:val="center"/>
              <w:rPr>
                <w:rFonts w:ascii="宋体" w:hAnsi="宋体" w:cs="宋体"/>
                <w:kern w:val="0"/>
                <w:sz w:val="24"/>
              </w:rPr>
            </w:pPr>
            <w:r>
              <w:rPr>
                <w:rFonts w:hint="eastAsia" w:ascii="宋体" w:hAnsi="宋体" w:cs="宋体"/>
                <w:kern w:val="0"/>
                <w:sz w:val="24"/>
              </w:rPr>
              <w:t>采购人项目经办人（签字）：供应商（盖章）：</w:t>
            </w:r>
          </w:p>
          <w:p>
            <w:pPr>
              <w:widowControl/>
              <w:spacing w:line="360" w:lineRule="auto"/>
              <w:textAlignment w:val="center"/>
              <w:rPr>
                <w:rFonts w:ascii="宋体" w:hAnsi="宋体" w:cs="宋体"/>
                <w:kern w:val="0"/>
                <w:sz w:val="24"/>
              </w:rPr>
            </w:pPr>
          </w:p>
          <w:p>
            <w:pPr>
              <w:widowControl/>
              <w:spacing w:line="360" w:lineRule="auto"/>
              <w:textAlignment w:val="center"/>
              <w:rPr>
                <w:rFonts w:ascii="宋体" w:hAnsi="宋体" w:cs="宋体"/>
                <w:kern w:val="0"/>
                <w:sz w:val="24"/>
              </w:rPr>
            </w:pPr>
            <w:r>
              <w:rPr>
                <w:rFonts w:hint="eastAsia" w:ascii="宋体" w:hAnsi="宋体" w:cs="宋体"/>
                <w:kern w:val="0"/>
                <w:sz w:val="24"/>
              </w:rPr>
              <w:t>采购人项目审核人（签字、盖章）：供应商项目负责人（签字）：</w:t>
            </w:r>
          </w:p>
          <w:p>
            <w:pPr>
              <w:widowControl/>
              <w:spacing w:line="360" w:lineRule="auto"/>
              <w:textAlignment w:val="center"/>
              <w:rPr>
                <w:rFonts w:ascii="宋体" w:hAnsi="宋体" w:cs="宋体"/>
                <w:kern w:val="0"/>
                <w:sz w:val="24"/>
              </w:rPr>
            </w:pPr>
          </w:p>
          <w:p>
            <w:pPr>
              <w:widowControl/>
              <w:spacing w:line="360" w:lineRule="auto"/>
              <w:textAlignment w:val="center"/>
              <w:rPr>
                <w:rFonts w:ascii="宋体" w:hAnsi="宋体" w:cs="宋体"/>
                <w:kern w:val="0"/>
                <w:sz w:val="24"/>
              </w:rPr>
            </w:pPr>
            <w:r>
              <w:rPr>
                <w:rFonts w:hint="eastAsia" w:ascii="宋体" w:hAnsi="宋体" w:cs="宋体"/>
                <w:kern w:val="0"/>
                <w:sz w:val="24"/>
              </w:rPr>
              <w:t>监理单位（盖章）</w:t>
            </w:r>
          </w:p>
          <w:p>
            <w:pPr>
              <w:widowControl/>
              <w:spacing w:line="360" w:lineRule="auto"/>
              <w:textAlignment w:val="center"/>
              <w:rPr>
                <w:rFonts w:ascii="宋体" w:hAnsi="宋体" w:cs="宋体"/>
                <w:kern w:val="0"/>
                <w:sz w:val="24"/>
              </w:rPr>
            </w:pPr>
          </w:p>
          <w:p>
            <w:pPr>
              <w:widowControl/>
              <w:spacing w:line="360" w:lineRule="auto"/>
              <w:textAlignment w:val="center"/>
              <w:rPr>
                <w:rFonts w:ascii="宋体" w:hAnsi="宋体" w:cs="宋体"/>
                <w:kern w:val="0"/>
                <w:sz w:val="24"/>
              </w:rPr>
            </w:pPr>
            <w:r>
              <w:rPr>
                <w:rFonts w:hint="eastAsia" w:ascii="宋体" w:hAnsi="宋体" w:cs="宋体"/>
                <w:kern w:val="0"/>
                <w:sz w:val="24"/>
              </w:rPr>
              <w:t>监理项目负责人（签字）：</w:t>
            </w:r>
          </w:p>
          <w:p>
            <w:pPr>
              <w:widowControl/>
              <w:spacing w:line="360" w:lineRule="auto"/>
              <w:textAlignment w:val="center"/>
              <w:rPr>
                <w:rFonts w:ascii="宋体" w:hAnsi="宋体" w:cs="宋体"/>
                <w:sz w:val="24"/>
              </w:rPr>
            </w:pPr>
            <w:r>
              <w:rPr>
                <w:rFonts w:hint="eastAsia" w:ascii="宋体" w:hAnsi="宋体" w:cs="宋体"/>
                <w:kern w:val="0"/>
                <w:sz w:val="24"/>
              </w:rPr>
              <w:t>日期：日期：</w:t>
            </w:r>
          </w:p>
        </w:tc>
      </w:tr>
    </w:tbl>
    <w:p>
      <w:pPr>
        <w:pStyle w:val="11"/>
        <w:spacing w:line="360" w:lineRule="auto"/>
        <w:ind w:firstLine="0"/>
        <w:rPr>
          <w:rFonts w:hAnsi="宋体" w:cs="宋体"/>
          <w:b/>
          <w:bCs/>
          <w:color w:val="FF0000"/>
          <w:sz w:val="24"/>
          <w:szCs w:val="24"/>
        </w:rPr>
      </w:pPr>
      <w:r>
        <w:rPr>
          <w:rFonts w:hint="eastAsia" w:hAnsi="宋体" w:cs="宋体"/>
          <w:sz w:val="24"/>
          <w:szCs w:val="24"/>
        </w:rPr>
        <w:t>14.验收</w:t>
      </w:r>
    </w:p>
    <w:p>
      <w:pPr>
        <w:tabs>
          <w:tab w:val="left" w:pos="904"/>
        </w:tabs>
        <w:snapToGrid w:val="0"/>
        <w:spacing w:line="360" w:lineRule="auto"/>
        <w:ind w:firstLine="480" w:firstLineChars="200"/>
        <w:jc w:val="left"/>
        <w:rPr>
          <w:rFonts w:ascii="宋体" w:hAnsi="宋体" w:cs="宋体"/>
          <w:sz w:val="24"/>
          <w:highlight w:val="none"/>
        </w:rPr>
      </w:pPr>
      <w:r>
        <w:rPr>
          <w:rFonts w:hint="eastAsia" w:ascii="宋体" w:hAnsi="宋体" w:cs="宋体"/>
          <w:sz w:val="24"/>
        </w:rPr>
        <w:t>1、采购人按照相关规定组织对供应商履约的验收。验收方成员应当在验收书上签字，并</w:t>
      </w:r>
      <w:r>
        <w:rPr>
          <w:rFonts w:hint="eastAsia" w:ascii="宋体" w:hAnsi="宋体" w:cs="宋体"/>
          <w:sz w:val="24"/>
          <w:highlight w:val="none"/>
        </w:rPr>
        <w:t>承担相应的法律责任。如果发现与合同中要求不符，供应商须承担由此发生的一切损失和费用，并接受相应的处理。</w:t>
      </w:r>
    </w:p>
    <w:p>
      <w:pPr>
        <w:tabs>
          <w:tab w:val="left" w:pos="904"/>
        </w:tabs>
        <w:snapToGrid w:val="0"/>
        <w:spacing w:line="360" w:lineRule="auto"/>
        <w:ind w:firstLine="480" w:firstLineChars="200"/>
        <w:jc w:val="left"/>
        <w:rPr>
          <w:rFonts w:ascii="宋体" w:hAnsi="宋体" w:cs="宋体"/>
          <w:sz w:val="24"/>
          <w:lang w:bidi="zh-CN"/>
        </w:rPr>
      </w:pPr>
      <w:r>
        <w:rPr>
          <w:rFonts w:hint="eastAsia" w:ascii="宋体" w:hAnsi="宋体" w:cs="宋体"/>
          <w:sz w:val="24"/>
          <w:highlight w:val="none"/>
          <w:lang w:bidi="zh-CN"/>
        </w:rPr>
        <w:t>2、严格按照采购合同开展履约验收。采购人自行成立验收小组，验收小组共3人，由采购人1人、中标人1名，监理单位1人组成。</w:t>
      </w:r>
      <w:r>
        <w:rPr>
          <w:rFonts w:hint="eastAsia" w:ascii="宋体" w:hAnsi="宋体" w:cs="宋体"/>
          <w:sz w:val="24"/>
          <w:lang w:bidi="zh-CN"/>
        </w:rPr>
        <w:t>按照采购合同的约定对供应商履约情况进行验收，验收时，按照采购合同的约定对每一项技术、服务、安全标准的履约情况进行确认，出具验收报告并经验收小组全体成员签字。采购人根据验收报告形成验收意见并经采购人与采购合同约定的资金支付及履约保证金返还条件挂钩。履约验收的各项资料应当存档备查。</w:t>
      </w:r>
    </w:p>
    <w:p>
      <w:pPr>
        <w:tabs>
          <w:tab w:val="left" w:pos="904"/>
        </w:tabs>
        <w:snapToGrid w:val="0"/>
        <w:spacing w:line="360" w:lineRule="auto"/>
        <w:ind w:firstLine="480" w:firstLineChars="200"/>
        <w:jc w:val="left"/>
        <w:rPr>
          <w:rFonts w:ascii="宋体" w:hAnsi="宋体" w:cs="宋体"/>
          <w:sz w:val="24"/>
        </w:rPr>
      </w:pPr>
      <w:r>
        <w:rPr>
          <w:rFonts w:hint="eastAsia" w:ascii="宋体" w:hAnsi="宋体" w:cs="宋体"/>
          <w:sz w:val="24"/>
          <w:lang w:bidi="zh-CN"/>
        </w:rPr>
        <w:t>3、验收合格的项目，采购人将根据采购合同的约定及时向供应商支付采购资金、退还履约保证金。验收不合格的项目，采购人将依法及时处理。</w:t>
      </w:r>
      <w:r>
        <w:rPr>
          <w:rFonts w:hint="eastAsia" w:ascii="宋体" w:hAnsi="宋体" w:cs="宋体"/>
          <w:sz w:val="24"/>
        </w:rPr>
        <w:t>采购合同的履行、违约责任和解决争议的方式等适用《中华人民共和国民法典》。</w:t>
      </w:r>
    </w:p>
    <w:p>
      <w:pPr>
        <w:pStyle w:val="11"/>
        <w:spacing w:line="360" w:lineRule="auto"/>
        <w:ind w:firstLine="466" w:firstLineChars="200"/>
        <w:rPr>
          <w:rFonts w:hAnsi="宋体" w:cs="宋体"/>
          <w:b/>
          <w:bCs/>
          <w:color w:val="FF0000"/>
          <w:sz w:val="24"/>
          <w:szCs w:val="24"/>
        </w:rPr>
      </w:pPr>
      <w:r>
        <w:rPr>
          <w:rFonts w:hint="eastAsia" w:hAnsi="宋体" w:cs="宋体"/>
          <w:b/>
          <w:bCs/>
          <w:color w:val="FF0000"/>
          <w:sz w:val="24"/>
          <w:szCs w:val="24"/>
        </w:rPr>
        <w:t>4、</w:t>
      </w:r>
      <w:r>
        <w:rPr>
          <w:rFonts w:hint="eastAsia" w:hAnsi="宋体" w:cs="宋体"/>
          <w:sz w:val="24"/>
          <w:szCs w:val="24"/>
        </w:rPr>
        <w:t>履约验收时间：2023年10月31日后，具体验收时间由采购人最终确定。</w:t>
      </w:r>
    </w:p>
    <w:p>
      <w:pPr>
        <w:pStyle w:val="11"/>
        <w:spacing w:line="360" w:lineRule="auto"/>
        <w:ind w:firstLine="464" w:firstLineChars="200"/>
        <w:rPr>
          <w:rFonts w:hAnsi="宋体" w:cs="宋体"/>
          <w:sz w:val="24"/>
          <w:szCs w:val="24"/>
        </w:rPr>
      </w:pPr>
      <w:r>
        <w:rPr>
          <w:rFonts w:hint="eastAsia" w:hAnsi="宋体" w:cs="宋体"/>
          <w:sz w:val="24"/>
          <w:szCs w:val="24"/>
        </w:rPr>
        <w:t>5.1、验收内容</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208"/>
        <w:gridCol w:w="6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noWrap/>
            <w:vAlign w:val="center"/>
          </w:tcPr>
          <w:p>
            <w:pPr>
              <w:widowControl/>
              <w:spacing w:line="360" w:lineRule="auto"/>
              <w:jc w:val="center"/>
              <w:rPr>
                <w:rFonts w:ascii="宋体" w:hAnsi="宋体" w:cs="宋体"/>
                <w:kern w:val="0"/>
                <w:sz w:val="24"/>
              </w:rPr>
            </w:pPr>
            <w:r>
              <w:rPr>
                <w:rFonts w:hint="eastAsia" w:ascii="宋体" w:hAnsi="宋体" w:cs="宋体"/>
                <w:kern w:val="0"/>
                <w:sz w:val="24"/>
              </w:rPr>
              <w:t>序号</w:t>
            </w:r>
          </w:p>
        </w:tc>
        <w:tc>
          <w:tcPr>
            <w:tcW w:w="711" w:type="pct"/>
            <w:noWrap/>
            <w:vAlign w:val="center"/>
          </w:tcPr>
          <w:p>
            <w:pPr>
              <w:widowControl/>
              <w:spacing w:line="360" w:lineRule="auto"/>
              <w:jc w:val="center"/>
              <w:rPr>
                <w:rFonts w:ascii="宋体" w:hAnsi="宋体" w:cs="宋体"/>
                <w:kern w:val="0"/>
                <w:sz w:val="24"/>
              </w:rPr>
            </w:pPr>
            <w:r>
              <w:rPr>
                <w:rFonts w:hint="eastAsia" w:ascii="宋体" w:hAnsi="宋体" w:cs="宋体"/>
                <w:kern w:val="0"/>
                <w:sz w:val="24"/>
              </w:rPr>
              <w:t>验收内容</w:t>
            </w:r>
          </w:p>
        </w:tc>
        <w:tc>
          <w:tcPr>
            <w:tcW w:w="3876" w:type="pct"/>
            <w:noWrap/>
            <w:vAlign w:val="center"/>
          </w:tcPr>
          <w:p>
            <w:pPr>
              <w:widowControl/>
              <w:spacing w:line="360" w:lineRule="auto"/>
              <w:jc w:val="center"/>
              <w:rPr>
                <w:rFonts w:ascii="宋体" w:hAnsi="宋体" w:cs="宋体"/>
                <w:kern w:val="0"/>
                <w:sz w:val="24"/>
              </w:rPr>
            </w:pPr>
            <w:r>
              <w:rPr>
                <w:rFonts w:hint="eastAsia" w:ascii="宋体" w:hAnsi="宋体" w:cs="宋体"/>
                <w:kern w:val="0"/>
                <w:sz w:val="24"/>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12" w:type="pct"/>
            <w:noWrap/>
            <w:vAlign w:val="center"/>
          </w:tcPr>
          <w:p>
            <w:pPr>
              <w:widowControl/>
              <w:spacing w:line="360" w:lineRule="auto"/>
              <w:jc w:val="center"/>
              <w:rPr>
                <w:rFonts w:ascii="宋体" w:hAnsi="宋体" w:cs="宋体"/>
                <w:kern w:val="0"/>
                <w:sz w:val="24"/>
              </w:rPr>
            </w:pPr>
            <w:r>
              <w:rPr>
                <w:rFonts w:hint="eastAsia" w:ascii="宋体" w:hAnsi="宋体" w:cs="宋体"/>
                <w:kern w:val="0"/>
                <w:sz w:val="24"/>
              </w:rPr>
              <w:t>1</w:t>
            </w:r>
          </w:p>
        </w:tc>
        <w:tc>
          <w:tcPr>
            <w:tcW w:w="711" w:type="pct"/>
            <w:noWrap/>
            <w:vAlign w:val="center"/>
          </w:tcPr>
          <w:p>
            <w:pPr>
              <w:widowControl/>
              <w:spacing w:line="360" w:lineRule="auto"/>
              <w:jc w:val="center"/>
              <w:rPr>
                <w:rFonts w:ascii="宋体" w:hAnsi="宋体" w:cs="宋体"/>
                <w:kern w:val="0"/>
                <w:sz w:val="24"/>
              </w:rPr>
            </w:pPr>
            <w:r>
              <w:rPr>
                <w:rFonts w:hint="eastAsia" w:ascii="宋体" w:hAnsi="宋体" w:cs="宋体"/>
                <w:kern w:val="0"/>
                <w:sz w:val="24"/>
              </w:rPr>
              <w:t>质量保证</w:t>
            </w:r>
          </w:p>
        </w:tc>
        <w:tc>
          <w:tcPr>
            <w:tcW w:w="3876" w:type="pct"/>
            <w:noWrap/>
            <w:vAlign w:val="center"/>
          </w:tcPr>
          <w:p>
            <w:pPr>
              <w:widowControl/>
              <w:spacing w:line="360" w:lineRule="auto"/>
              <w:jc w:val="left"/>
              <w:rPr>
                <w:rFonts w:ascii="宋体" w:hAnsi="宋体" w:cs="宋体"/>
                <w:kern w:val="0"/>
                <w:sz w:val="24"/>
              </w:rPr>
            </w:pPr>
            <w:r>
              <w:rPr>
                <w:rFonts w:hint="eastAsia" w:ascii="宋体" w:hAnsi="宋体" w:cs="宋体"/>
                <w:sz w:val="24"/>
              </w:rPr>
              <w:t>提供的产品品牌、型号、参数、数量、生产日期等是否与合同及投标文件承诺相符，检查资料是否提供了所有产品的产品拍照图片、产品说明书、产品合格证、质量保证书原件、原厂质保承诺函。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412" w:type="pct"/>
            <w:noWrap/>
            <w:vAlign w:val="center"/>
          </w:tcPr>
          <w:p>
            <w:pPr>
              <w:widowControl/>
              <w:spacing w:line="360" w:lineRule="auto"/>
              <w:jc w:val="center"/>
              <w:rPr>
                <w:rFonts w:ascii="宋体" w:hAnsi="宋体" w:cs="宋体"/>
                <w:kern w:val="0"/>
                <w:sz w:val="24"/>
              </w:rPr>
            </w:pPr>
            <w:r>
              <w:rPr>
                <w:rFonts w:hint="eastAsia" w:ascii="宋体" w:hAnsi="宋体" w:cs="宋体"/>
                <w:kern w:val="0"/>
                <w:sz w:val="24"/>
              </w:rPr>
              <w:t>2</w:t>
            </w:r>
          </w:p>
        </w:tc>
        <w:tc>
          <w:tcPr>
            <w:tcW w:w="711" w:type="pct"/>
            <w:noWrap/>
            <w:vAlign w:val="center"/>
          </w:tcPr>
          <w:p>
            <w:pPr>
              <w:spacing w:line="360" w:lineRule="auto"/>
              <w:jc w:val="center"/>
              <w:rPr>
                <w:rFonts w:ascii="宋体" w:hAnsi="宋体" w:cs="宋体"/>
                <w:kern w:val="0"/>
                <w:sz w:val="24"/>
              </w:rPr>
            </w:pPr>
            <w:r>
              <w:rPr>
                <w:rFonts w:hint="eastAsia" w:ascii="宋体" w:hAnsi="宋体" w:cs="宋体"/>
                <w:sz w:val="24"/>
              </w:rPr>
              <w:t>服务要求</w:t>
            </w:r>
          </w:p>
        </w:tc>
        <w:tc>
          <w:tcPr>
            <w:tcW w:w="3876" w:type="pct"/>
            <w:noWrap/>
            <w:vAlign w:val="center"/>
          </w:tcPr>
          <w:p>
            <w:pPr>
              <w:spacing w:line="360" w:lineRule="auto"/>
              <w:rPr>
                <w:rFonts w:ascii="宋体" w:hAnsi="宋体" w:cs="宋体"/>
                <w:kern w:val="0"/>
                <w:sz w:val="24"/>
              </w:rPr>
            </w:pPr>
            <w:r>
              <w:rPr>
                <w:rFonts w:hint="eastAsia" w:ascii="宋体" w:hAnsi="宋体" w:cs="宋体"/>
                <w:kern w:val="0"/>
                <w:sz w:val="24"/>
              </w:rPr>
              <w:t>按投标文件响应内容提供服务。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412" w:type="pct"/>
            <w:vMerge w:val="restart"/>
            <w:noWrap/>
            <w:vAlign w:val="center"/>
          </w:tcPr>
          <w:p>
            <w:pPr>
              <w:widowControl/>
              <w:spacing w:line="360" w:lineRule="auto"/>
              <w:jc w:val="center"/>
              <w:rPr>
                <w:rFonts w:ascii="宋体" w:hAnsi="宋体" w:cs="宋体"/>
                <w:kern w:val="0"/>
                <w:sz w:val="24"/>
              </w:rPr>
            </w:pPr>
            <w:r>
              <w:rPr>
                <w:rFonts w:hint="eastAsia" w:ascii="宋体" w:hAnsi="宋体" w:cs="宋体"/>
                <w:kern w:val="0"/>
                <w:sz w:val="24"/>
              </w:rPr>
              <w:t>3</w:t>
            </w:r>
          </w:p>
        </w:tc>
        <w:tc>
          <w:tcPr>
            <w:tcW w:w="711" w:type="pct"/>
            <w:vMerge w:val="restart"/>
            <w:noWrap/>
            <w:vAlign w:val="center"/>
          </w:tcPr>
          <w:p>
            <w:pPr>
              <w:widowControl/>
              <w:spacing w:line="360" w:lineRule="auto"/>
              <w:jc w:val="center"/>
              <w:rPr>
                <w:rFonts w:ascii="宋体" w:hAnsi="宋体" w:cs="宋体"/>
                <w:kern w:val="0"/>
                <w:sz w:val="24"/>
              </w:rPr>
            </w:pPr>
            <w:r>
              <w:rPr>
                <w:rFonts w:hint="eastAsia" w:ascii="宋体" w:hAnsi="宋体" w:cs="宋体"/>
                <w:kern w:val="0"/>
                <w:sz w:val="24"/>
              </w:rPr>
              <w:t>质量满意度</w:t>
            </w:r>
          </w:p>
        </w:tc>
        <w:tc>
          <w:tcPr>
            <w:tcW w:w="3876" w:type="pct"/>
            <w:noWrap/>
            <w:vAlign w:val="center"/>
          </w:tcPr>
          <w:p>
            <w:pPr>
              <w:widowControl/>
              <w:spacing w:line="360" w:lineRule="auto"/>
              <w:jc w:val="left"/>
              <w:rPr>
                <w:rFonts w:ascii="宋体" w:hAnsi="宋体" w:cs="宋体"/>
                <w:kern w:val="0"/>
                <w:sz w:val="24"/>
              </w:rPr>
            </w:pPr>
            <w:r>
              <w:rPr>
                <w:rFonts w:hint="eastAsia" w:ascii="宋体" w:hAnsi="宋体" w:cs="宋体"/>
                <w:kern w:val="0"/>
                <w:sz w:val="24"/>
              </w:rPr>
              <w:t>不定期对各区域内</w:t>
            </w:r>
            <w:r>
              <w:rPr>
                <w:rFonts w:hint="eastAsia" w:ascii="宋体" w:hAnsi="宋体" w:cs="宋体"/>
                <w:sz w:val="24"/>
              </w:rPr>
              <w:t>标志标线护栏设施等维护</w:t>
            </w:r>
            <w:r>
              <w:rPr>
                <w:rFonts w:hint="eastAsia" w:ascii="宋体" w:hAnsi="宋体" w:cs="宋体"/>
                <w:kern w:val="0"/>
                <w:sz w:val="24"/>
              </w:rPr>
              <w:t>情况进行</w:t>
            </w:r>
            <w:r>
              <w:rPr>
                <w:rFonts w:hint="eastAsia" w:ascii="宋体" w:hAnsi="宋体" w:cs="宋体"/>
                <w:sz w:val="24"/>
              </w:rPr>
              <w:t>抽查检测</w:t>
            </w:r>
            <w:r>
              <w:rPr>
                <w:rFonts w:hint="eastAsia" w:ascii="宋体" w:hAnsi="宋体" w:cs="宋体"/>
                <w:kern w:val="0"/>
                <w:sz w:val="24"/>
              </w:rPr>
              <w:t>，并结合出现问题作出整改措施</w:t>
            </w: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412" w:type="pct"/>
            <w:vMerge w:val="continue"/>
            <w:noWrap/>
            <w:vAlign w:val="center"/>
          </w:tcPr>
          <w:p>
            <w:pPr>
              <w:widowControl/>
              <w:spacing w:line="360" w:lineRule="auto"/>
              <w:jc w:val="center"/>
              <w:rPr>
                <w:rFonts w:ascii="宋体" w:hAnsi="宋体" w:cs="宋体"/>
                <w:kern w:val="0"/>
                <w:sz w:val="24"/>
              </w:rPr>
            </w:pPr>
          </w:p>
        </w:tc>
        <w:tc>
          <w:tcPr>
            <w:tcW w:w="711" w:type="pct"/>
            <w:vMerge w:val="continue"/>
            <w:noWrap/>
            <w:vAlign w:val="center"/>
          </w:tcPr>
          <w:p>
            <w:pPr>
              <w:widowControl/>
              <w:spacing w:line="360" w:lineRule="auto"/>
              <w:jc w:val="center"/>
              <w:rPr>
                <w:rFonts w:ascii="宋体" w:hAnsi="宋体" w:cs="宋体"/>
                <w:kern w:val="0"/>
                <w:sz w:val="24"/>
              </w:rPr>
            </w:pPr>
          </w:p>
        </w:tc>
        <w:tc>
          <w:tcPr>
            <w:tcW w:w="3876" w:type="pct"/>
            <w:noWrap/>
            <w:vAlign w:val="center"/>
          </w:tcPr>
          <w:p>
            <w:pPr>
              <w:widowControl/>
              <w:spacing w:line="360" w:lineRule="auto"/>
              <w:jc w:val="left"/>
              <w:rPr>
                <w:rFonts w:ascii="宋体" w:hAnsi="宋体" w:cs="宋体"/>
                <w:kern w:val="0"/>
                <w:sz w:val="24"/>
              </w:rPr>
            </w:pPr>
            <w:r>
              <w:rPr>
                <w:rFonts w:hint="eastAsia" w:ascii="宋体" w:hAnsi="宋体" w:cs="宋体"/>
                <w:kern w:val="0"/>
                <w:sz w:val="24"/>
              </w:rPr>
              <w:t>采购人及监理的考核的满意情况</w:t>
            </w: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412" w:type="pct"/>
            <w:noWrap/>
            <w:vAlign w:val="center"/>
          </w:tcPr>
          <w:p>
            <w:pPr>
              <w:widowControl/>
              <w:spacing w:line="360" w:lineRule="auto"/>
              <w:jc w:val="center"/>
              <w:rPr>
                <w:rFonts w:ascii="宋体" w:hAnsi="宋体" w:cs="宋体"/>
                <w:kern w:val="0"/>
                <w:sz w:val="24"/>
              </w:rPr>
            </w:pPr>
            <w:r>
              <w:rPr>
                <w:rFonts w:hint="eastAsia" w:ascii="宋体" w:hAnsi="宋体" w:cs="宋体"/>
                <w:kern w:val="0"/>
                <w:sz w:val="24"/>
              </w:rPr>
              <w:t>4</w:t>
            </w:r>
          </w:p>
        </w:tc>
        <w:tc>
          <w:tcPr>
            <w:tcW w:w="711" w:type="pct"/>
            <w:noWrap/>
            <w:vAlign w:val="center"/>
          </w:tcPr>
          <w:p>
            <w:pPr>
              <w:widowControl/>
              <w:spacing w:line="360" w:lineRule="auto"/>
              <w:jc w:val="center"/>
              <w:rPr>
                <w:rFonts w:ascii="宋体" w:hAnsi="宋体" w:cs="宋体"/>
                <w:kern w:val="0"/>
                <w:sz w:val="24"/>
              </w:rPr>
            </w:pPr>
            <w:r>
              <w:rPr>
                <w:rFonts w:hint="eastAsia" w:ascii="宋体" w:hAnsi="宋体" w:cs="宋体"/>
                <w:kern w:val="0"/>
                <w:sz w:val="24"/>
              </w:rPr>
              <w:t>服务进度</w:t>
            </w:r>
          </w:p>
        </w:tc>
        <w:tc>
          <w:tcPr>
            <w:tcW w:w="3876" w:type="pct"/>
            <w:noWrap/>
            <w:vAlign w:val="center"/>
          </w:tcPr>
          <w:p>
            <w:pPr>
              <w:widowControl/>
              <w:spacing w:line="360" w:lineRule="auto"/>
              <w:jc w:val="left"/>
              <w:rPr>
                <w:rFonts w:ascii="宋体" w:hAnsi="宋体" w:cs="宋体"/>
                <w:kern w:val="0"/>
                <w:sz w:val="24"/>
              </w:rPr>
            </w:pPr>
            <w:r>
              <w:rPr>
                <w:rFonts w:hint="eastAsia" w:ascii="宋体" w:hAnsi="宋体" w:cs="宋体"/>
                <w:kern w:val="0"/>
                <w:sz w:val="24"/>
              </w:rPr>
              <w:t>服务响应的时间按投标文件落实到位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412" w:type="pct"/>
            <w:noWrap/>
            <w:vAlign w:val="center"/>
          </w:tcPr>
          <w:p>
            <w:pPr>
              <w:widowControl/>
              <w:spacing w:line="360" w:lineRule="auto"/>
              <w:jc w:val="center"/>
              <w:rPr>
                <w:rFonts w:ascii="宋体" w:hAnsi="宋体" w:cs="宋体"/>
                <w:kern w:val="0"/>
                <w:sz w:val="24"/>
              </w:rPr>
            </w:pPr>
            <w:r>
              <w:rPr>
                <w:rFonts w:hint="eastAsia" w:ascii="宋体" w:hAnsi="宋体" w:cs="宋体"/>
                <w:kern w:val="0"/>
                <w:sz w:val="24"/>
              </w:rPr>
              <w:t>5</w:t>
            </w:r>
          </w:p>
        </w:tc>
        <w:tc>
          <w:tcPr>
            <w:tcW w:w="711" w:type="pct"/>
            <w:noWrap/>
            <w:vAlign w:val="center"/>
          </w:tcPr>
          <w:p>
            <w:pPr>
              <w:widowControl/>
              <w:spacing w:line="360" w:lineRule="auto"/>
              <w:jc w:val="center"/>
              <w:rPr>
                <w:rFonts w:ascii="宋体" w:hAnsi="宋体" w:cs="宋体"/>
                <w:kern w:val="0"/>
                <w:sz w:val="24"/>
              </w:rPr>
            </w:pPr>
            <w:r>
              <w:rPr>
                <w:rFonts w:hint="eastAsia" w:ascii="宋体" w:hAnsi="宋体" w:cs="宋体"/>
                <w:kern w:val="0"/>
                <w:sz w:val="24"/>
              </w:rPr>
              <w:t>人员、设备、</w:t>
            </w:r>
            <w:r>
              <w:rPr>
                <w:rFonts w:hint="eastAsia" w:ascii="宋体" w:hAnsi="宋体" w:cs="宋体"/>
                <w:sz w:val="24"/>
              </w:rPr>
              <w:t>车辆等</w:t>
            </w:r>
            <w:r>
              <w:rPr>
                <w:rFonts w:hint="eastAsia" w:ascii="宋体" w:hAnsi="宋体" w:cs="宋体"/>
                <w:kern w:val="0"/>
                <w:sz w:val="24"/>
              </w:rPr>
              <w:t>配备情况</w:t>
            </w:r>
          </w:p>
        </w:tc>
        <w:tc>
          <w:tcPr>
            <w:tcW w:w="3876" w:type="pct"/>
            <w:noWrap/>
            <w:vAlign w:val="center"/>
          </w:tcPr>
          <w:p>
            <w:pPr>
              <w:widowControl/>
              <w:spacing w:line="360" w:lineRule="auto"/>
              <w:jc w:val="left"/>
              <w:rPr>
                <w:rFonts w:ascii="宋体" w:hAnsi="宋体" w:cs="宋体"/>
                <w:kern w:val="0"/>
                <w:sz w:val="24"/>
              </w:rPr>
            </w:pPr>
            <w:r>
              <w:rPr>
                <w:rFonts w:hint="eastAsia" w:ascii="宋体" w:hAnsi="宋体" w:cs="宋体"/>
                <w:kern w:val="0"/>
                <w:sz w:val="24"/>
              </w:rPr>
              <w:t>人员、设备、</w:t>
            </w:r>
            <w:r>
              <w:rPr>
                <w:rFonts w:hint="eastAsia" w:ascii="宋体" w:hAnsi="宋体" w:cs="宋体"/>
                <w:sz w:val="24"/>
              </w:rPr>
              <w:t>车辆</w:t>
            </w:r>
            <w:r>
              <w:rPr>
                <w:rFonts w:hint="eastAsia" w:ascii="宋体" w:hAnsi="宋体" w:cs="宋体"/>
                <w:kern w:val="0"/>
                <w:sz w:val="24"/>
              </w:rPr>
              <w:t>按投标文件到位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412" w:type="pct"/>
            <w:noWrap/>
            <w:vAlign w:val="center"/>
          </w:tcPr>
          <w:p>
            <w:pPr>
              <w:widowControl/>
              <w:spacing w:line="360" w:lineRule="auto"/>
              <w:jc w:val="center"/>
              <w:rPr>
                <w:rFonts w:ascii="宋体" w:hAnsi="宋体" w:cs="宋体"/>
                <w:kern w:val="0"/>
                <w:sz w:val="24"/>
              </w:rPr>
            </w:pPr>
            <w:r>
              <w:rPr>
                <w:rFonts w:hint="eastAsia" w:ascii="宋体" w:hAnsi="宋体" w:cs="宋体"/>
                <w:kern w:val="0"/>
                <w:sz w:val="24"/>
              </w:rPr>
              <w:t>6</w:t>
            </w:r>
          </w:p>
        </w:tc>
        <w:tc>
          <w:tcPr>
            <w:tcW w:w="711" w:type="pct"/>
            <w:noWrap/>
            <w:vAlign w:val="center"/>
          </w:tcPr>
          <w:p>
            <w:pPr>
              <w:widowControl/>
              <w:spacing w:line="360" w:lineRule="auto"/>
              <w:jc w:val="center"/>
              <w:rPr>
                <w:rFonts w:ascii="宋体" w:hAnsi="宋体" w:cs="宋体"/>
                <w:kern w:val="0"/>
                <w:sz w:val="24"/>
              </w:rPr>
            </w:pPr>
            <w:r>
              <w:rPr>
                <w:rFonts w:hint="eastAsia" w:ascii="宋体" w:hAnsi="宋体" w:cs="宋体"/>
                <w:kern w:val="0"/>
                <w:sz w:val="24"/>
              </w:rPr>
              <w:t>服务承诺实现</w:t>
            </w:r>
          </w:p>
        </w:tc>
        <w:tc>
          <w:tcPr>
            <w:tcW w:w="3876" w:type="pct"/>
            <w:noWrap/>
            <w:vAlign w:val="center"/>
          </w:tcPr>
          <w:p>
            <w:pPr>
              <w:widowControl/>
              <w:spacing w:line="360" w:lineRule="auto"/>
              <w:jc w:val="left"/>
              <w:rPr>
                <w:rFonts w:ascii="宋体" w:hAnsi="宋体" w:cs="宋体"/>
                <w:kern w:val="0"/>
                <w:sz w:val="24"/>
              </w:rPr>
            </w:pPr>
            <w:r>
              <w:rPr>
                <w:rFonts w:hint="eastAsia" w:ascii="宋体" w:hAnsi="宋体" w:cs="宋体"/>
                <w:kern w:val="0"/>
                <w:sz w:val="24"/>
              </w:rPr>
              <w:t>承诺按投标文件实施情况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412" w:type="pct"/>
            <w:noWrap/>
            <w:vAlign w:val="center"/>
          </w:tcPr>
          <w:p>
            <w:pPr>
              <w:widowControl/>
              <w:spacing w:line="360" w:lineRule="auto"/>
              <w:jc w:val="center"/>
              <w:rPr>
                <w:rFonts w:ascii="宋体" w:hAnsi="宋体" w:cs="宋体"/>
                <w:kern w:val="0"/>
                <w:sz w:val="24"/>
              </w:rPr>
            </w:pPr>
            <w:r>
              <w:rPr>
                <w:rFonts w:hint="eastAsia" w:ascii="宋体" w:hAnsi="宋体" w:cs="宋体"/>
                <w:kern w:val="0"/>
                <w:sz w:val="24"/>
              </w:rPr>
              <w:t>7</w:t>
            </w:r>
          </w:p>
        </w:tc>
        <w:tc>
          <w:tcPr>
            <w:tcW w:w="711" w:type="pct"/>
            <w:noWrap/>
            <w:vAlign w:val="center"/>
          </w:tcPr>
          <w:p>
            <w:pPr>
              <w:widowControl/>
              <w:spacing w:line="360" w:lineRule="auto"/>
              <w:jc w:val="center"/>
              <w:rPr>
                <w:rFonts w:ascii="宋体" w:hAnsi="宋体" w:cs="宋体"/>
                <w:kern w:val="0"/>
                <w:sz w:val="24"/>
              </w:rPr>
            </w:pPr>
            <w:r>
              <w:rPr>
                <w:rFonts w:hint="eastAsia" w:ascii="宋体" w:hAnsi="宋体" w:cs="宋体"/>
                <w:sz w:val="24"/>
              </w:rPr>
              <w:t>安全和保密</w:t>
            </w:r>
          </w:p>
        </w:tc>
        <w:tc>
          <w:tcPr>
            <w:tcW w:w="3876" w:type="pct"/>
            <w:noWrap/>
            <w:vAlign w:val="center"/>
          </w:tcPr>
          <w:p>
            <w:pPr>
              <w:snapToGrid w:val="0"/>
              <w:spacing w:line="360" w:lineRule="auto"/>
              <w:rPr>
                <w:rFonts w:ascii="宋体" w:hAnsi="宋体" w:cs="宋体"/>
                <w:sz w:val="24"/>
              </w:rPr>
            </w:pPr>
            <w:r>
              <w:rPr>
                <w:rFonts w:hint="eastAsia" w:ascii="宋体" w:hAnsi="宋体" w:cs="宋体"/>
                <w:sz w:val="24"/>
              </w:rPr>
              <w:t>1、公司签订保密协议，个人签订保密承诺书、日常保密教育台账，保密措施完善。未发生敏感数据、资料丢失和泄漏问题。</w:t>
            </w:r>
          </w:p>
          <w:p>
            <w:pPr>
              <w:widowControl/>
              <w:spacing w:line="360" w:lineRule="auto"/>
              <w:jc w:val="left"/>
              <w:rPr>
                <w:rFonts w:ascii="宋体" w:hAnsi="宋体" w:cs="宋体"/>
                <w:kern w:val="0"/>
                <w:sz w:val="24"/>
              </w:rPr>
            </w:pPr>
            <w:r>
              <w:rPr>
                <w:rFonts w:hint="eastAsia" w:ascii="宋体" w:hAnsi="宋体" w:cs="宋体"/>
                <w:sz w:val="24"/>
              </w:rPr>
              <w:t>2、严格按照采购人规定使用、存储、处理文档资料和数据。合同终止时，应当交还全部公安资料和数据。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412" w:type="pct"/>
            <w:noWrap/>
            <w:vAlign w:val="center"/>
          </w:tcPr>
          <w:p>
            <w:pPr>
              <w:widowControl/>
              <w:spacing w:line="360" w:lineRule="auto"/>
              <w:jc w:val="center"/>
              <w:rPr>
                <w:rFonts w:ascii="宋体" w:hAnsi="宋体" w:cs="宋体"/>
                <w:kern w:val="0"/>
                <w:sz w:val="24"/>
              </w:rPr>
            </w:pPr>
            <w:r>
              <w:rPr>
                <w:rFonts w:hint="eastAsia" w:ascii="宋体" w:hAnsi="宋体" w:cs="宋体"/>
                <w:kern w:val="0"/>
                <w:sz w:val="24"/>
              </w:rPr>
              <w:t>8</w:t>
            </w:r>
          </w:p>
        </w:tc>
        <w:tc>
          <w:tcPr>
            <w:tcW w:w="711" w:type="pct"/>
            <w:noWrap/>
            <w:vAlign w:val="center"/>
          </w:tcPr>
          <w:p>
            <w:pPr>
              <w:widowControl/>
              <w:spacing w:line="360" w:lineRule="auto"/>
              <w:jc w:val="center"/>
              <w:rPr>
                <w:rFonts w:ascii="宋体" w:hAnsi="宋体" w:cs="宋体"/>
                <w:kern w:val="0"/>
                <w:sz w:val="24"/>
              </w:rPr>
            </w:pPr>
            <w:r>
              <w:rPr>
                <w:rFonts w:hint="eastAsia" w:ascii="宋体" w:hAnsi="宋体" w:cs="宋体"/>
                <w:kern w:val="0"/>
                <w:sz w:val="24"/>
              </w:rPr>
              <w:t>台帐</w:t>
            </w:r>
          </w:p>
        </w:tc>
        <w:tc>
          <w:tcPr>
            <w:tcW w:w="3876" w:type="pct"/>
            <w:noWrap/>
            <w:vAlign w:val="center"/>
          </w:tcPr>
          <w:p>
            <w:pPr>
              <w:widowControl/>
              <w:spacing w:line="360" w:lineRule="auto"/>
              <w:jc w:val="left"/>
              <w:rPr>
                <w:rFonts w:ascii="宋体" w:hAnsi="宋体" w:cs="宋体"/>
                <w:kern w:val="0"/>
                <w:sz w:val="24"/>
              </w:rPr>
            </w:pPr>
            <w:r>
              <w:rPr>
                <w:rFonts w:hint="eastAsia" w:ascii="宋体" w:hAnsi="宋体" w:cs="宋体"/>
                <w:kern w:val="0"/>
                <w:sz w:val="24"/>
              </w:rPr>
              <w:t>要做好</w:t>
            </w:r>
            <w:r>
              <w:rPr>
                <w:rFonts w:hint="eastAsia" w:ascii="宋体" w:hAnsi="宋体" w:cs="宋体"/>
                <w:sz w:val="24"/>
              </w:rPr>
              <w:t>工作量、工作数据、工作小结、周巡查登记记录报告、月巡查登记记录报告、月巡查维护报告、每日巡检报告及巡检路线图、《问题告知单》等</w:t>
            </w:r>
            <w:r>
              <w:rPr>
                <w:rFonts w:hint="eastAsia" w:ascii="宋体" w:hAnsi="宋体" w:cs="宋体"/>
                <w:kern w:val="0"/>
                <w:sz w:val="24"/>
              </w:rPr>
              <w:t>台账。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412" w:type="pct"/>
            <w:noWrap/>
            <w:vAlign w:val="center"/>
          </w:tcPr>
          <w:p>
            <w:pPr>
              <w:widowControl/>
              <w:spacing w:line="360" w:lineRule="auto"/>
              <w:jc w:val="center"/>
              <w:rPr>
                <w:rFonts w:ascii="宋体" w:hAnsi="宋体" w:cs="宋体"/>
                <w:kern w:val="0"/>
                <w:sz w:val="24"/>
              </w:rPr>
            </w:pPr>
            <w:r>
              <w:rPr>
                <w:rFonts w:hint="eastAsia" w:ascii="宋体" w:hAnsi="宋体" w:cs="宋体"/>
                <w:kern w:val="0"/>
                <w:sz w:val="24"/>
              </w:rPr>
              <w:t>9</w:t>
            </w:r>
          </w:p>
        </w:tc>
        <w:tc>
          <w:tcPr>
            <w:tcW w:w="711" w:type="pct"/>
            <w:noWrap/>
            <w:vAlign w:val="center"/>
          </w:tcPr>
          <w:p>
            <w:pPr>
              <w:widowControl/>
              <w:spacing w:line="360" w:lineRule="auto"/>
              <w:jc w:val="center"/>
              <w:rPr>
                <w:rFonts w:ascii="宋体" w:hAnsi="宋体" w:cs="宋体"/>
                <w:kern w:val="0"/>
                <w:sz w:val="24"/>
              </w:rPr>
            </w:pPr>
            <w:r>
              <w:rPr>
                <w:rFonts w:hint="eastAsia" w:ascii="宋体" w:hAnsi="宋体" w:cs="宋体"/>
                <w:kern w:val="0"/>
                <w:sz w:val="24"/>
              </w:rPr>
              <w:t>其他工作</w:t>
            </w:r>
          </w:p>
        </w:tc>
        <w:tc>
          <w:tcPr>
            <w:tcW w:w="3876" w:type="pct"/>
            <w:noWrap/>
            <w:vAlign w:val="center"/>
          </w:tcPr>
          <w:p>
            <w:pPr>
              <w:widowControl/>
              <w:spacing w:line="360" w:lineRule="auto"/>
              <w:jc w:val="left"/>
              <w:rPr>
                <w:rFonts w:ascii="宋体" w:hAnsi="宋体" w:cs="宋体"/>
                <w:kern w:val="0"/>
                <w:sz w:val="24"/>
              </w:rPr>
            </w:pPr>
            <w:r>
              <w:rPr>
                <w:rFonts w:hint="eastAsia" w:ascii="宋体" w:hAnsi="宋体" w:cs="宋体"/>
                <w:kern w:val="0"/>
                <w:sz w:val="24"/>
              </w:rPr>
              <w:t>履行项目采购文件、投标文件、合同条款中涉及的其他承诺的情况。</w:t>
            </w:r>
          </w:p>
        </w:tc>
      </w:tr>
    </w:tbl>
    <w:p>
      <w:pPr>
        <w:spacing w:line="360" w:lineRule="auto"/>
        <w:rPr>
          <w:rFonts w:ascii="宋体" w:hAnsi="宋体" w:cs="宋体"/>
          <w:sz w:val="24"/>
        </w:rPr>
      </w:pPr>
      <w:r>
        <w:rPr>
          <w:rFonts w:hint="eastAsia" w:ascii="宋体" w:hAnsi="宋体" w:cs="宋体"/>
          <w:sz w:val="24"/>
        </w:rPr>
        <w:t>5.2、验收资料要求包括（不限于）以下内容：</w:t>
      </w:r>
    </w:p>
    <w:p>
      <w:pPr>
        <w:spacing w:line="360" w:lineRule="auto"/>
        <w:ind w:firstLine="480" w:firstLineChars="200"/>
        <w:rPr>
          <w:rFonts w:ascii="宋体" w:hAnsi="宋体" w:cs="宋体"/>
          <w:sz w:val="24"/>
        </w:rPr>
      </w:pPr>
      <w:r>
        <w:rPr>
          <w:rFonts w:hint="eastAsia" w:ascii="宋体" w:hAnsi="宋体" w:cs="宋体"/>
          <w:sz w:val="24"/>
        </w:rPr>
        <w:t xml:space="preserve">（1）招标文件 </w:t>
      </w:r>
    </w:p>
    <w:p>
      <w:pPr>
        <w:spacing w:line="360" w:lineRule="auto"/>
        <w:ind w:firstLine="480" w:firstLineChars="200"/>
        <w:rPr>
          <w:rFonts w:ascii="宋体" w:hAnsi="宋体" w:cs="宋体"/>
          <w:sz w:val="24"/>
        </w:rPr>
      </w:pPr>
      <w:r>
        <w:rPr>
          <w:rFonts w:hint="eastAsia" w:ascii="宋体" w:hAnsi="宋体" w:cs="宋体"/>
          <w:sz w:val="24"/>
        </w:rPr>
        <w:t>（2）投标文件</w:t>
      </w:r>
    </w:p>
    <w:p>
      <w:pPr>
        <w:spacing w:line="360" w:lineRule="auto"/>
        <w:ind w:firstLine="480" w:firstLineChars="200"/>
        <w:rPr>
          <w:rFonts w:ascii="宋体" w:hAnsi="宋体" w:cs="宋体"/>
          <w:sz w:val="24"/>
        </w:rPr>
      </w:pPr>
      <w:r>
        <w:rPr>
          <w:rFonts w:hint="eastAsia" w:ascii="宋体" w:hAnsi="宋体" w:cs="宋体"/>
          <w:sz w:val="24"/>
        </w:rPr>
        <w:t>（3）中标通知书</w:t>
      </w:r>
    </w:p>
    <w:p>
      <w:pPr>
        <w:spacing w:line="360" w:lineRule="auto"/>
        <w:ind w:firstLine="480" w:firstLineChars="200"/>
        <w:rPr>
          <w:rFonts w:ascii="宋体" w:hAnsi="宋体" w:cs="宋体"/>
          <w:sz w:val="24"/>
        </w:rPr>
      </w:pPr>
      <w:r>
        <w:rPr>
          <w:rFonts w:hint="eastAsia" w:ascii="宋体" w:hAnsi="宋体" w:cs="宋体"/>
          <w:sz w:val="24"/>
        </w:rPr>
        <w:t>（4）采购合同</w:t>
      </w:r>
    </w:p>
    <w:p>
      <w:pPr>
        <w:spacing w:line="360" w:lineRule="auto"/>
        <w:ind w:firstLine="480" w:firstLineChars="200"/>
        <w:rPr>
          <w:rFonts w:ascii="宋体" w:hAnsi="宋体" w:cs="宋体"/>
          <w:sz w:val="24"/>
        </w:rPr>
      </w:pPr>
      <w:r>
        <w:rPr>
          <w:rFonts w:hint="eastAsia" w:ascii="宋体" w:hAnsi="宋体" w:cs="宋体"/>
          <w:sz w:val="24"/>
        </w:rPr>
        <w:t>（5）考核表：须采购人经办人、审核人、供应商签字并盖章。</w:t>
      </w:r>
    </w:p>
    <w:p>
      <w:pPr>
        <w:spacing w:line="360" w:lineRule="auto"/>
        <w:ind w:firstLine="480" w:firstLineChars="200"/>
        <w:rPr>
          <w:rFonts w:ascii="宋体" w:hAnsi="宋体" w:cs="宋体"/>
          <w:sz w:val="24"/>
        </w:rPr>
      </w:pPr>
      <w:r>
        <w:rPr>
          <w:rFonts w:hint="eastAsia" w:ascii="宋体" w:hAnsi="宋体" w:cs="宋体"/>
          <w:sz w:val="24"/>
        </w:rPr>
        <w:t>（6）单位保密协议、个人保密承诺书、日常保密教育台账；</w:t>
      </w:r>
    </w:p>
    <w:p>
      <w:pPr>
        <w:spacing w:line="360" w:lineRule="auto"/>
        <w:ind w:firstLine="480" w:firstLineChars="200"/>
        <w:rPr>
          <w:rFonts w:ascii="宋体" w:hAnsi="宋体" w:cs="宋体"/>
          <w:sz w:val="24"/>
        </w:rPr>
      </w:pPr>
      <w:r>
        <w:rPr>
          <w:rFonts w:hint="eastAsia" w:ascii="宋体" w:hAnsi="宋体" w:cs="宋体"/>
          <w:sz w:val="24"/>
        </w:rPr>
        <w:t>（7）人员清单、每月人员社保交纳清单、驻点人员每日打卡记录、人员变更审批表（如有）、车辆信息；</w:t>
      </w:r>
    </w:p>
    <w:p>
      <w:pPr>
        <w:spacing w:line="360" w:lineRule="auto"/>
        <w:ind w:firstLine="480" w:firstLineChars="200"/>
        <w:rPr>
          <w:rFonts w:ascii="宋体" w:hAnsi="宋体" w:cs="宋体"/>
          <w:sz w:val="24"/>
        </w:rPr>
      </w:pPr>
      <w:r>
        <w:rPr>
          <w:rFonts w:hint="eastAsia" w:ascii="宋体" w:hAnsi="宋体" w:cs="宋体"/>
          <w:sz w:val="24"/>
        </w:rPr>
        <w:t>（8）维护方案、安装施工组织方案、安全防护措施方案</w:t>
      </w:r>
    </w:p>
    <w:p>
      <w:pPr>
        <w:spacing w:line="360" w:lineRule="auto"/>
        <w:ind w:firstLine="480" w:firstLineChars="200"/>
        <w:rPr>
          <w:rFonts w:ascii="宋体" w:hAnsi="宋体" w:cs="宋体"/>
          <w:sz w:val="24"/>
        </w:rPr>
      </w:pPr>
      <w:r>
        <w:rPr>
          <w:rFonts w:hint="eastAsia" w:ascii="宋体" w:hAnsi="宋体" w:cs="宋体"/>
          <w:sz w:val="24"/>
        </w:rPr>
        <w:t>（9）工作量、工作数据、工作小结、周巡查登记记录报告、月巡查登记记录报告、月巡查维护报告、台账、设施维护前后照片、工作联系单：须经采购人（三大队、五大队）、监理、供应商签字确认。</w:t>
      </w:r>
    </w:p>
    <w:p>
      <w:pPr>
        <w:spacing w:line="360" w:lineRule="auto"/>
        <w:ind w:firstLine="480" w:firstLineChars="200"/>
        <w:rPr>
          <w:rFonts w:ascii="宋体" w:hAnsi="宋体" w:cs="宋体"/>
          <w:sz w:val="24"/>
        </w:rPr>
      </w:pPr>
      <w:r>
        <w:rPr>
          <w:rFonts w:hint="eastAsia" w:ascii="宋体" w:hAnsi="宋体" w:cs="宋体"/>
          <w:sz w:val="24"/>
        </w:rPr>
        <w:t>（10）每日巡检报告及巡检路线图</w:t>
      </w:r>
    </w:p>
    <w:p>
      <w:pPr>
        <w:spacing w:line="360" w:lineRule="auto"/>
        <w:ind w:firstLine="480" w:firstLineChars="200"/>
        <w:rPr>
          <w:rFonts w:ascii="宋体" w:hAnsi="宋体" w:cs="宋体"/>
          <w:sz w:val="24"/>
        </w:rPr>
      </w:pPr>
      <w:r>
        <w:rPr>
          <w:rFonts w:hint="eastAsia" w:ascii="宋体" w:hAnsi="宋体" w:cs="宋体"/>
          <w:sz w:val="24"/>
        </w:rPr>
        <w:t>（11）《问题告知单》</w:t>
      </w:r>
    </w:p>
    <w:p>
      <w:pPr>
        <w:spacing w:line="360" w:lineRule="auto"/>
        <w:ind w:firstLine="480" w:firstLineChars="200"/>
        <w:rPr>
          <w:rFonts w:ascii="宋体" w:hAnsi="宋体" w:cs="宋体"/>
          <w:sz w:val="24"/>
        </w:rPr>
      </w:pPr>
      <w:r>
        <w:rPr>
          <w:rFonts w:hint="eastAsia" w:ascii="宋体" w:hAnsi="宋体" w:cs="宋体"/>
          <w:sz w:val="24"/>
        </w:rPr>
        <w:t>（12）产品说明书、产品合格证、原厂质保承诺函、质量保证书原件、三包凭证、原配的附件（如有）、产品生产日期凭证等</w:t>
      </w:r>
    </w:p>
    <w:p>
      <w:pPr>
        <w:spacing w:line="360" w:lineRule="auto"/>
        <w:ind w:firstLine="480" w:firstLineChars="200"/>
        <w:rPr>
          <w:rFonts w:ascii="宋体" w:hAnsi="宋体" w:cs="宋体"/>
          <w:sz w:val="24"/>
        </w:rPr>
      </w:pPr>
      <w:r>
        <w:rPr>
          <w:rFonts w:hint="eastAsia" w:ascii="宋体" w:hAnsi="宋体" w:cs="宋体"/>
          <w:sz w:val="24"/>
        </w:rPr>
        <w:t>（13）具有CMA资质第三方出具的检测报告</w:t>
      </w:r>
    </w:p>
    <w:p>
      <w:pPr>
        <w:spacing w:line="360" w:lineRule="auto"/>
        <w:ind w:firstLine="480" w:firstLineChars="200"/>
        <w:rPr>
          <w:rFonts w:ascii="宋体" w:hAnsi="宋体" w:cs="宋体"/>
          <w:sz w:val="24"/>
        </w:rPr>
      </w:pPr>
      <w:r>
        <w:rPr>
          <w:rFonts w:hint="eastAsia" w:ascii="宋体" w:hAnsi="宋体" w:cs="宋体"/>
          <w:sz w:val="24"/>
        </w:rPr>
        <w:t>（14）设施更换交接表（附设施更换前后对比照片）。须经采购人经办人及审核人、监理、供应商签字确认加盖公章。</w:t>
      </w:r>
    </w:p>
    <w:p>
      <w:pPr>
        <w:spacing w:line="360" w:lineRule="auto"/>
        <w:ind w:firstLine="480" w:firstLineChars="200"/>
        <w:rPr>
          <w:rFonts w:ascii="宋体" w:hAnsi="宋体" w:cs="宋体"/>
          <w:sz w:val="24"/>
        </w:rPr>
      </w:pPr>
      <w:r>
        <w:rPr>
          <w:rFonts w:hint="eastAsia" w:ascii="宋体" w:hAnsi="宋体" w:cs="宋体"/>
          <w:sz w:val="24"/>
        </w:rPr>
        <w:t>（15）每季度抽测表：须采购人经办人、审核人、监理、供应商签字并盖章。</w:t>
      </w:r>
    </w:p>
    <w:p>
      <w:pPr>
        <w:spacing w:line="360" w:lineRule="auto"/>
        <w:ind w:firstLine="480" w:firstLineChars="200"/>
        <w:rPr>
          <w:rFonts w:ascii="宋体" w:hAnsi="宋体" w:cs="宋体"/>
          <w:sz w:val="24"/>
        </w:rPr>
      </w:pPr>
      <w:r>
        <w:rPr>
          <w:rFonts w:hint="eastAsia" w:ascii="宋体" w:hAnsi="宋体" w:cs="宋体"/>
          <w:sz w:val="24"/>
        </w:rPr>
        <w:t>（16）监理总结。监理总结中包含付款申请表、付款意见表。</w:t>
      </w:r>
    </w:p>
    <w:p>
      <w:pPr>
        <w:spacing w:line="360" w:lineRule="auto"/>
        <w:ind w:firstLine="480" w:firstLineChars="200"/>
        <w:rPr>
          <w:rFonts w:ascii="宋体" w:hAnsi="宋体" w:cs="宋体"/>
          <w:sz w:val="24"/>
        </w:rPr>
      </w:pPr>
      <w:r>
        <w:rPr>
          <w:rFonts w:hint="eastAsia" w:ascii="宋体" w:hAnsi="宋体" w:cs="宋体"/>
          <w:sz w:val="24"/>
        </w:rPr>
        <w:t>（17）验收总结报告。</w:t>
      </w:r>
    </w:p>
    <w:p>
      <w:pPr>
        <w:spacing w:line="360" w:lineRule="auto"/>
        <w:ind w:firstLine="480" w:firstLineChars="200"/>
        <w:rPr>
          <w:rFonts w:ascii="宋体" w:hAnsi="宋体" w:cs="宋体"/>
          <w:sz w:val="24"/>
        </w:rPr>
      </w:pPr>
      <w:r>
        <w:rPr>
          <w:rFonts w:hint="eastAsia" w:ascii="宋体" w:hAnsi="宋体" w:cs="宋体"/>
          <w:sz w:val="24"/>
        </w:rPr>
        <w:t>（18）验收需提供的其他相关材料。</w:t>
      </w:r>
    </w:p>
    <w:p>
      <w:pPr>
        <w:spacing w:line="360" w:lineRule="auto"/>
        <w:ind w:firstLine="723" w:firstLineChars="200"/>
        <w:jc w:val="center"/>
        <w:outlineLvl w:val="0"/>
        <w:rPr>
          <w:rFonts w:ascii="宋体" w:hAnsi="宋体" w:cs="宋体"/>
          <w:b/>
          <w:bCs/>
          <w:sz w:val="36"/>
          <w:szCs w:val="36"/>
        </w:rPr>
      </w:pPr>
      <w:r>
        <w:rPr>
          <w:rFonts w:hint="eastAsia" w:ascii="宋体" w:hAnsi="宋体" w:cs="宋体"/>
          <w:b/>
          <w:bCs/>
          <w:sz w:val="36"/>
          <w:szCs w:val="36"/>
        </w:rPr>
        <w:br w:type="page"/>
      </w:r>
      <w:bookmarkStart w:id="19" w:name="_Toc10175"/>
      <w:r>
        <w:rPr>
          <w:rFonts w:hint="eastAsia" w:ascii="宋体" w:hAnsi="宋体" w:cs="宋体"/>
          <w:b/>
          <w:bCs/>
          <w:sz w:val="36"/>
          <w:szCs w:val="36"/>
        </w:rPr>
        <w:t>第七部分合同主要条款</w:t>
      </w:r>
      <w:bookmarkEnd w:id="19"/>
    </w:p>
    <w:p>
      <w:pPr>
        <w:spacing w:line="360" w:lineRule="auto"/>
        <w:ind w:firstLine="440" w:firstLineChars="200"/>
        <w:rPr>
          <w:rFonts w:ascii="宋体" w:hAnsi="宋体" w:cs="宋体"/>
          <w:sz w:val="22"/>
          <w:szCs w:val="22"/>
        </w:rPr>
      </w:pPr>
      <w:bookmarkStart w:id="20" w:name="_Toc522274376"/>
      <w:bookmarkStart w:id="21" w:name="_Toc22307613"/>
    </w:p>
    <w:p>
      <w:pPr>
        <w:spacing w:line="360" w:lineRule="auto"/>
        <w:ind w:firstLine="480" w:firstLineChars="200"/>
        <w:rPr>
          <w:rFonts w:ascii="宋体" w:hAnsi="宋体" w:cs="宋体"/>
          <w:sz w:val="24"/>
        </w:rPr>
      </w:pPr>
      <w:r>
        <w:rPr>
          <w:rFonts w:hint="eastAsia" w:ascii="宋体" w:hAnsi="宋体" w:cs="宋体"/>
          <w:sz w:val="24"/>
        </w:rPr>
        <w:t>本条款为甲乙双方必须遵守的基本条款，甲乙双方也可根据实际情况另签合同条款，正式合同以双方签字盖章的文本为准。</w:t>
      </w:r>
    </w:p>
    <w:p>
      <w:pPr>
        <w:spacing w:line="360" w:lineRule="auto"/>
        <w:rPr>
          <w:rFonts w:ascii="宋体" w:hAnsi="宋体" w:cs="宋体"/>
          <w:sz w:val="24"/>
          <w:u w:val="single"/>
        </w:rPr>
      </w:pPr>
      <w:r>
        <w:rPr>
          <w:rFonts w:hint="eastAsia" w:ascii="宋体" w:hAnsi="宋体" w:cs="宋体"/>
          <w:sz w:val="24"/>
        </w:rPr>
        <w:t>合同编号：</w:t>
      </w:r>
    </w:p>
    <w:p>
      <w:pPr>
        <w:spacing w:line="360" w:lineRule="auto"/>
        <w:jc w:val="center"/>
        <w:rPr>
          <w:rFonts w:ascii="宋体" w:hAnsi="宋体" w:cs="宋体"/>
          <w:b/>
          <w:sz w:val="28"/>
          <w:szCs w:val="28"/>
        </w:rPr>
      </w:pPr>
    </w:p>
    <w:p>
      <w:pPr>
        <w:spacing w:line="360" w:lineRule="auto"/>
        <w:jc w:val="center"/>
        <w:rPr>
          <w:rFonts w:ascii="宋体" w:hAnsi="宋体" w:cs="宋体"/>
          <w:b/>
          <w:sz w:val="24"/>
        </w:rPr>
      </w:pPr>
    </w:p>
    <w:p>
      <w:pPr>
        <w:spacing w:line="360" w:lineRule="auto"/>
        <w:jc w:val="center"/>
        <w:rPr>
          <w:rFonts w:ascii="宋体" w:hAnsi="宋体" w:cs="宋体"/>
          <w:b/>
          <w:sz w:val="24"/>
        </w:rPr>
      </w:pPr>
    </w:p>
    <w:p>
      <w:pPr>
        <w:pStyle w:val="31"/>
        <w:ind w:firstLine="420"/>
        <w:rPr>
          <w:rFonts w:ascii="宋体" w:hAnsi="宋体" w:cs="宋体"/>
        </w:rPr>
      </w:pPr>
    </w:p>
    <w:p>
      <w:pPr>
        <w:pStyle w:val="31"/>
        <w:ind w:firstLine="420"/>
        <w:rPr>
          <w:rFonts w:ascii="宋体" w:hAnsi="宋体" w:cs="宋体"/>
        </w:rPr>
      </w:pPr>
    </w:p>
    <w:p>
      <w:pPr>
        <w:pStyle w:val="31"/>
        <w:ind w:firstLine="420"/>
        <w:jc w:val="center"/>
        <w:rPr>
          <w:rFonts w:ascii="宋体" w:hAnsi="宋体" w:cs="宋体"/>
        </w:rPr>
      </w:pPr>
    </w:p>
    <w:p>
      <w:pPr>
        <w:pStyle w:val="31"/>
        <w:ind w:firstLine="2488" w:firstLineChars="1180"/>
        <w:rPr>
          <w:rFonts w:ascii="宋体" w:hAnsi="宋体" w:cs="宋体"/>
          <w:b/>
        </w:rPr>
      </w:pPr>
      <w:r>
        <w:rPr>
          <w:rFonts w:hint="eastAsia" w:ascii="宋体" w:hAnsi="宋体" w:cs="宋体"/>
          <w:b/>
        </w:rPr>
        <w:t>第一部分合同书</w:t>
      </w:r>
    </w:p>
    <w:p>
      <w:pPr>
        <w:pStyle w:val="31"/>
        <w:ind w:firstLine="420"/>
        <w:rPr>
          <w:rFonts w:ascii="宋体" w:hAnsi="宋体" w:cs="宋体"/>
        </w:rPr>
      </w:pPr>
    </w:p>
    <w:p>
      <w:pPr>
        <w:pStyle w:val="31"/>
        <w:ind w:firstLine="420"/>
        <w:rPr>
          <w:rFonts w:ascii="宋体" w:hAnsi="宋体" w:cs="宋体"/>
        </w:rPr>
      </w:pPr>
    </w:p>
    <w:p>
      <w:pPr>
        <w:spacing w:before="120" w:line="360" w:lineRule="auto"/>
        <w:rPr>
          <w:rFonts w:ascii="宋体" w:hAnsi="宋体" w:cs="宋体"/>
          <w:sz w:val="24"/>
        </w:rPr>
      </w:pPr>
    </w:p>
    <w:p>
      <w:pPr>
        <w:spacing w:before="120" w:line="360" w:lineRule="auto"/>
        <w:ind w:left="960"/>
        <w:rPr>
          <w:rFonts w:ascii="宋体" w:hAnsi="宋体" w:cs="宋体"/>
          <w:sz w:val="24"/>
        </w:rPr>
      </w:pPr>
      <w:r>
        <w:rPr>
          <w:rFonts w:hint="eastAsia" w:ascii="宋体" w:hAnsi="宋体" w:cs="宋体"/>
          <w:sz w:val="24"/>
        </w:rPr>
        <w:t>项目名称：2023年温州市区（三、五大队）道路标志、标线、隔离护栏及其他设施建设维护项目（标项一、标项二）</w:t>
      </w:r>
    </w:p>
    <w:p>
      <w:pPr>
        <w:pStyle w:val="32"/>
        <w:spacing w:before="120"/>
        <w:rPr>
          <w:rFonts w:ascii="宋体" w:hAnsi="宋体" w:eastAsia="宋体" w:cs="宋体"/>
          <w:szCs w:val="24"/>
        </w:rPr>
      </w:pPr>
    </w:p>
    <w:p>
      <w:pPr>
        <w:pStyle w:val="32"/>
        <w:spacing w:before="120"/>
        <w:rPr>
          <w:rFonts w:ascii="宋体" w:hAnsi="宋体" w:eastAsia="宋体" w:cs="宋体"/>
          <w:szCs w:val="24"/>
        </w:rPr>
      </w:pPr>
    </w:p>
    <w:p>
      <w:pPr>
        <w:spacing w:line="360" w:lineRule="auto"/>
        <w:rPr>
          <w:rFonts w:ascii="宋体" w:hAnsi="宋体" w:cs="宋体"/>
          <w:sz w:val="24"/>
        </w:rPr>
      </w:pPr>
    </w:p>
    <w:p>
      <w:pPr>
        <w:spacing w:before="120" w:line="360" w:lineRule="auto"/>
        <w:ind w:left="960"/>
        <w:rPr>
          <w:rFonts w:ascii="宋体" w:hAnsi="宋体" w:cs="宋体"/>
          <w:sz w:val="24"/>
          <w:u w:val="single"/>
        </w:rPr>
      </w:pPr>
      <w:r>
        <w:rPr>
          <w:rFonts w:hint="eastAsia" w:ascii="宋体" w:hAnsi="宋体" w:cs="宋体"/>
          <w:sz w:val="24"/>
        </w:rPr>
        <w:t>甲方：温州市公安局交通管理局</w:t>
      </w:r>
    </w:p>
    <w:p>
      <w:pPr>
        <w:spacing w:before="120" w:line="360" w:lineRule="auto"/>
        <w:rPr>
          <w:rFonts w:ascii="宋体" w:hAnsi="宋体" w:cs="宋体"/>
          <w:sz w:val="24"/>
        </w:rPr>
      </w:pPr>
    </w:p>
    <w:p>
      <w:pPr>
        <w:spacing w:before="120" w:line="360" w:lineRule="auto"/>
        <w:ind w:left="960"/>
        <w:rPr>
          <w:rFonts w:ascii="宋体" w:hAnsi="宋体" w:cs="宋体"/>
          <w:sz w:val="24"/>
          <w:u w:val="single"/>
        </w:rPr>
      </w:pPr>
      <w:r>
        <w:rPr>
          <w:rFonts w:hint="eastAsia" w:ascii="宋体" w:hAnsi="宋体" w:cs="宋体"/>
          <w:sz w:val="24"/>
        </w:rPr>
        <w:t>乙方：</w:t>
      </w:r>
    </w:p>
    <w:p>
      <w:pPr>
        <w:spacing w:before="120" w:line="360" w:lineRule="auto"/>
        <w:rPr>
          <w:rFonts w:ascii="宋体" w:hAnsi="宋体" w:cs="宋体"/>
          <w:sz w:val="24"/>
        </w:rPr>
      </w:pPr>
    </w:p>
    <w:p>
      <w:pPr>
        <w:spacing w:before="120" w:line="360" w:lineRule="auto"/>
        <w:ind w:firstLine="960" w:firstLineChars="400"/>
        <w:rPr>
          <w:rFonts w:ascii="宋体" w:hAnsi="宋体" w:cs="宋体"/>
          <w:sz w:val="24"/>
          <w:u w:val="single"/>
        </w:rPr>
      </w:pPr>
      <w:r>
        <w:rPr>
          <w:rFonts w:hint="eastAsia" w:ascii="宋体" w:hAnsi="宋体" w:cs="宋体"/>
          <w:sz w:val="24"/>
        </w:rPr>
        <w:t xml:space="preserve">签订地：温州 </w:t>
      </w:r>
    </w:p>
    <w:p>
      <w:pPr>
        <w:spacing w:before="120" w:line="360" w:lineRule="auto"/>
        <w:rPr>
          <w:rFonts w:ascii="宋体" w:hAnsi="宋体" w:cs="宋体"/>
          <w:sz w:val="24"/>
        </w:rPr>
      </w:pPr>
    </w:p>
    <w:p>
      <w:pPr>
        <w:spacing w:before="120" w:line="360" w:lineRule="auto"/>
        <w:ind w:firstLine="960" w:firstLineChars="400"/>
        <w:rPr>
          <w:rFonts w:ascii="宋体" w:hAnsi="宋体" w:cs="宋体"/>
          <w:sz w:val="24"/>
          <w:u w:val="single"/>
        </w:rPr>
      </w:pPr>
      <w:r>
        <w:rPr>
          <w:rFonts w:hint="eastAsia" w:ascii="宋体" w:hAnsi="宋体" w:cs="宋体"/>
          <w:sz w:val="24"/>
        </w:rPr>
        <w:t>签订日期：年月日</w:t>
      </w:r>
    </w:p>
    <w:p>
      <w:pPr>
        <w:widowControl/>
        <w:spacing w:line="360" w:lineRule="auto"/>
        <w:jc w:val="left"/>
        <w:rPr>
          <w:rFonts w:ascii="宋体" w:hAnsi="宋体" w:cs="宋体"/>
          <w:kern w:val="0"/>
          <w:sz w:val="24"/>
        </w:rPr>
        <w:sectPr>
          <w:footerReference r:id="rId4" w:type="default"/>
          <w:pgSz w:w="11907" w:h="16840"/>
          <w:pgMar w:top="1474" w:right="1814" w:bottom="1474" w:left="1814" w:header="851" w:footer="851" w:gutter="0"/>
          <w:pgNumType w:start="1"/>
          <w:cols w:space="720" w:num="1"/>
        </w:sectPr>
      </w:pPr>
    </w:p>
    <w:p>
      <w:pPr>
        <w:spacing w:line="360" w:lineRule="auto"/>
        <w:ind w:firstLine="480" w:firstLineChars="200"/>
        <w:rPr>
          <w:rFonts w:ascii="宋体" w:hAnsi="宋体" w:cs="宋体"/>
          <w:sz w:val="24"/>
        </w:rPr>
      </w:pPr>
      <w:r>
        <w:rPr>
          <w:rFonts w:hint="eastAsia" w:ascii="宋体" w:hAnsi="宋体" w:cs="宋体"/>
          <w:sz w:val="24"/>
        </w:rPr>
        <w:t>2023</w:t>
      </w:r>
      <w:r>
        <w:rPr>
          <w:rFonts w:hint="eastAsia" w:ascii="宋体" w:hAnsi="宋体" w:cs="宋体"/>
          <w:sz w:val="24"/>
          <w:lang w:val="zh-CN"/>
        </w:rPr>
        <w:t>年月日</w:t>
      </w:r>
      <w:r>
        <w:rPr>
          <w:rFonts w:hint="eastAsia" w:ascii="宋体" w:hAnsi="宋体" w:cs="宋体"/>
          <w:sz w:val="24"/>
        </w:rPr>
        <w:t>，</w:t>
      </w:r>
      <w:r>
        <w:rPr>
          <w:rFonts w:hint="eastAsia" w:ascii="宋体" w:hAnsi="宋体" w:cs="宋体"/>
          <w:sz w:val="24"/>
          <w:u w:val="single"/>
        </w:rPr>
        <w:t>温州市公安局交通管理局</w:t>
      </w:r>
      <w:r>
        <w:rPr>
          <w:rFonts w:hint="eastAsia" w:ascii="宋体" w:hAnsi="宋体" w:cs="宋体"/>
          <w:sz w:val="24"/>
        </w:rPr>
        <w:t>以</w:t>
      </w:r>
      <w:r>
        <w:rPr>
          <w:rFonts w:hint="eastAsia" w:ascii="宋体" w:hAnsi="宋体" w:cs="宋体"/>
          <w:sz w:val="24"/>
          <w:u w:val="single"/>
        </w:rPr>
        <w:t>公开招标</w:t>
      </w:r>
      <w:r>
        <w:rPr>
          <w:rFonts w:hint="eastAsia" w:ascii="宋体" w:hAnsi="宋体" w:cs="宋体"/>
          <w:sz w:val="24"/>
        </w:rPr>
        <w:t>对</w:t>
      </w:r>
      <w:r>
        <w:rPr>
          <w:rFonts w:hint="eastAsia" w:ascii="宋体" w:hAnsi="宋体" w:cs="宋体"/>
          <w:sz w:val="24"/>
          <w:u w:val="single"/>
        </w:rPr>
        <w:t>（同前页项目名称）</w:t>
      </w:r>
      <w:r>
        <w:rPr>
          <w:rFonts w:hint="eastAsia" w:ascii="宋体" w:hAnsi="宋体" w:cs="宋体"/>
          <w:sz w:val="24"/>
        </w:rPr>
        <w:t>项目进行了采购。经</w:t>
      </w:r>
      <w:r>
        <w:rPr>
          <w:rFonts w:hint="eastAsia" w:ascii="宋体" w:hAnsi="宋体" w:cs="宋体"/>
          <w:sz w:val="24"/>
          <w:u w:val="single"/>
        </w:rPr>
        <w:t>（相关评定主体名称）</w:t>
      </w:r>
      <w:r>
        <w:rPr>
          <w:rFonts w:hint="eastAsia" w:ascii="宋体" w:hAnsi="宋体" w:cs="宋体"/>
          <w:sz w:val="24"/>
        </w:rPr>
        <w:t>评定，</w:t>
      </w:r>
      <w:r>
        <w:rPr>
          <w:rFonts w:hint="eastAsia" w:ascii="宋体" w:hAnsi="宋体" w:cs="宋体"/>
          <w:sz w:val="24"/>
          <w:u w:val="single"/>
        </w:rPr>
        <w:t>（中标供应商名称）</w:t>
      </w:r>
      <w:r>
        <w:rPr>
          <w:rFonts w:hint="eastAsia" w:ascii="宋体" w:hAnsi="宋体" w:cs="宋体"/>
          <w:sz w:val="24"/>
        </w:rPr>
        <w:t>为该项目标项___中标供应商。现于中标通知书发出后30日内，按照采购文件确定的事项签订本合同。</w:t>
      </w:r>
    </w:p>
    <w:p>
      <w:pPr>
        <w:spacing w:line="360" w:lineRule="auto"/>
        <w:ind w:firstLine="480" w:firstLineChars="200"/>
        <w:rPr>
          <w:rFonts w:ascii="宋体" w:hAnsi="宋体" w:cs="宋体"/>
          <w:sz w:val="24"/>
        </w:rPr>
      </w:pPr>
      <w:r>
        <w:rPr>
          <w:rFonts w:hint="eastAsia" w:ascii="宋体" w:hAnsi="宋体" w:cs="宋体"/>
          <w:sz w:val="24"/>
          <w:lang w:val="zh-CN"/>
        </w:rPr>
        <w:t>根据《中华人民共和国民法典》、《中华人民共和国政府采购法》等相关法律法规之规定，按照平等、自愿、公平、诚实信用和绿色的原则，经</w:t>
      </w:r>
      <w:r>
        <w:rPr>
          <w:rFonts w:hint="eastAsia" w:ascii="宋体" w:hAnsi="宋体" w:cs="宋体"/>
          <w:sz w:val="24"/>
          <w:u w:val="single"/>
        </w:rPr>
        <w:t>温州市公安局交通管理局</w:t>
      </w:r>
      <w:r>
        <w:rPr>
          <w:rFonts w:hint="eastAsia" w:ascii="宋体" w:hAnsi="宋体" w:cs="宋体"/>
          <w:sz w:val="24"/>
          <w:lang w:val="zh-CN"/>
        </w:rPr>
        <w:t>(以下简称：甲方)和</w:t>
      </w:r>
      <w:r>
        <w:rPr>
          <w:rFonts w:hint="eastAsia" w:ascii="宋体" w:hAnsi="宋体" w:cs="宋体"/>
          <w:sz w:val="24"/>
          <w:u w:val="single"/>
        </w:rPr>
        <w:t>（中标供应商名称）</w:t>
      </w:r>
      <w:r>
        <w:rPr>
          <w:rFonts w:hint="eastAsia" w:ascii="宋体" w:hAnsi="宋体" w:cs="宋体"/>
          <w:sz w:val="24"/>
          <w:lang w:val="zh-CN"/>
        </w:rPr>
        <w:t>(以下简称：乙方)协商一致，约定以下合同</w:t>
      </w:r>
      <w:r>
        <w:rPr>
          <w:rFonts w:hint="eastAsia" w:ascii="宋体" w:hAnsi="宋体" w:cs="宋体"/>
          <w:sz w:val="24"/>
        </w:rPr>
        <w:t>条款，以兹共同遵守、全面履行。</w:t>
      </w:r>
    </w:p>
    <w:p>
      <w:pPr>
        <w:spacing w:line="360" w:lineRule="auto"/>
        <w:ind w:firstLine="482" w:firstLineChars="200"/>
        <w:rPr>
          <w:rFonts w:ascii="宋体" w:hAnsi="宋体" w:cs="宋体"/>
          <w:b/>
          <w:sz w:val="24"/>
        </w:rPr>
      </w:pPr>
      <w:bookmarkStart w:id="22" w:name="_Toc3029"/>
      <w:bookmarkStart w:id="23" w:name="_Toc2232"/>
      <w:bookmarkStart w:id="24" w:name="_Toc24059"/>
      <w:r>
        <w:rPr>
          <w:rFonts w:hint="eastAsia" w:ascii="宋体" w:hAnsi="宋体" w:cs="宋体"/>
          <w:b/>
          <w:sz w:val="24"/>
        </w:rPr>
        <w:t>1.1合同组成部分</w:t>
      </w:r>
      <w:bookmarkEnd w:id="22"/>
      <w:bookmarkEnd w:id="23"/>
      <w:bookmarkEnd w:id="24"/>
    </w:p>
    <w:p>
      <w:pPr>
        <w:spacing w:line="360" w:lineRule="auto"/>
        <w:ind w:firstLine="480" w:firstLineChars="200"/>
        <w:rPr>
          <w:rFonts w:ascii="宋体" w:hAnsi="宋体" w:cs="宋体"/>
          <w:sz w:val="24"/>
        </w:rPr>
      </w:pPr>
      <w:r>
        <w:rPr>
          <w:rFonts w:hint="eastAsia" w:ascii="宋体" w:hAnsi="宋体" w:cs="宋体"/>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360" w:lineRule="auto"/>
        <w:ind w:firstLine="480" w:firstLineChars="200"/>
        <w:rPr>
          <w:rFonts w:ascii="宋体" w:hAnsi="宋体" w:cs="宋体"/>
          <w:sz w:val="24"/>
        </w:rPr>
      </w:pPr>
      <w:r>
        <w:rPr>
          <w:rFonts w:hint="eastAsia" w:ascii="宋体" w:hAnsi="宋体" w:cs="宋体"/>
          <w:sz w:val="24"/>
        </w:rPr>
        <w:t>1.1.1本合同及其补充合同、变更协议；</w:t>
      </w:r>
    </w:p>
    <w:p>
      <w:pPr>
        <w:spacing w:line="360" w:lineRule="auto"/>
        <w:ind w:firstLine="480" w:firstLineChars="200"/>
        <w:rPr>
          <w:rFonts w:ascii="宋体" w:hAnsi="宋体" w:cs="宋体"/>
          <w:sz w:val="24"/>
        </w:rPr>
      </w:pPr>
      <w:r>
        <w:rPr>
          <w:rFonts w:hint="eastAsia" w:ascii="宋体" w:hAnsi="宋体" w:cs="宋体"/>
          <w:sz w:val="24"/>
        </w:rPr>
        <w:t>1.1.2中标通知书；</w:t>
      </w:r>
    </w:p>
    <w:p>
      <w:pPr>
        <w:spacing w:line="360" w:lineRule="auto"/>
        <w:ind w:firstLine="480" w:firstLineChars="200"/>
        <w:rPr>
          <w:rFonts w:ascii="宋体" w:hAnsi="宋体" w:cs="宋体"/>
          <w:sz w:val="24"/>
        </w:rPr>
      </w:pPr>
      <w:r>
        <w:rPr>
          <w:rFonts w:hint="eastAsia" w:ascii="宋体" w:hAnsi="宋体" w:cs="宋体"/>
          <w:sz w:val="24"/>
        </w:rPr>
        <w:t>1.1.3投标文件（含澄清或者说明文件）；</w:t>
      </w:r>
    </w:p>
    <w:p>
      <w:pPr>
        <w:spacing w:line="360" w:lineRule="auto"/>
        <w:ind w:firstLine="480" w:firstLineChars="200"/>
        <w:rPr>
          <w:rFonts w:ascii="宋体" w:hAnsi="宋体" w:cs="宋体"/>
          <w:sz w:val="24"/>
        </w:rPr>
      </w:pPr>
      <w:r>
        <w:rPr>
          <w:rFonts w:hint="eastAsia" w:ascii="宋体" w:hAnsi="宋体" w:cs="宋体"/>
          <w:sz w:val="24"/>
        </w:rPr>
        <w:t>1.1.4招标文件（含澄清或者修改文件）；</w:t>
      </w:r>
    </w:p>
    <w:p>
      <w:pPr>
        <w:spacing w:line="360" w:lineRule="auto"/>
        <w:ind w:firstLine="480" w:firstLineChars="200"/>
        <w:rPr>
          <w:rFonts w:ascii="宋体" w:hAnsi="宋体" w:cs="宋体"/>
          <w:sz w:val="24"/>
        </w:rPr>
      </w:pPr>
      <w:r>
        <w:rPr>
          <w:rFonts w:hint="eastAsia" w:ascii="宋体" w:hAnsi="宋体" w:cs="宋体"/>
          <w:sz w:val="24"/>
        </w:rPr>
        <w:t>1.1.5其他相关采购文件。</w:t>
      </w:r>
    </w:p>
    <w:p>
      <w:pPr>
        <w:spacing w:line="360" w:lineRule="auto"/>
        <w:ind w:firstLine="482" w:firstLineChars="200"/>
        <w:rPr>
          <w:rFonts w:ascii="宋体" w:hAnsi="宋体" w:cs="宋体"/>
          <w:b/>
          <w:sz w:val="24"/>
        </w:rPr>
      </w:pPr>
      <w:bookmarkStart w:id="25" w:name="_Toc24300"/>
      <w:bookmarkStart w:id="26" w:name="_Toc27126"/>
      <w:bookmarkStart w:id="27" w:name="_Toc21295"/>
      <w:r>
        <w:rPr>
          <w:rFonts w:hint="eastAsia" w:ascii="宋体" w:hAnsi="宋体" w:cs="宋体"/>
          <w:b/>
          <w:sz w:val="24"/>
        </w:rPr>
        <w:t>1.2</w:t>
      </w:r>
      <w:bookmarkEnd w:id="25"/>
      <w:bookmarkEnd w:id="26"/>
      <w:bookmarkEnd w:id="27"/>
      <w:r>
        <w:rPr>
          <w:rFonts w:hint="eastAsia" w:ascii="宋体" w:hAnsi="宋体" w:cs="宋体"/>
          <w:sz w:val="24"/>
          <w:u w:val="single"/>
        </w:rPr>
        <w:t>标的</w:t>
      </w:r>
    </w:p>
    <w:p>
      <w:pPr>
        <w:spacing w:line="360" w:lineRule="auto"/>
        <w:ind w:firstLine="480" w:firstLineChars="200"/>
        <w:rPr>
          <w:rFonts w:ascii="宋体" w:hAnsi="宋体" w:cs="宋体"/>
          <w:sz w:val="24"/>
          <w:u w:val="single"/>
        </w:rPr>
      </w:pPr>
      <w:r>
        <w:rPr>
          <w:rFonts w:hint="eastAsia" w:ascii="宋体" w:hAnsi="宋体" w:cs="宋体"/>
          <w:sz w:val="24"/>
        </w:rPr>
        <w:t>1.2.1标的名称：</w:t>
      </w:r>
      <w:r>
        <w:rPr>
          <w:rFonts w:hint="eastAsia" w:ascii="宋体" w:hAnsi="宋体" w:cs="宋体"/>
          <w:sz w:val="24"/>
          <w:u w:val="single"/>
        </w:rPr>
        <w:t>2023年温州市区（三、五大队）道路标志、标线、隔离护栏及其他设施建设维护项目（标项一和标项二）；</w:t>
      </w:r>
    </w:p>
    <w:p>
      <w:pPr>
        <w:spacing w:line="360" w:lineRule="auto"/>
        <w:ind w:firstLine="480" w:firstLineChars="200"/>
        <w:rPr>
          <w:rFonts w:ascii="宋体" w:hAnsi="宋体" w:cs="宋体"/>
          <w:sz w:val="24"/>
          <w:u w:val="single"/>
        </w:rPr>
      </w:pPr>
      <w:r>
        <w:rPr>
          <w:rFonts w:hint="eastAsia" w:ascii="宋体" w:hAnsi="宋体" w:cs="宋体"/>
          <w:sz w:val="24"/>
        </w:rPr>
        <w:t>1.2.2标的数量：</w:t>
      </w:r>
      <w:r>
        <w:rPr>
          <w:rFonts w:hint="eastAsia" w:ascii="宋体" w:hAnsi="宋体" w:cs="宋体"/>
          <w:sz w:val="24"/>
          <w:u w:val="single"/>
        </w:rPr>
        <w:t>一项；</w:t>
      </w:r>
    </w:p>
    <w:p>
      <w:pPr>
        <w:spacing w:line="360" w:lineRule="auto"/>
        <w:ind w:firstLine="480" w:firstLineChars="200"/>
        <w:rPr>
          <w:rFonts w:ascii="宋体" w:hAnsi="宋体" w:cs="宋体"/>
          <w:sz w:val="24"/>
        </w:rPr>
      </w:pPr>
      <w:r>
        <w:rPr>
          <w:rFonts w:hint="eastAsia" w:ascii="宋体" w:hAnsi="宋体" w:cs="宋体"/>
          <w:sz w:val="24"/>
        </w:rPr>
        <w:t>1.2.3标的质量：</w:t>
      </w:r>
      <w:r>
        <w:rPr>
          <w:rFonts w:hint="eastAsia" w:ascii="宋体" w:hAnsi="宋体" w:cs="宋体"/>
          <w:sz w:val="24"/>
          <w:u w:val="single"/>
        </w:rPr>
        <w:t>根据采购文件确定的技术指标或者服务要求确定验收指标和标准。未进行相应约定的，应当符合国家强制性规定、政策要求、安全标准、行业或企业有关标准等。</w:t>
      </w:r>
    </w:p>
    <w:p>
      <w:pPr>
        <w:spacing w:line="360" w:lineRule="auto"/>
        <w:ind w:firstLine="482" w:firstLineChars="200"/>
        <w:rPr>
          <w:rFonts w:ascii="宋体" w:hAnsi="宋体" w:cs="宋体"/>
          <w:b/>
          <w:sz w:val="24"/>
        </w:rPr>
      </w:pPr>
      <w:bookmarkStart w:id="28" w:name="_Toc23292"/>
      <w:bookmarkStart w:id="29" w:name="_Toc21631"/>
      <w:bookmarkStart w:id="30" w:name="_Toc21551"/>
      <w:r>
        <w:rPr>
          <w:rFonts w:hint="eastAsia" w:ascii="宋体" w:hAnsi="宋体" w:cs="宋体"/>
          <w:b/>
          <w:sz w:val="24"/>
        </w:rPr>
        <w:t>1.3价款</w:t>
      </w:r>
      <w:bookmarkEnd w:id="28"/>
      <w:bookmarkEnd w:id="29"/>
      <w:bookmarkEnd w:id="30"/>
    </w:p>
    <w:p>
      <w:pPr>
        <w:spacing w:line="360" w:lineRule="auto"/>
        <w:ind w:firstLine="480" w:firstLineChars="200"/>
        <w:rPr>
          <w:rFonts w:ascii="宋体" w:hAnsi="宋体" w:cs="宋体"/>
          <w:sz w:val="24"/>
        </w:rPr>
      </w:pPr>
      <w:bookmarkStart w:id="31" w:name="_Toc10340"/>
      <w:bookmarkStart w:id="32" w:name="_Toc22618"/>
      <w:bookmarkStart w:id="33" w:name="_Toc1814"/>
      <w:r>
        <w:rPr>
          <w:rFonts w:hint="eastAsia" w:ascii="宋体" w:hAnsi="宋体" w:cs="宋体"/>
          <w:sz w:val="24"/>
        </w:rPr>
        <w:t>本项目结算方式为固定单价，数量按实结算，结算总价不超过项目预算。</w:t>
      </w:r>
    </w:p>
    <w:p>
      <w:pPr>
        <w:spacing w:line="360" w:lineRule="auto"/>
        <w:ind w:firstLine="480" w:firstLineChars="200"/>
        <w:rPr>
          <w:rFonts w:ascii="宋体" w:hAnsi="宋体" w:cs="宋体"/>
          <w:sz w:val="24"/>
        </w:rPr>
      </w:pPr>
      <w:r>
        <w:rPr>
          <w:rFonts w:hint="eastAsia" w:ascii="宋体" w:hAnsi="宋体" w:cs="宋体"/>
          <w:sz w:val="24"/>
        </w:rPr>
        <w:t>合同价格清单：详见附件1</w:t>
      </w:r>
    </w:p>
    <w:p>
      <w:pPr>
        <w:spacing w:line="360" w:lineRule="auto"/>
        <w:ind w:firstLine="480" w:firstLineChars="200"/>
        <w:rPr>
          <w:rFonts w:ascii="宋体" w:hAnsi="宋体" w:cs="宋体"/>
          <w:sz w:val="24"/>
        </w:rPr>
      </w:pPr>
      <w:r>
        <w:rPr>
          <w:rFonts w:hint="eastAsia" w:ascii="宋体" w:hAnsi="宋体" w:cs="宋体"/>
          <w:sz w:val="24"/>
        </w:rPr>
        <w:t>项目人员清单：详细见附件2</w:t>
      </w:r>
    </w:p>
    <w:bookmarkEnd w:id="31"/>
    <w:bookmarkEnd w:id="32"/>
    <w:bookmarkEnd w:id="33"/>
    <w:p>
      <w:pPr>
        <w:spacing w:line="360" w:lineRule="auto"/>
        <w:ind w:firstLine="482" w:firstLineChars="200"/>
        <w:outlineLvl w:val="0"/>
        <w:rPr>
          <w:rFonts w:ascii="宋体" w:hAnsi="宋体" w:cs="宋体"/>
          <w:b/>
          <w:sz w:val="24"/>
        </w:rPr>
      </w:pPr>
      <w:r>
        <w:rPr>
          <w:rFonts w:hint="eastAsia" w:ascii="宋体" w:hAnsi="宋体" w:cs="宋体"/>
          <w:b/>
          <w:sz w:val="24"/>
        </w:rPr>
        <w:t>1.4 付款方式和发票开具方式</w:t>
      </w:r>
    </w:p>
    <w:p>
      <w:pPr>
        <w:pStyle w:val="33"/>
        <w:spacing w:before="0" w:beforeAutospacing="0" w:after="0" w:afterAutospacing="0" w:line="360" w:lineRule="auto"/>
        <w:ind w:firstLine="480"/>
      </w:pPr>
      <w:r>
        <w:rPr>
          <w:rFonts w:hint="eastAsia"/>
        </w:rPr>
        <w:t>1.4.1甲方应严格履行合同，及时组织验收，验收合格后及时将合同款支付完毕。对于满足合同约定支付条件的，甲方5个工作日内将资金支付到合同约定的乙方账户，有条件的甲方可以即时支付。甲方不得以机构变动、人员更替、政策调整、单位放假等为由延迟付款。</w:t>
      </w:r>
    </w:p>
    <w:p>
      <w:pPr>
        <w:spacing w:line="360" w:lineRule="auto"/>
        <w:ind w:firstLine="480" w:firstLineChars="200"/>
        <w:rPr>
          <w:rFonts w:ascii="宋体" w:hAnsi="宋体" w:cs="宋体"/>
          <w:sz w:val="24"/>
        </w:rPr>
      </w:pPr>
      <w:r>
        <w:rPr>
          <w:rFonts w:hint="eastAsia" w:ascii="宋体" w:hAnsi="宋体" w:cs="宋体"/>
          <w:sz w:val="24"/>
        </w:rPr>
        <w:t>1.4.2 合同预付款比例为项目预算的40％；在签订合同时，乙方明确表示无需预付款或者主动要求降低预付款比例的，甲方可不适用前述规定。甲方根据项目特点、供应商诚信等因素，可以要求乙方提交银行、保险公司等金融机构出具的预付款保函或其他担保措施。乙方可登录政采云前台大厅选择金融服务 - 【保函保险服务】出具预付款保函，具体步骤：选择产品—填写供应商信息—选择中标项目—确认信息—等待保险/保函受理—确认保单—支付保费—成功出单。政采云金融专线400-903-9583。</w:t>
      </w:r>
    </w:p>
    <w:p>
      <w:pPr>
        <w:spacing w:line="360" w:lineRule="auto"/>
        <w:ind w:firstLine="480" w:firstLineChars="200"/>
        <w:rPr>
          <w:rFonts w:ascii="宋体" w:hAnsi="宋体" w:cs="宋体"/>
          <w:sz w:val="24"/>
        </w:rPr>
      </w:pPr>
      <w:r>
        <w:rPr>
          <w:rFonts w:hint="eastAsia" w:ascii="宋体" w:hAnsi="宋体" w:cs="宋体"/>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360" w:lineRule="auto"/>
        <w:ind w:firstLine="480" w:firstLineChars="200"/>
        <w:outlineLvl w:val="0"/>
        <w:rPr>
          <w:rFonts w:ascii="宋体" w:hAnsi="宋体" w:cs="宋体"/>
          <w:sz w:val="24"/>
        </w:rPr>
      </w:pPr>
      <w:r>
        <w:rPr>
          <w:rFonts w:hint="eastAsia" w:ascii="宋体" w:hAnsi="宋体" w:cs="宋体"/>
          <w:sz w:val="24"/>
        </w:rPr>
        <w:t>1.4.4资金支付的方式、时间和条件详见</w:t>
      </w:r>
      <w:r>
        <w:rPr>
          <w:rFonts w:hint="eastAsia" w:ascii="宋体" w:hAnsi="宋体" w:cs="宋体"/>
          <w:b/>
          <w:i/>
          <w:sz w:val="24"/>
          <w:u w:val="single"/>
        </w:rPr>
        <w:t>合同专用条款</w:t>
      </w:r>
      <w:r>
        <w:rPr>
          <w:rFonts w:hint="eastAsia" w:ascii="宋体" w:hAnsi="宋体" w:cs="宋体"/>
          <w:sz w:val="24"/>
        </w:rPr>
        <w:t>。</w:t>
      </w:r>
    </w:p>
    <w:p>
      <w:pPr>
        <w:spacing w:line="360" w:lineRule="auto"/>
        <w:ind w:firstLine="482" w:firstLineChars="200"/>
        <w:outlineLvl w:val="0"/>
        <w:rPr>
          <w:rFonts w:ascii="宋体" w:hAnsi="宋体" w:cs="宋体"/>
          <w:b/>
          <w:sz w:val="24"/>
        </w:rPr>
      </w:pPr>
      <w:bookmarkStart w:id="34" w:name="_Toc3625"/>
      <w:bookmarkStart w:id="35" w:name="_Toc11108"/>
      <w:bookmarkStart w:id="36" w:name="_Toc31421"/>
      <w:bookmarkStart w:id="37" w:name="_Toc4760"/>
      <w:bookmarkStart w:id="38" w:name="_Toc8772"/>
      <w:r>
        <w:rPr>
          <w:rFonts w:hint="eastAsia" w:ascii="宋体" w:hAnsi="宋体" w:cs="宋体"/>
          <w:b/>
          <w:sz w:val="24"/>
        </w:rPr>
        <w:t>1.5 履行期限、地点和方式</w:t>
      </w:r>
      <w:bookmarkEnd w:id="34"/>
      <w:bookmarkEnd w:id="35"/>
      <w:bookmarkEnd w:id="36"/>
      <w:bookmarkEnd w:id="37"/>
      <w:bookmarkEnd w:id="38"/>
    </w:p>
    <w:p>
      <w:pPr>
        <w:spacing w:line="360" w:lineRule="auto"/>
        <w:ind w:firstLine="480" w:firstLineChars="200"/>
        <w:rPr>
          <w:rFonts w:ascii="宋体" w:hAnsi="宋体" w:cs="宋体"/>
          <w:sz w:val="24"/>
          <w:u w:val="single"/>
        </w:rPr>
      </w:pPr>
      <w:r>
        <w:rPr>
          <w:rFonts w:hint="eastAsia" w:ascii="宋体" w:hAnsi="宋体" w:cs="宋体"/>
          <w:sz w:val="24"/>
        </w:rPr>
        <w:t>1.5.1 履行期限：</w:t>
      </w:r>
      <w:r>
        <w:rPr>
          <w:rFonts w:hint="eastAsia" w:ascii="宋体" w:hAnsi="宋体" w:cs="宋体"/>
          <w:b/>
          <w:i/>
          <w:sz w:val="24"/>
          <w:u w:val="single"/>
        </w:rPr>
        <w:t>详见合同专用条款</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1.5.2 履行地点：</w:t>
      </w:r>
      <w:r>
        <w:rPr>
          <w:rFonts w:hint="eastAsia" w:ascii="宋体" w:hAnsi="宋体" w:cs="宋体"/>
          <w:b/>
          <w:i/>
          <w:sz w:val="24"/>
          <w:u w:val="single"/>
        </w:rPr>
        <w:t>详见合同专用条款</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1.5.3 履行方式：</w:t>
      </w:r>
      <w:r>
        <w:rPr>
          <w:rFonts w:hint="eastAsia" w:ascii="宋体" w:hAnsi="宋体" w:cs="宋体"/>
          <w:b/>
          <w:i/>
          <w:sz w:val="24"/>
          <w:u w:val="single"/>
        </w:rPr>
        <w:t>详见合同专用条款</w:t>
      </w:r>
      <w:r>
        <w:rPr>
          <w:rFonts w:hint="eastAsia" w:ascii="宋体" w:hAnsi="宋体" w:cs="宋体"/>
          <w:sz w:val="24"/>
        </w:rPr>
        <w:t>。</w:t>
      </w:r>
    </w:p>
    <w:p>
      <w:pPr>
        <w:spacing w:line="360" w:lineRule="auto"/>
        <w:ind w:firstLine="482" w:firstLineChars="200"/>
        <w:outlineLvl w:val="0"/>
        <w:rPr>
          <w:rFonts w:ascii="宋体" w:hAnsi="宋体" w:cs="宋体"/>
          <w:sz w:val="24"/>
          <w:u w:val="single"/>
        </w:rPr>
      </w:pPr>
      <w:bookmarkStart w:id="39" w:name="_Toc5698"/>
      <w:bookmarkStart w:id="40" w:name="_Toc8586"/>
      <w:bookmarkStart w:id="41" w:name="_Toc3079"/>
      <w:bookmarkStart w:id="42" w:name="_Toc2375"/>
      <w:bookmarkStart w:id="43" w:name="_Toc24662"/>
      <w:r>
        <w:rPr>
          <w:rFonts w:hint="eastAsia" w:ascii="宋体" w:hAnsi="宋体" w:cs="宋体"/>
          <w:b/>
          <w:sz w:val="24"/>
        </w:rPr>
        <w:t>1.6 违约责任</w:t>
      </w:r>
      <w:bookmarkEnd w:id="39"/>
      <w:bookmarkEnd w:id="40"/>
      <w:bookmarkEnd w:id="41"/>
      <w:bookmarkEnd w:id="42"/>
      <w:bookmarkEnd w:id="43"/>
    </w:p>
    <w:p>
      <w:pPr>
        <w:spacing w:line="360" w:lineRule="auto"/>
        <w:ind w:firstLine="480" w:firstLineChars="200"/>
        <w:rPr>
          <w:rFonts w:ascii="宋体" w:hAnsi="宋体" w:cs="宋体"/>
          <w:sz w:val="24"/>
        </w:rPr>
      </w:pPr>
      <w:r>
        <w:rPr>
          <w:rFonts w:hint="eastAsia" w:ascii="宋体" w:hAnsi="宋体" w:cs="宋体"/>
          <w:sz w:val="24"/>
        </w:rPr>
        <w:t>1.6.1 除不可抗力外，如果乙方没有按照本合同约定的期限、地点和方式履行，那么甲方可要求乙方支付违约金，违约金按每迟延履行一日的应提供而未提供服务价格的</w:t>
      </w:r>
      <w:r>
        <w:rPr>
          <w:rFonts w:hint="eastAsia" w:ascii="宋体" w:hAnsi="宋体" w:cs="宋体"/>
          <w:sz w:val="24"/>
          <w:u w:val="single"/>
        </w:rPr>
        <w:t xml:space="preserve"> 0.05   </w:t>
      </w:r>
      <w:r>
        <w:rPr>
          <w:rFonts w:hint="eastAsia" w:ascii="宋体" w:hAnsi="宋体" w:cs="宋体"/>
          <w:sz w:val="24"/>
        </w:rPr>
        <w:t>%计算，最高限额为本项目预算的</w:t>
      </w:r>
      <w:r>
        <w:rPr>
          <w:rFonts w:hint="eastAsia" w:ascii="宋体" w:hAnsi="宋体" w:cs="宋体"/>
          <w:sz w:val="24"/>
          <w:u w:val="single"/>
        </w:rPr>
        <w:t xml:space="preserve">  20   </w:t>
      </w:r>
      <w:r>
        <w:rPr>
          <w:rFonts w:hint="eastAsia" w:ascii="宋体" w:hAnsi="宋体" w:cs="宋体"/>
          <w:sz w:val="24"/>
        </w:rPr>
        <w:t>%；迟延履行的违约金计算数额达到前述最高限额之日起，甲方有权在要求乙方支付违约金的同时，书面通知乙方解除本合同；</w:t>
      </w:r>
    </w:p>
    <w:p>
      <w:pPr>
        <w:spacing w:line="360" w:lineRule="auto"/>
        <w:ind w:firstLine="480" w:firstLineChars="200"/>
        <w:rPr>
          <w:rFonts w:ascii="宋体" w:hAnsi="宋体" w:cs="宋体"/>
          <w:sz w:val="24"/>
        </w:rPr>
      </w:pPr>
      <w:r>
        <w:rPr>
          <w:rFonts w:hint="eastAsia" w:ascii="宋体" w:hAnsi="宋体" w:cs="宋体"/>
          <w:sz w:val="24"/>
        </w:rPr>
        <w:t>1.6.2 除不可抗力外，如果甲方没有按照本合同约定的付款方式付款，那么乙方可要求甲方支付违约金，违约金按每迟延付款一日的应付而未付款的</w:t>
      </w:r>
      <w:r>
        <w:rPr>
          <w:rFonts w:hint="eastAsia" w:ascii="宋体" w:hAnsi="宋体" w:cs="宋体"/>
          <w:sz w:val="24"/>
          <w:u w:val="single"/>
        </w:rPr>
        <w:t xml:space="preserve"> 0.05   </w:t>
      </w:r>
      <w:r>
        <w:rPr>
          <w:rFonts w:hint="eastAsia" w:ascii="宋体" w:hAnsi="宋体" w:cs="宋体"/>
          <w:sz w:val="24"/>
        </w:rPr>
        <w:t>%计算，最高限额为本项目预算的</w:t>
      </w:r>
      <w:r>
        <w:rPr>
          <w:rFonts w:hint="eastAsia" w:ascii="宋体" w:hAnsi="宋体" w:cs="宋体"/>
          <w:sz w:val="24"/>
          <w:u w:val="single"/>
        </w:rPr>
        <w:t xml:space="preserve">  20   </w:t>
      </w:r>
      <w:r>
        <w:rPr>
          <w:rFonts w:hint="eastAsia" w:ascii="宋体" w:hAnsi="宋体" w:cs="宋体"/>
          <w:sz w:val="24"/>
        </w:rPr>
        <w:t>%；迟延付款的违约金计算数额达到前述最高限额之日起，乙方有权在要求甲方支付违约金的同时，书面通知甲方解除本合同；</w:t>
      </w:r>
    </w:p>
    <w:p>
      <w:pPr>
        <w:spacing w:line="360" w:lineRule="auto"/>
        <w:ind w:firstLine="480" w:firstLineChars="200"/>
        <w:rPr>
          <w:rFonts w:ascii="宋体" w:hAnsi="宋体" w:cs="宋体"/>
          <w:sz w:val="24"/>
        </w:rPr>
      </w:pPr>
      <w:r>
        <w:rPr>
          <w:rFonts w:hint="eastAsia" w:ascii="宋体" w:hAnsi="宋体" w:cs="宋体"/>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来影响对方当事人在合同签订、履行过程中的行为）或者欺诈行为（即：以谎报事实或隐瞒真相的方法来影响对方当事人在合同签订、履行过程中的行为）的，对方当事人可以书面通知违约方解除本合同；</w:t>
      </w:r>
    </w:p>
    <w:p>
      <w:pPr>
        <w:spacing w:line="360" w:lineRule="auto"/>
        <w:ind w:firstLine="480" w:firstLineChars="200"/>
        <w:rPr>
          <w:rFonts w:ascii="宋体" w:hAnsi="宋体" w:cs="宋体"/>
          <w:sz w:val="24"/>
        </w:rPr>
      </w:pPr>
      <w:r>
        <w:rPr>
          <w:rFonts w:hint="eastAsia" w:ascii="宋体" w:hAnsi="宋体" w:cs="宋体"/>
          <w:sz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360" w:lineRule="auto"/>
        <w:ind w:firstLine="480" w:firstLineChars="200"/>
        <w:rPr>
          <w:rFonts w:ascii="宋体" w:hAnsi="宋体" w:cs="宋体"/>
          <w:sz w:val="24"/>
        </w:rPr>
      </w:pPr>
      <w:r>
        <w:rPr>
          <w:rFonts w:hint="eastAsia" w:ascii="宋体" w:hAnsi="宋体" w:cs="宋体"/>
          <w:sz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60" w:lineRule="auto"/>
        <w:ind w:firstLine="480" w:firstLineChars="200"/>
        <w:rPr>
          <w:rFonts w:ascii="宋体" w:hAnsi="宋体" w:cs="宋体"/>
          <w:sz w:val="24"/>
        </w:rPr>
      </w:pPr>
      <w:r>
        <w:rPr>
          <w:rFonts w:hint="eastAsia" w:ascii="宋体" w:hAnsi="宋体" w:cs="宋体"/>
          <w:sz w:val="24"/>
        </w:rPr>
        <w:t>1.6.6 如果出现政府采购监督管理部门在处理投诉事项期间，书面通知甲方暂停采购活动的情形，或者询问或质疑事项可能影响中标结果的，导致甲方中止履行合同的情形，均不视为甲方违约；</w:t>
      </w:r>
    </w:p>
    <w:p>
      <w:pPr>
        <w:spacing w:line="360" w:lineRule="auto"/>
        <w:ind w:left="-420" w:leftChars="-200" w:right="-420" w:rightChars="-200" w:firstLine="720" w:firstLineChars="300"/>
        <w:rPr>
          <w:rFonts w:ascii="宋体" w:hAnsi="宋体" w:cs="宋体"/>
          <w:sz w:val="24"/>
        </w:rPr>
      </w:pPr>
      <w:r>
        <w:rPr>
          <w:rFonts w:hint="eastAsia" w:ascii="宋体" w:hAnsi="宋体" w:cs="宋体"/>
          <w:sz w:val="24"/>
        </w:rPr>
        <w:t>1.6.7违约责任</w:t>
      </w:r>
      <w:r>
        <w:rPr>
          <w:rFonts w:hint="eastAsia" w:ascii="宋体" w:hAnsi="宋体" w:cs="宋体"/>
          <w:b/>
          <w:i/>
          <w:sz w:val="24"/>
          <w:u w:val="single"/>
        </w:rPr>
        <w:t>合同专用条款</w:t>
      </w:r>
      <w:r>
        <w:rPr>
          <w:rFonts w:hint="eastAsia" w:ascii="宋体" w:hAnsi="宋体" w:cs="宋体"/>
          <w:sz w:val="24"/>
        </w:rPr>
        <w:t>另有约定的，从其约定。</w:t>
      </w:r>
    </w:p>
    <w:p>
      <w:pPr>
        <w:spacing w:line="360" w:lineRule="auto"/>
        <w:ind w:firstLine="482" w:firstLineChars="200"/>
        <w:outlineLvl w:val="0"/>
        <w:rPr>
          <w:rFonts w:ascii="宋体" w:hAnsi="宋体" w:cs="宋体"/>
          <w:b/>
          <w:sz w:val="24"/>
        </w:rPr>
      </w:pPr>
      <w:bookmarkStart w:id="44" w:name="_Toc32454"/>
      <w:bookmarkStart w:id="45" w:name="_Toc9497"/>
      <w:bookmarkStart w:id="46" w:name="_Toc18683"/>
      <w:bookmarkStart w:id="47" w:name="_Toc26807"/>
      <w:bookmarkStart w:id="48" w:name="_Toc30329"/>
      <w:r>
        <w:rPr>
          <w:rFonts w:hint="eastAsia" w:ascii="宋体" w:hAnsi="宋体" w:cs="宋体"/>
          <w:b/>
          <w:sz w:val="24"/>
        </w:rPr>
        <w:t>1.7 合同争议的解决</w:t>
      </w:r>
      <w:bookmarkEnd w:id="44"/>
      <w:bookmarkEnd w:id="45"/>
      <w:bookmarkEnd w:id="46"/>
      <w:bookmarkEnd w:id="47"/>
      <w:bookmarkEnd w:id="48"/>
    </w:p>
    <w:p>
      <w:pPr>
        <w:spacing w:line="360" w:lineRule="auto"/>
        <w:ind w:left="-61" w:leftChars="-29" w:right="-420" w:rightChars="-200" w:firstLine="240" w:firstLineChars="100"/>
        <w:rPr>
          <w:rFonts w:ascii="宋体" w:hAnsi="宋体" w:cs="宋体"/>
          <w:sz w:val="24"/>
        </w:rPr>
      </w:pPr>
      <w:r>
        <w:rPr>
          <w:rFonts w:hint="eastAsia" w:ascii="宋体" w:hAnsi="宋体" w:cs="宋体"/>
          <w:sz w:val="24"/>
        </w:rPr>
        <w:t>本合同履行过程中发生的任何争议，双方当事人均可通过和解或者调解解决；不愿和解、调解或者和解、调解不成的，可以选择以下第</w:t>
      </w:r>
      <w:r>
        <w:rPr>
          <w:rFonts w:hint="eastAsia" w:ascii="宋体" w:hAnsi="宋体" w:cs="宋体"/>
          <w:b/>
          <w:i/>
          <w:sz w:val="24"/>
          <w:u w:val="single"/>
        </w:rPr>
        <w:t xml:space="preserve"> 合同专用条款  </w:t>
      </w:r>
      <w:r>
        <w:rPr>
          <w:rFonts w:hint="eastAsia" w:ascii="宋体" w:hAnsi="宋体" w:cs="宋体"/>
          <w:sz w:val="24"/>
        </w:rPr>
        <w:t>条款规定的方式解决：</w:t>
      </w:r>
    </w:p>
    <w:p>
      <w:pPr>
        <w:spacing w:line="360" w:lineRule="auto"/>
        <w:ind w:left="-420" w:leftChars="-200" w:right="-420" w:rightChars="-200" w:firstLine="600" w:firstLineChars="250"/>
        <w:rPr>
          <w:rFonts w:ascii="宋体" w:hAnsi="宋体" w:cs="宋体"/>
          <w:sz w:val="24"/>
        </w:rPr>
      </w:pPr>
      <w:r>
        <w:rPr>
          <w:rFonts w:hint="eastAsia" w:ascii="宋体" w:hAnsi="宋体" w:cs="宋体"/>
          <w:sz w:val="24"/>
        </w:rPr>
        <w:t>1.7.1 将争议提交</w:t>
      </w:r>
      <w:r>
        <w:rPr>
          <w:rFonts w:hint="eastAsia" w:ascii="宋体" w:hAnsi="宋体" w:cs="宋体"/>
          <w:b/>
          <w:i/>
          <w:sz w:val="24"/>
          <w:u w:val="single"/>
        </w:rPr>
        <w:t>合同专用条款</w:t>
      </w:r>
      <w:r>
        <w:rPr>
          <w:rFonts w:hint="eastAsia" w:ascii="宋体" w:hAnsi="宋体" w:cs="宋体"/>
          <w:sz w:val="24"/>
        </w:rPr>
        <w:t>仲裁委员会依申请仲裁时其现行有效的仲裁规则裁决；</w:t>
      </w:r>
    </w:p>
    <w:p>
      <w:pPr>
        <w:spacing w:line="360" w:lineRule="auto"/>
        <w:ind w:left="-420" w:leftChars="-200" w:right="-420" w:rightChars="-200" w:firstLine="600" w:firstLineChars="250"/>
        <w:rPr>
          <w:rFonts w:ascii="宋体" w:hAnsi="宋体" w:cs="宋体"/>
          <w:sz w:val="24"/>
        </w:rPr>
      </w:pPr>
      <w:r>
        <w:rPr>
          <w:rFonts w:hint="eastAsia" w:ascii="宋体" w:hAnsi="宋体" w:cs="宋体"/>
          <w:sz w:val="24"/>
        </w:rPr>
        <w:t>1.7.2 向</w:t>
      </w:r>
      <w:r>
        <w:rPr>
          <w:rFonts w:hint="eastAsia" w:ascii="宋体" w:hAnsi="宋体" w:cs="宋体"/>
          <w:b/>
          <w:i/>
          <w:sz w:val="24"/>
          <w:u w:val="single"/>
        </w:rPr>
        <w:t>合同专用条款</w:t>
      </w:r>
      <w:r>
        <w:rPr>
          <w:rFonts w:hint="eastAsia" w:ascii="宋体" w:hAnsi="宋体" w:cs="宋体"/>
          <w:sz w:val="24"/>
        </w:rPr>
        <w:t>人民法院起诉。</w:t>
      </w:r>
    </w:p>
    <w:p>
      <w:pPr>
        <w:spacing w:line="360" w:lineRule="auto"/>
        <w:ind w:firstLine="241" w:firstLineChars="100"/>
        <w:outlineLvl w:val="0"/>
        <w:rPr>
          <w:rFonts w:ascii="宋体" w:hAnsi="宋体" w:cs="宋体"/>
          <w:b/>
          <w:sz w:val="24"/>
        </w:rPr>
      </w:pPr>
      <w:bookmarkStart w:id="49" w:name="_Toc23784"/>
      <w:bookmarkStart w:id="50" w:name="_Toc26227"/>
      <w:bookmarkStart w:id="51" w:name="_Toc15827"/>
      <w:bookmarkStart w:id="52" w:name="_Toc16417"/>
      <w:bookmarkStart w:id="53" w:name="_Toc12273"/>
      <w:r>
        <w:rPr>
          <w:rFonts w:hint="eastAsia" w:ascii="宋体" w:hAnsi="宋体" w:cs="宋体"/>
          <w:b/>
          <w:sz w:val="24"/>
        </w:rPr>
        <w:t>1.8 合同生效</w:t>
      </w:r>
      <w:bookmarkEnd w:id="49"/>
      <w:bookmarkEnd w:id="50"/>
      <w:bookmarkEnd w:id="51"/>
      <w:bookmarkEnd w:id="52"/>
      <w:bookmarkEnd w:id="53"/>
    </w:p>
    <w:p>
      <w:pPr>
        <w:spacing w:line="360" w:lineRule="auto"/>
        <w:ind w:firstLine="480" w:firstLineChars="200"/>
        <w:rPr>
          <w:rFonts w:ascii="宋体" w:hAnsi="宋体" w:cs="宋体"/>
          <w:b/>
          <w:sz w:val="24"/>
        </w:rPr>
      </w:pPr>
      <w:r>
        <w:rPr>
          <w:rFonts w:hint="eastAsia" w:ascii="宋体" w:hAnsi="宋体" w:cs="宋体"/>
          <w:sz w:val="24"/>
        </w:rPr>
        <w:t>本合同自双方法定代表人或授权代表签字并加盖公章时生效。</w:t>
      </w:r>
    </w:p>
    <w:p>
      <w:pPr>
        <w:autoSpaceDE w:val="0"/>
        <w:autoSpaceDN w:val="0"/>
        <w:spacing w:line="360" w:lineRule="auto"/>
        <w:rPr>
          <w:rFonts w:ascii="宋体" w:hAnsi="宋体" w:cs="宋体"/>
          <w:sz w:val="24"/>
          <w:lang w:val="zh-CN"/>
        </w:rPr>
      </w:pPr>
    </w:p>
    <w:p>
      <w:pPr>
        <w:autoSpaceDE w:val="0"/>
        <w:autoSpaceDN w:val="0"/>
        <w:spacing w:line="360" w:lineRule="auto"/>
        <w:rPr>
          <w:rFonts w:ascii="宋体" w:hAnsi="宋体" w:cs="宋体"/>
          <w:sz w:val="24"/>
          <w:lang w:val="zh-CN"/>
        </w:rPr>
      </w:pPr>
      <w:r>
        <w:rPr>
          <w:rFonts w:hint="eastAsia" w:ascii="宋体" w:hAnsi="宋体" w:cs="宋体"/>
          <w:b/>
          <w:sz w:val="24"/>
          <w:lang w:val="zh-CN"/>
        </w:rPr>
        <w:t>甲方</w:t>
      </w:r>
      <w:r>
        <w:rPr>
          <w:rFonts w:hint="eastAsia" w:ascii="宋体" w:hAnsi="宋体" w:cs="宋体"/>
          <w:sz w:val="24"/>
          <w:lang w:val="zh-CN"/>
        </w:rPr>
        <w:t>：</w:t>
      </w:r>
      <w:r>
        <w:rPr>
          <w:rFonts w:hint="eastAsia" w:ascii="宋体" w:hAnsi="宋体" w:cs="宋体"/>
          <w:b/>
          <w:sz w:val="24"/>
          <w:lang w:val="zh-CN"/>
        </w:rPr>
        <w:t>乙方</w:t>
      </w:r>
      <w:r>
        <w:rPr>
          <w:rFonts w:hint="eastAsia" w:ascii="宋体" w:hAnsi="宋体" w:cs="宋体"/>
          <w:sz w:val="24"/>
          <w:lang w:val="zh-CN"/>
        </w:rPr>
        <w:t>：</w:t>
      </w:r>
    </w:p>
    <w:p>
      <w:pPr>
        <w:autoSpaceDE w:val="0"/>
        <w:autoSpaceDN w:val="0"/>
        <w:spacing w:line="360" w:lineRule="auto"/>
        <w:rPr>
          <w:rFonts w:ascii="宋体" w:hAnsi="宋体" w:cs="宋体"/>
          <w:sz w:val="24"/>
          <w:lang w:val="zh-CN"/>
        </w:rPr>
      </w:pPr>
      <w:r>
        <w:rPr>
          <w:rFonts w:hint="eastAsia" w:ascii="宋体" w:hAnsi="宋体" w:cs="宋体"/>
          <w:sz w:val="24"/>
          <w:lang w:val="zh-CN"/>
        </w:rPr>
        <w:t>统一社会信用代码：                        统一社会信用代码或身份证号码：</w:t>
      </w:r>
    </w:p>
    <w:p>
      <w:pPr>
        <w:autoSpaceDE w:val="0"/>
        <w:autoSpaceDN w:val="0"/>
        <w:spacing w:line="360" w:lineRule="auto"/>
        <w:rPr>
          <w:rFonts w:ascii="宋体" w:hAnsi="宋体" w:cs="宋体"/>
          <w:sz w:val="24"/>
          <w:lang w:val="zh-CN"/>
        </w:rPr>
      </w:pPr>
    </w:p>
    <w:p>
      <w:pPr>
        <w:autoSpaceDE w:val="0"/>
        <w:autoSpaceDN w:val="0"/>
        <w:spacing w:line="360" w:lineRule="auto"/>
        <w:rPr>
          <w:rFonts w:ascii="宋体" w:hAnsi="宋体" w:cs="宋体"/>
          <w:sz w:val="24"/>
          <w:lang w:val="zh-CN"/>
        </w:rPr>
      </w:pPr>
      <w:r>
        <w:rPr>
          <w:rFonts w:hint="eastAsia" w:ascii="宋体" w:hAnsi="宋体" w:cs="宋体"/>
          <w:sz w:val="24"/>
          <w:lang w:val="zh-CN"/>
        </w:rPr>
        <w:t>住所：                                   住所：</w:t>
      </w:r>
    </w:p>
    <w:p>
      <w:pPr>
        <w:autoSpaceDE w:val="0"/>
        <w:autoSpaceDN w:val="0"/>
        <w:spacing w:line="360" w:lineRule="auto"/>
        <w:rPr>
          <w:rFonts w:ascii="宋体" w:hAnsi="宋体" w:cs="宋体"/>
          <w:sz w:val="24"/>
          <w:lang w:val="zh-CN"/>
        </w:rPr>
      </w:pPr>
      <w:r>
        <w:rPr>
          <w:rFonts w:hint="eastAsia" w:ascii="宋体" w:hAnsi="宋体" w:cs="宋体"/>
          <w:sz w:val="24"/>
          <w:lang w:val="zh-CN"/>
        </w:rPr>
        <w:t>法定代表人或                             法定代表人或</w:t>
      </w:r>
    </w:p>
    <w:p>
      <w:pPr>
        <w:autoSpaceDE w:val="0"/>
        <w:autoSpaceDN w:val="0"/>
        <w:spacing w:line="360" w:lineRule="auto"/>
        <w:rPr>
          <w:rFonts w:ascii="宋体" w:hAnsi="宋体" w:cs="宋体"/>
          <w:sz w:val="24"/>
          <w:lang w:val="zh-CN"/>
        </w:rPr>
      </w:pPr>
      <w:r>
        <w:rPr>
          <w:rFonts w:hint="eastAsia" w:ascii="宋体" w:hAnsi="宋体" w:cs="宋体"/>
          <w:sz w:val="24"/>
          <w:lang w:val="zh-CN"/>
        </w:rPr>
        <w:t xml:space="preserve">授权代表（签字）：                       授权代表（签字）: </w:t>
      </w:r>
    </w:p>
    <w:p>
      <w:pPr>
        <w:autoSpaceDE w:val="0"/>
        <w:autoSpaceDN w:val="0"/>
        <w:spacing w:line="360" w:lineRule="auto"/>
        <w:rPr>
          <w:rFonts w:ascii="宋体" w:hAnsi="宋体" w:cs="宋体"/>
          <w:sz w:val="24"/>
          <w:lang w:val="zh-CN"/>
        </w:rPr>
      </w:pPr>
      <w:r>
        <w:rPr>
          <w:rFonts w:hint="eastAsia" w:ascii="宋体" w:hAnsi="宋体" w:cs="宋体"/>
          <w:sz w:val="24"/>
          <w:lang w:val="zh-CN"/>
        </w:rPr>
        <w:t>联系人：                                 联系人：</w:t>
      </w:r>
    </w:p>
    <w:p>
      <w:pPr>
        <w:autoSpaceDE w:val="0"/>
        <w:autoSpaceDN w:val="0"/>
        <w:spacing w:line="360" w:lineRule="auto"/>
        <w:rPr>
          <w:rFonts w:ascii="宋体" w:hAnsi="宋体" w:cs="宋体"/>
          <w:sz w:val="24"/>
          <w:lang w:val="zh-CN"/>
        </w:rPr>
      </w:pPr>
      <w:r>
        <w:rPr>
          <w:rFonts w:hint="eastAsia" w:ascii="宋体" w:hAnsi="宋体" w:cs="宋体"/>
          <w:sz w:val="24"/>
          <w:lang w:val="zh-CN"/>
        </w:rPr>
        <w:t>约定送达地址：                           约定送达地址：</w:t>
      </w:r>
    </w:p>
    <w:p>
      <w:pPr>
        <w:autoSpaceDE w:val="0"/>
        <w:autoSpaceDN w:val="0"/>
        <w:spacing w:line="360" w:lineRule="auto"/>
        <w:rPr>
          <w:rFonts w:ascii="宋体" w:hAnsi="宋体" w:cs="宋体"/>
          <w:sz w:val="24"/>
          <w:lang w:val="zh-CN"/>
        </w:rPr>
      </w:pPr>
      <w:r>
        <w:rPr>
          <w:rFonts w:hint="eastAsia" w:ascii="宋体" w:hAnsi="宋体" w:cs="宋体"/>
          <w:sz w:val="24"/>
          <w:lang w:val="zh-CN"/>
        </w:rPr>
        <w:t>邮政编码：                               邮政编码：</w:t>
      </w:r>
    </w:p>
    <w:p>
      <w:pPr>
        <w:autoSpaceDE w:val="0"/>
        <w:autoSpaceDN w:val="0"/>
        <w:spacing w:line="360" w:lineRule="auto"/>
        <w:rPr>
          <w:rFonts w:ascii="宋体" w:hAnsi="宋体" w:cs="宋体"/>
          <w:sz w:val="24"/>
          <w:lang w:val="zh-CN"/>
        </w:rPr>
      </w:pPr>
      <w:r>
        <w:rPr>
          <w:rFonts w:hint="eastAsia" w:ascii="宋体" w:hAnsi="宋体" w:cs="宋体"/>
          <w:sz w:val="24"/>
          <w:lang w:val="zh-CN"/>
        </w:rPr>
        <w:t xml:space="preserve">电话:                                    电话: </w:t>
      </w:r>
    </w:p>
    <w:p>
      <w:pPr>
        <w:autoSpaceDE w:val="0"/>
        <w:autoSpaceDN w:val="0"/>
        <w:spacing w:line="360" w:lineRule="auto"/>
        <w:rPr>
          <w:rFonts w:ascii="宋体" w:hAnsi="宋体" w:cs="宋体"/>
          <w:sz w:val="24"/>
          <w:lang w:val="zh-CN"/>
        </w:rPr>
      </w:pPr>
      <w:r>
        <w:rPr>
          <w:rFonts w:hint="eastAsia" w:ascii="宋体" w:hAnsi="宋体" w:cs="宋体"/>
          <w:sz w:val="24"/>
          <w:lang w:val="zh-CN"/>
        </w:rPr>
        <w:t>传真:                                    传真:</w:t>
      </w:r>
    </w:p>
    <w:p>
      <w:pPr>
        <w:autoSpaceDE w:val="0"/>
        <w:autoSpaceDN w:val="0"/>
        <w:spacing w:line="360" w:lineRule="auto"/>
        <w:rPr>
          <w:rFonts w:ascii="宋体" w:hAnsi="宋体" w:cs="宋体"/>
          <w:sz w:val="24"/>
        </w:rPr>
      </w:pPr>
      <w:r>
        <w:rPr>
          <w:rFonts w:hint="eastAsia" w:ascii="宋体" w:hAnsi="宋体" w:cs="宋体"/>
          <w:sz w:val="24"/>
          <w:lang w:val="zh-CN"/>
        </w:rPr>
        <w:t>电子邮箱：                               电子邮箱：</w:t>
      </w:r>
    </w:p>
    <w:p>
      <w:pPr>
        <w:autoSpaceDE w:val="0"/>
        <w:autoSpaceDN w:val="0"/>
        <w:spacing w:line="360" w:lineRule="auto"/>
        <w:rPr>
          <w:rFonts w:ascii="宋体" w:hAnsi="宋体" w:cs="宋体"/>
          <w:sz w:val="24"/>
        </w:rPr>
      </w:pPr>
      <w:r>
        <w:rPr>
          <w:rFonts w:hint="eastAsia" w:ascii="宋体" w:hAnsi="宋体" w:cs="宋体"/>
          <w:sz w:val="24"/>
        </w:rPr>
        <w:t xml:space="preserve">开户银行：                               开户银行： </w:t>
      </w:r>
    </w:p>
    <w:p>
      <w:pPr>
        <w:autoSpaceDE w:val="0"/>
        <w:autoSpaceDN w:val="0"/>
        <w:spacing w:line="360" w:lineRule="auto"/>
        <w:rPr>
          <w:rFonts w:ascii="宋体" w:hAnsi="宋体" w:cs="宋体"/>
          <w:sz w:val="24"/>
        </w:rPr>
      </w:pPr>
      <w:r>
        <w:rPr>
          <w:rFonts w:hint="eastAsia" w:ascii="宋体" w:hAnsi="宋体" w:cs="宋体"/>
          <w:sz w:val="24"/>
        </w:rPr>
        <w:t xml:space="preserve">开户名称：                               开户名称： </w:t>
      </w:r>
    </w:p>
    <w:p>
      <w:pPr>
        <w:autoSpaceDE w:val="0"/>
        <w:autoSpaceDN w:val="0"/>
        <w:spacing w:line="360" w:lineRule="auto"/>
        <w:rPr>
          <w:rFonts w:ascii="宋体" w:hAnsi="宋体" w:cs="宋体"/>
          <w:sz w:val="24"/>
        </w:rPr>
      </w:pPr>
      <w:r>
        <w:rPr>
          <w:rFonts w:hint="eastAsia" w:ascii="宋体" w:hAnsi="宋体" w:cs="宋体"/>
          <w:sz w:val="24"/>
        </w:rPr>
        <w:t>开户账号：开户账号：</w:t>
      </w:r>
    </w:p>
    <w:p>
      <w:pPr>
        <w:widowControl/>
        <w:spacing w:line="360" w:lineRule="auto"/>
        <w:jc w:val="left"/>
        <w:rPr>
          <w:rFonts w:ascii="宋体" w:hAnsi="宋体" w:cs="宋体"/>
          <w:b/>
          <w:sz w:val="24"/>
        </w:rPr>
        <w:sectPr>
          <w:headerReference r:id="rId6" w:type="first"/>
          <w:footerReference r:id="rId8" w:type="first"/>
          <w:headerReference r:id="rId5" w:type="default"/>
          <w:footerReference r:id="rId7" w:type="default"/>
          <w:pgSz w:w="11906" w:h="16838"/>
          <w:pgMar w:top="1276" w:right="1418" w:bottom="1247" w:left="1418" w:header="851" w:footer="992" w:gutter="0"/>
          <w:cols w:space="720" w:num="1"/>
          <w:titlePg/>
          <w:docGrid w:linePitch="312" w:charSpace="0"/>
        </w:sectPr>
      </w:pPr>
    </w:p>
    <w:p>
      <w:pPr>
        <w:pStyle w:val="31"/>
        <w:ind w:firstLine="0" w:firstLineChars="0"/>
        <w:jc w:val="center"/>
        <w:rPr>
          <w:rFonts w:ascii="宋体" w:hAnsi="宋体" w:cs="宋体"/>
          <w:b/>
        </w:rPr>
      </w:pPr>
      <w:r>
        <w:rPr>
          <w:rFonts w:hint="eastAsia" w:ascii="宋体" w:hAnsi="宋体" w:cs="宋体"/>
          <w:b/>
        </w:rPr>
        <w:t>第二部分 合同一般条款</w:t>
      </w:r>
    </w:p>
    <w:p>
      <w:pPr>
        <w:spacing w:line="360" w:lineRule="auto"/>
        <w:ind w:firstLine="482" w:firstLineChars="200"/>
        <w:outlineLvl w:val="0"/>
        <w:rPr>
          <w:rFonts w:ascii="宋体" w:hAnsi="宋体" w:cs="宋体"/>
          <w:b/>
          <w:sz w:val="24"/>
        </w:rPr>
      </w:pPr>
      <w:bookmarkStart w:id="54" w:name="_Toc25079"/>
      <w:bookmarkStart w:id="55" w:name="_Toc19680"/>
      <w:bookmarkStart w:id="56" w:name="_Toc14021"/>
      <w:bookmarkStart w:id="57" w:name="_Toc5228"/>
      <w:bookmarkStart w:id="58" w:name="_Toc31297"/>
      <w:r>
        <w:rPr>
          <w:rFonts w:hint="eastAsia" w:ascii="宋体" w:hAnsi="宋体" w:cs="宋体"/>
          <w:b/>
          <w:sz w:val="24"/>
        </w:rPr>
        <w:t>2.1 定义</w:t>
      </w:r>
      <w:bookmarkEnd w:id="54"/>
      <w:bookmarkEnd w:id="55"/>
      <w:bookmarkEnd w:id="56"/>
      <w:bookmarkEnd w:id="57"/>
      <w:bookmarkEnd w:id="58"/>
    </w:p>
    <w:p>
      <w:pPr>
        <w:spacing w:line="360" w:lineRule="auto"/>
        <w:ind w:firstLine="480" w:firstLineChars="200"/>
        <w:rPr>
          <w:rFonts w:ascii="宋体" w:hAnsi="宋体" w:cs="宋体"/>
          <w:sz w:val="24"/>
        </w:rPr>
      </w:pPr>
      <w:r>
        <w:rPr>
          <w:rFonts w:hint="eastAsia" w:ascii="宋体" w:hAnsi="宋体" w:cs="宋体"/>
          <w:sz w:val="24"/>
        </w:rPr>
        <w:t>本合同中的下列词语应按以下内容进行解释：</w:t>
      </w:r>
    </w:p>
    <w:p>
      <w:pPr>
        <w:spacing w:line="360" w:lineRule="auto"/>
        <w:ind w:firstLine="480" w:firstLineChars="200"/>
        <w:rPr>
          <w:rFonts w:ascii="宋体" w:hAnsi="宋体" w:cs="宋体"/>
          <w:sz w:val="24"/>
        </w:rPr>
      </w:pPr>
      <w:r>
        <w:rPr>
          <w:rFonts w:hint="eastAsia" w:ascii="宋体" w:hAnsi="宋体" w:cs="宋体"/>
          <w:sz w:val="24"/>
        </w:rPr>
        <w:t>2.1.1 “合同”系指采购人和中标供应商签订的载明双方当事人所达成的协议，并包括所有的附件、附录和构成合同的其他文件。</w:t>
      </w:r>
    </w:p>
    <w:p>
      <w:pPr>
        <w:spacing w:line="360" w:lineRule="auto"/>
        <w:ind w:firstLine="480" w:firstLineChars="200"/>
        <w:rPr>
          <w:rFonts w:ascii="宋体" w:hAnsi="宋体" w:cs="宋体"/>
          <w:sz w:val="24"/>
        </w:rPr>
      </w:pPr>
      <w:r>
        <w:rPr>
          <w:rFonts w:hint="eastAsia" w:ascii="宋体" w:hAnsi="宋体" w:cs="宋体"/>
          <w:sz w:val="24"/>
        </w:rPr>
        <w:t>2.1.2 “合同总价”系指根据合同约定，中标供应商在完全履行合同义务后，采购人应支付给中标供应商的价格。</w:t>
      </w:r>
    </w:p>
    <w:p>
      <w:pPr>
        <w:spacing w:line="360" w:lineRule="auto"/>
        <w:ind w:firstLine="480" w:firstLineChars="200"/>
        <w:rPr>
          <w:rFonts w:ascii="宋体" w:hAnsi="宋体" w:cs="宋体"/>
          <w:sz w:val="24"/>
        </w:rPr>
      </w:pPr>
      <w:r>
        <w:rPr>
          <w:rFonts w:hint="eastAsia" w:ascii="宋体" w:hAnsi="宋体" w:cs="宋体"/>
          <w:sz w:val="24"/>
        </w:rPr>
        <w:t>2.1.3 “服务”系指中标供应商根据合同约定应向采购人履行的除货物和工程以外的其他政府采购对象，包括采购人自身需要的服务和向社会公众提供的公共服务，具体以招标文件要求为准。</w:t>
      </w:r>
    </w:p>
    <w:p>
      <w:pPr>
        <w:spacing w:line="360" w:lineRule="auto"/>
        <w:ind w:firstLine="480" w:firstLineChars="200"/>
        <w:rPr>
          <w:rFonts w:ascii="宋体" w:hAnsi="宋体" w:cs="宋体"/>
          <w:sz w:val="24"/>
        </w:rPr>
      </w:pPr>
      <w:r>
        <w:rPr>
          <w:rFonts w:hint="eastAsia" w:ascii="宋体" w:hAnsi="宋体" w:cs="宋体"/>
          <w:sz w:val="24"/>
        </w:rPr>
        <w:t>2.1.4 “甲方”系指与中标供应商签署合同的采购人；采购人委托采购代理机构代表其与乙方签订合同的，采购人的授权委托书作为合同附件。</w:t>
      </w:r>
    </w:p>
    <w:p>
      <w:pPr>
        <w:spacing w:line="360" w:lineRule="auto"/>
        <w:ind w:firstLine="480" w:firstLineChars="200"/>
        <w:rPr>
          <w:rFonts w:ascii="宋体" w:hAnsi="宋体" w:cs="宋体"/>
          <w:sz w:val="24"/>
        </w:rPr>
      </w:pPr>
      <w:r>
        <w:rPr>
          <w:rFonts w:hint="eastAsia" w:ascii="宋体" w:hAnsi="宋体" w:cs="宋体"/>
          <w:sz w:val="24"/>
        </w:rPr>
        <w:t>2.1.5 “乙方”系指根据合同约定提供服务的中标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360" w:lineRule="auto"/>
        <w:ind w:firstLine="480" w:firstLineChars="200"/>
        <w:rPr>
          <w:rFonts w:ascii="宋体" w:hAnsi="宋体" w:cs="宋体"/>
          <w:sz w:val="24"/>
        </w:rPr>
      </w:pPr>
      <w:r>
        <w:rPr>
          <w:rFonts w:hint="eastAsia" w:ascii="宋体" w:hAnsi="宋体" w:cs="宋体"/>
          <w:sz w:val="24"/>
        </w:rPr>
        <w:t>2.1.6 “现场”系指合同约定提供服务的地点。</w:t>
      </w:r>
    </w:p>
    <w:p>
      <w:pPr>
        <w:spacing w:line="360" w:lineRule="auto"/>
        <w:ind w:firstLine="482" w:firstLineChars="200"/>
        <w:outlineLvl w:val="0"/>
        <w:rPr>
          <w:rFonts w:ascii="宋体" w:hAnsi="宋体" w:cs="宋体"/>
          <w:b/>
          <w:sz w:val="24"/>
        </w:rPr>
      </w:pPr>
      <w:bookmarkStart w:id="59" w:name="_Toc31402"/>
      <w:bookmarkStart w:id="60" w:name="_Toc19539"/>
      <w:bookmarkStart w:id="61" w:name="_Toc16752"/>
      <w:bookmarkStart w:id="62" w:name="_Toc23289"/>
      <w:bookmarkStart w:id="63" w:name="_Toc3769"/>
      <w:r>
        <w:rPr>
          <w:rFonts w:hint="eastAsia" w:ascii="宋体" w:hAnsi="宋体" w:cs="宋体"/>
          <w:b/>
          <w:sz w:val="24"/>
        </w:rPr>
        <w:t>2.2 技术规范</w:t>
      </w:r>
      <w:bookmarkEnd w:id="59"/>
      <w:bookmarkEnd w:id="60"/>
      <w:bookmarkEnd w:id="61"/>
      <w:bookmarkEnd w:id="62"/>
      <w:bookmarkEnd w:id="63"/>
    </w:p>
    <w:p>
      <w:pPr>
        <w:spacing w:line="360" w:lineRule="auto"/>
        <w:ind w:firstLine="480" w:firstLineChars="200"/>
        <w:rPr>
          <w:rFonts w:ascii="宋体" w:hAnsi="宋体" w:cs="宋体"/>
          <w:sz w:val="24"/>
        </w:rPr>
      </w:pPr>
      <w:r>
        <w:rPr>
          <w:rFonts w:hint="eastAsia" w:ascii="宋体" w:hAnsi="宋体" w:cs="宋体"/>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360" w:lineRule="auto"/>
        <w:ind w:firstLine="482" w:firstLineChars="200"/>
        <w:outlineLvl w:val="0"/>
        <w:rPr>
          <w:rFonts w:ascii="宋体" w:hAnsi="宋体" w:cs="宋体"/>
          <w:b/>
          <w:sz w:val="24"/>
        </w:rPr>
      </w:pPr>
      <w:bookmarkStart w:id="64" w:name="_Toc12412"/>
      <w:bookmarkStart w:id="65" w:name="_Toc27945"/>
      <w:bookmarkStart w:id="66" w:name="_Toc13673"/>
      <w:bookmarkStart w:id="67" w:name="_Toc4133"/>
      <w:bookmarkStart w:id="68" w:name="_Toc9161"/>
      <w:r>
        <w:rPr>
          <w:rFonts w:hint="eastAsia" w:ascii="宋体" w:hAnsi="宋体" w:cs="宋体"/>
          <w:b/>
          <w:sz w:val="24"/>
        </w:rPr>
        <w:t>2.3 知识产权</w:t>
      </w:r>
      <w:bookmarkEnd w:id="64"/>
      <w:bookmarkEnd w:id="65"/>
      <w:bookmarkEnd w:id="66"/>
      <w:bookmarkEnd w:id="67"/>
      <w:bookmarkEnd w:id="68"/>
    </w:p>
    <w:p>
      <w:pPr>
        <w:spacing w:line="360" w:lineRule="auto"/>
        <w:ind w:firstLine="480" w:firstLineChars="200"/>
        <w:rPr>
          <w:rFonts w:ascii="宋体" w:hAnsi="宋体" w:cs="宋体"/>
          <w:sz w:val="24"/>
        </w:rPr>
      </w:pPr>
      <w:r>
        <w:rPr>
          <w:rFonts w:hint="eastAsia" w:ascii="宋体" w:hAnsi="宋体" w:cs="宋体"/>
          <w:sz w:val="24"/>
        </w:rPr>
        <w:t>2.3.1 乙方应保证其提供的服务不受任何第三方提出的侵犯其著作权、商标权、专利权等知识产权方面的起诉；如果任何第三方提出侵权指控，那么乙方须与该第三方交涉并承担由此发生的一切责任、费用和赔偿；</w:t>
      </w:r>
    </w:p>
    <w:p>
      <w:pPr>
        <w:spacing w:line="360" w:lineRule="auto"/>
        <w:ind w:firstLine="480" w:firstLineChars="200"/>
        <w:rPr>
          <w:rFonts w:ascii="宋体" w:hAnsi="宋体" w:cs="宋体"/>
          <w:sz w:val="24"/>
        </w:rPr>
      </w:pPr>
      <w:r>
        <w:rPr>
          <w:rFonts w:hint="eastAsia" w:ascii="宋体" w:hAnsi="宋体" w:cs="宋体"/>
          <w:sz w:val="24"/>
        </w:rPr>
        <w:t>2.3.2 合同涉及技术成果的归属和收益的分成办法的，详见</w:t>
      </w:r>
      <w:r>
        <w:rPr>
          <w:rFonts w:hint="eastAsia" w:ascii="宋体" w:hAnsi="宋体" w:cs="宋体"/>
          <w:b/>
          <w:i/>
          <w:sz w:val="24"/>
          <w:u w:val="single"/>
        </w:rPr>
        <w:t>合同专用条款</w:t>
      </w:r>
      <w:r>
        <w:rPr>
          <w:rFonts w:hint="eastAsia" w:ascii="宋体" w:hAnsi="宋体" w:cs="宋体"/>
          <w:sz w:val="24"/>
        </w:rPr>
        <w:t>。</w:t>
      </w:r>
    </w:p>
    <w:p>
      <w:pPr>
        <w:spacing w:line="360" w:lineRule="auto"/>
        <w:ind w:firstLine="482" w:firstLineChars="200"/>
        <w:rPr>
          <w:rFonts w:ascii="宋体" w:hAnsi="宋体" w:cs="宋体"/>
          <w:b/>
          <w:sz w:val="24"/>
        </w:rPr>
      </w:pPr>
      <w:r>
        <w:rPr>
          <w:rFonts w:hint="eastAsia" w:ascii="宋体" w:hAnsi="宋体" w:cs="宋体"/>
          <w:b/>
          <w:sz w:val="24"/>
        </w:rPr>
        <w:t>2.4 履约检查和问题反馈</w:t>
      </w:r>
    </w:p>
    <w:p>
      <w:pPr>
        <w:spacing w:line="360" w:lineRule="auto"/>
        <w:ind w:firstLine="480" w:firstLineChars="200"/>
        <w:rPr>
          <w:rFonts w:ascii="宋体" w:hAnsi="宋体" w:cs="宋体"/>
          <w:sz w:val="24"/>
        </w:rPr>
      </w:pPr>
      <w:r>
        <w:rPr>
          <w:rFonts w:hint="eastAsia" w:ascii="宋体" w:hAnsi="宋体" w:cs="宋体"/>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360" w:lineRule="auto"/>
        <w:ind w:firstLine="480" w:firstLineChars="200"/>
        <w:rPr>
          <w:rFonts w:ascii="宋体" w:hAnsi="宋体" w:cs="宋体"/>
          <w:sz w:val="24"/>
        </w:rPr>
      </w:pPr>
      <w:r>
        <w:rPr>
          <w:rFonts w:hint="eastAsia" w:ascii="宋体" w:hAnsi="宋体" w:cs="宋体"/>
          <w:sz w:val="24"/>
        </w:rPr>
        <w:t>2.4.2 合同履行期间，甲方有权将履行过程中出现的问题反馈给乙方，双方当事人应以书面形式约定需要完善和改进的内容。</w:t>
      </w:r>
    </w:p>
    <w:p>
      <w:pPr>
        <w:spacing w:line="360" w:lineRule="auto"/>
        <w:ind w:firstLine="482" w:firstLineChars="200"/>
        <w:outlineLvl w:val="0"/>
        <w:rPr>
          <w:rFonts w:ascii="宋体" w:hAnsi="宋体" w:cs="宋体"/>
          <w:b/>
          <w:sz w:val="24"/>
        </w:rPr>
      </w:pPr>
      <w:bookmarkStart w:id="69" w:name="_Toc26555"/>
      <w:bookmarkStart w:id="70" w:name="_Toc15447"/>
      <w:bookmarkStart w:id="71" w:name="_Toc22011"/>
      <w:bookmarkStart w:id="72" w:name="_Toc31233"/>
      <w:bookmarkStart w:id="73" w:name="_Toc32670"/>
      <w:r>
        <w:rPr>
          <w:rFonts w:hint="eastAsia" w:ascii="宋体" w:hAnsi="宋体" w:cs="宋体"/>
          <w:b/>
          <w:sz w:val="24"/>
        </w:rPr>
        <w:t>2.5 结算方式和付款条件</w:t>
      </w:r>
      <w:bookmarkEnd w:id="69"/>
      <w:bookmarkEnd w:id="70"/>
      <w:bookmarkEnd w:id="71"/>
      <w:bookmarkEnd w:id="72"/>
      <w:bookmarkEnd w:id="73"/>
    </w:p>
    <w:p>
      <w:pPr>
        <w:spacing w:line="360" w:lineRule="auto"/>
        <w:ind w:firstLine="480" w:firstLineChars="200"/>
        <w:rPr>
          <w:rFonts w:ascii="宋体" w:hAnsi="宋体" w:cs="宋体"/>
          <w:sz w:val="24"/>
        </w:rPr>
      </w:pPr>
      <w:r>
        <w:rPr>
          <w:rFonts w:hint="eastAsia" w:ascii="宋体" w:hAnsi="宋体" w:cs="宋体"/>
          <w:sz w:val="24"/>
        </w:rPr>
        <w:t>详见</w:t>
      </w:r>
      <w:r>
        <w:rPr>
          <w:rFonts w:hint="eastAsia" w:ascii="宋体" w:hAnsi="宋体" w:cs="宋体"/>
          <w:b/>
          <w:i/>
          <w:sz w:val="24"/>
          <w:u w:val="single"/>
        </w:rPr>
        <w:t>合同专用条款</w:t>
      </w:r>
      <w:r>
        <w:rPr>
          <w:rFonts w:hint="eastAsia" w:ascii="宋体" w:hAnsi="宋体" w:cs="宋体"/>
          <w:sz w:val="24"/>
        </w:rPr>
        <w:t>。</w:t>
      </w:r>
    </w:p>
    <w:p>
      <w:pPr>
        <w:spacing w:line="360" w:lineRule="auto"/>
        <w:ind w:firstLine="482" w:firstLineChars="200"/>
        <w:outlineLvl w:val="0"/>
        <w:rPr>
          <w:rFonts w:ascii="宋体" w:hAnsi="宋体" w:cs="宋体"/>
          <w:b/>
          <w:sz w:val="24"/>
        </w:rPr>
      </w:pPr>
      <w:bookmarkStart w:id="74" w:name="_Toc13467"/>
      <w:bookmarkStart w:id="75" w:name="_Toc30507"/>
      <w:bookmarkStart w:id="76" w:name="_Toc18990"/>
      <w:bookmarkStart w:id="77" w:name="_Toc13154"/>
      <w:bookmarkStart w:id="78" w:name="_Toc16163"/>
      <w:r>
        <w:rPr>
          <w:rFonts w:hint="eastAsia" w:ascii="宋体" w:hAnsi="宋体" w:cs="宋体"/>
          <w:b/>
          <w:sz w:val="24"/>
        </w:rPr>
        <w:t>2.6 技术资料和保密义务</w:t>
      </w:r>
      <w:bookmarkEnd w:id="74"/>
      <w:bookmarkEnd w:id="75"/>
      <w:bookmarkEnd w:id="76"/>
      <w:bookmarkEnd w:id="77"/>
      <w:bookmarkEnd w:id="78"/>
    </w:p>
    <w:p>
      <w:pPr>
        <w:spacing w:line="360" w:lineRule="auto"/>
        <w:ind w:firstLine="480" w:firstLineChars="200"/>
        <w:rPr>
          <w:rFonts w:ascii="宋体" w:hAnsi="宋体" w:cs="宋体"/>
          <w:sz w:val="24"/>
        </w:rPr>
      </w:pPr>
      <w:r>
        <w:rPr>
          <w:rFonts w:hint="eastAsia" w:ascii="宋体" w:hAnsi="宋体" w:cs="宋体"/>
          <w:sz w:val="24"/>
        </w:rPr>
        <w:t>2.6.1 乙方有权依据合同约定和项目需要，向甲方了解有关情况，调阅有关资料等，甲方应予积极配合；</w:t>
      </w:r>
    </w:p>
    <w:p>
      <w:pPr>
        <w:spacing w:line="360" w:lineRule="auto"/>
        <w:ind w:firstLine="480" w:firstLineChars="200"/>
        <w:rPr>
          <w:rFonts w:ascii="宋体" w:hAnsi="宋体" w:cs="宋体"/>
          <w:sz w:val="24"/>
        </w:rPr>
      </w:pPr>
      <w:r>
        <w:rPr>
          <w:rFonts w:hint="eastAsia" w:ascii="宋体" w:hAnsi="宋体" w:cs="宋体"/>
          <w:sz w:val="24"/>
        </w:rPr>
        <w:t>2.6.2 乙方有义务妥善保管和保护由甲方提供的前款信息和资料等，乙方应严格按照甲方规定使用、存储、处理文档资料和数据。合同终止时，乙方应当交还全部公安资料和数据；</w:t>
      </w:r>
    </w:p>
    <w:p>
      <w:pPr>
        <w:spacing w:line="360" w:lineRule="auto"/>
        <w:ind w:firstLine="480" w:firstLineChars="200"/>
        <w:rPr>
          <w:rFonts w:ascii="宋体" w:hAnsi="宋体" w:cs="宋体"/>
          <w:sz w:val="24"/>
        </w:rPr>
      </w:pPr>
      <w:r>
        <w:rPr>
          <w:rFonts w:hint="eastAsia" w:ascii="宋体" w:hAnsi="宋体" w:cs="宋体"/>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360" w:lineRule="auto"/>
        <w:ind w:firstLine="482" w:firstLineChars="200"/>
        <w:outlineLvl w:val="0"/>
        <w:rPr>
          <w:rFonts w:ascii="宋体" w:hAnsi="宋体" w:cs="宋体"/>
          <w:b/>
          <w:sz w:val="24"/>
        </w:rPr>
      </w:pPr>
      <w:bookmarkStart w:id="79" w:name="_Toc19069"/>
      <w:r>
        <w:rPr>
          <w:rFonts w:hint="eastAsia" w:ascii="宋体" w:hAnsi="宋体" w:cs="宋体"/>
          <w:b/>
          <w:sz w:val="24"/>
        </w:rPr>
        <w:t>2.7 质量保证</w:t>
      </w:r>
      <w:bookmarkEnd w:id="79"/>
    </w:p>
    <w:p>
      <w:pPr>
        <w:spacing w:line="360" w:lineRule="auto"/>
        <w:ind w:firstLine="480" w:firstLineChars="200"/>
        <w:rPr>
          <w:rFonts w:ascii="宋体" w:hAnsi="宋体" w:cs="宋体"/>
          <w:sz w:val="24"/>
        </w:rPr>
      </w:pPr>
      <w:r>
        <w:rPr>
          <w:rFonts w:hint="eastAsia" w:ascii="宋体" w:hAnsi="宋体" w:cs="宋体"/>
          <w:sz w:val="24"/>
        </w:rPr>
        <w:t>2.7.1 乙方应建立和完善履行合同的内部质量保证体系，并提供相关内部规章制度给甲方，以便甲方进行监督检查；</w:t>
      </w:r>
    </w:p>
    <w:p>
      <w:pPr>
        <w:spacing w:line="360" w:lineRule="auto"/>
        <w:ind w:firstLine="480" w:firstLineChars="200"/>
        <w:rPr>
          <w:rFonts w:ascii="宋体" w:hAnsi="宋体" w:cs="宋体"/>
          <w:sz w:val="24"/>
        </w:rPr>
      </w:pPr>
      <w:r>
        <w:rPr>
          <w:rFonts w:hint="eastAsia" w:ascii="宋体" w:hAnsi="宋体" w:cs="宋体"/>
          <w:sz w:val="24"/>
        </w:rPr>
        <w:t>2.7.2 乙方应保证履行合同的人员数量和素质、软件和硬件设备的配置、场地、环境和设施等满足全面履行合同的要求，并应接受甲方的监督检查。</w:t>
      </w:r>
    </w:p>
    <w:p>
      <w:pPr>
        <w:spacing w:line="360" w:lineRule="auto"/>
        <w:ind w:firstLine="482" w:firstLineChars="200"/>
        <w:outlineLvl w:val="0"/>
        <w:rPr>
          <w:rFonts w:ascii="宋体" w:hAnsi="宋体" w:cs="宋体"/>
          <w:b/>
          <w:sz w:val="24"/>
        </w:rPr>
      </w:pPr>
      <w:bookmarkStart w:id="80" w:name="_Toc22267"/>
      <w:r>
        <w:rPr>
          <w:rFonts w:hint="eastAsia" w:ascii="宋体" w:hAnsi="宋体" w:cs="宋体"/>
          <w:b/>
          <w:sz w:val="24"/>
        </w:rPr>
        <w:t>2.8 延迟履行</w:t>
      </w:r>
      <w:bookmarkEnd w:id="80"/>
    </w:p>
    <w:p>
      <w:pPr>
        <w:spacing w:line="360" w:lineRule="auto"/>
        <w:ind w:firstLine="480" w:firstLineChars="200"/>
        <w:rPr>
          <w:rFonts w:ascii="宋体" w:hAnsi="宋体" w:cs="宋体"/>
          <w:sz w:val="24"/>
        </w:rPr>
      </w:pPr>
      <w:r>
        <w:rPr>
          <w:rFonts w:hint="eastAsia" w:ascii="宋体" w:hAnsi="宋体" w:cs="宋体"/>
          <w:sz w:val="24"/>
        </w:rPr>
        <w:t>在合同履行过程中，如果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360" w:lineRule="auto"/>
        <w:ind w:firstLine="482" w:firstLineChars="200"/>
        <w:outlineLvl w:val="0"/>
        <w:rPr>
          <w:rFonts w:ascii="宋体" w:hAnsi="宋体" w:cs="宋体"/>
          <w:b/>
          <w:sz w:val="24"/>
        </w:rPr>
      </w:pPr>
      <w:bookmarkStart w:id="81" w:name="_Toc10611"/>
      <w:r>
        <w:rPr>
          <w:rFonts w:hint="eastAsia" w:ascii="宋体" w:hAnsi="宋体" w:cs="宋体"/>
          <w:b/>
          <w:sz w:val="24"/>
        </w:rPr>
        <w:t>2.9 合同变更</w:t>
      </w:r>
      <w:bookmarkEnd w:id="81"/>
    </w:p>
    <w:p>
      <w:pPr>
        <w:spacing w:line="360" w:lineRule="auto"/>
        <w:ind w:firstLine="480" w:firstLineChars="200"/>
        <w:rPr>
          <w:rFonts w:ascii="宋体" w:hAnsi="宋体" w:cs="宋体"/>
          <w:sz w:val="24"/>
        </w:rPr>
      </w:pPr>
      <w:r>
        <w:rPr>
          <w:rFonts w:hint="eastAsia" w:ascii="宋体" w:hAnsi="宋体" w:cs="宋体"/>
          <w:sz w:val="24"/>
        </w:rPr>
        <w:t>合同继续履行将损害国家利益和社会公共利益的，双方当事人应当以书面形式变更合同。有过错的一方应当承担赔偿责任，双方当事人都有过错的，各自承担相应的责任。</w:t>
      </w:r>
    </w:p>
    <w:p>
      <w:pPr>
        <w:spacing w:line="360" w:lineRule="auto"/>
        <w:ind w:firstLine="482" w:firstLineChars="200"/>
        <w:outlineLvl w:val="0"/>
        <w:rPr>
          <w:rFonts w:ascii="宋体" w:hAnsi="宋体" w:cs="宋体"/>
          <w:b/>
          <w:sz w:val="24"/>
        </w:rPr>
      </w:pPr>
      <w:bookmarkStart w:id="82" w:name="_Toc10663"/>
      <w:bookmarkStart w:id="83" w:name="_Toc26689"/>
      <w:bookmarkStart w:id="84" w:name="_Toc42"/>
      <w:bookmarkStart w:id="85" w:name="_Toc23368"/>
      <w:bookmarkStart w:id="86" w:name="_Toc21830"/>
      <w:r>
        <w:rPr>
          <w:rFonts w:hint="eastAsia" w:ascii="宋体" w:hAnsi="宋体" w:cs="宋体"/>
          <w:b/>
          <w:sz w:val="24"/>
        </w:rPr>
        <w:t>2.10 合同转让和分包</w:t>
      </w:r>
      <w:bookmarkEnd w:id="82"/>
      <w:bookmarkEnd w:id="83"/>
      <w:bookmarkEnd w:id="84"/>
      <w:bookmarkEnd w:id="85"/>
      <w:bookmarkEnd w:id="86"/>
    </w:p>
    <w:p>
      <w:pPr>
        <w:spacing w:line="360" w:lineRule="auto"/>
        <w:ind w:firstLine="480" w:firstLineChars="200"/>
        <w:rPr>
          <w:rFonts w:ascii="宋体" w:hAnsi="宋体" w:cs="宋体"/>
          <w:sz w:val="24"/>
        </w:rPr>
      </w:pPr>
      <w:bookmarkStart w:id="87" w:name="_Toc25571"/>
      <w:bookmarkStart w:id="88" w:name="_Toc32494"/>
      <w:bookmarkStart w:id="89" w:name="_Toc4720"/>
      <w:bookmarkStart w:id="90" w:name="_Toc26633"/>
      <w:bookmarkStart w:id="91" w:name="_Toc14371"/>
      <w:r>
        <w:rPr>
          <w:rFonts w:hint="eastAsia" w:ascii="宋体" w:hAnsi="宋体" w:cs="宋体"/>
          <w:sz w:val="24"/>
        </w:rPr>
        <w:t>2.10.1合同的权利义务依法不得转让，但经甲方书面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360" w:lineRule="auto"/>
        <w:ind w:firstLine="480" w:firstLineChars="200"/>
        <w:rPr>
          <w:rFonts w:ascii="宋体" w:hAnsi="宋体" w:cs="宋体"/>
          <w:sz w:val="24"/>
        </w:rPr>
      </w:pPr>
      <w:r>
        <w:rPr>
          <w:rFonts w:hint="eastAsia" w:ascii="宋体" w:hAnsi="宋体" w:cs="宋体"/>
          <w:sz w:val="24"/>
        </w:rPr>
        <w:t>2.10.2乙方采取分包方式履行合同的，甲方可直接向分包供应商支付款项。</w:t>
      </w:r>
    </w:p>
    <w:p>
      <w:pPr>
        <w:spacing w:line="360" w:lineRule="auto"/>
        <w:ind w:firstLine="480" w:firstLineChars="200"/>
        <w:rPr>
          <w:rFonts w:ascii="宋体" w:hAnsi="宋体" w:cs="宋体"/>
          <w:sz w:val="24"/>
        </w:rPr>
      </w:pPr>
      <w:r>
        <w:rPr>
          <w:rFonts w:hint="eastAsia" w:ascii="宋体" w:hAnsi="宋体" w:cs="宋体"/>
          <w:sz w:val="24"/>
        </w:rPr>
        <w:t>2.10.3分包内容           ，分包合同详见附件3。</w:t>
      </w:r>
    </w:p>
    <w:p>
      <w:pPr>
        <w:spacing w:line="360" w:lineRule="auto"/>
        <w:ind w:firstLine="482" w:firstLineChars="200"/>
        <w:outlineLvl w:val="0"/>
        <w:rPr>
          <w:rFonts w:ascii="宋体" w:hAnsi="宋体" w:cs="宋体"/>
          <w:b/>
          <w:sz w:val="24"/>
        </w:rPr>
      </w:pPr>
      <w:r>
        <w:rPr>
          <w:rFonts w:hint="eastAsia" w:ascii="宋体" w:hAnsi="宋体" w:cs="宋体"/>
          <w:b/>
          <w:sz w:val="24"/>
        </w:rPr>
        <w:t>2.11 不可抗力</w:t>
      </w:r>
      <w:bookmarkEnd w:id="87"/>
      <w:bookmarkEnd w:id="88"/>
      <w:bookmarkEnd w:id="89"/>
      <w:bookmarkEnd w:id="90"/>
      <w:bookmarkEnd w:id="91"/>
    </w:p>
    <w:p>
      <w:pPr>
        <w:spacing w:line="360" w:lineRule="auto"/>
        <w:ind w:firstLine="480" w:firstLineChars="200"/>
        <w:rPr>
          <w:rFonts w:ascii="宋体" w:hAnsi="宋体" w:cs="宋体"/>
          <w:sz w:val="24"/>
        </w:rPr>
      </w:pPr>
      <w:r>
        <w:rPr>
          <w:rFonts w:hint="eastAsia" w:ascii="宋体" w:hAnsi="宋体" w:cs="宋体"/>
          <w:sz w:val="24"/>
        </w:rPr>
        <w:t>2.11.1如果任何一方遭遇法律规定的不可抗力，致使合同履行受阻时，履行合同的期限应予延长，延长的期限应相当于不可抗力所影响的时间；</w:t>
      </w:r>
    </w:p>
    <w:p>
      <w:pPr>
        <w:spacing w:line="360" w:lineRule="auto"/>
        <w:ind w:firstLine="480" w:firstLineChars="200"/>
        <w:rPr>
          <w:rFonts w:ascii="宋体" w:hAnsi="宋体" w:cs="宋体"/>
          <w:sz w:val="24"/>
        </w:rPr>
      </w:pPr>
      <w:r>
        <w:rPr>
          <w:rFonts w:hint="eastAsia" w:ascii="宋体" w:hAnsi="宋体" w:cs="宋体"/>
          <w:sz w:val="24"/>
        </w:rPr>
        <w:t>2.11.2 因不可抗力致使不能实现合同目的的，当事人可以解除合同；</w:t>
      </w:r>
    </w:p>
    <w:p>
      <w:pPr>
        <w:spacing w:line="360" w:lineRule="auto"/>
        <w:ind w:firstLine="480" w:firstLineChars="200"/>
        <w:rPr>
          <w:rFonts w:ascii="宋体" w:hAnsi="宋体" w:cs="宋体"/>
          <w:sz w:val="24"/>
        </w:rPr>
      </w:pPr>
      <w:r>
        <w:rPr>
          <w:rFonts w:hint="eastAsia" w:ascii="宋体" w:hAnsi="宋体" w:cs="宋体"/>
          <w:sz w:val="24"/>
        </w:rPr>
        <w:t>2.11.3 因不可抗力致使合同有变更必要的，双方当事人应在</w:t>
      </w:r>
      <w:r>
        <w:rPr>
          <w:rFonts w:hint="eastAsia" w:ascii="宋体" w:hAnsi="宋体" w:cs="宋体"/>
          <w:b/>
          <w:i/>
          <w:sz w:val="24"/>
          <w:u w:val="single"/>
        </w:rPr>
        <w:t>合同专用条款</w:t>
      </w:r>
      <w:r>
        <w:rPr>
          <w:rFonts w:hint="eastAsia" w:ascii="宋体" w:hAnsi="宋体" w:cs="宋体"/>
          <w:sz w:val="24"/>
        </w:rPr>
        <w:t>约定时间内以书面形式变更合同；</w:t>
      </w:r>
    </w:p>
    <w:p>
      <w:pPr>
        <w:spacing w:line="360" w:lineRule="auto"/>
        <w:ind w:firstLine="480" w:firstLineChars="200"/>
        <w:rPr>
          <w:rFonts w:ascii="宋体" w:hAnsi="宋体" w:cs="宋体"/>
          <w:sz w:val="24"/>
        </w:rPr>
      </w:pPr>
      <w:r>
        <w:rPr>
          <w:rFonts w:hint="eastAsia" w:ascii="宋体" w:hAnsi="宋体" w:cs="宋体"/>
          <w:sz w:val="24"/>
        </w:rPr>
        <w:t>2.11.4受不可抗力影响的一方在不可抗力发生后，应在</w:t>
      </w:r>
      <w:r>
        <w:rPr>
          <w:rFonts w:hint="eastAsia" w:ascii="宋体" w:hAnsi="宋体" w:cs="宋体"/>
          <w:b/>
          <w:i/>
          <w:sz w:val="24"/>
          <w:u w:val="single"/>
        </w:rPr>
        <w:t>合同专用条款</w:t>
      </w:r>
      <w:r>
        <w:rPr>
          <w:rFonts w:hint="eastAsia" w:ascii="宋体" w:hAnsi="宋体" w:cs="宋体"/>
          <w:sz w:val="24"/>
        </w:rPr>
        <w:t>约定时间内以书面形式通知对方当事人，并在</w:t>
      </w:r>
      <w:r>
        <w:rPr>
          <w:rFonts w:hint="eastAsia" w:ascii="宋体" w:hAnsi="宋体" w:cs="宋体"/>
          <w:b/>
          <w:i/>
          <w:sz w:val="24"/>
          <w:u w:val="single"/>
        </w:rPr>
        <w:t>合同专用条款</w:t>
      </w:r>
      <w:r>
        <w:rPr>
          <w:rFonts w:hint="eastAsia" w:ascii="宋体" w:hAnsi="宋体" w:cs="宋体"/>
          <w:sz w:val="24"/>
        </w:rPr>
        <w:t>约定时间内，将有关部门出具的证明文件送达对方当事人。</w:t>
      </w:r>
    </w:p>
    <w:p>
      <w:pPr>
        <w:spacing w:line="360" w:lineRule="auto"/>
        <w:ind w:firstLine="482" w:firstLineChars="200"/>
        <w:outlineLvl w:val="0"/>
        <w:rPr>
          <w:rFonts w:ascii="宋体" w:hAnsi="宋体" w:cs="宋体"/>
          <w:b/>
          <w:sz w:val="24"/>
        </w:rPr>
      </w:pPr>
      <w:bookmarkStart w:id="92" w:name="_Toc24465"/>
      <w:bookmarkStart w:id="93" w:name="_Toc25783"/>
      <w:bookmarkStart w:id="94" w:name="_Toc3638"/>
      <w:bookmarkStart w:id="95" w:name="_Toc14115"/>
      <w:bookmarkStart w:id="96" w:name="_Toc23854"/>
      <w:r>
        <w:rPr>
          <w:rFonts w:hint="eastAsia" w:ascii="宋体" w:hAnsi="宋体" w:cs="宋体"/>
          <w:b/>
          <w:sz w:val="24"/>
        </w:rPr>
        <w:t>2.12 税费</w:t>
      </w:r>
      <w:bookmarkEnd w:id="92"/>
      <w:bookmarkEnd w:id="93"/>
      <w:bookmarkEnd w:id="94"/>
      <w:bookmarkEnd w:id="95"/>
      <w:bookmarkEnd w:id="96"/>
    </w:p>
    <w:p>
      <w:pPr>
        <w:spacing w:line="360" w:lineRule="auto"/>
        <w:ind w:firstLine="480" w:firstLineChars="200"/>
        <w:rPr>
          <w:rFonts w:ascii="宋体" w:hAnsi="宋体" w:cs="宋体"/>
          <w:sz w:val="24"/>
        </w:rPr>
      </w:pPr>
      <w:r>
        <w:rPr>
          <w:rFonts w:hint="eastAsia" w:ascii="宋体" w:hAnsi="宋体" w:cs="宋体"/>
          <w:sz w:val="24"/>
        </w:rPr>
        <w:t>与合同有关的一切税费，均按照中华人民共和国法律的相关规定缴纳。</w:t>
      </w:r>
    </w:p>
    <w:p>
      <w:pPr>
        <w:spacing w:line="360" w:lineRule="auto"/>
        <w:ind w:firstLine="482" w:firstLineChars="200"/>
        <w:outlineLvl w:val="0"/>
        <w:rPr>
          <w:rFonts w:ascii="宋体" w:hAnsi="宋体" w:cs="宋体"/>
          <w:b/>
          <w:sz w:val="24"/>
        </w:rPr>
      </w:pPr>
      <w:bookmarkStart w:id="97" w:name="_Toc14814"/>
      <w:bookmarkStart w:id="98" w:name="_Toc7315"/>
      <w:bookmarkStart w:id="99" w:name="_Toc30105"/>
      <w:bookmarkStart w:id="100" w:name="_Toc25525"/>
      <w:bookmarkStart w:id="101" w:name="_Toc26883"/>
      <w:r>
        <w:rPr>
          <w:rFonts w:hint="eastAsia" w:ascii="宋体" w:hAnsi="宋体" w:cs="宋体"/>
          <w:b/>
          <w:sz w:val="24"/>
        </w:rPr>
        <w:t>2.13 乙方破产</w:t>
      </w:r>
      <w:bookmarkEnd w:id="97"/>
      <w:bookmarkEnd w:id="98"/>
      <w:bookmarkEnd w:id="99"/>
      <w:bookmarkEnd w:id="100"/>
      <w:bookmarkEnd w:id="101"/>
    </w:p>
    <w:p>
      <w:pPr>
        <w:spacing w:line="360" w:lineRule="auto"/>
        <w:ind w:firstLine="480" w:firstLineChars="200"/>
        <w:rPr>
          <w:rFonts w:ascii="宋体" w:hAnsi="宋体" w:cs="宋体"/>
          <w:sz w:val="24"/>
        </w:rPr>
      </w:pPr>
      <w:r>
        <w:rPr>
          <w:rFonts w:hint="eastAsia" w:ascii="宋体" w:hAnsi="宋体" w:cs="宋体"/>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360" w:lineRule="auto"/>
        <w:ind w:firstLine="482" w:firstLineChars="200"/>
        <w:outlineLvl w:val="0"/>
        <w:rPr>
          <w:rFonts w:ascii="宋体" w:hAnsi="宋体" w:cs="宋体"/>
          <w:b/>
          <w:sz w:val="24"/>
        </w:rPr>
      </w:pPr>
      <w:bookmarkStart w:id="102" w:name="_Toc1123"/>
      <w:bookmarkStart w:id="103" w:name="_Toc23323"/>
      <w:bookmarkStart w:id="104" w:name="_Toc2016"/>
      <w:r>
        <w:rPr>
          <w:rFonts w:hint="eastAsia" w:ascii="宋体" w:hAnsi="宋体" w:cs="宋体"/>
          <w:b/>
          <w:sz w:val="24"/>
        </w:rPr>
        <w:t>2.14 合同中止、终止</w:t>
      </w:r>
      <w:bookmarkEnd w:id="102"/>
      <w:bookmarkEnd w:id="103"/>
      <w:bookmarkEnd w:id="104"/>
    </w:p>
    <w:p>
      <w:pPr>
        <w:spacing w:line="360" w:lineRule="auto"/>
        <w:ind w:firstLine="480" w:firstLineChars="200"/>
        <w:rPr>
          <w:rFonts w:ascii="宋体" w:hAnsi="宋体" w:cs="宋体"/>
          <w:sz w:val="24"/>
        </w:rPr>
      </w:pPr>
      <w:r>
        <w:rPr>
          <w:rFonts w:hint="eastAsia" w:ascii="宋体" w:hAnsi="宋体" w:cs="宋体"/>
          <w:sz w:val="24"/>
        </w:rPr>
        <w:t>2.14.1 双方当事人不得擅自中止或者终止合同；</w:t>
      </w:r>
    </w:p>
    <w:p>
      <w:pPr>
        <w:spacing w:line="360" w:lineRule="auto"/>
        <w:ind w:firstLine="480" w:firstLineChars="200"/>
        <w:rPr>
          <w:rFonts w:ascii="宋体" w:hAnsi="宋体" w:cs="宋体"/>
          <w:sz w:val="24"/>
        </w:rPr>
      </w:pPr>
      <w:r>
        <w:rPr>
          <w:rFonts w:hint="eastAsia" w:ascii="宋体" w:hAnsi="宋体" w:cs="宋体"/>
          <w:sz w:val="24"/>
        </w:rPr>
        <w:t>2.14.2合同继续履行将损害国家利益和社会公共利益的，双方当事人应当中止或者终止合同。有过错的一方应当承担赔偿责任，双方当事人都有过错的，各自承担相应的责任。</w:t>
      </w:r>
    </w:p>
    <w:p>
      <w:pPr>
        <w:spacing w:line="360" w:lineRule="auto"/>
        <w:ind w:firstLine="482" w:firstLineChars="200"/>
        <w:outlineLvl w:val="0"/>
        <w:rPr>
          <w:rFonts w:ascii="宋体" w:hAnsi="宋体" w:cs="宋体"/>
          <w:b/>
          <w:sz w:val="24"/>
        </w:rPr>
      </w:pPr>
      <w:bookmarkStart w:id="105" w:name="_Toc14525"/>
      <w:bookmarkStart w:id="106" w:name="_Toc17363"/>
      <w:bookmarkStart w:id="107" w:name="_Toc1969"/>
      <w:r>
        <w:rPr>
          <w:rFonts w:hint="eastAsia" w:ascii="宋体" w:hAnsi="宋体" w:cs="宋体"/>
          <w:b/>
          <w:sz w:val="24"/>
        </w:rPr>
        <w:t>2.15 检验和验收</w:t>
      </w:r>
      <w:bookmarkEnd w:id="105"/>
      <w:bookmarkEnd w:id="106"/>
      <w:bookmarkEnd w:id="107"/>
    </w:p>
    <w:p>
      <w:pPr>
        <w:tabs>
          <w:tab w:val="left" w:pos="360"/>
          <w:tab w:val="left" w:pos="540"/>
          <w:tab w:val="left" w:pos="1080"/>
        </w:tabs>
        <w:spacing w:line="360" w:lineRule="auto"/>
        <w:ind w:firstLine="480" w:firstLineChars="200"/>
        <w:rPr>
          <w:rFonts w:ascii="宋体" w:hAnsi="宋体" w:cs="宋体"/>
          <w:sz w:val="24"/>
        </w:rPr>
      </w:pPr>
      <w:r>
        <w:rPr>
          <w:rFonts w:hint="eastAsia" w:ascii="宋体" w:hAnsi="宋体" w:cs="宋体"/>
          <w:sz w:val="24"/>
        </w:rPr>
        <w:t>2.15.1 乙方按照</w:t>
      </w:r>
      <w:r>
        <w:rPr>
          <w:rFonts w:hint="eastAsia" w:ascii="宋体" w:hAnsi="宋体" w:cs="宋体"/>
          <w:b/>
          <w:i/>
          <w:sz w:val="24"/>
          <w:u w:val="single"/>
        </w:rPr>
        <w:t>合同专用条款</w:t>
      </w:r>
      <w:r>
        <w:rPr>
          <w:rFonts w:hint="eastAsia" w:ascii="宋体" w:hAnsi="宋体" w:cs="宋体"/>
          <w:sz w:val="24"/>
        </w:rPr>
        <w:t>的约定，定期提交服务报告，甲方按照</w:t>
      </w:r>
      <w:r>
        <w:rPr>
          <w:rFonts w:hint="eastAsia" w:ascii="宋体" w:hAnsi="宋体" w:cs="宋体"/>
          <w:b/>
          <w:i/>
          <w:sz w:val="24"/>
          <w:u w:val="single"/>
        </w:rPr>
        <w:t>合同专用条款</w:t>
      </w:r>
      <w:r>
        <w:rPr>
          <w:rFonts w:hint="eastAsia" w:ascii="宋体" w:hAnsi="宋体" w:cs="宋体"/>
          <w:sz w:val="24"/>
        </w:rPr>
        <w:t>的约定进行定期验收；</w:t>
      </w:r>
    </w:p>
    <w:p>
      <w:pPr>
        <w:tabs>
          <w:tab w:val="left" w:pos="360"/>
          <w:tab w:val="left" w:pos="540"/>
          <w:tab w:val="left" w:pos="1080"/>
        </w:tabs>
        <w:spacing w:line="360" w:lineRule="auto"/>
        <w:ind w:firstLine="480" w:firstLineChars="200"/>
        <w:rPr>
          <w:rFonts w:ascii="宋体" w:hAnsi="宋体" w:cs="宋体"/>
          <w:sz w:val="24"/>
        </w:rPr>
      </w:pPr>
      <w:r>
        <w:rPr>
          <w:rFonts w:hint="eastAsia" w:ascii="宋体" w:hAnsi="宋体" w:cs="宋体"/>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360" w:lineRule="auto"/>
        <w:ind w:firstLine="480" w:firstLineChars="200"/>
        <w:rPr>
          <w:rFonts w:ascii="宋体" w:hAnsi="宋体" w:cs="宋体"/>
          <w:sz w:val="24"/>
        </w:rPr>
      </w:pPr>
      <w:r>
        <w:rPr>
          <w:rFonts w:hint="eastAsia" w:ascii="宋体" w:hAnsi="宋体" w:cs="宋体"/>
          <w:sz w:val="24"/>
        </w:rPr>
        <w:t>2.15.3 检验和验收标准、程序等具体内容以及前述验收书的效力详见</w:t>
      </w:r>
      <w:r>
        <w:rPr>
          <w:rFonts w:hint="eastAsia" w:ascii="宋体" w:hAnsi="宋体" w:cs="宋体"/>
          <w:b/>
          <w:i/>
          <w:sz w:val="24"/>
          <w:u w:val="single"/>
        </w:rPr>
        <w:t>合同专用条款</w:t>
      </w:r>
      <w:r>
        <w:rPr>
          <w:rFonts w:hint="eastAsia" w:ascii="宋体" w:hAnsi="宋体" w:cs="宋体"/>
          <w:i/>
          <w:sz w:val="24"/>
        </w:rPr>
        <w:t>。</w:t>
      </w:r>
    </w:p>
    <w:p>
      <w:pPr>
        <w:spacing w:line="360" w:lineRule="auto"/>
        <w:ind w:firstLine="482" w:firstLineChars="200"/>
        <w:outlineLvl w:val="0"/>
        <w:rPr>
          <w:rFonts w:ascii="宋体" w:hAnsi="宋体" w:cs="宋体"/>
          <w:b/>
          <w:sz w:val="24"/>
        </w:rPr>
      </w:pPr>
      <w:bookmarkStart w:id="108" w:name="_Toc9808"/>
      <w:bookmarkStart w:id="109" w:name="_Toc31892"/>
      <w:bookmarkStart w:id="110" w:name="_Toc12666"/>
      <w:bookmarkStart w:id="111" w:name="_Toc25198"/>
      <w:bookmarkStart w:id="112" w:name="_Toc2308"/>
      <w:r>
        <w:rPr>
          <w:rFonts w:hint="eastAsia" w:ascii="宋体" w:hAnsi="宋体" w:cs="宋体"/>
          <w:b/>
          <w:sz w:val="24"/>
        </w:rPr>
        <w:t>2.16 通知和送达</w:t>
      </w:r>
      <w:bookmarkEnd w:id="108"/>
      <w:bookmarkEnd w:id="109"/>
      <w:bookmarkEnd w:id="110"/>
      <w:bookmarkEnd w:id="111"/>
      <w:bookmarkEnd w:id="112"/>
    </w:p>
    <w:p>
      <w:pPr>
        <w:spacing w:line="360" w:lineRule="auto"/>
        <w:ind w:firstLine="480" w:firstLineChars="200"/>
        <w:rPr>
          <w:rFonts w:ascii="宋体" w:hAnsi="宋体" w:cs="宋体"/>
          <w:sz w:val="24"/>
        </w:rPr>
      </w:pPr>
      <w:bookmarkStart w:id="113" w:name="_Toc27674"/>
      <w:bookmarkStart w:id="114" w:name="_Toc18401"/>
      <w:r>
        <w:rPr>
          <w:rFonts w:hint="eastAsia" w:ascii="宋体" w:hAnsi="宋体" w:cs="宋体"/>
          <w:sz w:val="24"/>
        </w:rPr>
        <w:t>2.17.1任何一方因履行合同而以合同第一部分尾部所列明的传真或电子邮件 发出的所有通知、文件、材料，均视为已向对方当事人送达；任何一方变更上述送达方式或者地址的，应于</w:t>
      </w:r>
      <w:r>
        <w:rPr>
          <w:rFonts w:hint="eastAsia" w:ascii="宋体" w:hAnsi="宋体" w:cs="宋体"/>
          <w:sz w:val="24"/>
          <w:u w:val="single"/>
        </w:rPr>
        <w:t>3</w:t>
      </w:r>
      <w:r>
        <w:rPr>
          <w:rFonts w:hint="eastAsia" w:ascii="宋体" w:hAnsi="宋体" w:cs="宋体"/>
          <w:sz w:val="24"/>
        </w:rPr>
        <w:t>个工作日内书面通知对方当事人，在对方当事人收到有关变更通知之前，变更前的约定送达方式或者地址仍视为有效。</w:t>
      </w:r>
    </w:p>
    <w:p>
      <w:pPr>
        <w:spacing w:line="360" w:lineRule="auto"/>
        <w:ind w:firstLine="480" w:firstLineChars="200"/>
        <w:rPr>
          <w:rFonts w:ascii="宋体" w:hAnsi="宋体" w:cs="宋体"/>
          <w:sz w:val="24"/>
        </w:rPr>
      </w:pPr>
      <w:r>
        <w:rPr>
          <w:rFonts w:hint="eastAsia" w:ascii="宋体" w:hAnsi="宋体" w:cs="宋体"/>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3"/>
      <w:bookmarkEnd w:id="114"/>
    </w:p>
    <w:p>
      <w:pPr>
        <w:spacing w:line="360" w:lineRule="auto"/>
        <w:ind w:firstLine="482" w:firstLineChars="200"/>
        <w:outlineLvl w:val="0"/>
        <w:rPr>
          <w:rFonts w:ascii="宋体" w:hAnsi="宋体" w:cs="宋体"/>
          <w:b/>
          <w:sz w:val="24"/>
        </w:rPr>
      </w:pPr>
      <w:bookmarkStart w:id="115" w:name="_Toc5063"/>
      <w:bookmarkStart w:id="116" w:name="_Toc12254"/>
      <w:bookmarkStart w:id="117" w:name="_Toc27644"/>
      <w:bookmarkStart w:id="118" w:name="_Toc20808"/>
      <w:bookmarkStart w:id="119" w:name="_Toc28906"/>
      <w:r>
        <w:rPr>
          <w:rFonts w:hint="eastAsia" w:ascii="宋体" w:hAnsi="宋体" w:cs="宋体"/>
          <w:b/>
          <w:sz w:val="24"/>
        </w:rPr>
        <w:t>2.17 合同使用的文字和适用的法律</w:t>
      </w:r>
      <w:bookmarkEnd w:id="115"/>
      <w:bookmarkEnd w:id="116"/>
      <w:bookmarkEnd w:id="117"/>
      <w:bookmarkEnd w:id="118"/>
      <w:bookmarkEnd w:id="119"/>
    </w:p>
    <w:p>
      <w:pPr>
        <w:spacing w:line="360" w:lineRule="auto"/>
        <w:ind w:firstLine="480" w:firstLineChars="200"/>
        <w:rPr>
          <w:rFonts w:ascii="宋体" w:hAnsi="宋体" w:cs="宋体"/>
          <w:sz w:val="24"/>
        </w:rPr>
      </w:pPr>
      <w:r>
        <w:rPr>
          <w:rFonts w:hint="eastAsia" w:ascii="宋体" w:hAnsi="宋体" w:cs="宋体"/>
          <w:sz w:val="24"/>
        </w:rPr>
        <w:t>2.17.1 合同使用汉语书就、变更和解释；</w:t>
      </w:r>
    </w:p>
    <w:p>
      <w:pPr>
        <w:spacing w:line="360" w:lineRule="auto"/>
        <w:ind w:firstLine="480" w:firstLineChars="200"/>
        <w:rPr>
          <w:rFonts w:ascii="宋体" w:hAnsi="宋体" w:cs="宋体"/>
          <w:sz w:val="24"/>
        </w:rPr>
      </w:pPr>
      <w:r>
        <w:rPr>
          <w:rFonts w:hint="eastAsia" w:ascii="宋体" w:hAnsi="宋体" w:cs="宋体"/>
          <w:sz w:val="24"/>
        </w:rPr>
        <w:t>2.17.2 合同适用中华人民共和国法律。</w:t>
      </w:r>
    </w:p>
    <w:p>
      <w:pPr>
        <w:spacing w:line="360" w:lineRule="auto"/>
        <w:ind w:firstLine="482" w:firstLineChars="200"/>
        <w:outlineLvl w:val="0"/>
        <w:rPr>
          <w:rFonts w:ascii="宋体" w:hAnsi="宋体" w:cs="宋体"/>
          <w:b/>
          <w:sz w:val="24"/>
        </w:rPr>
      </w:pPr>
      <w:bookmarkStart w:id="120" w:name="_Toc27403"/>
      <w:bookmarkStart w:id="121" w:name="_Toc27127"/>
      <w:bookmarkStart w:id="122" w:name="_Toc1492"/>
      <w:bookmarkStart w:id="123" w:name="_Toc22266"/>
      <w:bookmarkStart w:id="124" w:name="_Toc30096"/>
      <w:r>
        <w:rPr>
          <w:rFonts w:hint="eastAsia" w:ascii="宋体" w:hAnsi="宋体" w:cs="宋体"/>
          <w:b/>
          <w:sz w:val="24"/>
        </w:rPr>
        <w:t>2.18 履约保证金</w:t>
      </w:r>
      <w:bookmarkEnd w:id="120"/>
      <w:bookmarkEnd w:id="121"/>
      <w:bookmarkEnd w:id="122"/>
      <w:bookmarkEnd w:id="123"/>
      <w:bookmarkEnd w:id="124"/>
    </w:p>
    <w:p>
      <w:pPr>
        <w:pStyle w:val="33"/>
        <w:spacing w:before="0" w:beforeAutospacing="0" w:after="0" w:afterAutospacing="0" w:line="360" w:lineRule="auto"/>
        <w:ind w:firstLine="420"/>
      </w:pPr>
      <w:r>
        <w:rPr>
          <w:rFonts w:hint="eastAsia"/>
        </w:rPr>
        <w:t>2.18.1 采购文件要求乙方提交履约保证金的，乙方应按</w:t>
      </w:r>
      <w:r>
        <w:rPr>
          <w:rFonts w:hint="eastAsia"/>
          <w:b/>
          <w:i/>
          <w:u w:val="single"/>
        </w:rPr>
        <w:t>合同专用条款</w:t>
      </w:r>
      <w:r>
        <w:rPr>
          <w:rFonts w:hint="eastAsia"/>
        </w:rPr>
        <w:t>约定的方式，以支票、汇票、本票或者金融机构、担保机构出具的保函等非现金形式，提交不超过项目预算1%的履约保证金；鼓励和支持乙方以银行、保险公司出具的保函形式提供履约保证，乙方以银行、保险公司出具保函形式提交履约保证金的，甲方不得拒收。</w:t>
      </w:r>
    </w:p>
    <w:p>
      <w:pPr>
        <w:spacing w:line="360" w:lineRule="auto"/>
        <w:ind w:firstLine="480" w:firstLineChars="200"/>
        <w:rPr>
          <w:rFonts w:ascii="宋体" w:hAnsi="宋体" w:cs="宋体"/>
          <w:sz w:val="24"/>
        </w:rPr>
      </w:pPr>
      <w:r>
        <w:rPr>
          <w:rFonts w:hint="eastAsia" w:ascii="宋体" w:hAnsi="宋体" w:cs="宋体"/>
          <w:sz w:val="24"/>
        </w:rPr>
        <w:t>2.18.2  甲方在项目验收结束后及时退还履约保证金。甲方在项目通过验收之日起</w:t>
      </w:r>
      <w:r>
        <w:rPr>
          <w:rFonts w:hint="eastAsia" w:ascii="宋体" w:hAnsi="宋体" w:cs="宋体"/>
          <w:sz w:val="24"/>
          <w:u w:val="single"/>
        </w:rPr>
        <w:t xml:space="preserve"> 5 </w:t>
      </w:r>
      <w:r>
        <w:rPr>
          <w:rFonts w:hint="eastAsia" w:ascii="宋体" w:hAnsi="宋体" w:cs="宋体"/>
          <w:sz w:val="24"/>
        </w:rPr>
        <w:t>个工作日内，按</w:t>
      </w:r>
      <w:r>
        <w:rPr>
          <w:rFonts w:hint="eastAsia" w:ascii="宋体" w:hAnsi="宋体" w:cs="宋体"/>
          <w:b/>
          <w:i/>
          <w:sz w:val="24"/>
          <w:u w:val="single"/>
        </w:rPr>
        <w:t>合同专用条款</w:t>
      </w:r>
      <w:r>
        <w:rPr>
          <w:rFonts w:hint="eastAsia" w:ascii="宋体" w:hAnsi="宋体" w:cs="宋体"/>
          <w:sz w:val="24"/>
        </w:rPr>
        <w:t>约定的方式将履约保证金退还乙方，逾期退还的，乙方可要求甲方支付违约金，违约金按每迟延退还一日的应退还而未退还金额的</w:t>
      </w:r>
      <w:r>
        <w:rPr>
          <w:rFonts w:hint="eastAsia" w:ascii="宋体" w:hAnsi="宋体" w:cs="宋体"/>
          <w:sz w:val="24"/>
          <w:u w:val="single"/>
        </w:rPr>
        <w:t xml:space="preserve">  0.05  </w:t>
      </w:r>
      <w:r>
        <w:rPr>
          <w:rFonts w:hint="eastAsia" w:ascii="宋体" w:hAnsi="宋体" w:cs="宋体"/>
          <w:sz w:val="24"/>
        </w:rPr>
        <w:t>%计算，最高限额为本合同履约保证金的</w:t>
      </w:r>
      <w:r>
        <w:rPr>
          <w:rFonts w:hint="eastAsia" w:ascii="宋体" w:hAnsi="宋体" w:cs="宋体"/>
          <w:sz w:val="24"/>
          <w:u w:val="single"/>
        </w:rPr>
        <w:t xml:space="preserve">  20   </w:t>
      </w:r>
      <w:r>
        <w:rPr>
          <w:rFonts w:hint="eastAsia" w:ascii="宋体" w:hAnsi="宋体" w:cs="宋体"/>
          <w:sz w:val="24"/>
        </w:rPr>
        <w:t xml:space="preserve">%； </w:t>
      </w:r>
    </w:p>
    <w:p>
      <w:pPr>
        <w:spacing w:line="360" w:lineRule="auto"/>
        <w:ind w:firstLine="480" w:firstLineChars="200"/>
        <w:rPr>
          <w:rFonts w:ascii="宋体" w:hAnsi="宋体" w:cs="宋体"/>
          <w:sz w:val="24"/>
        </w:rPr>
      </w:pPr>
      <w:r>
        <w:rPr>
          <w:rFonts w:hint="eastAsia" w:ascii="宋体" w:hAnsi="宋体" w:cs="宋体"/>
          <w:sz w:val="24"/>
        </w:rPr>
        <w:t>2.18.3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360" w:lineRule="auto"/>
        <w:ind w:firstLine="480" w:firstLineChars="200"/>
        <w:rPr>
          <w:rFonts w:ascii="宋体" w:hAnsi="宋体" w:cs="宋体"/>
          <w:sz w:val="24"/>
        </w:rPr>
      </w:pPr>
      <w:r>
        <w:rPr>
          <w:rFonts w:hint="eastAsia" w:ascii="宋体" w:hAnsi="宋体" w:cs="宋体"/>
          <w:sz w:val="24"/>
        </w:rPr>
        <w:t>2.18.4甲方向乙方收取履约保证金为项目预算的1%。</w:t>
      </w:r>
    </w:p>
    <w:p>
      <w:pPr>
        <w:spacing w:line="360" w:lineRule="auto"/>
        <w:ind w:firstLine="480" w:firstLineChars="200"/>
        <w:rPr>
          <w:rFonts w:ascii="宋体" w:hAnsi="宋体" w:cs="宋体"/>
          <w:sz w:val="24"/>
        </w:rPr>
      </w:pPr>
      <w:r>
        <w:rPr>
          <w:rFonts w:hint="eastAsia" w:ascii="宋体" w:hAnsi="宋体" w:cs="宋体"/>
          <w:sz w:val="24"/>
        </w:rPr>
        <w:t>2.18.5甲方在乙方履行完合同约定义务事项后及时退还，延迟退还的，应当按照合同约定和法律规定承担相应的赔偿责任。</w:t>
      </w:r>
    </w:p>
    <w:p>
      <w:pPr>
        <w:spacing w:line="360" w:lineRule="auto"/>
        <w:ind w:firstLine="482" w:firstLineChars="200"/>
        <w:rPr>
          <w:rFonts w:ascii="宋体" w:hAnsi="宋体" w:cs="宋体"/>
          <w:sz w:val="24"/>
        </w:rPr>
      </w:pPr>
      <w:r>
        <w:rPr>
          <w:rFonts w:hint="eastAsia" w:ascii="宋体" w:hAnsi="宋体" w:cs="宋体"/>
          <w:b/>
          <w:bCs/>
          <w:sz w:val="24"/>
        </w:rPr>
        <w:t>2.19</w:t>
      </w:r>
      <w:r>
        <w:rPr>
          <w:rFonts w:hint="eastAsia" w:ascii="宋体" w:hAnsi="宋体" w:cs="宋体"/>
          <w:sz w:val="24"/>
        </w:rPr>
        <w:t>对于因甲方原因导致变更、中止或者终止政府采购合同的，甲方应当依照合同约定对供应商受到的损失予以赔偿或者补偿。</w:t>
      </w:r>
    </w:p>
    <w:p>
      <w:pPr>
        <w:spacing w:line="360" w:lineRule="auto"/>
        <w:ind w:firstLine="482" w:firstLineChars="200"/>
        <w:rPr>
          <w:rFonts w:ascii="宋体" w:hAnsi="宋体" w:cs="宋体"/>
          <w:b/>
          <w:sz w:val="24"/>
        </w:rPr>
      </w:pPr>
      <w:r>
        <w:rPr>
          <w:rFonts w:hint="eastAsia" w:ascii="宋体" w:hAnsi="宋体" w:cs="宋体"/>
          <w:b/>
          <w:sz w:val="24"/>
        </w:rPr>
        <w:t>2.20合同份数</w:t>
      </w:r>
    </w:p>
    <w:p>
      <w:pPr>
        <w:spacing w:line="360" w:lineRule="auto"/>
        <w:ind w:firstLine="480" w:firstLineChars="200"/>
        <w:rPr>
          <w:rFonts w:ascii="宋体" w:hAnsi="宋体" w:cs="宋体"/>
          <w:sz w:val="24"/>
        </w:rPr>
      </w:pPr>
      <w:r>
        <w:rPr>
          <w:rFonts w:hint="eastAsia" w:ascii="宋体" w:hAnsi="宋体" w:cs="宋体"/>
          <w:sz w:val="24"/>
        </w:rPr>
        <w:t>合同份数按</w:t>
      </w:r>
      <w:r>
        <w:rPr>
          <w:rFonts w:hint="eastAsia" w:ascii="宋体" w:hAnsi="宋体" w:cs="宋体"/>
          <w:b/>
          <w:i/>
          <w:sz w:val="24"/>
          <w:u w:val="single"/>
        </w:rPr>
        <w:t>合同专用条款</w:t>
      </w:r>
      <w:r>
        <w:rPr>
          <w:rFonts w:hint="eastAsia" w:ascii="宋体" w:hAnsi="宋体" w:cs="宋体"/>
          <w:sz w:val="24"/>
        </w:rPr>
        <w:t>规定，每份均具有同等法律效力。</w:t>
      </w:r>
    </w:p>
    <w:p>
      <w:pPr>
        <w:pStyle w:val="31"/>
        <w:ind w:firstLine="420"/>
        <w:jc w:val="center"/>
        <w:rPr>
          <w:rFonts w:ascii="宋体" w:hAnsi="宋体" w:cs="宋体"/>
          <w:b/>
        </w:rPr>
      </w:pPr>
      <w:r>
        <w:rPr>
          <w:rFonts w:hint="eastAsia" w:ascii="宋体" w:hAnsi="宋体" w:cs="宋体"/>
          <w:kern w:val="0"/>
        </w:rPr>
        <w:br w:type="page"/>
      </w:r>
      <w:bookmarkStart w:id="125" w:name="_Toc331685784"/>
      <w:bookmarkEnd w:id="125"/>
      <w:r>
        <w:rPr>
          <w:rFonts w:hint="eastAsia" w:ascii="宋体" w:hAnsi="宋体" w:cs="宋体"/>
          <w:b/>
        </w:rPr>
        <w:t>第三部分合同专用条款</w:t>
      </w:r>
    </w:p>
    <w:p>
      <w:pPr>
        <w:spacing w:line="360" w:lineRule="auto"/>
        <w:ind w:firstLine="480" w:firstLineChars="200"/>
        <w:rPr>
          <w:rFonts w:ascii="宋体" w:hAnsi="宋体" w:cs="宋体"/>
          <w:sz w:val="24"/>
        </w:rPr>
      </w:pPr>
      <w:r>
        <w:rPr>
          <w:rFonts w:hint="eastAsia" w:ascii="宋体" w:hAnsi="宋体" w:cs="宋体"/>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pPr>
        <w:spacing w:line="360" w:lineRule="auto"/>
        <w:ind w:firstLine="480" w:firstLineChars="200"/>
        <w:rPr>
          <w:rFonts w:ascii="宋体" w:hAnsi="宋体" w:cs="宋体"/>
          <w:sz w:val="24"/>
        </w:rPr>
      </w:pPr>
      <w:r>
        <w:rPr>
          <w:rFonts w:hint="eastAsia" w:ascii="宋体" w:hAnsi="宋体" w:cs="宋体"/>
          <w:sz w:val="24"/>
        </w:rPr>
        <w:t>1.4.4</w:t>
      </w:r>
      <w:r>
        <w:rPr>
          <w:rFonts w:hint="eastAsia" w:ascii="宋体" w:hAnsi="宋体" w:cs="宋体"/>
          <w:sz w:val="24"/>
        </w:rPr>
        <w:tab/>
      </w:r>
      <w:r>
        <w:rPr>
          <w:rFonts w:hint="eastAsia" w:ascii="宋体" w:hAnsi="宋体" w:cs="宋体"/>
          <w:sz w:val="24"/>
        </w:rPr>
        <w:t>付款条件（进度和方式）：标项一和标项二：</w:t>
      </w:r>
    </w:p>
    <w:p>
      <w:pPr>
        <w:spacing w:line="360" w:lineRule="auto"/>
        <w:ind w:firstLine="480" w:firstLineChars="200"/>
        <w:rPr>
          <w:rFonts w:ascii="宋体" w:hAnsi="宋体" w:cs="宋体"/>
          <w:sz w:val="24"/>
        </w:rPr>
      </w:pPr>
      <w:r>
        <w:rPr>
          <w:rFonts w:hint="eastAsia" w:ascii="宋体" w:hAnsi="宋体" w:cs="宋体"/>
          <w:sz w:val="24"/>
        </w:rPr>
        <w:t>第一期：</w:t>
      </w:r>
      <w:r>
        <w:rPr>
          <w:rFonts w:hint="eastAsia" w:ascii="宋体" w:hAnsi="宋体" w:cs="宋体"/>
          <w:sz w:val="24"/>
          <w:lang w:eastAsia="zh-CN"/>
        </w:rPr>
        <w:t>合同签订后7个工作日内，待财政资金到位</w:t>
      </w:r>
      <w:r>
        <w:rPr>
          <w:rFonts w:hint="eastAsia" w:ascii="宋体" w:hAnsi="宋体" w:cs="宋体"/>
          <w:sz w:val="24"/>
        </w:rPr>
        <w:t>，甲方支付中标人合同金额的40％，同时乙方缴纳项目预算1%的履约保证。</w:t>
      </w:r>
    </w:p>
    <w:p>
      <w:pPr>
        <w:spacing w:line="360" w:lineRule="auto"/>
        <w:ind w:firstLine="480" w:firstLineChars="200"/>
        <w:rPr>
          <w:rFonts w:ascii="宋体" w:hAnsi="宋体" w:cs="宋体"/>
          <w:sz w:val="24"/>
        </w:rPr>
      </w:pPr>
      <w:r>
        <w:rPr>
          <w:rFonts w:hint="eastAsia" w:ascii="宋体" w:hAnsi="宋体" w:cs="宋体"/>
          <w:sz w:val="24"/>
        </w:rPr>
        <w:t>第二期：至2023年5月30日，无任何服务问题,凭双方签字盖章的验收意见、验收小组签字的验收报告、采购合同、单位保密协议、个人保密承诺书、日常保密教育台账、人员清单、每月人员社保交纳清单、驻点人员每日打卡记录、人员变更审批表（如有）、车辆信息、维护方案、安装施工组织方案、安全防护措施方案、工作量、工作数据、工作小结、周巡查登记记录报告、月巡查登记记录报告、月巡查维护报告、台账、设施维护前后照片、工作联系单、每日巡检报告及巡检路线图、《问题告知单》、产品说明书、产品合格证、原厂质保承诺函、质量保证书原件、三包凭证、原配的附件（如有）、产品生产日期凭证等、设施更换交接表、每季度抽测表、第三方具有CMA检测机构出具的检测报告（采购需求中反光系数等相应技术参数）、相关考核材料，根据合同单价及实际施工使用的产品数量、人员到位数、车辆使用数量，监理出具意见后按实结算，最多支付至预算安排</w:t>
      </w:r>
      <w:r>
        <w:rPr>
          <w:rFonts w:hint="eastAsia" w:ascii="宋体" w:hAnsi="宋体" w:cs="宋体"/>
          <w:sz w:val="24"/>
          <w:lang w:val="zh-CN"/>
        </w:rPr>
        <w:t>（含</w:t>
      </w:r>
      <w:r>
        <w:rPr>
          <w:rFonts w:hint="eastAsia" w:ascii="宋体" w:hAnsi="宋体" w:cs="宋体"/>
          <w:sz w:val="24"/>
        </w:rPr>
        <w:t>甲方</w:t>
      </w:r>
      <w:r>
        <w:rPr>
          <w:rFonts w:hint="eastAsia" w:ascii="宋体" w:hAnsi="宋体" w:cs="宋体"/>
          <w:sz w:val="24"/>
          <w:lang w:val="zh-CN"/>
        </w:rPr>
        <w:t>已向</w:t>
      </w:r>
      <w:r>
        <w:rPr>
          <w:rFonts w:hint="eastAsia" w:ascii="宋体" w:hAnsi="宋体" w:cs="宋体"/>
          <w:sz w:val="24"/>
        </w:rPr>
        <w:t>乙方</w:t>
      </w:r>
      <w:r>
        <w:rPr>
          <w:rFonts w:hint="eastAsia" w:ascii="宋体" w:hAnsi="宋体" w:cs="宋体"/>
          <w:sz w:val="24"/>
          <w:lang w:val="zh-CN"/>
        </w:rPr>
        <w:t>支付的</w:t>
      </w:r>
      <w:r>
        <w:rPr>
          <w:rFonts w:hint="eastAsia" w:ascii="宋体" w:hAnsi="宋体" w:cs="宋体"/>
          <w:sz w:val="24"/>
        </w:rPr>
        <w:t>各标项</w:t>
      </w:r>
      <w:r>
        <w:rPr>
          <w:rFonts w:hint="eastAsia" w:ascii="宋体" w:hAnsi="宋体" w:cs="宋体"/>
          <w:sz w:val="24"/>
          <w:lang w:val="zh-CN"/>
        </w:rPr>
        <w:t>第一期合同价款）</w:t>
      </w:r>
      <w:r>
        <w:rPr>
          <w:rFonts w:hint="eastAsia" w:ascii="宋体" w:hAnsi="宋体" w:cs="宋体"/>
          <w:sz w:val="24"/>
        </w:rPr>
        <w:t>。</w:t>
      </w:r>
    </w:p>
    <w:p>
      <w:pPr>
        <w:spacing w:line="360" w:lineRule="auto"/>
        <w:ind w:firstLine="480" w:firstLineChars="200"/>
        <w:rPr>
          <w:rFonts w:ascii="宋体" w:hAnsi="宋体" w:cs="宋体"/>
          <w:sz w:val="24"/>
          <w:lang w:val="zh-CN"/>
        </w:rPr>
      </w:pPr>
      <w:r>
        <w:rPr>
          <w:rFonts w:hint="eastAsia" w:ascii="宋体" w:hAnsi="宋体" w:cs="宋体"/>
          <w:sz w:val="24"/>
        </w:rPr>
        <w:t>第三期：合同期结束，无任何服务问题，凭双方签字盖章的验收意见、验收小组签字的验收报告、采购合同、单位保密协议、个人保密承诺书、日常保密教育台账、人员清单、每月人员社保交纳清单、驻点人员每日打卡记录、人员变更审批表（如有）、车辆信息、维护方案、安装施工组织方案、安全防护措施方案、工作量、工作数据、工作小结、周巡查登记记录报告、月巡查登记记录报告、月巡查维护报告、台账、设施维护前后照片、工作联系单、每日巡检报告及巡检路线图、《问题告知单》、产品说明书、产品合格证、原厂质保承诺函、质量保证书原件、三包凭证、原配的附件（如有）、产品生产日期凭证等、设施更换交接表、每季度抽测表、监理总结、验收总结报告、相关考核材料及公示截图等相关资料，根据合同单价及实际施工使用的产品数量、人员到位数、车辆使用数量，监理出具意见后按实结算合同尾款，</w:t>
      </w:r>
      <w:r>
        <w:rPr>
          <w:rFonts w:hint="eastAsia" w:ascii="宋体" w:hAnsi="宋体" w:cs="宋体"/>
          <w:sz w:val="24"/>
          <w:lang w:val="zh-CN"/>
        </w:rPr>
        <w:t>同时扣除</w:t>
      </w:r>
      <w:r>
        <w:rPr>
          <w:rFonts w:hint="eastAsia" w:ascii="宋体" w:hAnsi="宋体" w:cs="宋体"/>
          <w:sz w:val="24"/>
        </w:rPr>
        <w:t>乙方</w:t>
      </w:r>
      <w:r>
        <w:rPr>
          <w:rFonts w:hint="eastAsia" w:ascii="宋体" w:hAnsi="宋体" w:cs="宋体"/>
          <w:sz w:val="24"/>
          <w:lang w:val="zh-CN"/>
        </w:rPr>
        <w:t>应向甲方支付的违约金。</w:t>
      </w:r>
    </w:p>
    <w:p>
      <w:pPr>
        <w:spacing w:line="360" w:lineRule="auto"/>
        <w:ind w:firstLine="480" w:firstLineChars="200"/>
        <w:jc w:val="left"/>
        <w:rPr>
          <w:rFonts w:ascii="宋体" w:hAnsi="宋体" w:cs="宋体"/>
          <w:sz w:val="24"/>
          <w:lang w:val="zh-CN"/>
        </w:rPr>
      </w:pPr>
      <w:r>
        <w:rPr>
          <w:rFonts w:hint="eastAsia" w:ascii="宋体" w:hAnsi="宋体" w:cs="宋体"/>
          <w:sz w:val="24"/>
          <w:lang w:val="zh-CN"/>
        </w:rPr>
        <w:t>双方确认，</w:t>
      </w:r>
      <w:r>
        <w:rPr>
          <w:rFonts w:hint="eastAsia" w:ascii="宋体" w:hAnsi="宋体" w:cs="宋体"/>
          <w:sz w:val="24"/>
        </w:rPr>
        <w:t>甲方</w:t>
      </w:r>
      <w:r>
        <w:rPr>
          <w:rFonts w:hint="eastAsia" w:ascii="宋体" w:hAnsi="宋体" w:cs="宋体"/>
          <w:sz w:val="24"/>
          <w:lang w:val="zh-CN"/>
        </w:rPr>
        <w:t>按前</w:t>
      </w:r>
      <w:r>
        <w:rPr>
          <w:rFonts w:hint="eastAsia" w:ascii="宋体" w:hAnsi="宋体" w:cs="宋体"/>
          <w:sz w:val="24"/>
        </w:rPr>
        <w:t>三</w:t>
      </w:r>
      <w:r>
        <w:rPr>
          <w:rFonts w:hint="eastAsia" w:ascii="宋体" w:hAnsi="宋体" w:cs="宋体"/>
          <w:sz w:val="24"/>
          <w:lang w:val="zh-CN"/>
        </w:rPr>
        <w:t>款结算并向</w:t>
      </w:r>
      <w:r>
        <w:rPr>
          <w:rFonts w:hint="eastAsia" w:ascii="宋体" w:hAnsi="宋体" w:cs="宋体"/>
          <w:sz w:val="24"/>
        </w:rPr>
        <w:t>乙方</w:t>
      </w:r>
      <w:r>
        <w:rPr>
          <w:rFonts w:hint="eastAsia" w:ascii="宋体" w:hAnsi="宋体" w:cs="宋体"/>
          <w:sz w:val="24"/>
          <w:lang w:val="zh-CN"/>
        </w:rPr>
        <w:t>支付的款项总额不超过项目预算。</w:t>
      </w:r>
    </w:p>
    <w:p>
      <w:pPr>
        <w:spacing w:line="360" w:lineRule="auto"/>
        <w:ind w:firstLine="480" w:firstLineChars="200"/>
        <w:rPr>
          <w:rFonts w:ascii="宋体" w:hAnsi="宋体" w:cs="宋体"/>
          <w:sz w:val="24"/>
          <w:lang w:val="zh-CN"/>
        </w:rPr>
      </w:pPr>
      <w:r>
        <w:rPr>
          <w:rFonts w:hint="eastAsia" w:ascii="宋体" w:hAnsi="宋体" w:cs="宋体"/>
          <w:sz w:val="24"/>
          <w:lang w:val="zh-CN"/>
        </w:rPr>
        <w:t>前述</w:t>
      </w:r>
      <w:r>
        <w:rPr>
          <w:rFonts w:hint="eastAsia" w:ascii="宋体" w:hAnsi="宋体" w:cs="宋体"/>
          <w:sz w:val="24"/>
        </w:rPr>
        <w:t>甲方根据合同单价及实际施工使用的产品数量、人员到位数、车辆使用数量</w:t>
      </w:r>
      <w:r>
        <w:rPr>
          <w:rFonts w:hint="eastAsia" w:ascii="宋体" w:hAnsi="宋体" w:cs="宋体"/>
          <w:sz w:val="24"/>
          <w:lang w:val="zh-CN"/>
        </w:rPr>
        <w:t>与</w:t>
      </w:r>
      <w:r>
        <w:rPr>
          <w:rFonts w:hint="eastAsia" w:ascii="宋体" w:hAnsi="宋体" w:cs="宋体"/>
          <w:sz w:val="24"/>
        </w:rPr>
        <w:t>乙方</w:t>
      </w:r>
      <w:r>
        <w:rPr>
          <w:rFonts w:hint="eastAsia" w:ascii="宋体" w:hAnsi="宋体" w:cs="宋体"/>
          <w:sz w:val="24"/>
          <w:lang w:val="zh-CN"/>
        </w:rPr>
        <w:t>进行按实结算付款的方式不影响</w:t>
      </w:r>
      <w:r>
        <w:rPr>
          <w:rFonts w:hint="eastAsia" w:ascii="宋体" w:hAnsi="宋体" w:cs="宋体"/>
          <w:sz w:val="24"/>
        </w:rPr>
        <w:t>乙方</w:t>
      </w:r>
      <w:r>
        <w:rPr>
          <w:rFonts w:hint="eastAsia" w:ascii="宋体" w:hAnsi="宋体" w:cs="宋体"/>
          <w:sz w:val="24"/>
          <w:lang w:val="zh-CN"/>
        </w:rPr>
        <w:t>承担其因未全面履行本合同义务而产生的相应违约金。</w:t>
      </w:r>
    </w:p>
    <w:p>
      <w:pPr>
        <w:spacing w:line="360" w:lineRule="auto"/>
        <w:ind w:firstLine="480" w:firstLineChars="200"/>
        <w:rPr>
          <w:rFonts w:ascii="宋体" w:hAnsi="宋体" w:cs="宋体"/>
          <w:sz w:val="24"/>
        </w:rPr>
      </w:pPr>
      <w:r>
        <w:rPr>
          <w:rFonts w:hint="eastAsia" w:ascii="宋体" w:hAnsi="宋体" w:cs="宋体"/>
          <w:sz w:val="24"/>
        </w:rPr>
        <w:t>1.5.1履行期限：合同签订之日起至2023年10月31日。</w:t>
      </w:r>
    </w:p>
    <w:p>
      <w:pPr>
        <w:spacing w:line="360" w:lineRule="auto"/>
        <w:ind w:left="210" w:leftChars="100" w:firstLine="240" w:firstLineChars="100"/>
        <w:jc w:val="left"/>
        <w:rPr>
          <w:rFonts w:ascii="宋体" w:hAnsi="宋体" w:cs="宋体"/>
          <w:sz w:val="24"/>
        </w:rPr>
      </w:pPr>
      <w:r>
        <w:rPr>
          <w:rFonts w:hint="eastAsia" w:ascii="宋体" w:hAnsi="宋体" w:cs="宋体"/>
          <w:sz w:val="24"/>
        </w:rPr>
        <w:t>1.5.2履行地点：三大队地址：温州市龙湾区状元街道兴华路8号对面；五大队地址： 浙江省温州市龙湾区滨海四路与杨柳路交叉口西南方向30米。</w:t>
      </w:r>
    </w:p>
    <w:p>
      <w:pPr>
        <w:spacing w:line="360" w:lineRule="auto"/>
        <w:ind w:firstLine="480" w:firstLineChars="200"/>
        <w:rPr>
          <w:rFonts w:ascii="宋体" w:hAnsi="宋体" w:cs="宋体"/>
          <w:sz w:val="24"/>
        </w:rPr>
      </w:pPr>
      <w:r>
        <w:rPr>
          <w:rFonts w:hint="eastAsia" w:ascii="宋体" w:hAnsi="宋体" w:cs="宋体"/>
          <w:sz w:val="24"/>
        </w:rPr>
        <w:t>1.5.3履行方式：国库转账支付。</w:t>
      </w:r>
    </w:p>
    <w:p>
      <w:pPr>
        <w:spacing w:line="360" w:lineRule="auto"/>
        <w:rPr>
          <w:rFonts w:ascii="宋体" w:hAnsi="宋体" w:cs="宋体"/>
          <w:b/>
          <w:bCs/>
          <w:sz w:val="24"/>
        </w:rPr>
      </w:pPr>
      <w:r>
        <w:rPr>
          <w:rFonts w:hint="eastAsia" w:ascii="宋体" w:hAnsi="宋体" w:cs="宋体"/>
          <w:sz w:val="24"/>
        </w:rPr>
        <w:t>1.6.7违约责任</w:t>
      </w:r>
    </w:p>
    <w:p>
      <w:pPr>
        <w:spacing w:line="360" w:lineRule="auto"/>
        <w:jc w:val="left"/>
        <w:rPr>
          <w:rFonts w:ascii="宋体" w:hAnsi="宋体" w:cs="宋体"/>
          <w:iCs/>
          <w:sz w:val="24"/>
        </w:rPr>
      </w:pPr>
      <w:r>
        <w:rPr>
          <w:rFonts w:hint="eastAsia" w:ascii="宋体" w:hAnsi="宋体" w:cs="宋体"/>
          <w:iCs/>
          <w:sz w:val="24"/>
        </w:rPr>
        <w:t>甲方的违约责任：</w:t>
      </w:r>
    </w:p>
    <w:p>
      <w:pPr>
        <w:spacing w:line="360" w:lineRule="auto"/>
        <w:jc w:val="left"/>
        <w:rPr>
          <w:rFonts w:ascii="宋体" w:hAnsi="宋体" w:cs="宋体"/>
          <w:iCs/>
          <w:sz w:val="24"/>
          <w:highlight w:val="none"/>
        </w:rPr>
      </w:pPr>
      <w:r>
        <w:rPr>
          <w:rFonts w:hint="eastAsia" w:ascii="宋体" w:hAnsi="宋体" w:cs="宋体"/>
          <w:iCs/>
          <w:sz w:val="24"/>
        </w:rPr>
        <w:t>1.履约保证金在约定期间内（合同签订之日起至项目通过验收，乙方递交退还履约保证金申请</w:t>
      </w:r>
      <w:r>
        <w:rPr>
          <w:rFonts w:hint="eastAsia" w:ascii="宋体" w:hAnsi="宋体" w:cs="宋体"/>
          <w:iCs/>
          <w:sz w:val="24"/>
          <w:highlight w:val="none"/>
        </w:rPr>
        <w:t>前）不予退还。乙方在前述约定期间届满前能履行完合同约定义务事项的，甲方在前述约定期间届满之日起5个工作日内，按乙方缴纳履约保证金的方式将履约保证金退还乙方（无息），逾期退还的，乙方可要求甲方支付违约金，违约金按每迟延退还一日的应退还而未退还金额的0.05%计算，最高限额为本合同履约保证金的20%；</w:t>
      </w:r>
    </w:p>
    <w:p>
      <w:pPr>
        <w:spacing w:line="360" w:lineRule="auto"/>
        <w:jc w:val="left"/>
        <w:rPr>
          <w:rFonts w:ascii="宋体" w:hAnsi="宋体" w:cs="宋体"/>
          <w:iCs/>
          <w:sz w:val="24"/>
        </w:rPr>
      </w:pPr>
      <w:r>
        <w:rPr>
          <w:rFonts w:hint="eastAsia" w:ascii="宋体" w:hAnsi="宋体" w:cs="宋体"/>
          <w:iCs/>
          <w:sz w:val="24"/>
          <w:highlight w:val="none"/>
        </w:rPr>
        <w:t>2.除不可抗力外，如果甲方没有按照本合同约定的付款方式付款，那么乙方可要求甲方支付违约金，违约金按每迟延付款一日的应付而未付款的0.05%计算，最高限额为本项目预算的20%；迟延付款的违约金计算数额达到</w:t>
      </w:r>
      <w:r>
        <w:rPr>
          <w:rFonts w:hint="eastAsia" w:ascii="宋体" w:hAnsi="宋体" w:cs="宋体"/>
          <w:iCs/>
          <w:sz w:val="24"/>
        </w:rPr>
        <w:t>前述最高限额之日起，乙方有权在要求甲方支付违约金的同时，书面通知甲方解除合同；</w:t>
      </w:r>
    </w:p>
    <w:p>
      <w:pPr>
        <w:spacing w:line="360" w:lineRule="auto"/>
        <w:jc w:val="left"/>
        <w:rPr>
          <w:rFonts w:ascii="宋体" w:hAnsi="宋体" w:cs="宋体"/>
          <w:iCs/>
          <w:sz w:val="24"/>
        </w:rPr>
      </w:pPr>
      <w:r>
        <w:rPr>
          <w:rFonts w:hint="eastAsia" w:ascii="宋体" w:hAnsi="宋体" w:cs="宋体"/>
          <w:iCs/>
          <w:sz w:val="24"/>
        </w:rPr>
        <w:t>3.除不可抗力外，因甲方原因导致变更、中止或者终止政府采购合同的，甲方应当依照合同约定对乙方受到的损失予以赔偿或者补偿。</w:t>
      </w:r>
    </w:p>
    <w:p>
      <w:pPr>
        <w:spacing w:line="360" w:lineRule="auto"/>
        <w:jc w:val="left"/>
        <w:rPr>
          <w:rFonts w:ascii="宋体" w:hAnsi="宋体" w:cs="宋体"/>
          <w:iCs/>
          <w:sz w:val="24"/>
        </w:rPr>
      </w:pPr>
      <w:r>
        <w:rPr>
          <w:rFonts w:hint="eastAsia" w:ascii="宋体" w:hAnsi="宋体" w:cs="宋体"/>
          <w:iCs/>
          <w:sz w:val="24"/>
        </w:rPr>
        <w:t>乙方的违约责任：</w:t>
      </w:r>
    </w:p>
    <w:p>
      <w:pPr>
        <w:spacing w:line="360" w:lineRule="auto"/>
        <w:jc w:val="left"/>
        <w:rPr>
          <w:rFonts w:ascii="宋体" w:hAnsi="宋体" w:cs="宋体"/>
          <w:iCs/>
          <w:sz w:val="24"/>
        </w:rPr>
      </w:pPr>
      <w:r>
        <w:rPr>
          <w:rFonts w:hint="eastAsia" w:ascii="宋体" w:hAnsi="宋体" w:cs="宋体"/>
          <w:iCs/>
          <w:sz w:val="24"/>
        </w:rPr>
        <w:t>1.乙方每延迟一日缴纳履约保证金，违约金则按应缴纳的履约保证金金额的</w:t>
      </w:r>
    </w:p>
    <w:p>
      <w:pPr>
        <w:spacing w:line="360" w:lineRule="auto"/>
        <w:jc w:val="left"/>
        <w:rPr>
          <w:rFonts w:ascii="宋体" w:hAnsi="宋体" w:cs="宋体"/>
          <w:iCs/>
          <w:sz w:val="24"/>
        </w:rPr>
      </w:pPr>
      <w:r>
        <w:rPr>
          <w:rFonts w:hint="eastAsia" w:ascii="宋体" w:hAnsi="宋体" w:cs="宋体"/>
          <w:iCs/>
          <w:sz w:val="24"/>
        </w:rPr>
        <w:t>0.05%计算，最高限额为本合同履约保证金的20%；乙方逾期10日，未按要求缴纳履约保证金的，甲方有权在要求乙方支付违约金的同时，单方面解除合同，甲方由此产生的一切损失均由乙方负责赔偿。</w:t>
      </w:r>
    </w:p>
    <w:p>
      <w:pPr>
        <w:spacing w:line="360" w:lineRule="auto"/>
        <w:jc w:val="left"/>
        <w:rPr>
          <w:rFonts w:ascii="宋体" w:hAnsi="宋体" w:cs="宋体"/>
          <w:iCs/>
          <w:sz w:val="24"/>
        </w:rPr>
      </w:pPr>
      <w:r>
        <w:rPr>
          <w:rFonts w:hint="eastAsia" w:ascii="宋体" w:hAnsi="宋体" w:cs="宋体"/>
          <w:iCs/>
          <w:sz w:val="24"/>
        </w:rPr>
        <w:t>2.除不可抗力外，如果乙方没有按照本合同约定的期限、地点和方式提供服务，那么甲方可要求乙方支付违约金，违约金按每迟延提供服务一日的应提供服务而未提供服务价格的0.05%计算，最高限额为本项目预算的20%；迟延提供服务的违约金计算数额达到前述最高限额之日起，甲方有权在要求乙方支付违约金的同时，书面通知乙方解除本合同；</w:t>
      </w:r>
    </w:p>
    <w:p>
      <w:pPr>
        <w:spacing w:line="360" w:lineRule="auto"/>
        <w:jc w:val="left"/>
        <w:outlineLvl w:val="2"/>
        <w:rPr>
          <w:rFonts w:ascii="宋体" w:hAnsi="宋体" w:cs="宋体"/>
          <w:sz w:val="24"/>
        </w:rPr>
      </w:pPr>
      <w:r>
        <w:rPr>
          <w:rFonts w:hint="eastAsia" w:ascii="宋体" w:hAnsi="宋体" w:cs="宋体"/>
          <w:sz w:val="24"/>
        </w:rPr>
        <w:t>3</w:t>
      </w:r>
      <w:r>
        <w:rPr>
          <w:rFonts w:hint="eastAsia" w:ascii="宋体" w:hAnsi="宋体" w:cs="宋体"/>
          <w:iCs/>
          <w:sz w:val="24"/>
        </w:rPr>
        <w:t>.</w:t>
      </w:r>
      <w:r>
        <w:rPr>
          <w:rFonts w:hint="eastAsia" w:ascii="宋体" w:hAnsi="宋体" w:cs="宋体"/>
          <w:sz w:val="24"/>
        </w:rPr>
        <w:t>乙方擅自将本合同的全部或部分事务转由第三人承担，甲方可解除本合同，且乙方应按项目预算的30％向甲方支付违约金。如发生损失的，乙方还应赔偿甲方损失，赔偿金额不受项目预算限制。</w:t>
      </w:r>
    </w:p>
    <w:p>
      <w:pPr>
        <w:spacing w:line="360" w:lineRule="auto"/>
        <w:jc w:val="left"/>
        <w:outlineLvl w:val="2"/>
        <w:rPr>
          <w:rFonts w:ascii="宋体" w:hAnsi="宋体" w:cs="宋体"/>
          <w:sz w:val="24"/>
        </w:rPr>
      </w:pPr>
      <w:r>
        <w:rPr>
          <w:rFonts w:hint="eastAsia" w:ascii="宋体" w:hAnsi="宋体" w:cs="宋体"/>
          <w:sz w:val="24"/>
        </w:rPr>
        <w:t>4</w:t>
      </w:r>
      <w:r>
        <w:rPr>
          <w:rFonts w:hint="eastAsia" w:ascii="宋体" w:hAnsi="宋体" w:cs="宋体"/>
          <w:iCs/>
          <w:sz w:val="24"/>
        </w:rPr>
        <w:t>.服务期间，甲方每月对乙方实施考核，如有违约的，根据考核办法进行处置，直至</w:t>
      </w:r>
      <w:r>
        <w:rPr>
          <w:rFonts w:hint="eastAsia" w:ascii="宋体" w:hAnsi="宋体" w:cs="宋体"/>
          <w:sz w:val="24"/>
        </w:rPr>
        <w:t>解除合同。</w:t>
      </w:r>
    </w:p>
    <w:p>
      <w:pPr>
        <w:spacing w:line="360" w:lineRule="auto"/>
        <w:jc w:val="left"/>
        <w:outlineLvl w:val="2"/>
        <w:rPr>
          <w:rFonts w:ascii="宋体" w:hAnsi="宋体" w:cs="宋体"/>
          <w:sz w:val="24"/>
        </w:rPr>
      </w:pPr>
      <w:r>
        <w:rPr>
          <w:rFonts w:hint="eastAsia" w:ascii="宋体" w:hAnsi="宋体" w:cs="宋体"/>
          <w:sz w:val="24"/>
        </w:rPr>
        <w:t>5.乙方如未按施工安全责任要求施工，导致安全事故责任的，每发生一次扣除违约金10000元，由此产生的死亡事故，由乙方负责，且甲方有权解除合同。</w:t>
      </w:r>
    </w:p>
    <w:p>
      <w:pPr>
        <w:spacing w:line="360" w:lineRule="auto"/>
        <w:jc w:val="left"/>
        <w:outlineLvl w:val="2"/>
        <w:rPr>
          <w:rFonts w:ascii="宋体" w:hAnsi="宋体" w:cs="宋体"/>
          <w:iCs/>
          <w:sz w:val="24"/>
        </w:rPr>
      </w:pPr>
      <w:r>
        <w:rPr>
          <w:rFonts w:hint="eastAsia" w:ascii="宋体" w:hAnsi="宋体" w:cs="宋体"/>
          <w:sz w:val="24"/>
        </w:rPr>
        <w:t>6.乙方如</w:t>
      </w:r>
      <w:r>
        <w:rPr>
          <w:rFonts w:hint="eastAsia" w:ascii="宋体" w:hAnsi="宋体" w:cs="宋体"/>
          <w:iCs/>
          <w:sz w:val="24"/>
        </w:rPr>
        <w:t>违反相关保密规定</w:t>
      </w:r>
      <w:r>
        <w:rPr>
          <w:rFonts w:hint="eastAsia" w:ascii="宋体" w:hAnsi="宋体" w:cs="宋体"/>
          <w:sz w:val="24"/>
        </w:rPr>
        <w:t>，除扣除违约金10000元/次外，甲方将追究乙方一切法律责任。甲方应当对乙方及工作人员开展常态化安全保密教育，组织签订安全保密承诺书，明确具体安全管理内容、安全保密义务和责任。乙方应严格按照甲方规定使用、存储、处理文档资料和数据。合同终止时，乙方应当交还全部公安资料和数据。如乙方及乙方施工人员违反安全管理要求，构成违法犯罪的，甲方将报送本级政府采购和市场监督管理部门，提请列入政府采购严重违法失信行为记录名单、市场监督管理严重失信名单，并追究相关责任。</w:t>
      </w:r>
    </w:p>
    <w:p>
      <w:pPr>
        <w:spacing w:line="360" w:lineRule="auto"/>
        <w:jc w:val="left"/>
        <w:rPr>
          <w:rFonts w:ascii="宋体" w:hAnsi="宋体" w:cs="宋体"/>
          <w:iCs/>
          <w:sz w:val="24"/>
        </w:rPr>
      </w:pPr>
      <w:r>
        <w:rPr>
          <w:rFonts w:hint="eastAsia" w:ascii="宋体" w:hAnsi="宋体" w:cs="宋体"/>
          <w:iCs/>
          <w:sz w:val="24"/>
        </w:rPr>
        <w:t>7.乙方在本合同履行期限内产生的违约金由甲方在结算合同尾款时一次性扣除。</w:t>
      </w:r>
    </w:p>
    <w:p>
      <w:pPr>
        <w:spacing w:line="360" w:lineRule="auto"/>
        <w:rPr>
          <w:rFonts w:ascii="宋体" w:hAnsi="宋体" w:cs="宋体"/>
          <w:b/>
          <w:sz w:val="24"/>
        </w:rPr>
      </w:pPr>
      <w:r>
        <w:rPr>
          <w:rFonts w:hint="eastAsia" w:ascii="宋体" w:hAnsi="宋体" w:cs="宋体"/>
          <w:b/>
          <w:sz w:val="24"/>
        </w:rPr>
        <w:t>1.7合同争议的解决</w:t>
      </w:r>
    </w:p>
    <w:p>
      <w:pPr>
        <w:spacing w:line="360" w:lineRule="auto"/>
        <w:rPr>
          <w:rFonts w:ascii="宋体" w:hAnsi="宋体" w:cs="宋体"/>
          <w:sz w:val="24"/>
        </w:rPr>
      </w:pPr>
      <w:bookmarkStart w:id="126" w:name="_Toc94869455"/>
      <w:r>
        <w:rPr>
          <w:rFonts w:hint="eastAsia" w:ascii="宋体" w:hAnsi="宋体" w:cs="宋体"/>
          <w:sz w:val="24"/>
        </w:rPr>
        <w:t>本合同履行过程中发生的任何争议，双方当事人均可通过和解或者调解解决；不愿和解、调解或者和解、调解不成的，可以选择以下第</w:t>
      </w:r>
      <w:r>
        <w:rPr>
          <w:rFonts w:hint="eastAsia" w:ascii="宋体" w:hAnsi="宋体" w:cs="宋体"/>
          <w:sz w:val="24"/>
          <w:u w:val="single"/>
        </w:rPr>
        <w:t xml:space="preserve"> 1.7.2条</w:t>
      </w:r>
      <w:r>
        <w:rPr>
          <w:rFonts w:hint="eastAsia" w:ascii="宋体" w:hAnsi="宋体" w:cs="宋体"/>
          <w:sz w:val="24"/>
        </w:rPr>
        <w:t>款规定的方式解决：</w:t>
      </w:r>
      <w:bookmarkEnd w:id="126"/>
    </w:p>
    <w:p>
      <w:pPr>
        <w:spacing w:line="360" w:lineRule="auto"/>
        <w:rPr>
          <w:rFonts w:ascii="宋体" w:hAnsi="宋体" w:cs="宋体"/>
          <w:sz w:val="24"/>
        </w:rPr>
      </w:pPr>
      <w:bookmarkStart w:id="127" w:name="_Toc94869456"/>
      <w:r>
        <w:rPr>
          <w:rFonts w:hint="eastAsia" w:ascii="宋体" w:hAnsi="宋体" w:cs="宋体"/>
          <w:sz w:val="24"/>
        </w:rPr>
        <w:t>1.7.1 将争议提交仲裁委员会依申请仲裁时其现行有效的仲裁规则裁决；</w:t>
      </w:r>
      <w:bookmarkEnd w:id="127"/>
    </w:p>
    <w:p>
      <w:pPr>
        <w:spacing w:line="360" w:lineRule="auto"/>
        <w:rPr>
          <w:rFonts w:ascii="宋体" w:hAnsi="宋体" w:cs="宋体"/>
          <w:sz w:val="24"/>
        </w:rPr>
      </w:pPr>
      <w:bookmarkStart w:id="128" w:name="_Toc94869457"/>
      <w:r>
        <w:rPr>
          <w:rFonts w:hint="eastAsia" w:ascii="宋体" w:hAnsi="宋体" w:cs="宋体"/>
          <w:sz w:val="24"/>
        </w:rPr>
        <w:t>1.7.2 向甲方所在地人民法院起诉。</w:t>
      </w:r>
      <w:bookmarkEnd w:id="128"/>
    </w:p>
    <w:p>
      <w:pPr>
        <w:spacing w:line="360" w:lineRule="auto"/>
        <w:jc w:val="left"/>
        <w:outlineLvl w:val="1"/>
        <w:rPr>
          <w:rFonts w:ascii="宋体" w:hAnsi="宋体" w:cs="宋体"/>
          <w:sz w:val="24"/>
          <w:lang w:val="zh-CN"/>
        </w:rPr>
      </w:pPr>
      <w:r>
        <w:rPr>
          <w:rFonts w:hint="eastAsia" w:ascii="宋体" w:hAnsi="宋体" w:cs="宋体"/>
          <w:sz w:val="24"/>
          <w:lang w:val="zh-CN"/>
        </w:rPr>
        <w:t>2.5 结算方式和付款条件</w:t>
      </w:r>
    </w:p>
    <w:p>
      <w:pPr>
        <w:spacing w:line="360" w:lineRule="auto"/>
        <w:jc w:val="left"/>
        <w:outlineLvl w:val="1"/>
        <w:rPr>
          <w:rFonts w:ascii="宋体" w:hAnsi="宋体" w:cs="宋体"/>
          <w:sz w:val="24"/>
        </w:rPr>
      </w:pPr>
      <w:r>
        <w:rPr>
          <w:rFonts w:hint="eastAsia" w:ascii="宋体" w:hAnsi="宋体" w:cs="宋体"/>
          <w:sz w:val="24"/>
          <w:lang w:val="zh-CN"/>
        </w:rPr>
        <w:t xml:space="preserve">2.5 </w:t>
      </w:r>
      <w:r>
        <w:rPr>
          <w:rFonts w:hint="eastAsia" w:ascii="宋体" w:hAnsi="宋体" w:cs="宋体"/>
          <w:sz w:val="24"/>
        </w:rPr>
        <w:t>.1</w:t>
      </w:r>
      <w:r>
        <w:rPr>
          <w:rFonts w:hint="eastAsia" w:ascii="宋体" w:hAnsi="宋体" w:cs="宋体"/>
          <w:sz w:val="24"/>
          <w:lang w:val="zh-CN"/>
        </w:rPr>
        <w:t>结算方式</w:t>
      </w:r>
      <w:r>
        <w:rPr>
          <w:rFonts w:hint="eastAsia" w:ascii="宋体" w:hAnsi="宋体" w:cs="宋体"/>
          <w:sz w:val="24"/>
        </w:rPr>
        <w:t>:</w:t>
      </w:r>
      <w:r>
        <w:rPr>
          <w:rFonts w:hint="eastAsia" w:ascii="宋体" w:hAnsi="宋体" w:cs="宋体"/>
          <w:sz w:val="24"/>
          <w:lang w:val="zh-CN"/>
        </w:rPr>
        <w:t>分期结算支付。</w:t>
      </w:r>
    </w:p>
    <w:p>
      <w:pPr>
        <w:spacing w:line="360" w:lineRule="auto"/>
        <w:jc w:val="left"/>
        <w:outlineLvl w:val="1"/>
        <w:rPr>
          <w:rFonts w:ascii="宋体" w:hAnsi="宋体" w:cs="宋体"/>
          <w:sz w:val="24"/>
        </w:rPr>
      </w:pPr>
      <w:r>
        <w:rPr>
          <w:rFonts w:hint="eastAsia" w:ascii="宋体" w:hAnsi="宋体" w:cs="宋体"/>
          <w:sz w:val="24"/>
          <w:lang w:val="zh-CN"/>
        </w:rPr>
        <w:t xml:space="preserve">2.5 </w:t>
      </w:r>
      <w:r>
        <w:rPr>
          <w:rFonts w:hint="eastAsia" w:ascii="宋体" w:hAnsi="宋体" w:cs="宋体"/>
          <w:sz w:val="24"/>
        </w:rPr>
        <w:t>.1</w:t>
      </w:r>
      <w:r>
        <w:rPr>
          <w:rFonts w:hint="eastAsia" w:ascii="宋体" w:hAnsi="宋体" w:cs="宋体"/>
          <w:sz w:val="24"/>
          <w:lang w:val="zh-CN"/>
        </w:rPr>
        <w:t>付款条件</w:t>
      </w:r>
      <w:r>
        <w:rPr>
          <w:rFonts w:hint="eastAsia" w:ascii="宋体" w:hAnsi="宋体" w:cs="宋体"/>
          <w:sz w:val="24"/>
        </w:rPr>
        <w:t>:</w:t>
      </w:r>
      <w:r>
        <w:rPr>
          <w:rFonts w:hint="eastAsia" w:ascii="宋体" w:hAnsi="宋体" w:cs="宋体"/>
          <w:sz w:val="24"/>
          <w:lang w:val="zh-CN"/>
        </w:rPr>
        <w:t>详见本协议第三部分第1.4.4条。</w:t>
      </w:r>
    </w:p>
    <w:p>
      <w:pPr>
        <w:spacing w:line="360" w:lineRule="auto"/>
        <w:rPr>
          <w:rFonts w:ascii="宋体" w:hAnsi="宋体" w:cs="宋体"/>
          <w:sz w:val="24"/>
        </w:rPr>
      </w:pPr>
      <w:r>
        <w:rPr>
          <w:rFonts w:hint="eastAsia" w:ascii="宋体" w:hAnsi="宋体" w:cs="宋体"/>
          <w:sz w:val="24"/>
        </w:rPr>
        <w:t>2.11.3因不可抗力致使合同有变更必要的，双方当事人应在</w:t>
      </w:r>
      <w:r>
        <w:rPr>
          <w:rFonts w:hint="eastAsia" w:ascii="宋体" w:hAnsi="宋体" w:cs="宋体"/>
          <w:b/>
          <w:i/>
          <w:sz w:val="24"/>
          <w:u w:val="single"/>
        </w:rPr>
        <w:t>15个工作日</w:t>
      </w:r>
      <w:r>
        <w:rPr>
          <w:rFonts w:hint="eastAsia" w:ascii="宋体" w:hAnsi="宋体" w:cs="宋体"/>
          <w:sz w:val="24"/>
        </w:rPr>
        <w:t>内以书面形式变更合同；</w:t>
      </w:r>
    </w:p>
    <w:p>
      <w:pPr>
        <w:spacing w:line="360" w:lineRule="auto"/>
        <w:rPr>
          <w:rFonts w:ascii="宋体" w:hAnsi="宋体" w:cs="宋体"/>
          <w:sz w:val="24"/>
        </w:rPr>
      </w:pPr>
      <w:r>
        <w:rPr>
          <w:rFonts w:hint="eastAsia" w:ascii="宋体" w:hAnsi="宋体" w:cs="宋体"/>
          <w:sz w:val="24"/>
        </w:rPr>
        <w:t>2.11.4受不可抗力影响的一方在不可抗力发生后，应在</w:t>
      </w:r>
      <w:r>
        <w:rPr>
          <w:rFonts w:hint="eastAsia" w:ascii="宋体" w:hAnsi="宋体" w:cs="宋体"/>
          <w:b/>
          <w:i/>
          <w:sz w:val="24"/>
          <w:u w:val="single"/>
        </w:rPr>
        <w:t>7个工作日</w:t>
      </w:r>
      <w:r>
        <w:rPr>
          <w:rFonts w:hint="eastAsia" w:ascii="宋体" w:hAnsi="宋体" w:cs="宋体"/>
          <w:sz w:val="24"/>
        </w:rPr>
        <w:t>内以书面形式通知对方当事人，并在</w:t>
      </w:r>
      <w:r>
        <w:rPr>
          <w:rFonts w:hint="eastAsia" w:ascii="宋体" w:hAnsi="宋体" w:cs="宋体"/>
          <w:b/>
          <w:i/>
          <w:sz w:val="24"/>
          <w:u w:val="single"/>
        </w:rPr>
        <w:t>10个工作日</w:t>
      </w:r>
      <w:r>
        <w:rPr>
          <w:rFonts w:hint="eastAsia" w:ascii="宋体" w:hAnsi="宋体" w:cs="宋体"/>
          <w:sz w:val="24"/>
        </w:rPr>
        <w:t>内，将有关部门出具的证明文件送达对方当事人。</w:t>
      </w:r>
    </w:p>
    <w:p>
      <w:pPr>
        <w:spacing w:line="360" w:lineRule="auto"/>
        <w:ind w:firstLine="480" w:firstLineChars="200"/>
        <w:rPr>
          <w:rFonts w:ascii="宋体" w:hAnsi="宋体" w:cs="宋体"/>
          <w:sz w:val="24"/>
          <w:highlight w:val="none"/>
        </w:rPr>
      </w:pPr>
      <w:r>
        <w:rPr>
          <w:rFonts w:hint="eastAsia" w:ascii="宋体" w:hAnsi="宋体" w:cs="宋体"/>
          <w:sz w:val="24"/>
        </w:rPr>
        <w:t>2.16.3</w:t>
      </w:r>
      <w:r>
        <w:rPr>
          <w:rFonts w:hint="eastAsia" w:ascii="宋体" w:hAnsi="宋体" w:cs="宋体"/>
          <w:sz w:val="24"/>
        </w:rPr>
        <w:tab/>
      </w:r>
      <w:r>
        <w:rPr>
          <w:rFonts w:hint="eastAsia" w:ascii="宋体" w:hAnsi="宋体" w:cs="宋体"/>
          <w:sz w:val="24"/>
        </w:rPr>
        <w:t>甲方按照相关规定组织对乙方履约的验收。验收方成员应当在验收书上签字，并承担相应的法律责任。如果发现与合同中要求不符，乙方须承担由此发生的一切损失和费用，并接受相应的处理。</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严格按照采购合同开展履约验收。甲方</w:t>
      </w:r>
      <w:r>
        <w:rPr>
          <w:rFonts w:hint="eastAsia" w:ascii="宋体" w:hAnsi="宋体" w:cs="宋体"/>
          <w:sz w:val="24"/>
          <w:highlight w:val="none"/>
          <w:lang w:bidi="zh-CN"/>
        </w:rPr>
        <w:t>自行成立验收小组，验收小组共3人，由甲方1人、乙方1名，监理单位1人组成</w:t>
      </w:r>
      <w:r>
        <w:rPr>
          <w:rFonts w:hint="eastAsia" w:ascii="宋体" w:hAnsi="宋体" w:cs="宋体"/>
          <w:sz w:val="24"/>
          <w:highlight w:val="none"/>
        </w:rPr>
        <w:t>。按照采购合同的约定对乙方履约情况进行验收，验收时，按照采购合同的约定对每一项技术、服务、安全标准的履约情况进行确认，出具验收报告并经验收小组全体成员签字。甲方根据验收报告形成验收意见并经甲方与采购合同约定的资金支付及履约保证金返还条件挂钩。履约验收的各项资料应当存档备查。</w:t>
      </w:r>
    </w:p>
    <w:p>
      <w:pPr>
        <w:spacing w:line="360" w:lineRule="auto"/>
        <w:ind w:firstLine="480" w:firstLineChars="200"/>
        <w:rPr>
          <w:rFonts w:ascii="宋体" w:hAnsi="宋体" w:cs="宋体"/>
          <w:sz w:val="24"/>
        </w:rPr>
      </w:pPr>
      <w:r>
        <w:rPr>
          <w:rFonts w:hint="eastAsia" w:ascii="宋体" w:hAnsi="宋体" w:cs="宋体"/>
          <w:sz w:val="24"/>
        </w:rPr>
        <w:t>验收合格的项目，甲方将根据采购合同的约定及时向乙方支付采购资金、退还履约保证金。验收不合格的项目，甲方将依法及时处理。采购合同的履行、违约责任和解决争议的方式等适用《中华人民共和国民法典》。</w:t>
      </w:r>
    </w:p>
    <w:p>
      <w:pPr>
        <w:spacing w:line="360" w:lineRule="auto"/>
        <w:ind w:firstLine="480" w:firstLineChars="200"/>
        <w:rPr>
          <w:rFonts w:ascii="宋体" w:hAnsi="宋体" w:cs="宋体"/>
          <w:sz w:val="24"/>
        </w:rPr>
      </w:pPr>
      <w:r>
        <w:rPr>
          <w:rFonts w:hint="eastAsia" w:ascii="宋体" w:hAnsi="宋体" w:cs="宋体"/>
          <w:sz w:val="24"/>
        </w:rPr>
        <w:t>履约验收时间：</w:t>
      </w:r>
      <w:r>
        <w:rPr>
          <w:rFonts w:hint="eastAsia" w:hAnsi="宋体" w:cs="宋体"/>
          <w:sz w:val="24"/>
        </w:rPr>
        <w:t>2023年10月31日后，</w:t>
      </w:r>
      <w:r>
        <w:rPr>
          <w:rFonts w:hint="eastAsia" w:ascii="宋体" w:hAnsi="宋体" w:cs="宋体"/>
          <w:sz w:val="24"/>
        </w:rPr>
        <w:t>具体验收时间由甲方最终确定。</w:t>
      </w:r>
    </w:p>
    <w:p>
      <w:pPr>
        <w:spacing w:line="360" w:lineRule="auto"/>
        <w:ind w:firstLine="480" w:firstLineChars="200"/>
        <w:rPr>
          <w:rFonts w:ascii="宋体" w:hAnsi="宋体" w:cs="宋体"/>
          <w:sz w:val="24"/>
        </w:rPr>
      </w:pPr>
      <w:r>
        <w:rPr>
          <w:rFonts w:hint="eastAsia" w:ascii="宋体" w:hAnsi="宋体" w:cs="宋体"/>
          <w:sz w:val="24"/>
        </w:rPr>
        <w:t>标项一和标项二验收内容：</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255"/>
        <w:gridCol w:w="7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noWrap/>
            <w:vAlign w:val="center"/>
          </w:tcPr>
          <w:p>
            <w:pPr>
              <w:widowControl/>
              <w:spacing w:line="360" w:lineRule="auto"/>
              <w:jc w:val="center"/>
              <w:rPr>
                <w:rFonts w:ascii="宋体" w:hAnsi="宋体" w:cs="宋体"/>
                <w:kern w:val="0"/>
                <w:sz w:val="24"/>
              </w:rPr>
            </w:pPr>
            <w:r>
              <w:rPr>
                <w:rFonts w:hint="eastAsia" w:ascii="宋体" w:hAnsi="宋体" w:cs="宋体"/>
                <w:kern w:val="0"/>
                <w:sz w:val="24"/>
              </w:rPr>
              <w:t>序号</w:t>
            </w:r>
          </w:p>
        </w:tc>
        <w:tc>
          <w:tcPr>
            <w:tcW w:w="637" w:type="pct"/>
            <w:noWrap/>
            <w:vAlign w:val="center"/>
          </w:tcPr>
          <w:p>
            <w:pPr>
              <w:widowControl/>
              <w:spacing w:line="360" w:lineRule="auto"/>
              <w:jc w:val="center"/>
              <w:rPr>
                <w:rFonts w:ascii="宋体" w:hAnsi="宋体" w:cs="宋体"/>
                <w:kern w:val="0"/>
                <w:sz w:val="24"/>
              </w:rPr>
            </w:pPr>
            <w:r>
              <w:rPr>
                <w:rFonts w:hint="eastAsia" w:ascii="宋体" w:hAnsi="宋体" w:cs="宋体"/>
                <w:kern w:val="0"/>
                <w:sz w:val="24"/>
              </w:rPr>
              <w:t>验收内容</w:t>
            </w:r>
          </w:p>
        </w:tc>
        <w:tc>
          <w:tcPr>
            <w:tcW w:w="3950" w:type="pct"/>
            <w:noWrap/>
            <w:vAlign w:val="center"/>
          </w:tcPr>
          <w:p>
            <w:pPr>
              <w:widowControl/>
              <w:spacing w:line="360" w:lineRule="auto"/>
              <w:jc w:val="center"/>
              <w:rPr>
                <w:rFonts w:ascii="宋体" w:hAnsi="宋体" w:cs="宋体"/>
                <w:kern w:val="0"/>
                <w:sz w:val="24"/>
              </w:rPr>
            </w:pPr>
            <w:r>
              <w:rPr>
                <w:rFonts w:hint="eastAsia" w:ascii="宋体" w:hAnsi="宋体" w:cs="宋体"/>
                <w:kern w:val="0"/>
                <w:sz w:val="24"/>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jc w:val="center"/>
        </w:trPr>
        <w:tc>
          <w:tcPr>
            <w:tcW w:w="412" w:type="pct"/>
            <w:noWrap/>
            <w:vAlign w:val="center"/>
          </w:tcPr>
          <w:p>
            <w:pPr>
              <w:widowControl/>
              <w:spacing w:line="360" w:lineRule="auto"/>
              <w:jc w:val="center"/>
              <w:rPr>
                <w:rFonts w:ascii="宋体" w:hAnsi="宋体" w:cs="宋体"/>
                <w:kern w:val="0"/>
                <w:sz w:val="24"/>
              </w:rPr>
            </w:pPr>
            <w:r>
              <w:rPr>
                <w:rFonts w:hint="eastAsia" w:ascii="宋体" w:hAnsi="宋体" w:cs="宋体"/>
                <w:kern w:val="0"/>
                <w:sz w:val="24"/>
              </w:rPr>
              <w:t>1</w:t>
            </w:r>
          </w:p>
        </w:tc>
        <w:tc>
          <w:tcPr>
            <w:tcW w:w="637" w:type="pct"/>
            <w:noWrap/>
            <w:vAlign w:val="center"/>
          </w:tcPr>
          <w:p>
            <w:pPr>
              <w:widowControl/>
              <w:spacing w:line="360" w:lineRule="auto"/>
              <w:jc w:val="center"/>
              <w:rPr>
                <w:rFonts w:ascii="宋体" w:hAnsi="宋体" w:cs="宋体"/>
                <w:kern w:val="0"/>
                <w:sz w:val="24"/>
              </w:rPr>
            </w:pPr>
            <w:r>
              <w:rPr>
                <w:rFonts w:hint="eastAsia" w:ascii="宋体" w:hAnsi="宋体" w:cs="宋体"/>
                <w:kern w:val="0"/>
                <w:sz w:val="24"/>
              </w:rPr>
              <w:t>质量保证</w:t>
            </w:r>
          </w:p>
        </w:tc>
        <w:tc>
          <w:tcPr>
            <w:tcW w:w="3950" w:type="pct"/>
            <w:noWrap/>
            <w:vAlign w:val="center"/>
          </w:tcPr>
          <w:p>
            <w:pPr>
              <w:widowControl/>
              <w:spacing w:line="360" w:lineRule="auto"/>
              <w:jc w:val="left"/>
              <w:rPr>
                <w:rFonts w:ascii="宋体" w:hAnsi="宋体" w:cs="宋体"/>
                <w:kern w:val="0"/>
                <w:sz w:val="24"/>
              </w:rPr>
            </w:pPr>
            <w:r>
              <w:rPr>
                <w:rFonts w:hint="eastAsia" w:ascii="宋体" w:hAnsi="宋体" w:cs="宋体"/>
                <w:sz w:val="24"/>
              </w:rPr>
              <w:t>提供的产品品牌、型号、参数、数量、生产日期等是否与合同及投标文件承诺相符，检查资料是否提供了所有产品的产品拍照图片、产品说明书、产品合格证、质量保证书原件、原厂质保承诺函。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412" w:type="pct"/>
            <w:noWrap/>
            <w:vAlign w:val="center"/>
          </w:tcPr>
          <w:p>
            <w:pPr>
              <w:widowControl/>
              <w:spacing w:line="360" w:lineRule="auto"/>
              <w:jc w:val="center"/>
              <w:rPr>
                <w:rFonts w:ascii="宋体" w:hAnsi="宋体" w:cs="宋体"/>
                <w:kern w:val="0"/>
                <w:sz w:val="24"/>
              </w:rPr>
            </w:pPr>
            <w:r>
              <w:rPr>
                <w:rFonts w:hint="eastAsia" w:ascii="宋体" w:hAnsi="宋体" w:cs="宋体"/>
                <w:kern w:val="0"/>
                <w:sz w:val="24"/>
              </w:rPr>
              <w:t>2</w:t>
            </w:r>
          </w:p>
        </w:tc>
        <w:tc>
          <w:tcPr>
            <w:tcW w:w="637" w:type="pct"/>
            <w:noWrap/>
            <w:vAlign w:val="center"/>
          </w:tcPr>
          <w:p>
            <w:pPr>
              <w:spacing w:line="360" w:lineRule="auto"/>
              <w:jc w:val="center"/>
              <w:rPr>
                <w:rFonts w:ascii="宋体" w:hAnsi="宋体" w:cs="宋体"/>
                <w:kern w:val="0"/>
                <w:sz w:val="24"/>
              </w:rPr>
            </w:pPr>
            <w:r>
              <w:rPr>
                <w:rFonts w:hint="eastAsia" w:ascii="宋体" w:hAnsi="宋体" w:cs="宋体"/>
                <w:sz w:val="24"/>
              </w:rPr>
              <w:t>服务要求</w:t>
            </w:r>
          </w:p>
        </w:tc>
        <w:tc>
          <w:tcPr>
            <w:tcW w:w="3950" w:type="pct"/>
            <w:noWrap/>
            <w:vAlign w:val="center"/>
          </w:tcPr>
          <w:p>
            <w:pPr>
              <w:spacing w:line="360" w:lineRule="auto"/>
              <w:rPr>
                <w:rFonts w:ascii="宋体" w:hAnsi="宋体" w:cs="宋体"/>
                <w:kern w:val="0"/>
                <w:sz w:val="24"/>
              </w:rPr>
            </w:pPr>
            <w:r>
              <w:rPr>
                <w:rFonts w:hint="eastAsia" w:ascii="宋体" w:hAnsi="宋体" w:cs="宋体"/>
                <w:kern w:val="0"/>
                <w:sz w:val="24"/>
              </w:rPr>
              <w:t>按投标文件响应内容提供服务。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412" w:type="pct"/>
            <w:vMerge w:val="restart"/>
            <w:noWrap/>
            <w:vAlign w:val="center"/>
          </w:tcPr>
          <w:p>
            <w:pPr>
              <w:widowControl/>
              <w:spacing w:line="360" w:lineRule="auto"/>
              <w:jc w:val="center"/>
              <w:rPr>
                <w:rFonts w:ascii="宋体" w:hAnsi="宋体" w:cs="宋体"/>
                <w:kern w:val="0"/>
                <w:sz w:val="24"/>
              </w:rPr>
            </w:pPr>
            <w:r>
              <w:rPr>
                <w:rFonts w:hint="eastAsia" w:ascii="宋体" w:hAnsi="宋体" w:cs="宋体"/>
                <w:kern w:val="0"/>
                <w:sz w:val="24"/>
              </w:rPr>
              <w:t>3</w:t>
            </w:r>
          </w:p>
        </w:tc>
        <w:tc>
          <w:tcPr>
            <w:tcW w:w="637" w:type="pct"/>
            <w:vMerge w:val="restart"/>
            <w:noWrap/>
            <w:vAlign w:val="center"/>
          </w:tcPr>
          <w:p>
            <w:pPr>
              <w:widowControl/>
              <w:spacing w:line="360" w:lineRule="auto"/>
              <w:jc w:val="center"/>
              <w:rPr>
                <w:rFonts w:ascii="宋体" w:hAnsi="宋体" w:cs="宋体"/>
                <w:kern w:val="0"/>
                <w:sz w:val="24"/>
              </w:rPr>
            </w:pPr>
            <w:r>
              <w:rPr>
                <w:rFonts w:hint="eastAsia" w:ascii="宋体" w:hAnsi="宋体" w:cs="宋体"/>
                <w:kern w:val="0"/>
                <w:sz w:val="24"/>
              </w:rPr>
              <w:t>质量满意度</w:t>
            </w:r>
          </w:p>
        </w:tc>
        <w:tc>
          <w:tcPr>
            <w:tcW w:w="3950" w:type="pct"/>
            <w:noWrap/>
            <w:vAlign w:val="center"/>
          </w:tcPr>
          <w:p>
            <w:pPr>
              <w:widowControl/>
              <w:spacing w:line="360" w:lineRule="auto"/>
              <w:jc w:val="left"/>
              <w:rPr>
                <w:rFonts w:ascii="宋体" w:hAnsi="宋体" w:cs="宋体"/>
                <w:kern w:val="0"/>
                <w:sz w:val="24"/>
              </w:rPr>
            </w:pPr>
            <w:r>
              <w:rPr>
                <w:rFonts w:hint="eastAsia" w:ascii="宋体" w:hAnsi="宋体" w:cs="宋体"/>
                <w:kern w:val="0"/>
                <w:sz w:val="24"/>
              </w:rPr>
              <w:t>不定期对各区域内</w:t>
            </w:r>
            <w:r>
              <w:rPr>
                <w:rFonts w:hint="eastAsia" w:ascii="宋体" w:hAnsi="宋体" w:cs="宋体"/>
                <w:sz w:val="24"/>
              </w:rPr>
              <w:t>标志标线护栏设施等维护</w:t>
            </w:r>
            <w:r>
              <w:rPr>
                <w:rFonts w:hint="eastAsia" w:ascii="宋体" w:hAnsi="宋体" w:cs="宋体"/>
                <w:kern w:val="0"/>
                <w:sz w:val="24"/>
              </w:rPr>
              <w:t>情况进行</w:t>
            </w:r>
            <w:r>
              <w:rPr>
                <w:rFonts w:hint="eastAsia" w:ascii="宋体" w:hAnsi="宋体" w:cs="宋体"/>
                <w:sz w:val="24"/>
              </w:rPr>
              <w:t>抽查检测</w:t>
            </w:r>
            <w:r>
              <w:rPr>
                <w:rFonts w:hint="eastAsia" w:ascii="宋体" w:hAnsi="宋体" w:cs="宋体"/>
                <w:kern w:val="0"/>
                <w:sz w:val="24"/>
              </w:rPr>
              <w:t>，并结合出现问题作出整改措施</w:t>
            </w: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412" w:type="pct"/>
            <w:vMerge w:val="continue"/>
            <w:noWrap/>
            <w:vAlign w:val="center"/>
          </w:tcPr>
          <w:p>
            <w:pPr>
              <w:widowControl/>
              <w:spacing w:line="360" w:lineRule="auto"/>
              <w:jc w:val="center"/>
              <w:rPr>
                <w:rFonts w:ascii="宋体" w:hAnsi="宋体" w:cs="宋体"/>
                <w:kern w:val="0"/>
                <w:sz w:val="24"/>
              </w:rPr>
            </w:pPr>
          </w:p>
        </w:tc>
        <w:tc>
          <w:tcPr>
            <w:tcW w:w="637" w:type="pct"/>
            <w:vMerge w:val="continue"/>
            <w:noWrap/>
            <w:vAlign w:val="center"/>
          </w:tcPr>
          <w:p>
            <w:pPr>
              <w:widowControl/>
              <w:spacing w:line="360" w:lineRule="auto"/>
              <w:jc w:val="center"/>
              <w:rPr>
                <w:rFonts w:ascii="宋体" w:hAnsi="宋体" w:cs="宋体"/>
                <w:kern w:val="0"/>
                <w:sz w:val="24"/>
              </w:rPr>
            </w:pPr>
          </w:p>
        </w:tc>
        <w:tc>
          <w:tcPr>
            <w:tcW w:w="3950" w:type="pct"/>
            <w:noWrap/>
            <w:vAlign w:val="center"/>
          </w:tcPr>
          <w:p>
            <w:pPr>
              <w:widowControl/>
              <w:spacing w:line="360" w:lineRule="auto"/>
              <w:jc w:val="left"/>
              <w:rPr>
                <w:rFonts w:ascii="宋体" w:hAnsi="宋体" w:cs="宋体"/>
                <w:kern w:val="0"/>
                <w:sz w:val="24"/>
              </w:rPr>
            </w:pPr>
            <w:r>
              <w:rPr>
                <w:rFonts w:hint="eastAsia" w:ascii="宋体" w:hAnsi="宋体" w:cs="宋体"/>
                <w:kern w:val="0"/>
                <w:sz w:val="24"/>
              </w:rPr>
              <w:t>甲方及监理的考核的满意情况</w:t>
            </w: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412" w:type="pct"/>
            <w:noWrap/>
            <w:vAlign w:val="center"/>
          </w:tcPr>
          <w:p>
            <w:pPr>
              <w:widowControl/>
              <w:spacing w:line="360" w:lineRule="auto"/>
              <w:jc w:val="center"/>
              <w:rPr>
                <w:rFonts w:ascii="宋体" w:hAnsi="宋体" w:cs="宋体"/>
                <w:kern w:val="0"/>
                <w:sz w:val="24"/>
              </w:rPr>
            </w:pPr>
            <w:r>
              <w:rPr>
                <w:rFonts w:hint="eastAsia" w:ascii="宋体" w:hAnsi="宋体" w:cs="宋体"/>
                <w:kern w:val="0"/>
                <w:sz w:val="24"/>
              </w:rPr>
              <w:t>4</w:t>
            </w:r>
          </w:p>
        </w:tc>
        <w:tc>
          <w:tcPr>
            <w:tcW w:w="637" w:type="pct"/>
            <w:noWrap/>
            <w:vAlign w:val="center"/>
          </w:tcPr>
          <w:p>
            <w:pPr>
              <w:widowControl/>
              <w:spacing w:line="360" w:lineRule="auto"/>
              <w:jc w:val="center"/>
              <w:rPr>
                <w:rFonts w:ascii="宋体" w:hAnsi="宋体" w:cs="宋体"/>
                <w:kern w:val="0"/>
                <w:sz w:val="24"/>
              </w:rPr>
            </w:pPr>
            <w:r>
              <w:rPr>
                <w:rFonts w:hint="eastAsia" w:ascii="宋体" w:hAnsi="宋体" w:cs="宋体"/>
                <w:kern w:val="0"/>
                <w:sz w:val="24"/>
              </w:rPr>
              <w:t>服务进度</w:t>
            </w:r>
          </w:p>
        </w:tc>
        <w:tc>
          <w:tcPr>
            <w:tcW w:w="3950" w:type="pct"/>
            <w:noWrap/>
            <w:vAlign w:val="center"/>
          </w:tcPr>
          <w:p>
            <w:pPr>
              <w:widowControl/>
              <w:spacing w:line="360" w:lineRule="auto"/>
              <w:jc w:val="left"/>
              <w:rPr>
                <w:rFonts w:ascii="宋体" w:hAnsi="宋体" w:cs="宋体"/>
                <w:kern w:val="0"/>
                <w:sz w:val="24"/>
              </w:rPr>
            </w:pPr>
            <w:r>
              <w:rPr>
                <w:rFonts w:hint="eastAsia" w:ascii="宋体" w:hAnsi="宋体" w:cs="宋体"/>
                <w:kern w:val="0"/>
                <w:sz w:val="24"/>
              </w:rPr>
              <w:t>服务响应的时间按投标文件落实到位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412" w:type="pct"/>
            <w:noWrap/>
            <w:vAlign w:val="center"/>
          </w:tcPr>
          <w:p>
            <w:pPr>
              <w:widowControl/>
              <w:spacing w:line="360" w:lineRule="auto"/>
              <w:jc w:val="center"/>
              <w:rPr>
                <w:rFonts w:ascii="宋体" w:hAnsi="宋体" w:cs="宋体"/>
                <w:kern w:val="0"/>
                <w:sz w:val="24"/>
              </w:rPr>
            </w:pPr>
            <w:r>
              <w:rPr>
                <w:rFonts w:hint="eastAsia" w:ascii="宋体" w:hAnsi="宋体" w:cs="宋体"/>
                <w:kern w:val="0"/>
                <w:sz w:val="24"/>
              </w:rPr>
              <w:t>5</w:t>
            </w:r>
          </w:p>
        </w:tc>
        <w:tc>
          <w:tcPr>
            <w:tcW w:w="637" w:type="pct"/>
            <w:noWrap/>
            <w:vAlign w:val="center"/>
          </w:tcPr>
          <w:p>
            <w:pPr>
              <w:widowControl/>
              <w:spacing w:line="360" w:lineRule="auto"/>
              <w:jc w:val="center"/>
              <w:rPr>
                <w:rFonts w:ascii="宋体" w:hAnsi="宋体" w:cs="宋体"/>
                <w:kern w:val="0"/>
                <w:sz w:val="24"/>
              </w:rPr>
            </w:pPr>
            <w:r>
              <w:rPr>
                <w:rFonts w:hint="eastAsia" w:ascii="宋体" w:hAnsi="宋体" w:cs="宋体"/>
                <w:kern w:val="0"/>
                <w:sz w:val="24"/>
              </w:rPr>
              <w:t>人员、设备、</w:t>
            </w:r>
            <w:r>
              <w:rPr>
                <w:rFonts w:hint="eastAsia" w:ascii="宋体" w:hAnsi="宋体" w:cs="宋体"/>
                <w:sz w:val="24"/>
              </w:rPr>
              <w:t>车辆等</w:t>
            </w:r>
            <w:r>
              <w:rPr>
                <w:rFonts w:hint="eastAsia" w:ascii="宋体" w:hAnsi="宋体" w:cs="宋体"/>
                <w:kern w:val="0"/>
                <w:sz w:val="24"/>
              </w:rPr>
              <w:t>配备情况</w:t>
            </w:r>
          </w:p>
        </w:tc>
        <w:tc>
          <w:tcPr>
            <w:tcW w:w="3950" w:type="pct"/>
            <w:noWrap/>
            <w:vAlign w:val="center"/>
          </w:tcPr>
          <w:p>
            <w:pPr>
              <w:widowControl/>
              <w:spacing w:line="360" w:lineRule="auto"/>
              <w:jc w:val="left"/>
              <w:rPr>
                <w:rFonts w:ascii="宋体" w:hAnsi="宋体" w:cs="宋体"/>
                <w:kern w:val="0"/>
                <w:sz w:val="24"/>
              </w:rPr>
            </w:pPr>
            <w:r>
              <w:rPr>
                <w:rFonts w:hint="eastAsia" w:ascii="宋体" w:hAnsi="宋体" w:cs="宋体"/>
                <w:kern w:val="0"/>
                <w:sz w:val="24"/>
              </w:rPr>
              <w:t>人员、设备、</w:t>
            </w:r>
            <w:r>
              <w:rPr>
                <w:rFonts w:hint="eastAsia" w:ascii="宋体" w:hAnsi="宋体" w:cs="宋体"/>
                <w:sz w:val="24"/>
              </w:rPr>
              <w:t>车辆</w:t>
            </w:r>
            <w:r>
              <w:rPr>
                <w:rFonts w:hint="eastAsia" w:ascii="宋体" w:hAnsi="宋体" w:cs="宋体"/>
                <w:kern w:val="0"/>
                <w:sz w:val="24"/>
              </w:rPr>
              <w:t>按投标文件到位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412" w:type="pct"/>
            <w:noWrap/>
            <w:vAlign w:val="center"/>
          </w:tcPr>
          <w:p>
            <w:pPr>
              <w:widowControl/>
              <w:spacing w:line="360" w:lineRule="auto"/>
              <w:jc w:val="center"/>
              <w:rPr>
                <w:rFonts w:ascii="宋体" w:hAnsi="宋体" w:cs="宋体"/>
                <w:kern w:val="0"/>
                <w:sz w:val="24"/>
              </w:rPr>
            </w:pPr>
            <w:r>
              <w:rPr>
                <w:rFonts w:hint="eastAsia" w:ascii="宋体" w:hAnsi="宋体" w:cs="宋体"/>
                <w:kern w:val="0"/>
                <w:sz w:val="24"/>
              </w:rPr>
              <w:t>6</w:t>
            </w:r>
          </w:p>
        </w:tc>
        <w:tc>
          <w:tcPr>
            <w:tcW w:w="637" w:type="pct"/>
            <w:noWrap/>
            <w:vAlign w:val="center"/>
          </w:tcPr>
          <w:p>
            <w:pPr>
              <w:widowControl/>
              <w:spacing w:line="360" w:lineRule="auto"/>
              <w:jc w:val="center"/>
              <w:rPr>
                <w:rFonts w:ascii="宋体" w:hAnsi="宋体" w:cs="宋体"/>
                <w:kern w:val="0"/>
                <w:sz w:val="24"/>
              </w:rPr>
            </w:pPr>
            <w:r>
              <w:rPr>
                <w:rFonts w:hint="eastAsia" w:ascii="宋体" w:hAnsi="宋体" w:cs="宋体"/>
                <w:kern w:val="0"/>
                <w:sz w:val="24"/>
              </w:rPr>
              <w:t>服务承诺实现</w:t>
            </w:r>
          </w:p>
        </w:tc>
        <w:tc>
          <w:tcPr>
            <w:tcW w:w="3950" w:type="pct"/>
            <w:noWrap/>
            <w:vAlign w:val="center"/>
          </w:tcPr>
          <w:p>
            <w:pPr>
              <w:widowControl/>
              <w:spacing w:line="360" w:lineRule="auto"/>
              <w:jc w:val="left"/>
              <w:rPr>
                <w:rFonts w:ascii="宋体" w:hAnsi="宋体" w:cs="宋体"/>
                <w:kern w:val="0"/>
                <w:sz w:val="24"/>
              </w:rPr>
            </w:pPr>
            <w:r>
              <w:rPr>
                <w:rFonts w:hint="eastAsia" w:ascii="宋体" w:hAnsi="宋体" w:cs="宋体"/>
                <w:kern w:val="0"/>
                <w:sz w:val="24"/>
              </w:rPr>
              <w:t>承诺按投标文件实施情况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412" w:type="pct"/>
            <w:noWrap/>
            <w:vAlign w:val="center"/>
          </w:tcPr>
          <w:p>
            <w:pPr>
              <w:widowControl/>
              <w:spacing w:line="360" w:lineRule="auto"/>
              <w:jc w:val="center"/>
              <w:rPr>
                <w:rFonts w:ascii="宋体" w:hAnsi="宋体" w:cs="宋体"/>
                <w:kern w:val="0"/>
                <w:sz w:val="24"/>
              </w:rPr>
            </w:pPr>
            <w:r>
              <w:rPr>
                <w:rFonts w:hint="eastAsia" w:ascii="宋体" w:hAnsi="宋体" w:cs="宋体"/>
                <w:kern w:val="0"/>
                <w:sz w:val="24"/>
              </w:rPr>
              <w:t>7</w:t>
            </w:r>
          </w:p>
        </w:tc>
        <w:tc>
          <w:tcPr>
            <w:tcW w:w="637" w:type="pct"/>
            <w:noWrap/>
            <w:vAlign w:val="center"/>
          </w:tcPr>
          <w:p>
            <w:pPr>
              <w:widowControl/>
              <w:spacing w:line="360" w:lineRule="auto"/>
              <w:jc w:val="center"/>
              <w:rPr>
                <w:rFonts w:ascii="宋体" w:hAnsi="宋体" w:cs="宋体"/>
                <w:kern w:val="0"/>
                <w:sz w:val="24"/>
              </w:rPr>
            </w:pPr>
            <w:r>
              <w:rPr>
                <w:rFonts w:hint="eastAsia" w:ascii="宋体" w:hAnsi="宋体" w:cs="宋体"/>
                <w:sz w:val="24"/>
              </w:rPr>
              <w:t>安全和保密</w:t>
            </w:r>
          </w:p>
        </w:tc>
        <w:tc>
          <w:tcPr>
            <w:tcW w:w="3950" w:type="pct"/>
            <w:noWrap/>
            <w:vAlign w:val="center"/>
          </w:tcPr>
          <w:p>
            <w:pPr>
              <w:snapToGrid w:val="0"/>
              <w:spacing w:line="360" w:lineRule="auto"/>
              <w:rPr>
                <w:rFonts w:ascii="宋体" w:hAnsi="宋体" w:cs="宋体"/>
                <w:sz w:val="24"/>
              </w:rPr>
            </w:pPr>
            <w:r>
              <w:rPr>
                <w:rFonts w:hint="eastAsia" w:ascii="宋体" w:hAnsi="宋体" w:cs="宋体"/>
                <w:sz w:val="24"/>
              </w:rPr>
              <w:t>1、公司签订保密协议，个人签订保密承诺书、日常保密教育台账，保密措施完善。未发生敏感数据、资料丢失和泄漏问题。</w:t>
            </w:r>
          </w:p>
          <w:p>
            <w:pPr>
              <w:widowControl/>
              <w:spacing w:line="360" w:lineRule="auto"/>
              <w:jc w:val="left"/>
              <w:rPr>
                <w:rFonts w:ascii="宋体" w:hAnsi="宋体" w:cs="宋体"/>
                <w:kern w:val="0"/>
                <w:sz w:val="24"/>
              </w:rPr>
            </w:pPr>
            <w:r>
              <w:rPr>
                <w:rFonts w:hint="eastAsia" w:ascii="宋体" w:hAnsi="宋体" w:cs="宋体"/>
                <w:sz w:val="24"/>
              </w:rPr>
              <w:t>2、严格按照甲方规定使用、存储、处理文档资料和数据。合同终止时，应当交还全部公安资料和数据。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412" w:type="pct"/>
            <w:noWrap/>
            <w:vAlign w:val="center"/>
          </w:tcPr>
          <w:p>
            <w:pPr>
              <w:widowControl/>
              <w:spacing w:line="360" w:lineRule="auto"/>
              <w:jc w:val="center"/>
              <w:rPr>
                <w:rFonts w:ascii="宋体" w:hAnsi="宋体" w:cs="宋体"/>
                <w:kern w:val="0"/>
                <w:sz w:val="24"/>
              </w:rPr>
            </w:pPr>
            <w:r>
              <w:rPr>
                <w:rFonts w:hint="eastAsia" w:ascii="宋体" w:hAnsi="宋体" w:cs="宋体"/>
                <w:kern w:val="0"/>
                <w:sz w:val="24"/>
              </w:rPr>
              <w:t>8</w:t>
            </w:r>
          </w:p>
        </w:tc>
        <w:tc>
          <w:tcPr>
            <w:tcW w:w="637" w:type="pct"/>
            <w:noWrap/>
            <w:vAlign w:val="center"/>
          </w:tcPr>
          <w:p>
            <w:pPr>
              <w:widowControl/>
              <w:spacing w:line="360" w:lineRule="auto"/>
              <w:jc w:val="center"/>
              <w:rPr>
                <w:rFonts w:ascii="宋体" w:hAnsi="宋体" w:cs="宋体"/>
                <w:kern w:val="0"/>
                <w:sz w:val="24"/>
              </w:rPr>
            </w:pPr>
            <w:r>
              <w:rPr>
                <w:rFonts w:hint="eastAsia" w:ascii="宋体" w:hAnsi="宋体" w:cs="宋体"/>
                <w:kern w:val="0"/>
                <w:sz w:val="24"/>
              </w:rPr>
              <w:t>台帐</w:t>
            </w:r>
          </w:p>
        </w:tc>
        <w:tc>
          <w:tcPr>
            <w:tcW w:w="3950" w:type="pct"/>
            <w:noWrap/>
            <w:vAlign w:val="center"/>
          </w:tcPr>
          <w:p>
            <w:pPr>
              <w:widowControl/>
              <w:spacing w:line="360" w:lineRule="auto"/>
              <w:jc w:val="left"/>
              <w:rPr>
                <w:rFonts w:ascii="宋体" w:hAnsi="宋体" w:cs="宋体"/>
                <w:kern w:val="0"/>
                <w:sz w:val="24"/>
              </w:rPr>
            </w:pPr>
            <w:r>
              <w:rPr>
                <w:rFonts w:hint="eastAsia" w:ascii="宋体" w:hAnsi="宋体" w:cs="宋体"/>
                <w:kern w:val="0"/>
                <w:sz w:val="24"/>
              </w:rPr>
              <w:t>要做好</w:t>
            </w:r>
            <w:r>
              <w:rPr>
                <w:rFonts w:hint="eastAsia" w:ascii="宋体" w:hAnsi="宋体" w:cs="宋体"/>
                <w:sz w:val="24"/>
              </w:rPr>
              <w:t>工作量、工作数据、工作小结、周巡查登记记录报告、月巡查登记记录报告、月巡查维护报告、每日巡检报告及巡检路线图、《问题告知单》等</w:t>
            </w:r>
            <w:r>
              <w:rPr>
                <w:rFonts w:hint="eastAsia" w:ascii="宋体" w:hAnsi="宋体" w:cs="宋体"/>
                <w:kern w:val="0"/>
                <w:sz w:val="24"/>
              </w:rPr>
              <w:t>台账。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412" w:type="pct"/>
            <w:noWrap/>
            <w:vAlign w:val="center"/>
          </w:tcPr>
          <w:p>
            <w:pPr>
              <w:widowControl/>
              <w:spacing w:line="360" w:lineRule="auto"/>
              <w:jc w:val="center"/>
              <w:rPr>
                <w:rFonts w:ascii="宋体" w:hAnsi="宋体" w:cs="宋体"/>
                <w:kern w:val="0"/>
                <w:sz w:val="24"/>
              </w:rPr>
            </w:pPr>
            <w:r>
              <w:rPr>
                <w:rFonts w:hint="eastAsia" w:ascii="宋体" w:hAnsi="宋体" w:cs="宋体"/>
                <w:kern w:val="0"/>
                <w:sz w:val="24"/>
              </w:rPr>
              <w:t>9</w:t>
            </w:r>
          </w:p>
        </w:tc>
        <w:tc>
          <w:tcPr>
            <w:tcW w:w="637" w:type="pct"/>
            <w:noWrap/>
            <w:vAlign w:val="center"/>
          </w:tcPr>
          <w:p>
            <w:pPr>
              <w:widowControl/>
              <w:spacing w:line="360" w:lineRule="auto"/>
              <w:jc w:val="center"/>
              <w:rPr>
                <w:rFonts w:ascii="宋体" w:hAnsi="宋体" w:cs="宋体"/>
                <w:kern w:val="0"/>
                <w:sz w:val="24"/>
              </w:rPr>
            </w:pPr>
            <w:r>
              <w:rPr>
                <w:rFonts w:hint="eastAsia" w:ascii="宋体" w:hAnsi="宋体" w:cs="宋体"/>
                <w:kern w:val="0"/>
                <w:sz w:val="24"/>
              </w:rPr>
              <w:t>其他工作</w:t>
            </w:r>
          </w:p>
        </w:tc>
        <w:tc>
          <w:tcPr>
            <w:tcW w:w="3950" w:type="pct"/>
            <w:noWrap/>
            <w:vAlign w:val="center"/>
          </w:tcPr>
          <w:p>
            <w:pPr>
              <w:widowControl/>
              <w:spacing w:line="360" w:lineRule="auto"/>
              <w:jc w:val="left"/>
              <w:rPr>
                <w:rFonts w:ascii="宋体" w:hAnsi="宋体" w:cs="宋体"/>
                <w:kern w:val="0"/>
                <w:sz w:val="24"/>
              </w:rPr>
            </w:pPr>
            <w:r>
              <w:rPr>
                <w:rFonts w:hint="eastAsia" w:ascii="宋体" w:hAnsi="宋体" w:cs="宋体"/>
                <w:kern w:val="0"/>
                <w:sz w:val="24"/>
              </w:rPr>
              <w:t>履行项目采购文件、投标文件、合同条款中涉及的其他承诺的情况。</w:t>
            </w:r>
          </w:p>
        </w:tc>
      </w:tr>
    </w:tbl>
    <w:p>
      <w:pPr>
        <w:spacing w:line="360" w:lineRule="auto"/>
        <w:ind w:firstLine="482" w:firstLineChars="200"/>
        <w:rPr>
          <w:rFonts w:ascii="宋体" w:hAnsi="宋体" w:cs="宋体"/>
          <w:b/>
          <w:bCs/>
          <w:sz w:val="24"/>
        </w:rPr>
      </w:pPr>
      <w:r>
        <w:rPr>
          <w:rFonts w:hint="eastAsia" w:ascii="宋体" w:hAnsi="宋体" w:cs="宋体"/>
          <w:b/>
          <w:bCs/>
          <w:sz w:val="24"/>
        </w:rPr>
        <w:t>5.2、验收资料要求包括（不限于）以下内容：</w:t>
      </w:r>
    </w:p>
    <w:p>
      <w:pPr>
        <w:spacing w:line="360" w:lineRule="auto"/>
        <w:ind w:firstLine="480" w:firstLineChars="200"/>
        <w:rPr>
          <w:rFonts w:ascii="宋体" w:hAnsi="宋体" w:cs="宋体"/>
          <w:sz w:val="24"/>
        </w:rPr>
      </w:pPr>
      <w:r>
        <w:rPr>
          <w:rFonts w:hint="eastAsia" w:ascii="宋体" w:hAnsi="宋体" w:cs="宋体"/>
          <w:sz w:val="24"/>
        </w:rPr>
        <w:t xml:space="preserve">（1）招标文件 </w:t>
      </w:r>
    </w:p>
    <w:p>
      <w:pPr>
        <w:spacing w:line="360" w:lineRule="auto"/>
        <w:ind w:firstLine="480" w:firstLineChars="200"/>
        <w:rPr>
          <w:rFonts w:ascii="宋体" w:hAnsi="宋体" w:cs="宋体"/>
          <w:sz w:val="24"/>
        </w:rPr>
      </w:pPr>
      <w:r>
        <w:rPr>
          <w:rFonts w:hint="eastAsia" w:ascii="宋体" w:hAnsi="宋体" w:cs="宋体"/>
          <w:sz w:val="24"/>
        </w:rPr>
        <w:t>（2）投标文件</w:t>
      </w:r>
    </w:p>
    <w:p>
      <w:pPr>
        <w:spacing w:line="360" w:lineRule="auto"/>
        <w:ind w:firstLine="480" w:firstLineChars="200"/>
        <w:rPr>
          <w:rFonts w:ascii="宋体" w:hAnsi="宋体" w:cs="宋体"/>
          <w:sz w:val="24"/>
        </w:rPr>
      </w:pPr>
      <w:r>
        <w:rPr>
          <w:rFonts w:hint="eastAsia" w:ascii="宋体" w:hAnsi="宋体" w:cs="宋体"/>
          <w:sz w:val="24"/>
        </w:rPr>
        <w:t>（3）中标通知书</w:t>
      </w:r>
    </w:p>
    <w:p>
      <w:pPr>
        <w:spacing w:line="360" w:lineRule="auto"/>
        <w:ind w:firstLine="480" w:firstLineChars="200"/>
        <w:rPr>
          <w:rFonts w:ascii="宋体" w:hAnsi="宋体" w:cs="宋体"/>
          <w:sz w:val="24"/>
        </w:rPr>
      </w:pPr>
      <w:r>
        <w:rPr>
          <w:rFonts w:hint="eastAsia" w:ascii="宋体" w:hAnsi="宋体" w:cs="宋体"/>
          <w:sz w:val="24"/>
        </w:rPr>
        <w:t>（4）采购合同</w:t>
      </w:r>
    </w:p>
    <w:p>
      <w:pPr>
        <w:spacing w:line="360" w:lineRule="auto"/>
        <w:ind w:firstLine="480" w:firstLineChars="200"/>
        <w:rPr>
          <w:rFonts w:ascii="宋体" w:hAnsi="宋体" w:cs="宋体"/>
          <w:sz w:val="24"/>
        </w:rPr>
      </w:pPr>
      <w:r>
        <w:rPr>
          <w:rFonts w:hint="eastAsia" w:ascii="宋体" w:hAnsi="宋体" w:cs="宋体"/>
          <w:sz w:val="24"/>
        </w:rPr>
        <w:t>（5）考核表：须甲方经办人、审核人、乙方签字并盖章。</w:t>
      </w:r>
    </w:p>
    <w:p>
      <w:pPr>
        <w:spacing w:line="360" w:lineRule="auto"/>
        <w:ind w:firstLine="480" w:firstLineChars="200"/>
        <w:rPr>
          <w:rFonts w:ascii="宋体" w:hAnsi="宋体" w:cs="宋体"/>
          <w:sz w:val="24"/>
        </w:rPr>
      </w:pPr>
      <w:r>
        <w:rPr>
          <w:rFonts w:hint="eastAsia" w:ascii="宋体" w:hAnsi="宋体" w:cs="宋体"/>
          <w:sz w:val="24"/>
        </w:rPr>
        <w:t>（6）单位保密协议、个人保密承诺书、日常保密教育台账；</w:t>
      </w:r>
    </w:p>
    <w:p>
      <w:pPr>
        <w:spacing w:line="360" w:lineRule="auto"/>
        <w:ind w:firstLine="480" w:firstLineChars="200"/>
        <w:rPr>
          <w:rFonts w:ascii="宋体" w:hAnsi="宋体" w:cs="宋体"/>
          <w:sz w:val="24"/>
        </w:rPr>
      </w:pPr>
      <w:r>
        <w:rPr>
          <w:rFonts w:hint="eastAsia" w:ascii="宋体" w:hAnsi="宋体" w:cs="宋体"/>
          <w:sz w:val="24"/>
        </w:rPr>
        <w:t>（7）人员清单、每月人员社保交纳清单、驻点人员每日打卡记录、人员变更审批表（如有）、车辆信息；</w:t>
      </w:r>
    </w:p>
    <w:p>
      <w:pPr>
        <w:spacing w:line="360" w:lineRule="auto"/>
        <w:ind w:firstLine="480" w:firstLineChars="200"/>
        <w:rPr>
          <w:rFonts w:ascii="宋体" w:hAnsi="宋体" w:cs="宋体"/>
          <w:sz w:val="24"/>
        </w:rPr>
      </w:pPr>
      <w:r>
        <w:rPr>
          <w:rFonts w:hint="eastAsia" w:ascii="宋体" w:hAnsi="宋体" w:cs="宋体"/>
          <w:sz w:val="24"/>
        </w:rPr>
        <w:t>（8）维护方案、安装施工组织方案、安全防护措施方案</w:t>
      </w:r>
    </w:p>
    <w:p>
      <w:pPr>
        <w:spacing w:line="360" w:lineRule="auto"/>
        <w:ind w:firstLine="480" w:firstLineChars="200"/>
        <w:rPr>
          <w:rFonts w:ascii="宋体" w:hAnsi="宋体" w:cs="宋体"/>
          <w:sz w:val="24"/>
        </w:rPr>
      </w:pPr>
      <w:r>
        <w:rPr>
          <w:rFonts w:hint="eastAsia" w:ascii="宋体" w:hAnsi="宋体" w:cs="宋体"/>
          <w:sz w:val="24"/>
        </w:rPr>
        <w:t>（9）工作量、工作数据、工作小结、周巡查登记记录报告、月巡查登记记录报告、月巡查维护报告、台账、设施维护前后照片、工作联系单：须经甲方（三大队、五大队）、监理、乙方签字确认。</w:t>
      </w:r>
    </w:p>
    <w:p>
      <w:pPr>
        <w:spacing w:line="360" w:lineRule="auto"/>
        <w:ind w:firstLine="480" w:firstLineChars="200"/>
        <w:rPr>
          <w:rFonts w:ascii="宋体" w:hAnsi="宋体" w:cs="宋体"/>
          <w:sz w:val="24"/>
        </w:rPr>
      </w:pPr>
      <w:r>
        <w:rPr>
          <w:rFonts w:hint="eastAsia" w:ascii="宋体" w:hAnsi="宋体" w:cs="宋体"/>
          <w:sz w:val="24"/>
        </w:rPr>
        <w:t>（10）每日巡检报告及巡检路线图</w:t>
      </w:r>
    </w:p>
    <w:p>
      <w:pPr>
        <w:spacing w:line="360" w:lineRule="auto"/>
        <w:ind w:firstLine="480" w:firstLineChars="200"/>
        <w:rPr>
          <w:rFonts w:ascii="宋体" w:hAnsi="宋体" w:cs="宋体"/>
          <w:sz w:val="24"/>
        </w:rPr>
      </w:pPr>
      <w:r>
        <w:rPr>
          <w:rFonts w:hint="eastAsia" w:ascii="宋体" w:hAnsi="宋体" w:cs="宋体"/>
          <w:sz w:val="24"/>
        </w:rPr>
        <w:t>（11）《问题告知单》</w:t>
      </w:r>
    </w:p>
    <w:p>
      <w:pPr>
        <w:spacing w:line="360" w:lineRule="auto"/>
        <w:ind w:firstLine="480" w:firstLineChars="200"/>
        <w:rPr>
          <w:rFonts w:ascii="宋体" w:hAnsi="宋体" w:cs="宋体"/>
          <w:sz w:val="24"/>
        </w:rPr>
      </w:pPr>
      <w:r>
        <w:rPr>
          <w:rFonts w:hint="eastAsia" w:ascii="宋体" w:hAnsi="宋体" w:cs="宋体"/>
          <w:sz w:val="24"/>
        </w:rPr>
        <w:t>（12）产品说明书、产品合格证、原厂质保承诺函、质量保证书原件、三包凭证、原配的附件（如有）、产品生产日期凭证等</w:t>
      </w:r>
    </w:p>
    <w:p>
      <w:pPr>
        <w:spacing w:line="360" w:lineRule="auto"/>
        <w:ind w:firstLine="480" w:firstLineChars="200"/>
        <w:rPr>
          <w:rFonts w:ascii="宋体" w:hAnsi="宋体" w:cs="宋体"/>
          <w:sz w:val="24"/>
        </w:rPr>
      </w:pPr>
      <w:r>
        <w:rPr>
          <w:rFonts w:hint="eastAsia" w:ascii="宋体" w:hAnsi="宋体" w:cs="宋体"/>
          <w:sz w:val="24"/>
        </w:rPr>
        <w:t>（13）具有CMA资质第三方出具的检测报告</w:t>
      </w:r>
    </w:p>
    <w:p>
      <w:pPr>
        <w:spacing w:line="360" w:lineRule="auto"/>
        <w:ind w:firstLine="480" w:firstLineChars="200"/>
        <w:rPr>
          <w:rFonts w:ascii="宋体" w:hAnsi="宋体" w:cs="宋体"/>
          <w:sz w:val="24"/>
        </w:rPr>
      </w:pPr>
      <w:r>
        <w:rPr>
          <w:rFonts w:hint="eastAsia" w:ascii="宋体" w:hAnsi="宋体" w:cs="宋体"/>
          <w:sz w:val="24"/>
        </w:rPr>
        <w:t>（14）设施更换交接表（附设施更换前后对比照片）。须经采购人经办人及审核人、监理、供应商签字确认加盖公章。</w:t>
      </w:r>
    </w:p>
    <w:p>
      <w:pPr>
        <w:spacing w:line="360" w:lineRule="auto"/>
        <w:ind w:firstLine="480" w:firstLineChars="200"/>
        <w:rPr>
          <w:rFonts w:ascii="宋体" w:hAnsi="宋体" w:cs="宋体"/>
          <w:sz w:val="24"/>
        </w:rPr>
      </w:pPr>
      <w:r>
        <w:rPr>
          <w:rFonts w:hint="eastAsia" w:ascii="宋体" w:hAnsi="宋体" w:cs="宋体"/>
          <w:sz w:val="24"/>
        </w:rPr>
        <w:t>（15）每季度抽测表：须甲方经办人、审核人、监理、乙方签字并盖章。</w:t>
      </w:r>
    </w:p>
    <w:p>
      <w:pPr>
        <w:spacing w:line="360" w:lineRule="auto"/>
        <w:ind w:firstLine="480" w:firstLineChars="200"/>
        <w:rPr>
          <w:rFonts w:ascii="宋体" w:hAnsi="宋体" w:cs="宋体"/>
          <w:sz w:val="24"/>
        </w:rPr>
      </w:pPr>
      <w:r>
        <w:rPr>
          <w:rFonts w:hint="eastAsia" w:ascii="宋体" w:hAnsi="宋体" w:cs="宋体"/>
          <w:sz w:val="24"/>
        </w:rPr>
        <w:t>（16）监理总结。监理总结中包含付款申请表、付款意见表。</w:t>
      </w:r>
    </w:p>
    <w:p>
      <w:pPr>
        <w:spacing w:line="360" w:lineRule="auto"/>
        <w:ind w:firstLine="480" w:firstLineChars="200"/>
        <w:rPr>
          <w:rFonts w:ascii="宋体" w:hAnsi="宋体" w:cs="宋体"/>
          <w:sz w:val="24"/>
        </w:rPr>
      </w:pPr>
      <w:r>
        <w:rPr>
          <w:rFonts w:hint="eastAsia" w:ascii="宋体" w:hAnsi="宋体" w:cs="宋体"/>
          <w:sz w:val="24"/>
        </w:rPr>
        <w:t>（17）验收总结报告。</w:t>
      </w:r>
    </w:p>
    <w:p>
      <w:pPr>
        <w:spacing w:line="360" w:lineRule="auto"/>
        <w:ind w:firstLine="480" w:firstLineChars="200"/>
        <w:rPr>
          <w:rFonts w:ascii="宋体" w:hAnsi="宋体" w:cs="宋体"/>
          <w:sz w:val="24"/>
        </w:rPr>
      </w:pPr>
      <w:r>
        <w:rPr>
          <w:rFonts w:hint="eastAsia" w:ascii="宋体" w:hAnsi="宋体" w:cs="宋体"/>
          <w:sz w:val="24"/>
        </w:rPr>
        <w:t>（18）验收需提供的其他相关材料。</w:t>
      </w:r>
    </w:p>
    <w:p>
      <w:pPr>
        <w:spacing w:line="360" w:lineRule="auto"/>
        <w:ind w:firstLine="480" w:firstLineChars="200"/>
        <w:rPr>
          <w:rFonts w:ascii="宋体" w:hAnsi="宋体" w:cs="宋体"/>
          <w:sz w:val="24"/>
        </w:rPr>
      </w:pPr>
      <w:r>
        <w:rPr>
          <w:rFonts w:hint="eastAsia" w:ascii="宋体" w:hAnsi="宋体" w:cs="宋体"/>
          <w:sz w:val="24"/>
        </w:rPr>
        <w:t>履约验收标准：根据采购文件确定的技术指标或者服务要求确定验收指标和标准。未进行相应约定的，应当符合国家强制性规定、政策要求、安全标准、行业或企业有关标准等。</w:t>
      </w:r>
    </w:p>
    <w:p>
      <w:pPr>
        <w:spacing w:line="360" w:lineRule="auto"/>
        <w:ind w:firstLine="480" w:firstLineChars="200"/>
        <w:rPr>
          <w:rFonts w:ascii="宋体" w:hAnsi="宋体" w:cs="宋体"/>
          <w:sz w:val="24"/>
        </w:rPr>
      </w:pPr>
      <w:r>
        <w:rPr>
          <w:rFonts w:hint="eastAsia" w:ascii="宋体" w:hAnsi="宋体" w:cs="宋体"/>
          <w:sz w:val="24"/>
        </w:rPr>
        <w:t>2.20.1采购文件要求乙方提交履约保证金的，乙方提交不超过项目预算1%的履约保证金。乙方以支票、汇票、本票或者金融机构、担保机构出具的保函等非现金形式，提交履约保证金；鼓励和支持乙方以履约保函形式提供履约保证。</w:t>
      </w:r>
    </w:p>
    <w:p>
      <w:pPr>
        <w:spacing w:line="360" w:lineRule="auto"/>
        <w:ind w:firstLine="480" w:firstLineChars="200"/>
        <w:rPr>
          <w:rFonts w:ascii="宋体" w:hAnsi="宋体" w:cs="宋体"/>
          <w:sz w:val="24"/>
        </w:rPr>
      </w:pPr>
      <w:r>
        <w:rPr>
          <w:rFonts w:hint="eastAsia" w:ascii="宋体" w:hAnsi="宋体" w:cs="宋体"/>
          <w:sz w:val="24"/>
        </w:rPr>
        <w:t>2.20.2验收合格后，无任何质量问题，甲方于收到乙方退还履约保证金申请之日起5个工作日内凭双方签字盖章的验收意见，原额（无息）归还履约保证金。</w:t>
      </w:r>
    </w:p>
    <w:p>
      <w:pPr>
        <w:spacing w:line="360" w:lineRule="auto"/>
        <w:ind w:firstLine="480" w:firstLineChars="200"/>
        <w:rPr>
          <w:rFonts w:ascii="宋体" w:hAnsi="宋体" w:cs="宋体"/>
          <w:sz w:val="24"/>
        </w:rPr>
      </w:pPr>
      <w:r>
        <w:rPr>
          <w:rFonts w:hint="eastAsia" w:ascii="宋体" w:hAnsi="宋体" w:cs="宋体"/>
          <w:sz w:val="24"/>
        </w:rPr>
        <w:t>2.22本合同壹式陆份，具有同等法律效力，甲乙双方各执叁份。</w:t>
      </w:r>
    </w:p>
    <w:p>
      <w:pPr>
        <w:spacing w:line="360" w:lineRule="auto"/>
        <w:ind w:firstLine="480" w:firstLineChars="200"/>
        <w:rPr>
          <w:rFonts w:ascii="宋体" w:hAnsi="宋体" w:cs="宋体"/>
          <w:sz w:val="24"/>
        </w:rPr>
      </w:pPr>
      <w:r>
        <w:rPr>
          <w:rFonts w:hint="eastAsia" w:ascii="宋体" w:hAnsi="宋体" w:cs="宋体"/>
          <w:sz w:val="24"/>
        </w:rPr>
        <w:br w:type="page"/>
      </w:r>
    </w:p>
    <w:p>
      <w:pPr>
        <w:spacing w:line="360" w:lineRule="auto"/>
        <w:rPr>
          <w:rFonts w:ascii="宋体" w:hAnsi="宋体" w:cs="宋体"/>
        </w:rPr>
      </w:pPr>
      <w:r>
        <w:rPr>
          <w:rFonts w:hint="eastAsia" w:ascii="宋体" w:hAnsi="宋体" w:cs="宋体"/>
          <w:szCs w:val="21"/>
        </w:rPr>
        <w:t>附件1、标项一、标项二合同价格清单</w:t>
      </w:r>
    </w:p>
    <w:tbl>
      <w:tblPr>
        <w:tblStyle w:val="20"/>
        <w:tblW w:w="5784" w:type="pct"/>
        <w:tblInd w:w="-223" w:type="dxa"/>
        <w:tblLayout w:type="fixed"/>
        <w:tblCellMar>
          <w:top w:w="0" w:type="dxa"/>
          <w:left w:w="108" w:type="dxa"/>
          <w:bottom w:w="0" w:type="dxa"/>
          <w:right w:w="108" w:type="dxa"/>
        </w:tblCellMar>
      </w:tblPr>
      <w:tblGrid>
        <w:gridCol w:w="807"/>
        <w:gridCol w:w="1481"/>
        <w:gridCol w:w="3394"/>
        <w:gridCol w:w="1218"/>
        <w:gridCol w:w="769"/>
        <w:gridCol w:w="1031"/>
        <w:gridCol w:w="1350"/>
        <w:gridCol w:w="1350"/>
      </w:tblGrid>
      <w:tr>
        <w:tblPrEx>
          <w:tblCellMar>
            <w:top w:w="0" w:type="dxa"/>
            <w:left w:w="108" w:type="dxa"/>
            <w:bottom w:w="0" w:type="dxa"/>
            <w:right w:w="108" w:type="dxa"/>
          </w:tblCellMar>
        </w:tblPrEx>
        <w:trPr>
          <w:trHeight w:val="1404" w:hRule="atLeast"/>
        </w:trPr>
        <w:tc>
          <w:tcPr>
            <w:tcW w:w="35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序号</w:t>
            </w:r>
          </w:p>
        </w:tc>
        <w:tc>
          <w:tcPr>
            <w:tcW w:w="64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名称</w:t>
            </w:r>
          </w:p>
        </w:tc>
        <w:tc>
          <w:tcPr>
            <w:tcW w:w="1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规格配置</w:t>
            </w:r>
          </w:p>
        </w:tc>
        <w:tc>
          <w:tcPr>
            <w:tcW w:w="5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单位</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数量</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最高限价单价（元）</w:t>
            </w: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top"/>
          </w:tcPr>
          <w:p>
            <w:pPr>
              <w:widowControl/>
              <w:spacing w:line="360" w:lineRule="auto"/>
              <w:jc w:val="center"/>
              <w:textAlignment w:val="center"/>
              <w:rPr>
                <w:rFonts w:hint="eastAsia" w:ascii="宋体" w:hAnsi="宋体" w:eastAsia="宋体" w:cs="宋体"/>
                <w:color w:val="000000"/>
                <w:kern w:val="0"/>
                <w:sz w:val="24"/>
                <w:lang w:eastAsia="zh-CN"/>
              </w:rPr>
            </w:pPr>
            <w:r>
              <w:rPr>
                <w:rFonts w:hint="eastAsia" w:ascii="宋体" w:hAnsi="宋体" w:eastAsia="宋体" w:cs="宋体"/>
                <w:color w:val="000000"/>
                <w:kern w:val="0"/>
                <w:sz w:val="24"/>
                <w:lang w:eastAsia="zh-CN"/>
              </w:rPr>
              <w:t>各项单价统一折扣率</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w:t>
            </w:r>
            <w:r>
              <w:rPr>
                <w:rFonts w:hint="eastAsia" w:ascii="宋体" w:hAnsi="宋体" w:cs="宋体"/>
                <w:color w:val="000000"/>
                <w:kern w:val="0"/>
                <w:sz w:val="24"/>
                <w:lang w:eastAsia="zh-CN"/>
              </w:rPr>
              <w:t>）</w:t>
            </w: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top"/>
          </w:tcPr>
          <w:p>
            <w:pPr>
              <w:widowControl/>
              <w:spacing w:line="360" w:lineRule="auto"/>
              <w:jc w:val="center"/>
              <w:textAlignment w:val="center"/>
              <w:rPr>
                <w:rFonts w:hint="eastAsia" w:ascii="宋体" w:hAnsi="宋体" w:eastAsia="宋体" w:cs="宋体"/>
                <w:color w:val="000000"/>
                <w:kern w:val="0"/>
                <w:sz w:val="24"/>
                <w:lang w:eastAsia="zh-CN"/>
              </w:rPr>
            </w:pPr>
            <w:r>
              <w:rPr>
                <w:rFonts w:hint="eastAsia" w:ascii="宋体" w:hAnsi="宋体" w:cs="宋体"/>
                <w:color w:val="000000"/>
                <w:kern w:val="0"/>
                <w:sz w:val="24"/>
                <w:lang w:eastAsia="zh-CN"/>
              </w:rPr>
              <w:t>合同单价（元）</w:t>
            </w:r>
          </w:p>
        </w:tc>
      </w:tr>
      <w:tr>
        <w:tblPrEx>
          <w:tblCellMar>
            <w:top w:w="0" w:type="dxa"/>
            <w:left w:w="108" w:type="dxa"/>
            <w:bottom w:w="0" w:type="dxa"/>
            <w:right w:w="108" w:type="dxa"/>
          </w:tblCellMar>
        </w:tblPrEx>
        <w:trPr>
          <w:trHeight w:val="270" w:hRule="atLeast"/>
        </w:trPr>
        <w:tc>
          <w:tcPr>
            <w:tcW w:w="4407" w:type="pct"/>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left"/>
              <w:rPr>
                <w:rFonts w:ascii="宋体" w:hAnsi="宋体" w:cs="宋体"/>
                <w:color w:val="000000"/>
                <w:kern w:val="0"/>
                <w:sz w:val="24"/>
              </w:rPr>
            </w:pPr>
            <w:r>
              <w:rPr>
                <w:rFonts w:hint="eastAsia" w:ascii="宋体" w:hAnsi="宋体" w:cs="宋体"/>
                <w:color w:val="000000"/>
                <w:kern w:val="0"/>
                <w:sz w:val="24"/>
              </w:rPr>
              <w:t>一、标线类</w:t>
            </w: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left"/>
              <w:rPr>
                <w:rFonts w:hint="eastAsia" w:ascii="宋体" w:hAnsi="宋体" w:cs="宋体"/>
                <w:color w:val="000000"/>
                <w:kern w:val="0"/>
                <w:sz w:val="24"/>
              </w:rPr>
            </w:pPr>
          </w:p>
        </w:tc>
      </w:tr>
      <w:tr>
        <w:tblPrEx>
          <w:tblCellMar>
            <w:top w:w="0" w:type="dxa"/>
            <w:left w:w="108" w:type="dxa"/>
            <w:bottom w:w="0" w:type="dxa"/>
            <w:right w:w="108" w:type="dxa"/>
          </w:tblCellMar>
        </w:tblPrEx>
        <w:trPr>
          <w:trHeight w:val="3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w:t>
            </w:r>
          </w:p>
        </w:tc>
        <w:tc>
          <w:tcPr>
            <w:tcW w:w="64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预成型反光标带</w:t>
            </w:r>
          </w:p>
        </w:tc>
        <w:tc>
          <w:tcPr>
            <w:tcW w:w="1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彩色防滑标线，厚度1.5-2.5mm</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120</w:t>
            </w:r>
          </w:p>
        </w:tc>
        <w:tc>
          <w:tcPr>
            <w:tcW w:w="592" w:type="pct"/>
            <w:vMerge w:val="restart"/>
            <w:tcBorders>
              <w:top w:val="single" w:color="000000" w:sz="4" w:space="0"/>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6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w:t>
            </w:r>
          </w:p>
        </w:tc>
        <w:tc>
          <w:tcPr>
            <w:tcW w:w="64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彩色防滑路面标线</w:t>
            </w:r>
          </w:p>
        </w:tc>
        <w:tc>
          <w:tcPr>
            <w:tcW w:w="1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厚度≥3.0mm,彩色公交专用道(含黄色专用道)</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138</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30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w:t>
            </w:r>
          </w:p>
        </w:tc>
        <w:tc>
          <w:tcPr>
            <w:tcW w:w="64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绿色泊位标线</w:t>
            </w:r>
          </w:p>
        </w:tc>
        <w:tc>
          <w:tcPr>
            <w:tcW w:w="1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厚度≥3.0mm</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138</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4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常温标线</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厚度：0.3mm～0.5mm</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普通热熔标线、地面标识</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热熔反光型标线厚度≥1.8mm，均匀撒布反光珠</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3"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Ⅱ级反光热熔标线</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热熔反光型标线厚度≥1.8mm，均匀撒布反光珠，符合F80-2017(公路工程质量检验评定标准）标线施划后检测逆反射亮度系数≥250，一年内任意一次检测时数值均需≥150。</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53</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7</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普通热熔振荡标线</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基线厚度≥1.5mm，突起部分高度≥5mm，均匀撒布反光珠</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70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142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8</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Ⅱ级振荡反光热熔标线</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基线厚度≥1.5mm，突起部分高度≥5mm，均匀撒布反光珠，符合F80-2017(公路工程质量检验评定标准）标线施划后检测逆反射亮度系数≥250，一年内任意一次检测时数值均需≥150。</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adjustRightInd/>
              <w:spacing w:line="360" w:lineRule="auto"/>
              <w:ind w:firstLine="0"/>
              <w:jc w:val="center"/>
              <w:textAlignment w:val="auto"/>
              <w:rPr>
                <w:rFonts w:cs="宋体" w:asciiTheme="minorEastAsia" w:hAnsiTheme="minorEastAsia" w:eastAsiaTheme="minorEastAsia"/>
                <w:color w:val="000000"/>
                <w:sz w:val="24"/>
              </w:rPr>
            </w:pPr>
            <w:r>
              <w:rPr>
                <w:rFonts w:asciiTheme="minorEastAsia" w:hAnsiTheme="minorEastAsia" w:eastAsiaTheme="minorEastAsia"/>
                <w:sz w:val="24"/>
                <w:szCs w:val="24"/>
              </w:rPr>
              <w:t>93</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120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9</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双组份结构型反光标线</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1、MMA材质；2、不粘胎干结时间：≤15分钟；3、耐磨性：≤40mg；4、符合F80-2017(公路工程质量检验评定标准）标线施划后检测逆反射亮度系数≥350，一年内任意一次检测时数值均需≥150。</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123</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120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10</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雨夜标线</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标线施划表面撒播白色或黄色雨夜反光珠和玻璃珠，雨夜珠播量≥200g/m2，玻璃珠撒播量≥200g/m2。雨夜珠应为全天候高亮雨夜珠，外观为不规则形状，表层</w:t>
            </w:r>
          </w:p>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为微晶陶瓷珠涂层结构。</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161</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11</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绿化带端头刷漆</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按照GB5768要求施划立面标记，黄黑反光漆</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34</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12</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双组份标线（甩涂型）</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含地面、夯平、图形制作、底胶浸倒、陶珠散布、余珠清除</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87</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13</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双组份标线（喷涂型）</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含地面、夯平、图形制作、底胶浸倒、陶珠散布、余珠清除</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30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14</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高亮反光热熔标线（刮涂型）</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厚度≥0.7mm，逆反射亮度系数≥350。</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85</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30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15</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高亮反光热熔标线（喷涂型）</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厚度≥0.7mm，逆反射亮度系数≥350。</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110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16</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高压水除线（带回收）</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超高压水磨清洗法，清除老标线，无明显痕迹（回收残渣）</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45</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16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17</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高压水除线</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超高压水磨清洗法，清除老标线，无明显痕迹，</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40</w:t>
            </w:r>
          </w:p>
        </w:tc>
        <w:tc>
          <w:tcPr>
            <w:tcW w:w="592" w:type="pct"/>
            <w:vMerge w:val="continue"/>
            <w:tcBorders>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4407"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left"/>
              <w:rPr>
                <w:rFonts w:cs="宋体" w:asciiTheme="minorEastAsia" w:hAnsiTheme="minorEastAsia" w:eastAsiaTheme="minorEastAsia"/>
                <w:color w:val="000000"/>
                <w:sz w:val="24"/>
              </w:rPr>
            </w:pPr>
            <w:r>
              <w:rPr>
                <w:rFonts w:hint="eastAsia" w:cs="宋体" w:asciiTheme="minorEastAsia" w:hAnsiTheme="minorEastAsia" w:eastAsiaTheme="minorEastAsia"/>
                <w:color w:val="000000"/>
                <w:kern w:val="0"/>
                <w:sz w:val="24"/>
              </w:rPr>
              <w:t>二、标志类</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left"/>
              <w:rPr>
                <w:rFonts w:hint="eastAsia" w:cs="宋体" w:asciiTheme="minorEastAsia" w:hAnsiTheme="minorEastAsia" w:eastAsiaTheme="minorEastAsia"/>
                <w:color w:val="000000"/>
                <w:kern w:val="0"/>
                <w:sz w:val="24"/>
              </w:rPr>
            </w:pPr>
          </w:p>
        </w:tc>
      </w:tr>
      <w:tr>
        <w:tblPrEx>
          <w:tblCellMar>
            <w:top w:w="0" w:type="dxa"/>
            <w:left w:w="108" w:type="dxa"/>
            <w:bottom w:w="0" w:type="dxa"/>
            <w:right w:w="108" w:type="dxa"/>
          </w:tblCellMar>
        </w:tblPrEx>
        <w:trPr>
          <w:trHeight w:val="70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道路标志牌三角形（单位：cm)△70</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标志膜采用第IV类反光膜,并安装于指定位置，采用2.0mm厚度铝合金板。详见项目技术规范</w:t>
            </w:r>
          </w:p>
        </w:tc>
        <w:tc>
          <w:tcPr>
            <w:tcW w:w="5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cs="宋体" w:asciiTheme="minorEastAsia" w:hAnsiTheme="minorEastAsia" w:eastAsiaTheme="minorEastAsia"/>
                <w:color w:val="000000"/>
                <w:sz w:val="24"/>
              </w:rPr>
            </w:pPr>
            <w:r>
              <w:rPr>
                <w:rFonts w:asciiTheme="minorEastAsia" w:hAnsiTheme="minorEastAsia" w:eastAsiaTheme="minorEastAsia"/>
                <w:sz w:val="24"/>
                <w:szCs w:val="24"/>
              </w:rPr>
              <w:t>150</w:t>
            </w:r>
          </w:p>
        </w:tc>
        <w:tc>
          <w:tcPr>
            <w:tcW w:w="592" w:type="pct"/>
            <w:vMerge w:val="restar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p>
        </w:tc>
      </w:tr>
      <w:tr>
        <w:tblPrEx>
          <w:tblCellMar>
            <w:top w:w="0" w:type="dxa"/>
            <w:left w:w="108" w:type="dxa"/>
            <w:bottom w:w="0" w:type="dxa"/>
            <w:right w:w="108" w:type="dxa"/>
          </w:tblCellMar>
        </w:tblPrEx>
        <w:trPr>
          <w:trHeight w:val="66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道路标志牌三角形（单位：cm)△90</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5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180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道路标志牌三角形（单位：cm)△110</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5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300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道路标志牌圆形（单位：cm）Φ60</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5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170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道路标志牌圆形（单位：cm）Φ80</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5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240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道路标志牌圆形（单位：cm）Φ100</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5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390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7</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道路标志牌正方形（单位:cm）60×60</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5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196</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8</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道路标志牌正方形（单位:cm）80×80</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5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320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9</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道路标志牌正方形（单位:cm）100×100</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5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485</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10</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道路标志牌长方形（单位：cm）60×30</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5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105</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11</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道路标志牌长方形（单位：cm）80×40</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180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12</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道路标志牌长方形（单位：cm）100×50</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250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13</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道路标志牌长方形（单位：cm）120×60</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360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14</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道路标志牌三角形（单位：cm)△130</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标志膜采用第IV类反光膜,并安装于指定位置，采用3.0mm厚度铝合金板。</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500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72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15</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道路标志牌圆形（单位：cm）Φ120</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标志膜采用第IV类反光膜,并安装于指定位置，采用3.0mm厚度铝合金板。详见项目技术规范</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750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16</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道路标志牌正方形（单位:cm）120×120</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标志膜采用第IV类反光膜,并安装于指定位置，采用3.0mm厚度铝合金板。</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color w:val="000000"/>
                <w:sz w:val="24"/>
                <w:szCs w:val="24"/>
              </w:rPr>
              <w:t>853</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17</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道路标志牌长方形（单位：cm）140×100</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标志膜采用第IV类反光膜,并安装于指定位置，采用3.0mm厚度铝合金板。</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color w:val="000000"/>
                <w:sz w:val="24"/>
                <w:szCs w:val="24"/>
              </w:rPr>
              <w:t>814</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18</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道路标志牌三角形（单位：cm)△70</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cs="宋体" w:asciiTheme="minorEastAsia" w:hAnsiTheme="minorEastAsia" w:eastAsiaTheme="minorEastAsia"/>
                <w:color w:val="000000"/>
                <w:sz w:val="24"/>
              </w:rPr>
            </w:pPr>
            <w:r>
              <w:rPr>
                <w:rFonts w:asciiTheme="minorEastAsia" w:hAnsiTheme="minorEastAsia" w:eastAsiaTheme="minorEastAsia"/>
                <w:sz w:val="24"/>
                <w:szCs w:val="24"/>
              </w:rPr>
              <w:t>250</w:t>
            </w:r>
          </w:p>
        </w:tc>
        <w:tc>
          <w:tcPr>
            <w:tcW w:w="592" w:type="pct"/>
            <w:vMerge w:val="continue"/>
            <w:tcBorders>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19</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道路标志牌三角形（单位：cm)△90</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450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20</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道路标志牌三角形（单位：cm)△110</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500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21</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道路标志牌圆形（单位：cm）Φ60</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320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22</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道路标志牌圆形（单位：cm）Φ80</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420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23</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道路标志牌圆形（单位：cm）Φ100</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791</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24</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道路标志牌正方形（单位:cm）60×60</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300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25</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道路标志牌正方形（单位:cm）80×80</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520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26</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道路标志牌正方形（单位:cm）100×100</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810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27</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道路标志牌长方形（单位：cm）60×30</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170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28</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道路标志牌长方形（单位：cm）80×40</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270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29</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道路标志牌长方形（单位：cm）100×50</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420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30</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道路标志牌长方形（单位：cm）120×60</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590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31</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道路标志牌三角形（单位：cm)△130</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标志膜采用第V类反光膜,并安装于指定位置，采用3.0mm厚度铝合金板。</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610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32</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道路标志牌圆形（单位：cm）Φ120</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标志膜采用第V类反光膜,并安装于指定位置，采用3.0mm厚度铝合金板。</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1100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33</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道路标志牌正方形（单位:cm）120×120</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标志膜采用第V类反光膜,并安装于指定位置，采用3.0mm厚度铝合金板。</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1200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34</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道路标志牌长方形（单位：cm）140×100</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标志膜采用第V类反光膜,并安装于指定位置，采用3.0mm厚度铝合金板。</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1150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35</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道路标志牌1.2至3m²（按2.1 m²板计）</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标志膜采用第V类反光膜,并安装于指定位置，采用3.0mm厚度铝合金板。</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1900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36</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道路标志牌3至5m²（按4 m²板计）</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标志膜采用第V类反光膜,并安装于指定位置，采用3.0mm厚度铝合金板。</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3300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37</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道路标志牌5至7m²（按6 m²板计）</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标志膜采用第V类反光膜,并安装于指定位置，采用3.0mm厚度铝合金板。</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4600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38</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道路标志牌7至9m²（按8 m²板计）</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标志膜采用第V类反光膜,并安装于指定位置，采用3.0mm厚度铝合金板。</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5800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39</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道路标志牌9至12m²（按10.5 m²板计）</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标志膜采用第V类反光膜,并安装于指定位置，采用3.0mm厚度铝合金板。</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8400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40</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道路标志牌12至15m²（按13.5 m²板计）</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标志膜采用第V类反光膜,并安装于指定位置，采用3.0mm厚度铝合金板。</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11000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41</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道路标志牌15m²以上（按18 m²板计）</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标志膜采用第V类反光膜,并安装于指定位置，采用3.0mm厚度铝合金板。</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15000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42</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标志牌去膜改版（字按热熔字考虑，字体面积按版面的1/3计算）</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贴第IV类反光膜(单块标牌面积1m²起算)</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m2</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216</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43</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标志牌去膜改版</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贴第V类反光膜(单块标牌面积1m²起算)</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m2</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441</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52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44</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贴膜</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杆件、警示桩、护栏边柱、岗亭等设施贴第IV类反光膜</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m2</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119</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45</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标志牌清洗</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仅限大于5m²的，小于等于5m²的包含于年度维护费中</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m2</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0.79</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46</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钢支架</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钢制活动支架，用以直接设置在路上，并安装于指定位置</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t</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5340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47</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设备支架制作安装</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设备支架制作安装每组重量0.2t以内</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t</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8540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48</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设备支架制作安装</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设备支架制作安装每组重量0.2-0.5t</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t</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8413</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49</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设备支架制作安装</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设备支架制作安装每组重量0.5-1t</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t</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8144</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50</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设备支架制作安装</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设备支架制作安装每组重量1-3t</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t</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7866</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51</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设备支架制作安装</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设备支架制作安装每组重量3-5t</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t</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7607</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52</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KT板（广告牌）</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按1*1.2m亚克力板计算</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110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53</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三角形（单位：cm)△70标志版拆除</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95</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54</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三角形（单位：cm)△90标志版拆除</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103</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55</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三角形（单位：cm)△110标志版拆除</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110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56</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三角形（单位：cm)△130标志版拆除</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118</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57</w:t>
            </w:r>
          </w:p>
        </w:tc>
        <w:tc>
          <w:tcPr>
            <w:tcW w:w="649"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圆形（单位：cm）Φ60标志版拆除</w:t>
            </w:r>
          </w:p>
        </w:tc>
        <w:tc>
          <w:tcPr>
            <w:tcW w:w="1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5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103</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58</w:t>
            </w:r>
          </w:p>
        </w:tc>
        <w:tc>
          <w:tcPr>
            <w:tcW w:w="649"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圆形（单位：cm）Φ80标志版拆除</w:t>
            </w:r>
          </w:p>
        </w:tc>
        <w:tc>
          <w:tcPr>
            <w:tcW w:w="1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5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110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59</w:t>
            </w:r>
          </w:p>
        </w:tc>
        <w:tc>
          <w:tcPr>
            <w:tcW w:w="649"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圆形（单位：cm）Φ100标志版拆除</w:t>
            </w:r>
          </w:p>
        </w:tc>
        <w:tc>
          <w:tcPr>
            <w:tcW w:w="1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5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118</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60</w:t>
            </w:r>
          </w:p>
        </w:tc>
        <w:tc>
          <w:tcPr>
            <w:tcW w:w="649"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圆形（单位：cm）Φ120标志版拆除</w:t>
            </w:r>
          </w:p>
        </w:tc>
        <w:tc>
          <w:tcPr>
            <w:tcW w:w="1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5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145</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61</w:t>
            </w:r>
          </w:p>
        </w:tc>
        <w:tc>
          <w:tcPr>
            <w:tcW w:w="649"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正方形（单位:cm）60×60标志版拆除</w:t>
            </w:r>
          </w:p>
        </w:tc>
        <w:tc>
          <w:tcPr>
            <w:tcW w:w="1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5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103</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62</w:t>
            </w:r>
          </w:p>
        </w:tc>
        <w:tc>
          <w:tcPr>
            <w:tcW w:w="649"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正方形（单位:cm）80×80标志版拆除</w:t>
            </w:r>
          </w:p>
        </w:tc>
        <w:tc>
          <w:tcPr>
            <w:tcW w:w="1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5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110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63</w:t>
            </w:r>
          </w:p>
        </w:tc>
        <w:tc>
          <w:tcPr>
            <w:tcW w:w="649"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正方形（单位:cm）100×100标志版拆除</w:t>
            </w:r>
          </w:p>
        </w:tc>
        <w:tc>
          <w:tcPr>
            <w:tcW w:w="1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5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118</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64</w:t>
            </w:r>
          </w:p>
        </w:tc>
        <w:tc>
          <w:tcPr>
            <w:tcW w:w="649"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正方形（单位:cm）120×120标志版拆除</w:t>
            </w:r>
          </w:p>
        </w:tc>
        <w:tc>
          <w:tcPr>
            <w:tcW w:w="1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5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145</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65</w:t>
            </w:r>
          </w:p>
        </w:tc>
        <w:tc>
          <w:tcPr>
            <w:tcW w:w="649"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长方形（单位：cm）60×30标志版拆除</w:t>
            </w:r>
          </w:p>
        </w:tc>
        <w:tc>
          <w:tcPr>
            <w:tcW w:w="1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5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95</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66</w:t>
            </w:r>
          </w:p>
        </w:tc>
        <w:tc>
          <w:tcPr>
            <w:tcW w:w="649"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长方形（单位：cm）80×40标志版拆除</w:t>
            </w:r>
          </w:p>
        </w:tc>
        <w:tc>
          <w:tcPr>
            <w:tcW w:w="1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5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103</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67</w:t>
            </w:r>
          </w:p>
        </w:tc>
        <w:tc>
          <w:tcPr>
            <w:tcW w:w="649"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长方形（单位：cm）100×50标志版拆除</w:t>
            </w:r>
          </w:p>
        </w:tc>
        <w:tc>
          <w:tcPr>
            <w:tcW w:w="1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5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110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68</w:t>
            </w:r>
          </w:p>
        </w:tc>
        <w:tc>
          <w:tcPr>
            <w:tcW w:w="649"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长方形（单位：cm）120×60标志版拆除</w:t>
            </w:r>
          </w:p>
        </w:tc>
        <w:tc>
          <w:tcPr>
            <w:tcW w:w="1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5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118</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69</w:t>
            </w:r>
          </w:p>
        </w:tc>
        <w:tc>
          <w:tcPr>
            <w:tcW w:w="649"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长方形（单位：cm）140×100标志版拆除</w:t>
            </w:r>
          </w:p>
        </w:tc>
        <w:tc>
          <w:tcPr>
            <w:tcW w:w="1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5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126</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70</w:t>
            </w:r>
          </w:p>
        </w:tc>
        <w:tc>
          <w:tcPr>
            <w:tcW w:w="649"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面积1.5-3m2以内标志版拆除</w:t>
            </w:r>
          </w:p>
        </w:tc>
        <w:tc>
          <w:tcPr>
            <w:tcW w:w="1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5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280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71</w:t>
            </w:r>
          </w:p>
        </w:tc>
        <w:tc>
          <w:tcPr>
            <w:tcW w:w="649"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面积3-5m2以内标志版拆除</w:t>
            </w:r>
          </w:p>
        </w:tc>
        <w:tc>
          <w:tcPr>
            <w:tcW w:w="1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5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446</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72</w:t>
            </w:r>
          </w:p>
        </w:tc>
        <w:tc>
          <w:tcPr>
            <w:tcW w:w="649"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面积5-7m2以内标志版拆除</w:t>
            </w:r>
          </w:p>
        </w:tc>
        <w:tc>
          <w:tcPr>
            <w:tcW w:w="1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5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646</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73</w:t>
            </w:r>
          </w:p>
        </w:tc>
        <w:tc>
          <w:tcPr>
            <w:tcW w:w="649"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面积7-9m2以内标志版拆除</w:t>
            </w:r>
          </w:p>
        </w:tc>
        <w:tc>
          <w:tcPr>
            <w:tcW w:w="1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5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859</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74</w:t>
            </w:r>
          </w:p>
        </w:tc>
        <w:tc>
          <w:tcPr>
            <w:tcW w:w="649"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面积9-12m2以内标志版拆除</w:t>
            </w:r>
          </w:p>
        </w:tc>
        <w:tc>
          <w:tcPr>
            <w:tcW w:w="1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5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1045</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75</w:t>
            </w:r>
          </w:p>
        </w:tc>
        <w:tc>
          <w:tcPr>
            <w:tcW w:w="649"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面积12-15m2以内标志版拆除</w:t>
            </w:r>
          </w:p>
        </w:tc>
        <w:tc>
          <w:tcPr>
            <w:tcW w:w="1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5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1214</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76</w:t>
            </w:r>
          </w:p>
        </w:tc>
        <w:tc>
          <w:tcPr>
            <w:tcW w:w="649"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面积15m2以上标志版拆除</w:t>
            </w:r>
          </w:p>
        </w:tc>
        <w:tc>
          <w:tcPr>
            <w:tcW w:w="148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5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1343</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77</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发光标志</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标志板面发光设计，全（半）透型面板显示</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m²</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4000</w:t>
            </w:r>
          </w:p>
        </w:tc>
        <w:tc>
          <w:tcPr>
            <w:tcW w:w="592" w:type="pct"/>
            <w:vMerge w:val="continue"/>
            <w:tcBorders>
              <w:left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78</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LED分体式可变车道标志板</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V类反光膜</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套</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6500</w:t>
            </w:r>
          </w:p>
        </w:tc>
        <w:tc>
          <w:tcPr>
            <w:tcW w:w="592" w:type="pct"/>
            <w:vMerge w:val="continue"/>
            <w:tcBorders>
              <w:left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79</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可变车道诱导屏</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0.8*1.2m，含控制箱，匹配现有工程</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套</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12000</w:t>
            </w:r>
          </w:p>
        </w:tc>
        <w:tc>
          <w:tcPr>
            <w:tcW w:w="592" w:type="pct"/>
            <w:vMerge w:val="continue"/>
            <w:tcBorders>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4407"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left"/>
              <w:rPr>
                <w:rFonts w:cs="宋体" w:asciiTheme="minorEastAsia" w:hAnsiTheme="minorEastAsia" w:eastAsiaTheme="minorEastAsia"/>
                <w:color w:val="000000"/>
                <w:sz w:val="24"/>
              </w:rPr>
            </w:pPr>
            <w:r>
              <w:rPr>
                <w:rFonts w:hint="eastAsia" w:cs="宋体" w:asciiTheme="minorEastAsia" w:hAnsiTheme="minorEastAsia" w:eastAsiaTheme="minorEastAsia"/>
                <w:color w:val="000000"/>
                <w:kern w:val="0"/>
                <w:sz w:val="24"/>
              </w:rPr>
              <w:t>三、立杆</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left"/>
              <w:rPr>
                <w:rFonts w:hint="eastAsia" w:cs="宋体" w:asciiTheme="minorEastAsia" w:hAnsiTheme="minorEastAsia" w:eastAsiaTheme="minorEastAsia"/>
                <w:color w:val="000000"/>
                <w:kern w:val="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Ф60H3米立杆</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201</w:t>
            </w:r>
          </w:p>
        </w:tc>
        <w:tc>
          <w:tcPr>
            <w:tcW w:w="592" w:type="pct"/>
            <w:vMerge w:val="restart"/>
            <w:tcBorders>
              <w:top w:val="single" w:color="000000" w:sz="4" w:space="0"/>
              <w:left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Ф89H2米立杆</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210</w:t>
            </w:r>
          </w:p>
        </w:tc>
        <w:tc>
          <w:tcPr>
            <w:tcW w:w="592" w:type="pct"/>
            <w:vMerge w:val="continue"/>
            <w:tcBorders>
              <w:left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Ф89H3米立杆</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270</w:t>
            </w:r>
          </w:p>
        </w:tc>
        <w:tc>
          <w:tcPr>
            <w:tcW w:w="592" w:type="pct"/>
            <w:vMerge w:val="continue"/>
            <w:tcBorders>
              <w:left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Ф89H3.5米立杆</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300</w:t>
            </w:r>
          </w:p>
        </w:tc>
        <w:tc>
          <w:tcPr>
            <w:tcW w:w="592" w:type="pct"/>
            <w:vMerge w:val="continue"/>
            <w:tcBorders>
              <w:left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Ф89H4米立杆</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330</w:t>
            </w:r>
          </w:p>
        </w:tc>
        <w:tc>
          <w:tcPr>
            <w:tcW w:w="592" w:type="pct"/>
            <w:vMerge w:val="continue"/>
            <w:tcBorders>
              <w:left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Ф114H0.85米反光柱</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176</w:t>
            </w:r>
          </w:p>
        </w:tc>
        <w:tc>
          <w:tcPr>
            <w:tcW w:w="592" w:type="pct"/>
            <w:vMerge w:val="continue"/>
            <w:tcBorders>
              <w:left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7</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Ф114H1米立杆</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200</w:t>
            </w:r>
          </w:p>
        </w:tc>
        <w:tc>
          <w:tcPr>
            <w:tcW w:w="592" w:type="pct"/>
            <w:vMerge w:val="continue"/>
            <w:tcBorders>
              <w:left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8</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Ф114H3米立杆</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330</w:t>
            </w:r>
          </w:p>
        </w:tc>
        <w:tc>
          <w:tcPr>
            <w:tcW w:w="592" w:type="pct"/>
            <w:vMerge w:val="continue"/>
            <w:tcBorders>
              <w:left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9</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Ф114H3.3米立杆</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365</w:t>
            </w:r>
          </w:p>
        </w:tc>
        <w:tc>
          <w:tcPr>
            <w:tcW w:w="592" w:type="pct"/>
            <w:vMerge w:val="continue"/>
            <w:tcBorders>
              <w:left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10</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Ф114H3.5米立杆</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400</w:t>
            </w:r>
          </w:p>
        </w:tc>
        <w:tc>
          <w:tcPr>
            <w:tcW w:w="592" w:type="pct"/>
            <w:vMerge w:val="continue"/>
            <w:tcBorders>
              <w:left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11</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Ф114H4米立杆</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420</w:t>
            </w:r>
          </w:p>
        </w:tc>
        <w:tc>
          <w:tcPr>
            <w:tcW w:w="592" w:type="pct"/>
            <w:vMerge w:val="continue"/>
            <w:tcBorders>
              <w:left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12</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Ф114H4.5米立杆</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450</w:t>
            </w:r>
          </w:p>
        </w:tc>
        <w:tc>
          <w:tcPr>
            <w:tcW w:w="592" w:type="pct"/>
            <w:vMerge w:val="continue"/>
            <w:tcBorders>
              <w:left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13</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Ф114H4.7米立杆</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465</w:t>
            </w:r>
          </w:p>
        </w:tc>
        <w:tc>
          <w:tcPr>
            <w:tcW w:w="592" w:type="pct"/>
            <w:vMerge w:val="continue"/>
            <w:tcBorders>
              <w:left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14</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Ф114H4.8米立杆</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500</w:t>
            </w:r>
          </w:p>
        </w:tc>
        <w:tc>
          <w:tcPr>
            <w:tcW w:w="592" w:type="pct"/>
            <w:vMerge w:val="continue"/>
            <w:tcBorders>
              <w:left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15</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Ф114H5米立杆</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557</w:t>
            </w:r>
          </w:p>
        </w:tc>
        <w:tc>
          <w:tcPr>
            <w:tcW w:w="592" w:type="pct"/>
            <w:vMerge w:val="continue"/>
            <w:tcBorders>
              <w:left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16</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Ф114H5.5米立杆</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601</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17</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Ф114H6米立杆</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644</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85"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18</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165*5.5米</w:t>
            </w:r>
            <w:r>
              <w:rPr>
                <w:rStyle w:val="30"/>
                <w:rFonts w:hint="eastAsia" w:ascii="宋体" w:hAnsi="宋体" w:cs="宋体"/>
                <w:sz w:val="24"/>
                <w:szCs w:val="24"/>
              </w:rPr>
              <w:t>F</w:t>
            </w:r>
            <w:r>
              <w:rPr>
                <w:rFonts w:hint="eastAsia" w:ascii="宋体" w:hAnsi="宋体" w:cs="宋体"/>
                <w:color w:val="000000"/>
                <w:kern w:val="0"/>
                <w:sz w:val="24"/>
              </w:rPr>
              <w:t>杆</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1、立柱：165*10*6500镀锌钢管</w:t>
            </w:r>
            <w:r>
              <w:rPr>
                <w:rFonts w:hint="eastAsia" w:ascii="宋体" w:hAnsi="宋体" w:cs="宋体"/>
                <w:color w:val="000000"/>
                <w:kern w:val="0"/>
                <w:sz w:val="24"/>
              </w:rPr>
              <w:cr/>
            </w:r>
            <w:r>
              <w:rPr>
                <w:rFonts w:hint="eastAsia" w:ascii="宋体" w:hAnsi="宋体" w:cs="宋体"/>
                <w:color w:val="000000"/>
                <w:kern w:val="0"/>
                <w:sz w:val="24"/>
              </w:rPr>
              <w:t>2、横梁：89*8*5500镀锌钢管</w:t>
            </w:r>
            <w:r>
              <w:rPr>
                <w:rFonts w:hint="eastAsia" w:ascii="宋体" w:hAnsi="宋体" w:cs="宋体"/>
                <w:color w:val="000000"/>
                <w:kern w:val="0"/>
                <w:sz w:val="24"/>
              </w:rPr>
              <w:cr/>
            </w:r>
            <w:r>
              <w:rPr>
                <w:rFonts w:hint="eastAsia" w:ascii="宋体" w:hAnsi="宋体" w:cs="宋体"/>
                <w:color w:val="000000"/>
                <w:kern w:val="0"/>
                <w:sz w:val="24"/>
              </w:rPr>
              <w:t>3、滑动槽钢、抱箍及加劲肋等，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9000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85"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19</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165*4.5米</w:t>
            </w:r>
            <w:r>
              <w:rPr>
                <w:rStyle w:val="30"/>
                <w:rFonts w:hint="eastAsia" w:ascii="宋体" w:hAnsi="宋体" w:cs="宋体"/>
                <w:sz w:val="24"/>
                <w:szCs w:val="24"/>
              </w:rPr>
              <w:t>F</w:t>
            </w:r>
            <w:r>
              <w:rPr>
                <w:rFonts w:hint="eastAsia" w:ascii="宋体" w:hAnsi="宋体" w:cs="宋体"/>
                <w:color w:val="000000"/>
                <w:kern w:val="0"/>
                <w:sz w:val="24"/>
              </w:rPr>
              <w:t>杆</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1、立柱：165*10*6500镀锌钢管</w:t>
            </w:r>
            <w:r>
              <w:rPr>
                <w:rFonts w:hint="eastAsia" w:ascii="宋体" w:hAnsi="宋体" w:cs="宋体"/>
                <w:color w:val="000000"/>
                <w:kern w:val="0"/>
                <w:sz w:val="24"/>
              </w:rPr>
              <w:cr/>
            </w:r>
            <w:r>
              <w:rPr>
                <w:rFonts w:hint="eastAsia" w:ascii="宋体" w:hAnsi="宋体" w:cs="宋体"/>
                <w:color w:val="000000"/>
                <w:kern w:val="0"/>
                <w:sz w:val="24"/>
              </w:rPr>
              <w:t>2、横梁：89*8*5500镀锌钢管</w:t>
            </w:r>
            <w:r>
              <w:rPr>
                <w:rFonts w:hint="eastAsia" w:ascii="宋体" w:hAnsi="宋体" w:cs="宋体"/>
                <w:color w:val="000000"/>
                <w:kern w:val="0"/>
                <w:sz w:val="24"/>
              </w:rPr>
              <w:cr/>
            </w:r>
            <w:r>
              <w:rPr>
                <w:rFonts w:hint="eastAsia" w:ascii="宋体" w:hAnsi="宋体" w:cs="宋体"/>
                <w:color w:val="000000"/>
                <w:kern w:val="0"/>
                <w:sz w:val="24"/>
              </w:rPr>
              <w:t>3、滑动槽钢、抱箍及加劲肋等，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8900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20</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6.8*5米悬臂八棱杆</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1、立柱：八角φ（300~500）*10*6.9m镀锌钢管</w:t>
            </w:r>
            <w:r>
              <w:rPr>
                <w:rFonts w:hint="eastAsia" w:ascii="宋体" w:hAnsi="宋体" w:cs="宋体"/>
                <w:color w:val="000000"/>
                <w:kern w:val="0"/>
                <w:sz w:val="24"/>
              </w:rPr>
              <w:cr/>
            </w:r>
            <w:r>
              <w:rPr>
                <w:rFonts w:hint="eastAsia" w:ascii="宋体" w:hAnsi="宋体" w:cs="宋体"/>
                <w:color w:val="000000"/>
                <w:kern w:val="0"/>
                <w:sz w:val="24"/>
              </w:rPr>
              <w:t>2、横梁：八角φ（110~250）*8*5.0m镀锌钢管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26994</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21</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6.8*6米悬臂八棱杆</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1、立柱：八角φ（300~500）*10*6.9m镀锌钢管</w:t>
            </w:r>
            <w:r>
              <w:rPr>
                <w:rFonts w:hint="eastAsia" w:ascii="宋体" w:hAnsi="宋体" w:cs="宋体"/>
                <w:color w:val="000000"/>
                <w:kern w:val="0"/>
                <w:sz w:val="24"/>
              </w:rPr>
              <w:cr/>
            </w:r>
            <w:r>
              <w:rPr>
                <w:rFonts w:hint="eastAsia" w:ascii="宋体" w:hAnsi="宋体" w:cs="宋体"/>
                <w:color w:val="000000"/>
                <w:kern w:val="0"/>
                <w:sz w:val="24"/>
              </w:rPr>
              <w:t>2、横梁：八角φ（110~250）*8*6.0m镀锌钢管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27228</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22</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6.8*7米悬臂八棱杆</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1、立柱：八角φ（300~500）*10*6.9m镀锌钢管</w:t>
            </w:r>
            <w:r>
              <w:rPr>
                <w:rFonts w:hint="eastAsia" w:ascii="宋体" w:hAnsi="宋体" w:cs="宋体"/>
                <w:color w:val="000000"/>
                <w:kern w:val="0"/>
                <w:sz w:val="24"/>
              </w:rPr>
              <w:cr/>
            </w:r>
            <w:r>
              <w:rPr>
                <w:rFonts w:hint="eastAsia" w:ascii="宋体" w:hAnsi="宋体" w:cs="宋体"/>
                <w:color w:val="000000"/>
                <w:kern w:val="0"/>
                <w:sz w:val="24"/>
              </w:rPr>
              <w:t>2、横梁：八角φ（110~250）*8*7.0m镀锌钢管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27461</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23</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6.8*8米悬臂八棱杆</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1、立柱：八角φ（300~500）*10*6.9m镀锌钢管</w:t>
            </w:r>
            <w:r>
              <w:rPr>
                <w:rFonts w:hint="eastAsia" w:ascii="宋体" w:hAnsi="宋体" w:cs="宋体"/>
                <w:color w:val="000000"/>
                <w:kern w:val="0"/>
                <w:sz w:val="24"/>
              </w:rPr>
              <w:cr/>
            </w:r>
            <w:r>
              <w:rPr>
                <w:rFonts w:hint="eastAsia" w:ascii="宋体" w:hAnsi="宋体" w:cs="宋体"/>
                <w:color w:val="000000"/>
                <w:kern w:val="0"/>
                <w:sz w:val="24"/>
              </w:rPr>
              <w:t>2、横梁：八角φ（110~250）*8*8.0m镀锌钢管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27688</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24</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6.8*9米悬臂八棱杆</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1、立柱：八角φ（300~500）*10*6.9m镀锌钢管</w:t>
            </w:r>
            <w:r>
              <w:rPr>
                <w:rFonts w:hint="eastAsia" w:ascii="宋体" w:hAnsi="宋体" w:cs="宋体"/>
                <w:color w:val="000000"/>
                <w:kern w:val="0"/>
                <w:sz w:val="24"/>
              </w:rPr>
              <w:cr/>
            </w:r>
            <w:r>
              <w:rPr>
                <w:rFonts w:hint="eastAsia" w:ascii="宋体" w:hAnsi="宋体" w:cs="宋体"/>
                <w:color w:val="000000"/>
                <w:kern w:val="0"/>
                <w:sz w:val="24"/>
              </w:rPr>
              <w:t>2、横梁：八角φ（110~250）*8*9.0m镀锌钢管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27922</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25</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6.8*9米*7米双挑悬臂八棱杆</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1、立柱：八角φ（300~500）*10*6.9m镀锌钢管</w:t>
            </w:r>
            <w:r>
              <w:rPr>
                <w:rFonts w:hint="eastAsia" w:ascii="宋体" w:hAnsi="宋体" w:cs="宋体"/>
                <w:color w:val="000000"/>
                <w:kern w:val="0"/>
                <w:sz w:val="24"/>
              </w:rPr>
              <w:cr/>
            </w:r>
            <w:r>
              <w:rPr>
                <w:rFonts w:hint="eastAsia" w:ascii="宋体" w:hAnsi="宋体" w:cs="宋体"/>
                <w:color w:val="000000"/>
                <w:kern w:val="0"/>
                <w:sz w:val="24"/>
              </w:rPr>
              <w:t>2、横梁：八角φ（110~250）*8*(9+7)m镀锌钢管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29556</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26</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6.8*9米双挑悬臂八棱杆</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1、立柱：八角φ（300~500）*10*6.9m镀锌钢管</w:t>
            </w:r>
            <w:r>
              <w:rPr>
                <w:rFonts w:hint="eastAsia" w:ascii="宋体" w:hAnsi="宋体" w:cs="宋体"/>
                <w:color w:val="000000"/>
                <w:kern w:val="0"/>
                <w:sz w:val="24"/>
              </w:rPr>
              <w:cr/>
            </w:r>
            <w:r>
              <w:rPr>
                <w:rFonts w:hint="eastAsia" w:ascii="宋体" w:hAnsi="宋体" w:cs="宋体"/>
                <w:color w:val="000000"/>
                <w:kern w:val="0"/>
                <w:sz w:val="24"/>
              </w:rPr>
              <w:t>2、横梁：八角φ（110~250）*8*(9+9)m镀锌钢管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30023</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27</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6.8*11米悬臂八棱杆</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1、立柱：八角φ（300~500）*10*6.9m镀锌钢管</w:t>
            </w:r>
            <w:r>
              <w:rPr>
                <w:rFonts w:hint="eastAsia" w:ascii="宋体" w:hAnsi="宋体" w:cs="宋体"/>
                <w:color w:val="000000"/>
                <w:kern w:val="0"/>
                <w:sz w:val="24"/>
              </w:rPr>
              <w:cr/>
            </w:r>
            <w:r>
              <w:rPr>
                <w:rFonts w:hint="eastAsia" w:ascii="宋体" w:hAnsi="宋体" w:cs="宋体"/>
                <w:color w:val="000000"/>
                <w:kern w:val="0"/>
                <w:sz w:val="24"/>
              </w:rPr>
              <w:t>2、横梁：八角φ（110~250）*8*11m镀锌钢管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28389</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28</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6.8*15米悬臂八棱杆</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1、立柱：八角φ（300~500）*10*6.9m镀锌钢管</w:t>
            </w:r>
            <w:r>
              <w:rPr>
                <w:rFonts w:hint="eastAsia" w:ascii="宋体" w:hAnsi="宋体" w:cs="宋体"/>
                <w:color w:val="000000"/>
                <w:kern w:val="0"/>
                <w:sz w:val="24"/>
              </w:rPr>
              <w:cr/>
            </w:r>
            <w:r>
              <w:rPr>
                <w:rFonts w:hint="eastAsia" w:ascii="宋体" w:hAnsi="宋体" w:cs="宋体"/>
                <w:color w:val="000000"/>
                <w:kern w:val="0"/>
                <w:sz w:val="24"/>
              </w:rPr>
              <w:t>2、横梁：八角φ（110~250）*8*15m镀锌钢管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29323</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29</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219杆4*5.5悬臂杆</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highlight w:val="none"/>
              </w:rPr>
            </w:pPr>
            <w:r>
              <w:rPr>
                <w:rFonts w:hint="eastAsia" w:ascii="宋体" w:hAnsi="宋体" w:cs="宋体"/>
                <w:color w:val="000000"/>
                <w:kern w:val="0"/>
                <w:sz w:val="24"/>
                <w:highlight w:val="none"/>
              </w:rPr>
              <w:t>1、</w:t>
            </w:r>
            <w:r>
              <w:rPr>
                <w:rFonts w:hint="eastAsia" w:ascii="宋体" w:hAnsi="宋体" w:cs="宋体"/>
                <w:color w:val="FF0000"/>
                <w:kern w:val="0"/>
                <w:sz w:val="24"/>
                <w:highlight w:val="none"/>
              </w:rPr>
              <w:t>立柱：φ219*10*6500镀锌钢管</w:t>
            </w:r>
            <w:r>
              <w:rPr>
                <w:rFonts w:hint="eastAsia" w:ascii="宋体" w:hAnsi="宋体" w:cs="宋体"/>
                <w:color w:val="FF0000"/>
                <w:kern w:val="0"/>
                <w:sz w:val="24"/>
                <w:highlight w:val="none"/>
              </w:rPr>
              <w:cr/>
            </w:r>
            <w:r>
              <w:rPr>
                <w:rFonts w:hint="eastAsia" w:ascii="宋体" w:hAnsi="宋体" w:cs="宋体"/>
                <w:color w:val="000000"/>
                <w:kern w:val="0"/>
                <w:sz w:val="24"/>
                <w:highlight w:val="none"/>
              </w:rPr>
              <w:t>2、横梁：φ168*8*5000(543)镀锌钢管</w:t>
            </w:r>
            <w:r>
              <w:rPr>
                <w:rFonts w:hint="eastAsia" w:ascii="宋体" w:hAnsi="宋体" w:cs="宋体"/>
                <w:color w:val="000000"/>
                <w:kern w:val="0"/>
                <w:sz w:val="24"/>
                <w:highlight w:val="none"/>
              </w:rPr>
              <w:cr/>
            </w:r>
            <w:r>
              <w:rPr>
                <w:rFonts w:hint="eastAsia" w:ascii="宋体" w:hAnsi="宋体" w:cs="宋体"/>
                <w:color w:val="000000"/>
                <w:kern w:val="0"/>
                <w:sz w:val="24"/>
                <w:highlight w:val="none"/>
              </w:rPr>
              <w:t>3、法兰盘及加劲肋等</w:t>
            </w:r>
            <w:r>
              <w:rPr>
                <w:rFonts w:hint="eastAsia" w:ascii="宋体" w:hAnsi="宋体" w:cs="宋体"/>
                <w:color w:val="000000"/>
                <w:kern w:val="0"/>
                <w:sz w:val="24"/>
                <w:highlight w:val="none"/>
              </w:rPr>
              <w:cr/>
            </w:r>
            <w:r>
              <w:rPr>
                <w:rFonts w:hint="eastAsia" w:ascii="宋体" w:hAnsi="宋体" w:cs="宋体"/>
                <w:color w:val="000000"/>
                <w:kern w:val="0"/>
                <w:sz w:val="24"/>
                <w:highlight w:val="none"/>
              </w:rPr>
              <w:t>4、C25钢筋混凝土基础+C10细石砼垫层+200厚片石垫层</w:t>
            </w:r>
            <w:r>
              <w:rPr>
                <w:rFonts w:hint="eastAsia" w:ascii="宋体" w:hAnsi="宋体" w:cs="宋体"/>
                <w:color w:val="000000"/>
                <w:kern w:val="0"/>
                <w:sz w:val="24"/>
                <w:highlight w:val="none"/>
              </w:rPr>
              <w:cr/>
            </w:r>
            <w:r>
              <w:rPr>
                <w:rFonts w:hint="eastAsia" w:ascii="宋体" w:hAnsi="宋体" w:cs="宋体"/>
                <w:color w:val="000000"/>
                <w:kern w:val="0"/>
                <w:sz w:val="24"/>
                <w:highlight w:val="none"/>
              </w:rPr>
              <w:t>详见8.附件：图纸，如参数与图纸不一致，以图纸为准。</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highlight w:val="none"/>
              </w:rPr>
            </w:pPr>
            <w:r>
              <w:rPr>
                <w:rFonts w:hint="eastAsia" w:ascii="宋体" w:hAnsi="宋体" w:cs="宋体"/>
                <w:color w:val="000000"/>
                <w:kern w:val="0"/>
                <w:sz w:val="24"/>
                <w:highlight w:val="none"/>
              </w:rPr>
              <w:t>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9600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30</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273型×4.5"×5.5m(Ф800)</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1、立柱：φ273*14*7900镀锌钢管</w:t>
            </w:r>
            <w:r>
              <w:rPr>
                <w:rFonts w:hint="eastAsia" w:ascii="宋体" w:hAnsi="宋体" w:cs="宋体"/>
                <w:color w:val="000000"/>
                <w:kern w:val="0"/>
                <w:sz w:val="24"/>
              </w:rPr>
              <w:cr/>
            </w:r>
            <w:r>
              <w:rPr>
                <w:rFonts w:hint="eastAsia" w:ascii="宋体" w:hAnsi="宋体" w:cs="宋体"/>
                <w:color w:val="000000"/>
                <w:kern w:val="0"/>
                <w:sz w:val="24"/>
              </w:rPr>
              <w:t>2、横梁：φ150*8*5500(543)镀锌钢管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18000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31</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273型*5"*5米悬臂杆</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1、立柱：φ273*14*7900镀锌钢管</w:t>
            </w:r>
            <w:r>
              <w:rPr>
                <w:rFonts w:hint="eastAsia" w:ascii="宋体" w:hAnsi="宋体" w:cs="宋体"/>
                <w:color w:val="000000"/>
                <w:kern w:val="0"/>
                <w:sz w:val="24"/>
              </w:rPr>
              <w:cr/>
            </w:r>
            <w:r>
              <w:rPr>
                <w:rFonts w:hint="eastAsia" w:ascii="宋体" w:hAnsi="宋体" w:cs="宋体"/>
                <w:color w:val="000000"/>
                <w:kern w:val="0"/>
                <w:sz w:val="24"/>
              </w:rPr>
              <w:t>2、横梁：φ168*8*5000(543)镀锌钢管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18800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32</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273型*5"*5.5米悬臂杆</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1、立柱：φ273*14*7900镀锌钢管</w:t>
            </w:r>
            <w:r>
              <w:rPr>
                <w:rFonts w:hint="eastAsia" w:ascii="宋体" w:hAnsi="宋体" w:cs="宋体"/>
                <w:color w:val="000000"/>
                <w:kern w:val="0"/>
                <w:sz w:val="24"/>
              </w:rPr>
              <w:cr/>
            </w:r>
            <w:r>
              <w:rPr>
                <w:rFonts w:hint="eastAsia" w:ascii="宋体" w:hAnsi="宋体" w:cs="宋体"/>
                <w:color w:val="000000"/>
                <w:kern w:val="0"/>
                <w:sz w:val="24"/>
              </w:rPr>
              <w:t>2、横梁：φ168*8*5500(543)镀锌钢管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19200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33</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273型*7*7双挑悬臂杆（厚10cm）</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1、立柱：φ273*14*7900镀锌钢管</w:t>
            </w:r>
            <w:r>
              <w:rPr>
                <w:rFonts w:hint="eastAsia" w:ascii="宋体" w:hAnsi="宋体" w:cs="宋体"/>
                <w:color w:val="000000"/>
                <w:kern w:val="0"/>
                <w:sz w:val="24"/>
              </w:rPr>
              <w:cr/>
            </w:r>
            <w:r>
              <w:rPr>
                <w:rFonts w:hint="eastAsia" w:ascii="宋体" w:hAnsi="宋体" w:cs="宋体"/>
                <w:color w:val="000000"/>
                <w:kern w:val="0"/>
                <w:sz w:val="24"/>
              </w:rPr>
              <w:t>2、横梁：φ168*10*7000(543)镀锌钢管(双排）</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24800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34</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龙门架杆件</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1、立柱(mm)：Ф377×12×8000</w:t>
            </w:r>
            <w:r>
              <w:rPr>
                <w:rFonts w:hint="eastAsia" w:ascii="宋体" w:hAnsi="宋体" w:cs="宋体"/>
                <w:color w:val="000000"/>
                <w:kern w:val="0"/>
                <w:sz w:val="24"/>
              </w:rPr>
              <w:cr/>
            </w:r>
            <w:r>
              <w:rPr>
                <w:rFonts w:hint="eastAsia" w:ascii="宋体" w:hAnsi="宋体" w:cs="宋体"/>
                <w:color w:val="000000"/>
                <w:kern w:val="0"/>
                <w:sz w:val="24"/>
              </w:rPr>
              <w:t>2、横梁(mm)：Ф159×8×13220</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50177</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35</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龙门架杆件</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1、立柱(mm)：立柱(mm)：Ф426×12×8000</w:t>
            </w:r>
            <w:r>
              <w:rPr>
                <w:rFonts w:hint="eastAsia" w:ascii="宋体" w:hAnsi="宋体" w:cs="宋体"/>
                <w:color w:val="000000"/>
                <w:kern w:val="0"/>
                <w:sz w:val="24"/>
              </w:rPr>
              <w:cr/>
            </w:r>
            <w:r>
              <w:rPr>
                <w:rFonts w:hint="eastAsia" w:ascii="宋体" w:hAnsi="宋体" w:cs="宋体"/>
                <w:color w:val="000000"/>
                <w:kern w:val="0"/>
                <w:sz w:val="24"/>
              </w:rPr>
              <w:t>2、横梁(mm)：Ф219×12×17170</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65321</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36</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龙门架杆件</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1、立柱(mm)：杆(mm)：Ф273×10×7400</w:t>
            </w:r>
            <w:r>
              <w:rPr>
                <w:rFonts w:hint="eastAsia" w:ascii="宋体" w:hAnsi="宋体" w:cs="宋体"/>
                <w:color w:val="000000"/>
                <w:kern w:val="0"/>
                <w:sz w:val="24"/>
              </w:rPr>
              <w:cr/>
            </w:r>
            <w:r>
              <w:rPr>
                <w:rFonts w:hint="eastAsia" w:ascii="宋体" w:hAnsi="宋体" w:cs="宋体"/>
                <w:color w:val="000000"/>
                <w:kern w:val="0"/>
                <w:sz w:val="24"/>
              </w:rPr>
              <w:t>2、臂(mm)：Ф152×8×（≥17米）</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46735</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37</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Ф60 3米以内立柱立杆拆除</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69</w:t>
            </w:r>
          </w:p>
        </w:tc>
        <w:tc>
          <w:tcPr>
            <w:tcW w:w="592"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38</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Ф89 5米以内立柱拆除</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91</w:t>
            </w:r>
          </w:p>
        </w:tc>
        <w:tc>
          <w:tcPr>
            <w:tcW w:w="592"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39</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Ф114 5米以内立柱拆除</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125</w:t>
            </w:r>
          </w:p>
        </w:tc>
        <w:tc>
          <w:tcPr>
            <w:tcW w:w="592"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40</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Ф140 4.5米以内立柱拆除，</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139</w:t>
            </w:r>
          </w:p>
        </w:tc>
        <w:tc>
          <w:tcPr>
            <w:tcW w:w="592"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41</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Ф140 8米以内立柱拆除</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200</w:t>
            </w:r>
          </w:p>
        </w:tc>
        <w:tc>
          <w:tcPr>
            <w:tcW w:w="592"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42</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165*5.5米F杆拆除</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adjustRightInd/>
              <w:spacing w:line="360" w:lineRule="auto"/>
              <w:ind w:firstLine="0"/>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670</w:t>
            </w:r>
          </w:p>
        </w:tc>
        <w:tc>
          <w:tcPr>
            <w:tcW w:w="592"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43</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165*4.5米F杆拆除</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592</w:t>
            </w:r>
          </w:p>
        </w:tc>
        <w:tc>
          <w:tcPr>
            <w:tcW w:w="592"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44</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6.8*5米悬臂八棱杆拆除</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630</w:t>
            </w:r>
          </w:p>
        </w:tc>
        <w:tc>
          <w:tcPr>
            <w:tcW w:w="592"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45</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6.8*6米悬臂八棱杆拆除</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709</w:t>
            </w:r>
          </w:p>
        </w:tc>
        <w:tc>
          <w:tcPr>
            <w:tcW w:w="592"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46</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6.8*7米悬臂八棱杆拆除</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787</w:t>
            </w:r>
          </w:p>
        </w:tc>
        <w:tc>
          <w:tcPr>
            <w:tcW w:w="592"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47</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6.8*8米悬臂八棱杆拆除</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865</w:t>
            </w:r>
          </w:p>
        </w:tc>
        <w:tc>
          <w:tcPr>
            <w:tcW w:w="592"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48</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6.8*9米悬臂八棱杆拆除</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943</w:t>
            </w:r>
          </w:p>
        </w:tc>
        <w:tc>
          <w:tcPr>
            <w:tcW w:w="592"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49</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6.8*11米悬臂八棱杆拆除</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1100</w:t>
            </w:r>
          </w:p>
        </w:tc>
        <w:tc>
          <w:tcPr>
            <w:tcW w:w="592"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50</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6.8*15米悬臂八棱杆拆除</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1411</w:t>
            </w:r>
          </w:p>
        </w:tc>
        <w:tc>
          <w:tcPr>
            <w:tcW w:w="592"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51</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219杆悬臂杆拆除</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277</w:t>
            </w:r>
          </w:p>
        </w:tc>
        <w:tc>
          <w:tcPr>
            <w:tcW w:w="592"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52</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273型立杆拆除</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554</w:t>
            </w:r>
          </w:p>
        </w:tc>
        <w:tc>
          <w:tcPr>
            <w:tcW w:w="592"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53</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龙门架杆件拆除</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2422</w:t>
            </w:r>
          </w:p>
        </w:tc>
        <w:tc>
          <w:tcPr>
            <w:tcW w:w="592"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54</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标杆（仅计底盘）</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Ф89 立杆底盘，法兰盘、加劲肋及地脚螺栓等，详见项目技术规范</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386</w:t>
            </w:r>
          </w:p>
        </w:tc>
        <w:tc>
          <w:tcPr>
            <w:tcW w:w="592"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55</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标杆（仅计底盘）</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Ф114 立杆底盘，法兰盘、加劲肋及地脚螺栓等，详见项目技术规范</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441</w:t>
            </w:r>
          </w:p>
        </w:tc>
        <w:tc>
          <w:tcPr>
            <w:tcW w:w="592"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56</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混凝土基础</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Ф89 米立杆C25混凝土基础，详见项目技术规范</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个</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530</w:t>
            </w:r>
          </w:p>
        </w:tc>
        <w:tc>
          <w:tcPr>
            <w:tcW w:w="592"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57</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混凝土基础</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Ф114 米立杆C25混凝土基础，详见项目技术规范</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个</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943</w:t>
            </w:r>
          </w:p>
        </w:tc>
        <w:tc>
          <w:tcPr>
            <w:tcW w:w="592"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54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58</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混凝土基础</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C25砼（含C10素砼垫层及砂砾石底层），含挖土方、运土、基础笼、清理现场等</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m3</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1200</w:t>
            </w:r>
          </w:p>
        </w:tc>
        <w:tc>
          <w:tcPr>
            <w:tcW w:w="592" w:type="pct"/>
            <w:vMerge w:val="continue"/>
            <w:tcBorders>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4407" w:type="pct"/>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left"/>
              <w:rPr>
                <w:rFonts w:cs="宋体" w:asciiTheme="minorEastAsia" w:hAnsiTheme="minorEastAsia" w:eastAsiaTheme="minorEastAsia"/>
                <w:color w:val="000000"/>
                <w:sz w:val="24"/>
              </w:rPr>
            </w:pPr>
            <w:r>
              <w:rPr>
                <w:rFonts w:hint="eastAsia" w:cs="宋体" w:asciiTheme="minorEastAsia" w:hAnsiTheme="minorEastAsia" w:eastAsiaTheme="minorEastAsia"/>
                <w:color w:val="000000"/>
                <w:kern w:val="0"/>
                <w:sz w:val="24"/>
              </w:rPr>
              <w:t>四、护栏类</w:t>
            </w: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left"/>
              <w:rPr>
                <w:rFonts w:hint="eastAsia" w:cs="宋体" w:asciiTheme="minorEastAsia" w:hAnsiTheme="minorEastAsia" w:eastAsiaTheme="minorEastAsia"/>
                <w:color w:val="000000"/>
                <w:kern w:val="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A型立柱</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100</w:t>
            </w:r>
          </w:p>
        </w:tc>
        <w:tc>
          <w:tcPr>
            <w:tcW w:w="592" w:type="pct"/>
            <w:vMerge w:val="restart"/>
            <w:tcBorders>
              <w:top w:val="single" w:color="000000" w:sz="4" w:space="0"/>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A型护栏</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90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A型护栏(含立柱)</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145</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B型立柱</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110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B型护栏</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B型护栏(含立柱)</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155</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7</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新款塑钢立柱</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8</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新款塑钢护栏（导向牌）</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90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9</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导向牌面板</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155</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10</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新款塑钢立柱顶帽</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11</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交通导向牌(含护栏)</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320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12</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新款塑钢立柱</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110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13</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新款塑钢护栏（导向牌）</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14</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导向牌面板</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170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15</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新款塑钢立柱顶帽</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85"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16</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交通导向牌(含护栏)</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350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3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17</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端头反光柱(右侧通行、机动车通行)</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325</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18</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太阳能自发光端头导向牌(中心护栏)</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470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19</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120型太阳能自发光护栏立杆</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218</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20</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N型中心护栏</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M</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135</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21</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N型机非护栏</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详见8.附件：图纸</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m</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120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22</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A级波形护栏</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4320*310*85*3mm</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M</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87</w:t>
            </w:r>
          </w:p>
        </w:tc>
        <w:tc>
          <w:tcPr>
            <w:tcW w:w="592"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23</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护栏立柱</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打桩型立柱，长1.8米</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163</w:t>
            </w:r>
          </w:p>
        </w:tc>
        <w:tc>
          <w:tcPr>
            <w:tcW w:w="592"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24</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护栏立柱</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预埋型立柱，长1.2米</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109</w:t>
            </w:r>
          </w:p>
        </w:tc>
        <w:tc>
          <w:tcPr>
            <w:tcW w:w="592"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25</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隔离护栏防撞头</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路侧端头R160mm</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个</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65</w:t>
            </w:r>
          </w:p>
        </w:tc>
        <w:tc>
          <w:tcPr>
            <w:tcW w:w="592"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sz w:val="24"/>
              </w:rPr>
              <w:t>26</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钢索护栏</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kern w:val="0"/>
                <w:sz w:val="24"/>
              </w:rPr>
            </w:pPr>
            <w:r>
              <w:rPr>
                <w:rFonts w:hint="eastAsia" w:ascii="宋体" w:hAnsi="宋体" w:cs="宋体"/>
                <w:color w:val="000000"/>
                <w:kern w:val="0"/>
                <w:sz w:val="24"/>
              </w:rPr>
              <w:t>镀锌钢管、钢丝绳</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kern w:val="0"/>
                <w:sz w:val="24"/>
              </w:rPr>
            </w:pPr>
            <w:r>
              <w:rPr>
                <w:rFonts w:hint="eastAsia" w:ascii="宋体" w:hAnsi="宋体" w:cs="宋体"/>
                <w:color w:val="000000"/>
                <w:kern w:val="0"/>
                <w:sz w:val="24"/>
              </w:rPr>
              <w:t>M</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100</w:t>
            </w:r>
          </w:p>
        </w:tc>
        <w:tc>
          <w:tcPr>
            <w:tcW w:w="592" w:type="pct"/>
            <w:vMerge w:val="continue"/>
            <w:tcBorders>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4407"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left"/>
              <w:rPr>
                <w:rFonts w:cs="宋体" w:asciiTheme="minorEastAsia" w:hAnsiTheme="minorEastAsia" w:eastAsiaTheme="minorEastAsia"/>
                <w:color w:val="000000"/>
                <w:sz w:val="24"/>
              </w:rPr>
            </w:pPr>
            <w:r>
              <w:rPr>
                <w:rFonts w:hint="eastAsia" w:cs="宋体" w:asciiTheme="minorEastAsia" w:hAnsiTheme="minorEastAsia" w:eastAsiaTheme="minorEastAsia"/>
                <w:color w:val="000000"/>
                <w:kern w:val="0"/>
                <w:sz w:val="24"/>
              </w:rPr>
              <w:t>五、其他</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left"/>
              <w:rPr>
                <w:rFonts w:hint="eastAsia" w:cs="宋体" w:asciiTheme="minorEastAsia" w:hAnsiTheme="minorEastAsia" w:eastAsiaTheme="minorEastAsia"/>
                <w:color w:val="000000"/>
                <w:kern w:val="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锁具</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3米链条+防剪锁加粗8mm+锁具</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adjustRightInd/>
              <w:spacing w:line="360" w:lineRule="auto"/>
              <w:ind w:firstLine="0"/>
              <w:jc w:val="center"/>
              <w:textAlignment w:val="auto"/>
              <w:rPr>
                <w:rFonts w:cs="宋体" w:asciiTheme="minorEastAsia" w:hAnsiTheme="minorEastAsia" w:eastAsiaTheme="minorEastAsia"/>
                <w:color w:val="000000"/>
                <w:sz w:val="24"/>
              </w:rPr>
            </w:pPr>
            <w:r>
              <w:rPr>
                <w:rFonts w:asciiTheme="minorEastAsia" w:hAnsiTheme="minorEastAsia" w:eastAsiaTheme="minorEastAsia"/>
                <w:sz w:val="24"/>
                <w:szCs w:val="24"/>
              </w:rPr>
              <w:t>46</w:t>
            </w:r>
          </w:p>
        </w:tc>
        <w:tc>
          <w:tcPr>
            <w:tcW w:w="592" w:type="pct"/>
            <w:vMerge w:val="restart"/>
            <w:tcBorders>
              <w:top w:val="single" w:color="000000" w:sz="4" w:space="0"/>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抽屉锁</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A级锁，岗亭衣柜及办公抽屉锁等</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岗亭门锁</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B级锁即可</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120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岗亭玻璃</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更换岗亭玻璃</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m2</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271</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岗亭灯管</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更换岗亭日光灯管</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根</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岗亭（空调加氟利昂）</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老旧空调加氟利昂</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次</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180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7</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岗亭（空调遥控器）</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适配岗亭空调</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只</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8</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岗亭空调</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（≥1.5P，适用面积9-18平方米，尺寸≥285*770*223cm）</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台</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2400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6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9</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岗亭内的扫把、拖把、水桶、垃圾畚斗、抹布</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满足岗亭日常清洁需求</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件</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10</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岗亭玻璃(曲面)</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更换岗亭玻璃</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m2</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294</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11</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岗亭（空调铜管）</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更换岗亭空调铜管</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12</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岗亭（空调插座）</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更换岗亭空调插座</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25</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13</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岗亭（空调清洗，漏水）</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岗亭空调清洗，漏水修复</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处</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14</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岗亭清洗</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对岗亭进行整体清洗</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501</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15</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PVC管6分</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6.5</w:t>
            </w:r>
          </w:p>
        </w:tc>
        <w:tc>
          <w:tcPr>
            <w:tcW w:w="592" w:type="pct"/>
            <w:vMerge w:val="continue"/>
            <w:tcBorders>
              <w:left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16</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32PE管</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17</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60PE管2寸</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15</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18</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50PE管1.5寸</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11</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19</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75PE管2.5寸</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20</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110PE管</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34</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21</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镀锌扁铁</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49</w:t>
            </w:r>
          </w:p>
        </w:tc>
        <w:tc>
          <w:tcPr>
            <w:tcW w:w="592" w:type="pct"/>
            <w:vMerge w:val="continue"/>
            <w:tcBorders>
              <w:left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22</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镀锌管</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SC89</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71</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23</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镀锌管</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SC114</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24</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镀锌管接头</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kern w:val="0"/>
                <w:sz w:val="24"/>
              </w:rPr>
              <w:t>匹配SC89镀锌管</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35</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25</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镀锌管接头</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kern w:val="0"/>
                <w:sz w:val="24"/>
              </w:rPr>
              <w:t>匹配SC114镀锌管</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60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26</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顶管DN110</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PE管￠110</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220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27</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水泥工井</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带砌口40cm*65cm</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627</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28</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大水泥工井</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带砌口76cm*85cm</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753</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29</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绿化带开挖.恢复</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30cm*50cm</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109</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30</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透水砖面人行道开挖、恢复</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30cm*50cm</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395</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31</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沥青混凝土(板块)过街开挖.恢复</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50cm宽，70cm深，C25砼修复</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199</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32</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水泥混凝土(板块)过街开挖.恢复</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50cm宽，70cm深，C25砼修复</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300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33</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圆形防撞桶</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600mm×800mm，PE，含黄沙（1/3高）</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186</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34</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防撞桶</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90CM*90CM*90CM，新款防撞桶，贴红白反光膜，桶内装入适当沙石，并放置指定位置</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465</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35</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路锥</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71cmpvc，30*30*71cm</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47</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36</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路锥</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H=700mm,底36*36mm</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38</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37</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路锥</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H=500mm，底28*28mm</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15</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38</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路锥连接杆</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∮33.5×2000mm</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21</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39</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荧光轮廓标</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单侧反光、双侧反光14.05*4.05公分</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22</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72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40</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道钉（单面）</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left"/>
              <w:textAlignment w:val="center"/>
              <w:rPr>
                <w:rFonts w:ascii="宋体" w:hAnsi="宋体" w:cs="宋体"/>
                <w:color w:val="000000"/>
                <w:sz w:val="24"/>
              </w:rPr>
            </w:pPr>
            <w:r>
              <w:rPr>
                <w:rFonts w:hint="eastAsia" w:ascii="宋体" w:hAnsi="宋体" w:cs="宋体"/>
                <w:color w:val="000000"/>
                <w:kern w:val="0"/>
                <w:sz w:val="24"/>
              </w:rPr>
              <w:t xml:space="preserve"> 采用GB/T24725-2009《突起路标》中A1类突起路标的性能要求。</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只</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72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41</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道钉（双面）</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left"/>
              <w:textAlignment w:val="center"/>
              <w:rPr>
                <w:rFonts w:ascii="宋体" w:hAnsi="宋体" w:cs="宋体"/>
                <w:color w:val="000000"/>
                <w:sz w:val="24"/>
              </w:rPr>
            </w:pPr>
            <w:r>
              <w:rPr>
                <w:rFonts w:hint="eastAsia" w:ascii="宋体" w:hAnsi="宋体" w:cs="宋体"/>
                <w:color w:val="000000"/>
                <w:kern w:val="0"/>
                <w:sz w:val="24"/>
              </w:rPr>
              <w:t>采用GB/T24725-2009《突起路标》对A2类突起路标的性能要求。</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只</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34</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42</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80cmpu磁铁潮汐车道弹性柱</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符合GBT24972-2010弹性交通柱标准</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160</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9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43</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磁铁</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auto"/>
                <w:sz w:val="24"/>
              </w:rPr>
            </w:pPr>
            <w:r>
              <w:rPr>
                <w:rFonts w:hint="eastAsia" w:ascii="宋体" w:hAnsi="宋体" w:cs="宋体"/>
                <w:b w:val="0"/>
                <w:bCs/>
                <w:color w:val="auto"/>
                <w:sz w:val="24"/>
              </w:rPr>
              <w:t>适配磁吸警示柱</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auto"/>
                <w:sz w:val="24"/>
              </w:rPr>
            </w:pPr>
            <w:r>
              <w:rPr>
                <w:rFonts w:hint="eastAsia" w:ascii="宋体" w:hAnsi="宋体" w:cs="宋体"/>
                <w:color w:val="auto"/>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FF0000"/>
                <w:sz w:val="24"/>
              </w:rPr>
            </w:pPr>
            <w:r>
              <w:rPr>
                <w:rFonts w:asciiTheme="minorEastAsia" w:hAnsiTheme="minorEastAsia" w:eastAsiaTheme="minorEastAsia"/>
                <w:sz w:val="24"/>
                <w:szCs w:val="24"/>
              </w:rPr>
              <w:t>54</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FF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FF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44</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橡胶减速带</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380×50mm</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auto"/>
                <w:sz w:val="24"/>
              </w:rPr>
            </w:pPr>
            <w:r>
              <w:rPr>
                <w:rFonts w:hint="eastAsia" w:ascii="宋体" w:hAnsi="宋体" w:cs="宋体"/>
                <w:color w:val="auto"/>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85</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4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45</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铸铁减速带</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350×45mm</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auto"/>
                <w:sz w:val="24"/>
              </w:rPr>
            </w:pPr>
            <w:r>
              <w:rPr>
                <w:rFonts w:hint="eastAsia" w:ascii="宋体" w:hAnsi="宋体" w:cs="宋体"/>
                <w:color w:val="auto"/>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104</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left"/>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left"/>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46</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Ф80广角镜</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Φ800（镜面PC+铝合金包边，镜背ABS塑料）</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3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auto"/>
                <w:sz w:val="24"/>
              </w:rPr>
            </w:pPr>
            <w:r>
              <w:rPr>
                <w:rFonts w:hint="eastAsia" w:ascii="宋体" w:hAnsi="宋体" w:cs="宋体"/>
                <w:color w:val="auto"/>
                <w:sz w:val="24"/>
              </w:rPr>
              <w:t>1</w:t>
            </w:r>
          </w:p>
        </w:tc>
        <w:tc>
          <w:tcPr>
            <w:tcW w:w="4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FF0000"/>
                <w:sz w:val="24"/>
              </w:rPr>
            </w:pPr>
            <w:r>
              <w:rPr>
                <w:rFonts w:asciiTheme="minorEastAsia" w:hAnsiTheme="minorEastAsia" w:eastAsiaTheme="minorEastAsia"/>
                <w:sz w:val="24"/>
                <w:szCs w:val="24"/>
              </w:rPr>
              <w:t>148</w:t>
            </w:r>
          </w:p>
        </w:tc>
        <w:tc>
          <w:tcPr>
            <w:tcW w:w="592" w:type="pct"/>
            <w:vMerge w:val="continue"/>
            <w:tcBorders>
              <w:left w:val="single" w:color="000000" w:sz="4" w:space="0"/>
              <w:right w:val="single" w:color="000000" w:sz="4" w:space="0"/>
            </w:tcBorders>
            <w:shd w:val="clear" w:color="auto" w:fill="FFFFFF"/>
            <w:noWrap/>
            <w:vAlign w:val="center"/>
          </w:tcPr>
          <w:p>
            <w:pPr>
              <w:spacing w:line="360" w:lineRule="auto"/>
              <w:jc w:val="left"/>
              <w:rPr>
                <w:rFonts w:ascii="宋体" w:hAnsi="宋体" w:cs="宋体"/>
                <w:color w:val="FF0000"/>
                <w:sz w:val="24"/>
              </w:rPr>
            </w:pPr>
          </w:p>
        </w:tc>
        <w:tc>
          <w:tcPr>
            <w:tcW w:w="5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left"/>
              <w:rPr>
                <w:rFonts w:ascii="宋体" w:hAnsi="宋体" w:cs="宋体"/>
                <w:color w:val="FF0000"/>
                <w:sz w:val="24"/>
              </w:rPr>
            </w:pPr>
          </w:p>
        </w:tc>
      </w:tr>
      <w:tr>
        <w:tblPrEx>
          <w:tblCellMar>
            <w:top w:w="0" w:type="dxa"/>
            <w:left w:w="108" w:type="dxa"/>
            <w:bottom w:w="0" w:type="dxa"/>
            <w:right w:w="108" w:type="dxa"/>
          </w:tblCellMar>
        </w:tblPrEx>
        <w:trPr>
          <w:trHeight w:val="480" w:hRule="atLeast"/>
        </w:trPr>
        <w:tc>
          <w:tcPr>
            <w:tcW w:w="353"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47</w:t>
            </w:r>
          </w:p>
        </w:tc>
        <w:tc>
          <w:tcPr>
            <w:tcW w:w="64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Ф100广角镜</w:t>
            </w:r>
          </w:p>
        </w:tc>
        <w:tc>
          <w:tcPr>
            <w:tcW w:w="148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Φ1000（镜面PC+铝合金包边，镜背ABS塑料）</w:t>
            </w:r>
          </w:p>
        </w:tc>
        <w:tc>
          <w:tcPr>
            <w:tcW w:w="534"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337"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231</w:t>
            </w:r>
          </w:p>
        </w:tc>
        <w:tc>
          <w:tcPr>
            <w:tcW w:w="592"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48</w:t>
            </w:r>
          </w:p>
        </w:tc>
        <w:tc>
          <w:tcPr>
            <w:tcW w:w="64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四联爆闪灯</w:t>
            </w:r>
          </w:p>
        </w:tc>
        <w:tc>
          <w:tcPr>
            <w:tcW w:w="148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双面四片爆闪灯（550mm×150mm太阳能）</w:t>
            </w:r>
          </w:p>
        </w:tc>
        <w:tc>
          <w:tcPr>
            <w:tcW w:w="534"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组</w:t>
            </w:r>
          </w:p>
        </w:tc>
        <w:tc>
          <w:tcPr>
            <w:tcW w:w="337"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794</w:t>
            </w:r>
          </w:p>
        </w:tc>
        <w:tc>
          <w:tcPr>
            <w:tcW w:w="592"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49</w:t>
            </w:r>
          </w:p>
        </w:tc>
        <w:tc>
          <w:tcPr>
            <w:tcW w:w="64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警戒带</w:t>
            </w:r>
          </w:p>
        </w:tc>
        <w:tc>
          <w:tcPr>
            <w:tcW w:w="148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宽6cm*长100m</w:t>
            </w:r>
          </w:p>
        </w:tc>
        <w:tc>
          <w:tcPr>
            <w:tcW w:w="534"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卷</w:t>
            </w:r>
          </w:p>
        </w:tc>
        <w:tc>
          <w:tcPr>
            <w:tcW w:w="337"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w:t>
            </w:r>
          </w:p>
        </w:tc>
        <w:tc>
          <w:tcPr>
            <w:tcW w:w="592"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85" w:hRule="atLeast"/>
        </w:trPr>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50</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塑胶水马</w:t>
            </w:r>
          </w:p>
        </w:tc>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1500mm×800mm×480mm，PE</w:t>
            </w:r>
          </w:p>
        </w:tc>
        <w:tc>
          <w:tcPr>
            <w:tcW w:w="534" w:type="pct"/>
            <w:tcBorders>
              <w:top w:val="nil"/>
              <w:left w:val="nil"/>
              <w:bottom w:val="single" w:color="000000" w:sz="8" w:space="0"/>
              <w:right w:val="single" w:color="000000" w:sz="8"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只</w:t>
            </w:r>
          </w:p>
        </w:tc>
        <w:tc>
          <w:tcPr>
            <w:tcW w:w="337"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106</w:t>
            </w:r>
          </w:p>
        </w:tc>
        <w:tc>
          <w:tcPr>
            <w:tcW w:w="592"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51</w:t>
            </w:r>
          </w:p>
        </w:tc>
        <w:tc>
          <w:tcPr>
            <w:tcW w:w="64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铁马</w:t>
            </w:r>
          </w:p>
        </w:tc>
        <w:tc>
          <w:tcPr>
            <w:tcW w:w="148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铁质，高0.8米，长1.2米</w:t>
            </w:r>
          </w:p>
        </w:tc>
        <w:tc>
          <w:tcPr>
            <w:tcW w:w="534"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p>
        </w:tc>
        <w:tc>
          <w:tcPr>
            <w:tcW w:w="337"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44</w:t>
            </w:r>
          </w:p>
        </w:tc>
        <w:tc>
          <w:tcPr>
            <w:tcW w:w="592"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52</w:t>
            </w:r>
          </w:p>
        </w:tc>
        <w:tc>
          <w:tcPr>
            <w:tcW w:w="64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铁马</w:t>
            </w:r>
          </w:p>
        </w:tc>
        <w:tc>
          <w:tcPr>
            <w:tcW w:w="1488"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 xml:space="preserve">304不锈钢，1*1.5m, </w:t>
            </w:r>
          </w:p>
        </w:tc>
        <w:tc>
          <w:tcPr>
            <w:tcW w:w="534"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m</w:t>
            </w:r>
          </w:p>
        </w:tc>
        <w:tc>
          <w:tcPr>
            <w:tcW w:w="337"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205</w:t>
            </w:r>
          </w:p>
        </w:tc>
        <w:tc>
          <w:tcPr>
            <w:tcW w:w="592"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53</w:t>
            </w:r>
          </w:p>
        </w:tc>
        <w:tc>
          <w:tcPr>
            <w:tcW w:w="64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灯杆后盖</w:t>
            </w:r>
          </w:p>
        </w:tc>
        <w:tc>
          <w:tcPr>
            <w:tcW w:w="1488"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ascii="宋体" w:hAnsi="宋体" w:cs="宋体"/>
                <w:color w:val="000000"/>
                <w:sz w:val="24"/>
              </w:rPr>
            </w:pPr>
          </w:p>
        </w:tc>
        <w:tc>
          <w:tcPr>
            <w:tcW w:w="534"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337"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54</w:t>
            </w:r>
          </w:p>
        </w:tc>
        <w:tc>
          <w:tcPr>
            <w:tcW w:w="592"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500" w:hRule="atLeast"/>
        </w:trPr>
        <w:tc>
          <w:tcPr>
            <w:tcW w:w="353"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54</w:t>
            </w:r>
          </w:p>
        </w:tc>
        <w:tc>
          <w:tcPr>
            <w:tcW w:w="64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人行护栏</w:t>
            </w:r>
          </w:p>
        </w:tc>
        <w:tc>
          <w:tcPr>
            <w:tcW w:w="148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黑色，高100公分或110公分</w:t>
            </w:r>
          </w:p>
        </w:tc>
        <w:tc>
          <w:tcPr>
            <w:tcW w:w="534"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337"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132</w:t>
            </w:r>
          </w:p>
        </w:tc>
        <w:tc>
          <w:tcPr>
            <w:tcW w:w="592"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55</w:t>
            </w:r>
          </w:p>
        </w:tc>
        <w:tc>
          <w:tcPr>
            <w:tcW w:w="64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路口遮阳棚</w:t>
            </w:r>
          </w:p>
        </w:tc>
        <w:tc>
          <w:tcPr>
            <w:tcW w:w="148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匹配现有类型</w:t>
            </w:r>
          </w:p>
        </w:tc>
        <w:tc>
          <w:tcPr>
            <w:tcW w:w="534"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M²</w:t>
            </w:r>
          </w:p>
        </w:tc>
        <w:tc>
          <w:tcPr>
            <w:tcW w:w="337"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81</w:t>
            </w:r>
          </w:p>
        </w:tc>
        <w:tc>
          <w:tcPr>
            <w:tcW w:w="592"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56</w:t>
            </w:r>
          </w:p>
        </w:tc>
        <w:tc>
          <w:tcPr>
            <w:tcW w:w="64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工井盖更换</w:t>
            </w:r>
          </w:p>
        </w:tc>
        <w:tc>
          <w:tcPr>
            <w:tcW w:w="148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匹配现有工程</w:t>
            </w:r>
          </w:p>
        </w:tc>
        <w:tc>
          <w:tcPr>
            <w:tcW w:w="534"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337"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410</w:t>
            </w:r>
          </w:p>
        </w:tc>
        <w:tc>
          <w:tcPr>
            <w:tcW w:w="592"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57</w:t>
            </w:r>
          </w:p>
        </w:tc>
        <w:tc>
          <w:tcPr>
            <w:tcW w:w="64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磁吸警示柱</w:t>
            </w:r>
          </w:p>
        </w:tc>
        <w:tc>
          <w:tcPr>
            <w:tcW w:w="148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∮80×750</w:t>
            </w:r>
          </w:p>
        </w:tc>
        <w:tc>
          <w:tcPr>
            <w:tcW w:w="534"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只</w:t>
            </w:r>
          </w:p>
        </w:tc>
        <w:tc>
          <w:tcPr>
            <w:tcW w:w="337"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84</w:t>
            </w:r>
          </w:p>
        </w:tc>
        <w:tc>
          <w:tcPr>
            <w:tcW w:w="592"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58</w:t>
            </w:r>
          </w:p>
        </w:tc>
        <w:tc>
          <w:tcPr>
            <w:tcW w:w="64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磁吸式突起路标</w:t>
            </w:r>
          </w:p>
        </w:tc>
        <w:tc>
          <w:tcPr>
            <w:tcW w:w="148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100×100×19</w:t>
            </w:r>
          </w:p>
        </w:tc>
        <w:tc>
          <w:tcPr>
            <w:tcW w:w="534"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只</w:t>
            </w:r>
          </w:p>
        </w:tc>
        <w:tc>
          <w:tcPr>
            <w:tcW w:w="337"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31</w:t>
            </w:r>
          </w:p>
        </w:tc>
        <w:tc>
          <w:tcPr>
            <w:tcW w:w="592"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59</w:t>
            </w:r>
          </w:p>
        </w:tc>
        <w:tc>
          <w:tcPr>
            <w:tcW w:w="64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示警桩</w:t>
            </w:r>
          </w:p>
        </w:tc>
        <w:tc>
          <w:tcPr>
            <w:tcW w:w="148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∮114×（800+400）</w:t>
            </w:r>
          </w:p>
        </w:tc>
        <w:tc>
          <w:tcPr>
            <w:tcW w:w="534"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只</w:t>
            </w:r>
          </w:p>
        </w:tc>
        <w:tc>
          <w:tcPr>
            <w:tcW w:w="337"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119</w:t>
            </w:r>
          </w:p>
        </w:tc>
        <w:tc>
          <w:tcPr>
            <w:tcW w:w="592"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53"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60</w:t>
            </w:r>
          </w:p>
        </w:tc>
        <w:tc>
          <w:tcPr>
            <w:tcW w:w="64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示警桩</w:t>
            </w:r>
          </w:p>
        </w:tc>
        <w:tc>
          <w:tcPr>
            <w:tcW w:w="148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∮89×（800+400）</w:t>
            </w:r>
          </w:p>
        </w:tc>
        <w:tc>
          <w:tcPr>
            <w:tcW w:w="534"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只</w:t>
            </w:r>
          </w:p>
        </w:tc>
        <w:tc>
          <w:tcPr>
            <w:tcW w:w="337"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90</w:t>
            </w:r>
          </w:p>
        </w:tc>
        <w:tc>
          <w:tcPr>
            <w:tcW w:w="592"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1092" w:hRule="atLeast"/>
        </w:trPr>
        <w:tc>
          <w:tcPr>
            <w:tcW w:w="353"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61</w:t>
            </w:r>
          </w:p>
        </w:tc>
        <w:tc>
          <w:tcPr>
            <w:tcW w:w="649"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右转隔离墩短端头</w:t>
            </w:r>
          </w:p>
        </w:tc>
        <w:tc>
          <w:tcPr>
            <w:tcW w:w="1488"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232*250*190mm</w:t>
            </w:r>
          </w:p>
        </w:tc>
        <w:tc>
          <w:tcPr>
            <w:tcW w:w="534"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个</w:t>
            </w:r>
          </w:p>
        </w:tc>
        <w:tc>
          <w:tcPr>
            <w:tcW w:w="337" w:type="pct"/>
            <w:tcBorders>
              <w:top w:val="single" w:color="000000" w:sz="4" w:space="0"/>
              <w:left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40</w:t>
            </w:r>
          </w:p>
        </w:tc>
        <w:tc>
          <w:tcPr>
            <w:tcW w:w="592" w:type="pct"/>
            <w:vMerge w:val="continue"/>
            <w:tcBorders>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p>
        </w:tc>
        <w:tc>
          <w:tcPr>
            <w:tcW w:w="592"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1092" w:hRule="atLeast"/>
        </w:trPr>
        <w:tc>
          <w:tcPr>
            <w:tcW w:w="353"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62</w:t>
            </w:r>
          </w:p>
        </w:tc>
        <w:tc>
          <w:tcPr>
            <w:tcW w:w="649"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右转隔离墩长端头</w:t>
            </w:r>
          </w:p>
        </w:tc>
        <w:tc>
          <w:tcPr>
            <w:tcW w:w="1488"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502*250*200mm</w:t>
            </w:r>
          </w:p>
        </w:tc>
        <w:tc>
          <w:tcPr>
            <w:tcW w:w="534"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个</w:t>
            </w:r>
          </w:p>
        </w:tc>
        <w:tc>
          <w:tcPr>
            <w:tcW w:w="337" w:type="pct"/>
            <w:tcBorders>
              <w:top w:val="single" w:color="000000" w:sz="4" w:space="0"/>
              <w:left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50</w:t>
            </w:r>
          </w:p>
        </w:tc>
        <w:tc>
          <w:tcPr>
            <w:tcW w:w="592" w:type="pct"/>
            <w:vMerge w:val="continue"/>
            <w:tcBorders>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p>
        </w:tc>
        <w:tc>
          <w:tcPr>
            <w:tcW w:w="592"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968" w:hRule="atLeast"/>
        </w:trPr>
        <w:tc>
          <w:tcPr>
            <w:tcW w:w="353"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63</w:t>
            </w:r>
          </w:p>
        </w:tc>
        <w:tc>
          <w:tcPr>
            <w:tcW w:w="649" w:type="pct"/>
            <w:tcBorders>
              <w:top w:val="single" w:color="000000" w:sz="4" w:space="0"/>
              <w:left w:val="single" w:color="000000" w:sz="4" w:space="0"/>
              <w:right w:val="single" w:color="000000" w:sz="4" w:space="0"/>
            </w:tcBorders>
            <w:noWrap/>
            <w:vAlign w:val="center"/>
          </w:tcPr>
          <w:p>
            <w:pPr>
              <w:spacing w:line="360" w:lineRule="auto"/>
              <w:jc w:val="center"/>
              <w:rPr>
                <w:rFonts w:ascii="宋体" w:hAnsi="宋体" w:cs="宋体"/>
                <w:color w:val="000000"/>
                <w:kern w:val="0"/>
                <w:sz w:val="24"/>
              </w:rPr>
            </w:pPr>
            <w:r>
              <w:rPr>
                <w:rFonts w:hint="eastAsia" w:ascii="宋体" w:hAnsi="宋体" w:cs="宋体"/>
                <w:color w:val="000000"/>
                <w:kern w:val="0"/>
                <w:sz w:val="24"/>
              </w:rPr>
              <w:t>弹性分道标</w:t>
            </w:r>
          </w:p>
        </w:tc>
        <w:tc>
          <w:tcPr>
            <w:tcW w:w="1488"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详见附件8图纸</w:t>
            </w:r>
          </w:p>
        </w:tc>
        <w:tc>
          <w:tcPr>
            <w:tcW w:w="534"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个</w:t>
            </w:r>
          </w:p>
        </w:tc>
        <w:tc>
          <w:tcPr>
            <w:tcW w:w="337" w:type="pct"/>
            <w:tcBorders>
              <w:top w:val="single" w:color="000000" w:sz="4" w:space="0"/>
              <w:left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50</w:t>
            </w:r>
          </w:p>
        </w:tc>
        <w:tc>
          <w:tcPr>
            <w:tcW w:w="592" w:type="pct"/>
            <w:vMerge w:val="continue"/>
            <w:tcBorders>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p>
        </w:tc>
        <w:tc>
          <w:tcPr>
            <w:tcW w:w="592"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p>
        </w:tc>
      </w:tr>
      <w:tr>
        <w:tblPrEx>
          <w:tblCellMar>
            <w:top w:w="0" w:type="dxa"/>
            <w:left w:w="108" w:type="dxa"/>
            <w:bottom w:w="0" w:type="dxa"/>
            <w:right w:w="108" w:type="dxa"/>
          </w:tblCellMar>
        </w:tblPrEx>
        <w:trPr>
          <w:trHeight w:val="1092" w:hRule="atLeast"/>
        </w:trPr>
        <w:tc>
          <w:tcPr>
            <w:tcW w:w="353"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64</w:t>
            </w:r>
          </w:p>
        </w:tc>
        <w:tc>
          <w:tcPr>
            <w:tcW w:w="649"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右转隔离墩主体</w:t>
            </w:r>
          </w:p>
        </w:tc>
        <w:tc>
          <w:tcPr>
            <w:tcW w:w="1488"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238.5*250*190mm</w:t>
            </w:r>
          </w:p>
        </w:tc>
        <w:tc>
          <w:tcPr>
            <w:tcW w:w="534"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个</w:t>
            </w:r>
          </w:p>
        </w:tc>
        <w:tc>
          <w:tcPr>
            <w:tcW w:w="337" w:type="pct"/>
            <w:tcBorders>
              <w:top w:val="single" w:color="000000" w:sz="4" w:space="0"/>
              <w:left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cs="宋体" w:asciiTheme="minorEastAsia" w:hAnsiTheme="minorEastAsia" w:eastAsiaTheme="minorEastAsia"/>
                <w:color w:val="000000"/>
                <w:sz w:val="24"/>
              </w:rPr>
              <w:t>90</w:t>
            </w:r>
          </w:p>
        </w:tc>
        <w:tc>
          <w:tcPr>
            <w:tcW w:w="592" w:type="pct"/>
            <w:vMerge w:val="continue"/>
            <w:tcBorders>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p>
        </w:tc>
        <w:tc>
          <w:tcPr>
            <w:tcW w:w="592"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p>
        </w:tc>
      </w:tr>
      <w:tr>
        <w:tblPrEx>
          <w:tblCellMar>
            <w:top w:w="0" w:type="dxa"/>
            <w:left w:w="108" w:type="dxa"/>
            <w:bottom w:w="0" w:type="dxa"/>
            <w:right w:w="108" w:type="dxa"/>
          </w:tblCellMar>
        </w:tblPrEx>
        <w:trPr>
          <w:trHeight w:val="1092" w:hRule="atLeast"/>
        </w:trPr>
        <w:tc>
          <w:tcPr>
            <w:tcW w:w="353"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65</w:t>
            </w:r>
          </w:p>
        </w:tc>
        <w:tc>
          <w:tcPr>
            <w:tcW w:w="649"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一体式弹性交通柱</w:t>
            </w:r>
          </w:p>
        </w:tc>
        <w:tc>
          <w:tcPr>
            <w:tcW w:w="1488"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∮80×750</w:t>
            </w:r>
          </w:p>
        </w:tc>
        <w:tc>
          <w:tcPr>
            <w:tcW w:w="534"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只</w:t>
            </w:r>
          </w:p>
        </w:tc>
        <w:tc>
          <w:tcPr>
            <w:tcW w:w="337" w:type="pct"/>
            <w:tcBorders>
              <w:top w:val="single" w:color="000000" w:sz="4" w:space="0"/>
              <w:left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cs="宋体" w:asciiTheme="minorEastAsia" w:hAnsiTheme="minorEastAsia" w:eastAsiaTheme="minorEastAsia"/>
                <w:color w:val="000000"/>
                <w:sz w:val="24"/>
              </w:rPr>
              <w:t>54</w:t>
            </w:r>
          </w:p>
        </w:tc>
        <w:tc>
          <w:tcPr>
            <w:tcW w:w="592" w:type="pct"/>
            <w:vMerge w:val="continue"/>
            <w:tcBorders>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p>
        </w:tc>
        <w:tc>
          <w:tcPr>
            <w:tcW w:w="592"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p>
        </w:tc>
      </w:tr>
      <w:tr>
        <w:tblPrEx>
          <w:tblCellMar>
            <w:top w:w="0" w:type="dxa"/>
            <w:left w:w="108" w:type="dxa"/>
            <w:bottom w:w="0" w:type="dxa"/>
            <w:right w:w="108" w:type="dxa"/>
          </w:tblCellMar>
        </w:tblPrEx>
        <w:trPr>
          <w:trHeight w:val="1092" w:hRule="atLeast"/>
        </w:trPr>
        <w:tc>
          <w:tcPr>
            <w:tcW w:w="353"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65</w:t>
            </w:r>
          </w:p>
        </w:tc>
        <w:tc>
          <w:tcPr>
            <w:tcW w:w="649"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临时车辆</w:t>
            </w:r>
          </w:p>
        </w:tc>
        <w:tc>
          <w:tcPr>
            <w:tcW w:w="1488"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sz w:val="24"/>
              </w:rPr>
              <w:t>采购人临时任务通知所需车辆，按每小时结算</w:t>
            </w:r>
          </w:p>
        </w:tc>
        <w:tc>
          <w:tcPr>
            <w:tcW w:w="534"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辆</w:t>
            </w:r>
          </w:p>
        </w:tc>
        <w:tc>
          <w:tcPr>
            <w:tcW w:w="337" w:type="pct"/>
            <w:tcBorders>
              <w:top w:val="single" w:color="000000" w:sz="4" w:space="0"/>
              <w:left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cs="宋体" w:asciiTheme="minorEastAsia" w:hAnsiTheme="minorEastAsia" w:eastAsiaTheme="minorEastAsia"/>
                <w:color w:val="000000"/>
                <w:sz w:val="24"/>
              </w:rPr>
              <w:t>218</w:t>
            </w:r>
          </w:p>
        </w:tc>
        <w:tc>
          <w:tcPr>
            <w:tcW w:w="592"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592" w:type="pct"/>
            <w:tcBorders>
              <w:top w:val="single" w:color="000000" w:sz="4" w:space="0"/>
              <w:left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720" w:hRule="atLeast"/>
        </w:trPr>
        <w:tc>
          <w:tcPr>
            <w:tcW w:w="35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66</w:t>
            </w:r>
          </w:p>
        </w:tc>
        <w:tc>
          <w:tcPr>
            <w:tcW w:w="64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临时人员费用</w:t>
            </w:r>
          </w:p>
        </w:tc>
        <w:tc>
          <w:tcPr>
            <w:tcW w:w="148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sz w:val="24"/>
              </w:rPr>
              <w:t>采购人临时任务通知所需人员，按每小时结算</w:t>
            </w:r>
          </w:p>
        </w:tc>
        <w:tc>
          <w:tcPr>
            <w:tcW w:w="534"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人</w:t>
            </w:r>
          </w:p>
        </w:tc>
        <w:tc>
          <w:tcPr>
            <w:tcW w:w="337"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4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cs="宋体" w:asciiTheme="minorEastAsia" w:hAnsiTheme="minorEastAsia" w:eastAsiaTheme="minorEastAsia"/>
                <w:color w:val="000000"/>
                <w:sz w:val="24"/>
              </w:rPr>
              <w:t>35</w:t>
            </w:r>
          </w:p>
        </w:tc>
        <w:tc>
          <w:tcPr>
            <w:tcW w:w="592" w:type="pct"/>
            <w:vMerge w:val="continue"/>
            <w:tcBorders>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c>
          <w:tcPr>
            <w:tcW w:w="59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bl>
    <w:p>
      <w:pPr>
        <w:spacing w:line="360" w:lineRule="auto"/>
        <w:rPr>
          <w:rFonts w:ascii="宋体" w:hAnsi="宋体" w:cs="宋体"/>
        </w:rPr>
      </w:pPr>
    </w:p>
    <w:p>
      <w:pPr>
        <w:widowControl/>
        <w:spacing w:line="360" w:lineRule="auto"/>
        <w:jc w:val="left"/>
        <w:textAlignment w:val="center"/>
        <w:rPr>
          <w:rFonts w:ascii="宋体" w:hAnsi="宋体" w:cs="宋体"/>
          <w:szCs w:val="21"/>
        </w:rPr>
      </w:pPr>
      <w:r>
        <w:rPr>
          <w:rFonts w:hint="eastAsia" w:ascii="宋体" w:hAnsi="宋体" w:cs="宋体"/>
          <w:szCs w:val="21"/>
        </w:rPr>
        <w:br w:type="page"/>
      </w:r>
    </w:p>
    <w:tbl>
      <w:tblPr>
        <w:tblStyle w:val="20"/>
        <w:tblW w:w="8788" w:type="dxa"/>
        <w:tblInd w:w="98" w:type="dxa"/>
        <w:tblLayout w:type="fixed"/>
        <w:tblCellMar>
          <w:top w:w="0" w:type="dxa"/>
          <w:left w:w="108" w:type="dxa"/>
          <w:bottom w:w="0" w:type="dxa"/>
          <w:right w:w="108" w:type="dxa"/>
        </w:tblCellMar>
      </w:tblPr>
      <w:tblGrid>
        <w:gridCol w:w="1372"/>
        <w:gridCol w:w="1476"/>
        <w:gridCol w:w="2526"/>
        <w:gridCol w:w="427"/>
        <w:gridCol w:w="846"/>
        <w:gridCol w:w="849"/>
        <w:gridCol w:w="1056"/>
        <w:gridCol w:w="236"/>
      </w:tblGrid>
      <w:tr>
        <w:tblPrEx>
          <w:tblCellMar>
            <w:top w:w="0" w:type="dxa"/>
            <w:left w:w="108" w:type="dxa"/>
            <w:bottom w:w="0" w:type="dxa"/>
            <w:right w:w="108" w:type="dxa"/>
          </w:tblCellMar>
        </w:tblPrEx>
        <w:trPr>
          <w:trHeight w:val="300" w:hRule="atLeast"/>
        </w:trPr>
        <w:tc>
          <w:tcPr>
            <w:tcW w:w="1372" w:type="dxa"/>
            <w:tcBorders>
              <w:top w:val="nil"/>
              <w:left w:val="nil"/>
              <w:bottom w:val="nil"/>
              <w:right w:val="nil"/>
            </w:tcBorders>
            <w:noWrap/>
            <w:vAlign w:val="center"/>
          </w:tcPr>
          <w:p>
            <w:pPr>
              <w:pStyle w:val="11"/>
              <w:spacing w:line="360" w:lineRule="auto"/>
              <w:rPr>
                <w:rFonts w:hAnsi="宋体" w:cs="宋体"/>
              </w:rPr>
            </w:pPr>
          </w:p>
        </w:tc>
        <w:tc>
          <w:tcPr>
            <w:tcW w:w="1476" w:type="dxa"/>
            <w:tcBorders>
              <w:top w:val="nil"/>
              <w:left w:val="nil"/>
              <w:bottom w:val="nil"/>
              <w:right w:val="nil"/>
            </w:tcBorders>
            <w:noWrap/>
            <w:vAlign w:val="center"/>
          </w:tcPr>
          <w:p>
            <w:pPr>
              <w:spacing w:line="360" w:lineRule="auto"/>
              <w:jc w:val="left"/>
              <w:rPr>
                <w:rFonts w:ascii="宋体" w:hAnsi="宋体" w:cs="宋体"/>
                <w:szCs w:val="21"/>
              </w:rPr>
            </w:pPr>
          </w:p>
        </w:tc>
        <w:tc>
          <w:tcPr>
            <w:tcW w:w="2526" w:type="dxa"/>
            <w:tcBorders>
              <w:top w:val="nil"/>
              <w:left w:val="nil"/>
              <w:bottom w:val="nil"/>
              <w:right w:val="nil"/>
            </w:tcBorders>
            <w:noWrap/>
            <w:vAlign w:val="center"/>
          </w:tcPr>
          <w:p>
            <w:pPr>
              <w:spacing w:line="360" w:lineRule="auto"/>
              <w:jc w:val="left"/>
              <w:rPr>
                <w:rFonts w:ascii="宋体" w:hAnsi="宋体" w:cs="宋体"/>
                <w:szCs w:val="21"/>
              </w:rPr>
            </w:pPr>
          </w:p>
        </w:tc>
        <w:tc>
          <w:tcPr>
            <w:tcW w:w="427" w:type="dxa"/>
            <w:tcBorders>
              <w:top w:val="nil"/>
              <w:left w:val="nil"/>
              <w:bottom w:val="nil"/>
              <w:right w:val="nil"/>
            </w:tcBorders>
            <w:noWrap/>
            <w:vAlign w:val="center"/>
          </w:tcPr>
          <w:p>
            <w:pPr>
              <w:spacing w:line="360" w:lineRule="auto"/>
              <w:jc w:val="left"/>
              <w:rPr>
                <w:rFonts w:ascii="宋体" w:hAnsi="宋体" w:cs="宋体"/>
                <w:szCs w:val="21"/>
              </w:rPr>
            </w:pPr>
          </w:p>
        </w:tc>
        <w:tc>
          <w:tcPr>
            <w:tcW w:w="846" w:type="dxa"/>
            <w:tcBorders>
              <w:top w:val="nil"/>
              <w:left w:val="nil"/>
              <w:bottom w:val="nil"/>
              <w:right w:val="nil"/>
            </w:tcBorders>
            <w:noWrap/>
            <w:vAlign w:val="center"/>
          </w:tcPr>
          <w:p>
            <w:pPr>
              <w:spacing w:line="360" w:lineRule="auto"/>
              <w:jc w:val="left"/>
              <w:rPr>
                <w:rFonts w:ascii="宋体" w:hAnsi="宋体" w:cs="宋体"/>
                <w:szCs w:val="21"/>
              </w:rPr>
            </w:pPr>
          </w:p>
        </w:tc>
        <w:tc>
          <w:tcPr>
            <w:tcW w:w="849" w:type="dxa"/>
            <w:tcBorders>
              <w:top w:val="nil"/>
              <w:left w:val="nil"/>
              <w:bottom w:val="nil"/>
              <w:right w:val="nil"/>
            </w:tcBorders>
            <w:noWrap/>
            <w:vAlign w:val="center"/>
          </w:tcPr>
          <w:p>
            <w:pPr>
              <w:spacing w:line="360" w:lineRule="auto"/>
              <w:jc w:val="left"/>
              <w:rPr>
                <w:rFonts w:ascii="宋体" w:hAnsi="宋体" w:cs="宋体"/>
                <w:szCs w:val="21"/>
              </w:rPr>
            </w:pPr>
          </w:p>
        </w:tc>
        <w:tc>
          <w:tcPr>
            <w:tcW w:w="1056" w:type="dxa"/>
            <w:tcBorders>
              <w:top w:val="nil"/>
              <w:left w:val="nil"/>
              <w:bottom w:val="nil"/>
              <w:right w:val="nil"/>
            </w:tcBorders>
            <w:noWrap/>
            <w:vAlign w:val="center"/>
          </w:tcPr>
          <w:p>
            <w:pPr>
              <w:spacing w:line="360" w:lineRule="auto"/>
              <w:jc w:val="left"/>
              <w:rPr>
                <w:rFonts w:ascii="宋体" w:hAnsi="宋体" w:cs="宋体"/>
                <w:szCs w:val="21"/>
              </w:rPr>
            </w:pPr>
          </w:p>
        </w:tc>
        <w:tc>
          <w:tcPr>
            <w:tcW w:w="236" w:type="dxa"/>
            <w:tcBorders>
              <w:top w:val="nil"/>
              <w:left w:val="nil"/>
              <w:bottom w:val="nil"/>
              <w:right w:val="nil"/>
            </w:tcBorders>
            <w:noWrap/>
            <w:vAlign w:val="center"/>
          </w:tcPr>
          <w:p>
            <w:pPr>
              <w:spacing w:line="360" w:lineRule="auto"/>
              <w:jc w:val="left"/>
              <w:rPr>
                <w:rFonts w:ascii="宋体" w:hAnsi="宋体" w:cs="宋体"/>
                <w:szCs w:val="21"/>
              </w:rPr>
            </w:pPr>
          </w:p>
        </w:tc>
      </w:tr>
    </w:tbl>
    <w:p>
      <w:pPr>
        <w:pStyle w:val="10"/>
        <w:spacing w:line="360" w:lineRule="auto"/>
        <w:rPr>
          <w:rFonts w:ascii="宋体" w:hAnsi="宋体" w:cs="宋体"/>
          <w:sz w:val="24"/>
          <w:lang w:val="zh-CN"/>
        </w:rPr>
      </w:pPr>
      <w:r>
        <w:rPr>
          <w:rFonts w:hint="eastAsia" w:ascii="宋体" w:hAnsi="宋体" w:cs="宋体"/>
          <w:sz w:val="24"/>
        </w:rPr>
        <w:t>附件2：标项一、标项二</w:t>
      </w:r>
      <w:r>
        <w:rPr>
          <w:rFonts w:hint="eastAsia" w:ascii="宋体" w:hAnsi="宋体" w:cs="宋体"/>
          <w:sz w:val="24"/>
          <w:lang w:val="zh-CN"/>
        </w:rPr>
        <w:t>项目人员清单</w:t>
      </w:r>
    </w:p>
    <w:tbl>
      <w:tblPr>
        <w:tblStyle w:val="20"/>
        <w:tblW w:w="4999" w:type="pct"/>
        <w:tblInd w:w="0"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1861"/>
        <w:gridCol w:w="1861"/>
        <w:gridCol w:w="2441"/>
        <w:gridCol w:w="1896"/>
        <w:gridCol w:w="1793"/>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955" w:type="pct"/>
            <w:tcBorders>
              <w:top w:val="single" w:color="auto" w:sz="2" w:space="0"/>
              <w:left w:val="single" w:color="auto" w:sz="2" w:space="0"/>
              <w:bottom w:val="single" w:color="auto" w:sz="6" w:space="0"/>
              <w:right w:val="single" w:color="auto" w:sz="6" w:space="0"/>
            </w:tcBorders>
            <w:noWrap/>
          </w:tcPr>
          <w:p>
            <w:pPr>
              <w:snapToGrid w:val="0"/>
              <w:spacing w:line="360" w:lineRule="auto"/>
              <w:jc w:val="center"/>
              <w:rPr>
                <w:rFonts w:ascii="宋体" w:hAnsi="宋体" w:cs="宋体"/>
                <w:sz w:val="24"/>
              </w:rPr>
            </w:pPr>
            <w:r>
              <w:rPr>
                <w:rFonts w:hint="eastAsia" w:ascii="宋体" w:hAnsi="宋体" w:cs="宋体"/>
                <w:sz w:val="24"/>
              </w:rPr>
              <w:t>岗位</w:t>
            </w:r>
          </w:p>
        </w:tc>
        <w:tc>
          <w:tcPr>
            <w:tcW w:w="955" w:type="pct"/>
            <w:tcBorders>
              <w:top w:val="single" w:color="auto" w:sz="2" w:space="0"/>
              <w:left w:val="single" w:color="auto" w:sz="6" w:space="0"/>
              <w:bottom w:val="single" w:color="auto" w:sz="6" w:space="0"/>
              <w:right w:val="single" w:color="auto" w:sz="6" w:space="0"/>
            </w:tcBorders>
            <w:noWrap/>
          </w:tcPr>
          <w:p>
            <w:pPr>
              <w:snapToGrid w:val="0"/>
              <w:spacing w:line="360" w:lineRule="auto"/>
              <w:jc w:val="center"/>
              <w:rPr>
                <w:rFonts w:ascii="宋体" w:hAnsi="宋体" w:cs="宋体"/>
                <w:sz w:val="24"/>
              </w:rPr>
            </w:pPr>
            <w:r>
              <w:rPr>
                <w:rFonts w:hint="eastAsia" w:ascii="宋体" w:hAnsi="宋体" w:cs="宋体"/>
                <w:sz w:val="24"/>
              </w:rPr>
              <w:t>人数</w:t>
            </w:r>
          </w:p>
        </w:tc>
        <w:tc>
          <w:tcPr>
            <w:tcW w:w="1249" w:type="pct"/>
            <w:tcBorders>
              <w:top w:val="single" w:color="auto" w:sz="2" w:space="0"/>
              <w:left w:val="single" w:color="auto" w:sz="6" w:space="0"/>
              <w:bottom w:val="single" w:color="auto" w:sz="6" w:space="0"/>
              <w:right w:val="single" w:color="auto" w:sz="6" w:space="0"/>
            </w:tcBorders>
            <w:noWrap/>
          </w:tcPr>
          <w:p>
            <w:pPr>
              <w:snapToGrid w:val="0"/>
              <w:spacing w:line="360" w:lineRule="auto"/>
              <w:jc w:val="center"/>
              <w:rPr>
                <w:rFonts w:ascii="宋体" w:hAnsi="宋体" w:cs="宋体"/>
                <w:sz w:val="24"/>
              </w:rPr>
            </w:pPr>
            <w:r>
              <w:rPr>
                <w:rFonts w:hint="eastAsia" w:ascii="宋体" w:hAnsi="宋体" w:cs="宋体"/>
                <w:sz w:val="24"/>
              </w:rPr>
              <w:t>现场承担工作</w:t>
            </w:r>
          </w:p>
        </w:tc>
        <w:tc>
          <w:tcPr>
            <w:tcW w:w="920" w:type="pct"/>
            <w:tcBorders>
              <w:top w:val="single" w:color="auto" w:sz="2" w:space="0"/>
              <w:left w:val="single" w:color="auto" w:sz="6" w:space="0"/>
              <w:bottom w:val="single" w:color="auto" w:sz="6" w:space="0"/>
              <w:right w:val="single" w:color="auto" w:sz="2" w:space="0"/>
            </w:tcBorders>
            <w:noWrap/>
          </w:tcPr>
          <w:p>
            <w:pPr>
              <w:snapToGrid w:val="0"/>
              <w:spacing w:line="360" w:lineRule="auto"/>
              <w:jc w:val="center"/>
              <w:rPr>
                <w:rFonts w:ascii="宋体" w:hAnsi="宋体" w:cs="宋体"/>
                <w:sz w:val="24"/>
              </w:rPr>
            </w:pPr>
            <w:r>
              <w:rPr>
                <w:rFonts w:hint="eastAsia" w:ascii="宋体" w:hAnsi="宋体" w:cs="宋体"/>
                <w:sz w:val="24"/>
              </w:rPr>
              <w:t>是否有上岗证书</w:t>
            </w:r>
          </w:p>
        </w:tc>
        <w:tc>
          <w:tcPr>
            <w:tcW w:w="920" w:type="pct"/>
            <w:tcBorders>
              <w:top w:val="single" w:color="auto" w:sz="2" w:space="0"/>
              <w:left w:val="single" w:color="auto" w:sz="6" w:space="0"/>
              <w:bottom w:val="single" w:color="auto" w:sz="6" w:space="0"/>
              <w:right w:val="single" w:color="auto" w:sz="2" w:space="0"/>
            </w:tcBorders>
            <w:noWrap/>
          </w:tcPr>
          <w:p>
            <w:pPr>
              <w:snapToGrid w:val="0"/>
              <w:spacing w:line="360" w:lineRule="auto"/>
              <w:jc w:val="center"/>
              <w:rPr>
                <w:rFonts w:ascii="宋体" w:hAnsi="宋体" w:cs="宋体"/>
                <w:sz w:val="24"/>
              </w:rPr>
            </w:pPr>
            <w:r>
              <w:rPr>
                <w:rFonts w:hint="eastAsia" w:ascii="宋体" w:hAnsi="宋体" w:cs="宋体"/>
                <w:sz w:val="24"/>
              </w:rPr>
              <w:t>备注</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955" w:type="pct"/>
            <w:tcBorders>
              <w:top w:val="single" w:color="auto" w:sz="6" w:space="0"/>
              <w:left w:val="single" w:color="auto" w:sz="2" w:space="0"/>
              <w:bottom w:val="single" w:color="auto" w:sz="6" w:space="0"/>
              <w:right w:val="single" w:color="auto" w:sz="6" w:space="0"/>
            </w:tcBorders>
            <w:noWrap/>
          </w:tcPr>
          <w:p>
            <w:pPr>
              <w:snapToGrid w:val="0"/>
              <w:spacing w:line="360" w:lineRule="auto"/>
              <w:rPr>
                <w:rFonts w:ascii="宋体" w:hAnsi="宋体" w:cs="宋体"/>
                <w:sz w:val="24"/>
              </w:rPr>
            </w:pPr>
          </w:p>
        </w:tc>
        <w:tc>
          <w:tcPr>
            <w:tcW w:w="955" w:type="pct"/>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 w:val="24"/>
              </w:rPr>
            </w:pPr>
          </w:p>
        </w:tc>
        <w:tc>
          <w:tcPr>
            <w:tcW w:w="1249" w:type="pct"/>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 w:val="24"/>
              </w:rPr>
            </w:pPr>
          </w:p>
        </w:tc>
        <w:tc>
          <w:tcPr>
            <w:tcW w:w="920" w:type="pct"/>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 w:val="24"/>
              </w:rPr>
            </w:pPr>
          </w:p>
        </w:tc>
        <w:tc>
          <w:tcPr>
            <w:tcW w:w="920" w:type="pct"/>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 w:val="24"/>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955" w:type="pct"/>
            <w:tcBorders>
              <w:top w:val="single" w:color="auto" w:sz="6" w:space="0"/>
              <w:left w:val="single" w:color="auto" w:sz="2" w:space="0"/>
              <w:bottom w:val="single" w:color="auto" w:sz="6" w:space="0"/>
              <w:right w:val="single" w:color="auto" w:sz="6" w:space="0"/>
            </w:tcBorders>
            <w:noWrap/>
          </w:tcPr>
          <w:p>
            <w:pPr>
              <w:snapToGrid w:val="0"/>
              <w:spacing w:line="360" w:lineRule="auto"/>
              <w:rPr>
                <w:rFonts w:ascii="宋体" w:hAnsi="宋体" w:cs="宋体"/>
                <w:sz w:val="24"/>
              </w:rPr>
            </w:pPr>
          </w:p>
        </w:tc>
        <w:tc>
          <w:tcPr>
            <w:tcW w:w="955" w:type="pct"/>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 w:val="24"/>
              </w:rPr>
            </w:pPr>
          </w:p>
        </w:tc>
        <w:tc>
          <w:tcPr>
            <w:tcW w:w="1249" w:type="pct"/>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 w:val="24"/>
              </w:rPr>
            </w:pPr>
          </w:p>
        </w:tc>
        <w:tc>
          <w:tcPr>
            <w:tcW w:w="920" w:type="pct"/>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 w:val="24"/>
              </w:rPr>
            </w:pPr>
          </w:p>
        </w:tc>
        <w:tc>
          <w:tcPr>
            <w:tcW w:w="920" w:type="pct"/>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 w:val="24"/>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955" w:type="pct"/>
            <w:tcBorders>
              <w:top w:val="single" w:color="auto" w:sz="6" w:space="0"/>
              <w:left w:val="single" w:color="auto" w:sz="2" w:space="0"/>
              <w:bottom w:val="single" w:color="auto" w:sz="6" w:space="0"/>
              <w:right w:val="single" w:color="auto" w:sz="6" w:space="0"/>
            </w:tcBorders>
            <w:noWrap/>
          </w:tcPr>
          <w:p>
            <w:pPr>
              <w:snapToGrid w:val="0"/>
              <w:spacing w:line="360" w:lineRule="auto"/>
              <w:rPr>
                <w:rFonts w:ascii="宋体" w:hAnsi="宋体" w:cs="宋体"/>
                <w:sz w:val="24"/>
              </w:rPr>
            </w:pPr>
          </w:p>
        </w:tc>
        <w:tc>
          <w:tcPr>
            <w:tcW w:w="955" w:type="pct"/>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 w:val="24"/>
              </w:rPr>
            </w:pPr>
          </w:p>
        </w:tc>
        <w:tc>
          <w:tcPr>
            <w:tcW w:w="1249" w:type="pct"/>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 w:val="24"/>
              </w:rPr>
            </w:pPr>
          </w:p>
        </w:tc>
        <w:tc>
          <w:tcPr>
            <w:tcW w:w="920" w:type="pct"/>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 w:val="24"/>
              </w:rPr>
            </w:pPr>
          </w:p>
        </w:tc>
        <w:tc>
          <w:tcPr>
            <w:tcW w:w="920" w:type="pct"/>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 w:val="24"/>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955" w:type="pct"/>
            <w:tcBorders>
              <w:top w:val="single" w:color="auto" w:sz="6" w:space="0"/>
              <w:left w:val="single" w:color="auto" w:sz="2" w:space="0"/>
              <w:bottom w:val="single" w:color="auto" w:sz="6" w:space="0"/>
              <w:right w:val="single" w:color="auto" w:sz="6" w:space="0"/>
            </w:tcBorders>
            <w:noWrap/>
          </w:tcPr>
          <w:p>
            <w:pPr>
              <w:snapToGrid w:val="0"/>
              <w:spacing w:line="360" w:lineRule="auto"/>
              <w:rPr>
                <w:rFonts w:ascii="宋体" w:hAnsi="宋体" w:cs="宋体"/>
                <w:sz w:val="24"/>
              </w:rPr>
            </w:pPr>
          </w:p>
        </w:tc>
        <w:tc>
          <w:tcPr>
            <w:tcW w:w="955" w:type="pct"/>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 w:val="24"/>
              </w:rPr>
            </w:pPr>
          </w:p>
        </w:tc>
        <w:tc>
          <w:tcPr>
            <w:tcW w:w="1249" w:type="pct"/>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 w:val="24"/>
              </w:rPr>
            </w:pPr>
          </w:p>
        </w:tc>
        <w:tc>
          <w:tcPr>
            <w:tcW w:w="920" w:type="pct"/>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 w:val="24"/>
              </w:rPr>
            </w:pPr>
          </w:p>
        </w:tc>
        <w:tc>
          <w:tcPr>
            <w:tcW w:w="920" w:type="pct"/>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 w:val="24"/>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955" w:type="pct"/>
            <w:tcBorders>
              <w:top w:val="single" w:color="auto" w:sz="6" w:space="0"/>
              <w:left w:val="single" w:color="auto" w:sz="2" w:space="0"/>
              <w:bottom w:val="single" w:color="auto" w:sz="6" w:space="0"/>
              <w:right w:val="single" w:color="auto" w:sz="6" w:space="0"/>
            </w:tcBorders>
            <w:noWrap/>
          </w:tcPr>
          <w:p>
            <w:pPr>
              <w:snapToGrid w:val="0"/>
              <w:spacing w:line="360" w:lineRule="auto"/>
              <w:rPr>
                <w:rFonts w:ascii="宋体" w:hAnsi="宋体" w:cs="宋体"/>
                <w:sz w:val="24"/>
              </w:rPr>
            </w:pPr>
          </w:p>
        </w:tc>
        <w:tc>
          <w:tcPr>
            <w:tcW w:w="955" w:type="pct"/>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 w:val="24"/>
              </w:rPr>
            </w:pPr>
          </w:p>
        </w:tc>
        <w:tc>
          <w:tcPr>
            <w:tcW w:w="1249" w:type="pct"/>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 w:val="24"/>
              </w:rPr>
            </w:pPr>
          </w:p>
        </w:tc>
        <w:tc>
          <w:tcPr>
            <w:tcW w:w="920" w:type="pct"/>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 w:val="24"/>
              </w:rPr>
            </w:pPr>
          </w:p>
        </w:tc>
        <w:tc>
          <w:tcPr>
            <w:tcW w:w="920" w:type="pct"/>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 w:val="24"/>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955" w:type="pct"/>
            <w:tcBorders>
              <w:top w:val="single" w:color="auto" w:sz="6" w:space="0"/>
              <w:left w:val="single" w:color="auto" w:sz="2" w:space="0"/>
              <w:bottom w:val="single" w:color="auto" w:sz="6" w:space="0"/>
              <w:right w:val="single" w:color="auto" w:sz="6" w:space="0"/>
            </w:tcBorders>
            <w:noWrap/>
          </w:tcPr>
          <w:p>
            <w:pPr>
              <w:snapToGrid w:val="0"/>
              <w:spacing w:line="360" w:lineRule="auto"/>
              <w:rPr>
                <w:rFonts w:ascii="宋体" w:hAnsi="宋体" w:cs="宋体"/>
                <w:sz w:val="24"/>
              </w:rPr>
            </w:pPr>
          </w:p>
        </w:tc>
        <w:tc>
          <w:tcPr>
            <w:tcW w:w="955" w:type="pct"/>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 w:val="24"/>
              </w:rPr>
            </w:pPr>
          </w:p>
        </w:tc>
        <w:tc>
          <w:tcPr>
            <w:tcW w:w="1249" w:type="pct"/>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 w:val="24"/>
              </w:rPr>
            </w:pPr>
          </w:p>
        </w:tc>
        <w:tc>
          <w:tcPr>
            <w:tcW w:w="920" w:type="pct"/>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 w:val="24"/>
              </w:rPr>
            </w:pPr>
          </w:p>
        </w:tc>
        <w:tc>
          <w:tcPr>
            <w:tcW w:w="920" w:type="pct"/>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 w:val="24"/>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955" w:type="pct"/>
            <w:tcBorders>
              <w:top w:val="single" w:color="auto" w:sz="6" w:space="0"/>
              <w:left w:val="single" w:color="auto" w:sz="2" w:space="0"/>
              <w:bottom w:val="single" w:color="auto" w:sz="6" w:space="0"/>
              <w:right w:val="single" w:color="auto" w:sz="6" w:space="0"/>
            </w:tcBorders>
            <w:noWrap/>
          </w:tcPr>
          <w:p>
            <w:pPr>
              <w:snapToGrid w:val="0"/>
              <w:spacing w:line="360" w:lineRule="auto"/>
              <w:rPr>
                <w:rFonts w:ascii="宋体" w:hAnsi="宋体" w:cs="宋体"/>
                <w:sz w:val="24"/>
              </w:rPr>
            </w:pPr>
          </w:p>
        </w:tc>
        <w:tc>
          <w:tcPr>
            <w:tcW w:w="955" w:type="pct"/>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 w:val="24"/>
              </w:rPr>
            </w:pPr>
          </w:p>
        </w:tc>
        <w:tc>
          <w:tcPr>
            <w:tcW w:w="1249" w:type="pct"/>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 w:val="24"/>
              </w:rPr>
            </w:pPr>
          </w:p>
        </w:tc>
        <w:tc>
          <w:tcPr>
            <w:tcW w:w="920" w:type="pct"/>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 w:val="24"/>
              </w:rPr>
            </w:pPr>
          </w:p>
        </w:tc>
        <w:tc>
          <w:tcPr>
            <w:tcW w:w="920" w:type="pct"/>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 w:val="24"/>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955" w:type="pct"/>
            <w:tcBorders>
              <w:top w:val="single" w:color="auto" w:sz="6" w:space="0"/>
              <w:left w:val="single" w:color="auto" w:sz="2" w:space="0"/>
              <w:bottom w:val="single" w:color="auto" w:sz="6" w:space="0"/>
              <w:right w:val="single" w:color="auto" w:sz="6" w:space="0"/>
            </w:tcBorders>
            <w:noWrap/>
          </w:tcPr>
          <w:p>
            <w:pPr>
              <w:snapToGrid w:val="0"/>
              <w:spacing w:line="360" w:lineRule="auto"/>
              <w:rPr>
                <w:rFonts w:ascii="宋体" w:hAnsi="宋体" w:cs="宋体"/>
                <w:sz w:val="24"/>
              </w:rPr>
            </w:pPr>
          </w:p>
        </w:tc>
        <w:tc>
          <w:tcPr>
            <w:tcW w:w="955" w:type="pct"/>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 w:val="24"/>
              </w:rPr>
            </w:pPr>
          </w:p>
        </w:tc>
        <w:tc>
          <w:tcPr>
            <w:tcW w:w="1249" w:type="pct"/>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 w:val="24"/>
              </w:rPr>
            </w:pPr>
          </w:p>
        </w:tc>
        <w:tc>
          <w:tcPr>
            <w:tcW w:w="920" w:type="pct"/>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 w:val="24"/>
              </w:rPr>
            </w:pPr>
          </w:p>
        </w:tc>
        <w:tc>
          <w:tcPr>
            <w:tcW w:w="920" w:type="pct"/>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 w:val="24"/>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955" w:type="pct"/>
            <w:tcBorders>
              <w:top w:val="single" w:color="auto" w:sz="6" w:space="0"/>
              <w:left w:val="single" w:color="auto" w:sz="2" w:space="0"/>
              <w:bottom w:val="single" w:color="auto" w:sz="6" w:space="0"/>
              <w:right w:val="single" w:color="auto" w:sz="6" w:space="0"/>
            </w:tcBorders>
            <w:noWrap/>
          </w:tcPr>
          <w:p>
            <w:pPr>
              <w:snapToGrid w:val="0"/>
              <w:spacing w:line="360" w:lineRule="auto"/>
              <w:rPr>
                <w:rFonts w:ascii="宋体" w:hAnsi="宋体" w:cs="宋体"/>
                <w:sz w:val="24"/>
              </w:rPr>
            </w:pPr>
          </w:p>
        </w:tc>
        <w:tc>
          <w:tcPr>
            <w:tcW w:w="955" w:type="pct"/>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 w:val="24"/>
              </w:rPr>
            </w:pPr>
          </w:p>
        </w:tc>
        <w:tc>
          <w:tcPr>
            <w:tcW w:w="1249" w:type="pct"/>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 w:val="24"/>
              </w:rPr>
            </w:pPr>
          </w:p>
        </w:tc>
        <w:tc>
          <w:tcPr>
            <w:tcW w:w="920" w:type="pct"/>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 w:val="24"/>
              </w:rPr>
            </w:pPr>
          </w:p>
        </w:tc>
        <w:tc>
          <w:tcPr>
            <w:tcW w:w="920" w:type="pct"/>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 w:val="24"/>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955" w:type="pct"/>
            <w:tcBorders>
              <w:top w:val="single" w:color="auto" w:sz="6" w:space="0"/>
              <w:left w:val="single" w:color="auto" w:sz="2" w:space="0"/>
              <w:bottom w:val="single" w:color="auto" w:sz="6" w:space="0"/>
              <w:right w:val="single" w:color="auto" w:sz="6" w:space="0"/>
            </w:tcBorders>
            <w:noWrap/>
          </w:tcPr>
          <w:p>
            <w:pPr>
              <w:snapToGrid w:val="0"/>
              <w:spacing w:line="360" w:lineRule="auto"/>
              <w:rPr>
                <w:rFonts w:ascii="宋体" w:hAnsi="宋体" w:cs="宋体"/>
                <w:sz w:val="24"/>
              </w:rPr>
            </w:pPr>
          </w:p>
        </w:tc>
        <w:tc>
          <w:tcPr>
            <w:tcW w:w="955" w:type="pct"/>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 w:val="24"/>
              </w:rPr>
            </w:pPr>
          </w:p>
        </w:tc>
        <w:tc>
          <w:tcPr>
            <w:tcW w:w="1249" w:type="pct"/>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 w:val="24"/>
              </w:rPr>
            </w:pPr>
          </w:p>
        </w:tc>
        <w:tc>
          <w:tcPr>
            <w:tcW w:w="920" w:type="pct"/>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 w:val="24"/>
              </w:rPr>
            </w:pPr>
          </w:p>
        </w:tc>
        <w:tc>
          <w:tcPr>
            <w:tcW w:w="920" w:type="pct"/>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 w:val="24"/>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955" w:type="pct"/>
            <w:tcBorders>
              <w:top w:val="single" w:color="auto" w:sz="6" w:space="0"/>
              <w:left w:val="single" w:color="auto" w:sz="2" w:space="0"/>
              <w:bottom w:val="single" w:color="auto" w:sz="6" w:space="0"/>
              <w:right w:val="single" w:color="auto" w:sz="6" w:space="0"/>
            </w:tcBorders>
            <w:noWrap/>
          </w:tcPr>
          <w:p>
            <w:pPr>
              <w:snapToGrid w:val="0"/>
              <w:spacing w:line="360" w:lineRule="auto"/>
              <w:rPr>
                <w:rFonts w:ascii="宋体" w:hAnsi="宋体" w:cs="宋体"/>
                <w:sz w:val="24"/>
              </w:rPr>
            </w:pPr>
          </w:p>
        </w:tc>
        <w:tc>
          <w:tcPr>
            <w:tcW w:w="955" w:type="pct"/>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 w:val="24"/>
              </w:rPr>
            </w:pPr>
          </w:p>
        </w:tc>
        <w:tc>
          <w:tcPr>
            <w:tcW w:w="1249" w:type="pct"/>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 w:val="24"/>
              </w:rPr>
            </w:pPr>
          </w:p>
        </w:tc>
        <w:tc>
          <w:tcPr>
            <w:tcW w:w="920" w:type="pct"/>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 w:val="24"/>
              </w:rPr>
            </w:pPr>
          </w:p>
        </w:tc>
        <w:tc>
          <w:tcPr>
            <w:tcW w:w="920" w:type="pct"/>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 w:val="24"/>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955" w:type="pct"/>
            <w:tcBorders>
              <w:top w:val="single" w:color="auto" w:sz="6" w:space="0"/>
              <w:left w:val="single" w:color="auto" w:sz="2" w:space="0"/>
              <w:bottom w:val="single" w:color="auto" w:sz="6" w:space="0"/>
              <w:right w:val="single" w:color="auto" w:sz="6" w:space="0"/>
            </w:tcBorders>
            <w:noWrap/>
          </w:tcPr>
          <w:p>
            <w:pPr>
              <w:snapToGrid w:val="0"/>
              <w:spacing w:line="360" w:lineRule="auto"/>
              <w:rPr>
                <w:rFonts w:ascii="宋体" w:hAnsi="宋体" w:cs="宋体"/>
                <w:sz w:val="24"/>
              </w:rPr>
            </w:pPr>
          </w:p>
        </w:tc>
        <w:tc>
          <w:tcPr>
            <w:tcW w:w="955" w:type="pct"/>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 w:val="24"/>
              </w:rPr>
            </w:pPr>
          </w:p>
        </w:tc>
        <w:tc>
          <w:tcPr>
            <w:tcW w:w="1249" w:type="pct"/>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 w:val="24"/>
              </w:rPr>
            </w:pPr>
          </w:p>
        </w:tc>
        <w:tc>
          <w:tcPr>
            <w:tcW w:w="920" w:type="pct"/>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 w:val="24"/>
              </w:rPr>
            </w:pPr>
          </w:p>
        </w:tc>
        <w:tc>
          <w:tcPr>
            <w:tcW w:w="920" w:type="pct"/>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 w:val="24"/>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955" w:type="pct"/>
            <w:tcBorders>
              <w:top w:val="single" w:color="auto" w:sz="6" w:space="0"/>
              <w:left w:val="single" w:color="auto" w:sz="2" w:space="0"/>
              <w:bottom w:val="single" w:color="auto" w:sz="6" w:space="0"/>
              <w:right w:val="single" w:color="auto" w:sz="6" w:space="0"/>
            </w:tcBorders>
            <w:noWrap/>
          </w:tcPr>
          <w:p>
            <w:pPr>
              <w:snapToGrid w:val="0"/>
              <w:spacing w:line="360" w:lineRule="auto"/>
              <w:rPr>
                <w:rFonts w:ascii="宋体" w:hAnsi="宋体" w:cs="宋体"/>
                <w:sz w:val="24"/>
              </w:rPr>
            </w:pPr>
          </w:p>
        </w:tc>
        <w:tc>
          <w:tcPr>
            <w:tcW w:w="955" w:type="pct"/>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 w:val="24"/>
              </w:rPr>
            </w:pPr>
          </w:p>
        </w:tc>
        <w:tc>
          <w:tcPr>
            <w:tcW w:w="1249" w:type="pct"/>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 w:val="24"/>
              </w:rPr>
            </w:pPr>
          </w:p>
        </w:tc>
        <w:tc>
          <w:tcPr>
            <w:tcW w:w="920" w:type="pct"/>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 w:val="24"/>
              </w:rPr>
            </w:pPr>
          </w:p>
        </w:tc>
        <w:tc>
          <w:tcPr>
            <w:tcW w:w="920" w:type="pct"/>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 w:val="24"/>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955" w:type="pct"/>
            <w:tcBorders>
              <w:top w:val="single" w:color="auto" w:sz="6" w:space="0"/>
              <w:left w:val="single" w:color="auto" w:sz="2" w:space="0"/>
              <w:bottom w:val="single" w:color="auto" w:sz="6" w:space="0"/>
              <w:right w:val="single" w:color="auto" w:sz="6" w:space="0"/>
            </w:tcBorders>
            <w:noWrap/>
          </w:tcPr>
          <w:p>
            <w:pPr>
              <w:snapToGrid w:val="0"/>
              <w:spacing w:line="360" w:lineRule="auto"/>
              <w:rPr>
                <w:rFonts w:ascii="宋体" w:hAnsi="宋体" w:cs="宋体"/>
                <w:sz w:val="24"/>
              </w:rPr>
            </w:pPr>
          </w:p>
        </w:tc>
        <w:tc>
          <w:tcPr>
            <w:tcW w:w="955" w:type="pct"/>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 w:val="24"/>
              </w:rPr>
            </w:pPr>
          </w:p>
        </w:tc>
        <w:tc>
          <w:tcPr>
            <w:tcW w:w="1249" w:type="pct"/>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 w:val="24"/>
              </w:rPr>
            </w:pPr>
          </w:p>
        </w:tc>
        <w:tc>
          <w:tcPr>
            <w:tcW w:w="920" w:type="pct"/>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 w:val="24"/>
              </w:rPr>
            </w:pPr>
          </w:p>
        </w:tc>
        <w:tc>
          <w:tcPr>
            <w:tcW w:w="920" w:type="pct"/>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 w:val="24"/>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955" w:type="pct"/>
            <w:tcBorders>
              <w:top w:val="single" w:color="auto" w:sz="6" w:space="0"/>
              <w:left w:val="single" w:color="auto" w:sz="2" w:space="0"/>
              <w:bottom w:val="single" w:color="auto" w:sz="6" w:space="0"/>
              <w:right w:val="single" w:color="auto" w:sz="6" w:space="0"/>
            </w:tcBorders>
            <w:noWrap/>
          </w:tcPr>
          <w:p>
            <w:pPr>
              <w:snapToGrid w:val="0"/>
              <w:spacing w:line="360" w:lineRule="auto"/>
              <w:rPr>
                <w:rFonts w:ascii="宋体" w:hAnsi="宋体" w:cs="宋体"/>
                <w:sz w:val="24"/>
              </w:rPr>
            </w:pPr>
          </w:p>
        </w:tc>
        <w:tc>
          <w:tcPr>
            <w:tcW w:w="955" w:type="pct"/>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 w:val="24"/>
              </w:rPr>
            </w:pPr>
          </w:p>
        </w:tc>
        <w:tc>
          <w:tcPr>
            <w:tcW w:w="1249" w:type="pct"/>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 w:val="24"/>
              </w:rPr>
            </w:pPr>
          </w:p>
        </w:tc>
        <w:tc>
          <w:tcPr>
            <w:tcW w:w="920" w:type="pct"/>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 w:val="24"/>
              </w:rPr>
            </w:pPr>
          </w:p>
        </w:tc>
        <w:tc>
          <w:tcPr>
            <w:tcW w:w="920" w:type="pct"/>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 w:val="24"/>
              </w:rPr>
            </w:pPr>
          </w:p>
        </w:tc>
      </w:tr>
    </w:tbl>
    <w:p>
      <w:pPr>
        <w:snapToGrid w:val="0"/>
        <w:spacing w:line="360" w:lineRule="auto"/>
        <w:rPr>
          <w:rFonts w:ascii="宋体" w:hAnsi="宋体" w:cs="宋体"/>
          <w:b/>
          <w:bCs/>
          <w:snapToGrid w:val="0"/>
          <w:sz w:val="24"/>
          <w:szCs w:val="21"/>
        </w:rPr>
      </w:pPr>
      <w:r>
        <w:rPr>
          <w:rFonts w:hint="eastAsia" w:ascii="宋体" w:hAnsi="宋体" w:cs="宋体"/>
          <w:b/>
          <w:bCs/>
          <w:snapToGrid w:val="0"/>
          <w:sz w:val="24"/>
          <w:szCs w:val="21"/>
        </w:rPr>
        <w:t>附件3:标一、标二考核</w:t>
      </w:r>
    </w:p>
    <w:p>
      <w:pPr>
        <w:spacing w:line="360" w:lineRule="auto"/>
        <w:ind w:firstLine="480" w:firstLineChars="200"/>
        <w:jc w:val="left"/>
        <w:rPr>
          <w:rFonts w:ascii="宋体" w:hAnsi="宋体" w:cs="宋体"/>
          <w:sz w:val="24"/>
        </w:rPr>
      </w:pPr>
      <w:r>
        <w:rPr>
          <w:rFonts w:hint="eastAsia" w:ascii="宋体" w:hAnsi="宋体" w:cs="宋体"/>
          <w:sz w:val="24"/>
        </w:rPr>
        <w:t>为进一步做好交通设施维护日常管理工作，特制订本考核管理办法。</w:t>
      </w:r>
    </w:p>
    <w:p>
      <w:pPr>
        <w:spacing w:line="360" w:lineRule="auto"/>
        <w:jc w:val="left"/>
        <w:rPr>
          <w:rFonts w:ascii="宋体" w:hAnsi="宋体" w:cs="宋体"/>
          <w:sz w:val="24"/>
        </w:rPr>
      </w:pPr>
      <w:r>
        <w:rPr>
          <w:rFonts w:hint="eastAsia" w:ascii="宋体" w:hAnsi="宋体" w:cs="宋体"/>
          <w:sz w:val="24"/>
        </w:rPr>
        <w:t>●考核对象</w:t>
      </w:r>
    </w:p>
    <w:p>
      <w:pPr>
        <w:spacing w:line="360" w:lineRule="auto"/>
        <w:jc w:val="left"/>
        <w:rPr>
          <w:rFonts w:ascii="宋体" w:hAnsi="宋体" w:cs="宋体"/>
          <w:sz w:val="24"/>
        </w:rPr>
      </w:pPr>
      <w:r>
        <w:rPr>
          <w:rFonts w:hint="eastAsia" w:ascii="宋体" w:hAnsi="宋体" w:cs="宋体"/>
          <w:sz w:val="24"/>
        </w:rPr>
        <w:t>交通安全设施维护项目单位。</w:t>
      </w:r>
    </w:p>
    <w:p>
      <w:pPr>
        <w:spacing w:line="360" w:lineRule="auto"/>
        <w:jc w:val="left"/>
        <w:rPr>
          <w:rFonts w:ascii="宋体" w:hAnsi="宋体" w:cs="宋体"/>
          <w:sz w:val="24"/>
        </w:rPr>
      </w:pPr>
      <w:r>
        <w:rPr>
          <w:rFonts w:hint="eastAsia" w:ascii="宋体" w:hAnsi="宋体" w:cs="宋体"/>
          <w:sz w:val="24"/>
        </w:rPr>
        <w:t>●考核原则</w:t>
      </w:r>
    </w:p>
    <w:p>
      <w:pPr>
        <w:snapToGrid w:val="0"/>
        <w:spacing w:line="360" w:lineRule="auto"/>
        <w:ind w:firstLine="480" w:firstLineChars="200"/>
        <w:rPr>
          <w:rFonts w:ascii="宋体" w:hAnsi="宋体" w:cs="宋体"/>
          <w:sz w:val="24"/>
          <w:lang w:val="zh-CN"/>
        </w:rPr>
      </w:pPr>
      <w:r>
        <w:rPr>
          <w:rFonts w:hint="eastAsia" w:ascii="宋体" w:hAnsi="宋体" w:cs="宋体"/>
          <w:sz w:val="24"/>
          <w:lang w:val="zh-CN"/>
        </w:rPr>
        <w:t>乙方履行对服务全流程服务内容及其相关的服务项目，甲方负责乙方的管理指导、验收考核等职责，督促其履行合同。</w:t>
      </w:r>
    </w:p>
    <w:p>
      <w:pPr>
        <w:spacing w:line="360" w:lineRule="auto"/>
        <w:ind w:firstLine="480" w:firstLineChars="200"/>
        <w:rPr>
          <w:rFonts w:ascii="宋体" w:hAnsi="宋体" w:cs="宋体"/>
          <w:sz w:val="24"/>
        </w:rPr>
      </w:pPr>
      <w:r>
        <w:rPr>
          <w:rFonts w:hint="eastAsia" w:ascii="宋体" w:hAnsi="宋体" w:cs="宋体"/>
          <w:sz w:val="24"/>
          <w:lang w:val="zh-CN"/>
        </w:rPr>
        <w:t>本考核以月为考核周期，采用百分制计分方式，甲方根据逐条考核事项及对应扣分对供应商（人员）进行计分。乙方每被扣1分，扣除违约金</w:t>
      </w:r>
      <w:r>
        <w:rPr>
          <w:rFonts w:hint="eastAsia" w:ascii="宋体" w:hAnsi="宋体" w:cs="宋体"/>
          <w:sz w:val="24"/>
        </w:rPr>
        <w:t>1000</w:t>
      </w:r>
      <w:r>
        <w:rPr>
          <w:rFonts w:hint="eastAsia" w:ascii="宋体" w:hAnsi="宋体" w:cs="宋体"/>
          <w:sz w:val="24"/>
          <w:lang w:val="zh-CN"/>
        </w:rPr>
        <w:t>元，违约金在结算合同尾款时扣除。考核分值高于</w:t>
      </w:r>
      <w:r>
        <w:rPr>
          <w:rFonts w:hint="eastAsia" w:ascii="宋体" w:hAnsi="宋体" w:cs="宋体"/>
          <w:sz w:val="24"/>
        </w:rPr>
        <w:t>8</w:t>
      </w:r>
      <w:r>
        <w:rPr>
          <w:rFonts w:hint="eastAsia" w:ascii="宋体" w:hAnsi="宋体" w:cs="宋体"/>
          <w:sz w:val="24"/>
          <w:lang w:val="zh-CN"/>
        </w:rPr>
        <w:t>0分（含</w:t>
      </w:r>
      <w:r>
        <w:rPr>
          <w:rFonts w:hint="eastAsia" w:ascii="宋体" w:hAnsi="宋体" w:cs="宋体"/>
          <w:sz w:val="24"/>
        </w:rPr>
        <w:t>8</w:t>
      </w:r>
      <w:r>
        <w:rPr>
          <w:rFonts w:hint="eastAsia" w:ascii="宋体" w:hAnsi="宋体" w:cs="宋体"/>
          <w:sz w:val="24"/>
          <w:lang w:val="zh-CN"/>
        </w:rPr>
        <w:t>0分）视为合格，</w:t>
      </w:r>
      <w:r>
        <w:rPr>
          <w:rFonts w:hint="eastAsia" w:ascii="宋体" w:hAnsi="宋体" w:cs="宋体"/>
          <w:sz w:val="24"/>
        </w:rPr>
        <w:t>80</w:t>
      </w:r>
      <w:r>
        <w:rPr>
          <w:rFonts w:hint="eastAsia" w:ascii="宋体" w:hAnsi="宋体" w:cs="宋体"/>
          <w:sz w:val="24"/>
          <w:lang w:val="zh-CN"/>
        </w:rPr>
        <w:t>分以下视为不合格；如乙方经甲方考评连续两次均为不合格，甲方有权无条件终止合同,并没收乙方全部履约保证金。如给甲方造成损失的有权向乙方提出索赔。如考核周期内重复出现相同扣分情形，累计计算扣除分值。</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993"/>
        <w:gridCol w:w="4917"/>
        <w:gridCol w:w="2395"/>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000" w:type="pct"/>
            <w:gridSpan w:val="5"/>
            <w:tcBorders>
              <w:top w:val="nil"/>
              <w:left w:val="nil"/>
              <w:bottom w:val="single" w:color="auto" w:sz="4" w:space="0"/>
              <w:right w:val="nil"/>
            </w:tcBorders>
            <w:noWrap/>
            <w:vAlign w:val="center"/>
          </w:tcPr>
          <w:p>
            <w:pPr>
              <w:spacing w:line="360" w:lineRule="auto"/>
              <w:jc w:val="center"/>
              <w:rPr>
                <w:rFonts w:ascii="宋体" w:hAnsi="宋体" w:cs="宋体"/>
                <w:kern w:val="0"/>
                <w:sz w:val="24"/>
              </w:rPr>
            </w:pPr>
            <w:r>
              <w:rPr>
                <w:rFonts w:hint="eastAsia" w:ascii="宋体" w:hAnsi="宋体" w:cs="宋体"/>
                <w:kern w:val="0"/>
                <w:sz w:val="24"/>
              </w:rPr>
              <w:t>交通安全设施维护</w:t>
            </w:r>
            <w:r>
              <w:rPr>
                <w:rFonts w:hint="eastAsia" w:ascii="宋体" w:hAnsi="宋体" w:cs="宋体"/>
                <w:kern w:val="0"/>
                <w:sz w:val="24"/>
                <w:lang w:val="en-GB"/>
              </w:rPr>
              <w:t>考核表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345"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序号</w:t>
            </w:r>
          </w:p>
        </w:tc>
        <w:tc>
          <w:tcPr>
            <w:tcW w:w="2998" w:type="pct"/>
            <w:gridSpan w:val="2"/>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kern w:val="0"/>
                <w:sz w:val="24"/>
              </w:rPr>
            </w:pPr>
            <w:r>
              <w:rPr>
                <w:rFonts w:hint="eastAsia" w:ascii="宋体" w:hAnsi="宋体" w:cs="宋体"/>
                <w:kern w:val="0"/>
                <w:sz w:val="24"/>
              </w:rPr>
              <w:t>扣分项内容</w:t>
            </w:r>
          </w:p>
        </w:tc>
        <w:tc>
          <w:tcPr>
            <w:tcW w:w="1215" w:type="pct"/>
            <w:tcBorders>
              <w:top w:val="single" w:color="auto" w:sz="4" w:space="0"/>
              <w:left w:val="single" w:color="auto" w:sz="4" w:space="0"/>
              <w:bottom w:val="single" w:color="auto" w:sz="4" w:space="0"/>
              <w:right w:val="single" w:color="auto" w:sz="4" w:space="0"/>
            </w:tcBorders>
            <w:noWrap/>
            <w:vAlign w:val="center"/>
          </w:tcPr>
          <w:p>
            <w:pPr>
              <w:spacing w:beforeLines="50" w:line="360" w:lineRule="auto"/>
              <w:jc w:val="center"/>
              <w:rPr>
                <w:rFonts w:ascii="宋体" w:hAnsi="宋体" w:cs="宋体"/>
                <w:sz w:val="24"/>
              </w:rPr>
            </w:pPr>
            <w:r>
              <w:rPr>
                <w:rFonts w:hint="eastAsia" w:ascii="宋体" w:hAnsi="宋体" w:cs="宋体"/>
                <w:sz w:val="24"/>
              </w:rPr>
              <w:t>考核扣分</w:t>
            </w:r>
          </w:p>
        </w:tc>
        <w:tc>
          <w:tcPr>
            <w:tcW w:w="439"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5" w:type="pct"/>
            <w:vMerge w:val="restar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1</w:t>
            </w:r>
          </w:p>
        </w:tc>
        <w:tc>
          <w:tcPr>
            <w:tcW w:w="504" w:type="pct"/>
            <w:vMerge w:val="restar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人员、车辆管理</w:t>
            </w: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（1）乙方未按采购需求规定配备车辆、人员、设备</w:t>
            </w:r>
          </w:p>
        </w:tc>
        <w:tc>
          <w:tcPr>
            <w:tcW w:w="1215"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每出现一次扣1分</w:t>
            </w:r>
          </w:p>
        </w:tc>
        <w:tc>
          <w:tcPr>
            <w:tcW w:w="439"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45"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504"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（2）服务人员工作数据统计错误，工作信息不准确，资料流程存在缺失</w:t>
            </w:r>
          </w:p>
        </w:tc>
        <w:tc>
          <w:tcPr>
            <w:tcW w:w="1215"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每出现一次扣1分</w:t>
            </w:r>
          </w:p>
        </w:tc>
        <w:tc>
          <w:tcPr>
            <w:tcW w:w="439"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5"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504"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（3）交办的工作不落实，未按要求时间完成，完成结果未达采购人要求</w:t>
            </w:r>
          </w:p>
        </w:tc>
        <w:tc>
          <w:tcPr>
            <w:tcW w:w="1215"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每起扣1分；二次交办后仍未按要求落实办理，扣3分；产生不良后果扣5分。</w:t>
            </w:r>
          </w:p>
        </w:tc>
        <w:tc>
          <w:tcPr>
            <w:tcW w:w="439"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345"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504"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（4）人员变更时，没有提前2个工作日向采购人提交书面报告，没有审批单，更换人员资历低于投标时人员资历的</w:t>
            </w:r>
          </w:p>
        </w:tc>
        <w:tc>
          <w:tcPr>
            <w:tcW w:w="1215"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每出现一次扣1分</w:t>
            </w:r>
          </w:p>
        </w:tc>
        <w:tc>
          <w:tcPr>
            <w:tcW w:w="439"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345"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504"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（5）维护车辆及人员不每日上路巡查、维护，上路工作不开启车辆定位系统，</w:t>
            </w:r>
          </w:p>
        </w:tc>
        <w:tc>
          <w:tcPr>
            <w:tcW w:w="1215"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每出现一次扣1分</w:t>
            </w:r>
          </w:p>
        </w:tc>
        <w:tc>
          <w:tcPr>
            <w:tcW w:w="439"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2" w:hRule="atLeast"/>
        </w:trPr>
        <w:tc>
          <w:tcPr>
            <w:tcW w:w="345"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504"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（6）维护车辆、设备、人员虽在维护区域内，未做与甲方维护项目相关工作的，或工作时间未在维护工作区域内，且未出具书面情况并及时整改的。</w:t>
            </w:r>
          </w:p>
        </w:tc>
        <w:tc>
          <w:tcPr>
            <w:tcW w:w="1215"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每出现一次扣1分</w:t>
            </w:r>
          </w:p>
        </w:tc>
        <w:tc>
          <w:tcPr>
            <w:tcW w:w="439"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345" w:type="pct"/>
            <w:vMerge w:val="restart"/>
            <w:tcBorders>
              <w:top w:val="single" w:color="auto" w:sz="4" w:space="0"/>
              <w:left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2</w:t>
            </w:r>
          </w:p>
        </w:tc>
        <w:tc>
          <w:tcPr>
            <w:tcW w:w="504" w:type="pct"/>
            <w:vMerge w:val="restart"/>
            <w:tcBorders>
              <w:top w:val="single" w:color="auto" w:sz="4" w:space="0"/>
              <w:left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设施提供</w:t>
            </w: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（1）维护车辆未按要求配齐维护材料。</w:t>
            </w:r>
          </w:p>
        </w:tc>
        <w:tc>
          <w:tcPr>
            <w:tcW w:w="1215"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每出现一次扣1分</w:t>
            </w:r>
          </w:p>
        </w:tc>
        <w:tc>
          <w:tcPr>
            <w:tcW w:w="439"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345" w:type="pct"/>
            <w:vMerge w:val="continue"/>
            <w:tcBorders>
              <w:left w:val="single" w:color="auto" w:sz="4" w:space="0"/>
              <w:right w:val="single" w:color="auto" w:sz="4" w:space="0"/>
            </w:tcBorders>
            <w:noWrap/>
            <w:vAlign w:val="center"/>
          </w:tcPr>
          <w:p>
            <w:pPr>
              <w:spacing w:line="360" w:lineRule="auto"/>
              <w:rPr>
                <w:rFonts w:ascii="宋体" w:hAnsi="宋体" w:cs="宋体"/>
                <w:sz w:val="24"/>
              </w:rPr>
            </w:pPr>
          </w:p>
        </w:tc>
        <w:tc>
          <w:tcPr>
            <w:tcW w:w="504" w:type="pct"/>
            <w:vMerge w:val="continue"/>
            <w:tcBorders>
              <w:left w:val="single" w:color="auto" w:sz="4" w:space="0"/>
              <w:right w:val="single" w:color="auto" w:sz="4" w:space="0"/>
            </w:tcBorders>
            <w:noWrap/>
            <w:vAlign w:val="center"/>
          </w:tcPr>
          <w:p>
            <w:pPr>
              <w:spacing w:line="360" w:lineRule="auto"/>
              <w:rPr>
                <w:rFonts w:ascii="宋体" w:hAnsi="宋体" w:cs="宋体"/>
                <w:sz w:val="24"/>
              </w:rPr>
            </w:pP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（2）标志类：不对标志牌进行整修、拆除、移位、更换、信息内容纠错、设置纠错等；不对可变标志牌、待行区诱导显示屏、警示灯及其它电子设施进行维护、整修、拆除、移位、更换等。</w:t>
            </w:r>
          </w:p>
        </w:tc>
        <w:tc>
          <w:tcPr>
            <w:tcW w:w="1215"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每出现一次扣1分</w:t>
            </w:r>
          </w:p>
        </w:tc>
        <w:tc>
          <w:tcPr>
            <w:tcW w:w="439"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345" w:type="pct"/>
            <w:vMerge w:val="continue"/>
            <w:tcBorders>
              <w:left w:val="single" w:color="auto" w:sz="4" w:space="0"/>
              <w:right w:val="single" w:color="auto" w:sz="4" w:space="0"/>
            </w:tcBorders>
            <w:noWrap/>
            <w:vAlign w:val="center"/>
          </w:tcPr>
          <w:p>
            <w:pPr>
              <w:spacing w:line="360" w:lineRule="auto"/>
              <w:rPr>
                <w:rFonts w:ascii="宋体" w:hAnsi="宋体" w:cs="宋体"/>
                <w:sz w:val="24"/>
              </w:rPr>
            </w:pPr>
          </w:p>
        </w:tc>
        <w:tc>
          <w:tcPr>
            <w:tcW w:w="504" w:type="pct"/>
            <w:vMerge w:val="continue"/>
            <w:tcBorders>
              <w:left w:val="single" w:color="auto" w:sz="4" w:space="0"/>
              <w:right w:val="single" w:color="auto" w:sz="4" w:space="0"/>
            </w:tcBorders>
            <w:noWrap/>
            <w:vAlign w:val="center"/>
          </w:tcPr>
          <w:p>
            <w:pPr>
              <w:spacing w:line="360" w:lineRule="auto"/>
              <w:rPr>
                <w:rFonts w:ascii="宋体" w:hAnsi="宋体" w:cs="宋体"/>
                <w:sz w:val="24"/>
              </w:rPr>
            </w:pP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（3）标线类：对发现交通标线不规范、缺失淡化或错误，标志、标线信息不一致、矛盾冲突等护，不及时做好维护、修复，不能立即修复的不做好临时防护措施。</w:t>
            </w:r>
          </w:p>
        </w:tc>
        <w:tc>
          <w:tcPr>
            <w:tcW w:w="1215"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每出现一次扣1分</w:t>
            </w:r>
          </w:p>
        </w:tc>
        <w:tc>
          <w:tcPr>
            <w:tcW w:w="439"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345" w:type="pct"/>
            <w:vMerge w:val="continue"/>
            <w:tcBorders>
              <w:left w:val="single" w:color="auto" w:sz="4" w:space="0"/>
              <w:right w:val="single" w:color="auto" w:sz="4" w:space="0"/>
            </w:tcBorders>
            <w:noWrap/>
            <w:vAlign w:val="center"/>
          </w:tcPr>
          <w:p>
            <w:pPr>
              <w:spacing w:line="360" w:lineRule="auto"/>
              <w:rPr>
                <w:rFonts w:ascii="宋体" w:hAnsi="宋体" w:cs="宋体"/>
                <w:sz w:val="24"/>
              </w:rPr>
            </w:pPr>
          </w:p>
        </w:tc>
        <w:tc>
          <w:tcPr>
            <w:tcW w:w="504" w:type="pct"/>
            <w:vMerge w:val="continue"/>
            <w:tcBorders>
              <w:left w:val="single" w:color="auto" w:sz="4" w:space="0"/>
              <w:right w:val="single" w:color="auto" w:sz="4" w:space="0"/>
            </w:tcBorders>
            <w:noWrap/>
            <w:vAlign w:val="center"/>
          </w:tcPr>
          <w:p>
            <w:pPr>
              <w:spacing w:line="360" w:lineRule="auto"/>
              <w:rPr>
                <w:rFonts w:ascii="宋体" w:hAnsi="宋体" w:cs="宋体"/>
                <w:sz w:val="24"/>
              </w:rPr>
            </w:pP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（4）其它安全设施类：不对立杆、护栏、隔离墩、示警桩、橡胶缓冲带、爆闪灯、震荡减速标线（带）、路口凹凸镜进行维护拆除、移位、更换等。</w:t>
            </w:r>
          </w:p>
        </w:tc>
        <w:tc>
          <w:tcPr>
            <w:tcW w:w="1215"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每出现一次扣1分</w:t>
            </w:r>
          </w:p>
        </w:tc>
        <w:tc>
          <w:tcPr>
            <w:tcW w:w="439"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345" w:type="pct"/>
            <w:vMerge w:val="continue"/>
            <w:tcBorders>
              <w:left w:val="single" w:color="auto" w:sz="4" w:space="0"/>
              <w:right w:val="single" w:color="auto" w:sz="4" w:space="0"/>
            </w:tcBorders>
            <w:noWrap/>
            <w:vAlign w:val="center"/>
          </w:tcPr>
          <w:p>
            <w:pPr>
              <w:spacing w:line="360" w:lineRule="auto"/>
              <w:rPr>
                <w:rFonts w:ascii="宋体" w:hAnsi="宋体" w:cs="宋体"/>
                <w:sz w:val="24"/>
              </w:rPr>
            </w:pPr>
          </w:p>
        </w:tc>
        <w:tc>
          <w:tcPr>
            <w:tcW w:w="504" w:type="pct"/>
            <w:vMerge w:val="continue"/>
            <w:tcBorders>
              <w:left w:val="single" w:color="auto" w:sz="4" w:space="0"/>
              <w:right w:val="single" w:color="auto" w:sz="4" w:space="0"/>
            </w:tcBorders>
            <w:noWrap/>
            <w:vAlign w:val="center"/>
          </w:tcPr>
          <w:p>
            <w:pPr>
              <w:spacing w:line="360" w:lineRule="auto"/>
              <w:rPr>
                <w:rFonts w:ascii="宋体" w:hAnsi="宋体" w:cs="宋体"/>
                <w:sz w:val="24"/>
              </w:rPr>
            </w:pPr>
          </w:p>
        </w:tc>
        <w:tc>
          <w:tcPr>
            <w:tcW w:w="2493" w:type="pct"/>
            <w:tcBorders>
              <w:top w:val="single" w:color="auto" w:sz="4" w:space="0"/>
              <w:left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（5）乙方不设立备品备件库，不提供必要的备品备件，确保系统正常运行。</w:t>
            </w:r>
          </w:p>
        </w:tc>
        <w:tc>
          <w:tcPr>
            <w:tcW w:w="1215" w:type="pct"/>
            <w:tcBorders>
              <w:top w:val="single" w:color="auto" w:sz="4" w:space="0"/>
              <w:left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每出现一次扣2分</w:t>
            </w:r>
          </w:p>
        </w:tc>
        <w:tc>
          <w:tcPr>
            <w:tcW w:w="439"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trPr>
        <w:tc>
          <w:tcPr>
            <w:tcW w:w="345" w:type="pct"/>
            <w:vMerge w:val="restar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3</w:t>
            </w:r>
          </w:p>
        </w:tc>
        <w:tc>
          <w:tcPr>
            <w:tcW w:w="504" w:type="pct"/>
            <w:vMerge w:val="restar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安全管理</w:t>
            </w: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（1）安全检查：不负责中标区域的交通杆件安全隐患排查，不对交通设施的安全性能进行检查，不消除安全隐患。</w:t>
            </w:r>
          </w:p>
        </w:tc>
        <w:tc>
          <w:tcPr>
            <w:tcW w:w="1215"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每出现一次扣1分</w:t>
            </w:r>
          </w:p>
        </w:tc>
        <w:tc>
          <w:tcPr>
            <w:tcW w:w="439"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345"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504"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（2）规范交通设施设置：重复设置、擅自设置、妨碍安全、不符合规范设置的交通设施进行清理。</w:t>
            </w:r>
          </w:p>
        </w:tc>
        <w:tc>
          <w:tcPr>
            <w:tcW w:w="1215"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每出现一次扣1分</w:t>
            </w:r>
          </w:p>
        </w:tc>
        <w:tc>
          <w:tcPr>
            <w:tcW w:w="439"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345"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504"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（3）施工现场不规范，安全措施不足，未做到文明施工</w:t>
            </w:r>
          </w:p>
        </w:tc>
        <w:tc>
          <w:tcPr>
            <w:tcW w:w="1215"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每出现一次扣1分</w:t>
            </w:r>
          </w:p>
        </w:tc>
        <w:tc>
          <w:tcPr>
            <w:tcW w:w="439"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345" w:type="pct"/>
            <w:vMerge w:val="restar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4</w:t>
            </w:r>
          </w:p>
        </w:tc>
        <w:tc>
          <w:tcPr>
            <w:tcW w:w="504" w:type="pct"/>
            <w:vMerge w:val="restar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联系单、资料管理</w:t>
            </w: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（1）工作联系单填写不完整，不规范、不准确、资料不全，</w:t>
            </w:r>
          </w:p>
        </w:tc>
        <w:tc>
          <w:tcPr>
            <w:tcW w:w="1215"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每出现一次扣1分</w:t>
            </w:r>
          </w:p>
        </w:tc>
        <w:tc>
          <w:tcPr>
            <w:tcW w:w="439"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345"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504"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（2）甲方根据监理向供应商核发的《问题告知单》扣分</w:t>
            </w:r>
          </w:p>
        </w:tc>
        <w:tc>
          <w:tcPr>
            <w:tcW w:w="1215"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每张告知单扣一分，最多扣5分</w:t>
            </w:r>
          </w:p>
        </w:tc>
        <w:tc>
          <w:tcPr>
            <w:tcW w:w="439"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345"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504"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（3）不每周上报巡查道路清单的。</w:t>
            </w:r>
          </w:p>
        </w:tc>
        <w:tc>
          <w:tcPr>
            <w:tcW w:w="1215"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每出现一次扣1分</w:t>
            </w:r>
          </w:p>
        </w:tc>
        <w:tc>
          <w:tcPr>
            <w:tcW w:w="439"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345"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504"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（4）当月5日，未将上月巡查维护报告上交监理单位。</w:t>
            </w:r>
          </w:p>
        </w:tc>
        <w:tc>
          <w:tcPr>
            <w:tcW w:w="1215"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每出现一次扣1分</w:t>
            </w:r>
          </w:p>
        </w:tc>
        <w:tc>
          <w:tcPr>
            <w:tcW w:w="439"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4" w:hRule="atLeast"/>
        </w:trPr>
        <w:tc>
          <w:tcPr>
            <w:tcW w:w="345"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504"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2493" w:type="pct"/>
            <w:tcBorders>
              <w:top w:val="single" w:color="auto" w:sz="4" w:space="0"/>
              <w:left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（5）次月5日不向甲方上报当月的工作量、工作数据、工作小结等</w:t>
            </w:r>
          </w:p>
        </w:tc>
        <w:tc>
          <w:tcPr>
            <w:tcW w:w="1215" w:type="pct"/>
            <w:tcBorders>
              <w:top w:val="single" w:color="auto" w:sz="4" w:space="0"/>
              <w:left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每出现一次扣1分</w:t>
            </w:r>
          </w:p>
        </w:tc>
        <w:tc>
          <w:tcPr>
            <w:tcW w:w="439"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345"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504"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（6)上报联系单内容与实际不符，或未按联系单最终意见要求办理的。</w:t>
            </w:r>
          </w:p>
        </w:tc>
        <w:tc>
          <w:tcPr>
            <w:tcW w:w="1215"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每出现一次扣1分</w:t>
            </w:r>
          </w:p>
        </w:tc>
        <w:tc>
          <w:tcPr>
            <w:tcW w:w="439"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345" w:type="pct"/>
            <w:vMerge w:val="restar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5</w:t>
            </w:r>
          </w:p>
        </w:tc>
        <w:tc>
          <w:tcPr>
            <w:tcW w:w="504" w:type="pct"/>
            <w:vMerge w:val="restar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质量管理</w:t>
            </w: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（1）施工工艺不规范，施工工序遗漏，设施修复、维护不达标准，施工超期</w:t>
            </w:r>
          </w:p>
        </w:tc>
        <w:tc>
          <w:tcPr>
            <w:tcW w:w="1215"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每出现一次扣1分</w:t>
            </w:r>
          </w:p>
        </w:tc>
        <w:tc>
          <w:tcPr>
            <w:tcW w:w="439"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trPr>
        <w:tc>
          <w:tcPr>
            <w:tcW w:w="345"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504"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（2）施工中所用材料与投标文件不符，或未达质量要求</w:t>
            </w:r>
          </w:p>
        </w:tc>
        <w:tc>
          <w:tcPr>
            <w:tcW w:w="1215"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每出现一次扣3分</w:t>
            </w:r>
          </w:p>
        </w:tc>
        <w:tc>
          <w:tcPr>
            <w:tcW w:w="439"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345"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504"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（3）发生交通设施损坏未及时到达现场妥善处置，引发事故</w:t>
            </w:r>
          </w:p>
        </w:tc>
        <w:tc>
          <w:tcPr>
            <w:tcW w:w="1215"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每出现一次扣3分</w:t>
            </w:r>
          </w:p>
        </w:tc>
        <w:tc>
          <w:tcPr>
            <w:tcW w:w="439"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345"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504"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（4）出现重大质量问题、施工安全问题</w:t>
            </w:r>
          </w:p>
        </w:tc>
        <w:tc>
          <w:tcPr>
            <w:tcW w:w="1215"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直接解除合同</w:t>
            </w:r>
          </w:p>
        </w:tc>
        <w:tc>
          <w:tcPr>
            <w:tcW w:w="439"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345"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6</w:t>
            </w:r>
          </w:p>
        </w:tc>
        <w:tc>
          <w:tcPr>
            <w:tcW w:w="504"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效率管理</w:t>
            </w: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（1）在工作期间通讯不畅，或突发紧急情况人员、车辆、设施未能按要求到达现场、规范处置的</w:t>
            </w:r>
          </w:p>
        </w:tc>
        <w:tc>
          <w:tcPr>
            <w:tcW w:w="1215"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每起扣2分；</w:t>
            </w:r>
          </w:p>
          <w:p>
            <w:pPr>
              <w:spacing w:line="360" w:lineRule="auto"/>
              <w:jc w:val="center"/>
              <w:rPr>
                <w:rFonts w:ascii="宋体" w:hAnsi="宋体" w:cs="宋体"/>
                <w:sz w:val="24"/>
              </w:rPr>
            </w:pPr>
            <w:r>
              <w:rPr>
                <w:rFonts w:hint="eastAsia" w:ascii="宋体" w:hAnsi="宋体" w:cs="宋体"/>
                <w:sz w:val="24"/>
              </w:rPr>
              <w:t>造成工作贻误每起扣5分</w:t>
            </w:r>
          </w:p>
        </w:tc>
        <w:tc>
          <w:tcPr>
            <w:tcW w:w="439"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345" w:type="pct"/>
            <w:vMerge w:val="restar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7</w:t>
            </w:r>
          </w:p>
        </w:tc>
        <w:tc>
          <w:tcPr>
            <w:tcW w:w="504" w:type="pct"/>
            <w:vMerge w:val="restart"/>
            <w:tcBorders>
              <w:top w:val="single" w:color="auto" w:sz="4" w:space="0"/>
              <w:left w:val="single" w:color="auto" w:sz="4" w:space="0"/>
              <w:bottom w:val="single" w:color="auto" w:sz="4" w:space="0"/>
              <w:right w:val="single" w:color="auto" w:sz="4" w:space="0"/>
            </w:tcBorders>
            <w:noWrap/>
            <w:vAlign w:val="center"/>
          </w:tcPr>
          <w:p>
            <w:pPr>
              <w:spacing w:beforeLines="50" w:line="360" w:lineRule="auto"/>
              <w:rPr>
                <w:rFonts w:ascii="宋体" w:hAnsi="宋体" w:cs="宋体"/>
                <w:sz w:val="24"/>
              </w:rPr>
            </w:pPr>
            <w:r>
              <w:rPr>
                <w:rFonts w:hint="eastAsia" w:ascii="宋体" w:hAnsi="宋体" w:cs="宋体"/>
                <w:sz w:val="24"/>
              </w:rPr>
              <w:t>保密管理</w:t>
            </w: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1)乙方及工作人员未签订安全保密承诺书的，或签订的安全保密承诺书未明确具体安全管理内容、安全保密义务和责任的。未按照采购人规定使用、存储、处理文档资料和数据。合同终止时，不交还全部公安资料和数据。</w:t>
            </w:r>
          </w:p>
        </w:tc>
        <w:tc>
          <w:tcPr>
            <w:tcW w:w="1215"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每发生一次扣5分</w:t>
            </w:r>
          </w:p>
        </w:tc>
        <w:tc>
          <w:tcPr>
            <w:tcW w:w="439"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0" w:hRule="atLeast"/>
        </w:trPr>
        <w:tc>
          <w:tcPr>
            <w:tcW w:w="345"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504" w:type="pct"/>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adjustRightInd/>
              <w:snapToGrid/>
              <w:spacing w:beforeLines="50" w:line="360" w:lineRule="auto"/>
              <w:outlineLvl w:val="9"/>
              <w:rPr>
                <w:rFonts w:ascii="宋体" w:hAnsi="宋体" w:cs="宋体"/>
                <w:b/>
                <w:sz w:val="24"/>
              </w:rPr>
            </w:pP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(2)乙方及工作人员违反安全管理要求，出现各类涉及业务的文字内容、影视资料等外流泄密，构成违法犯罪的，甲方应当及时报送本级政府采购和市场监督管理部门，提请列入政府采购严重违法失信行为记录名单、市场监督管理严重失信名单，并追究相关责任。</w:t>
            </w:r>
          </w:p>
        </w:tc>
        <w:tc>
          <w:tcPr>
            <w:tcW w:w="1215"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没收全部履约保证金</w:t>
            </w:r>
          </w:p>
        </w:tc>
        <w:tc>
          <w:tcPr>
            <w:tcW w:w="439"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解除合同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345" w:type="pct"/>
            <w:vMerge w:val="restar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8</w:t>
            </w:r>
          </w:p>
        </w:tc>
        <w:tc>
          <w:tcPr>
            <w:tcW w:w="504" w:type="pct"/>
            <w:vMerge w:val="restar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其他</w:t>
            </w:r>
          </w:p>
          <w:p>
            <w:pPr>
              <w:spacing w:line="360" w:lineRule="auto"/>
              <w:rPr>
                <w:rFonts w:ascii="宋体" w:hAnsi="宋体" w:cs="宋体"/>
                <w:sz w:val="24"/>
              </w:rPr>
            </w:pP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（1）上述所有问题，由媒体、信访、投诉曝光，或由上级部门、交警部门领导发现。</w:t>
            </w:r>
          </w:p>
        </w:tc>
        <w:tc>
          <w:tcPr>
            <w:tcW w:w="1215"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在原分值基础上二倍扣分</w:t>
            </w:r>
          </w:p>
        </w:tc>
        <w:tc>
          <w:tcPr>
            <w:tcW w:w="439"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345"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504" w:type="pct"/>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c>
          <w:tcPr>
            <w:tcW w:w="2493"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r>
              <w:rPr>
                <w:rFonts w:hint="eastAsia" w:ascii="宋体" w:hAnsi="宋体" w:cs="宋体"/>
                <w:sz w:val="24"/>
              </w:rPr>
              <w:t>（2）上述所有问题，造成社会不良影响的</w:t>
            </w:r>
          </w:p>
        </w:tc>
        <w:tc>
          <w:tcPr>
            <w:tcW w:w="1215" w:type="pct"/>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sz w:val="24"/>
              </w:rPr>
            </w:pPr>
            <w:r>
              <w:rPr>
                <w:rFonts w:hint="eastAsia" w:ascii="宋体" w:hAnsi="宋体" w:cs="宋体"/>
                <w:sz w:val="24"/>
              </w:rPr>
              <w:t>在原分值基础上三倍扣分</w:t>
            </w:r>
          </w:p>
        </w:tc>
        <w:tc>
          <w:tcPr>
            <w:tcW w:w="439" w:type="pct"/>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3344" w:type="pct"/>
            <w:gridSpan w:val="3"/>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kern w:val="0"/>
                <w:sz w:val="24"/>
              </w:rPr>
            </w:pPr>
            <w:r>
              <w:rPr>
                <w:rFonts w:hint="eastAsia" w:ascii="宋体" w:hAnsi="宋体" w:cs="宋体"/>
                <w:kern w:val="0"/>
                <w:sz w:val="24"/>
              </w:rPr>
              <w:t>扣分总计</w:t>
            </w:r>
          </w:p>
        </w:tc>
        <w:tc>
          <w:tcPr>
            <w:tcW w:w="1655" w:type="pct"/>
            <w:gridSpan w:val="2"/>
            <w:tcBorders>
              <w:top w:val="single" w:color="auto" w:sz="4" w:space="0"/>
              <w:left w:val="single" w:color="auto" w:sz="4" w:space="0"/>
              <w:bottom w:val="single" w:color="auto" w:sz="4" w:space="0"/>
              <w:right w:val="single" w:color="auto" w:sz="4" w:space="0"/>
            </w:tcBorders>
            <w:noWrap/>
            <w:vAlign w:val="center"/>
          </w:tcPr>
          <w:p>
            <w:pPr>
              <w:spacing w:line="360" w:lineRule="auto"/>
              <w:ind w:firstLine="3600" w:firstLineChars="1500"/>
              <w:rPr>
                <w:rFonts w:ascii="宋体" w:hAnsi="宋体" w:cs="宋体"/>
                <w:kern w:val="0"/>
                <w:sz w:val="24"/>
              </w:rPr>
            </w:pPr>
            <w:r>
              <w:rPr>
                <w:rFonts w:hint="eastAsia" w:ascii="宋体" w:hAnsi="宋体" w:cs="宋体"/>
                <w:kern w:val="0"/>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6" w:hRule="atLeast"/>
        </w:trPr>
        <w:tc>
          <w:tcPr>
            <w:tcW w:w="5000" w:type="pct"/>
            <w:gridSpan w:val="5"/>
            <w:tcBorders>
              <w:top w:val="single" w:color="auto" w:sz="4" w:space="0"/>
              <w:left w:val="single" w:color="auto" w:sz="4" w:space="0"/>
              <w:bottom w:val="single" w:color="auto" w:sz="4" w:space="0"/>
              <w:right w:val="single" w:color="auto" w:sz="4" w:space="0"/>
            </w:tcBorders>
            <w:noWrap/>
            <w:vAlign w:val="center"/>
          </w:tcPr>
          <w:p>
            <w:pPr>
              <w:widowControl/>
              <w:spacing w:line="360" w:lineRule="auto"/>
              <w:textAlignment w:val="center"/>
              <w:rPr>
                <w:rFonts w:ascii="宋体" w:hAnsi="宋体" w:cs="宋体"/>
                <w:kern w:val="0"/>
                <w:sz w:val="24"/>
              </w:rPr>
            </w:pPr>
            <w:r>
              <w:rPr>
                <w:rFonts w:hint="eastAsia" w:ascii="宋体" w:hAnsi="宋体" w:cs="宋体"/>
                <w:kern w:val="0"/>
                <w:sz w:val="24"/>
              </w:rPr>
              <w:t>甲方项目经办人（签字）：乙方（盖章）：</w:t>
            </w:r>
          </w:p>
          <w:p>
            <w:pPr>
              <w:widowControl/>
              <w:spacing w:line="360" w:lineRule="auto"/>
              <w:textAlignment w:val="center"/>
              <w:rPr>
                <w:rFonts w:ascii="宋体" w:hAnsi="宋体" w:cs="宋体"/>
                <w:kern w:val="0"/>
                <w:sz w:val="24"/>
              </w:rPr>
            </w:pPr>
          </w:p>
          <w:p>
            <w:pPr>
              <w:widowControl/>
              <w:spacing w:line="360" w:lineRule="auto"/>
              <w:textAlignment w:val="center"/>
              <w:rPr>
                <w:rFonts w:ascii="宋体" w:hAnsi="宋体" w:cs="宋体"/>
                <w:kern w:val="0"/>
                <w:sz w:val="24"/>
              </w:rPr>
            </w:pPr>
            <w:r>
              <w:rPr>
                <w:rFonts w:hint="eastAsia" w:ascii="宋体" w:hAnsi="宋体" w:cs="宋体"/>
                <w:kern w:val="0"/>
                <w:sz w:val="24"/>
              </w:rPr>
              <w:t>甲方项目审核人（签字、盖章）：乙方项目负责人（签字）：</w:t>
            </w:r>
          </w:p>
          <w:p>
            <w:pPr>
              <w:widowControl/>
              <w:spacing w:line="360" w:lineRule="auto"/>
              <w:textAlignment w:val="center"/>
              <w:rPr>
                <w:rFonts w:ascii="宋体" w:hAnsi="宋体" w:cs="宋体"/>
                <w:kern w:val="0"/>
                <w:sz w:val="24"/>
              </w:rPr>
            </w:pPr>
          </w:p>
          <w:p>
            <w:pPr>
              <w:widowControl/>
              <w:spacing w:line="360" w:lineRule="auto"/>
              <w:textAlignment w:val="center"/>
              <w:rPr>
                <w:rFonts w:ascii="宋体" w:hAnsi="宋体" w:cs="宋体"/>
                <w:kern w:val="0"/>
                <w:sz w:val="24"/>
              </w:rPr>
            </w:pPr>
            <w:r>
              <w:rPr>
                <w:rFonts w:hint="eastAsia" w:ascii="宋体" w:hAnsi="宋体" w:cs="宋体"/>
                <w:kern w:val="0"/>
                <w:sz w:val="24"/>
              </w:rPr>
              <w:t>监理单位（盖章）</w:t>
            </w:r>
          </w:p>
          <w:p>
            <w:pPr>
              <w:widowControl/>
              <w:spacing w:line="360" w:lineRule="auto"/>
              <w:textAlignment w:val="center"/>
              <w:rPr>
                <w:rFonts w:ascii="宋体" w:hAnsi="宋体" w:cs="宋体"/>
                <w:kern w:val="0"/>
                <w:sz w:val="24"/>
              </w:rPr>
            </w:pPr>
          </w:p>
          <w:p>
            <w:pPr>
              <w:widowControl/>
              <w:spacing w:line="360" w:lineRule="auto"/>
              <w:textAlignment w:val="center"/>
              <w:rPr>
                <w:rFonts w:ascii="宋体" w:hAnsi="宋体" w:cs="宋体"/>
                <w:kern w:val="0"/>
                <w:sz w:val="24"/>
              </w:rPr>
            </w:pPr>
            <w:r>
              <w:rPr>
                <w:rFonts w:hint="eastAsia" w:ascii="宋体" w:hAnsi="宋体" w:cs="宋体"/>
                <w:kern w:val="0"/>
                <w:sz w:val="24"/>
              </w:rPr>
              <w:t>监理项目负责人（签字）：</w:t>
            </w:r>
          </w:p>
          <w:p>
            <w:pPr>
              <w:widowControl/>
              <w:spacing w:line="360" w:lineRule="auto"/>
              <w:textAlignment w:val="center"/>
              <w:rPr>
                <w:rFonts w:ascii="宋体" w:hAnsi="宋体" w:cs="宋体"/>
                <w:sz w:val="24"/>
              </w:rPr>
            </w:pPr>
            <w:r>
              <w:rPr>
                <w:rFonts w:hint="eastAsia" w:ascii="宋体" w:hAnsi="宋体" w:cs="宋体"/>
                <w:kern w:val="0"/>
                <w:sz w:val="24"/>
              </w:rPr>
              <w:t>日期：日期：</w:t>
            </w:r>
          </w:p>
        </w:tc>
      </w:tr>
    </w:tbl>
    <w:p>
      <w:pPr>
        <w:spacing w:line="360" w:lineRule="auto"/>
        <w:jc w:val="center"/>
        <w:rPr>
          <w:rFonts w:ascii="宋体" w:hAnsi="宋体" w:cs="宋体"/>
          <w:szCs w:val="21"/>
        </w:rPr>
      </w:pPr>
      <w:r>
        <w:rPr>
          <w:rFonts w:hint="eastAsia" w:ascii="宋体" w:hAnsi="宋体" w:cs="宋体"/>
          <w:szCs w:val="21"/>
        </w:rPr>
        <w:br w:type="page"/>
      </w:r>
    </w:p>
    <w:p>
      <w:pPr>
        <w:spacing w:line="360" w:lineRule="auto"/>
        <w:jc w:val="center"/>
        <w:rPr>
          <w:rFonts w:ascii="宋体" w:hAnsi="宋体" w:cs="宋体"/>
          <w:szCs w:val="21"/>
        </w:rPr>
      </w:pPr>
    </w:p>
    <w:p>
      <w:pPr>
        <w:spacing w:line="360" w:lineRule="auto"/>
        <w:jc w:val="center"/>
        <w:outlineLvl w:val="0"/>
        <w:rPr>
          <w:rFonts w:ascii="宋体" w:hAnsi="宋体" w:cs="宋体"/>
          <w:b/>
          <w:bCs/>
          <w:sz w:val="36"/>
          <w:szCs w:val="36"/>
        </w:rPr>
        <w:sectPr>
          <w:headerReference r:id="rId9" w:type="default"/>
          <w:footerReference r:id="rId10" w:type="default"/>
          <w:pgSz w:w="11906" w:h="16838"/>
          <w:pgMar w:top="1134" w:right="1134" w:bottom="1134" w:left="1134" w:header="851" w:footer="992" w:gutter="0"/>
          <w:cols w:space="720" w:num="1"/>
          <w:docGrid w:linePitch="312" w:charSpace="0"/>
        </w:sectPr>
      </w:pPr>
      <w:bookmarkStart w:id="129" w:name="_Toc16883"/>
      <w:r>
        <w:rPr>
          <w:rFonts w:hint="eastAsia" w:ascii="宋体" w:hAnsi="宋体" w:cs="宋体"/>
          <w:b/>
          <w:bCs/>
          <w:sz w:val="36"/>
          <w:szCs w:val="36"/>
        </w:rPr>
        <w:t>第八部分</w:t>
      </w:r>
      <w:bookmarkEnd w:id="20"/>
      <w:bookmarkEnd w:id="21"/>
      <w:r>
        <w:rPr>
          <w:rFonts w:hint="eastAsia" w:ascii="宋体" w:hAnsi="宋体" w:cs="宋体"/>
          <w:b/>
          <w:bCs/>
          <w:sz w:val="36"/>
          <w:szCs w:val="36"/>
        </w:rPr>
        <w:t>投标文件格式附件</w:t>
      </w:r>
      <w:bookmarkEnd w:id="129"/>
    </w:p>
    <w:p>
      <w:pPr>
        <w:snapToGrid w:val="0"/>
        <w:spacing w:beforeLines="50" w:after="50" w:line="360" w:lineRule="auto"/>
        <w:rPr>
          <w:rFonts w:ascii="宋体" w:hAnsi="宋体" w:cs="宋体"/>
          <w:b/>
          <w:sz w:val="30"/>
          <w:szCs w:val="30"/>
        </w:rPr>
      </w:pPr>
      <w:r>
        <w:rPr>
          <w:rFonts w:hint="eastAsia" w:ascii="宋体" w:hAnsi="宋体" w:cs="宋体"/>
          <w:b/>
          <w:sz w:val="30"/>
          <w:szCs w:val="30"/>
        </w:rPr>
        <w:t>封面格式</w:t>
      </w:r>
    </w:p>
    <w:p>
      <w:pPr>
        <w:snapToGrid w:val="0"/>
        <w:spacing w:beforeLines="50" w:after="50" w:line="360" w:lineRule="auto"/>
        <w:jc w:val="right"/>
        <w:rPr>
          <w:rFonts w:ascii="宋体" w:hAnsi="宋体" w:cs="宋体"/>
          <w:bCs/>
          <w:sz w:val="30"/>
          <w:szCs w:val="30"/>
        </w:rPr>
      </w:pPr>
    </w:p>
    <w:p>
      <w:pPr>
        <w:spacing w:line="360" w:lineRule="auto"/>
        <w:ind w:right="-110" w:firstLine="1080" w:firstLineChars="300"/>
        <w:rPr>
          <w:rFonts w:ascii="宋体" w:hAnsi="宋体" w:cs="宋体"/>
          <w:sz w:val="36"/>
          <w:szCs w:val="36"/>
        </w:rPr>
      </w:pPr>
      <w:r>
        <w:rPr>
          <w:rFonts w:hint="eastAsia" w:ascii="宋体" w:hAnsi="宋体" w:cs="宋体"/>
          <w:sz w:val="36"/>
          <w:szCs w:val="36"/>
        </w:rPr>
        <w:t>项目名称：</w:t>
      </w:r>
    </w:p>
    <w:p>
      <w:pPr>
        <w:spacing w:beforeLines="100" w:line="360" w:lineRule="auto"/>
        <w:ind w:firstLine="1080" w:firstLineChars="300"/>
        <w:rPr>
          <w:rFonts w:ascii="宋体" w:hAnsi="宋体" w:cs="宋体"/>
          <w:sz w:val="36"/>
          <w:szCs w:val="36"/>
        </w:rPr>
      </w:pPr>
      <w:r>
        <w:rPr>
          <w:rFonts w:hint="eastAsia" w:ascii="宋体" w:hAnsi="宋体" w:cs="宋体"/>
          <w:sz w:val="36"/>
          <w:szCs w:val="36"/>
        </w:rPr>
        <w:t>项目编号：</w:t>
      </w:r>
    </w:p>
    <w:p>
      <w:pPr>
        <w:spacing w:beforeLines="100" w:line="360" w:lineRule="auto"/>
        <w:jc w:val="center"/>
        <w:rPr>
          <w:rFonts w:ascii="宋体" w:hAnsi="宋体" w:cs="宋体"/>
          <w:sz w:val="36"/>
          <w:szCs w:val="36"/>
        </w:rPr>
      </w:pPr>
    </w:p>
    <w:p>
      <w:pPr>
        <w:spacing w:after="100" w:afterAutospacing="1" w:line="360" w:lineRule="auto"/>
        <w:ind w:right="-108"/>
        <w:jc w:val="center"/>
        <w:rPr>
          <w:rFonts w:ascii="宋体" w:hAnsi="宋体" w:cs="宋体"/>
          <w:b/>
          <w:spacing w:val="40"/>
          <w:sz w:val="84"/>
          <w:szCs w:val="84"/>
        </w:rPr>
      </w:pPr>
      <w:r>
        <w:rPr>
          <w:rFonts w:hint="eastAsia" w:ascii="宋体" w:hAnsi="宋体" w:cs="宋体"/>
          <w:b/>
          <w:spacing w:val="40"/>
          <w:sz w:val="84"/>
          <w:szCs w:val="84"/>
        </w:rPr>
        <w:t>投</w:t>
      </w:r>
    </w:p>
    <w:p>
      <w:pPr>
        <w:spacing w:after="100" w:afterAutospacing="1" w:line="360" w:lineRule="auto"/>
        <w:ind w:right="-108"/>
        <w:jc w:val="center"/>
        <w:rPr>
          <w:rFonts w:ascii="宋体" w:hAnsi="宋体" w:cs="宋体"/>
          <w:b/>
          <w:spacing w:val="40"/>
          <w:sz w:val="84"/>
          <w:szCs w:val="84"/>
        </w:rPr>
      </w:pPr>
      <w:r>
        <w:rPr>
          <w:rFonts w:hint="eastAsia" w:ascii="宋体" w:hAnsi="宋体" w:cs="宋体"/>
          <w:b/>
          <w:spacing w:val="40"/>
          <w:sz w:val="84"/>
          <w:szCs w:val="84"/>
        </w:rPr>
        <w:t>标</w:t>
      </w:r>
    </w:p>
    <w:p>
      <w:pPr>
        <w:spacing w:after="100" w:afterAutospacing="1" w:line="360" w:lineRule="auto"/>
        <w:ind w:right="-108"/>
        <w:jc w:val="center"/>
        <w:rPr>
          <w:rFonts w:ascii="宋体" w:hAnsi="宋体" w:cs="宋体"/>
          <w:b/>
          <w:spacing w:val="40"/>
          <w:sz w:val="84"/>
          <w:szCs w:val="84"/>
        </w:rPr>
      </w:pPr>
      <w:r>
        <w:rPr>
          <w:rFonts w:hint="eastAsia" w:ascii="宋体" w:hAnsi="宋体" w:cs="宋体"/>
          <w:b/>
          <w:spacing w:val="40"/>
          <w:sz w:val="84"/>
          <w:szCs w:val="84"/>
        </w:rPr>
        <w:t>文</w:t>
      </w:r>
    </w:p>
    <w:p>
      <w:pPr>
        <w:spacing w:after="100" w:afterAutospacing="1" w:line="360" w:lineRule="auto"/>
        <w:ind w:right="-108"/>
        <w:jc w:val="center"/>
        <w:rPr>
          <w:rFonts w:ascii="宋体" w:hAnsi="宋体" w:cs="宋体"/>
          <w:b/>
          <w:spacing w:val="40"/>
          <w:sz w:val="84"/>
          <w:szCs w:val="84"/>
        </w:rPr>
      </w:pPr>
      <w:r>
        <w:rPr>
          <w:rFonts w:hint="eastAsia" w:ascii="宋体" w:hAnsi="宋体" w:cs="宋体"/>
          <w:b/>
          <w:spacing w:val="40"/>
          <w:sz w:val="84"/>
          <w:szCs w:val="84"/>
        </w:rPr>
        <w:t>件</w:t>
      </w:r>
    </w:p>
    <w:p>
      <w:pPr>
        <w:widowControl/>
        <w:spacing w:line="360" w:lineRule="auto"/>
        <w:jc w:val="left"/>
        <w:rPr>
          <w:rFonts w:ascii="宋体" w:hAnsi="宋体" w:cs="宋体"/>
        </w:rPr>
      </w:pPr>
    </w:p>
    <w:p>
      <w:pPr>
        <w:widowControl/>
        <w:spacing w:line="360" w:lineRule="auto"/>
        <w:jc w:val="left"/>
        <w:rPr>
          <w:rFonts w:ascii="宋体" w:hAnsi="宋体" w:cs="宋体"/>
        </w:rPr>
      </w:pPr>
    </w:p>
    <w:p>
      <w:pPr>
        <w:widowControl/>
        <w:spacing w:line="360" w:lineRule="auto"/>
        <w:jc w:val="left"/>
        <w:rPr>
          <w:rFonts w:ascii="宋体" w:hAnsi="宋体" w:cs="宋体"/>
        </w:rPr>
      </w:pPr>
    </w:p>
    <w:p>
      <w:pPr>
        <w:spacing w:line="360" w:lineRule="auto"/>
        <w:ind w:right="532"/>
        <w:rPr>
          <w:rFonts w:ascii="宋体" w:hAnsi="宋体" w:cs="宋体"/>
          <w:sz w:val="36"/>
          <w:szCs w:val="36"/>
        </w:rPr>
      </w:pPr>
    </w:p>
    <w:p>
      <w:pPr>
        <w:spacing w:line="360" w:lineRule="auto"/>
        <w:ind w:right="532" w:firstLine="360" w:firstLineChars="100"/>
        <w:rPr>
          <w:rFonts w:ascii="宋体" w:hAnsi="宋体" w:cs="宋体"/>
          <w:sz w:val="36"/>
          <w:szCs w:val="36"/>
        </w:rPr>
      </w:pPr>
      <w:r>
        <w:rPr>
          <w:rFonts w:hint="eastAsia" w:ascii="宋体" w:hAnsi="宋体" w:cs="宋体"/>
          <w:sz w:val="36"/>
          <w:szCs w:val="36"/>
        </w:rPr>
        <w:t>投标人全称：（公章或CA章）</w:t>
      </w:r>
    </w:p>
    <w:p>
      <w:pPr>
        <w:spacing w:line="360" w:lineRule="auto"/>
        <w:ind w:right="532" w:firstLine="360" w:firstLineChars="100"/>
        <w:rPr>
          <w:rFonts w:ascii="宋体" w:hAnsi="宋体" w:cs="宋体"/>
          <w:sz w:val="36"/>
          <w:szCs w:val="36"/>
        </w:rPr>
      </w:pPr>
      <w:r>
        <w:rPr>
          <w:rFonts w:hint="eastAsia" w:ascii="宋体" w:hAnsi="宋体" w:cs="宋体"/>
          <w:sz w:val="36"/>
          <w:szCs w:val="36"/>
        </w:rPr>
        <w:t>时间：</w:t>
      </w:r>
    </w:p>
    <w:p>
      <w:pPr>
        <w:snapToGrid w:val="0"/>
        <w:spacing w:before="50" w:after="50" w:line="360" w:lineRule="auto"/>
        <w:rPr>
          <w:rFonts w:ascii="宋体" w:hAnsi="宋体" w:cs="宋体"/>
          <w:b/>
          <w:bCs/>
          <w:sz w:val="36"/>
          <w:szCs w:val="36"/>
        </w:rPr>
      </w:pPr>
      <w:r>
        <w:rPr>
          <w:rFonts w:hint="eastAsia" w:ascii="宋体" w:hAnsi="宋体" w:cs="宋体"/>
          <w:b/>
          <w:sz w:val="36"/>
          <w:szCs w:val="36"/>
        </w:rPr>
        <w:br w:type="page"/>
      </w:r>
      <w:r>
        <w:rPr>
          <w:rFonts w:hint="eastAsia" w:ascii="宋体" w:hAnsi="宋体" w:cs="宋体"/>
          <w:b/>
          <w:sz w:val="36"/>
          <w:szCs w:val="36"/>
        </w:rPr>
        <w:t>1、</w:t>
      </w:r>
      <w:r>
        <w:rPr>
          <w:rFonts w:hint="eastAsia" w:ascii="宋体" w:hAnsi="宋体" w:cs="宋体"/>
          <w:b/>
          <w:bCs/>
          <w:sz w:val="36"/>
          <w:szCs w:val="36"/>
        </w:rPr>
        <w:t>资格文件目录</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（1）法定代表人授权书</w:t>
      </w:r>
    </w:p>
    <w:p>
      <w:pPr>
        <w:adjustRightInd w:val="0"/>
        <w:snapToGrid w:val="0"/>
        <w:spacing w:line="360" w:lineRule="auto"/>
        <w:ind w:firstLine="551" w:firstLineChars="197"/>
        <w:rPr>
          <w:rFonts w:ascii="宋体" w:hAnsi="宋体" w:cs="宋体"/>
          <w:sz w:val="28"/>
          <w:szCs w:val="28"/>
        </w:rPr>
      </w:pPr>
      <w:r>
        <w:rPr>
          <w:rFonts w:hint="eastAsia" w:ascii="宋体" w:hAnsi="宋体" w:cs="宋体"/>
          <w:sz w:val="28"/>
          <w:szCs w:val="28"/>
        </w:rPr>
        <w:t>（2）投标人情况表</w:t>
      </w:r>
    </w:p>
    <w:p>
      <w:pPr>
        <w:adjustRightInd w:val="0"/>
        <w:snapToGrid w:val="0"/>
        <w:spacing w:line="360" w:lineRule="auto"/>
        <w:ind w:firstLine="551" w:firstLineChars="197"/>
        <w:rPr>
          <w:rFonts w:ascii="宋体" w:hAnsi="宋体" w:cs="宋体"/>
          <w:sz w:val="28"/>
          <w:szCs w:val="28"/>
        </w:rPr>
      </w:pPr>
      <w:r>
        <w:rPr>
          <w:rFonts w:hint="eastAsia" w:ascii="宋体" w:hAnsi="宋体" w:cs="宋体"/>
          <w:sz w:val="28"/>
          <w:szCs w:val="28"/>
        </w:rPr>
        <w:t>（3）有效的营业执照（扫描件加盖投标人公章）；事业单位的，则提供有效的《事业单位法人证书》（扫描件加盖投标人公章）；如分公司参与投标的，还须符合浙财采监〔2013〕24号《关于规范政府采购供应商资格设定及资格审查的通知》第六条规定提供相关材料。</w:t>
      </w:r>
    </w:p>
    <w:p>
      <w:pPr>
        <w:adjustRightInd w:val="0"/>
        <w:snapToGrid w:val="0"/>
        <w:spacing w:line="360" w:lineRule="auto"/>
        <w:ind w:firstLine="551" w:firstLineChars="197"/>
        <w:rPr>
          <w:rFonts w:ascii="宋体" w:hAnsi="宋体" w:cs="宋体"/>
          <w:sz w:val="28"/>
          <w:szCs w:val="28"/>
        </w:rPr>
      </w:pPr>
      <w:r>
        <w:rPr>
          <w:rFonts w:hint="eastAsia" w:ascii="宋体" w:hAnsi="宋体" w:cs="宋体"/>
          <w:sz w:val="28"/>
          <w:szCs w:val="28"/>
        </w:rPr>
        <w:t>（4）无重大违法记录且具有良好商业信誉和健全的财务会计制度声明书</w:t>
      </w:r>
    </w:p>
    <w:p>
      <w:pPr>
        <w:adjustRightInd w:val="0"/>
        <w:snapToGrid w:val="0"/>
        <w:spacing w:line="360" w:lineRule="auto"/>
        <w:ind w:firstLine="551" w:firstLineChars="197"/>
        <w:rPr>
          <w:rFonts w:ascii="宋体" w:hAnsi="宋体" w:cs="宋体"/>
          <w:sz w:val="28"/>
          <w:szCs w:val="28"/>
        </w:rPr>
      </w:pPr>
      <w:r>
        <w:rPr>
          <w:rFonts w:hint="eastAsia" w:ascii="宋体" w:hAnsi="宋体" w:cs="宋体"/>
          <w:sz w:val="28"/>
          <w:szCs w:val="28"/>
        </w:rPr>
        <w:t>（5）具有履行合同所必需的场地、设备和专业技术能力的承诺函</w:t>
      </w:r>
    </w:p>
    <w:p>
      <w:pPr>
        <w:adjustRightInd w:val="0"/>
        <w:snapToGrid w:val="0"/>
        <w:spacing w:line="360" w:lineRule="auto"/>
        <w:ind w:firstLine="551" w:firstLineChars="197"/>
        <w:rPr>
          <w:rFonts w:ascii="宋体" w:hAnsi="宋体" w:cs="宋体"/>
          <w:sz w:val="28"/>
          <w:szCs w:val="28"/>
        </w:rPr>
      </w:pPr>
      <w:r>
        <w:rPr>
          <w:rFonts w:hint="eastAsia" w:ascii="宋体" w:hAnsi="宋体" w:cs="宋体"/>
          <w:sz w:val="28"/>
          <w:szCs w:val="28"/>
        </w:rPr>
        <w:t>（6）依法缴纳税收和社会保障资金的承诺函</w:t>
      </w:r>
    </w:p>
    <w:p>
      <w:pPr>
        <w:adjustRightInd w:val="0"/>
        <w:snapToGrid w:val="0"/>
        <w:spacing w:line="360" w:lineRule="auto"/>
        <w:ind w:firstLine="551" w:firstLineChars="197"/>
        <w:rPr>
          <w:rFonts w:ascii="宋体" w:hAnsi="宋体" w:cs="宋体"/>
          <w:sz w:val="28"/>
          <w:szCs w:val="28"/>
        </w:rPr>
      </w:pPr>
      <w:r>
        <w:rPr>
          <w:rFonts w:hint="eastAsia" w:ascii="宋体" w:hAnsi="宋体" w:cs="宋体"/>
          <w:sz w:val="28"/>
          <w:szCs w:val="28"/>
        </w:rPr>
        <w:t>（7）单位负责人为同一人或者存在直接控股、管理关系的不同供应商，不得参加同一合同项下的政府采购活动承诺函</w:t>
      </w:r>
    </w:p>
    <w:p>
      <w:pPr>
        <w:adjustRightInd w:val="0"/>
        <w:snapToGrid w:val="0"/>
        <w:spacing w:line="360" w:lineRule="auto"/>
        <w:ind w:firstLine="551" w:firstLineChars="197"/>
        <w:rPr>
          <w:rFonts w:ascii="宋体" w:hAnsi="宋体" w:cs="宋体"/>
          <w:sz w:val="28"/>
          <w:szCs w:val="28"/>
        </w:rPr>
      </w:pPr>
      <w:r>
        <w:rPr>
          <w:rFonts w:hint="eastAsia" w:ascii="宋体" w:hAnsi="宋体" w:cs="宋体"/>
          <w:sz w:val="28"/>
          <w:szCs w:val="28"/>
        </w:rPr>
        <w:t>（8）投标人不属于公益一类事业单位承诺函</w:t>
      </w:r>
    </w:p>
    <w:p>
      <w:pPr>
        <w:adjustRightInd w:val="0"/>
        <w:snapToGrid w:val="0"/>
        <w:spacing w:line="360" w:lineRule="auto"/>
        <w:ind w:firstLine="551" w:firstLineChars="197"/>
        <w:rPr>
          <w:rFonts w:ascii="宋体" w:hAnsi="宋体" w:cs="宋体"/>
          <w:sz w:val="28"/>
          <w:szCs w:val="28"/>
        </w:rPr>
      </w:pPr>
      <w:r>
        <w:rPr>
          <w:rFonts w:hint="eastAsia" w:ascii="宋体" w:hAnsi="宋体" w:cs="宋体"/>
          <w:sz w:val="28"/>
          <w:szCs w:val="28"/>
        </w:rPr>
        <w:t>（9）政府采购活动现场确认声明书</w:t>
      </w:r>
    </w:p>
    <w:p>
      <w:pPr>
        <w:adjustRightInd w:val="0"/>
        <w:snapToGrid w:val="0"/>
        <w:spacing w:line="360" w:lineRule="auto"/>
        <w:ind w:firstLine="551" w:firstLineChars="197"/>
        <w:rPr>
          <w:rFonts w:ascii="宋体" w:hAnsi="宋体" w:cs="宋体"/>
          <w:sz w:val="28"/>
          <w:szCs w:val="28"/>
        </w:rPr>
      </w:pPr>
      <w:r>
        <w:rPr>
          <w:rFonts w:hint="eastAsia" w:ascii="宋体" w:hAnsi="宋体" w:cs="宋体"/>
          <w:sz w:val="28"/>
          <w:szCs w:val="28"/>
        </w:rPr>
        <w:t>（10）投标人其他资质证书、认证证书、社保证明等扫描件（如需）</w:t>
      </w:r>
    </w:p>
    <w:p>
      <w:pPr>
        <w:adjustRightInd w:val="0"/>
        <w:snapToGrid w:val="0"/>
        <w:spacing w:line="360" w:lineRule="auto"/>
        <w:ind w:firstLine="551" w:firstLineChars="197"/>
        <w:rPr>
          <w:rFonts w:ascii="宋体" w:hAnsi="宋体" w:cs="宋体"/>
          <w:sz w:val="28"/>
          <w:szCs w:val="28"/>
        </w:rPr>
      </w:pPr>
      <w:r>
        <w:rPr>
          <w:rFonts w:hint="eastAsia" w:ascii="宋体" w:hAnsi="宋体" w:cs="宋体"/>
          <w:sz w:val="28"/>
          <w:szCs w:val="28"/>
        </w:rPr>
        <w:t>（11）特定资格条件证明材料扫描件（若有）</w:t>
      </w:r>
    </w:p>
    <w:p>
      <w:pPr>
        <w:pStyle w:val="26"/>
      </w:pPr>
    </w:p>
    <w:p>
      <w:pPr>
        <w:adjustRightInd w:val="0"/>
        <w:snapToGrid w:val="0"/>
        <w:spacing w:line="360" w:lineRule="auto"/>
        <w:ind w:firstLine="551" w:firstLineChars="197"/>
        <w:rPr>
          <w:rFonts w:ascii="宋体" w:hAnsi="宋体" w:cs="宋体"/>
          <w:sz w:val="28"/>
          <w:szCs w:val="28"/>
        </w:rPr>
      </w:pPr>
    </w:p>
    <w:p>
      <w:pPr>
        <w:widowControl/>
        <w:spacing w:line="360" w:lineRule="auto"/>
        <w:jc w:val="left"/>
        <w:rPr>
          <w:rFonts w:ascii="宋体" w:hAnsi="宋体" w:cs="宋体"/>
        </w:rPr>
      </w:pPr>
    </w:p>
    <w:p>
      <w:pPr>
        <w:pStyle w:val="13"/>
        <w:snapToGrid w:val="0"/>
        <w:spacing w:line="360" w:lineRule="auto"/>
        <w:ind w:left="5250" w:firstLine="648" w:firstLineChars="200"/>
        <w:rPr>
          <w:rFonts w:ascii="宋体" w:hAnsi="宋体" w:cs="宋体"/>
          <w:sz w:val="30"/>
          <w:szCs w:val="30"/>
        </w:rPr>
      </w:pPr>
    </w:p>
    <w:p>
      <w:pPr>
        <w:snapToGrid w:val="0"/>
        <w:spacing w:line="360" w:lineRule="auto"/>
        <w:ind w:firstLine="588" w:firstLineChars="196"/>
        <w:jc w:val="left"/>
        <w:rPr>
          <w:rFonts w:ascii="宋体" w:hAnsi="宋体" w:cs="宋体"/>
          <w:sz w:val="30"/>
          <w:szCs w:val="30"/>
        </w:rPr>
      </w:pPr>
    </w:p>
    <w:p>
      <w:pPr>
        <w:snapToGrid w:val="0"/>
        <w:spacing w:before="50" w:afterLines="50" w:line="360" w:lineRule="auto"/>
        <w:jc w:val="left"/>
        <w:rPr>
          <w:rFonts w:ascii="宋体" w:hAnsi="宋体" w:cs="宋体"/>
          <w:sz w:val="30"/>
          <w:szCs w:val="30"/>
        </w:rPr>
      </w:pPr>
    </w:p>
    <w:p>
      <w:pPr>
        <w:pStyle w:val="12"/>
        <w:snapToGrid w:val="0"/>
        <w:spacing w:before="120" w:after="120" w:line="360" w:lineRule="auto"/>
        <w:rPr>
          <w:rFonts w:hAnsi="宋体" w:cs="宋体"/>
          <w:sz w:val="30"/>
          <w:szCs w:val="30"/>
        </w:rPr>
      </w:pPr>
    </w:p>
    <w:p>
      <w:pPr>
        <w:pStyle w:val="12"/>
        <w:snapToGrid w:val="0"/>
        <w:spacing w:before="120" w:after="120" w:line="360" w:lineRule="auto"/>
        <w:rPr>
          <w:rFonts w:hAnsi="宋体" w:cs="宋体"/>
          <w:sz w:val="30"/>
          <w:szCs w:val="30"/>
        </w:rPr>
      </w:pPr>
    </w:p>
    <w:p>
      <w:pPr>
        <w:snapToGrid w:val="0"/>
        <w:spacing w:before="50" w:afterLines="50" w:line="360" w:lineRule="auto"/>
        <w:jc w:val="center"/>
        <w:rPr>
          <w:rFonts w:ascii="宋体" w:hAnsi="宋体" w:cs="宋体"/>
          <w:b/>
          <w:bCs/>
          <w:sz w:val="36"/>
          <w:szCs w:val="36"/>
        </w:rPr>
      </w:pPr>
      <w:r>
        <w:rPr>
          <w:rFonts w:hint="eastAsia" w:ascii="宋体" w:hAnsi="宋体" w:cs="宋体"/>
          <w:b/>
          <w:bCs/>
          <w:sz w:val="36"/>
          <w:szCs w:val="36"/>
        </w:rPr>
        <w:br w:type="page"/>
      </w:r>
      <w:r>
        <w:rPr>
          <w:rFonts w:hint="eastAsia" w:ascii="宋体" w:hAnsi="宋体" w:cs="宋体"/>
          <w:b/>
          <w:bCs/>
          <w:sz w:val="36"/>
          <w:szCs w:val="36"/>
        </w:rPr>
        <w:t>（1）法定代表人授权书</w:t>
      </w:r>
    </w:p>
    <w:p>
      <w:pPr>
        <w:spacing w:line="360" w:lineRule="auto"/>
        <w:jc w:val="center"/>
        <w:rPr>
          <w:rFonts w:ascii="宋体" w:hAnsi="宋体" w:cs="宋体"/>
          <w:b/>
          <w:bCs/>
          <w:sz w:val="32"/>
          <w:szCs w:val="32"/>
        </w:rPr>
      </w:pPr>
    </w:p>
    <w:p>
      <w:pPr>
        <w:spacing w:line="360" w:lineRule="auto"/>
        <w:rPr>
          <w:rFonts w:ascii="宋体" w:hAnsi="宋体" w:cs="宋体"/>
          <w:sz w:val="24"/>
        </w:rPr>
      </w:pPr>
      <w:r>
        <w:rPr>
          <w:rFonts w:hint="eastAsia" w:ascii="宋体" w:hAnsi="宋体" w:cs="宋体"/>
          <w:sz w:val="24"/>
        </w:rPr>
        <w:t>浙江五石中正工程咨询有限公司：</w:t>
      </w:r>
    </w:p>
    <w:p>
      <w:pPr>
        <w:spacing w:line="360" w:lineRule="auto"/>
        <w:rPr>
          <w:rFonts w:ascii="宋体" w:hAnsi="宋体" w:cs="宋体"/>
          <w:sz w:val="24"/>
          <w:u w:val="single"/>
        </w:rPr>
      </w:pPr>
    </w:p>
    <w:p>
      <w:pPr>
        <w:spacing w:line="360" w:lineRule="auto"/>
        <w:rPr>
          <w:rFonts w:ascii="宋体" w:hAnsi="宋体" w:cs="宋体"/>
          <w:sz w:val="24"/>
          <w:u w:val="single"/>
        </w:rPr>
      </w:pPr>
    </w:p>
    <w:p>
      <w:pPr>
        <w:spacing w:line="360" w:lineRule="auto"/>
        <w:ind w:left="218" w:leftChars="104" w:firstLine="360" w:firstLineChars="150"/>
        <w:rPr>
          <w:rFonts w:ascii="宋体" w:hAnsi="宋体" w:cs="宋体"/>
          <w:sz w:val="24"/>
        </w:rPr>
      </w:pPr>
      <w:r>
        <w:rPr>
          <w:rFonts w:hint="eastAsia" w:ascii="宋体" w:hAnsi="宋体" w:cs="宋体"/>
          <w:sz w:val="24"/>
        </w:rPr>
        <w:t>（投标人全称）法定代表人授权本单位在职职工（全权代表姓名）为全权代表，参加贵处组织的（项目名称、编号）的招标活动，全权代表我方处理投标活动中的一切事宜。</w:t>
      </w:r>
    </w:p>
    <w:p>
      <w:pPr>
        <w:spacing w:line="360" w:lineRule="auto"/>
        <w:ind w:firstLine="2955"/>
        <w:rPr>
          <w:rFonts w:ascii="宋体" w:hAnsi="宋体" w:cs="宋体"/>
          <w:sz w:val="24"/>
        </w:rPr>
      </w:pPr>
    </w:p>
    <w:p>
      <w:pPr>
        <w:spacing w:line="360" w:lineRule="auto"/>
        <w:ind w:firstLine="2955"/>
        <w:rPr>
          <w:rFonts w:ascii="宋体" w:hAnsi="宋体" w:cs="宋体"/>
          <w:sz w:val="24"/>
        </w:rPr>
      </w:pPr>
    </w:p>
    <w:p>
      <w:pPr>
        <w:spacing w:line="360" w:lineRule="auto"/>
        <w:ind w:firstLine="2955"/>
        <w:rPr>
          <w:rFonts w:ascii="宋体" w:hAnsi="宋体" w:cs="宋体"/>
          <w:sz w:val="24"/>
        </w:rPr>
      </w:pPr>
    </w:p>
    <w:p>
      <w:pPr>
        <w:spacing w:line="360" w:lineRule="auto"/>
        <w:ind w:firstLine="4200" w:firstLineChars="1750"/>
        <w:rPr>
          <w:rFonts w:ascii="宋体" w:hAnsi="宋体" w:cs="宋体"/>
          <w:sz w:val="24"/>
        </w:rPr>
      </w:pPr>
      <w:r>
        <w:rPr>
          <w:rFonts w:hint="eastAsia" w:ascii="宋体" w:hAnsi="宋体" w:cs="宋体"/>
          <w:sz w:val="24"/>
        </w:rPr>
        <w:t>法定代表人(签字或盖章)：</w:t>
      </w:r>
    </w:p>
    <w:p>
      <w:pPr>
        <w:spacing w:line="360" w:lineRule="auto"/>
        <w:ind w:firstLine="4200" w:firstLineChars="1750"/>
        <w:rPr>
          <w:rFonts w:ascii="宋体" w:hAnsi="宋体" w:cs="宋体"/>
          <w:sz w:val="24"/>
        </w:rPr>
      </w:pPr>
      <w:r>
        <w:rPr>
          <w:rFonts w:hint="eastAsia" w:ascii="宋体" w:hAnsi="宋体" w:cs="宋体"/>
          <w:sz w:val="24"/>
        </w:rPr>
        <w:t>投标人全称（</w:t>
      </w:r>
      <w:r>
        <w:rPr>
          <w:rFonts w:hint="eastAsia" w:ascii="宋体" w:hAnsi="宋体" w:cs="宋体"/>
          <w:bCs/>
          <w:sz w:val="24"/>
        </w:rPr>
        <w:t>公章或CA章</w:t>
      </w:r>
      <w:r>
        <w:rPr>
          <w:rFonts w:hint="eastAsia" w:ascii="宋体" w:hAnsi="宋体" w:cs="宋体"/>
          <w:sz w:val="24"/>
        </w:rPr>
        <w:t>）：</w:t>
      </w:r>
    </w:p>
    <w:p>
      <w:pPr>
        <w:spacing w:line="360" w:lineRule="auto"/>
        <w:ind w:firstLine="4200" w:firstLineChars="1750"/>
        <w:rPr>
          <w:rFonts w:ascii="宋体" w:hAnsi="宋体" w:cs="宋体"/>
          <w:sz w:val="24"/>
        </w:rPr>
      </w:pPr>
      <w:r>
        <w:rPr>
          <w:rFonts w:hint="eastAsia" w:ascii="宋体" w:hAnsi="宋体" w:cs="宋体"/>
          <w:sz w:val="24"/>
        </w:rPr>
        <w:t>日期：年月日</w:t>
      </w:r>
    </w:p>
    <w:p>
      <w:pPr>
        <w:spacing w:line="360" w:lineRule="auto"/>
        <w:ind w:firstLine="240" w:firstLineChars="100"/>
        <w:rPr>
          <w:rFonts w:ascii="宋体" w:hAnsi="宋体" w:cs="宋体"/>
          <w:sz w:val="24"/>
        </w:rPr>
      </w:pPr>
    </w:p>
    <w:p>
      <w:pPr>
        <w:spacing w:line="360" w:lineRule="auto"/>
        <w:ind w:firstLine="240" w:firstLineChars="100"/>
        <w:rPr>
          <w:rFonts w:ascii="宋体" w:hAnsi="宋体" w:cs="宋体"/>
          <w:sz w:val="24"/>
        </w:rPr>
      </w:pPr>
    </w:p>
    <w:p>
      <w:pPr>
        <w:spacing w:line="360" w:lineRule="auto"/>
        <w:ind w:firstLine="240" w:firstLineChars="100"/>
        <w:rPr>
          <w:rFonts w:ascii="宋体" w:hAnsi="宋体" w:cs="宋体"/>
          <w:sz w:val="24"/>
        </w:rPr>
      </w:pPr>
    </w:p>
    <w:p>
      <w:pPr>
        <w:spacing w:line="360" w:lineRule="auto"/>
        <w:ind w:firstLine="120" w:firstLineChars="50"/>
        <w:rPr>
          <w:rFonts w:ascii="宋体" w:hAnsi="宋体" w:cs="宋体"/>
          <w:sz w:val="24"/>
        </w:rPr>
      </w:pPr>
      <w:r>
        <w:rPr>
          <w:rFonts w:hint="eastAsia" w:ascii="宋体" w:hAnsi="宋体" w:cs="宋体"/>
          <w:sz w:val="24"/>
        </w:rPr>
        <w:t>附：</w:t>
      </w:r>
    </w:p>
    <w:p>
      <w:pPr>
        <w:spacing w:line="360" w:lineRule="auto"/>
        <w:ind w:firstLine="240" w:firstLineChars="100"/>
        <w:rPr>
          <w:rFonts w:ascii="宋体" w:hAnsi="宋体" w:cs="宋体"/>
          <w:sz w:val="24"/>
        </w:rPr>
      </w:pPr>
      <w:r>
        <w:rPr>
          <w:rFonts w:hint="eastAsia" w:ascii="宋体" w:hAnsi="宋体" w:cs="宋体"/>
          <w:sz w:val="24"/>
        </w:rPr>
        <w:t>授权代表姓名：</w:t>
      </w:r>
    </w:p>
    <w:p>
      <w:pPr>
        <w:spacing w:line="360" w:lineRule="auto"/>
        <w:ind w:firstLine="240" w:firstLineChars="100"/>
        <w:rPr>
          <w:rFonts w:ascii="宋体" w:hAnsi="宋体" w:cs="宋体"/>
          <w:sz w:val="24"/>
        </w:rPr>
      </w:pPr>
      <w:r>
        <w:rPr>
          <w:rFonts w:hint="eastAsia" w:ascii="宋体" w:hAnsi="宋体" w:cs="宋体"/>
          <w:sz w:val="24"/>
        </w:rPr>
        <w:t>职务：</w:t>
      </w:r>
    </w:p>
    <w:p>
      <w:pPr>
        <w:spacing w:line="360" w:lineRule="auto"/>
        <w:ind w:firstLine="240" w:firstLineChars="100"/>
        <w:rPr>
          <w:rFonts w:ascii="宋体" w:hAnsi="宋体" w:cs="宋体"/>
          <w:sz w:val="24"/>
        </w:rPr>
      </w:pPr>
      <w:r>
        <w:rPr>
          <w:rFonts w:hint="eastAsia" w:ascii="宋体" w:hAnsi="宋体" w:cs="宋体"/>
          <w:sz w:val="24"/>
        </w:rPr>
        <w:t>详细通讯地址：</w:t>
      </w:r>
    </w:p>
    <w:p>
      <w:pPr>
        <w:spacing w:line="360" w:lineRule="auto"/>
        <w:ind w:firstLine="240" w:firstLineChars="100"/>
        <w:rPr>
          <w:rFonts w:ascii="宋体" w:hAnsi="宋体" w:cs="宋体"/>
          <w:sz w:val="24"/>
        </w:rPr>
      </w:pPr>
      <w:r>
        <w:rPr>
          <w:rFonts w:hint="eastAsia" w:ascii="宋体" w:hAnsi="宋体" w:cs="宋体"/>
          <w:sz w:val="24"/>
        </w:rPr>
        <w:t>电话：</w:t>
      </w:r>
    </w:p>
    <w:p>
      <w:pPr>
        <w:spacing w:line="360" w:lineRule="auto"/>
        <w:ind w:firstLine="240" w:firstLineChars="100"/>
        <w:rPr>
          <w:rFonts w:ascii="宋体" w:hAnsi="宋体" w:cs="宋体"/>
          <w:sz w:val="24"/>
        </w:rPr>
      </w:pPr>
      <w:r>
        <w:rPr>
          <w:rFonts w:hint="eastAsia" w:ascii="宋体" w:hAnsi="宋体" w:cs="宋体"/>
          <w:sz w:val="24"/>
        </w:rPr>
        <w:t>传真：</w:t>
      </w:r>
    </w:p>
    <w:p>
      <w:pPr>
        <w:spacing w:line="360" w:lineRule="auto"/>
        <w:ind w:firstLine="240" w:firstLineChars="100"/>
        <w:rPr>
          <w:rFonts w:ascii="宋体" w:hAnsi="宋体" w:cs="宋体"/>
          <w:sz w:val="24"/>
        </w:rPr>
      </w:pPr>
      <w:r>
        <w:rPr>
          <w:rFonts w:hint="eastAsia" w:ascii="宋体" w:hAnsi="宋体" w:cs="宋体"/>
          <w:sz w:val="24"/>
        </w:rPr>
        <w:t>邮政编码:</w:t>
      </w:r>
    </w:p>
    <w:p>
      <w:pPr>
        <w:spacing w:line="360" w:lineRule="auto"/>
        <w:rPr>
          <w:rFonts w:ascii="宋体" w:hAnsi="宋体" w:cs="宋体"/>
          <w:sz w:val="24"/>
        </w:rPr>
      </w:pPr>
    </w:p>
    <w:p>
      <w:pPr>
        <w:spacing w:line="360" w:lineRule="auto"/>
        <w:rPr>
          <w:rFonts w:ascii="宋体" w:hAnsi="宋体" w:cs="宋体"/>
          <w:b/>
          <w:bCs/>
          <w:sz w:val="24"/>
        </w:rPr>
      </w:pPr>
    </w:p>
    <w:p>
      <w:pPr>
        <w:spacing w:line="360" w:lineRule="auto"/>
        <w:rPr>
          <w:rFonts w:ascii="宋体" w:hAnsi="宋体" w:cs="宋体"/>
          <w:b/>
          <w:bCs/>
          <w:sz w:val="28"/>
        </w:rPr>
      </w:pPr>
    </w:p>
    <w:p>
      <w:pPr>
        <w:spacing w:line="360" w:lineRule="auto"/>
        <w:rPr>
          <w:rFonts w:ascii="宋体" w:hAnsi="宋体" w:cs="宋体"/>
          <w:b/>
          <w:bCs/>
          <w:sz w:val="28"/>
        </w:rPr>
      </w:pPr>
    </w:p>
    <w:p>
      <w:pPr>
        <w:spacing w:line="360" w:lineRule="auto"/>
        <w:rPr>
          <w:rFonts w:ascii="宋体" w:hAnsi="宋体" w:cs="宋体"/>
          <w:b/>
          <w:bCs/>
          <w:sz w:val="28"/>
        </w:rPr>
      </w:pPr>
    </w:p>
    <w:p>
      <w:pPr>
        <w:spacing w:line="360" w:lineRule="auto"/>
        <w:rPr>
          <w:rFonts w:ascii="宋体" w:hAnsi="宋体" w:cs="宋体"/>
          <w:b/>
          <w:bCs/>
          <w:sz w:val="28"/>
        </w:rPr>
      </w:pPr>
    </w:p>
    <w:p>
      <w:pPr>
        <w:spacing w:line="360" w:lineRule="auto"/>
        <w:rPr>
          <w:rFonts w:ascii="宋体" w:hAnsi="宋体" w:cs="宋体"/>
          <w:b/>
          <w:bCs/>
          <w:sz w:val="28"/>
        </w:rPr>
      </w:pPr>
    </w:p>
    <w:p>
      <w:pPr>
        <w:spacing w:line="360" w:lineRule="auto"/>
        <w:rPr>
          <w:rFonts w:ascii="宋体" w:hAnsi="宋体" w:cs="宋体"/>
          <w:b/>
          <w:bCs/>
          <w:sz w:val="28"/>
        </w:rPr>
      </w:pPr>
    </w:p>
    <w:p>
      <w:pPr>
        <w:spacing w:line="360" w:lineRule="auto"/>
        <w:rPr>
          <w:rFonts w:ascii="宋体" w:hAnsi="宋体" w:cs="宋体"/>
        </w:rPr>
      </w:pPr>
    </w:p>
    <w:p>
      <w:pPr>
        <w:spacing w:line="360" w:lineRule="auto"/>
        <w:jc w:val="center"/>
        <w:rPr>
          <w:rFonts w:ascii="宋体" w:hAnsi="宋体" w:cs="宋体"/>
          <w:b/>
          <w:bCs/>
          <w:sz w:val="28"/>
          <w:szCs w:val="28"/>
        </w:rPr>
      </w:pPr>
      <w:r>
        <w:rPr>
          <w:rFonts w:ascii="宋体" w:hAnsi="宋体" w:cs="宋体"/>
          <w:sz w:val="22"/>
          <w:szCs w:val="22"/>
          <w:lang w:val="zh-CN"/>
        </w:rPr>
        <mc:AlternateContent>
          <mc:Choice Requires="wps">
            <w:drawing>
              <wp:anchor distT="0" distB="0" distL="114300" distR="114300" simplePos="0" relativeHeight="251659264" behindDoc="0" locked="0" layoutInCell="1" allowOverlap="1">
                <wp:simplePos x="0" y="0"/>
                <wp:positionH relativeFrom="column">
                  <wp:posOffset>113665</wp:posOffset>
                </wp:positionH>
                <wp:positionV relativeFrom="paragraph">
                  <wp:posOffset>320675</wp:posOffset>
                </wp:positionV>
                <wp:extent cx="6254115" cy="3004185"/>
                <wp:effectExtent l="5080" t="4445" r="8255" b="20320"/>
                <wp:wrapNone/>
                <wp:docPr id="34" name="文本框 30"/>
                <wp:cNvGraphicFramePr/>
                <a:graphic xmlns:a="http://schemas.openxmlformats.org/drawingml/2006/main">
                  <a:graphicData uri="http://schemas.microsoft.com/office/word/2010/wordprocessingShape">
                    <wps:wsp>
                      <wps:cNvSpPr txBox="1"/>
                      <wps:spPr>
                        <a:xfrm>
                          <a:off x="0" y="0"/>
                          <a:ext cx="6254115" cy="30041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ascii="新宋体" w:hAnsi="新宋体" w:eastAsia="新宋体"/>
                                <w:sz w:val="22"/>
                                <w:szCs w:val="22"/>
                              </w:rPr>
                              <w:t>法定代表人身份证（正反面）：</w:t>
                            </w:r>
                          </w:p>
                        </w:txbxContent>
                      </wps:txbx>
                      <wps:bodyPr upright="1"/>
                    </wps:wsp>
                  </a:graphicData>
                </a:graphic>
              </wp:anchor>
            </w:drawing>
          </mc:Choice>
          <mc:Fallback>
            <w:pict>
              <v:shape id="文本框 30" o:spid="_x0000_s1026" o:spt="202" type="#_x0000_t202" style="position:absolute;left:0pt;margin-left:8.95pt;margin-top:25.25pt;height:236.55pt;width:492.45pt;z-index:251659264;mso-width-relative:page;mso-height-relative:page;" fillcolor="#FFFFFF" filled="t" stroked="t" coordsize="21600,21600" o:gfxdata="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fcI2jYAAAACgEAAA8AAAAAAAAA&#10;AQAgAAAAIgAAAGRycy9kb3ducmV2LnhtbFBLAQIUABQAAAAIAIdO4kAsTexwEQIAAEcEAAAOAAAA&#10;AAAAAAEAIAAAACcBAABkcnMvZTJvRG9jLnhtbFBLBQYAAAAABgAGAFkBAACqBQAAAAA=&#10;">
                <v:fill on="t" focussize="0,0"/>
                <v:stroke color="#000000" joinstyle="miter"/>
                <v:imagedata o:title=""/>
                <o:lock v:ext="edit" aspectratio="f"/>
                <v:textbox>
                  <w:txbxContent>
                    <w:p>
                      <w:r>
                        <w:rPr>
                          <w:rFonts w:hint="eastAsia" w:ascii="新宋体" w:hAnsi="新宋体" w:eastAsia="新宋体"/>
                          <w:sz w:val="22"/>
                          <w:szCs w:val="22"/>
                        </w:rPr>
                        <w:t>法定代表人身份证（正反面）：</w:t>
                      </w:r>
                    </w:p>
                  </w:txbxContent>
                </v:textbox>
              </v:shape>
            </w:pict>
          </mc:Fallback>
        </mc:AlternateContent>
      </w:r>
    </w:p>
    <w:p>
      <w:pPr>
        <w:spacing w:line="360" w:lineRule="auto"/>
        <w:jc w:val="center"/>
        <w:rPr>
          <w:rFonts w:ascii="宋体" w:hAnsi="宋体" w:cs="宋体"/>
          <w:b/>
          <w:bCs/>
          <w:sz w:val="28"/>
          <w:szCs w:val="28"/>
        </w:rPr>
      </w:pPr>
    </w:p>
    <w:p>
      <w:pPr>
        <w:spacing w:line="360" w:lineRule="auto"/>
        <w:jc w:val="center"/>
        <w:rPr>
          <w:rFonts w:ascii="宋体" w:hAnsi="宋体" w:cs="宋体"/>
          <w:b/>
          <w:bCs/>
          <w:sz w:val="28"/>
          <w:szCs w:val="28"/>
        </w:rPr>
      </w:pPr>
    </w:p>
    <w:p>
      <w:pPr>
        <w:spacing w:line="360" w:lineRule="auto"/>
        <w:jc w:val="center"/>
        <w:rPr>
          <w:rFonts w:ascii="宋体" w:hAnsi="宋体" w:cs="宋体"/>
          <w:b/>
          <w:bCs/>
          <w:sz w:val="28"/>
          <w:szCs w:val="28"/>
        </w:rPr>
      </w:pPr>
    </w:p>
    <w:p>
      <w:pPr>
        <w:spacing w:line="360" w:lineRule="auto"/>
        <w:jc w:val="center"/>
        <w:rPr>
          <w:rFonts w:ascii="宋体" w:hAnsi="宋体" w:cs="宋体"/>
          <w:b/>
          <w:bCs/>
          <w:sz w:val="28"/>
          <w:szCs w:val="28"/>
        </w:rPr>
      </w:pPr>
    </w:p>
    <w:p>
      <w:pPr>
        <w:spacing w:line="360" w:lineRule="auto"/>
        <w:jc w:val="center"/>
        <w:rPr>
          <w:rFonts w:ascii="宋体" w:hAnsi="宋体" w:cs="宋体"/>
          <w:b/>
          <w:bCs/>
          <w:sz w:val="28"/>
          <w:szCs w:val="28"/>
        </w:rPr>
      </w:pPr>
    </w:p>
    <w:p>
      <w:pPr>
        <w:spacing w:line="360" w:lineRule="auto"/>
        <w:jc w:val="center"/>
        <w:rPr>
          <w:rFonts w:ascii="宋体" w:hAnsi="宋体" w:cs="宋体"/>
          <w:b/>
          <w:bCs/>
          <w:sz w:val="28"/>
          <w:szCs w:val="28"/>
        </w:rPr>
      </w:pPr>
    </w:p>
    <w:p>
      <w:pPr>
        <w:spacing w:line="360" w:lineRule="auto"/>
        <w:jc w:val="center"/>
        <w:rPr>
          <w:rFonts w:ascii="宋体" w:hAnsi="宋体" w:cs="宋体"/>
          <w:b/>
          <w:bCs/>
          <w:sz w:val="28"/>
          <w:szCs w:val="28"/>
        </w:rPr>
      </w:pPr>
    </w:p>
    <w:p>
      <w:pPr>
        <w:spacing w:line="360" w:lineRule="auto"/>
        <w:jc w:val="center"/>
        <w:rPr>
          <w:rFonts w:ascii="宋体" w:hAnsi="宋体" w:cs="宋体"/>
          <w:b/>
          <w:bCs/>
          <w:sz w:val="28"/>
          <w:szCs w:val="28"/>
        </w:rPr>
      </w:pPr>
    </w:p>
    <w:p>
      <w:pPr>
        <w:spacing w:line="360" w:lineRule="auto"/>
        <w:jc w:val="center"/>
        <w:rPr>
          <w:rFonts w:ascii="宋体" w:hAnsi="宋体" w:cs="宋体"/>
          <w:b/>
          <w:bCs/>
          <w:sz w:val="28"/>
          <w:szCs w:val="28"/>
        </w:rPr>
      </w:pPr>
    </w:p>
    <w:p>
      <w:pPr>
        <w:spacing w:line="360" w:lineRule="auto"/>
        <w:jc w:val="center"/>
        <w:rPr>
          <w:rFonts w:ascii="宋体" w:hAnsi="宋体" w:cs="宋体"/>
          <w:b/>
          <w:bCs/>
          <w:sz w:val="28"/>
          <w:szCs w:val="28"/>
        </w:rPr>
      </w:pPr>
    </w:p>
    <w:p>
      <w:pPr>
        <w:spacing w:line="360" w:lineRule="auto"/>
        <w:jc w:val="center"/>
        <w:rPr>
          <w:rFonts w:ascii="宋体" w:hAnsi="宋体" w:cs="宋体"/>
          <w:b/>
          <w:bCs/>
          <w:sz w:val="28"/>
          <w:szCs w:val="28"/>
        </w:rPr>
      </w:pPr>
    </w:p>
    <w:p>
      <w:pPr>
        <w:spacing w:line="360" w:lineRule="auto"/>
        <w:jc w:val="center"/>
        <w:rPr>
          <w:rFonts w:ascii="宋体" w:hAnsi="宋体" w:cs="宋体"/>
          <w:b/>
          <w:bCs/>
          <w:sz w:val="28"/>
          <w:szCs w:val="28"/>
        </w:rPr>
      </w:pPr>
    </w:p>
    <w:p>
      <w:pPr>
        <w:spacing w:line="360" w:lineRule="auto"/>
        <w:jc w:val="center"/>
        <w:rPr>
          <w:rFonts w:ascii="宋体" w:hAnsi="宋体" w:cs="宋体"/>
          <w:b/>
          <w:bCs/>
          <w:sz w:val="28"/>
          <w:szCs w:val="28"/>
        </w:rPr>
      </w:pPr>
      <w:r>
        <w:rPr>
          <w:rFonts w:ascii="宋体" w:hAnsi="宋体" w:cs="宋体"/>
          <w:sz w:val="22"/>
          <w:szCs w:val="22"/>
          <w:lang w:val="zh-CN"/>
        </w:rPr>
        <mc:AlternateContent>
          <mc:Choice Requires="wps">
            <w:drawing>
              <wp:anchor distT="0" distB="0" distL="114300" distR="114300" simplePos="0" relativeHeight="251660288" behindDoc="0" locked="0" layoutInCell="1" allowOverlap="1">
                <wp:simplePos x="0" y="0"/>
                <wp:positionH relativeFrom="column">
                  <wp:posOffset>88265</wp:posOffset>
                </wp:positionH>
                <wp:positionV relativeFrom="paragraph">
                  <wp:posOffset>-53975</wp:posOffset>
                </wp:positionV>
                <wp:extent cx="6303645" cy="3875405"/>
                <wp:effectExtent l="4445" t="5080" r="16510" b="5715"/>
                <wp:wrapNone/>
                <wp:docPr id="37" name="文本框 13"/>
                <wp:cNvGraphicFramePr/>
                <a:graphic xmlns:a="http://schemas.openxmlformats.org/drawingml/2006/main">
                  <a:graphicData uri="http://schemas.microsoft.com/office/word/2010/wordprocessingShape">
                    <wps:wsp>
                      <wps:cNvSpPr txBox="1"/>
                      <wps:spPr>
                        <a:xfrm>
                          <a:off x="0" y="0"/>
                          <a:ext cx="6303645" cy="38754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ascii="新宋体" w:hAnsi="新宋体" w:eastAsia="新宋体"/>
                                <w:sz w:val="22"/>
                                <w:szCs w:val="22"/>
                              </w:rPr>
                              <w:t>授权代表身份证（正反面）：</w:t>
                            </w:r>
                          </w:p>
                        </w:txbxContent>
                      </wps:txbx>
                      <wps:bodyPr upright="1"/>
                    </wps:wsp>
                  </a:graphicData>
                </a:graphic>
              </wp:anchor>
            </w:drawing>
          </mc:Choice>
          <mc:Fallback>
            <w:pict>
              <v:shape id="文本框 13" o:spid="_x0000_s1026" o:spt="202" type="#_x0000_t202" style="position:absolute;left:0pt;margin-left:6.95pt;margin-top:-4.25pt;height:305.15pt;width:496.35pt;z-index:251660288;mso-width-relative:page;mso-height-relative:page;" fillcolor="#FFFFFF" filled="t" stroked="t" coordsize="21600,21600" o:gfxdata="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hqi13YAAAACgEAAA8AAAAA&#10;AAAAAQAgAAAAIgAAAGRycy9kb3ducmV2LnhtbFBLAQIUABQAAAAIAIdO4kBz1T7DFAIAAEcEAAAO&#10;AAAAAAAAAAEAIAAAACcBAABkcnMvZTJvRG9jLnhtbFBLBQYAAAAABgAGAFkBAACtBQAAAAA=&#10;">
                <v:fill on="t" focussize="0,0"/>
                <v:stroke color="#000000" joinstyle="miter"/>
                <v:imagedata o:title=""/>
                <o:lock v:ext="edit" aspectratio="f"/>
                <v:textbox>
                  <w:txbxContent>
                    <w:p>
                      <w:r>
                        <w:rPr>
                          <w:rFonts w:hint="eastAsia" w:ascii="新宋体" w:hAnsi="新宋体" w:eastAsia="新宋体"/>
                          <w:sz w:val="22"/>
                          <w:szCs w:val="22"/>
                        </w:rPr>
                        <w:t>授权代表身份证（正反面）：</w:t>
                      </w:r>
                    </w:p>
                  </w:txbxContent>
                </v:textbox>
              </v:shape>
            </w:pict>
          </mc:Fallback>
        </mc:AlternateContent>
      </w:r>
    </w:p>
    <w:p>
      <w:pPr>
        <w:spacing w:line="360" w:lineRule="auto"/>
        <w:jc w:val="center"/>
        <w:rPr>
          <w:rFonts w:ascii="宋体" w:hAnsi="宋体" w:cs="宋体"/>
          <w:b/>
          <w:bCs/>
          <w:sz w:val="28"/>
          <w:szCs w:val="28"/>
        </w:rPr>
      </w:pPr>
    </w:p>
    <w:p>
      <w:pPr>
        <w:spacing w:line="360" w:lineRule="auto"/>
        <w:jc w:val="center"/>
        <w:rPr>
          <w:rFonts w:ascii="宋体" w:hAnsi="宋体" w:cs="宋体"/>
          <w:b/>
          <w:bCs/>
          <w:sz w:val="28"/>
          <w:szCs w:val="28"/>
        </w:rPr>
      </w:pPr>
    </w:p>
    <w:p>
      <w:pPr>
        <w:spacing w:line="360" w:lineRule="auto"/>
        <w:jc w:val="center"/>
        <w:rPr>
          <w:rFonts w:ascii="宋体" w:hAnsi="宋体" w:cs="宋体"/>
          <w:b/>
          <w:bCs/>
          <w:sz w:val="28"/>
          <w:szCs w:val="28"/>
        </w:rPr>
      </w:pPr>
    </w:p>
    <w:p>
      <w:pPr>
        <w:spacing w:line="360" w:lineRule="auto"/>
        <w:jc w:val="center"/>
        <w:rPr>
          <w:rFonts w:ascii="宋体" w:hAnsi="宋体" w:cs="宋体"/>
          <w:b/>
          <w:bCs/>
          <w:sz w:val="28"/>
          <w:szCs w:val="28"/>
        </w:rPr>
      </w:pPr>
    </w:p>
    <w:p>
      <w:pPr>
        <w:spacing w:line="360" w:lineRule="auto"/>
        <w:jc w:val="center"/>
        <w:rPr>
          <w:rFonts w:ascii="宋体" w:hAnsi="宋体" w:cs="宋体"/>
          <w:b/>
          <w:bCs/>
          <w:sz w:val="28"/>
          <w:szCs w:val="28"/>
        </w:rPr>
      </w:pPr>
    </w:p>
    <w:p>
      <w:pPr>
        <w:spacing w:line="360" w:lineRule="auto"/>
        <w:jc w:val="center"/>
        <w:outlineLvl w:val="3"/>
        <w:rPr>
          <w:rFonts w:ascii="宋体" w:hAnsi="宋体" w:cs="宋体"/>
          <w:b/>
          <w:bCs/>
          <w:sz w:val="22"/>
          <w:szCs w:val="22"/>
        </w:rPr>
        <w:sectPr>
          <w:headerReference r:id="rId11" w:type="default"/>
          <w:footerReference r:id="rId12" w:type="default"/>
          <w:type w:val="nextColumn"/>
          <w:pgSz w:w="11906" w:h="16838"/>
          <w:pgMar w:top="1134" w:right="1134" w:bottom="1134" w:left="1134" w:header="850" w:footer="992" w:gutter="0"/>
          <w:cols w:space="720" w:num="1"/>
          <w:titlePg/>
          <w:docGrid w:type="lines" w:linePitch="312" w:charSpace="0"/>
        </w:sectPr>
      </w:pPr>
    </w:p>
    <w:p>
      <w:pPr>
        <w:spacing w:line="360" w:lineRule="auto"/>
        <w:ind w:firstLine="230" w:firstLineChars="64"/>
        <w:jc w:val="center"/>
        <w:rPr>
          <w:rFonts w:ascii="宋体" w:hAnsi="宋体" w:cs="宋体"/>
        </w:rPr>
      </w:pPr>
      <w:r>
        <w:rPr>
          <w:rFonts w:hint="eastAsia" w:ascii="宋体" w:hAnsi="宋体" w:cs="宋体"/>
          <w:b/>
          <w:bCs/>
          <w:sz w:val="36"/>
          <w:szCs w:val="36"/>
        </w:rPr>
        <w:t>（2）</w:t>
      </w:r>
      <w:r>
        <w:rPr>
          <w:rFonts w:hint="eastAsia" w:ascii="宋体" w:hAnsi="宋体" w:cs="宋体"/>
          <w:b/>
          <w:sz w:val="36"/>
          <w:szCs w:val="36"/>
        </w:rPr>
        <w:t>投标人情况表</w:t>
      </w:r>
    </w:p>
    <w:p>
      <w:pPr>
        <w:tabs>
          <w:tab w:val="left" w:pos="1985"/>
        </w:tabs>
        <w:spacing w:line="360" w:lineRule="auto"/>
        <w:rPr>
          <w:rFonts w:ascii="宋体" w:hAnsi="宋体" w:cs="宋体"/>
        </w:rPr>
      </w:pPr>
      <w:r>
        <w:rPr>
          <w:rFonts w:hint="eastAsia" w:ascii="宋体" w:hAnsi="宋体" w:cs="宋体"/>
        </w:rPr>
        <w:t>投标人名称（公章）：填表日期：</w:t>
      </w:r>
    </w:p>
    <w:tbl>
      <w:tblPr>
        <w:tblStyle w:val="20"/>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1135"/>
        <w:gridCol w:w="2125"/>
        <w:gridCol w:w="992"/>
        <w:gridCol w:w="284"/>
        <w:gridCol w:w="1100"/>
        <w:gridCol w:w="1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83" w:type="dxa"/>
            <w:noWrap/>
          </w:tcPr>
          <w:p>
            <w:pPr>
              <w:tabs>
                <w:tab w:val="left" w:pos="1985"/>
              </w:tabs>
              <w:spacing w:line="360" w:lineRule="auto"/>
              <w:rPr>
                <w:rFonts w:ascii="宋体" w:hAnsi="宋体" w:cs="宋体"/>
              </w:rPr>
            </w:pPr>
            <w:r>
              <w:rPr>
                <w:rFonts w:hint="eastAsia" w:ascii="宋体" w:hAnsi="宋体" w:cs="宋体"/>
              </w:rPr>
              <w:t>单位名称</w:t>
            </w:r>
          </w:p>
        </w:tc>
        <w:tc>
          <w:tcPr>
            <w:tcW w:w="3260" w:type="dxa"/>
            <w:gridSpan w:val="2"/>
            <w:noWrap/>
          </w:tcPr>
          <w:p>
            <w:pPr>
              <w:tabs>
                <w:tab w:val="left" w:pos="1985"/>
              </w:tabs>
              <w:spacing w:line="360" w:lineRule="auto"/>
              <w:rPr>
                <w:rFonts w:ascii="宋体" w:hAnsi="宋体" w:cs="宋体"/>
              </w:rPr>
            </w:pPr>
          </w:p>
        </w:tc>
        <w:tc>
          <w:tcPr>
            <w:tcW w:w="1276" w:type="dxa"/>
            <w:gridSpan w:val="2"/>
            <w:noWrap/>
          </w:tcPr>
          <w:p>
            <w:pPr>
              <w:tabs>
                <w:tab w:val="left" w:pos="1985"/>
              </w:tabs>
              <w:spacing w:line="360" w:lineRule="auto"/>
              <w:rPr>
                <w:rFonts w:ascii="宋体" w:hAnsi="宋体" w:cs="宋体"/>
              </w:rPr>
            </w:pPr>
            <w:r>
              <w:rPr>
                <w:rFonts w:hint="eastAsia" w:ascii="宋体" w:hAnsi="宋体" w:cs="宋体"/>
              </w:rPr>
              <w:t>电话</w:t>
            </w:r>
          </w:p>
        </w:tc>
        <w:tc>
          <w:tcPr>
            <w:tcW w:w="2586" w:type="dxa"/>
            <w:gridSpan w:val="2"/>
            <w:noWrap/>
          </w:tcPr>
          <w:p>
            <w:pPr>
              <w:tabs>
                <w:tab w:val="left" w:pos="1985"/>
              </w:tabs>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83" w:type="dxa"/>
            <w:noWrap/>
          </w:tcPr>
          <w:p>
            <w:pPr>
              <w:tabs>
                <w:tab w:val="left" w:pos="1985"/>
              </w:tabs>
              <w:spacing w:line="360" w:lineRule="auto"/>
              <w:rPr>
                <w:rFonts w:ascii="宋体" w:hAnsi="宋体" w:cs="宋体"/>
              </w:rPr>
            </w:pPr>
            <w:r>
              <w:rPr>
                <w:rFonts w:hint="eastAsia" w:ascii="宋体" w:hAnsi="宋体" w:cs="宋体"/>
              </w:rPr>
              <w:t>地址</w:t>
            </w:r>
          </w:p>
        </w:tc>
        <w:tc>
          <w:tcPr>
            <w:tcW w:w="3260" w:type="dxa"/>
            <w:gridSpan w:val="2"/>
            <w:noWrap/>
          </w:tcPr>
          <w:p>
            <w:pPr>
              <w:tabs>
                <w:tab w:val="left" w:pos="1985"/>
              </w:tabs>
              <w:spacing w:line="360" w:lineRule="auto"/>
              <w:rPr>
                <w:rFonts w:ascii="宋体" w:hAnsi="宋体" w:cs="宋体"/>
              </w:rPr>
            </w:pPr>
          </w:p>
        </w:tc>
        <w:tc>
          <w:tcPr>
            <w:tcW w:w="1276" w:type="dxa"/>
            <w:gridSpan w:val="2"/>
            <w:noWrap/>
          </w:tcPr>
          <w:p>
            <w:pPr>
              <w:tabs>
                <w:tab w:val="left" w:pos="1985"/>
              </w:tabs>
              <w:spacing w:line="360" w:lineRule="auto"/>
              <w:rPr>
                <w:rFonts w:ascii="宋体" w:hAnsi="宋体" w:cs="宋体"/>
              </w:rPr>
            </w:pPr>
            <w:r>
              <w:rPr>
                <w:rFonts w:hint="eastAsia" w:ascii="宋体" w:hAnsi="宋体" w:cs="宋体"/>
              </w:rPr>
              <w:t>传真</w:t>
            </w:r>
          </w:p>
        </w:tc>
        <w:tc>
          <w:tcPr>
            <w:tcW w:w="2586" w:type="dxa"/>
            <w:gridSpan w:val="2"/>
            <w:noWrap/>
          </w:tcPr>
          <w:p>
            <w:pPr>
              <w:tabs>
                <w:tab w:val="left" w:pos="1985"/>
              </w:tabs>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83" w:type="dxa"/>
            <w:noWrap/>
          </w:tcPr>
          <w:p>
            <w:pPr>
              <w:tabs>
                <w:tab w:val="left" w:pos="1985"/>
              </w:tabs>
              <w:spacing w:line="360" w:lineRule="auto"/>
              <w:rPr>
                <w:rFonts w:ascii="宋体" w:hAnsi="宋体" w:cs="宋体"/>
              </w:rPr>
            </w:pPr>
            <w:r>
              <w:rPr>
                <w:rFonts w:hint="eastAsia" w:ascii="宋体" w:hAnsi="宋体" w:cs="宋体"/>
              </w:rPr>
              <w:t>主管部门</w:t>
            </w:r>
          </w:p>
        </w:tc>
        <w:tc>
          <w:tcPr>
            <w:tcW w:w="3260" w:type="dxa"/>
            <w:gridSpan w:val="2"/>
            <w:noWrap/>
          </w:tcPr>
          <w:p>
            <w:pPr>
              <w:tabs>
                <w:tab w:val="left" w:pos="1985"/>
              </w:tabs>
              <w:spacing w:line="360" w:lineRule="auto"/>
              <w:rPr>
                <w:rFonts w:ascii="宋体" w:hAnsi="宋体" w:cs="宋体"/>
              </w:rPr>
            </w:pPr>
          </w:p>
        </w:tc>
        <w:tc>
          <w:tcPr>
            <w:tcW w:w="1276" w:type="dxa"/>
            <w:gridSpan w:val="2"/>
            <w:noWrap/>
          </w:tcPr>
          <w:p>
            <w:pPr>
              <w:tabs>
                <w:tab w:val="left" w:pos="1985"/>
              </w:tabs>
              <w:spacing w:line="360" w:lineRule="auto"/>
              <w:rPr>
                <w:rFonts w:ascii="宋体" w:hAnsi="宋体" w:cs="宋体"/>
              </w:rPr>
            </w:pPr>
            <w:r>
              <w:rPr>
                <w:rFonts w:hint="eastAsia" w:ascii="宋体" w:hAnsi="宋体" w:cs="宋体"/>
              </w:rPr>
              <w:t>企业性质</w:t>
            </w:r>
          </w:p>
        </w:tc>
        <w:tc>
          <w:tcPr>
            <w:tcW w:w="2586" w:type="dxa"/>
            <w:gridSpan w:val="2"/>
            <w:noWrap/>
          </w:tcPr>
          <w:p>
            <w:pPr>
              <w:tabs>
                <w:tab w:val="left" w:pos="1985"/>
              </w:tabs>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83" w:type="dxa"/>
            <w:noWrap/>
          </w:tcPr>
          <w:p>
            <w:pPr>
              <w:tabs>
                <w:tab w:val="left" w:pos="1985"/>
              </w:tabs>
              <w:spacing w:line="360" w:lineRule="auto"/>
              <w:rPr>
                <w:rFonts w:ascii="宋体" w:hAnsi="宋体" w:cs="宋体"/>
              </w:rPr>
            </w:pPr>
            <w:r>
              <w:rPr>
                <w:rFonts w:hint="eastAsia" w:ascii="宋体" w:hAnsi="宋体" w:cs="宋体"/>
              </w:rPr>
              <w:t>企业负责人</w:t>
            </w:r>
          </w:p>
        </w:tc>
        <w:tc>
          <w:tcPr>
            <w:tcW w:w="3260" w:type="dxa"/>
            <w:gridSpan w:val="2"/>
            <w:noWrap/>
          </w:tcPr>
          <w:p>
            <w:pPr>
              <w:tabs>
                <w:tab w:val="left" w:pos="1985"/>
              </w:tabs>
              <w:spacing w:line="360" w:lineRule="auto"/>
              <w:rPr>
                <w:rFonts w:ascii="宋体" w:hAnsi="宋体" w:cs="宋体"/>
              </w:rPr>
            </w:pPr>
          </w:p>
        </w:tc>
        <w:tc>
          <w:tcPr>
            <w:tcW w:w="1276" w:type="dxa"/>
            <w:gridSpan w:val="2"/>
            <w:noWrap/>
          </w:tcPr>
          <w:p>
            <w:pPr>
              <w:tabs>
                <w:tab w:val="left" w:pos="1985"/>
              </w:tabs>
              <w:spacing w:line="360" w:lineRule="auto"/>
              <w:rPr>
                <w:rFonts w:ascii="宋体" w:hAnsi="宋体" w:cs="宋体"/>
              </w:rPr>
            </w:pPr>
            <w:r>
              <w:rPr>
                <w:rFonts w:hint="eastAsia" w:ascii="宋体" w:hAnsi="宋体" w:cs="宋体"/>
              </w:rPr>
              <w:t>职务</w:t>
            </w:r>
          </w:p>
        </w:tc>
        <w:tc>
          <w:tcPr>
            <w:tcW w:w="2586" w:type="dxa"/>
            <w:gridSpan w:val="2"/>
            <w:noWrap/>
          </w:tcPr>
          <w:p>
            <w:pPr>
              <w:tabs>
                <w:tab w:val="left" w:pos="1985"/>
              </w:tabs>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83" w:type="dxa"/>
            <w:noWrap/>
          </w:tcPr>
          <w:p>
            <w:pPr>
              <w:tabs>
                <w:tab w:val="left" w:pos="1985"/>
              </w:tabs>
              <w:spacing w:line="360" w:lineRule="auto"/>
              <w:rPr>
                <w:rFonts w:ascii="宋体" w:hAnsi="宋体" w:cs="宋体"/>
              </w:rPr>
            </w:pPr>
            <w:r>
              <w:rPr>
                <w:rFonts w:hint="eastAsia" w:ascii="宋体" w:hAnsi="宋体" w:cs="宋体"/>
              </w:rPr>
              <w:t>授权代表</w:t>
            </w:r>
          </w:p>
        </w:tc>
        <w:tc>
          <w:tcPr>
            <w:tcW w:w="3260" w:type="dxa"/>
            <w:gridSpan w:val="2"/>
            <w:noWrap/>
          </w:tcPr>
          <w:p>
            <w:pPr>
              <w:tabs>
                <w:tab w:val="left" w:pos="1985"/>
              </w:tabs>
              <w:spacing w:line="360" w:lineRule="auto"/>
              <w:rPr>
                <w:rFonts w:ascii="宋体" w:hAnsi="宋体" w:cs="宋体"/>
              </w:rPr>
            </w:pPr>
          </w:p>
        </w:tc>
        <w:tc>
          <w:tcPr>
            <w:tcW w:w="1276" w:type="dxa"/>
            <w:gridSpan w:val="2"/>
            <w:noWrap/>
          </w:tcPr>
          <w:p>
            <w:pPr>
              <w:tabs>
                <w:tab w:val="left" w:pos="1985"/>
              </w:tabs>
              <w:spacing w:line="360" w:lineRule="auto"/>
              <w:rPr>
                <w:rFonts w:ascii="宋体" w:hAnsi="宋体" w:cs="宋体"/>
              </w:rPr>
            </w:pPr>
            <w:r>
              <w:rPr>
                <w:rFonts w:hint="eastAsia" w:ascii="宋体" w:hAnsi="宋体" w:cs="宋体"/>
              </w:rPr>
              <w:t>职务</w:t>
            </w:r>
          </w:p>
        </w:tc>
        <w:tc>
          <w:tcPr>
            <w:tcW w:w="2586" w:type="dxa"/>
            <w:gridSpan w:val="2"/>
            <w:noWrap/>
          </w:tcPr>
          <w:p>
            <w:pPr>
              <w:tabs>
                <w:tab w:val="left" w:pos="1985"/>
              </w:tabs>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383" w:type="dxa"/>
            <w:noWrap/>
            <w:vAlign w:val="center"/>
          </w:tcPr>
          <w:p>
            <w:pPr>
              <w:tabs>
                <w:tab w:val="left" w:pos="1985"/>
              </w:tabs>
              <w:spacing w:line="360" w:lineRule="auto"/>
              <w:rPr>
                <w:rFonts w:ascii="宋体" w:hAnsi="宋体" w:cs="宋体"/>
              </w:rPr>
            </w:pPr>
            <w:r>
              <w:rPr>
                <w:rFonts w:hint="eastAsia" w:ascii="宋体" w:hAnsi="宋体" w:cs="宋体"/>
              </w:rPr>
              <w:t>单位简介</w:t>
            </w:r>
          </w:p>
          <w:p>
            <w:pPr>
              <w:tabs>
                <w:tab w:val="left" w:pos="1985"/>
              </w:tabs>
              <w:spacing w:line="360" w:lineRule="auto"/>
              <w:rPr>
                <w:rFonts w:ascii="宋体" w:hAnsi="宋体" w:cs="宋体"/>
              </w:rPr>
            </w:pPr>
            <w:r>
              <w:rPr>
                <w:rFonts w:hint="eastAsia" w:ascii="宋体" w:hAnsi="宋体" w:cs="宋体"/>
              </w:rPr>
              <w:t>及机构</w:t>
            </w:r>
          </w:p>
        </w:tc>
        <w:tc>
          <w:tcPr>
            <w:tcW w:w="7122" w:type="dxa"/>
            <w:gridSpan w:val="6"/>
            <w:noWrap/>
            <w:vAlign w:val="center"/>
          </w:tcPr>
          <w:p>
            <w:pPr>
              <w:tabs>
                <w:tab w:val="left" w:pos="1985"/>
              </w:tabs>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383" w:type="dxa"/>
            <w:noWrap/>
            <w:vAlign w:val="center"/>
          </w:tcPr>
          <w:p>
            <w:pPr>
              <w:tabs>
                <w:tab w:val="left" w:pos="1985"/>
              </w:tabs>
              <w:spacing w:line="360" w:lineRule="auto"/>
              <w:rPr>
                <w:rFonts w:ascii="宋体" w:hAnsi="宋体" w:cs="宋体"/>
              </w:rPr>
            </w:pPr>
            <w:r>
              <w:rPr>
                <w:rFonts w:hint="eastAsia" w:ascii="宋体" w:hAnsi="宋体" w:cs="宋体"/>
              </w:rPr>
              <w:t>单位优势</w:t>
            </w:r>
          </w:p>
          <w:p>
            <w:pPr>
              <w:tabs>
                <w:tab w:val="left" w:pos="1985"/>
              </w:tabs>
              <w:spacing w:line="360" w:lineRule="auto"/>
              <w:rPr>
                <w:rFonts w:ascii="宋体" w:hAnsi="宋体" w:cs="宋体"/>
              </w:rPr>
            </w:pPr>
            <w:r>
              <w:rPr>
                <w:rFonts w:hint="eastAsia" w:ascii="宋体" w:hAnsi="宋体" w:cs="宋体"/>
              </w:rPr>
              <w:t>及特长</w:t>
            </w:r>
          </w:p>
        </w:tc>
        <w:tc>
          <w:tcPr>
            <w:tcW w:w="7122" w:type="dxa"/>
            <w:gridSpan w:val="6"/>
            <w:noWrap/>
            <w:vAlign w:val="center"/>
          </w:tcPr>
          <w:p>
            <w:pPr>
              <w:tabs>
                <w:tab w:val="left" w:pos="1985"/>
              </w:tabs>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1383" w:type="dxa"/>
            <w:vMerge w:val="restart"/>
            <w:noWrap/>
            <w:vAlign w:val="center"/>
          </w:tcPr>
          <w:p>
            <w:pPr>
              <w:tabs>
                <w:tab w:val="left" w:pos="1985"/>
              </w:tabs>
              <w:spacing w:line="360" w:lineRule="auto"/>
              <w:rPr>
                <w:rFonts w:ascii="宋体" w:hAnsi="宋体" w:cs="宋体"/>
              </w:rPr>
            </w:pPr>
            <w:r>
              <w:rPr>
                <w:rFonts w:hint="eastAsia" w:ascii="宋体" w:hAnsi="宋体" w:cs="宋体"/>
              </w:rPr>
              <w:t>单位概况</w:t>
            </w:r>
          </w:p>
        </w:tc>
        <w:tc>
          <w:tcPr>
            <w:tcW w:w="1135" w:type="dxa"/>
            <w:vMerge w:val="restart"/>
            <w:noWrap/>
          </w:tcPr>
          <w:p>
            <w:pPr>
              <w:tabs>
                <w:tab w:val="left" w:pos="1985"/>
              </w:tabs>
              <w:spacing w:line="360" w:lineRule="auto"/>
              <w:rPr>
                <w:rFonts w:ascii="宋体" w:hAnsi="宋体" w:cs="宋体"/>
              </w:rPr>
            </w:pPr>
            <w:r>
              <w:rPr>
                <w:rFonts w:hint="eastAsia" w:ascii="宋体" w:hAnsi="宋体" w:cs="宋体"/>
              </w:rPr>
              <w:t>职工总数</w:t>
            </w:r>
          </w:p>
        </w:tc>
        <w:tc>
          <w:tcPr>
            <w:tcW w:w="2125" w:type="dxa"/>
            <w:vMerge w:val="restart"/>
            <w:noWrap/>
          </w:tcPr>
          <w:p>
            <w:pPr>
              <w:tabs>
                <w:tab w:val="left" w:pos="1985"/>
              </w:tabs>
              <w:spacing w:line="360" w:lineRule="auto"/>
              <w:ind w:firstLine="1470" w:firstLineChars="700"/>
              <w:rPr>
                <w:rFonts w:ascii="宋体" w:hAnsi="宋体" w:cs="宋体"/>
              </w:rPr>
            </w:pPr>
          </w:p>
        </w:tc>
        <w:tc>
          <w:tcPr>
            <w:tcW w:w="3862" w:type="dxa"/>
            <w:gridSpan w:val="4"/>
            <w:vMerge w:val="restart"/>
            <w:noWrap/>
          </w:tcPr>
          <w:p>
            <w:pPr>
              <w:tabs>
                <w:tab w:val="left" w:pos="1985"/>
              </w:tabs>
              <w:spacing w:line="360" w:lineRule="auto"/>
              <w:rPr>
                <w:rFonts w:ascii="宋体" w:hAnsi="宋体" w:cs="宋体"/>
              </w:rPr>
            </w:pPr>
            <w:r>
              <w:rPr>
                <w:rFonts w:hint="eastAsia" w:ascii="宋体" w:hAnsi="宋体" w:cs="宋体"/>
              </w:rPr>
              <w:t>各人员构成情况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1383" w:type="dxa"/>
            <w:vMerge w:val="continue"/>
            <w:noWrap/>
            <w:vAlign w:val="center"/>
          </w:tcPr>
          <w:p>
            <w:pPr>
              <w:spacing w:line="360" w:lineRule="auto"/>
              <w:rPr>
                <w:rFonts w:ascii="宋体" w:hAnsi="宋体" w:cs="宋体"/>
                <w:sz w:val="20"/>
                <w:szCs w:val="20"/>
              </w:rPr>
            </w:pPr>
          </w:p>
        </w:tc>
        <w:tc>
          <w:tcPr>
            <w:tcW w:w="1135" w:type="dxa"/>
            <w:vMerge w:val="continue"/>
            <w:noWrap/>
          </w:tcPr>
          <w:p>
            <w:pPr>
              <w:spacing w:line="360" w:lineRule="auto"/>
              <w:rPr>
                <w:rFonts w:ascii="宋体" w:hAnsi="宋体" w:cs="宋体"/>
                <w:sz w:val="20"/>
                <w:szCs w:val="20"/>
              </w:rPr>
            </w:pPr>
          </w:p>
        </w:tc>
        <w:tc>
          <w:tcPr>
            <w:tcW w:w="2125" w:type="dxa"/>
            <w:vMerge w:val="continue"/>
            <w:noWrap/>
          </w:tcPr>
          <w:p>
            <w:pPr>
              <w:spacing w:line="360" w:lineRule="auto"/>
              <w:rPr>
                <w:rFonts w:ascii="宋体" w:hAnsi="宋体" w:cs="宋体"/>
                <w:sz w:val="20"/>
                <w:szCs w:val="20"/>
              </w:rPr>
            </w:pPr>
          </w:p>
        </w:tc>
        <w:tc>
          <w:tcPr>
            <w:tcW w:w="3862" w:type="dxa"/>
            <w:gridSpan w:val="4"/>
            <w:vMerge w:val="continue"/>
            <w:noWrap/>
          </w:tcPr>
          <w:p>
            <w:pPr>
              <w:spacing w:line="360" w:lineRule="auto"/>
              <w:rPr>
                <w:rFonts w:ascii="宋体" w:hAnsi="宋体" w:cs="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trPr>
        <w:tc>
          <w:tcPr>
            <w:tcW w:w="1383" w:type="dxa"/>
            <w:vMerge w:val="continue"/>
            <w:noWrap/>
            <w:vAlign w:val="center"/>
          </w:tcPr>
          <w:p>
            <w:pPr>
              <w:spacing w:line="360" w:lineRule="auto"/>
              <w:rPr>
                <w:rFonts w:ascii="宋体" w:hAnsi="宋体" w:cs="宋体"/>
                <w:sz w:val="20"/>
                <w:szCs w:val="20"/>
              </w:rPr>
            </w:pPr>
          </w:p>
        </w:tc>
        <w:tc>
          <w:tcPr>
            <w:tcW w:w="1135" w:type="dxa"/>
            <w:vMerge w:val="restart"/>
            <w:noWrap/>
          </w:tcPr>
          <w:p>
            <w:pPr>
              <w:tabs>
                <w:tab w:val="left" w:pos="1985"/>
              </w:tabs>
              <w:spacing w:line="360" w:lineRule="auto"/>
              <w:rPr>
                <w:rFonts w:ascii="宋体" w:hAnsi="宋体" w:cs="宋体"/>
              </w:rPr>
            </w:pPr>
            <w:r>
              <w:rPr>
                <w:rFonts w:hint="eastAsia" w:ascii="宋体" w:hAnsi="宋体" w:cs="宋体"/>
              </w:rPr>
              <w:t>流动资金</w:t>
            </w:r>
          </w:p>
        </w:tc>
        <w:tc>
          <w:tcPr>
            <w:tcW w:w="2125" w:type="dxa"/>
            <w:vMerge w:val="restart"/>
            <w:noWrap/>
          </w:tcPr>
          <w:p>
            <w:pPr>
              <w:tabs>
                <w:tab w:val="left" w:pos="1985"/>
              </w:tabs>
              <w:spacing w:line="360" w:lineRule="auto"/>
              <w:jc w:val="right"/>
              <w:rPr>
                <w:rFonts w:ascii="宋体" w:hAnsi="宋体" w:cs="宋体"/>
              </w:rPr>
            </w:pPr>
          </w:p>
          <w:p>
            <w:pPr>
              <w:tabs>
                <w:tab w:val="left" w:pos="1985"/>
              </w:tabs>
              <w:spacing w:line="360" w:lineRule="auto"/>
              <w:ind w:firstLine="630" w:firstLineChars="300"/>
              <w:jc w:val="right"/>
              <w:rPr>
                <w:rFonts w:ascii="宋体" w:hAnsi="宋体" w:cs="宋体"/>
              </w:rPr>
            </w:pPr>
            <w:r>
              <w:rPr>
                <w:rFonts w:hint="eastAsia" w:ascii="宋体" w:hAnsi="宋体" w:cs="宋体"/>
              </w:rPr>
              <w:t>万元</w:t>
            </w:r>
          </w:p>
        </w:tc>
        <w:tc>
          <w:tcPr>
            <w:tcW w:w="992" w:type="dxa"/>
            <w:vMerge w:val="restart"/>
            <w:noWrap/>
          </w:tcPr>
          <w:p>
            <w:pPr>
              <w:tabs>
                <w:tab w:val="left" w:pos="1985"/>
              </w:tabs>
              <w:spacing w:line="360" w:lineRule="auto"/>
              <w:rPr>
                <w:rFonts w:ascii="宋体" w:hAnsi="宋体" w:cs="宋体"/>
              </w:rPr>
            </w:pPr>
            <w:r>
              <w:rPr>
                <w:rFonts w:hint="eastAsia" w:ascii="宋体" w:hAnsi="宋体" w:cs="宋体"/>
              </w:rPr>
              <w:t>资金来源</w:t>
            </w:r>
          </w:p>
        </w:tc>
        <w:tc>
          <w:tcPr>
            <w:tcW w:w="1384" w:type="dxa"/>
            <w:gridSpan w:val="2"/>
            <w:noWrap/>
            <w:vAlign w:val="center"/>
          </w:tcPr>
          <w:p>
            <w:pPr>
              <w:tabs>
                <w:tab w:val="left" w:pos="1985"/>
              </w:tabs>
              <w:spacing w:line="360" w:lineRule="auto"/>
              <w:rPr>
                <w:rFonts w:ascii="宋体" w:hAnsi="宋体" w:cs="宋体"/>
              </w:rPr>
            </w:pPr>
            <w:r>
              <w:rPr>
                <w:rFonts w:hint="eastAsia" w:ascii="宋体" w:hAnsi="宋体" w:cs="宋体"/>
              </w:rPr>
              <w:t>自有资金</w:t>
            </w:r>
          </w:p>
        </w:tc>
        <w:tc>
          <w:tcPr>
            <w:tcW w:w="1486" w:type="dxa"/>
            <w:noWrap/>
            <w:vAlign w:val="center"/>
          </w:tcPr>
          <w:p>
            <w:pPr>
              <w:tabs>
                <w:tab w:val="left" w:pos="1985"/>
              </w:tabs>
              <w:spacing w:line="360" w:lineRule="auto"/>
              <w:rPr>
                <w:rFonts w:ascii="宋体" w:hAnsi="宋体" w:cs="宋体"/>
              </w:rPr>
            </w:pPr>
            <w:r>
              <w:rPr>
                <w:rFonts w:hint="eastAsia" w:ascii="宋体" w:hAnsi="宋体" w:cs="宋体"/>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1" w:hRule="atLeast"/>
        </w:trPr>
        <w:tc>
          <w:tcPr>
            <w:tcW w:w="1383" w:type="dxa"/>
            <w:vMerge w:val="continue"/>
            <w:noWrap/>
            <w:vAlign w:val="center"/>
          </w:tcPr>
          <w:p>
            <w:pPr>
              <w:spacing w:line="360" w:lineRule="auto"/>
              <w:rPr>
                <w:rFonts w:ascii="宋体" w:hAnsi="宋体" w:cs="宋体"/>
                <w:sz w:val="20"/>
                <w:szCs w:val="20"/>
              </w:rPr>
            </w:pPr>
          </w:p>
        </w:tc>
        <w:tc>
          <w:tcPr>
            <w:tcW w:w="1135" w:type="dxa"/>
            <w:vMerge w:val="continue"/>
            <w:noWrap/>
          </w:tcPr>
          <w:p>
            <w:pPr>
              <w:spacing w:line="360" w:lineRule="auto"/>
              <w:rPr>
                <w:rFonts w:ascii="宋体" w:hAnsi="宋体" w:cs="宋体"/>
                <w:sz w:val="20"/>
                <w:szCs w:val="20"/>
              </w:rPr>
            </w:pPr>
          </w:p>
        </w:tc>
        <w:tc>
          <w:tcPr>
            <w:tcW w:w="2125" w:type="dxa"/>
            <w:vMerge w:val="continue"/>
            <w:noWrap/>
          </w:tcPr>
          <w:p>
            <w:pPr>
              <w:spacing w:line="360" w:lineRule="auto"/>
              <w:rPr>
                <w:rFonts w:ascii="宋体" w:hAnsi="宋体" w:cs="宋体"/>
                <w:sz w:val="20"/>
                <w:szCs w:val="20"/>
              </w:rPr>
            </w:pPr>
          </w:p>
        </w:tc>
        <w:tc>
          <w:tcPr>
            <w:tcW w:w="992" w:type="dxa"/>
            <w:vMerge w:val="continue"/>
            <w:noWrap/>
          </w:tcPr>
          <w:p>
            <w:pPr>
              <w:spacing w:line="360" w:lineRule="auto"/>
              <w:rPr>
                <w:rFonts w:ascii="宋体" w:hAnsi="宋体" w:cs="宋体"/>
                <w:sz w:val="20"/>
                <w:szCs w:val="20"/>
              </w:rPr>
            </w:pPr>
          </w:p>
        </w:tc>
        <w:tc>
          <w:tcPr>
            <w:tcW w:w="1384" w:type="dxa"/>
            <w:gridSpan w:val="2"/>
            <w:noWrap/>
          </w:tcPr>
          <w:p>
            <w:pPr>
              <w:tabs>
                <w:tab w:val="left" w:pos="1985"/>
              </w:tabs>
              <w:spacing w:line="360" w:lineRule="auto"/>
              <w:rPr>
                <w:rFonts w:ascii="宋体" w:hAnsi="宋体" w:cs="宋体"/>
              </w:rPr>
            </w:pPr>
            <w:r>
              <w:rPr>
                <w:rFonts w:hint="eastAsia" w:ascii="宋体" w:hAnsi="宋体" w:cs="宋体"/>
              </w:rPr>
              <w:t>银行贷款</w:t>
            </w:r>
          </w:p>
        </w:tc>
        <w:tc>
          <w:tcPr>
            <w:tcW w:w="1486" w:type="dxa"/>
            <w:noWrap/>
          </w:tcPr>
          <w:p>
            <w:pPr>
              <w:tabs>
                <w:tab w:val="left" w:pos="1985"/>
              </w:tabs>
              <w:spacing w:line="360" w:lineRule="auto"/>
              <w:ind w:firstLine="210" w:firstLineChars="100"/>
              <w:rPr>
                <w:rFonts w:ascii="宋体" w:hAnsi="宋体" w:cs="宋体"/>
              </w:rPr>
            </w:pPr>
            <w:r>
              <w:rPr>
                <w:rFonts w:hint="eastAsia" w:ascii="宋体" w:hAnsi="宋体" w:cs="宋体"/>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1383" w:type="dxa"/>
            <w:vMerge w:val="continue"/>
            <w:noWrap/>
            <w:vAlign w:val="center"/>
          </w:tcPr>
          <w:p>
            <w:pPr>
              <w:spacing w:line="360" w:lineRule="auto"/>
              <w:rPr>
                <w:rFonts w:ascii="宋体" w:hAnsi="宋体" w:cs="宋体"/>
                <w:sz w:val="20"/>
                <w:szCs w:val="20"/>
              </w:rPr>
            </w:pPr>
          </w:p>
        </w:tc>
        <w:tc>
          <w:tcPr>
            <w:tcW w:w="1135" w:type="dxa"/>
            <w:vMerge w:val="restart"/>
            <w:noWrap/>
          </w:tcPr>
          <w:p>
            <w:pPr>
              <w:tabs>
                <w:tab w:val="left" w:pos="1985"/>
              </w:tabs>
              <w:spacing w:line="360" w:lineRule="auto"/>
              <w:rPr>
                <w:rFonts w:ascii="宋体" w:hAnsi="宋体" w:cs="宋体"/>
              </w:rPr>
            </w:pPr>
            <w:r>
              <w:rPr>
                <w:rFonts w:hint="eastAsia" w:ascii="宋体" w:hAnsi="宋体" w:cs="宋体"/>
              </w:rPr>
              <w:t>固定资产</w:t>
            </w:r>
          </w:p>
        </w:tc>
        <w:tc>
          <w:tcPr>
            <w:tcW w:w="2125" w:type="dxa"/>
            <w:vMerge w:val="restart"/>
            <w:noWrap/>
          </w:tcPr>
          <w:p>
            <w:pPr>
              <w:tabs>
                <w:tab w:val="left" w:pos="1985"/>
              </w:tabs>
              <w:spacing w:line="360" w:lineRule="auto"/>
              <w:jc w:val="right"/>
              <w:rPr>
                <w:rFonts w:ascii="宋体" w:hAnsi="宋体" w:cs="宋体"/>
              </w:rPr>
            </w:pPr>
            <w:r>
              <w:rPr>
                <w:rFonts w:hint="eastAsia" w:ascii="宋体" w:hAnsi="宋体" w:cs="宋体"/>
              </w:rPr>
              <w:t>原值万元</w:t>
            </w:r>
          </w:p>
          <w:p>
            <w:pPr>
              <w:tabs>
                <w:tab w:val="left" w:pos="1985"/>
              </w:tabs>
              <w:spacing w:line="360" w:lineRule="auto"/>
              <w:jc w:val="right"/>
              <w:rPr>
                <w:rFonts w:ascii="宋体" w:hAnsi="宋体" w:cs="宋体"/>
              </w:rPr>
            </w:pPr>
            <w:r>
              <w:rPr>
                <w:rFonts w:hint="eastAsia" w:ascii="宋体" w:hAnsi="宋体" w:cs="宋体"/>
              </w:rPr>
              <w:t>净值万元</w:t>
            </w:r>
          </w:p>
        </w:tc>
        <w:tc>
          <w:tcPr>
            <w:tcW w:w="992" w:type="dxa"/>
            <w:vMerge w:val="restart"/>
            <w:noWrap/>
          </w:tcPr>
          <w:p>
            <w:pPr>
              <w:tabs>
                <w:tab w:val="left" w:pos="1985"/>
              </w:tabs>
              <w:spacing w:line="360" w:lineRule="auto"/>
              <w:rPr>
                <w:rFonts w:ascii="宋体" w:hAnsi="宋体" w:cs="宋体"/>
              </w:rPr>
            </w:pPr>
            <w:r>
              <w:rPr>
                <w:rFonts w:hint="eastAsia" w:ascii="宋体" w:hAnsi="宋体" w:cs="宋体"/>
              </w:rPr>
              <w:t>资金性质</w:t>
            </w:r>
          </w:p>
        </w:tc>
        <w:tc>
          <w:tcPr>
            <w:tcW w:w="1384" w:type="dxa"/>
            <w:gridSpan w:val="2"/>
            <w:noWrap/>
          </w:tcPr>
          <w:p>
            <w:pPr>
              <w:tabs>
                <w:tab w:val="left" w:pos="1985"/>
              </w:tabs>
              <w:spacing w:line="360" w:lineRule="auto"/>
              <w:rPr>
                <w:rFonts w:ascii="宋体" w:hAnsi="宋体" w:cs="宋体"/>
              </w:rPr>
            </w:pPr>
            <w:r>
              <w:rPr>
                <w:rFonts w:hint="eastAsia" w:ascii="宋体" w:hAnsi="宋体" w:cs="宋体"/>
              </w:rPr>
              <w:t>生产性</w:t>
            </w:r>
          </w:p>
        </w:tc>
        <w:tc>
          <w:tcPr>
            <w:tcW w:w="1486" w:type="dxa"/>
            <w:noWrap/>
          </w:tcPr>
          <w:p>
            <w:pPr>
              <w:tabs>
                <w:tab w:val="left" w:pos="1985"/>
              </w:tabs>
              <w:spacing w:line="360" w:lineRule="auto"/>
              <w:ind w:left="210" w:hanging="210" w:hangingChars="100"/>
              <w:rPr>
                <w:rFonts w:ascii="宋体" w:hAnsi="宋体" w:cs="宋体"/>
              </w:rPr>
            </w:pPr>
            <w:r>
              <w:rPr>
                <w:rFonts w:hint="eastAsia" w:ascii="宋体" w:hAnsi="宋体" w:cs="宋体"/>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1383" w:type="dxa"/>
            <w:vMerge w:val="continue"/>
            <w:noWrap/>
            <w:vAlign w:val="center"/>
          </w:tcPr>
          <w:p>
            <w:pPr>
              <w:spacing w:line="360" w:lineRule="auto"/>
              <w:rPr>
                <w:rFonts w:ascii="宋体" w:hAnsi="宋体" w:cs="宋体"/>
                <w:sz w:val="20"/>
                <w:szCs w:val="20"/>
              </w:rPr>
            </w:pPr>
          </w:p>
        </w:tc>
        <w:tc>
          <w:tcPr>
            <w:tcW w:w="1135" w:type="dxa"/>
            <w:vMerge w:val="continue"/>
            <w:noWrap/>
          </w:tcPr>
          <w:p>
            <w:pPr>
              <w:spacing w:line="360" w:lineRule="auto"/>
              <w:rPr>
                <w:rFonts w:ascii="宋体" w:hAnsi="宋体" w:cs="宋体"/>
                <w:sz w:val="20"/>
                <w:szCs w:val="20"/>
              </w:rPr>
            </w:pPr>
          </w:p>
        </w:tc>
        <w:tc>
          <w:tcPr>
            <w:tcW w:w="2125" w:type="dxa"/>
            <w:vMerge w:val="continue"/>
            <w:noWrap/>
          </w:tcPr>
          <w:p>
            <w:pPr>
              <w:spacing w:line="360" w:lineRule="auto"/>
              <w:rPr>
                <w:rFonts w:ascii="宋体" w:hAnsi="宋体" w:cs="宋体"/>
                <w:sz w:val="20"/>
                <w:szCs w:val="20"/>
              </w:rPr>
            </w:pPr>
          </w:p>
        </w:tc>
        <w:tc>
          <w:tcPr>
            <w:tcW w:w="992" w:type="dxa"/>
            <w:vMerge w:val="continue"/>
            <w:noWrap/>
          </w:tcPr>
          <w:p>
            <w:pPr>
              <w:spacing w:line="360" w:lineRule="auto"/>
              <w:rPr>
                <w:rFonts w:ascii="宋体" w:hAnsi="宋体" w:cs="宋体"/>
                <w:sz w:val="20"/>
                <w:szCs w:val="20"/>
              </w:rPr>
            </w:pPr>
          </w:p>
        </w:tc>
        <w:tc>
          <w:tcPr>
            <w:tcW w:w="1384" w:type="dxa"/>
            <w:gridSpan w:val="2"/>
            <w:noWrap/>
          </w:tcPr>
          <w:p>
            <w:pPr>
              <w:tabs>
                <w:tab w:val="left" w:pos="1985"/>
              </w:tabs>
              <w:spacing w:line="360" w:lineRule="auto"/>
              <w:rPr>
                <w:rFonts w:ascii="宋体" w:hAnsi="宋体" w:cs="宋体"/>
              </w:rPr>
            </w:pPr>
            <w:r>
              <w:rPr>
                <w:rFonts w:hint="eastAsia" w:ascii="宋体" w:hAnsi="宋体" w:cs="宋体"/>
              </w:rPr>
              <w:t>非生产性</w:t>
            </w:r>
          </w:p>
        </w:tc>
        <w:tc>
          <w:tcPr>
            <w:tcW w:w="1486" w:type="dxa"/>
            <w:noWrap/>
          </w:tcPr>
          <w:p>
            <w:pPr>
              <w:tabs>
                <w:tab w:val="left" w:pos="1985"/>
              </w:tabs>
              <w:spacing w:line="360" w:lineRule="auto"/>
              <w:ind w:left="210" w:hanging="210" w:hangingChars="100"/>
              <w:rPr>
                <w:rFonts w:ascii="宋体" w:hAnsi="宋体" w:cs="宋体"/>
              </w:rPr>
            </w:pPr>
            <w:r>
              <w:rPr>
                <w:rFonts w:hint="eastAsia" w:ascii="宋体" w:hAnsi="宋体" w:cs="宋体"/>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1383" w:type="dxa"/>
            <w:vMerge w:val="restart"/>
            <w:noWrap/>
          </w:tcPr>
          <w:p>
            <w:pPr>
              <w:tabs>
                <w:tab w:val="left" w:pos="1985"/>
              </w:tabs>
              <w:spacing w:line="360" w:lineRule="auto"/>
              <w:rPr>
                <w:rFonts w:ascii="宋体" w:hAnsi="宋体" w:cs="宋体"/>
              </w:rPr>
            </w:pPr>
            <w:r>
              <w:rPr>
                <w:rFonts w:hint="eastAsia" w:ascii="宋体" w:hAnsi="宋体" w:cs="宋体"/>
              </w:rPr>
              <w:t>上一年主要经济指标</w:t>
            </w:r>
          </w:p>
        </w:tc>
        <w:tc>
          <w:tcPr>
            <w:tcW w:w="1135" w:type="dxa"/>
            <w:noWrap/>
            <w:vAlign w:val="center"/>
          </w:tcPr>
          <w:p>
            <w:pPr>
              <w:tabs>
                <w:tab w:val="left" w:pos="1985"/>
              </w:tabs>
              <w:spacing w:line="360" w:lineRule="auto"/>
              <w:rPr>
                <w:rFonts w:ascii="宋体" w:hAnsi="宋体" w:cs="宋体"/>
              </w:rPr>
            </w:pPr>
            <w:r>
              <w:rPr>
                <w:rFonts w:hint="eastAsia" w:ascii="宋体" w:hAnsi="宋体" w:cs="宋体"/>
              </w:rPr>
              <w:t>指标名称</w:t>
            </w:r>
          </w:p>
        </w:tc>
        <w:tc>
          <w:tcPr>
            <w:tcW w:w="2125" w:type="dxa"/>
            <w:noWrap/>
            <w:vAlign w:val="center"/>
          </w:tcPr>
          <w:p>
            <w:pPr>
              <w:tabs>
                <w:tab w:val="left" w:pos="1985"/>
              </w:tabs>
              <w:spacing w:line="360" w:lineRule="auto"/>
              <w:rPr>
                <w:rFonts w:ascii="宋体" w:hAnsi="宋体" w:cs="宋体"/>
              </w:rPr>
            </w:pPr>
          </w:p>
        </w:tc>
        <w:tc>
          <w:tcPr>
            <w:tcW w:w="992" w:type="dxa"/>
            <w:noWrap/>
            <w:vAlign w:val="center"/>
          </w:tcPr>
          <w:p>
            <w:pPr>
              <w:tabs>
                <w:tab w:val="left" w:pos="1985"/>
              </w:tabs>
              <w:spacing w:line="360" w:lineRule="auto"/>
              <w:rPr>
                <w:rFonts w:ascii="宋体" w:hAnsi="宋体" w:cs="宋体"/>
              </w:rPr>
            </w:pPr>
            <w:r>
              <w:rPr>
                <w:rFonts w:hint="eastAsia" w:ascii="宋体" w:hAnsi="宋体" w:cs="宋体"/>
              </w:rPr>
              <w:t>实际完成</w:t>
            </w:r>
          </w:p>
        </w:tc>
        <w:tc>
          <w:tcPr>
            <w:tcW w:w="2870" w:type="dxa"/>
            <w:gridSpan w:val="3"/>
            <w:noWrap/>
            <w:vAlign w:val="center"/>
          </w:tcPr>
          <w:p>
            <w:pPr>
              <w:tabs>
                <w:tab w:val="left" w:pos="1985"/>
              </w:tabs>
              <w:spacing w:line="360" w:lineRule="auto"/>
              <w:ind w:left="210" w:hanging="210" w:hangingChars="10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1383" w:type="dxa"/>
            <w:vMerge w:val="continue"/>
            <w:noWrap/>
          </w:tcPr>
          <w:p>
            <w:pPr>
              <w:spacing w:line="360" w:lineRule="auto"/>
              <w:rPr>
                <w:rFonts w:ascii="宋体" w:hAnsi="宋体" w:cs="宋体"/>
                <w:sz w:val="20"/>
                <w:szCs w:val="20"/>
              </w:rPr>
            </w:pPr>
          </w:p>
        </w:tc>
        <w:tc>
          <w:tcPr>
            <w:tcW w:w="1135" w:type="dxa"/>
            <w:noWrap/>
            <w:vAlign w:val="center"/>
          </w:tcPr>
          <w:p>
            <w:pPr>
              <w:tabs>
                <w:tab w:val="left" w:pos="1985"/>
              </w:tabs>
              <w:spacing w:line="360" w:lineRule="auto"/>
              <w:rPr>
                <w:rFonts w:ascii="宋体" w:hAnsi="宋体" w:cs="宋体"/>
              </w:rPr>
            </w:pPr>
            <w:r>
              <w:rPr>
                <w:rFonts w:hint="eastAsia" w:ascii="宋体" w:hAnsi="宋体" w:cs="宋体"/>
              </w:rPr>
              <w:t>总产值</w:t>
            </w:r>
          </w:p>
        </w:tc>
        <w:tc>
          <w:tcPr>
            <w:tcW w:w="2125" w:type="dxa"/>
            <w:noWrap/>
            <w:vAlign w:val="center"/>
          </w:tcPr>
          <w:p>
            <w:pPr>
              <w:tabs>
                <w:tab w:val="left" w:pos="1985"/>
              </w:tabs>
              <w:spacing w:line="360" w:lineRule="auto"/>
              <w:ind w:firstLine="630" w:firstLineChars="300"/>
              <w:jc w:val="right"/>
              <w:rPr>
                <w:rFonts w:ascii="宋体" w:hAnsi="宋体" w:cs="宋体"/>
              </w:rPr>
            </w:pPr>
            <w:r>
              <w:rPr>
                <w:rFonts w:hint="eastAsia" w:ascii="宋体" w:hAnsi="宋体" w:cs="宋体"/>
              </w:rPr>
              <w:t>万元</w:t>
            </w:r>
          </w:p>
        </w:tc>
        <w:tc>
          <w:tcPr>
            <w:tcW w:w="992" w:type="dxa"/>
            <w:noWrap/>
            <w:vAlign w:val="center"/>
          </w:tcPr>
          <w:p>
            <w:pPr>
              <w:tabs>
                <w:tab w:val="left" w:pos="1985"/>
              </w:tabs>
              <w:spacing w:line="360" w:lineRule="auto"/>
              <w:rPr>
                <w:rFonts w:ascii="宋体" w:hAnsi="宋体" w:cs="宋体"/>
              </w:rPr>
            </w:pPr>
            <w:r>
              <w:rPr>
                <w:rFonts w:hint="eastAsia" w:ascii="宋体" w:hAnsi="宋体" w:cs="宋体"/>
              </w:rPr>
              <w:t>总产值</w:t>
            </w:r>
          </w:p>
        </w:tc>
        <w:tc>
          <w:tcPr>
            <w:tcW w:w="2870" w:type="dxa"/>
            <w:gridSpan w:val="3"/>
            <w:noWrap/>
            <w:vAlign w:val="center"/>
          </w:tcPr>
          <w:p>
            <w:pPr>
              <w:tabs>
                <w:tab w:val="left" w:pos="1985"/>
              </w:tabs>
              <w:spacing w:line="360" w:lineRule="auto"/>
              <w:ind w:left="210" w:hanging="210" w:hangingChars="100"/>
              <w:rPr>
                <w:rFonts w:ascii="宋体" w:hAnsi="宋体" w:cs="宋体"/>
              </w:rPr>
            </w:pPr>
            <w:r>
              <w:rPr>
                <w:rFonts w:hint="eastAsia" w:ascii="宋体" w:hAnsi="宋体" w:cs="宋体"/>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1383" w:type="dxa"/>
            <w:vMerge w:val="continue"/>
            <w:noWrap/>
          </w:tcPr>
          <w:p>
            <w:pPr>
              <w:spacing w:line="360" w:lineRule="auto"/>
              <w:rPr>
                <w:rFonts w:ascii="宋体" w:hAnsi="宋体" w:cs="宋体"/>
                <w:sz w:val="20"/>
                <w:szCs w:val="20"/>
              </w:rPr>
            </w:pPr>
          </w:p>
        </w:tc>
        <w:tc>
          <w:tcPr>
            <w:tcW w:w="1135" w:type="dxa"/>
            <w:noWrap/>
            <w:vAlign w:val="center"/>
          </w:tcPr>
          <w:p>
            <w:pPr>
              <w:tabs>
                <w:tab w:val="left" w:pos="1985"/>
              </w:tabs>
              <w:spacing w:line="360" w:lineRule="auto"/>
              <w:rPr>
                <w:rFonts w:ascii="宋体" w:hAnsi="宋体" w:cs="宋体"/>
              </w:rPr>
            </w:pPr>
            <w:r>
              <w:rPr>
                <w:rFonts w:hint="eastAsia" w:ascii="宋体" w:hAnsi="宋体" w:cs="宋体"/>
              </w:rPr>
              <w:t>实现利润</w:t>
            </w:r>
          </w:p>
        </w:tc>
        <w:tc>
          <w:tcPr>
            <w:tcW w:w="2125" w:type="dxa"/>
            <w:noWrap/>
            <w:vAlign w:val="center"/>
          </w:tcPr>
          <w:p>
            <w:pPr>
              <w:tabs>
                <w:tab w:val="left" w:pos="1985"/>
              </w:tabs>
              <w:spacing w:line="360" w:lineRule="auto"/>
              <w:ind w:firstLine="630" w:firstLineChars="300"/>
              <w:jc w:val="right"/>
              <w:rPr>
                <w:rFonts w:ascii="宋体" w:hAnsi="宋体" w:cs="宋体"/>
              </w:rPr>
            </w:pPr>
            <w:r>
              <w:rPr>
                <w:rFonts w:hint="eastAsia" w:ascii="宋体" w:hAnsi="宋体" w:cs="宋体"/>
              </w:rPr>
              <w:t>万元</w:t>
            </w:r>
          </w:p>
        </w:tc>
        <w:tc>
          <w:tcPr>
            <w:tcW w:w="992" w:type="dxa"/>
            <w:noWrap/>
            <w:vAlign w:val="center"/>
          </w:tcPr>
          <w:p>
            <w:pPr>
              <w:tabs>
                <w:tab w:val="left" w:pos="1985"/>
              </w:tabs>
              <w:spacing w:line="360" w:lineRule="auto"/>
              <w:rPr>
                <w:rFonts w:ascii="宋体" w:hAnsi="宋体" w:cs="宋体"/>
              </w:rPr>
            </w:pPr>
            <w:r>
              <w:rPr>
                <w:rFonts w:hint="eastAsia" w:ascii="宋体" w:hAnsi="宋体" w:cs="宋体"/>
              </w:rPr>
              <w:t>实现利润</w:t>
            </w:r>
          </w:p>
        </w:tc>
        <w:tc>
          <w:tcPr>
            <w:tcW w:w="2870" w:type="dxa"/>
            <w:gridSpan w:val="3"/>
            <w:noWrap/>
            <w:vAlign w:val="center"/>
          </w:tcPr>
          <w:p>
            <w:pPr>
              <w:tabs>
                <w:tab w:val="left" w:pos="1985"/>
              </w:tabs>
              <w:spacing w:line="360" w:lineRule="auto"/>
              <w:ind w:left="210" w:hanging="210" w:hangingChars="100"/>
              <w:rPr>
                <w:rFonts w:ascii="宋体" w:hAnsi="宋体" w:cs="宋体"/>
              </w:rPr>
            </w:pPr>
            <w:r>
              <w:rPr>
                <w:rFonts w:hint="eastAsia" w:ascii="宋体" w:hAnsi="宋体" w:cs="宋体"/>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5" w:hRule="atLeast"/>
        </w:trPr>
        <w:tc>
          <w:tcPr>
            <w:tcW w:w="1383" w:type="dxa"/>
            <w:vMerge w:val="continue"/>
            <w:noWrap/>
          </w:tcPr>
          <w:p>
            <w:pPr>
              <w:spacing w:line="360" w:lineRule="auto"/>
              <w:rPr>
                <w:rFonts w:ascii="宋体" w:hAnsi="宋体" w:cs="宋体"/>
                <w:sz w:val="20"/>
                <w:szCs w:val="20"/>
              </w:rPr>
            </w:pPr>
          </w:p>
        </w:tc>
        <w:tc>
          <w:tcPr>
            <w:tcW w:w="1135" w:type="dxa"/>
            <w:noWrap/>
            <w:vAlign w:val="center"/>
          </w:tcPr>
          <w:p>
            <w:pPr>
              <w:tabs>
                <w:tab w:val="left" w:pos="1985"/>
              </w:tabs>
              <w:spacing w:line="360" w:lineRule="auto"/>
              <w:rPr>
                <w:rFonts w:ascii="宋体" w:hAnsi="宋体" w:cs="宋体"/>
              </w:rPr>
            </w:pPr>
            <w:r>
              <w:rPr>
                <w:rFonts w:hint="eastAsia" w:ascii="宋体" w:hAnsi="宋体" w:cs="宋体"/>
              </w:rPr>
              <w:t>主要业绩</w:t>
            </w:r>
          </w:p>
        </w:tc>
        <w:tc>
          <w:tcPr>
            <w:tcW w:w="5987" w:type="dxa"/>
            <w:gridSpan w:val="5"/>
            <w:noWrap/>
            <w:vAlign w:val="center"/>
          </w:tcPr>
          <w:p>
            <w:pPr>
              <w:tabs>
                <w:tab w:val="left" w:pos="1985"/>
              </w:tabs>
              <w:spacing w:line="360" w:lineRule="auto"/>
              <w:ind w:left="210" w:hanging="210" w:hangingChars="100"/>
              <w:rPr>
                <w:rFonts w:ascii="宋体" w:hAnsi="宋体" w:cs="宋体"/>
              </w:rPr>
            </w:pPr>
          </w:p>
        </w:tc>
      </w:tr>
    </w:tbl>
    <w:p>
      <w:pPr>
        <w:spacing w:line="360" w:lineRule="auto"/>
        <w:ind w:firstLine="230" w:firstLineChars="64"/>
        <w:jc w:val="center"/>
        <w:rPr>
          <w:rFonts w:ascii="宋体" w:hAnsi="宋体" w:cs="宋体"/>
          <w:b/>
          <w:sz w:val="36"/>
          <w:szCs w:val="36"/>
        </w:rPr>
      </w:pPr>
    </w:p>
    <w:p>
      <w:pPr>
        <w:spacing w:line="360" w:lineRule="auto"/>
        <w:jc w:val="center"/>
        <w:rPr>
          <w:rFonts w:ascii="宋体" w:hAnsi="宋体" w:cs="宋体"/>
          <w:b/>
          <w:bCs/>
          <w:sz w:val="36"/>
          <w:szCs w:val="36"/>
        </w:rPr>
      </w:pPr>
    </w:p>
    <w:p>
      <w:pPr>
        <w:numPr>
          <w:ilvl w:val="0"/>
          <w:numId w:val="5"/>
        </w:numPr>
        <w:adjustRightInd w:val="0"/>
        <w:snapToGrid w:val="0"/>
        <w:spacing w:line="360" w:lineRule="auto"/>
        <w:ind w:firstLine="709" w:firstLineChars="197"/>
        <w:rPr>
          <w:rFonts w:ascii="宋体" w:hAnsi="宋体" w:cs="宋体"/>
          <w:b/>
          <w:bCs/>
          <w:sz w:val="36"/>
          <w:szCs w:val="36"/>
        </w:rPr>
      </w:pPr>
      <w:r>
        <w:rPr>
          <w:rFonts w:hint="eastAsia" w:ascii="宋体" w:hAnsi="宋体" w:cs="宋体"/>
          <w:b/>
          <w:bCs/>
          <w:sz w:val="36"/>
          <w:szCs w:val="36"/>
        </w:rPr>
        <w:t>有效的营业执照（扫描件加盖投标人公章）</w:t>
      </w:r>
    </w:p>
    <w:p>
      <w:pPr>
        <w:adjustRightInd w:val="0"/>
        <w:snapToGrid w:val="0"/>
        <w:spacing w:line="360" w:lineRule="auto"/>
        <w:rPr>
          <w:rFonts w:ascii="宋体" w:hAnsi="宋体" w:cs="宋体"/>
          <w:sz w:val="28"/>
          <w:szCs w:val="28"/>
        </w:rPr>
      </w:pPr>
      <w:r>
        <w:rPr>
          <w:rFonts w:hint="eastAsia" w:ascii="宋体" w:hAnsi="宋体" w:cs="宋体"/>
          <w:sz w:val="28"/>
          <w:szCs w:val="28"/>
        </w:rPr>
        <w:t>事业单位的，则提供有效的《事业单位法人证书》（扫描件加盖投标人公章）；如分公司参与投标的，还须符合浙财采监〔2013〕24号《关于规范政府采购供应商资格设定及资格审查的通知》第六条规定提供相关材料。</w:t>
      </w:r>
    </w:p>
    <w:p>
      <w:pPr>
        <w:spacing w:line="360" w:lineRule="auto"/>
        <w:jc w:val="center"/>
        <w:rPr>
          <w:rFonts w:ascii="宋体" w:hAnsi="宋体" w:cs="宋体"/>
          <w:b/>
          <w:bCs/>
          <w:sz w:val="36"/>
          <w:szCs w:val="36"/>
        </w:rPr>
      </w:pPr>
      <w:r>
        <w:rPr>
          <w:rFonts w:hint="eastAsia" w:ascii="宋体" w:hAnsi="宋体" w:cs="宋体"/>
          <w:b/>
          <w:bCs/>
          <w:sz w:val="36"/>
          <w:szCs w:val="36"/>
        </w:rPr>
        <w:t>（4）无重大违法记录且具有良好商业信誉和健全的财务会计制度声明书</w:t>
      </w:r>
    </w:p>
    <w:p>
      <w:pPr>
        <w:spacing w:line="360" w:lineRule="auto"/>
        <w:jc w:val="center"/>
        <w:rPr>
          <w:rFonts w:ascii="宋体" w:hAnsi="宋体" w:cs="宋体"/>
          <w:bCs/>
          <w:sz w:val="30"/>
          <w:szCs w:val="30"/>
        </w:rPr>
      </w:pPr>
    </w:p>
    <w:p>
      <w:pPr>
        <w:spacing w:line="360" w:lineRule="auto"/>
        <w:ind w:right="-153" w:rightChars="-73"/>
        <w:rPr>
          <w:rFonts w:ascii="宋体" w:hAnsi="宋体" w:cs="宋体"/>
          <w:bCs/>
          <w:sz w:val="24"/>
        </w:rPr>
      </w:pPr>
      <w:r>
        <w:rPr>
          <w:rFonts w:hint="eastAsia" w:ascii="宋体" w:hAnsi="宋体" w:cs="宋体"/>
          <w:bCs/>
          <w:sz w:val="24"/>
        </w:rPr>
        <w:t>浙江五石中正工程咨询有限公司：</w:t>
      </w:r>
    </w:p>
    <w:p>
      <w:pPr>
        <w:spacing w:line="360" w:lineRule="auto"/>
        <w:ind w:firstLine="480" w:firstLineChars="200"/>
        <w:rPr>
          <w:rFonts w:ascii="宋体" w:hAnsi="宋体" w:cs="宋体"/>
          <w:bCs/>
          <w:sz w:val="24"/>
        </w:rPr>
      </w:pPr>
      <w:r>
        <w:rPr>
          <w:rFonts w:hint="eastAsia" w:ascii="宋体" w:hAnsi="宋体" w:cs="宋体"/>
          <w:bCs/>
          <w:sz w:val="24"/>
        </w:rPr>
        <w:t>本公司参与（项目名称、编号）投标，本公司郑重声明：</w:t>
      </w:r>
    </w:p>
    <w:p>
      <w:pPr>
        <w:spacing w:line="360" w:lineRule="auto"/>
        <w:ind w:firstLine="480" w:firstLineChars="200"/>
        <w:rPr>
          <w:rFonts w:ascii="宋体" w:hAnsi="宋体" w:cs="宋体"/>
          <w:bCs/>
          <w:sz w:val="24"/>
        </w:rPr>
      </w:pPr>
      <w:r>
        <w:rPr>
          <w:rFonts w:hint="eastAsia" w:ascii="宋体" w:hAnsi="宋体" w:cs="宋体"/>
          <w:bCs/>
          <w:sz w:val="24"/>
        </w:rPr>
        <w:t>1、我方参加本项目政府采购活动前三年内无重大违法记录；</w:t>
      </w:r>
    </w:p>
    <w:p>
      <w:pPr>
        <w:snapToGrid w:val="0"/>
        <w:spacing w:line="360" w:lineRule="auto"/>
        <w:ind w:firstLine="480"/>
        <w:rPr>
          <w:rFonts w:ascii="宋体" w:hAnsi="宋体" w:cs="宋体"/>
          <w:bCs/>
          <w:sz w:val="24"/>
        </w:rPr>
      </w:pPr>
      <w:r>
        <w:rPr>
          <w:rFonts w:hint="eastAsia" w:ascii="宋体" w:hAnsi="宋体" w:cs="宋体"/>
          <w:bCs/>
          <w:sz w:val="24"/>
        </w:rPr>
        <w:t>2、至投标截止时间，我方具有良好的商业信誉和健全的财务会计制度，不存在以下情形（包括但不限于）：根据招标文件规定的信用信息查询渠道及截止时间，经查询列入失信被执行人名单、重大税收违法案件当事人名单、政府采购</w:t>
      </w:r>
      <w:r>
        <w:rPr>
          <w:rFonts w:hint="eastAsia" w:ascii="宋体" w:hAnsi="宋体" w:cs="宋体"/>
          <w:bCs/>
          <w:sz w:val="24"/>
        </w:rPr>
        <w:tab/>
      </w:r>
      <w:r>
        <w:rPr>
          <w:rFonts w:hint="eastAsia" w:ascii="宋体" w:hAnsi="宋体" w:cs="宋体"/>
          <w:bCs/>
          <w:sz w:val="24"/>
        </w:rPr>
        <w:t>严重违法失信行为记录名单。否则，我方将承担在符合审查时不被通过的后果。</w:t>
      </w:r>
    </w:p>
    <w:p>
      <w:pPr>
        <w:spacing w:line="360" w:lineRule="auto"/>
        <w:ind w:firstLine="480" w:firstLineChars="200"/>
        <w:rPr>
          <w:rFonts w:ascii="宋体" w:hAnsi="宋体" w:cs="宋体"/>
          <w:bCs/>
          <w:sz w:val="24"/>
        </w:rPr>
      </w:pPr>
      <w:r>
        <w:rPr>
          <w:rFonts w:hint="eastAsia" w:ascii="宋体" w:hAnsi="宋体" w:cs="宋体"/>
          <w:bCs/>
          <w:sz w:val="24"/>
        </w:rPr>
        <w:t>如有虚假我公司将无条件退出本项目的投标，并承担因引起的一切后果。我方对此声明负全部法律责任。</w:t>
      </w:r>
    </w:p>
    <w:p>
      <w:pPr>
        <w:spacing w:line="360" w:lineRule="auto"/>
        <w:ind w:firstLine="480" w:firstLineChars="200"/>
        <w:rPr>
          <w:rFonts w:ascii="宋体" w:hAnsi="宋体" w:cs="宋体"/>
          <w:bCs/>
          <w:sz w:val="24"/>
        </w:rPr>
      </w:pPr>
      <w:r>
        <w:rPr>
          <w:rFonts w:hint="eastAsia" w:ascii="宋体" w:hAnsi="宋体" w:cs="宋体"/>
          <w:bCs/>
          <w:sz w:val="24"/>
        </w:rPr>
        <w:t>特此声明</w:t>
      </w:r>
    </w:p>
    <w:p>
      <w:pPr>
        <w:spacing w:line="360" w:lineRule="auto"/>
        <w:jc w:val="left"/>
        <w:rPr>
          <w:rFonts w:ascii="宋体" w:hAnsi="宋体" w:cs="宋体"/>
          <w:bCs/>
          <w:sz w:val="24"/>
        </w:rPr>
      </w:pPr>
    </w:p>
    <w:p>
      <w:pPr>
        <w:spacing w:line="360" w:lineRule="auto"/>
        <w:jc w:val="left"/>
        <w:rPr>
          <w:rFonts w:ascii="宋体" w:hAnsi="宋体" w:cs="宋体"/>
          <w:bCs/>
          <w:sz w:val="24"/>
        </w:rPr>
      </w:pPr>
      <w:r>
        <w:rPr>
          <w:rFonts w:hint="eastAsia" w:ascii="宋体" w:hAnsi="宋体" w:cs="宋体"/>
          <w:bCs/>
          <w:sz w:val="24"/>
        </w:rPr>
        <w:t>声明投标人全称（公章或CA章）：</w:t>
      </w:r>
    </w:p>
    <w:p>
      <w:pPr>
        <w:spacing w:line="360" w:lineRule="auto"/>
        <w:jc w:val="left"/>
        <w:rPr>
          <w:rFonts w:ascii="宋体" w:hAnsi="宋体" w:cs="宋体"/>
          <w:bCs/>
          <w:sz w:val="24"/>
        </w:rPr>
      </w:pPr>
      <w:r>
        <w:rPr>
          <w:rFonts w:hint="eastAsia" w:ascii="宋体" w:hAnsi="宋体" w:cs="宋体"/>
          <w:bCs/>
          <w:sz w:val="24"/>
        </w:rPr>
        <w:t>日期：年月日</w:t>
      </w:r>
    </w:p>
    <w:p>
      <w:pPr>
        <w:spacing w:line="360" w:lineRule="auto"/>
        <w:jc w:val="left"/>
        <w:rPr>
          <w:rFonts w:ascii="宋体" w:hAnsi="宋体" w:cs="宋体"/>
          <w:b/>
          <w:szCs w:val="21"/>
        </w:rPr>
      </w:pPr>
    </w:p>
    <w:p>
      <w:pPr>
        <w:spacing w:line="360" w:lineRule="auto"/>
        <w:jc w:val="left"/>
        <w:rPr>
          <w:rFonts w:ascii="宋体" w:hAnsi="宋体" w:cs="宋体"/>
          <w:b/>
          <w:bCs/>
          <w:szCs w:val="21"/>
        </w:rPr>
      </w:pPr>
      <w:r>
        <w:rPr>
          <w:rFonts w:hint="eastAsia" w:ascii="宋体" w:hAnsi="宋体" w:cs="宋体"/>
          <w:b/>
          <w:szCs w:val="21"/>
        </w:rPr>
        <w:t>附注：</w:t>
      </w:r>
    </w:p>
    <w:p>
      <w:pPr>
        <w:spacing w:line="360" w:lineRule="auto"/>
        <w:ind w:firstLine="420" w:firstLineChars="200"/>
        <w:rPr>
          <w:rFonts w:ascii="宋体" w:hAnsi="宋体" w:cs="宋体"/>
          <w:szCs w:val="21"/>
        </w:rPr>
      </w:pPr>
      <w:r>
        <w:rPr>
          <w:rFonts w:hint="eastAsia" w:ascii="宋体" w:hAnsi="宋体" w:cs="宋体"/>
          <w:szCs w:val="21"/>
        </w:rPr>
        <w:t>1.信用信息查询渠道及截止时间：将通过“信用中国”网站(www.creditchina.gov.cn)、中国政府采购网(www.ccgp.gov.cn)渠道查询投标人在投标截止时间前的信用记录。</w:t>
      </w:r>
    </w:p>
    <w:p>
      <w:pPr>
        <w:pStyle w:val="34"/>
        <w:spacing w:before="0"/>
        <w:ind w:firstLine="495" w:firstLineChars="0"/>
        <w:rPr>
          <w:rFonts w:ascii="宋体" w:hAnsi="宋体" w:cs="宋体"/>
          <w:sz w:val="21"/>
          <w:szCs w:val="21"/>
        </w:rPr>
      </w:pPr>
      <w:r>
        <w:rPr>
          <w:rFonts w:hint="eastAsia" w:ascii="宋体" w:hAnsi="宋体" w:cs="宋体"/>
          <w:sz w:val="21"/>
          <w:szCs w:val="21"/>
        </w:rPr>
        <w:t>2.信用信息查询记录和证据留存的具体方式：现场查询的投标人的信用记录、查询结果经确认后将与采购文件一起存档。</w:t>
      </w:r>
    </w:p>
    <w:p>
      <w:pPr>
        <w:pStyle w:val="34"/>
        <w:spacing w:before="0"/>
        <w:ind w:firstLine="0" w:firstLineChars="0"/>
        <w:rPr>
          <w:rFonts w:ascii="宋体" w:hAnsi="宋体" w:cs="宋体"/>
          <w:sz w:val="21"/>
          <w:szCs w:val="21"/>
        </w:rPr>
      </w:pPr>
      <w:r>
        <w:rPr>
          <w:rFonts w:hint="eastAsia" w:ascii="宋体" w:hAnsi="宋体" w:cs="宋体"/>
          <w:sz w:val="21"/>
          <w:szCs w:val="21"/>
        </w:rPr>
        <w:t>3.信用信息的使用规则：经查询列入失信被执行人名单、重大税收违法案件当事人名单、政府采购严重违法失信行为记录名单的投标人将被拒绝参与政府采购活动。</w:t>
      </w:r>
    </w:p>
    <w:p>
      <w:pPr>
        <w:pStyle w:val="34"/>
        <w:spacing w:before="0"/>
        <w:ind w:firstLine="420"/>
        <w:rPr>
          <w:rFonts w:ascii="宋体" w:hAnsi="宋体" w:cs="宋体"/>
          <w:sz w:val="21"/>
          <w:szCs w:val="21"/>
        </w:rPr>
      </w:pPr>
      <w:r>
        <w:rPr>
          <w:rFonts w:hint="eastAsia" w:ascii="宋体" w:hAnsi="宋体" w:cs="宋体"/>
          <w:sz w:val="21"/>
          <w:szCs w:val="21"/>
        </w:rPr>
        <w:t>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pStyle w:val="34"/>
        <w:spacing w:before="0"/>
        <w:ind w:firstLine="420"/>
        <w:rPr>
          <w:rFonts w:ascii="宋体" w:hAnsi="宋体" w:cs="宋体"/>
          <w:sz w:val="21"/>
          <w:szCs w:val="21"/>
          <w:u w:val="single"/>
        </w:rPr>
      </w:pPr>
      <w:r>
        <w:rPr>
          <w:rFonts w:hint="eastAsia" w:ascii="宋体" w:hAnsi="宋体" w:cs="宋体"/>
          <w:sz w:val="21"/>
          <w:szCs w:val="21"/>
          <w:u w:val="single"/>
        </w:rPr>
        <w:t>5.▲本声明书格式不得修改，不提交本声明书按无效投标处理。</w:t>
      </w:r>
    </w:p>
    <w:p>
      <w:pPr>
        <w:widowControl/>
        <w:spacing w:line="360" w:lineRule="auto"/>
        <w:jc w:val="left"/>
        <w:rPr>
          <w:rFonts w:ascii="宋体" w:hAnsi="宋体" w:cs="宋体"/>
        </w:rPr>
      </w:pPr>
    </w:p>
    <w:p>
      <w:pPr>
        <w:adjustRightInd w:val="0"/>
        <w:snapToGrid w:val="0"/>
        <w:spacing w:line="360" w:lineRule="auto"/>
        <w:ind w:firstLine="551" w:firstLineChars="197"/>
        <w:rPr>
          <w:rFonts w:ascii="宋体" w:hAnsi="宋体" w:cs="宋体"/>
          <w:sz w:val="28"/>
          <w:szCs w:val="28"/>
        </w:rPr>
      </w:pPr>
    </w:p>
    <w:p>
      <w:pPr>
        <w:adjustRightInd w:val="0"/>
        <w:snapToGrid w:val="0"/>
        <w:spacing w:line="360" w:lineRule="auto"/>
        <w:ind w:firstLine="709" w:firstLineChars="197"/>
        <w:rPr>
          <w:rFonts w:ascii="宋体" w:hAnsi="宋体" w:cs="宋体"/>
          <w:b/>
          <w:bCs/>
          <w:sz w:val="36"/>
          <w:szCs w:val="36"/>
        </w:rPr>
      </w:pPr>
      <w:r>
        <w:rPr>
          <w:rFonts w:hint="eastAsia" w:ascii="宋体" w:hAnsi="宋体" w:cs="宋体"/>
          <w:b/>
          <w:bCs/>
          <w:sz w:val="36"/>
          <w:szCs w:val="36"/>
        </w:rPr>
        <w:t>（5）具有履行合同所必需的场地、设备和专业技术能力的承诺函</w:t>
      </w:r>
    </w:p>
    <w:p>
      <w:pPr>
        <w:spacing w:line="360" w:lineRule="auto"/>
        <w:ind w:right="-153" w:rightChars="-73"/>
        <w:rPr>
          <w:rFonts w:ascii="宋体" w:hAnsi="宋体" w:cs="宋体"/>
          <w:bCs/>
          <w:sz w:val="24"/>
        </w:rPr>
      </w:pPr>
      <w:r>
        <w:rPr>
          <w:rFonts w:hint="eastAsia" w:ascii="宋体" w:hAnsi="宋体" w:cs="宋体"/>
          <w:bCs/>
          <w:sz w:val="24"/>
        </w:rPr>
        <w:t>浙江五石中正工程咨询有限公司：</w:t>
      </w:r>
    </w:p>
    <w:p>
      <w:pPr>
        <w:spacing w:line="360" w:lineRule="auto"/>
        <w:ind w:right="-153" w:rightChars="-73"/>
        <w:rPr>
          <w:rFonts w:ascii="宋体" w:hAnsi="宋体" w:cs="宋体"/>
          <w:bCs/>
          <w:sz w:val="24"/>
        </w:rPr>
      </w:pPr>
    </w:p>
    <w:p>
      <w:pPr>
        <w:widowControl/>
        <w:snapToGrid w:val="0"/>
        <w:spacing w:line="360" w:lineRule="auto"/>
        <w:ind w:firstLine="480" w:firstLineChars="200"/>
        <w:jc w:val="left"/>
        <w:rPr>
          <w:rFonts w:ascii="宋体" w:hAnsi="宋体" w:cs="宋体"/>
          <w:bCs/>
          <w:sz w:val="24"/>
        </w:rPr>
      </w:pPr>
      <w:r>
        <w:rPr>
          <w:rFonts w:hint="eastAsia" w:ascii="宋体" w:hAnsi="宋体" w:cs="宋体"/>
          <w:bCs/>
          <w:sz w:val="24"/>
        </w:rPr>
        <w:t>我方</w:t>
      </w:r>
      <w:r>
        <w:rPr>
          <w:rFonts w:hint="eastAsia" w:ascii="宋体" w:hAnsi="宋体" w:cs="宋体"/>
          <w:bCs/>
          <w:sz w:val="24"/>
          <w:u w:val="single"/>
        </w:rPr>
        <w:t>（供应商）</w:t>
      </w:r>
      <w:r>
        <w:rPr>
          <w:rFonts w:hint="eastAsia" w:ascii="宋体" w:hAnsi="宋体" w:cs="宋体"/>
          <w:bCs/>
          <w:sz w:val="24"/>
        </w:rPr>
        <w:t>参与</w:t>
      </w:r>
      <w:r>
        <w:rPr>
          <w:rFonts w:hint="eastAsia" w:ascii="宋体" w:hAnsi="宋体" w:cs="宋体"/>
          <w:bCs/>
          <w:sz w:val="24"/>
          <w:u w:val="single"/>
        </w:rPr>
        <w:t>（项目名称、编号）</w:t>
      </w:r>
      <w:r>
        <w:rPr>
          <w:rFonts w:hint="eastAsia" w:ascii="宋体" w:hAnsi="宋体" w:cs="宋体"/>
          <w:bCs/>
          <w:sz w:val="24"/>
        </w:rPr>
        <w:t>投标，郑重承诺具有履行合同所必需的场地、设备和专业技术能力。如有虚假我公司将无条件退出本项目的投标，并承担因引起的一切后果。我方对此承诺负全部法律责任。</w:t>
      </w:r>
    </w:p>
    <w:p>
      <w:pPr>
        <w:widowControl/>
        <w:snapToGrid w:val="0"/>
        <w:spacing w:line="360" w:lineRule="auto"/>
        <w:ind w:firstLine="480" w:firstLineChars="200"/>
        <w:jc w:val="left"/>
        <w:rPr>
          <w:rFonts w:ascii="宋体" w:hAnsi="宋体" w:cs="宋体"/>
          <w:bCs/>
          <w:sz w:val="24"/>
        </w:rPr>
      </w:pPr>
    </w:p>
    <w:p>
      <w:pPr>
        <w:widowControl/>
        <w:snapToGrid w:val="0"/>
        <w:spacing w:line="360" w:lineRule="auto"/>
        <w:ind w:firstLine="480" w:firstLineChars="200"/>
        <w:jc w:val="left"/>
        <w:rPr>
          <w:rFonts w:ascii="宋体" w:hAnsi="宋体" w:cs="宋体"/>
          <w:bCs/>
          <w:sz w:val="24"/>
        </w:rPr>
      </w:pPr>
      <w:r>
        <w:rPr>
          <w:rFonts w:hint="eastAsia" w:ascii="宋体" w:hAnsi="宋体" w:cs="宋体"/>
          <w:bCs/>
          <w:sz w:val="24"/>
        </w:rPr>
        <w:t>特此承诺！</w:t>
      </w:r>
    </w:p>
    <w:p>
      <w:pPr>
        <w:widowControl/>
        <w:snapToGrid w:val="0"/>
        <w:spacing w:line="360" w:lineRule="auto"/>
        <w:ind w:firstLine="480" w:firstLineChars="200"/>
        <w:jc w:val="left"/>
        <w:rPr>
          <w:rFonts w:ascii="宋体" w:hAnsi="宋体" w:cs="宋体"/>
          <w:bCs/>
          <w:sz w:val="24"/>
        </w:rPr>
      </w:pPr>
    </w:p>
    <w:p>
      <w:pPr>
        <w:spacing w:line="360" w:lineRule="auto"/>
        <w:jc w:val="left"/>
        <w:rPr>
          <w:rFonts w:ascii="宋体" w:hAnsi="宋体" w:cs="宋体"/>
          <w:bCs/>
          <w:sz w:val="24"/>
        </w:rPr>
      </w:pPr>
      <w:r>
        <w:rPr>
          <w:rFonts w:hint="eastAsia" w:ascii="宋体" w:hAnsi="宋体" w:cs="宋体"/>
          <w:bCs/>
          <w:sz w:val="24"/>
        </w:rPr>
        <w:t>投标人全称（公章或CA章）：</w:t>
      </w:r>
    </w:p>
    <w:p>
      <w:pPr>
        <w:pStyle w:val="5"/>
        <w:numPr>
          <w:ilvl w:val="0"/>
          <w:numId w:val="0"/>
        </w:numPr>
        <w:spacing w:line="360" w:lineRule="auto"/>
        <w:ind w:left="360"/>
        <w:rPr>
          <w:rFonts w:ascii="宋体" w:hAnsi="宋体" w:cs="宋体"/>
          <w:bCs/>
          <w:sz w:val="24"/>
        </w:rPr>
      </w:pPr>
      <w:r>
        <w:rPr>
          <w:rFonts w:hint="eastAsia" w:ascii="宋体" w:hAnsi="宋体" w:cs="宋体"/>
          <w:bCs/>
          <w:sz w:val="24"/>
        </w:rPr>
        <w:t>日期：年月日</w:t>
      </w:r>
    </w:p>
    <w:p>
      <w:pPr>
        <w:pStyle w:val="6"/>
        <w:spacing w:line="360" w:lineRule="auto"/>
        <w:rPr>
          <w:rFonts w:ascii="宋体" w:hAnsi="宋体" w:cs="宋体"/>
        </w:rPr>
      </w:pPr>
    </w:p>
    <w:p>
      <w:pPr>
        <w:pStyle w:val="34"/>
        <w:spacing w:before="0"/>
        <w:ind w:firstLine="420"/>
        <w:rPr>
          <w:rFonts w:ascii="宋体" w:hAnsi="宋体" w:cs="宋体"/>
          <w:sz w:val="21"/>
          <w:szCs w:val="21"/>
          <w:u w:val="single"/>
        </w:rPr>
      </w:pPr>
      <w:r>
        <w:rPr>
          <w:rFonts w:hint="eastAsia" w:ascii="宋体" w:hAnsi="宋体" w:cs="宋体"/>
          <w:sz w:val="21"/>
          <w:szCs w:val="21"/>
          <w:u w:val="single"/>
        </w:rPr>
        <w:t>附注：▲本承诺函格式不得修改，不提交本承诺函按无效投标处理。</w:t>
      </w:r>
    </w:p>
    <w:p>
      <w:pPr>
        <w:pStyle w:val="34"/>
        <w:spacing w:before="0"/>
        <w:ind w:firstLine="420"/>
        <w:rPr>
          <w:rFonts w:ascii="宋体" w:hAnsi="宋体" w:cs="宋体"/>
          <w:sz w:val="21"/>
          <w:szCs w:val="21"/>
          <w:u w:val="single"/>
        </w:rPr>
      </w:pPr>
    </w:p>
    <w:p>
      <w:pPr>
        <w:pStyle w:val="34"/>
        <w:spacing w:before="0"/>
        <w:ind w:firstLine="723"/>
        <w:rPr>
          <w:rFonts w:ascii="宋体" w:hAnsi="宋体" w:cs="宋体"/>
          <w:b/>
          <w:bCs/>
          <w:sz w:val="36"/>
          <w:szCs w:val="36"/>
        </w:rPr>
      </w:pPr>
      <w:r>
        <w:rPr>
          <w:rFonts w:hint="eastAsia" w:ascii="宋体" w:hAnsi="宋体" w:cs="宋体"/>
          <w:b/>
          <w:bCs/>
          <w:sz w:val="36"/>
          <w:szCs w:val="36"/>
        </w:rPr>
        <w:t>（6）依法缴纳税收和社会保障资金的承诺函</w:t>
      </w:r>
    </w:p>
    <w:p>
      <w:pPr>
        <w:spacing w:line="360" w:lineRule="auto"/>
        <w:ind w:right="-153" w:rightChars="-73"/>
        <w:rPr>
          <w:rFonts w:ascii="宋体" w:hAnsi="宋体" w:cs="宋体"/>
          <w:bCs/>
          <w:sz w:val="24"/>
        </w:rPr>
      </w:pPr>
      <w:r>
        <w:rPr>
          <w:rFonts w:hint="eastAsia" w:ascii="宋体" w:hAnsi="宋体" w:cs="宋体"/>
          <w:bCs/>
          <w:sz w:val="24"/>
        </w:rPr>
        <w:t>浙江五石中正工程咨询有限公司：</w:t>
      </w:r>
    </w:p>
    <w:p>
      <w:pPr>
        <w:spacing w:line="360" w:lineRule="auto"/>
        <w:ind w:firstLine="480" w:firstLineChars="200"/>
        <w:rPr>
          <w:rFonts w:ascii="宋体" w:hAnsi="宋体" w:cs="宋体"/>
          <w:bCs/>
          <w:sz w:val="24"/>
        </w:rPr>
      </w:pPr>
      <w:r>
        <w:rPr>
          <w:rFonts w:hint="eastAsia" w:ascii="宋体" w:hAnsi="宋体" w:cs="宋体"/>
          <w:bCs/>
          <w:sz w:val="24"/>
        </w:rPr>
        <w:t>我公司郑重声明，我公司严格依法缴纳税收和社会保障资金，本文件中所提供的相关材料均真实有效，不存在虚假、造假行为。如有虚假我公司将无条件退出本项目的投标，并承担因引起的一切后果。我方对此承诺负全部法律责任。</w:t>
      </w:r>
    </w:p>
    <w:p>
      <w:pPr>
        <w:spacing w:line="360" w:lineRule="auto"/>
        <w:ind w:firstLine="480" w:firstLineChars="200"/>
        <w:rPr>
          <w:rFonts w:ascii="宋体" w:hAnsi="宋体" w:cs="宋体"/>
          <w:bCs/>
          <w:sz w:val="24"/>
        </w:rPr>
      </w:pPr>
    </w:p>
    <w:p>
      <w:pPr>
        <w:widowControl/>
        <w:snapToGrid w:val="0"/>
        <w:spacing w:line="360" w:lineRule="auto"/>
        <w:ind w:firstLine="480" w:firstLineChars="200"/>
        <w:jc w:val="left"/>
        <w:rPr>
          <w:rFonts w:ascii="宋体" w:hAnsi="宋体" w:cs="宋体"/>
          <w:bCs/>
          <w:sz w:val="24"/>
        </w:rPr>
      </w:pPr>
      <w:r>
        <w:rPr>
          <w:rFonts w:hint="eastAsia" w:ascii="宋体" w:hAnsi="宋体" w:cs="宋体"/>
          <w:bCs/>
          <w:sz w:val="24"/>
        </w:rPr>
        <w:t>特此承诺！</w:t>
      </w:r>
    </w:p>
    <w:p>
      <w:pPr>
        <w:widowControl/>
        <w:snapToGrid w:val="0"/>
        <w:spacing w:line="360" w:lineRule="auto"/>
        <w:ind w:firstLine="480" w:firstLineChars="200"/>
        <w:jc w:val="left"/>
        <w:rPr>
          <w:rFonts w:ascii="宋体" w:hAnsi="宋体" w:cs="宋体"/>
          <w:bCs/>
          <w:sz w:val="24"/>
        </w:rPr>
      </w:pPr>
    </w:p>
    <w:p>
      <w:pPr>
        <w:spacing w:line="360" w:lineRule="auto"/>
        <w:jc w:val="left"/>
        <w:rPr>
          <w:rFonts w:ascii="宋体" w:hAnsi="宋体" w:cs="宋体"/>
          <w:bCs/>
          <w:sz w:val="24"/>
        </w:rPr>
      </w:pPr>
      <w:r>
        <w:rPr>
          <w:rFonts w:hint="eastAsia" w:ascii="宋体" w:hAnsi="宋体" w:cs="宋体"/>
          <w:bCs/>
          <w:sz w:val="24"/>
        </w:rPr>
        <w:t>投标人全称（公章或CA章）：</w:t>
      </w:r>
    </w:p>
    <w:p>
      <w:pPr>
        <w:pStyle w:val="5"/>
        <w:numPr>
          <w:ilvl w:val="0"/>
          <w:numId w:val="0"/>
        </w:numPr>
        <w:spacing w:line="360" w:lineRule="auto"/>
        <w:ind w:left="360"/>
        <w:rPr>
          <w:rFonts w:ascii="宋体" w:hAnsi="宋体" w:cs="宋体"/>
          <w:bCs/>
          <w:sz w:val="24"/>
        </w:rPr>
      </w:pPr>
      <w:r>
        <w:rPr>
          <w:rFonts w:hint="eastAsia" w:ascii="宋体" w:hAnsi="宋体" w:cs="宋体"/>
          <w:bCs/>
          <w:sz w:val="24"/>
        </w:rPr>
        <w:t>日期：年月日</w:t>
      </w:r>
    </w:p>
    <w:p>
      <w:pPr>
        <w:pStyle w:val="6"/>
        <w:spacing w:line="360" w:lineRule="auto"/>
        <w:rPr>
          <w:rFonts w:ascii="宋体" w:hAnsi="宋体" w:cs="宋体"/>
        </w:rPr>
      </w:pPr>
    </w:p>
    <w:p>
      <w:pPr>
        <w:pStyle w:val="34"/>
        <w:spacing w:before="0"/>
        <w:ind w:firstLine="420"/>
        <w:rPr>
          <w:rFonts w:ascii="宋体" w:hAnsi="宋体" w:cs="宋体"/>
          <w:sz w:val="21"/>
          <w:szCs w:val="21"/>
          <w:u w:val="single"/>
        </w:rPr>
      </w:pPr>
      <w:r>
        <w:rPr>
          <w:rFonts w:hint="eastAsia" w:ascii="宋体" w:hAnsi="宋体" w:cs="宋体"/>
          <w:sz w:val="21"/>
          <w:szCs w:val="21"/>
          <w:u w:val="single"/>
        </w:rPr>
        <w:t>附注：▲本承诺函格式不得修改，不提交本承诺函按无效投标处理。</w:t>
      </w:r>
    </w:p>
    <w:p>
      <w:pPr>
        <w:widowControl/>
        <w:snapToGrid w:val="0"/>
        <w:spacing w:line="360" w:lineRule="auto"/>
        <w:ind w:firstLine="420" w:firstLineChars="200"/>
        <w:jc w:val="left"/>
        <w:rPr>
          <w:rFonts w:ascii="宋体" w:hAnsi="宋体" w:cs="宋体"/>
          <w:b/>
          <w:bCs/>
          <w:sz w:val="36"/>
          <w:szCs w:val="36"/>
        </w:rPr>
      </w:pPr>
      <w:r>
        <w:rPr>
          <w:rFonts w:hint="eastAsia" w:ascii="宋体" w:hAnsi="宋体" w:cs="宋体"/>
          <w:szCs w:val="21"/>
          <w:u w:val="single"/>
        </w:rPr>
        <w:br w:type="page"/>
      </w:r>
      <w:r>
        <w:rPr>
          <w:rFonts w:hint="eastAsia" w:ascii="宋体" w:hAnsi="宋体" w:cs="宋体"/>
          <w:b/>
          <w:bCs/>
          <w:sz w:val="36"/>
          <w:szCs w:val="36"/>
        </w:rPr>
        <w:t>（7）单位负责人为同一人或者存在直接控股、管理关系的不同供应商，不得参加同一合同项下的政府采购活动承诺函</w:t>
      </w:r>
    </w:p>
    <w:p>
      <w:pPr>
        <w:spacing w:line="360" w:lineRule="auto"/>
        <w:ind w:right="-153" w:rightChars="-73"/>
        <w:rPr>
          <w:rFonts w:ascii="宋体" w:hAnsi="宋体" w:cs="宋体"/>
          <w:bCs/>
          <w:sz w:val="24"/>
        </w:rPr>
      </w:pPr>
      <w:r>
        <w:rPr>
          <w:rFonts w:hint="eastAsia" w:ascii="宋体" w:hAnsi="宋体" w:cs="宋体"/>
          <w:bCs/>
          <w:sz w:val="24"/>
        </w:rPr>
        <w:t>浙江五石中正工程咨询有限公司：</w:t>
      </w:r>
    </w:p>
    <w:p>
      <w:pPr>
        <w:spacing w:line="360" w:lineRule="auto"/>
        <w:ind w:firstLine="480" w:firstLineChars="200"/>
        <w:rPr>
          <w:rFonts w:ascii="宋体" w:hAnsi="宋体" w:cs="宋体"/>
          <w:bCs/>
          <w:sz w:val="24"/>
        </w:rPr>
      </w:pPr>
      <w:r>
        <w:rPr>
          <w:rFonts w:hint="eastAsia" w:ascii="宋体" w:hAnsi="宋体" w:cs="宋体"/>
          <w:bCs/>
          <w:sz w:val="24"/>
        </w:rPr>
        <w:t>我方郑重承诺，我方此次参加（项目名称、编号）的投标，与参加本次项目同一合同项下政府采购活动的其他供应商不存在单位负责人为同一人或者直接控股、管理关系。如有虚假我公司将无条件退出本项目的投标，并承担因引起的一切后果。我方对此承诺负全部法律责任。</w:t>
      </w:r>
    </w:p>
    <w:p>
      <w:pPr>
        <w:spacing w:line="360" w:lineRule="auto"/>
        <w:ind w:firstLine="480" w:firstLineChars="200"/>
        <w:rPr>
          <w:rFonts w:ascii="宋体" w:hAnsi="宋体" w:cs="宋体"/>
          <w:bCs/>
          <w:sz w:val="24"/>
        </w:rPr>
      </w:pPr>
    </w:p>
    <w:p>
      <w:pPr>
        <w:widowControl/>
        <w:snapToGrid w:val="0"/>
        <w:spacing w:line="360" w:lineRule="auto"/>
        <w:ind w:firstLine="480" w:firstLineChars="200"/>
        <w:jc w:val="left"/>
        <w:rPr>
          <w:rFonts w:ascii="宋体" w:hAnsi="宋体" w:cs="宋体"/>
          <w:bCs/>
          <w:sz w:val="24"/>
        </w:rPr>
      </w:pPr>
      <w:r>
        <w:rPr>
          <w:rFonts w:hint="eastAsia" w:ascii="宋体" w:hAnsi="宋体" w:cs="宋体"/>
          <w:bCs/>
          <w:sz w:val="24"/>
        </w:rPr>
        <w:t>特此承诺！</w:t>
      </w:r>
    </w:p>
    <w:p>
      <w:pPr>
        <w:widowControl/>
        <w:snapToGrid w:val="0"/>
        <w:spacing w:line="360" w:lineRule="auto"/>
        <w:ind w:firstLine="480" w:firstLineChars="200"/>
        <w:jc w:val="left"/>
        <w:rPr>
          <w:rFonts w:ascii="宋体" w:hAnsi="宋体" w:cs="宋体"/>
          <w:bCs/>
          <w:sz w:val="24"/>
        </w:rPr>
      </w:pPr>
    </w:p>
    <w:p>
      <w:pPr>
        <w:spacing w:line="360" w:lineRule="auto"/>
        <w:jc w:val="left"/>
        <w:rPr>
          <w:rFonts w:ascii="宋体" w:hAnsi="宋体" w:cs="宋体"/>
          <w:bCs/>
          <w:sz w:val="24"/>
        </w:rPr>
      </w:pPr>
      <w:r>
        <w:rPr>
          <w:rFonts w:hint="eastAsia" w:ascii="宋体" w:hAnsi="宋体" w:cs="宋体"/>
          <w:bCs/>
          <w:sz w:val="24"/>
        </w:rPr>
        <w:t>投标人全称（公章或CA章）：</w:t>
      </w:r>
    </w:p>
    <w:p>
      <w:pPr>
        <w:pStyle w:val="5"/>
        <w:numPr>
          <w:ilvl w:val="0"/>
          <w:numId w:val="0"/>
        </w:numPr>
        <w:spacing w:line="360" w:lineRule="auto"/>
        <w:ind w:left="360"/>
        <w:rPr>
          <w:rFonts w:ascii="宋体" w:hAnsi="宋体" w:cs="宋体"/>
          <w:bCs/>
          <w:sz w:val="24"/>
        </w:rPr>
      </w:pPr>
      <w:r>
        <w:rPr>
          <w:rFonts w:hint="eastAsia" w:ascii="宋体" w:hAnsi="宋体" w:cs="宋体"/>
          <w:bCs/>
          <w:sz w:val="24"/>
        </w:rPr>
        <w:t>日期：年月日</w:t>
      </w:r>
    </w:p>
    <w:p>
      <w:pPr>
        <w:pStyle w:val="6"/>
        <w:spacing w:line="360" w:lineRule="auto"/>
        <w:rPr>
          <w:rFonts w:ascii="宋体" w:hAnsi="宋体" w:cs="宋体"/>
        </w:rPr>
      </w:pPr>
    </w:p>
    <w:p>
      <w:pPr>
        <w:pStyle w:val="34"/>
        <w:spacing w:before="0"/>
        <w:ind w:firstLine="420"/>
        <w:rPr>
          <w:rFonts w:ascii="宋体" w:hAnsi="宋体" w:cs="宋体"/>
          <w:sz w:val="21"/>
          <w:szCs w:val="21"/>
          <w:u w:val="single"/>
        </w:rPr>
      </w:pPr>
      <w:r>
        <w:rPr>
          <w:rFonts w:hint="eastAsia" w:ascii="宋体" w:hAnsi="宋体" w:cs="宋体"/>
          <w:sz w:val="21"/>
          <w:szCs w:val="21"/>
          <w:u w:val="single"/>
        </w:rPr>
        <w:t>附注：▲本承诺函格式不得修改，不提交本承诺函按无效投标处理。</w:t>
      </w:r>
    </w:p>
    <w:p>
      <w:pPr>
        <w:pStyle w:val="34"/>
        <w:spacing w:before="0"/>
        <w:ind w:firstLine="723"/>
        <w:rPr>
          <w:rFonts w:ascii="宋体" w:hAnsi="宋体" w:cs="宋体"/>
          <w:b/>
          <w:bCs/>
          <w:sz w:val="36"/>
          <w:szCs w:val="36"/>
        </w:rPr>
      </w:pPr>
    </w:p>
    <w:p>
      <w:pPr>
        <w:adjustRightInd w:val="0"/>
        <w:snapToGrid w:val="0"/>
        <w:spacing w:line="360" w:lineRule="auto"/>
        <w:ind w:firstLine="709" w:firstLineChars="197"/>
        <w:rPr>
          <w:rFonts w:ascii="宋体" w:hAnsi="宋体" w:cs="宋体"/>
          <w:b/>
          <w:bCs/>
          <w:sz w:val="36"/>
          <w:szCs w:val="36"/>
        </w:rPr>
      </w:pPr>
      <w:r>
        <w:rPr>
          <w:rFonts w:hint="eastAsia" w:ascii="宋体" w:hAnsi="宋体" w:cs="宋体"/>
          <w:b/>
          <w:bCs/>
          <w:sz w:val="36"/>
          <w:szCs w:val="36"/>
        </w:rPr>
        <w:t>（8）投标人不属于公益一类事业单位承诺函</w:t>
      </w:r>
    </w:p>
    <w:p>
      <w:pPr>
        <w:spacing w:line="360" w:lineRule="auto"/>
        <w:ind w:right="-153" w:rightChars="-73"/>
        <w:rPr>
          <w:rFonts w:ascii="宋体" w:hAnsi="宋体" w:cs="宋体"/>
          <w:bCs/>
          <w:sz w:val="24"/>
        </w:rPr>
      </w:pPr>
      <w:r>
        <w:rPr>
          <w:rFonts w:hint="eastAsia" w:ascii="宋体" w:hAnsi="宋体" w:cs="宋体"/>
          <w:bCs/>
          <w:sz w:val="24"/>
        </w:rPr>
        <w:t>浙江五石中正工程咨询有限公司：</w:t>
      </w:r>
    </w:p>
    <w:p>
      <w:pPr>
        <w:spacing w:line="360" w:lineRule="auto"/>
        <w:ind w:right="-153" w:rightChars="-73" w:firstLine="480" w:firstLineChars="200"/>
        <w:rPr>
          <w:rFonts w:ascii="宋体" w:hAnsi="宋体" w:cs="宋体"/>
          <w:bCs/>
          <w:sz w:val="24"/>
        </w:rPr>
      </w:pPr>
      <w:r>
        <w:rPr>
          <w:rFonts w:hint="eastAsia" w:ascii="宋体" w:hAnsi="宋体" w:cs="宋体"/>
          <w:bCs/>
          <w:sz w:val="24"/>
        </w:rPr>
        <w:t>我方郑重承诺，我单位不属于公益一类事业单位，可承接项目的相关服务内容。如有虚假我公司将无条件退出本项目的投标，并承担因引起的一切后果。我方对此承诺负全部法律责任。</w:t>
      </w:r>
    </w:p>
    <w:p>
      <w:pPr>
        <w:widowControl/>
        <w:snapToGrid w:val="0"/>
        <w:spacing w:line="360" w:lineRule="auto"/>
        <w:ind w:firstLine="480" w:firstLineChars="200"/>
        <w:jc w:val="left"/>
        <w:rPr>
          <w:rFonts w:ascii="宋体" w:hAnsi="宋体" w:cs="宋体"/>
          <w:bCs/>
          <w:sz w:val="24"/>
        </w:rPr>
      </w:pPr>
      <w:r>
        <w:rPr>
          <w:rFonts w:hint="eastAsia" w:ascii="宋体" w:hAnsi="宋体" w:cs="宋体"/>
          <w:bCs/>
          <w:sz w:val="24"/>
        </w:rPr>
        <w:t>特此承诺！</w:t>
      </w:r>
    </w:p>
    <w:p>
      <w:pPr>
        <w:widowControl/>
        <w:snapToGrid w:val="0"/>
        <w:spacing w:line="360" w:lineRule="auto"/>
        <w:ind w:firstLine="480" w:firstLineChars="200"/>
        <w:jc w:val="left"/>
        <w:rPr>
          <w:rFonts w:ascii="宋体" w:hAnsi="宋体" w:cs="宋体"/>
          <w:bCs/>
          <w:sz w:val="24"/>
        </w:rPr>
      </w:pPr>
    </w:p>
    <w:p>
      <w:pPr>
        <w:spacing w:line="360" w:lineRule="auto"/>
        <w:jc w:val="left"/>
        <w:rPr>
          <w:rFonts w:ascii="宋体" w:hAnsi="宋体" w:cs="宋体"/>
          <w:bCs/>
          <w:sz w:val="24"/>
        </w:rPr>
      </w:pPr>
      <w:r>
        <w:rPr>
          <w:rFonts w:hint="eastAsia" w:ascii="宋体" w:hAnsi="宋体" w:cs="宋体"/>
          <w:bCs/>
          <w:sz w:val="24"/>
        </w:rPr>
        <w:t>投标人全称（公章或CA章）：</w:t>
      </w:r>
    </w:p>
    <w:p>
      <w:pPr>
        <w:pStyle w:val="5"/>
        <w:numPr>
          <w:ilvl w:val="0"/>
          <w:numId w:val="0"/>
        </w:numPr>
        <w:spacing w:line="360" w:lineRule="auto"/>
        <w:ind w:left="360"/>
        <w:rPr>
          <w:rFonts w:ascii="宋体" w:hAnsi="宋体" w:cs="宋体"/>
          <w:bCs/>
          <w:sz w:val="24"/>
        </w:rPr>
      </w:pPr>
      <w:r>
        <w:rPr>
          <w:rFonts w:hint="eastAsia" w:ascii="宋体" w:hAnsi="宋体" w:cs="宋体"/>
          <w:bCs/>
          <w:sz w:val="24"/>
        </w:rPr>
        <w:t>日期：年月日</w:t>
      </w:r>
    </w:p>
    <w:p>
      <w:pPr>
        <w:pStyle w:val="6"/>
        <w:spacing w:line="360" w:lineRule="auto"/>
        <w:rPr>
          <w:rFonts w:ascii="宋体" w:hAnsi="宋体" w:cs="宋体"/>
        </w:rPr>
      </w:pPr>
    </w:p>
    <w:p>
      <w:pPr>
        <w:pStyle w:val="34"/>
        <w:spacing w:before="0"/>
        <w:ind w:firstLine="420"/>
        <w:rPr>
          <w:rFonts w:ascii="宋体" w:hAnsi="宋体" w:cs="宋体"/>
          <w:b/>
          <w:bCs/>
          <w:sz w:val="36"/>
          <w:szCs w:val="36"/>
        </w:rPr>
      </w:pPr>
      <w:r>
        <w:rPr>
          <w:rFonts w:hint="eastAsia" w:ascii="宋体" w:hAnsi="宋体" w:cs="宋体"/>
          <w:sz w:val="21"/>
          <w:szCs w:val="21"/>
          <w:u w:val="single"/>
        </w:rPr>
        <w:t>附注：▲本承诺函格式不得修改，不提交本承诺函按无效投标处理。</w:t>
      </w:r>
    </w:p>
    <w:p>
      <w:pPr>
        <w:adjustRightInd w:val="0"/>
        <w:snapToGrid w:val="0"/>
        <w:spacing w:line="360" w:lineRule="auto"/>
        <w:ind w:firstLine="709" w:firstLineChars="197"/>
        <w:rPr>
          <w:rFonts w:ascii="宋体" w:hAnsi="宋体" w:cs="宋体"/>
          <w:b/>
          <w:bCs/>
          <w:sz w:val="36"/>
          <w:szCs w:val="36"/>
        </w:rPr>
      </w:pPr>
    </w:p>
    <w:p>
      <w:pPr>
        <w:adjustRightInd w:val="0"/>
        <w:snapToGrid w:val="0"/>
        <w:spacing w:line="360" w:lineRule="auto"/>
        <w:ind w:firstLine="709" w:firstLineChars="197"/>
        <w:jc w:val="center"/>
        <w:rPr>
          <w:rFonts w:ascii="宋体" w:hAnsi="宋体" w:cs="宋体"/>
          <w:b/>
          <w:bCs/>
          <w:sz w:val="36"/>
          <w:szCs w:val="36"/>
        </w:rPr>
      </w:pPr>
      <w:r>
        <w:rPr>
          <w:rFonts w:hint="eastAsia" w:ascii="宋体" w:hAnsi="宋体" w:cs="宋体"/>
          <w:b/>
          <w:bCs/>
          <w:sz w:val="36"/>
          <w:szCs w:val="36"/>
        </w:rPr>
        <w:t>（9）政府采购活动现场确认声明书</w:t>
      </w:r>
    </w:p>
    <w:p>
      <w:pPr>
        <w:adjustRightInd w:val="0"/>
        <w:snapToGrid w:val="0"/>
        <w:spacing w:line="360" w:lineRule="auto"/>
        <w:rPr>
          <w:rFonts w:ascii="宋体" w:hAnsi="宋体" w:cs="宋体"/>
          <w:b/>
          <w:bCs/>
          <w:sz w:val="36"/>
          <w:szCs w:val="36"/>
        </w:rPr>
      </w:pPr>
      <w:r>
        <w:rPr>
          <w:rFonts w:hint="eastAsia" w:ascii="宋体" w:hAnsi="宋体" w:cs="宋体"/>
          <w:kern w:val="0"/>
          <w:sz w:val="22"/>
          <w:szCs w:val="22"/>
        </w:rPr>
        <w:t>浙江五石中正工程咨询有限公司：</w:t>
      </w:r>
    </w:p>
    <w:p>
      <w:pPr>
        <w:spacing w:line="360" w:lineRule="auto"/>
        <w:ind w:firstLine="440" w:firstLineChars="200"/>
        <w:rPr>
          <w:rFonts w:ascii="宋体" w:hAnsi="宋体" w:cs="宋体"/>
        </w:rPr>
      </w:pPr>
      <w:r>
        <w:rPr>
          <w:rFonts w:hint="eastAsia" w:ascii="宋体" w:hAnsi="宋体" w:cs="宋体"/>
          <w:kern w:val="0"/>
          <w:sz w:val="22"/>
          <w:szCs w:val="22"/>
        </w:rPr>
        <w:t>本人经由________</w:t>
      </w:r>
      <w:r>
        <w:rPr>
          <w:rFonts w:hint="eastAsia" w:ascii="宋体" w:hAnsi="宋体" w:cs="宋体"/>
          <w:kern w:val="0"/>
          <w:sz w:val="22"/>
          <w:szCs w:val="22"/>
          <w:u w:val="single"/>
        </w:rPr>
        <w:t>（供应商名称）</w:t>
      </w:r>
      <w:r>
        <w:rPr>
          <w:rFonts w:hint="eastAsia" w:ascii="宋体" w:hAnsi="宋体" w:cs="宋体"/>
          <w:kern w:val="0"/>
          <w:sz w:val="22"/>
          <w:szCs w:val="22"/>
        </w:rPr>
        <w:t>法人代表（负责人）________</w:t>
      </w:r>
      <w:r>
        <w:rPr>
          <w:rFonts w:hint="eastAsia" w:ascii="宋体" w:hAnsi="宋体" w:cs="宋体"/>
          <w:kern w:val="0"/>
          <w:sz w:val="22"/>
          <w:szCs w:val="22"/>
          <w:u w:val="single"/>
        </w:rPr>
        <w:t>（姓名）</w:t>
      </w:r>
      <w:r>
        <w:rPr>
          <w:rFonts w:hint="eastAsia" w:ascii="宋体" w:hAnsi="宋体" w:cs="宋体"/>
          <w:kern w:val="0"/>
          <w:sz w:val="22"/>
          <w:szCs w:val="22"/>
        </w:rPr>
        <w:t>合法授权参加____________项目（编号：________）政府采购活动，经与本单位法人代表（负责人）联系确认，现就有关公平竞争事项郑重声明如下：</w:t>
      </w:r>
    </w:p>
    <w:p>
      <w:pPr>
        <w:spacing w:line="360" w:lineRule="auto"/>
        <w:rPr>
          <w:rFonts w:ascii="宋体" w:hAnsi="宋体" w:cs="宋体"/>
          <w:kern w:val="0"/>
          <w:sz w:val="22"/>
          <w:szCs w:val="22"/>
        </w:rPr>
      </w:pPr>
      <w:r>
        <w:rPr>
          <w:rFonts w:hint="eastAsia" w:ascii="宋体" w:hAnsi="宋体" w:cs="宋体"/>
          <w:kern w:val="0"/>
          <w:sz w:val="22"/>
          <w:szCs w:val="22"/>
        </w:rPr>
        <w:t>本单位与招标人之间□不存在利害关系□存在下列利害关系：</w:t>
      </w:r>
    </w:p>
    <w:p>
      <w:pPr>
        <w:spacing w:line="360" w:lineRule="auto"/>
        <w:rPr>
          <w:rFonts w:ascii="宋体" w:hAnsi="宋体" w:cs="宋体"/>
          <w:kern w:val="0"/>
          <w:sz w:val="22"/>
          <w:szCs w:val="22"/>
        </w:rPr>
      </w:pPr>
      <w:r>
        <w:rPr>
          <w:rFonts w:hint="eastAsia" w:ascii="宋体" w:hAnsi="宋体" w:cs="宋体"/>
          <w:kern w:val="0"/>
          <w:sz w:val="22"/>
          <w:szCs w:val="22"/>
        </w:rPr>
        <w:t>A.投资关系</w:t>
      </w:r>
    </w:p>
    <w:p>
      <w:pPr>
        <w:spacing w:line="360" w:lineRule="auto"/>
        <w:ind w:firstLine="660" w:firstLineChars="300"/>
        <w:rPr>
          <w:rFonts w:ascii="宋体" w:hAnsi="宋体" w:cs="宋体"/>
          <w:kern w:val="0"/>
          <w:sz w:val="22"/>
          <w:szCs w:val="22"/>
        </w:rPr>
      </w:pPr>
      <w:r>
        <w:rPr>
          <w:rFonts w:hint="eastAsia" w:ascii="宋体" w:hAnsi="宋体" w:cs="宋体"/>
          <w:kern w:val="0"/>
          <w:sz w:val="22"/>
          <w:szCs w:val="22"/>
        </w:rPr>
        <w:t>B.行政隶属关系</w:t>
      </w:r>
    </w:p>
    <w:p>
      <w:pPr>
        <w:spacing w:line="360" w:lineRule="auto"/>
        <w:ind w:firstLine="660" w:firstLineChars="300"/>
        <w:rPr>
          <w:rFonts w:ascii="宋体" w:hAnsi="宋体" w:cs="宋体"/>
          <w:kern w:val="0"/>
          <w:sz w:val="22"/>
          <w:szCs w:val="22"/>
        </w:rPr>
      </w:pPr>
      <w:r>
        <w:rPr>
          <w:rFonts w:hint="eastAsia" w:ascii="宋体" w:hAnsi="宋体" w:cs="宋体"/>
          <w:kern w:val="0"/>
          <w:sz w:val="22"/>
          <w:szCs w:val="22"/>
        </w:rPr>
        <w:t>C.业务指导关系</w:t>
      </w:r>
    </w:p>
    <w:p>
      <w:pPr>
        <w:spacing w:line="360" w:lineRule="auto"/>
        <w:ind w:firstLine="660" w:firstLineChars="300"/>
        <w:rPr>
          <w:rFonts w:ascii="宋体" w:hAnsi="宋体" w:cs="宋体"/>
          <w:sz w:val="22"/>
          <w:szCs w:val="22"/>
        </w:rPr>
      </w:pPr>
      <w:r>
        <w:rPr>
          <w:rFonts w:hint="eastAsia" w:ascii="宋体" w:hAnsi="宋体" w:cs="宋体"/>
          <w:kern w:val="0"/>
          <w:sz w:val="22"/>
          <w:szCs w:val="22"/>
        </w:rPr>
        <w:t>D.其他可能影响采购公正的利害关系</w:t>
      </w:r>
      <w:r>
        <w:rPr>
          <w:rStyle w:val="35"/>
          <w:rFonts w:hint="default"/>
          <w:color w:val="auto"/>
          <w:sz w:val="22"/>
          <w:szCs w:val="22"/>
        </w:rPr>
        <w:t>（如有，请如实说明）</w:t>
      </w:r>
      <w:r>
        <w:rPr>
          <w:rFonts w:hint="eastAsia" w:ascii="宋体" w:hAnsi="宋体" w:cs="宋体"/>
          <w:kern w:val="0"/>
          <w:sz w:val="22"/>
          <w:szCs w:val="22"/>
        </w:rPr>
        <w:t>。</w:t>
      </w:r>
    </w:p>
    <w:p>
      <w:pPr>
        <w:spacing w:line="360" w:lineRule="auto"/>
        <w:rPr>
          <w:rFonts w:ascii="宋体" w:hAnsi="宋体" w:cs="宋体"/>
          <w:kern w:val="0"/>
          <w:sz w:val="22"/>
          <w:szCs w:val="22"/>
        </w:rPr>
      </w:pPr>
      <w:r>
        <w:rPr>
          <w:rFonts w:hint="eastAsia" w:ascii="宋体" w:hAnsi="宋体" w:cs="宋体"/>
          <w:kern w:val="0"/>
          <w:sz w:val="22"/>
          <w:szCs w:val="22"/>
        </w:rPr>
        <w:t>现已清楚知道参加本项目采购活动的其他所有供应商名称，本单位</w:t>
      </w:r>
    </w:p>
    <w:p>
      <w:pPr>
        <w:spacing w:line="360" w:lineRule="auto"/>
        <w:rPr>
          <w:rFonts w:ascii="宋体" w:hAnsi="宋体" w:cs="宋体"/>
          <w:kern w:val="0"/>
          <w:sz w:val="22"/>
          <w:szCs w:val="22"/>
        </w:rPr>
      </w:pPr>
      <w:r>
        <w:rPr>
          <w:rFonts w:hint="eastAsia" w:ascii="宋体" w:hAnsi="宋体" w:cs="宋体"/>
          <w:kern w:val="0"/>
          <w:sz w:val="22"/>
          <w:szCs w:val="22"/>
        </w:rPr>
        <w:t>□与其他所有供应商之间均不存在利害关系</w:t>
      </w:r>
    </w:p>
    <w:p>
      <w:pPr>
        <w:spacing w:line="360" w:lineRule="auto"/>
        <w:rPr>
          <w:rFonts w:ascii="宋体" w:hAnsi="宋体" w:cs="宋体"/>
          <w:kern w:val="0"/>
          <w:sz w:val="22"/>
          <w:szCs w:val="22"/>
        </w:rPr>
      </w:pPr>
      <w:r>
        <w:rPr>
          <w:rFonts w:hint="eastAsia" w:ascii="宋体" w:hAnsi="宋体" w:cs="宋体"/>
          <w:kern w:val="0"/>
          <w:sz w:val="22"/>
          <w:szCs w:val="22"/>
        </w:rPr>
        <w:t>□与</w:t>
      </w:r>
      <w:r>
        <w:rPr>
          <w:rFonts w:hint="eastAsia" w:ascii="宋体" w:hAnsi="宋体" w:cs="宋体"/>
          <w:kern w:val="0"/>
          <w:sz w:val="22"/>
          <w:szCs w:val="22"/>
          <w:u w:val="single"/>
        </w:rPr>
        <w:t>（</w:t>
      </w:r>
      <w:r>
        <w:rPr>
          <w:rFonts w:hint="eastAsia" w:ascii="宋体" w:hAnsi="宋体" w:cs="宋体"/>
          <w:kern w:val="0"/>
          <w:sz w:val="22"/>
          <w:szCs w:val="22"/>
        </w:rPr>
        <w:t>供应商名称）之间存在下列利害关系：</w:t>
      </w:r>
    </w:p>
    <w:p>
      <w:pPr>
        <w:spacing w:line="360" w:lineRule="auto"/>
        <w:rPr>
          <w:rFonts w:ascii="宋体" w:hAnsi="宋体" w:cs="宋体"/>
          <w:kern w:val="0"/>
          <w:sz w:val="22"/>
          <w:szCs w:val="22"/>
        </w:rPr>
      </w:pPr>
      <w:r>
        <w:rPr>
          <w:rFonts w:hint="eastAsia" w:ascii="宋体" w:hAnsi="宋体" w:cs="宋体"/>
          <w:kern w:val="0"/>
          <w:sz w:val="22"/>
          <w:szCs w:val="22"/>
        </w:rPr>
        <w:t>A.法定代表人或负责人或实际控制人是同一人</w:t>
      </w:r>
    </w:p>
    <w:p>
      <w:pPr>
        <w:spacing w:line="360" w:lineRule="auto"/>
        <w:rPr>
          <w:rFonts w:ascii="宋体" w:hAnsi="宋体" w:cs="宋体"/>
          <w:kern w:val="0"/>
          <w:sz w:val="22"/>
          <w:szCs w:val="22"/>
        </w:rPr>
      </w:pPr>
      <w:r>
        <w:rPr>
          <w:rFonts w:hint="eastAsia" w:ascii="宋体" w:hAnsi="宋体" w:cs="宋体"/>
          <w:kern w:val="0"/>
          <w:sz w:val="22"/>
          <w:szCs w:val="22"/>
        </w:rPr>
        <w:t>B.法定代表人或负责人或实际控制人是夫妻关系</w:t>
      </w:r>
    </w:p>
    <w:p>
      <w:pPr>
        <w:spacing w:line="360" w:lineRule="auto"/>
        <w:rPr>
          <w:rFonts w:ascii="宋体" w:hAnsi="宋体" w:cs="宋体"/>
          <w:kern w:val="0"/>
          <w:sz w:val="22"/>
          <w:szCs w:val="22"/>
        </w:rPr>
      </w:pPr>
      <w:r>
        <w:rPr>
          <w:rFonts w:hint="eastAsia" w:ascii="宋体" w:hAnsi="宋体" w:cs="宋体"/>
          <w:kern w:val="0"/>
          <w:sz w:val="22"/>
          <w:szCs w:val="22"/>
        </w:rPr>
        <w:t>C.法定代表人或负责人或实际控制人是直系血亲关系</w:t>
      </w:r>
    </w:p>
    <w:p>
      <w:pPr>
        <w:spacing w:line="360" w:lineRule="auto"/>
        <w:rPr>
          <w:rFonts w:ascii="宋体" w:hAnsi="宋体" w:cs="宋体"/>
          <w:kern w:val="0"/>
          <w:sz w:val="22"/>
          <w:szCs w:val="22"/>
        </w:rPr>
      </w:pPr>
      <w:r>
        <w:rPr>
          <w:rFonts w:hint="eastAsia" w:ascii="宋体" w:hAnsi="宋体" w:cs="宋体"/>
          <w:kern w:val="0"/>
          <w:sz w:val="22"/>
          <w:szCs w:val="22"/>
        </w:rPr>
        <w:t>D.法定代表人或负责人或实际控制人存在三代以内旁系血亲关系</w:t>
      </w:r>
    </w:p>
    <w:p>
      <w:pPr>
        <w:spacing w:line="360" w:lineRule="auto"/>
        <w:rPr>
          <w:rFonts w:ascii="宋体" w:hAnsi="宋体" w:cs="宋体"/>
          <w:kern w:val="0"/>
          <w:sz w:val="22"/>
          <w:szCs w:val="22"/>
        </w:rPr>
      </w:pPr>
      <w:r>
        <w:rPr>
          <w:rFonts w:hint="eastAsia" w:ascii="宋体" w:hAnsi="宋体" w:cs="宋体"/>
          <w:kern w:val="0"/>
          <w:sz w:val="22"/>
          <w:szCs w:val="22"/>
        </w:rPr>
        <w:t>E.法定代表人或负责人或实际控制人存在近姻亲关系</w:t>
      </w:r>
    </w:p>
    <w:p>
      <w:pPr>
        <w:spacing w:line="360" w:lineRule="auto"/>
        <w:rPr>
          <w:rFonts w:ascii="宋体" w:hAnsi="宋体" w:cs="宋体"/>
          <w:kern w:val="0"/>
          <w:sz w:val="22"/>
          <w:szCs w:val="22"/>
        </w:rPr>
      </w:pPr>
      <w:r>
        <w:rPr>
          <w:rFonts w:hint="eastAsia" w:ascii="宋体" w:hAnsi="宋体" w:cs="宋体"/>
          <w:kern w:val="0"/>
          <w:sz w:val="22"/>
          <w:szCs w:val="22"/>
        </w:rPr>
        <w:t>F.法定代表人或负责人或实际控制人存在股份控制或实际控制关系</w:t>
      </w:r>
    </w:p>
    <w:p>
      <w:pPr>
        <w:spacing w:line="360" w:lineRule="auto"/>
        <w:rPr>
          <w:rFonts w:ascii="宋体" w:hAnsi="宋体" w:cs="宋体"/>
          <w:kern w:val="0"/>
          <w:sz w:val="22"/>
          <w:szCs w:val="22"/>
        </w:rPr>
      </w:pPr>
      <w:r>
        <w:rPr>
          <w:rFonts w:hint="eastAsia" w:ascii="宋体" w:hAnsi="宋体" w:cs="宋体"/>
          <w:kern w:val="0"/>
          <w:sz w:val="22"/>
          <w:szCs w:val="22"/>
        </w:rPr>
        <w:t>G.存在共同直接或间接投资设立子公司、联营企业和合营企业情况</w:t>
      </w:r>
    </w:p>
    <w:p>
      <w:pPr>
        <w:spacing w:line="360" w:lineRule="auto"/>
        <w:rPr>
          <w:rFonts w:ascii="宋体" w:hAnsi="宋体" w:cs="宋体"/>
          <w:kern w:val="0"/>
          <w:sz w:val="22"/>
          <w:szCs w:val="22"/>
        </w:rPr>
      </w:pPr>
      <w:r>
        <w:rPr>
          <w:rFonts w:hint="eastAsia" w:ascii="宋体" w:hAnsi="宋体" w:cs="宋体"/>
          <w:kern w:val="0"/>
          <w:sz w:val="22"/>
          <w:szCs w:val="22"/>
        </w:rPr>
        <w:t>H.存在分级代理或代销关系、同一生产制造商关系、管理关系、重要业务（占主营业务收入50%以上）或重要财务往来关系（如融资）等其他实质性控制关系</w:t>
      </w:r>
    </w:p>
    <w:p>
      <w:pPr>
        <w:spacing w:line="360" w:lineRule="auto"/>
        <w:rPr>
          <w:rFonts w:ascii="宋体" w:hAnsi="宋体" w:cs="宋体"/>
          <w:kern w:val="0"/>
          <w:sz w:val="22"/>
          <w:szCs w:val="22"/>
        </w:rPr>
      </w:pPr>
      <w:r>
        <w:rPr>
          <w:rFonts w:hint="eastAsia" w:ascii="宋体" w:hAnsi="宋体" w:cs="宋体"/>
          <w:kern w:val="0"/>
          <w:sz w:val="22"/>
          <w:szCs w:val="22"/>
        </w:rPr>
        <w:t>I.其他利害关系情况</w:t>
      </w:r>
      <w:r>
        <w:rPr>
          <w:rFonts w:hint="eastAsia" w:ascii="宋体" w:hAnsi="宋体" w:cs="宋体"/>
          <w:kern w:val="0"/>
          <w:sz w:val="22"/>
          <w:szCs w:val="22"/>
          <w:u w:val="single"/>
        </w:rPr>
        <w:t>。</w:t>
      </w:r>
    </w:p>
    <w:p>
      <w:pPr>
        <w:pStyle w:val="11"/>
        <w:spacing w:line="360" w:lineRule="auto"/>
        <w:ind w:firstLine="0"/>
        <w:rPr>
          <w:rFonts w:hAnsi="宋体" w:cs="宋体"/>
          <w:kern w:val="0"/>
          <w:sz w:val="22"/>
          <w:szCs w:val="22"/>
        </w:rPr>
      </w:pPr>
      <w:r>
        <w:rPr>
          <w:rFonts w:hint="eastAsia" w:hAnsi="宋体" w:cs="宋体"/>
          <w:kern w:val="0"/>
          <w:sz w:val="22"/>
          <w:szCs w:val="22"/>
        </w:rPr>
        <w:t>（三）现已清楚知道并严格遵守政府采购法律法规和现场纪律</w:t>
      </w:r>
    </w:p>
    <w:p>
      <w:pPr>
        <w:pStyle w:val="11"/>
        <w:spacing w:line="360" w:lineRule="auto"/>
        <w:ind w:firstLine="0"/>
        <w:rPr>
          <w:rFonts w:hAnsi="宋体" w:cs="宋体"/>
          <w:kern w:val="0"/>
          <w:sz w:val="22"/>
          <w:szCs w:val="22"/>
        </w:rPr>
      </w:pPr>
      <w:r>
        <w:rPr>
          <w:rFonts w:hint="eastAsia" w:hAnsi="宋体" w:cs="宋体"/>
          <w:kern w:val="0"/>
          <w:sz w:val="22"/>
          <w:szCs w:val="22"/>
        </w:rPr>
        <w:t>（四）我发现</w:t>
      </w:r>
      <w:r>
        <w:rPr>
          <w:rStyle w:val="35"/>
          <w:rFonts w:hint="default"/>
          <w:color w:val="auto"/>
          <w:sz w:val="22"/>
          <w:szCs w:val="22"/>
        </w:rPr>
        <w:t>与（供应商名称）</w:t>
      </w:r>
      <w:r>
        <w:rPr>
          <w:rFonts w:hint="eastAsia" w:hAnsi="宋体" w:cs="宋体"/>
          <w:kern w:val="0"/>
          <w:sz w:val="22"/>
          <w:szCs w:val="22"/>
        </w:rPr>
        <w:t>之间存在或可能存在上述第二条第项利害关系。</w:t>
      </w:r>
    </w:p>
    <w:p>
      <w:pPr>
        <w:pStyle w:val="11"/>
        <w:spacing w:line="360" w:lineRule="auto"/>
        <w:ind w:firstLine="0"/>
        <w:rPr>
          <w:rFonts w:hAnsi="宋体" w:cs="宋体"/>
          <w:b/>
          <w:kern w:val="0"/>
          <w:sz w:val="22"/>
          <w:szCs w:val="22"/>
        </w:rPr>
      </w:pPr>
      <w:r>
        <w:rPr>
          <w:rFonts w:hint="eastAsia" w:hAnsi="宋体" w:cs="宋体"/>
          <w:b/>
          <w:kern w:val="0"/>
          <w:sz w:val="22"/>
          <w:szCs w:val="22"/>
        </w:rPr>
        <w:t>供应商代表签名:</w:t>
      </w:r>
    </w:p>
    <w:p>
      <w:pPr>
        <w:pStyle w:val="11"/>
        <w:spacing w:line="360" w:lineRule="auto"/>
        <w:ind w:firstLine="0"/>
        <w:jc w:val="right"/>
        <w:rPr>
          <w:rFonts w:hAnsi="宋体" w:cs="宋体"/>
          <w:b/>
          <w:kern w:val="0"/>
          <w:sz w:val="22"/>
          <w:szCs w:val="22"/>
        </w:rPr>
      </w:pPr>
    </w:p>
    <w:p>
      <w:pPr>
        <w:pStyle w:val="11"/>
        <w:spacing w:line="360" w:lineRule="auto"/>
        <w:ind w:firstLine="0"/>
        <w:jc w:val="right"/>
        <w:rPr>
          <w:rFonts w:hAnsi="宋体" w:cs="宋体"/>
          <w:b/>
          <w:kern w:val="0"/>
          <w:sz w:val="22"/>
          <w:szCs w:val="22"/>
        </w:rPr>
      </w:pPr>
      <w:r>
        <w:rPr>
          <w:rFonts w:hint="eastAsia" w:hAnsi="宋体" w:cs="宋体"/>
          <w:b/>
          <w:kern w:val="0"/>
          <w:sz w:val="22"/>
          <w:szCs w:val="22"/>
        </w:rPr>
        <w:t>日期:年月日</w:t>
      </w:r>
    </w:p>
    <w:p>
      <w:pPr>
        <w:adjustRightInd w:val="0"/>
        <w:snapToGrid w:val="0"/>
        <w:spacing w:line="360" w:lineRule="auto"/>
        <w:ind w:firstLine="709" w:firstLineChars="197"/>
        <w:jc w:val="center"/>
        <w:rPr>
          <w:rFonts w:ascii="宋体" w:hAnsi="宋体" w:cs="宋体"/>
          <w:b/>
          <w:bCs/>
          <w:sz w:val="36"/>
          <w:szCs w:val="36"/>
        </w:rPr>
      </w:pPr>
      <w:r>
        <w:rPr>
          <w:rFonts w:hint="eastAsia" w:ascii="宋体" w:hAnsi="宋体" w:cs="宋体"/>
          <w:b/>
          <w:bCs/>
          <w:sz w:val="36"/>
          <w:szCs w:val="36"/>
        </w:rPr>
        <w:t>（10）投标人其他资质证书、认证证书、社保证明等扫描件（如需）</w:t>
      </w:r>
    </w:p>
    <w:p/>
    <w:p>
      <w:pPr>
        <w:adjustRightInd w:val="0"/>
        <w:snapToGrid w:val="0"/>
        <w:spacing w:line="360" w:lineRule="auto"/>
        <w:ind w:firstLine="709" w:firstLineChars="197"/>
        <w:jc w:val="center"/>
        <w:rPr>
          <w:rFonts w:ascii="宋体" w:hAnsi="宋体" w:cs="宋体"/>
          <w:b/>
          <w:bCs/>
          <w:sz w:val="36"/>
          <w:szCs w:val="36"/>
        </w:rPr>
      </w:pPr>
    </w:p>
    <w:p>
      <w:pPr>
        <w:adjustRightInd w:val="0"/>
        <w:snapToGrid w:val="0"/>
        <w:spacing w:line="360" w:lineRule="auto"/>
        <w:ind w:firstLine="709" w:firstLineChars="197"/>
        <w:jc w:val="center"/>
        <w:rPr>
          <w:rFonts w:ascii="宋体" w:hAnsi="宋体" w:cs="宋体"/>
          <w:b/>
          <w:bCs/>
          <w:sz w:val="36"/>
          <w:szCs w:val="36"/>
        </w:rPr>
      </w:pPr>
    </w:p>
    <w:p>
      <w:pPr>
        <w:adjustRightInd w:val="0"/>
        <w:snapToGrid w:val="0"/>
        <w:spacing w:line="360" w:lineRule="auto"/>
        <w:ind w:firstLine="709" w:firstLineChars="197"/>
        <w:jc w:val="center"/>
        <w:rPr>
          <w:rFonts w:ascii="宋体" w:hAnsi="宋体" w:cs="宋体"/>
          <w:b/>
          <w:bCs/>
          <w:sz w:val="36"/>
          <w:szCs w:val="36"/>
        </w:rPr>
      </w:pPr>
    </w:p>
    <w:p>
      <w:pPr>
        <w:adjustRightInd w:val="0"/>
        <w:snapToGrid w:val="0"/>
        <w:spacing w:line="360" w:lineRule="auto"/>
        <w:ind w:firstLine="709" w:firstLineChars="197"/>
        <w:jc w:val="center"/>
        <w:rPr>
          <w:rFonts w:ascii="宋体" w:hAnsi="宋体" w:cs="宋体"/>
          <w:b/>
          <w:bCs/>
          <w:sz w:val="36"/>
          <w:szCs w:val="36"/>
        </w:rPr>
      </w:pPr>
    </w:p>
    <w:p>
      <w:pPr>
        <w:adjustRightInd w:val="0"/>
        <w:snapToGrid w:val="0"/>
        <w:spacing w:line="360" w:lineRule="auto"/>
        <w:ind w:firstLine="709" w:firstLineChars="197"/>
        <w:jc w:val="center"/>
        <w:rPr>
          <w:rFonts w:ascii="宋体" w:hAnsi="宋体" w:cs="宋体"/>
          <w:b/>
          <w:bCs/>
          <w:sz w:val="36"/>
          <w:szCs w:val="36"/>
        </w:rPr>
      </w:pPr>
    </w:p>
    <w:p>
      <w:pPr>
        <w:adjustRightInd w:val="0"/>
        <w:snapToGrid w:val="0"/>
        <w:spacing w:line="360" w:lineRule="auto"/>
        <w:ind w:firstLine="709" w:firstLineChars="197"/>
        <w:jc w:val="center"/>
        <w:rPr>
          <w:rFonts w:ascii="宋体" w:hAnsi="宋体" w:cs="宋体"/>
          <w:b/>
          <w:bCs/>
          <w:sz w:val="36"/>
          <w:szCs w:val="36"/>
        </w:rPr>
      </w:pPr>
    </w:p>
    <w:p>
      <w:pPr>
        <w:adjustRightInd w:val="0"/>
        <w:snapToGrid w:val="0"/>
        <w:spacing w:line="360" w:lineRule="auto"/>
        <w:ind w:firstLine="709" w:firstLineChars="197"/>
        <w:jc w:val="center"/>
        <w:rPr>
          <w:rFonts w:ascii="宋体" w:hAnsi="宋体" w:cs="宋体"/>
          <w:b/>
          <w:bCs/>
          <w:sz w:val="36"/>
          <w:szCs w:val="36"/>
        </w:rPr>
        <w:sectPr>
          <w:footerReference r:id="rId13" w:type="default"/>
          <w:type w:val="nextColumn"/>
          <w:pgSz w:w="11906" w:h="16838"/>
          <w:pgMar w:top="1440" w:right="1134" w:bottom="1440" w:left="1559" w:header="851" w:footer="992" w:gutter="0"/>
          <w:cols w:space="720" w:num="1"/>
          <w:docGrid w:type="linesAndChars" w:linePitch="312" w:charSpace="0"/>
        </w:sectPr>
      </w:pPr>
      <w:r>
        <w:rPr>
          <w:rFonts w:hint="eastAsia" w:ascii="宋体" w:hAnsi="宋体" w:cs="宋体"/>
          <w:b/>
          <w:bCs/>
          <w:sz w:val="36"/>
          <w:szCs w:val="36"/>
        </w:rPr>
        <w:t>（11）特定资格条件证明材料扫描件（若有）</w:t>
      </w:r>
    </w:p>
    <w:p>
      <w:pPr>
        <w:snapToGrid w:val="0"/>
        <w:spacing w:before="50" w:after="50" w:line="360" w:lineRule="auto"/>
        <w:rPr>
          <w:rFonts w:ascii="宋体" w:hAnsi="宋体" w:cs="宋体"/>
          <w:b/>
          <w:bCs/>
          <w:sz w:val="36"/>
          <w:szCs w:val="36"/>
        </w:rPr>
      </w:pPr>
      <w:r>
        <w:rPr>
          <w:rFonts w:hint="eastAsia" w:ascii="宋体" w:hAnsi="宋体" w:cs="宋体"/>
          <w:sz w:val="36"/>
          <w:szCs w:val="36"/>
        </w:rPr>
        <w:t>2、</w:t>
      </w:r>
      <w:r>
        <w:rPr>
          <w:rFonts w:hint="eastAsia" w:ascii="宋体" w:hAnsi="宋体" w:cs="宋体"/>
          <w:b/>
          <w:bCs/>
          <w:sz w:val="36"/>
          <w:szCs w:val="36"/>
        </w:rPr>
        <w:t>商务技术文件目录</w:t>
      </w:r>
    </w:p>
    <w:p>
      <w:pPr>
        <w:snapToGrid w:val="0"/>
        <w:spacing w:line="360" w:lineRule="auto"/>
        <w:ind w:firstLine="828" w:firstLineChars="296"/>
        <w:jc w:val="left"/>
        <w:rPr>
          <w:rFonts w:ascii="宋体" w:hAnsi="宋体" w:cs="宋体"/>
          <w:sz w:val="28"/>
          <w:szCs w:val="28"/>
        </w:rPr>
      </w:pPr>
      <w:r>
        <w:rPr>
          <w:rFonts w:hint="eastAsia" w:ascii="宋体" w:hAnsi="宋体" w:cs="宋体"/>
          <w:sz w:val="28"/>
          <w:szCs w:val="28"/>
        </w:rPr>
        <w:t>(1)投标函</w:t>
      </w:r>
    </w:p>
    <w:p>
      <w:pPr>
        <w:snapToGrid w:val="0"/>
        <w:spacing w:line="360" w:lineRule="auto"/>
        <w:ind w:firstLine="548" w:firstLineChars="196"/>
        <w:jc w:val="left"/>
        <w:rPr>
          <w:rFonts w:ascii="宋体" w:hAnsi="宋体" w:cs="宋体"/>
          <w:sz w:val="28"/>
          <w:szCs w:val="28"/>
        </w:rPr>
      </w:pPr>
      <w:r>
        <w:rPr>
          <w:rFonts w:hint="eastAsia" w:ascii="宋体" w:hAnsi="宋体" w:cs="宋体"/>
          <w:sz w:val="28"/>
          <w:szCs w:val="28"/>
        </w:rPr>
        <w:t>（2）技术及商务偏离表</w:t>
      </w:r>
    </w:p>
    <w:p>
      <w:pPr>
        <w:snapToGrid w:val="0"/>
        <w:spacing w:line="360" w:lineRule="auto"/>
        <w:ind w:firstLine="548" w:firstLineChars="196"/>
        <w:jc w:val="left"/>
        <w:rPr>
          <w:rFonts w:ascii="宋体" w:hAnsi="宋体" w:cs="宋体"/>
          <w:sz w:val="28"/>
          <w:szCs w:val="28"/>
        </w:rPr>
      </w:pPr>
      <w:r>
        <w:rPr>
          <w:rFonts w:hint="eastAsia" w:ascii="宋体" w:hAnsi="宋体" w:cs="宋体"/>
          <w:sz w:val="28"/>
          <w:szCs w:val="28"/>
        </w:rPr>
        <w:t>（3）投标人投标截止时间前三年内同类项目业绩</w:t>
      </w:r>
    </w:p>
    <w:p>
      <w:pPr>
        <w:snapToGrid w:val="0"/>
        <w:spacing w:line="360" w:lineRule="auto"/>
        <w:ind w:firstLine="548" w:firstLineChars="196"/>
        <w:jc w:val="left"/>
        <w:rPr>
          <w:rFonts w:ascii="宋体" w:hAnsi="宋体" w:cs="宋体"/>
          <w:sz w:val="28"/>
          <w:szCs w:val="28"/>
        </w:rPr>
      </w:pPr>
      <w:r>
        <w:rPr>
          <w:rFonts w:hint="eastAsia" w:ascii="宋体" w:hAnsi="宋体" w:cs="宋体"/>
          <w:sz w:val="28"/>
          <w:szCs w:val="28"/>
        </w:rPr>
        <w:t>（4）拟派项目负责人（经理）相关情况</w:t>
      </w:r>
    </w:p>
    <w:p>
      <w:pPr>
        <w:snapToGrid w:val="0"/>
        <w:spacing w:line="360" w:lineRule="auto"/>
        <w:ind w:firstLine="548" w:firstLineChars="196"/>
        <w:jc w:val="left"/>
        <w:rPr>
          <w:rFonts w:ascii="宋体" w:hAnsi="宋体" w:cs="宋体"/>
          <w:sz w:val="28"/>
          <w:szCs w:val="28"/>
        </w:rPr>
      </w:pPr>
      <w:r>
        <w:rPr>
          <w:rFonts w:hint="eastAsia" w:ascii="宋体" w:hAnsi="宋体" w:cs="宋体"/>
          <w:sz w:val="28"/>
          <w:szCs w:val="28"/>
        </w:rPr>
        <w:t>（5）各服务人员配置情况</w:t>
      </w:r>
    </w:p>
    <w:p>
      <w:pPr>
        <w:snapToGrid w:val="0"/>
        <w:spacing w:line="360" w:lineRule="auto"/>
        <w:ind w:firstLine="548" w:firstLineChars="196"/>
        <w:jc w:val="left"/>
        <w:rPr>
          <w:rFonts w:ascii="宋体" w:hAnsi="宋体" w:cs="宋体"/>
          <w:sz w:val="28"/>
          <w:szCs w:val="28"/>
        </w:rPr>
      </w:pPr>
      <w:r>
        <w:rPr>
          <w:rFonts w:hint="eastAsia" w:ascii="宋体" w:hAnsi="宋体" w:cs="宋体"/>
          <w:sz w:val="28"/>
          <w:szCs w:val="28"/>
        </w:rPr>
        <w:t>（6）</w:t>
      </w:r>
      <w:r>
        <w:rPr>
          <w:rFonts w:hint="eastAsia" w:ascii="宋体" w:hAnsi="宋体" w:cs="宋体"/>
          <w:sz w:val="28"/>
          <w:szCs w:val="28"/>
          <w:lang w:val="zh-CN"/>
        </w:rPr>
        <w:t>标线维护方案</w:t>
      </w:r>
    </w:p>
    <w:p>
      <w:pPr>
        <w:snapToGrid w:val="0"/>
        <w:spacing w:line="360" w:lineRule="auto"/>
        <w:ind w:firstLine="548" w:firstLineChars="196"/>
        <w:jc w:val="left"/>
        <w:rPr>
          <w:rFonts w:ascii="宋体" w:hAnsi="宋体" w:cs="宋体"/>
          <w:sz w:val="28"/>
          <w:szCs w:val="28"/>
          <w:lang w:val="zh-CN"/>
        </w:rPr>
      </w:pPr>
      <w:r>
        <w:rPr>
          <w:rFonts w:hint="eastAsia" w:ascii="宋体" w:hAnsi="宋体" w:cs="宋体"/>
          <w:sz w:val="28"/>
          <w:szCs w:val="28"/>
        </w:rPr>
        <w:t>（7）</w:t>
      </w:r>
      <w:r>
        <w:rPr>
          <w:rFonts w:hint="eastAsia" w:ascii="宋体" w:hAnsi="宋体" w:cs="宋体"/>
          <w:sz w:val="28"/>
          <w:szCs w:val="28"/>
          <w:lang w:val="zh-CN"/>
        </w:rPr>
        <w:t>安装施工组织方案</w:t>
      </w:r>
    </w:p>
    <w:p>
      <w:pPr>
        <w:snapToGrid w:val="0"/>
        <w:spacing w:line="360" w:lineRule="auto"/>
        <w:ind w:firstLine="548" w:firstLineChars="196"/>
        <w:jc w:val="left"/>
        <w:rPr>
          <w:rFonts w:ascii="宋体" w:hAnsi="宋体" w:cs="宋体"/>
          <w:sz w:val="28"/>
          <w:szCs w:val="28"/>
        </w:rPr>
      </w:pPr>
      <w:r>
        <w:rPr>
          <w:rFonts w:hint="eastAsia" w:ascii="宋体" w:hAnsi="宋体" w:cs="宋体"/>
          <w:sz w:val="28"/>
          <w:szCs w:val="28"/>
          <w:lang w:val="zh-CN"/>
        </w:rPr>
        <w:t>（</w:t>
      </w:r>
      <w:r>
        <w:rPr>
          <w:rFonts w:hint="eastAsia" w:ascii="宋体" w:hAnsi="宋体" w:cs="宋体"/>
          <w:sz w:val="28"/>
          <w:szCs w:val="28"/>
        </w:rPr>
        <w:t>8）</w:t>
      </w:r>
      <w:r>
        <w:rPr>
          <w:rFonts w:hint="eastAsia" w:ascii="宋体" w:hAnsi="宋体" w:cs="宋体"/>
          <w:sz w:val="28"/>
          <w:szCs w:val="28"/>
          <w:lang w:val="zh-CN"/>
        </w:rPr>
        <w:t>现场施工车辆方案</w:t>
      </w:r>
    </w:p>
    <w:p>
      <w:pPr>
        <w:snapToGrid w:val="0"/>
        <w:spacing w:line="360" w:lineRule="auto"/>
        <w:ind w:firstLine="548" w:firstLineChars="196"/>
        <w:jc w:val="left"/>
        <w:rPr>
          <w:rFonts w:ascii="宋体" w:hAnsi="宋体" w:cs="宋体"/>
          <w:sz w:val="28"/>
          <w:szCs w:val="28"/>
          <w:lang w:val="zh-CN"/>
        </w:rPr>
      </w:pPr>
      <w:r>
        <w:rPr>
          <w:rFonts w:hint="eastAsia" w:ascii="宋体" w:hAnsi="宋体" w:cs="宋体"/>
          <w:sz w:val="28"/>
          <w:szCs w:val="28"/>
          <w:lang w:val="zh-CN"/>
        </w:rPr>
        <w:t>（</w:t>
      </w:r>
      <w:r>
        <w:rPr>
          <w:rFonts w:hint="eastAsia" w:ascii="宋体" w:hAnsi="宋体" w:cs="宋体"/>
          <w:sz w:val="28"/>
          <w:szCs w:val="28"/>
        </w:rPr>
        <w:t>9）</w:t>
      </w:r>
      <w:r>
        <w:rPr>
          <w:rFonts w:hint="eastAsia" w:ascii="宋体" w:hAnsi="宋体" w:cs="宋体"/>
          <w:sz w:val="28"/>
          <w:szCs w:val="28"/>
          <w:lang w:val="zh-CN"/>
        </w:rPr>
        <w:t>安全防护措施方案</w:t>
      </w:r>
    </w:p>
    <w:p>
      <w:pPr>
        <w:snapToGrid w:val="0"/>
        <w:spacing w:line="360" w:lineRule="auto"/>
        <w:ind w:firstLine="548" w:firstLineChars="196"/>
        <w:jc w:val="left"/>
        <w:rPr>
          <w:rFonts w:ascii="宋体" w:hAnsi="宋体" w:cs="宋体"/>
          <w:sz w:val="28"/>
          <w:szCs w:val="28"/>
        </w:rPr>
      </w:pPr>
      <w:r>
        <w:rPr>
          <w:rFonts w:hint="eastAsia" w:ascii="宋体" w:hAnsi="宋体" w:cs="宋体"/>
          <w:sz w:val="28"/>
          <w:szCs w:val="28"/>
          <w:lang w:val="zh-CN"/>
        </w:rPr>
        <w:t>（</w:t>
      </w:r>
      <w:r>
        <w:rPr>
          <w:rFonts w:hint="eastAsia" w:ascii="宋体" w:hAnsi="宋体" w:cs="宋体"/>
          <w:sz w:val="28"/>
          <w:szCs w:val="28"/>
        </w:rPr>
        <w:t>10）</w:t>
      </w:r>
      <w:r>
        <w:rPr>
          <w:rFonts w:hint="eastAsia" w:ascii="宋体" w:hAnsi="宋体" w:cs="宋体"/>
          <w:sz w:val="28"/>
          <w:szCs w:val="28"/>
          <w:lang w:val="zh-CN"/>
        </w:rPr>
        <w:t>项目“设备材料制作”</w:t>
      </w:r>
      <w:r>
        <w:rPr>
          <w:rFonts w:hint="eastAsia" w:ascii="宋体" w:hAnsi="宋体" w:cs="宋体"/>
          <w:sz w:val="28"/>
          <w:szCs w:val="28"/>
        </w:rPr>
        <w:t>情况</w:t>
      </w:r>
    </w:p>
    <w:p>
      <w:pPr>
        <w:snapToGrid w:val="0"/>
        <w:spacing w:line="360" w:lineRule="auto"/>
        <w:ind w:firstLine="548" w:firstLineChars="196"/>
        <w:jc w:val="left"/>
        <w:rPr>
          <w:rFonts w:ascii="宋体" w:hAnsi="宋体" w:cs="宋体"/>
          <w:sz w:val="28"/>
          <w:szCs w:val="28"/>
        </w:rPr>
      </w:pPr>
      <w:r>
        <w:rPr>
          <w:rFonts w:hint="eastAsia" w:ascii="宋体" w:hAnsi="宋体" w:cs="宋体"/>
          <w:sz w:val="28"/>
          <w:szCs w:val="28"/>
        </w:rPr>
        <w:t>（11）</w:t>
      </w:r>
      <w:r>
        <w:rPr>
          <w:rFonts w:hint="eastAsia" w:ascii="宋体" w:hAnsi="宋体" w:cs="宋体"/>
          <w:sz w:val="28"/>
          <w:szCs w:val="28"/>
          <w:lang w:val="zh-CN"/>
        </w:rPr>
        <w:t>设施巡查方案</w:t>
      </w:r>
    </w:p>
    <w:p>
      <w:pPr>
        <w:snapToGrid w:val="0"/>
        <w:spacing w:line="360" w:lineRule="auto"/>
        <w:ind w:firstLine="548" w:firstLineChars="196"/>
        <w:jc w:val="left"/>
        <w:rPr>
          <w:rFonts w:ascii="宋体" w:hAnsi="宋体" w:cs="宋体"/>
          <w:sz w:val="28"/>
          <w:szCs w:val="28"/>
        </w:rPr>
      </w:pPr>
      <w:r>
        <w:rPr>
          <w:rFonts w:hint="eastAsia" w:ascii="宋体" w:hAnsi="宋体" w:cs="宋体"/>
          <w:sz w:val="28"/>
          <w:szCs w:val="28"/>
          <w:lang w:val="zh-CN"/>
        </w:rPr>
        <w:t>（</w:t>
      </w:r>
      <w:r>
        <w:rPr>
          <w:rFonts w:hint="eastAsia" w:ascii="宋体" w:hAnsi="宋体" w:cs="宋体"/>
          <w:sz w:val="28"/>
          <w:szCs w:val="28"/>
        </w:rPr>
        <w:t>12）</w:t>
      </w:r>
      <w:r>
        <w:rPr>
          <w:rFonts w:hint="eastAsia" w:ascii="宋体" w:hAnsi="宋体" w:cs="宋体"/>
          <w:sz w:val="28"/>
          <w:szCs w:val="28"/>
          <w:lang w:val="zh-CN"/>
        </w:rPr>
        <w:t>项目应急方案</w:t>
      </w:r>
    </w:p>
    <w:p>
      <w:pPr>
        <w:snapToGrid w:val="0"/>
        <w:spacing w:line="360" w:lineRule="auto"/>
        <w:ind w:firstLine="548" w:firstLineChars="196"/>
        <w:jc w:val="left"/>
        <w:rPr>
          <w:rFonts w:ascii="宋体" w:hAnsi="宋体" w:cs="宋体"/>
          <w:sz w:val="28"/>
          <w:szCs w:val="28"/>
          <w:lang w:val="zh-CN"/>
        </w:rPr>
      </w:pPr>
      <w:r>
        <w:rPr>
          <w:rFonts w:hint="eastAsia" w:ascii="宋体" w:hAnsi="宋体" w:cs="宋体"/>
          <w:sz w:val="28"/>
          <w:szCs w:val="28"/>
          <w:lang w:val="zh-CN"/>
        </w:rPr>
        <w:t>（</w:t>
      </w:r>
      <w:r>
        <w:rPr>
          <w:rFonts w:hint="eastAsia" w:ascii="宋体" w:hAnsi="宋体" w:cs="宋体"/>
          <w:sz w:val="28"/>
          <w:szCs w:val="28"/>
        </w:rPr>
        <w:t>13）</w:t>
      </w:r>
      <w:r>
        <w:rPr>
          <w:rFonts w:hint="eastAsia" w:ascii="宋体" w:hAnsi="宋体" w:cs="宋体"/>
          <w:sz w:val="28"/>
          <w:szCs w:val="28"/>
          <w:lang w:val="zh-CN"/>
        </w:rPr>
        <w:t>项目备品备件情况</w:t>
      </w:r>
    </w:p>
    <w:p>
      <w:pPr>
        <w:snapToGrid w:val="0"/>
        <w:spacing w:line="360" w:lineRule="auto"/>
        <w:ind w:firstLine="548" w:firstLineChars="196"/>
        <w:jc w:val="left"/>
        <w:rPr>
          <w:rFonts w:ascii="宋体" w:hAnsi="宋体" w:cs="宋体"/>
          <w:sz w:val="28"/>
          <w:szCs w:val="28"/>
        </w:rPr>
      </w:pPr>
      <w:r>
        <w:rPr>
          <w:rFonts w:hint="eastAsia" w:ascii="宋体" w:hAnsi="宋体" w:cs="宋体"/>
          <w:sz w:val="28"/>
          <w:szCs w:val="28"/>
        </w:rPr>
        <w:t>（14）项目履行承诺</w:t>
      </w:r>
    </w:p>
    <w:p>
      <w:pPr>
        <w:snapToGrid w:val="0"/>
        <w:spacing w:line="360" w:lineRule="auto"/>
        <w:ind w:firstLine="548" w:firstLineChars="196"/>
        <w:jc w:val="left"/>
        <w:rPr>
          <w:rFonts w:ascii="宋体" w:hAnsi="宋体" w:cs="宋体"/>
          <w:sz w:val="28"/>
          <w:szCs w:val="28"/>
        </w:rPr>
      </w:pPr>
      <w:r>
        <w:rPr>
          <w:rFonts w:hint="eastAsia" w:ascii="宋体" w:hAnsi="宋体" w:cs="宋体"/>
          <w:sz w:val="28"/>
          <w:szCs w:val="28"/>
        </w:rPr>
        <w:t>（15）评标标准相应的商务技术资料</w:t>
      </w:r>
    </w:p>
    <w:p>
      <w:pPr>
        <w:snapToGrid w:val="0"/>
        <w:spacing w:line="360" w:lineRule="auto"/>
        <w:ind w:firstLine="420" w:firstLineChars="200"/>
        <w:jc w:val="left"/>
        <w:rPr>
          <w:rFonts w:ascii="宋体" w:hAnsi="宋体" w:cs="宋体"/>
        </w:rPr>
      </w:pPr>
    </w:p>
    <w:p>
      <w:pPr>
        <w:snapToGrid w:val="0"/>
        <w:spacing w:line="360" w:lineRule="auto"/>
        <w:ind w:firstLine="420" w:firstLineChars="150"/>
        <w:jc w:val="left"/>
        <w:rPr>
          <w:rFonts w:ascii="宋体" w:hAnsi="宋体" w:cs="宋体"/>
          <w:sz w:val="28"/>
          <w:szCs w:val="28"/>
        </w:rPr>
        <w:sectPr>
          <w:pgSz w:w="11906" w:h="16838"/>
          <w:pgMar w:top="1440" w:right="1134" w:bottom="1440" w:left="1559" w:header="851" w:footer="992" w:gutter="0"/>
          <w:cols w:space="720" w:num="1"/>
          <w:docGrid w:type="linesAndChars" w:linePitch="312" w:charSpace="0"/>
        </w:sectPr>
      </w:pPr>
    </w:p>
    <w:p>
      <w:pPr>
        <w:snapToGrid w:val="0"/>
        <w:spacing w:line="360" w:lineRule="auto"/>
        <w:jc w:val="center"/>
        <w:outlineLvl w:val="0"/>
        <w:rPr>
          <w:rFonts w:ascii="宋体" w:hAnsi="宋体" w:cs="宋体"/>
          <w:b/>
          <w:sz w:val="32"/>
          <w:szCs w:val="32"/>
        </w:rPr>
      </w:pPr>
      <w:r>
        <w:rPr>
          <w:rFonts w:hint="eastAsia" w:ascii="宋体" w:hAnsi="宋体" w:cs="宋体"/>
          <w:b/>
          <w:kern w:val="0"/>
          <w:sz w:val="32"/>
          <w:szCs w:val="32"/>
        </w:rPr>
        <w:t>(1)投标</w:t>
      </w:r>
      <w:r>
        <w:rPr>
          <w:rFonts w:hint="eastAsia" w:ascii="宋体" w:hAnsi="宋体" w:cs="宋体"/>
          <w:b/>
          <w:sz w:val="32"/>
          <w:szCs w:val="32"/>
        </w:rPr>
        <w:t>函</w:t>
      </w:r>
    </w:p>
    <w:p>
      <w:pPr>
        <w:snapToGrid w:val="0"/>
        <w:spacing w:line="360" w:lineRule="auto"/>
        <w:rPr>
          <w:rFonts w:ascii="宋体" w:hAnsi="宋体" w:cs="宋体"/>
          <w:sz w:val="24"/>
        </w:rPr>
      </w:pPr>
      <w:r>
        <w:rPr>
          <w:rFonts w:hint="eastAsia" w:ascii="宋体" w:hAnsi="宋体" w:cs="宋体"/>
          <w:bCs/>
          <w:sz w:val="24"/>
        </w:rPr>
        <w:t>浙江五石中正工程咨询有限公司</w:t>
      </w:r>
      <w:r>
        <w:rPr>
          <w:rFonts w:hint="eastAsia" w:ascii="宋体" w:hAnsi="宋体" w:cs="宋体"/>
          <w:sz w:val="24"/>
        </w:rPr>
        <w:t>：</w:t>
      </w:r>
    </w:p>
    <w:p>
      <w:pPr>
        <w:snapToGrid w:val="0"/>
        <w:spacing w:line="360" w:lineRule="auto"/>
        <w:ind w:firstLine="480" w:firstLineChars="200"/>
        <w:rPr>
          <w:rFonts w:ascii="宋体" w:hAnsi="宋体" w:cs="宋体"/>
          <w:sz w:val="24"/>
        </w:rPr>
      </w:pPr>
      <w:r>
        <w:rPr>
          <w:rFonts w:hint="eastAsia" w:ascii="宋体" w:hAnsi="宋体" w:cs="宋体"/>
          <w:sz w:val="24"/>
        </w:rPr>
        <w:t>我方参加你方组织的2023年温州市区（三、五大队）道路标志、标线、隔离护栏及其他设施建设维护项目【招标编号：</w:t>
      </w:r>
      <w:r>
        <w:rPr>
          <w:rFonts w:hint="eastAsia" w:ascii="宋体" w:hAnsi="宋体" w:cs="宋体"/>
          <w:sz w:val="24"/>
          <w:lang w:eastAsia="zh-CN"/>
        </w:rPr>
        <w:t>ZJWS2022-WZJJ01-01</w:t>
      </w:r>
      <w:r>
        <w:rPr>
          <w:rFonts w:hint="eastAsia" w:ascii="宋体" w:hAnsi="宋体" w:cs="宋体"/>
          <w:sz w:val="24"/>
        </w:rPr>
        <w:t>】招标的有关活动，并对此项目进行投标。为此：</w:t>
      </w:r>
    </w:p>
    <w:p>
      <w:pPr>
        <w:snapToGrid w:val="0"/>
        <w:spacing w:line="360" w:lineRule="auto"/>
        <w:ind w:firstLine="480" w:firstLineChars="200"/>
        <w:rPr>
          <w:rFonts w:ascii="宋体" w:hAnsi="宋体" w:cs="宋体"/>
          <w:sz w:val="24"/>
        </w:rPr>
      </w:pPr>
      <w:r>
        <w:rPr>
          <w:rFonts w:hint="eastAsia" w:ascii="宋体" w:hAnsi="宋体" w:cs="宋体"/>
          <w:sz w:val="24"/>
        </w:rPr>
        <w:t>1、我方承诺投标有效期从提交投标文件的截止之日起</w:t>
      </w:r>
      <w:r>
        <w:rPr>
          <w:rFonts w:hint="eastAsia" w:ascii="宋体" w:hAnsi="宋体" w:cs="宋体"/>
          <w:sz w:val="24"/>
          <w:u w:val="single"/>
          <w:lang w:val="en-US" w:eastAsia="zh-CN"/>
        </w:rPr>
        <w:t>120</w:t>
      </w:r>
      <w:r>
        <w:rPr>
          <w:rFonts w:hint="eastAsia" w:ascii="宋体" w:hAnsi="宋体" w:cs="宋体"/>
          <w:sz w:val="24"/>
        </w:rPr>
        <w:t>天（不少于120天）</w:t>
      </w:r>
      <w:r>
        <w:rPr>
          <w:rFonts w:hint="eastAsia" w:ascii="宋体" w:hAnsi="宋体" w:cs="宋体"/>
        </w:rPr>
        <w:t>，</w:t>
      </w:r>
      <w:r>
        <w:rPr>
          <w:rFonts w:hint="eastAsia" w:ascii="宋体" w:hAnsi="宋体" w:cs="宋体"/>
          <w:sz w:val="24"/>
        </w:rPr>
        <w:t>本投标文件在投标有效期满之前均具有约束力。</w:t>
      </w:r>
    </w:p>
    <w:p>
      <w:pPr>
        <w:snapToGrid w:val="0"/>
        <w:spacing w:line="360" w:lineRule="auto"/>
        <w:ind w:firstLine="480" w:firstLineChars="200"/>
        <w:rPr>
          <w:rFonts w:ascii="宋体" w:hAnsi="宋体" w:cs="宋体"/>
          <w:sz w:val="24"/>
        </w:rPr>
      </w:pPr>
      <w:r>
        <w:rPr>
          <w:rFonts w:hint="eastAsia" w:ascii="宋体" w:hAnsi="宋体" w:cs="宋体"/>
          <w:sz w:val="24"/>
        </w:rPr>
        <w:t>2、我方的投标文件包括以下内容：</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2.1资格文件：</w:t>
      </w:r>
    </w:p>
    <w:p>
      <w:pPr>
        <w:snapToGrid w:val="0"/>
        <w:spacing w:line="360" w:lineRule="auto"/>
        <w:ind w:firstLine="470" w:firstLineChars="196"/>
        <w:jc w:val="left"/>
        <w:rPr>
          <w:rFonts w:ascii="宋体" w:hAnsi="宋体" w:cs="宋体"/>
          <w:sz w:val="24"/>
        </w:rPr>
      </w:pPr>
      <w:r>
        <w:rPr>
          <w:rFonts w:hint="eastAsia" w:ascii="宋体" w:hAnsi="宋体" w:cs="宋体"/>
          <w:sz w:val="24"/>
        </w:rPr>
        <w:t>（1）法定代表人授权书</w:t>
      </w:r>
    </w:p>
    <w:p>
      <w:pPr>
        <w:snapToGrid w:val="0"/>
        <w:spacing w:line="360" w:lineRule="auto"/>
        <w:ind w:firstLine="470" w:firstLineChars="196"/>
        <w:jc w:val="left"/>
        <w:rPr>
          <w:rFonts w:ascii="宋体" w:hAnsi="宋体" w:cs="宋体"/>
          <w:sz w:val="24"/>
        </w:rPr>
      </w:pPr>
      <w:r>
        <w:rPr>
          <w:rFonts w:hint="eastAsia" w:ascii="宋体" w:hAnsi="宋体" w:cs="宋体"/>
          <w:sz w:val="24"/>
        </w:rPr>
        <w:t>（2）投标人情况表</w:t>
      </w:r>
    </w:p>
    <w:p>
      <w:pPr>
        <w:snapToGrid w:val="0"/>
        <w:spacing w:line="360" w:lineRule="auto"/>
        <w:ind w:firstLine="470" w:firstLineChars="196"/>
        <w:jc w:val="left"/>
        <w:rPr>
          <w:rFonts w:ascii="宋体" w:hAnsi="宋体" w:cs="宋体"/>
          <w:sz w:val="24"/>
        </w:rPr>
      </w:pPr>
      <w:r>
        <w:rPr>
          <w:rFonts w:hint="eastAsia" w:ascii="宋体" w:hAnsi="宋体" w:cs="宋体"/>
          <w:sz w:val="24"/>
        </w:rPr>
        <w:t>（3）有效的营业执照（扫描件加盖投标人公章）；事业单位的，则提供有效的《事业单位法人证书》（扫描件加盖投标人公章）；如分公司参与投标的，还须符合浙财采监〔2013〕24号《关于规范政府采购供应商资格设定及资格审查的通知》第六条规定提供相关材料。</w:t>
      </w:r>
    </w:p>
    <w:p>
      <w:pPr>
        <w:snapToGrid w:val="0"/>
        <w:spacing w:line="360" w:lineRule="auto"/>
        <w:ind w:firstLine="470" w:firstLineChars="196"/>
        <w:jc w:val="left"/>
        <w:rPr>
          <w:rFonts w:ascii="宋体" w:hAnsi="宋体" w:cs="宋体"/>
          <w:sz w:val="24"/>
        </w:rPr>
      </w:pPr>
      <w:r>
        <w:rPr>
          <w:rFonts w:hint="eastAsia" w:ascii="宋体" w:hAnsi="宋体" w:cs="宋体"/>
          <w:sz w:val="24"/>
        </w:rPr>
        <w:t>（4）无重大违法记录且具有良好商业信誉和健全的财务会计制度声明书</w:t>
      </w:r>
    </w:p>
    <w:p>
      <w:pPr>
        <w:snapToGrid w:val="0"/>
        <w:spacing w:line="360" w:lineRule="auto"/>
        <w:ind w:firstLine="470" w:firstLineChars="196"/>
        <w:jc w:val="left"/>
        <w:rPr>
          <w:rFonts w:ascii="宋体" w:hAnsi="宋体" w:cs="宋体"/>
          <w:sz w:val="24"/>
        </w:rPr>
      </w:pPr>
      <w:r>
        <w:rPr>
          <w:rFonts w:hint="eastAsia" w:ascii="宋体" w:hAnsi="宋体" w:cs="宋体"/>
          <w:sz w:val="24"/>
        </w:rPr>
        <w:t>（5）具有履行合同所必需的场地、设备和专业技术能力的承诺函</w:t>
      </w:r>
    </w:p>
    <w:p>
      <w:pPr>
        <w:snapToGrid w:val="0"/>
        <w:spacing w:line="360" w:lineRule="auto"/>
        <w:ind w:firstLine="470" w:firstLineChars="196"/>
        <w:jc w:val="left"/>
        <w:rPr>
          <w:rFonts w:ascii="宋体" w:hAnsi="宋体" w:cs="宋体"/>
          <w:sz w:val="24"/>
        </w:rPr>
      </w:pPr>
      <w:r>
        <w:rPr>
          <w:rFonts w:hint="eastAsia" w:ascii="宋体" w:hAnsi="宋体" w:cs="宋体"/>
          <w:sz w:val="24"/>
        </w:rPr>
        <w:t>（6）依法缴纳税收和社会保障资金的承诺函</w:t>
      </w:r>
    </w:p>
    <w:p>
      <w:pPr>
        <w:snapToGrid w:val="0"/>
        <w:spacing w:line="360" w:lineRule="auto"/>
        <w:ind w:firstLine="470" w:firstLineChars="196"/>
        <w:jc w:val="left"/>
        <w:rPr>
          <w:rFonts w:ascii="宋体" w:hAnsi="宋体" w:cs="宋体"/>
          <w:sz w:val="24"/>
        </w:rPr>
      </w:pPr>
      <w:r>
        <w:rPr>
          <w:rFonts w:hint="eastAsia" w:ascii="宋体" w:hAnsi="宋体" w:cs="宋体"/>
          <w:sz w:val="24"/>
        </w:rPr>
        <w:t>（7）单位负责人为同一人或者存在直接控股、管理关系的不同供应商，不得参加同一合同项下的政府采购活动承诺函</w:t>
      </w:r>
    </w:p>
    <w:p>
      <w:pPr>
        <w:snapToGrid w:val="0"/>
        <w:spacing w:line="360" w:lineRule="auto"/>
        <w:ind w:firstLine="470" w:firstLineChars="196"/>
        <w:jc w:val="left"/>
        <w:rPr>
          <w:rFonts w:ascii="宋体" w:hAnsi="宋体" w:cs="宋体"/>
          <w:sz w:val="24"/>
        </w:rPr>
      </w:pPr>
      <w:r>
        <w:rPr>
          <w:rFonts w:hint="eastAsia" w:ascii="宋体" w:hAnsi="宋体" w:cs="宋体"/>
          <w:sz w:val="24"/>
        </w:rPr>
        <w:t>（8）投标人不属于公益一类事业单位承诺函</w:t>
      </w:r>
    </w:p>
    <w:p>
      <w:pPr>
        <w:snapToGrid w:val="0"/>
        <w:spacing w:line="360" w:lineRule="auto"/>
        <w:ind w:firstLine="470" w:firstLineChars="196"/>
        <w:jc w:val="left"/>
        <w:rPr>
          <w:rFonts w:ascii="宋体" w:hAnsi="宋体" w:cs="宋体"/>
          <w:sz w:val="24"/>
        </w:rPr>
      </w:pPr>
      <w:r>
        <w:rPr>
          <w:rFonts w:hint="eastAsia" w:ascii="宋体" w:hAnsi="宋体" w:cs="宋体"/>
          <w:sz w:val="24"/>
        </w:rPr>
        <w:t>（9）政府采购活动现场确认声明书</w:t>
      </w:r>
    </w:p>
    <w:p>
      <w:pPr>
        <w:snapToGrid w:val="0"/>
        <w:spacing w:line="360" w:lineRule="auto"/>
        <w:ind w:firstLine="470" w:firstLineChars="196"/>
        <w:jc w:val="left"/>
        <w:rPr>
          <w:rFonts w:ascii="宋体" w:hAnsi="宋体" w:cs="宋体"/>
          <w:sz w:val="24"/>
        </w:rPr>
      </w:pPr>
      <w:r>
        <w:rPr>
          <w:rFonts w:hint="eastAsia" w:ascii="宋体" w:hAnsi="宋体" w:cs="宋体"/>
          <w:sz w:val="24"/>
        </w:rPr>
        <w:t>（10）投标人其他资质证书、认证证书、社保证明等扫描件（如需）</w:t>
      </w:r>
    </w:p>
    <w:p>
      <w:pPr>
        <w:snapToGrid w:val="0"/>
        <w:spacing w:line="360" w:lineRule="auto"/>
        <w:ind w:firstLine="480" w:firstLineChars="200"/>
        <w:rPr>
          <w:rFonts w:ascii="宋体" w:hAnsi="宋体" w:cs="宋体"/>
          <w:sz w:val="24"/>
        </w:rPr>
      </w:pPr>
      <w:r>
        <w:rPr>
          <w:rFonts w:hint="eastAsia" w:ascii="宋体" w:hAnsi="宋体" w:cs="宋体"/>
          <w:sz w:val="24"/>
        </w:rPr>
        <w:t>（11）特定资格条件证明材料扫描件（若有）</w:t>
      </w:r>
    </w:p>
    <w:p>
      <w:pPr>
        <w:snapToGrid w:val="0"/>
        <w:spacing w:line="360" w:lineRule="auto"/>
        <w:ind w:firstLine="470" w:firstLineChars="196"/>
        <w:jc w:val="left"/>
        <w:rPr>
          <w:rFonts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2商务技术</w:t>
      </w:r>
      <w:r>
        <w:rPr>
          <w:rFonts w:hint="eastAsia" w:ascii="宋体" w:hAnsi="宋体" w:cs="宋体"/>
          <w:sz w:val="24"/>
          <w:lang w:val="zh-CN"/>
        </w:rPr>
        <w:t>文件：</w:t>
      </w:r>
    </w:p>
    <w:p>
      <w:pPr>
        <w:snapToGrid w:val="0"/>
        <w:spacing w:line="360" w:lineRule="auto"/>
        <w:ind w:firstLine="710" w:firstLineChars="296"/>
        <w:jc w:val="left"/>
        <w:rPr>
          <w:rFonts w:ascii="宋体" w:hAnsi="宋体" w:cs="宋体"/>
          <w:sz w:val="24"/>
        </w:rPr>
      </w:pPr>
      <w:r>
        <w:rPr>
          <w:rFonts w:hint="eastAsia" w:ascii="宋体" w:hAnsi="宋体" w:cs="宋体"/>
          <w:sz w:val="24"/>
        </w:rPr>
        <w:t>(1)投标函</w:t>
      </w:r>
    </w:p>
    <w:p>
      <w:pPr>
        <w:snapToGrid w:val="0"/>
        <w:spacing w:line="360" w:lineRule="auto"/>
        <w:ind w:firstLine="470" w:firstLineChars="196"/>
        <w:jc w:val="left"/>
        <w:rPr>
          <w:rFonts w:ascii="宋体" w:hAnsi="宋体" w:cs="宋体"/>
          <w:sz w:val="24"/>
        </w:rPr>
      </w:pPr>
      <w:r>
        <w:rPr>
          <w:rFonts w:hint="eastAsia" w:ascii="宋体" w:hAnsi="宋体" w:cs="宋体"/>
          <w:sz w:val="24"/>
        </w:rPr>
        <w:t>（2）技术及商务偏离表</w:t>
      </w:r>
    </w:p>
    <w:p>
      <w:pPr>
        <w:snapToGrid w:val="0"/>
        <w:spacing w:line="360" w:lineRule="auto"/>
        <w:ind w:firstLine="470" w:firstLineChars="196"/>
        <w:jc w:val="left"/>
        <w:rPr>
          <w:rFonts w:ascii="宋体" w:hAnsi="宋体" w:cs="宋体"/>
          <w:sz w:val="24"/>
        </w:rPr>
      </w:pPr>
      <w:r>
        <w:rPr>
          <w:rFonts w:hint="eastAsia" w:ascii="宋体" w:hAnsi="宋体" w:cs="宋体"/>
          <w:sz w:val="24"/>
        </w:rPr>
        <w:t>（3）投标人投标截止时间前三年内同类项目业绩</w:t>
      </w:r>
    </w:p>
    <w:p>
      <w:pPr>
        <w:snapToGrid w:val="0"/>
        <w:spacing w:line="360" w:lineRule="auto"/>
        <w:ind w:firstLine="470" w:firstLineChars="196"/>
        <w:jc w:val="left"/>
        <w:rPr>
          <w:rFonts w:ascii="宋体" w:hAnsi="宋体" w:cs="宋体"/>
          <w:sz w:val="24"/>
        </w:rPr>
      </w:pPr>
      <w:r>
        <w:rPr>
          <w:rFonts w:hint="eastAsia" w:ascii="宋体" w:hAnsi="宋体" w:cs="宋体"/>
          <w:sz w:val="24"/>
        </w:rPr>
        <w:t>（4）拟派项目负责人（经理）相关情况</w:t>
      </w:r>
    </w:p>
    <w:p>
      <w:pPr>
        <w:snapToGrid w:val="0"/>
        <w:spacing w:line="360" w:lineRule="auto"/>
        <w:ind w:firstLine="470" w:firstLineChars="196"/>
        <w:jc w:val="left"/>
        <w:rPr>
          <w:rFonts w:ascii="宋体" w:hAnsi="宋体" w:cs="宋体"/>
          <w:sz w:val="24"/>
        </w:rPr>
      </w:pPr>
      <w:r>
        <w:rPr>
          <w:rFonts w:hint="eastAsia" w:ascii="宋体" w:hAnsi="宋体" w:cs="宋体"/>
          <w:sz w:val="24"/>
        </w:rPr>
        <w:t>（5）各服务人员配置情况</w:t>
      </w:r>
    </w:p>
    <w:p>
      <w:pPr>
        <w:snapToGrid w:val="0"/>
        <w:spacing w:line="360" w:lineRule="auto"/>
        <w:ind w:firstLine="470" w:firstLineChars="196"/>
        <w:jc w:val="left"/>
        <w:rPr>
          <w:rFonts w:ascii="宋体" w:hAnsi="宋体" w:cs="宋体"/>
          <w:sz w:val="24"/>
        </w:rPr>
      </w:pPr>
      <w:r>
        <w:rPr>
          <w:rFonts w:hint="eastAsia" w:ascii="宋体" w:hAnsi="宋体" w:cs="宋体"/>
          <w:sz w:val="24"/>
        </w:rPr>
        <w:t>（6）</w:t>
      </w:r>
      <w:r>
        <w:rPr>
          <w:rFonts w:hint="eastAsia" w:ascii="宋体" w:hAnsi="宋体" w:cs="宋体"/>
          <w:sz w:val="24"/>
          <w:lang w:val="zh-CN"/>
        </w:rPr>
        <w:t>标线维护方案</w:t>
      </w:r>
    </w:p>
    <w:p>
      <w:pPr>
        <w:snapToGrid w:val="0"/>
        <w:spacing w:line="360" w:lineRule="auto"/>
        <w:ind w:firstLine="470" w:firstLineChars="196"/>
        <w:jc w:val="left"/>
        <w:rPr>
          <w:rFonts w:ascii="宋体" w:hAnsi="宋体" w:cs="宋体"/>
          <w:sz w:val="24"/>
          <w:lang w:val="zh-CN"/>
        </w:rPr>
      </w:pPr>
      <w:r>
        <w:rPr>
          <w:rFonts w:hint="eastAsia" w:ascii="宋体" w:hAnsi="宋体" w:cs="宋体"/>
          <w:sz w:val="24"/>
        </w:rPr>
        <w:t>（7）</w:t>
      </w:r>
      <w:r>
        <w:rPr>
          <w:rFonts w:hint="eastAsia" w:ascii="宋体" w:hAnsi="宋体" w:cs="宋体"/>
          <w:sz w:val="24"/>
          <w:lang w:val="zh-CN"/>
        </w:rPr>
        <w:t>安装施工组织方案</w:t>
      </w:r>
    </w:p>
    <w:p>
      <w:pPr>
        <w:snapToGrid w:val="0"/>
        <w:spacing w:line="360" w:lineRule="auto"/>
        <w:ind w:firstLine="470" w:firstLineChars="196"/>
        <w:jc w:val="left"/>
        <w:rPr>
          <w:rFonts w:ascii="宋体" w:hAnsi="宋体" w:cs="宋体"/>
          <w:sz w:val="24"/>
        </w:rPr>
      </w:pPr>
      <w:r>
        <w:rPr>
          <w:rFonts w:hint="eastAsia" w:ascii="宋体" w:hAnsi="宋体" w:cs="宋体"/>
          <w:sz w:val="24"/>
          <w:lang w:val="zh-CN"/>
        </w:rPr>
        <w:t>（</w:t>
      </w:r>
      <w:r>
        <w:rPr>
          <w:rFonts w:hint="eastAsia" w:ascii="宋体" w:hAnsi="宋体" w:cs="宋体"/>
          <w:sz w:val="24"/>
        </w:rPr>
        <w:t>8）</w:t>
      </w:r>
      <w:r>
        <w:rPr>
          <w:rFonts w:hint="eastAsia" w:ascii="宋体" w:hAnsi="宋体" w:cs="宋体"/>
          <w:sz w:val="24"/>
          <w:lang w:val="zh-CN"/>
        </w:rPr>
        <w:t>现场施工车辆方案</w:t>
      </w:r>
    </w:p>
    <w:p>
      <w:pPr>
        <w:snapToGrid w:val="0"/>
        <w:spacing w:line="360" w:lineRule="auto"/>
        <w:ind w:firstLine="470" w:firstLineChars="196"/>
        <w:jc w:val="left"/>
        <w:rPr>
          <w:rFonts w:ascii="宋体" w:hAnsi="宋体" w:cs="宋体"/>
          <w:sz w:val="24"/>
          <w:lang w:val="zh-CN"/>
        </w:rPr>
      </w:pPr>
      <w:r>
        <w:rPr>
          <w:rFonts w:hint="eastAsia" w:ascii="宋体" w:hAnsi="宋体" w:cs="宋体"/>
          <w:sz w:val="24"/>
          <w:lang w:val="zh-CN"/>
        </w:rPr>
        <w:t>（</w:t>
      </w:r>
      <w:r>
        <w:rPr>
          <w:rFonts w:hint="eastAsia" w:ascii="宋体" w:hAnsi="宋体" w:cs="宋体"/>
          <w:sz w:val="24"/>
        </w:rPr>
        <w:t>9）</w:t>
      </w:r>
      <w:r>
        <w:rPr>
          <w:rFonts w:hint="eastAsia" w:ascii="宋体" w:hAnsi="宋体" w:cs="宋体"/>
          <w:sz w:val="24"/>
          <w:lang w:val="zh-CN"/>
        </w:rPr>
        <w:t>安全防护措施方案</w:t>
      </w:r>
    </w:p>
    <w:p>
      <w:pPr>
        <w:snapToGrid w:val="0"/>
        <w:spacing w:line="360" w:lineRule="auto"/>
        <w:ind w:firstLine="470" w:firstLineChars="196"/>
        <w:jc w:val="left"/>
        <w:rPr>
          <w:rFonts w:ascii="宋体" w:hAnsi="宋体" w:cs="宋体"/>
          <w:sz w:val="24"/>
        </w:rPr>
      </w:pPr>
      <w:r>
        <w:rPr>
          <w:rFonts w:hint="eastAsia" w:ascii="宋体" w:hAnsi="宋体" w:cs="宋体"/>
          <w:sz w:val="24"/>
          <w:lang w:val="zh-CN"/>
        </w:rPr>
        <w:t>（</w:t>
      </w:r>
      <w:r>
        <w:rPr>
          <w:rFonts w:hint="eastAsia" w:ascii="宋体" w:hAnsi="宋体" w:cs="宋体"/>
          <w:sz w:val="24"/>
        </w:rPr>
        <w:t>10）</w:t>
      </w:r>
      <w:r>
        <w:rPr>
          <w:rFonts w:hint="eastAsia" w:ascii="宋体" w:hAnsi="宋体" w:cs="宋体"/>
          <w:sz w:val="24"/>
          <w:lang w:val="zh-CN"/>
        </w:rPr>
        <w:t>项目“设备材料制作”</w:t>
      </w:r>
      <w:r>
        <w:rPr>
          <w:rFonts w:hint="eastAsia" w:ascii="宋体" w:hAnsi="宋体" w:cs="宋体"/>
          <w:sz w:val="24"/>
        </w:rPr>
        <w:t>情况</w:t>
      </w:r>
    </w:p>
    <w:p>
      <w:pPr>
        <w:snapToGrid w:val="0"/>
        <w:spacing w:line="360" w:lineRule="auto"/>
        <w:ind w:firstLine="470" w:firstLineChars="196"/>
        <w:jc w:val="left"/>
        <w:rPr>
          <w:rFonts w:ascii="宋体" w:hAnsi="宋体" w:cs="宋体"/>
          <w:sz w:val="24"/>
        </w:rPr>
      </w:pPr>
      <w:r>
        <w:rPr>
          <w:rFonts w:hint="eastAsia" w:ascii="宋体" w:hAnsi="宋体" w:cs="宋体"/>
          <w:sz w:val="24"/>
        </w:rPr>
        <w:t>（11）</w:t>
      </w:r>
      <w:r>
        <w:rPr>
          <w:rFonts w:hint="eastAsia" w:ascii="宋体" w:hAnsi="宋体" w:cs="宋体"/>
          <w:sz w:val="24"/>
          <w:lang w:val="zh-CN"/>
        </w:rPr>
        <w:t>设施巡查方案</w:t>
      </w:r>
    </w:p>
    <w:p>
      <w:pPr>
        <w:snapToGrid w:val="0"/>
        <w:spacing w:line="360" w:lineRule="auto"/>
        <w:ind w:firstLine="470" w:firstLineChars="196"/>
        <w:jc w:val="left"/>
        <w:rPr>
          <w:rFonts w:ascii="宋体" w:hAnsi="宋体" w:cs="宋体"/>
          <w:sz w:val="24"/>
        </w:rPr>
      </w:pPr>
      <w:r>
        <w:rPr>
          <w:rFonts w:hint="eastAsia" w:ascii="宋体" w:hAnsi="宋体" w:cs="宋体"/>
          <w:sz w:val="24"/>
          <w:lang w:val="zh-CN"/>
        </w:rPr>
        <w:t>（</w:t>
      </w:r>
      <w:r>
        <w:rPr>
          <w:rFonts w:hint="eastAsia" w:ascii="宋体" w:hAnsi="宋体" w:cs="宋体"/>
          <w:sz w:val="24"/>
        </w:rPr>
        <w:t>12）</w:t>
      </w:r>
      <w:r>
        <w:rPr>
          <w:rFonts w:hint="eastAsia" w:ascii="宋体" w:hAnsi="宋体" w:cs="宋体"/>
          <w:sz w:val="24"/>
          <w:lang w:val="zh-CN"/>
        </w:rPr>
        <w:t>项目应急方案</w:t>
      </w:r>
    </w:p>
    <w:p>
      <w:pPr>
        <w:snapToGrid w:val="0"/>
        <w:spacing w:line="360" w:lineRule="auto"/>
        <w:ind w:firstLine="470" w:firstLineChars="196"/>
        <w:jc w:val="left"/>
        <w:rPr>
          <w:rFonts w:ascii="宋体" w:hAnsi="宋体" w:cs="宋体"/>
          <w:sz w:val="24"/>
          <w:lang w:val="zh-CN"/>
        </w:rPr>
      </w:pPr>
      <w:r>
        <w:rPr>
          <w:rFonts w:hint="eastAsia" w:ascii="宋体" w:hAnsi="宋体" w:cs="宋体"/>
          <w:sz w:val="24"/>
          <w:lang w:val="zh-CN"/>
        </w:rPr>
        <w:t>（</w:t>
      </w:r>
      <w:r>
        <w:rPr>
          <w:rFonts w:hint="eastAsia" w:ascii="宋体" w:hAnsi="宋体" w:cs="宋体"/>
          <w:sz w:val="24"/>
        </w:rPr>
        <w:t>13）</w:t>
      </w:r>
      <w:r>
        <w:rPr>
          <w:rFonts w:hint="eastAsia" w:ascii="宋体" w:hAnsi="宋体" w:cs="宋体"/>
          <w:sz w:val="24"/>
          <w:lang w:val="zh-CN"/>
        </w:rPr>
        <w:t>项目备品备件情况</w:t>
      </w:r>
    </w:p>
    <w:p>
      <w:pPr>
        <w:snapToGrid w:val="0"/>
        <w:spacing w:line="360" w:lineRule="auto"/>
        <w:ind w:firstLine="470" w:firstLineChars="196"/>
        <w:jc w:val="left"/>
        <w:rPr>
          <w:rFonts w:ascii="宋体" w:hAnsi="宋体" w:cs="宋体"/>
          <w:sz w:val="24"/>
        </w:rPr>
      </w:pPr>
      <w:r>
        <w:rPr>
          <w:rFonts w:hint="eastAsia" w:ascii="宋体" w:hAnsi="宋体" w:cs="宋体"/>
          <w:sz w:val="24"/>
        </w:rPr>
        <w:t>（14）项目履行承诺</w:t>
      </w:r>
    </w:p>
    <w:p>
      <w:pPr>
        <w:snapToGrid w:val="0"/>
        <w:spacing w:line="360" w:lineRule="auto"/>
        <w:ind w:firstLine="470" w:firstLineChars="196"/>
        <w:jc w:val="left"/>
        <w:rPr>
          <w:rFonts w:ascii="宋体" w:hAnsi="宋体" w:cs="宋体"/>
          <w:sz w:val="24"/>
        </w:rPr>
      </w:pPr>
      <w:r>
        <w:rPr>
          <w:rFonts w:hint="eastAsia" w:ascii="宋体" w:hAnsi="宋体" w:cs="宋体"/>
          <w:sz w:val="24"/>
        </w:rPr>
        <w:t>（15）评标标准相应的商务技术资料</w:t>
      </w:r>
    </w:p>
    <w:p>
      <w:pPr>
        <w:snapToGrid w:val="0"/>
        <w:spacing w:line="360" w:lineRule="auto"/>
        <w:ind w:firstLine="470" w:firstLineChars="196"/>
        <w:jc w:val="left"/>
        <w:rPr>
          <w:rFonts w:ascii="宋体" w:hAnsi="宋体" w:cs="宋体"/>
          <w:sz w:val="24"/>
          <w:lang w:val="zh-CN"/>
        </w:rPr>
      </w:pPr>
      <w:r>
        <w:rPr>
          <w:rFonts w:hint="eastAsia" w:ascii="宋体" w:hAnsi="宋体" w:cs="宋体"/>
          <w:sz w:val="24"/>
        </w:rPr>
        <w:t>2</w:t>
      </w:r>
      <w:r>
        <w:rPr>
          <w:rFonts w:hint="eastAsia" w:ascii="宋体" w:hAnsi="宋体" w:cs="宋体"/>
          <w:sz w:val="24"/>
          <w:lang w:val="zh-CN"/>
        </w:rPr>
        <w:t>.3报价文件</w:t>
      </w:r>
    </w:p>
    <w:p>
      <w:pPr>
        <w:snapToGrid w:val="0"/>
        <w:spacing w:line="360" w:lineRule="auto"/>
        <w:ind w:firstLine="470" w:firstLineChars="196"/>
        <w:jc w:val="left"/>
        <w:rPr>
          <w:rFonts w:ascii="宋体" w:hAnsi="宋体" w:cs="宋体"/>
          <w:sz w:val="24"/>
          <w:lang w:val="zh-CN"/>
        </w:rPr>
      </w:pPr>
      <w:r>
        <w:rPr>
          <w:rFonts w:hint="eastAsia" w:ascii="宋体" w:hAnsi="宋体" w:cs="宋体"/>
          <w:sz w:val="24"/>
        </w:rPr>
        <w:t>(1)</w:t>
      </w:r>
      <w:r>
        <w:rPr>
          <w:rFonts w:hint="eastAsia" w:ascii="宋体" w:hAnsi="宋体" w:cs="宋体"/>
          <w:sz w:val="24"/>
          <w:lang w:val="zh-CN"/>
        </w:rPr>
        <w:t>开标一览表（报价表）</w:t>
      </w:r>
    </w:p>
    <w:p>
      <w:pPr>
        <w:snapToGrid w:val="0"/>
        <w:spacing w:line="360" w:lineRule="auto"/>
        <w:ind w:firstLine="470" w:firstLineChars="196"/>
        <w:jc w:val="left"/>
        <w:rPr>
          <w:rFonts w:ascii="宋体" w:hAnsi="宋体" w:cs="宋体"/>
          <w:sz w:val="24"/>
          <w:lang w:val="zh-CN"/>
        </w:rPr>
      </w:pPr>
      <w:r>
        <w:rPr>
          <w:rFonts w:hint="eastAsia" w:ascii="宋体" w:hAnsi="宋体" w:cs="宋体"/>
          <w:sz w:val="24"/>
        </w:rPr>
        <w:t>(2)分项报价表</w:t>
      </w:r>
    </w:p>
    <w:p>
      <w:pPr>
        <w:snapToGrid w:val="0"/>
        <w:spacing w:line="360" w:lineRule="auto"/>
        <w:ind w:firstLine="470" w:firstLineChars="196"/>
        <w:jc w:val="left"/>
        <w:rPr>
          <w:rFonts w:ascii="宋体" w:hAnsi="宋体" w:cs="宋体"/>
          <w:sz w:val="24"/>
          <w:lang w:val="zh-CN"/>
        </w:rPr>
      </w:pPr>
      <w:r>
        <w:rPr>
          <w:rFonts w:hint="eastAsia" w:ascii="宋体" w:hAnsi="宋体" w:cs="宋体"/>
          <w:sz w:val="24"/>
          <w:lang w:val="zh-CN"/>
        </w:rPr>
        <w:t>（</w:t>
      </w:r>
      <w:r>
        <w:rPr>
          <w:rFonts w:hint="eastAsia" w:ascii="宋体" w:hAnsi="宋体" w:cs="宋体"/>
          <w:sz w:val="24"/>
        </w:rPr>
        <w:t>3</w:t>
      </w:r>
      <w:r>
        <w:rPr>
          <w:rFonts w:hint="eastAsia" w:ascii="宋体" w:hAnsi="宋体" w:cs="宋体"/>
          <w:sz w:val="24"/>
          <w:lang w:val="zh-CN"/>
        </w:rPr>
        <w:t>）中小企业声明函（如果有）</w:t>
      </w:r>
    </w:p>
    <w:p>
      <w:pPr>
        <w:snapToGrid w:val="0"/>
        <w:spacing w:line="360" w:lineRule="auto"/>
        <w:ind w:firstLine="470" w:firstLineChars="196"/>
        <w:jc w:val="left"/>
        <w:rPr>
          <w:rFonts w:ascii="宋体" w:hAnsi="宋体" w:cs="宋体"/>
          <w:sz w:val="24"/>
        </w:rPr>
      </w:pPr>
      <w:r>
        <w:rPr>
          <w:rFonts w:hint="eastAsia" w:ascii="宋体" w:hAnsi="宋体" w:cs="宋体"/>
          <w:sz w:val="24"/>
        </w:rPr>
        <w:t>（4）残疾人福利性单位声明函（如有）</w:t>
      </w:r>
    </w:p>
    <w:p>
      <w:pPr>
        <w:snapToGrid w:val="0"/>
        <w:spacing w:line="360" w:lineRule="auto"/>
        <w:ind w:firstLine="470" w:firstLineChars="196"/>
        <w:jc w:val="left"/>
        <w:rPr>
          <w:rFonts w:ascii="宋体" w:hAnsi="宋体" w:cs="宋体"/>
          <w:sz w:val="24"/>
        </w:rPr>
      </w:pPr>
      <w:r>
        <w:rPr>
          <w:rFonts w:hint="eastAsia" w:ascii="宋体" w:hAnsi="宋体" w:cs="宋体"/>
          <w:sz w:val="24"/>
        </w:rPr>
        <w:t>（5）监狱企业的证明文件（如有）</w:t>
      </w:r>
    </w:p>
    <w:p>
      <w:pPr>
        <w:snapToGrid w:val="0"/>
        <w:spacing w:line="360" w:lineRule="auto"/>
        <w:ind w:firstLine="480" w:firstLineChars="200"/>
        <w:rPr>
          <w:rFonts w:ascii="宋体" w:hAnsi="宋体" w:cs="宋体"/>
          <w:sz w:val="24"/>
        </w:rPr>
      </w:pPr>
      <w:r>
        <w:rPr>
          <w:rFonts w:hint="eastAsia" w:ascii="宋体" w:hAnsi="宋体" w:cs="宋体"/>
          <w:sz w:val="24"/>
        </w:rPr>
        <w:t>3、我方承诺除商务技术偏离表列出的偏离外，我方响应招标文件的全部要求。</w:t>
      </w:r>
    </w:p>
    <w:p>
      <w:pPr>
        <w:snapToGrid w:val="0"/>
        <w:spacing w:line="360" w:lineRule="auto"/>
        <w:ind w:firstLine="480" w:firstLineChars="200"/>
        <w:rPr>
          <w:rFonts w:ascii="宋体" w:hAnsi="宋体" w:cs="宋体"/>
          <w:sz w:val="24"/>
        </w:rPr>
      </w:pPr>
      <w:r>
        <w:rPr>
          <w:rFonts w:hint="eastAsia" w:ascii="宋体" w:hAnsi="宋体" w:cs="宋体"/>
          <w:sz w:val="24"/>
        </w:rPr>
        <w:t>4、如我方中标，我方承诺：</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4.1在收到中标通知书后，在中标通知书规定的期限内与你方签订合同；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4.2在签订合同时不向你方提出附加条件；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4.3按照招标文件要求提交履约保证金；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4.4在合同约定的期限内完成合同规定的全部义务。 </w:t>
      </w:r>
    </w:p>
    <w:p>
      <w:pPr>
        <w:numPr>
          <w:ilvl w:val="0"/>
          <w:numId w:val="3"/>
        </w:numPr>
        <w:spacing w:line="360" w:lineRule="auto"/>
        <w:rPr>
          <w:rFonts w:ascii="宋体" w:hAnsi="宋体" w:cs="宋体"/>
          <w:sz w:val="24"/>
        </w:rPr>
      </w:pPr>
      <w:r>
        <w:rPr>
          <w:rFonts w:hint="eastAsia" w:ascii="宋体" w:hAnsi="宋体" w:cs="宋体"/>
          <w:sz w:val="24"/>
        </w:rPr>
        <w:t>其他补充说明:。</w:t>
      </w:r>
    </w:p>
    <w:p>
      <w:pPr>
        <w:spacing w:line="360" w:lineRule="auto"/>
        <w:rPr>
          <w:rFonts w:ascii="宋体" w:hAnsi="宋体" w:cs="宋体"/>
          <w:sz w:val="24"/>
        </w:rPr>
      </w:pPr>
    </w:p>
    <w:p>
      <w:pPr>
        <w:spacing w:line="360" w:lineRule="auto"/>
        <w:rPr>
          <w:rFonts w:ascii="宋体" w:hAnsi="宋体" w:cs="宋体"/>
          <w:sz w:val="24"/>
        </w:rPr>
      </w:pPr>
      <w:r>
        <w:rPr>
          <w:rFonts w:hint="eastAsia" w:ascii="宋体" w:hAnsi="宋体" w:cs="宋体"/>
          <w:sz w:val="24"/>
        </w:rPr>
        <w:t>投标供应商全称（</w:t>
      </w:r>
      <w:r>
        <w:rPr>
          <w:rFonts w:hint="eastAsia" w:ascii="宋体" w:hAnsi="宋体" w:cs="宋体"/>
          <w:bCs/>
          <w:sz w:val="24"/>
        </w:rPr>
        <w:t>公章或CA章</w:t>
      </w:r>
      <w:r>
        <w:rPr>
          <w:rFonts w:hint="eastAsia" w:ascii="宋体" w:hAnsi="宋体" w:cs="宋体"/>
          <w:sz w:val="24"/>
        </w:rPr>
        <w:t>）：</w:t>
      </w:r>
    </w:p>
    <w:p>
      <w:pPr>
        <w:spacing w:line="360" w:lineRule="auto"/>
        <w:rPr>
          <w:rFonts w:ascii="宋体" w:hAnsi="宋体" w:cs="宋体"/>
          <w:sz w:val="24"/>
        </w:rPr>
        <w:sectPr>
          <w:type w:val="nextColumn"/>
          <w:pgSz w:w="11906" w:h="16838"/>
          <w:pgMar w:top="1135" w:right="1135" w:bottom="686" w:left="1135" w:header="851" w:footer="851" w:gutter="0"/>
          <w:cols w:space="720" w:num="1"/>
          <w:docGrid w:type="lines" w:linePitch="312" w:charSpace="0"/>
        </w:sectPr>
      </w:pPr>
      <w:r>
        <w:rPr>
          <w:rFonts w:hint="eastAsia" w:ascii="宋体" w:hAnsi="宋体" w:cs="宋体"/>
          <w:sz w:val="24"/>
        </w:rPr>
        <w:t>日期：年月日</w:t>
      </w:r>
    </w:p>
    <w:p>
      <w:pPr>
        <w:snapToGrid w:val="0"/>
        <w:spacing w:line="360" w:lineRule="auto"/>
        <w:rPr>
          <w:rFonts w:ascii="宋体" w:hAnsi="宋体" w:cs="宋体"/>
          <w:sz w:val="24"/>
        </w:rPr>
      </w:pPr>
    </w:p>
    <w:p>
      <w:pPr>
        <w:spacing w:line="360" w:lineRule="auto"/>
        <w:jc w:val="center"/>
        <w:rPr>
          <w:rFonts w:ascii="宋体" w:hAnsi="宋体" w:cs="宋体"/>
          <w:b/>
          <w:bCs/>
          <w:sz w:val="36"/>
          <w:szCs w:val="36"/>
        </w:rPr>
      </w:pPr>
    </w:p>
    <w:p>
      <w:pPr>
        <w:spacing w:line="360" w:lineRule="auto"/>
        <w:jc w:val="center"/>
        <w:rPr>
          <w:rFonts w:ascii="宋体" w:hAnsi="宋体" w:cs="宋体"/>
          <w:b/>
          <w:bCs/>
          <w:sz w:val="36"/>
          <w:szCs w:val="36"/>
        </w:rPr>
      </w:pPr>
      <w:r>
        <w:rPr>
          <w:rFonts w:hint="eastAsia" w:ascii="宋体" w:hAnsi="宋体" w:cs="宋体"/>
          <w:b/>
          <w:bCs/>
          <w:sz w:val="36"/>
          <w:szCs w:val="36"/>
        </w:rPr>
        <w:t>（2）技术及商务偏离表</w:t>
      </w:r>
    </w:p>
    <w:p>
      <w:pPr>
        <w:spacing w:line="360" w:lineRule="auto"/>
        <w:rPr>
          <w:rFonts w:ascii="宋体" w:hAnsi="宋体" w:cs="宋体"/>
          <w:bCs/>
          <w:sz w:val="24"/>
        </w:rPr>
      </w:pPr>
      <w:r>
        <w:rPr>
          <w:rFonts w:hint="eastAsia" w:ascii="宋体" w:hAnsi="宋体" w:cs="宋体"/>
          <w:bCs/>
          <w:sz w:val="24"/>
        </w:rPr>
        <w:t>项目编号：</w:t>
      </w:r>
    </w:p>
    <w:tbl>
      <w:tblPr>
        <w:tblStyle w:val="20"/>
        <w:tblW w:w="9334" w:type="dxa"/>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004"/>
        <w:gridCol w:w="2127"/>
        <w:gridCol w:w="1447"/>
        <w:gridCol w:w="2014"/>
        <w:gridCol w:w="1371"/>
        <w:gridCol w:w="137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90" w:hRule="atLeast"/>
          <w:jc w:val="center"/>
        </w:trPr>
        <w:tc>
          <w:tcPr>
            <w:tcW w:w="1004" w:type="dxa"/>
            <w:noWrap/>
            <w:vAlign w:val="center"/>
          </w:tcPr>
          <w:p>
            <w:pPr>
              <w:spacing w:line="360" w:lineRule="auto"/>
              <w:jc w:val="center"/>
              <w:rPr>
                <w:rFonts w:ascii="宋体" w:hAnsi="宋体" w:cs="宋体"/>
                <w:sz w:val="24"/>
              </w:rPr>
            </w:pPr>
            <w:r>
              <w:rPr>
                <w:rFonts w:hint="eastAsia" w:ascii="宋体" w:hAnsi="宋体" w:cs="宋体"/>
                <w:sz w:val="24"/>
              </w:rPr>
              <w:t>序号</w:t>
            </w:r>
          </w:p>
        </w:tc>
        <w:tc>
          <w:tcPr>
            <w:tcW w:w="2127" w:type="dxa"/>
            <w:noWrap/>
            <w:vAlign w:val="center"/>
          </w:tcPr>
          <w:p>
            <w:pPr>
              <w:widowControl/>
              <w:jc w:val="left"/>
              <w:rPr>
                <w:rFonts w:ascii="宋体" w:hAnsi="宋体" w:cs="宋体"/>
                <w:sz w:val="24"/>
              </w:rPr>
            </w:pPr>
            <w:r>
              <w:rPr>
                <w:rFonts w:hint="eastAsia" w:ascii="宋体" w:hAnsi="宋体" w:cs="宋体"/>
                <w:color w:val="000000"/>
                <w:kern w:val="0"/>
                <w:sz w:val="24"/>
              </w:rPr>
              <w:t>投标产品名称</w:t>
            </w:r>
          </w:p>
        </w:tc>
        <w:tc>
          <w:tcPr>
            <w:tcW w:w="1447" w:type="dxa"/>
            <w:noWrap/>
            <w:vAlign w:val="center"/>
          </w:tcPr>
          <w:p>
            <w:pPr>
              <w:widowControl/>
              <w:jc w:val="left"/>
              <w:rPr>
                <w:rFonts w:ascii="宋体" w:hAnsi="宋体" w:cs="宋体"/>
                <w:sz w:val="24"/>
              </w:rPr>
            </w:pPr>
            <w:r>
              <w:rPr>
                <w:rFonts w:hint="eastAsia" w:ascii="宋体" w:hAnsi="宋体" w:cs="宋体"/>
                <w:color w:val="000000"/>
                <w:kern w:val="0"/>
                <w:sz w:val="24"/>
              </w:rPr>
              <w:t>采购需求技术指标</w:t>
            </w:r>
          </w:p>
        </w:tc>
        <w:tc>
          <w:tcPr>
            <w:tcW w:w="2014" w:type="dxa"/>
            <w:noWrap/>
            <w:vAlign w:val="center"/>
          </w:tcPr>
          <w:p>
            <w:pPr>
              <w:widowControl/>
              <w:jc w:val="left"/>
              <w:rPr>
                <w:rFonts w:ascii="宋体" w:hAnsi="宋体" w:cs="宋体"/>
                <w:sz w:val="24"/>
              </w:rPr>
            </w:pPr>
            <w:r>
              <w:rPr>
                <w:rFonts w:hint="eastAsia" w:ascii="宋体" w:hAnsi="宋体" w:cs="宋体"/>
                <w:color w:val="000000"/>
                <w:kern w:val="0"/>
                <w:sz w:val="24"/>
              </w:rPr>
              <w:t>投标产品实际技术指标</w:t>
            </w:r>
          </w:p>
        </w:tc>
        <w:tc>
          <w:tcPr>
            <w:tcW w:w="1371" w:type="dxa"/>
            <w:noWrap/>
            <w:vAlign w:val="center"/>
          </w:tcPr>
          <w:p>
            <w:pPr>
              <w:widowControl/>
              <w:jc w:val="left"/>
              <w:rPr>
                <w:rFonts w:ascii="宋体" w:hAnsi="宋体" w:cs="宋体"/>
                <w:sz w:val="24"/>
              </w:rPr>
            </w:pPr>
            <w:r>
              <w:rPr>
                <w:rFonts w:hint="eastAsia" w:ascii="宋体" w:hAnsi="宋体" w:cs="宋体"/>
                <w:color w:val="000000"/>
                <w:kern w:val="0"/>
                <w:sz w:val="24"/>
              </w:rPr>
              <w:t>偏离情况详细说明</w:t>
            </w:r>
          </w:p>
        </w:tc>
        <w:tc>
          <w:tcPr>
            <w:tcW w:w="1371" w:type="dxa"/>
            <w:noWrap/>
            <w:vAlign w:val="center"/>
          </w:tcPr>
          <w:p>
            <w:pPr>
              <w:spacing w:line="360" w:lineRule="auto"/>
              <w:jc w:val="center"/>
              <w:rPr>
                <w:rFonts w:ascii="宋体" w:hAnsi="宋体" w:cs="宋体"/>
                <w:sz w:val="24"/>
              </w:rPr>
            </w:pPr>
            <w:r>
              <w:rPr>
                <w:rFonts w:hint="eastAsia" w:ascii="宋体" w:hAnsi="宋体" w:cs="宋体"/>
                <w:sz w:val="24"/>
              </w:rPr>
              <w:t>备注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cantSplit/>
          <w:trHeight w:val="570" w:hRule="atLeast"/>
          <w:jc w:val="center"/>
        </w:trPr>
        <w:tc>
          <w:tcPr>
            <w:tcW w:w="1004" w:type="dxa"/>
            <w:noWrap/>
            <w:vAlign w:val="center"/>
          </w:tcPr>
          <w:p>
            <w:pPr>
              <w:spacing w:line="360" w:lineRule="auto"/>
              <w:rPr>
                <w:rFonts w:ascii="宋体" w:hAnsi="宋体" w:cs="宋体"/>
                <w:sz w:val="24"/>
              </w:rPr>
            </w:pPr>
          </w:p>
        </w:tc>
        <w:tc>
          <w:tcPr>
            <w:tcW w:w="2127" w:type="dxa"/>
            <w:noWrap/>
            <w:vAlign w:val="center"/>
          </w:tcPr>
          <w:p>
            <w:pPr>
              <w:spacing w:line="360" w:lineRule="auto"/>
              <w:jc w:val="center"/>
              <w:rPr>
                <w:rFonts w:ascii="宋体" w:hAnsi="宋体" w:cs="宋体"/>
                <w:sz w:val="24"/>
              </w:rPr>
            </w:pPr>
          </w:p>
        </w:tc>
        <w:tc>
          <w:tcPr>
            <w:tcW w:w="1447" w:type="dxa"/>
            <w:noWrap/>
            <w:vAlign w:val="center"/>
          </w:tcPr>
          <w:p>
            <w:pPr>
              <w:spacing w:line="360" w:lineRule="auto"/>
              <w:jc w:val="center"/>
              <w:rPr>
                <w:rFonts w:ascii="宋体" w:hAnsi="宋体" w:cs="宋体"/>
                <w:sz w:val="24"/>
              </w:rPr>
            </w:pPr>
          </w:p>
        </w:tc>
        <w:tc>
          <w:tcPr>
            <w:tcW w:w="2014" w:type="dxa"/>
            <w:noWrap/>
            <w:vAlign w:val="center"/>
          </w:tcPr>
          <w:p>
            <w:pPr>
              <w:spacing w:line="360" w:lineRule="auto"/>
              <w:jc w:val="center"/>
              <w:rPr>
                <w:rFonts w:ascii="宋体" w:hAnsi="宋体" w:cs="宋体"/>
                <w:sz w:val="24"/>
              </w:rPr>
            </w:pPr>
          </w:p>
        </w:tc>
        <w:tc>
          <w:tcPr>
            <w:tcW w:w="1371" w:type="dxa"/>
            <w:noWrap/>
            <w:vAlign w:val="center"/>
          </w:tcPr>
          <w:p>
            <w:pPr>
              <w:spacing w:line="360" w:lineRule="auto"/>
              <w:jc w:val="center"/>
              <w:rPr>
                <w:rFonts w:ascii="宋体" w:hAnsi="宋体" w:cs="宋体"/>
                <w:sz w:val="24"/>
              </w:rPr>
            </w:pPr>
          </w:p>
        </w:tc>
        <w:tc>
          <w:tcPr>
            <w:tcW w:w="1371" w:type="dxa"/>
            <w:noWrap/>
            <w:vAlign w:val="center"/>
          </w:tcPr>
          <w:p>
            <w:pPr>
              <w:spacing w:line="360" w:lineRule="auto"/>
              <w:jc w:val="center"/>
              <w:rPr>
                <w:rFonts w:ascii="宋体" w:hAnsi="宋体" w:cs="宋体"/>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cantSplit/>
          <w:trHeight w:val="564" w:hRule="atLeast"/>
          <w:jc w:val="center"/>
        </w:trPr>
        <w:tc>
          <w:tcPr>
            <w:tcW w:w="1004" w:type="dxa"/>
            <w:noWrap/>
            <w:vAlign w:val="center"/>
          </w:tcPr>
          <w:p>
            <w:pPr>
              <w:spacing w:line="360" w:lineRule="auto"/>
              <w:ind w:firstLine="240" w:firstLineChars="100"/>
              <w:rPr>
                <w:rFonts w:ascii="宋体" w:hAnsi="宋体" w:cs="宋体"/>
                <w:sz w:val="24"/>
              </w:rPr>
            </w:pPr>
          </w:p>
        </w:tc>
        <w:tc>
          <w:tcPr>
            <w:tcW w:w="2127" w:type="dxa"/>
            <w:noWrap/>
            <w:vAlign w:val="center"/>
          </w:tcPr>
          <w:p>
            <w:pPr>
              <w:spacing w:line="360" w:lineRule="auto"/>
              <w:jc w:val="center"/>
              <w:rPr>
                <w:rFonts w:ascii="宋体" w:hAnsi="宋体" w:cs="宋体"/>
                <w:sz w:val="24"/>
              </w:rPr>
            </w:pPr>
          </w:p>
        </w:tc>
        <w:tc>
          <w:tcPr>
            <w:tcW w:w="1447" w:type="dxa"/>
            <w:noWrap/>
            <w:vAlign w:val="center"/>
          </w:tcPr>
          <w:p>
            <w:pPr>
              <w:spacing w:line="360" w:lineRule="auto"/>
              <w:jc w:val="center"/>
              <w:rPr>
                <w:rFonts w:ascii="宋体" w:hAnsi="宋体" w:cs="宋体"/>
                <w:sz w:val="24"/>
              </w:rPr>
            </w:pPr>
          </w:p>
        </w:tc>
        <w:tc>
          <w:tcPr>
            <w:tcW w:w="2014" w:type="dxa"/>
            <w:noWrap/>
            <w:vAlign w:val="center"/>
          </w:tcPr>
          <w:p>
            <w:pPr>
              <w:spacing w:line="360" w:lineRule="auto"/>
              <w:jc w:val="center"/>
              <w:rPr>
                <w:rFonts w:ascii="宋体" w:hAnsi="宋体" w:cs="宋体"/>
                <w:sz w:val="24"/>
              </w:rPr>
            </w:pPr>
          </w:p>
        </w:tc>
        <w:tc>
          <w:tcPr>
            <w:tcW w:w="1371" w:type="dxa"/>
            <w:noWrap/>
            <w:vAlign w:val="center"/>
          </w:tcPr>
          <w:p>
            <w:pPr>
              <w:spacing w:line="360" w:lineRule="auto"/>
              <w:jc w:val="center"/>
              <w:rPr>
                <w:rFonts w:ascii="宋体" w:hAnsi="宋体" w:cs="宋体"/>
                <w:sz w:val="24"/>
              </w:rPr>
            </w:pPr>
          </w:p>
        </w:tc>
        <w:tc>
          <w:tcPr>
            <w:tcW w:w="1371" w:type="dxa"/>
            <w:noWrap/>
            <w:vAlign w:val="center"/>
          </w:tcPr>
          <w:p>
            <w:pPr>
              <w:spacing w:line="360" w:lineRule="auto"/>
              <w:jc w:val="center"/>
              <w:rPr>
                <w:rFonts w:ascii="宋体" w:hAnsi="宋体" w:cs="宋体"/>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cantSplit/>
          <w:trHeight w:val="559" w:hRule="atLeast"/>
          <w:jc w:val="center"/>
        </w:trPr>
        <w:tc>
          <w:tcPr>
            <w:tcW w:w="1004" w:type="dxa"/>
            <w:noWrap/>
            <w:vAlign w:val="center"/>
          </w:tcPr>
          <w:p>
            <w:pPr>
              <w:spacing w:line="360" w:lineRule="auto"/>
              <w:jc w:val="center"/>
              <w:rPr>
                <w:rFonts w:ascii="宋体" w:hAnsi="宋体" w:cs="宋体"/>
                <w:sz w:val="24"/>
              </w:rPr>
            </w:pPr>
          </w:p>
        </w:tc>
        <w:tc>
          <w:tcPr>
            <w:tcW w:w="2127" w:type="dxa"/>
            <w:noWrap/>
            <w:vAlign w:val="center"/>
          </w:tcPr>
          <w:p>
            <w:pPr>
              <w:spacing w:line="360" w:lineRule="auto"/>
              <w:jc w:val="center"/>
              <w:rPr>
                <w:rFonts w:ascii="宋体" w:hAnsi="宋体" w:cs="宋体"/>
                <w:sz w:val="24"/>
              </w:rPr>
            </w:pPr>
          </w:p>
        </w:tc>
        <w:tc>
          <w:tcPr>
            <w:tcW w:w="1447" w:type="dxa"/>
            <w:noWrap/>
            <w:vAlign w:val="center"/>
          </w:tcPr>
          <w:p>
            <w:pPr>
              <w:spacing w:line="360" w:lineRule="auto"/>
              <w:jc w:val="center"/>
              <w:rPr>
                <w:rFonts w:ascii="宋体" w:hAnsi="宋体" w:cs="宋体"/>
                <w:sz w:val="24"/>
              </w:rPr>
            </w:pPr>
          </w:p>
        </w:tc>
        <w:tc>
          <w:tcPr>
            <w:tcW w:w="2014" w:type="dxa"/>
            <w:noWrap/>
            <w:vAlign w:val="center"/>
          </w:tcPr>
          <w:p>
            <w:pPr>
              <w:spacing w:line="360" w:lineRule="auto"/>
              <w:jc w:val="center"/>
              <w:rPr>
                <w:rFonts w:ascii="宋体" w:hAnsi="宋体" w:cs="宋体"/>
                <w:sz w:val="24"/>
              </w:rPr>
            </w:pPr>
          </w:p>
        </w:tc>
        <w:tc>
          <w:tcPr>
            <w:tcW w:w="1371" w:type="dxa"/>
            <w:noWrap/>
            <w:vAlign w:val="center"/>
          </w:tcPr>
          <w:p>
            <w:pPr>
              <w:spacing w:line="360" w:lineRule="auto"/>
              <w:jc w:val="center"/>
              <w:rPr>
                <w:rFonts w:ascii="宋体" w:hAnsi="宋体" w:cs="宋体"/>
                <w:sz w:val="24"/>
              </w:rPr>
            </w:pPr>
          </w:p>
        </w:tc>
        <w:tc>
          <w:tcPr>
            <w:tcW w:w="1371" w:type="dxa"/>
            <w:noWrap/>
            <w:vAlign w:val="center"/>
          </w:tcPr>
          <w:p>
            <w:pPr>
              <w:spacing w:line="360" w:lineRule="auto"/>
              <w:jc w:val="center"/>
              <w:rPr>
                <w:rFonts w:ascii="宋体" w:hAnsi="宋体" w:cs="宋体"/>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cantSplit/>
          <w:trHeight w:val="581" w:hRule="atLeast"/>
          <w:jc w:val="center"/>
        </w:trPr>
        <w:tc>
          <w:tcPr>
            <w:tcW w:w="1004" w:type="dxa"/>
            <w:noWrap/>
            <w:vAlign w:val="center"/>
          </w:tcPr>
          <w:p>
            <w:pPr>
              <w:spacing w:line="360" w:lineRule="auto"/>
              <w:jc w:val="center"/>
              <w:rPr>
                <w:rFonts w:ascii="宋体" w:hAnsi="宋体" w:cs="宋体"/>
                <w:sz w:val="24"/>
              </w:rPr>
            </w:pPr>
          </w:p>
        </w:tc>
        <w:tc>
          <w:tcPr>
            <w:tcW w:w="2127" w:type="dxa"/>
            <w:noWrap/>
            <w:vAlign w:val="center"/>
          </w:tcPr>
          <w:p>
            <w:pPr>
              <w:spacing w:line="360" w:lineRule="auto"/>
              <w:jc w:val="center"/>
              <w:rPr>
                <w:rFonts w:ascii="宋体" w:hAnsi="宋体" w:cs="宋体"/>
                <w:sz w:val="24"/>
              </w:rPr>
            </w:pPr>
          </w:p>
        </w:tc>
        <w:tc>
          <w:tcPr>
            <w:tcW w:w="1447" w:type="dxa"/>
            <w:noWrap/>
            <w:vAlign w:val="center"/>
          </w:tcPr>
          <w:p>
            <w:pPr>
              <w:spacing w:line="360" w:lineRule="auto"/>
              <w:jc w:val="center"/>
              <w:rPr>
                <w:rFonts w:ascii="宋体" w:hAnsi="宋体" w:cs="宋体"/>
                <w:sz w:val="24"/>
              </w:rPr>
            </w:pPr>
          </w:p>
        </w:tc>
        <w:tc>
          <w:tcPr>
            <w:tcW w:w="2014" w:type="dxa"/>
            <w:noWrap/>
            <w:vAlign w:val="center"/>
          </w:tcPr>
          <w:p>
            <w:pPr>
              <w:spacing w:line="360" w:lineRule="auto"/>
              <w:jc w:val="center"/>
              <w:rPr>
                <w:rFonts w:ascii="宋体" w:hAnsi="宋体" w:cs="宋体"/>
                <w:sz w:val="24"/>
              </w:rPr>
            </w:pPr>
          </w:p>
        </w:tc>
        <w:tc>
          <w:tcPr>
            <w:tcW w:w="1371" w:type="dxa"/>
            <w:noWrap/>
            <w:vAlign w:val="center"/>
          </w:tcPr>
          <w:p>
            <w:pPr>
              <w:spacing w:line="360" w:lineRule="auto"/>
              <w:jc w:val="center"/>
              <w:rPr>
                <w:rFonts w:ascii="宋体" w:hAnsi="宋体" w:cs="宋体"/>
                <w:sz w:val="24"/>
              </w:rPr>
            </w:pPr>
          </w:p>
        </w:tc>
        <w:tc>
          <w:tcPr>
            <w:tcW w:w="1371" w:type="dxa"/>
            <w:noWrap/>
            <w:vAlign w:val="center"/>
          </w:tcPr>
          <w:p>
            <w:pPr>
              <w:spacing w:line="360" w:lineRule="auto"/>
              <w:jc w:val="center"/>
              <w:rPr>
                <w:rFonts w:ascii="宋体" w:hAnsi="宋体" w:cs="宋体"/>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cantSplit/>
          <w:trHeight w:val="561" w:hRule="atLeast"/>
          <w:jc w:val="center"/>
        </w:trPr>
        <w:tc>
          <w:tcPr>
            <w:tcW w:w="1004" w:type="dxa"/>
            <w:noWrap/>
            <w:vAlign w:val="center"/>
          </w:tcPr>
          <w:p>
            <w:pPr>
              <w:spacing w:line="360" w:lineRule="auto"/>
              <w:jc w:val="center"/>
              <w:rPr>
                <w:rFonts w:ascii="宋体" w:hAnsi="宋体" w:cs="宋体"/>
                <w:sz w:val="24"/>
              </w:rPr>
            </w:pPr>
          </w:p>
        </w:tc>
        <w:tc>
          <w:tcPr>
            <w:tcW w:w="2127" w:type="dxa"/>
            <w:noWrap/>
            <w:vAlign w:val="center"/>
          </w:tcPr>
          <w:p>
            <w:pPr>
              <w:spacing w:line="360" w:lineRule="auto"/>
              <w:jc w:val="center"/>
              <w:rPr>
                <w:rFonts w:ascii="宋体" w:hAnsi="宋体" w:cs="宋体"/>
                <w:sz w:val="24"/>
              </w:rPr>
            </w:pPr>
          </w:p>
        </w:tc>
        <w:tc>
          <w:tcPr>
            <w:tcW w:w="1447" w:type="dxa"/>
            <w:noWrap/>
            <w:vAlign w:val="center"/>
          </w:tcPr>
          <w:p>
            <w:pPr>
              <w:spacing w:line="360" w:lineRule="auto"/>
              <w:jc w:val="center"/>
              <w:rPr>
                <w:rFonts w:ascii="宋体" w:hAnsi="宋体" w:cs="宋体"/>
                <w:sz w:val="24"/>
              </w:rPr>
            </w:pPr>
          </w:p>
        </w:tc>
        <w:tc>
          <w:tcPr>
            <w:tcW w:w="2014" w:type="dxa"/>
            <w:noWrap/>
            <w:vAlign w:val="center"/>
          </w:tcPr>
          <w:p>
            <w:pPr>
              <w:spacing w:line="360" w:lineRule="auto"/>
              <w:jc w:val="center"/>
              <w:rPr>
                <w:rFonts w:ascii="宋体" w:hAnsi="宋体" w:cs="宋体"/>
                <w:sz w:val="24"/>
              </w:rPr>
            </w:pPr>
          </w:p>
        </w:tc>
        <w:tc>
          <w:tcPr>
            <w:tcW w:w="1371" w:type="dxa"/>
            <w:noWrap/>
            <w:vAlign w:val="center"/>
          </w:tcPr>
          <w:p>
            <w:pPr>
              <w:spacing w:line="360" w:lineRule="auto"/>
              <w:jc w:val="center"/>
              <w:rPr>
                <w:rFonts w:ascii="宋体" w:hAnsi="宋体" w:cs="宋体"/>
                <w:sz w:val="24"/>
              </w:rPr>
            </w:pPr>
          </w:p>
        </w:tc>
        <w:tc>
          <w:tcPr>
            <w:tcW w:w="1371" w:type="dxa"/>
            <w:noWrap/>
            <w:vAlign w:val="center"/>
          </w:tcPr>
          <w:p>
            <w:pPr>
              <w:spacing w:line="360" w:lineRule="auto"/>
              <w:jc w:val="center"/>
              <w:rPr>
                <w:rFonts w:ascii="宋体" w:hAnsi="宋体" w:cs="宋体"/>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cantSplit/>
          <w:trHeight w:val="561" w:hRule="atLeast"/>
          <w:jc w:val="center"/>
        </w:trPr>
        <w:tc>
          <w:tcPr>
            <w:tcW w:w="1004" w:type="dxa"/>
            <w:noWrap/>
            <w:vAlign w:val="center"/>
          </w:tcPr>
          <w:p>
            <w:pPr>
              <w:spacing w:line="360" w:lineRule="auto"/>
              <w:jc w:val="center"/>
              <w:rPr>
                <w:rFonts w:ascii="宋体" w:hAnsi="宋体" w:cs="宋体"/>
                <w:sz w:val="24"/>
              </w:rPr>
            </w:pPr>
          </w:p>
        </w:tc>
        <w:tc>
          <w:tcPr>
            <w:tcW w:w="2127" w:type="dxa"/>
            <w:noWrap/>
            <w:vAlign w:val="center"/>
          </w:tcPr>
          <w:p>
            <w:pPr>
              <w:spacing w:line="360" w:lineRule="auto"/>
              <w:jc w:val="center"/>
              <w:rPr>
                <w:rFonts w:ascii="宋体" w:hAnsi="宋体" w:cs="宋体"/>
                <w:sz w:val="24"/>
              </w:rPr>
            </w:pPr>
          </w:p>
        </w:tc>
        <w:tc>
          <w:tcPr>
            <w:tcW w:w="1447" w:type="dxa"/>
            <w:noWrap/>
            <w:vAlign w:val="center"/>
          </w:tcPr>
          <w:p>
            <w:pPr>
              <w:spacing w:line="360" w:lineRule="auto"/>
              <w:jc w:val="center"/>
              <w:rPr>
                <w:rFonts w:ascii="宋体" w:hAnsi="宋体" w:cs="宋体"/>
                <w:sz w:val="24"/>
              </w:rPr>
            </w:pPr>
          </w:p>
        </w:tc>
        <w:tc>
          <w:tcPr>
            <w:tcW w:w="2014" w:type="dxa"/>
            <w:noWrap/>
            <w:vAlign w:val="center"/>
          </w:tcPr>
          <w:p>
            <w:pPr>
              <w:spacing w:line="360" w:lineRule="auto"/>
              <w:jc w:val="center"/>
              <w:rPr>
                <w:rFonts w:ascii="宋体" w:hAnsi="宋体" w:cs="宋体"/>
                <w:sz w:val="24"/>
              </w:rPr>
            </w:pPr>
          </w:p>
        </w:tc>
        <w:tc>
          <w:tcPr>
            <w:tcW w:w="1371" w:type="dxa"/>
            <w:noWrap/>
            <w:vAlign w:val="center"/>
          </w:tcPr>
          <w:p>
            <w:pPr>
              <w:spacing w:line="360" w:lineRule="auto"/>
              <w:jc w:val="center"/>
              <w:rPr>
                <w:rFonts w:ascii="宋体" w:hAnsi="宋体" w:cs="宋体"/>
                <w:sz w:val="24"/>
              </w:rPr>
            </w:pPr>
          </w:p>
        </w:tc>
        <w:tc>
          <w:tcPr>
            <w:tcW w:w="1371" w:type="dxa"/>
            <w:noWrap/>
            <w:vAlign w:val="center"/>
          </w:tcPr>
          <w:p>
            <w:pPr>
              <w:spacing w:line="360" w:lineRule="auto"/>
              <w:jc w:val="center"/>
              <w:rPr>
                <w:rFonts w:ascii="宋体" w:hAnsi="宋体" w:cs="宋体"/>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cantSplit/>
          <w:trHeight w:val="561" w:hRule="atLeast"/>
          <w:jc w:val="center"/>
        </w:trPr>
        <w:tc>
          <w:tcPr>
            <w:tcW w:w="1004" w:type="dxa"/>
            <w:noWrap/>
            <w:vAlign w:val="center"/>
          </w:tcPr>
          <w:p>
            <w:pPr>
              <w:spacing w:line="360" w:lineRule="auto"/>
              <w:jc w:val="center"/>
              <w:rPr>
                <w:rFonts w:ascii="宋体" w:hAnsi="宋体" w:cs="宋体"/>
                <w:sz w:val="24"/>
              </w:rPr>
            </w:pPr>
          </w:p>
        </w:tc>
        <w:tc>
          <w:tcPr>
            <w:tcW w:w="2127" w:type="dxa"/>
            <w:noWrap/>
            <w:vAlign w:val="center"/>
          </w:tcPr>
          <w:p>
            <w:pPr>
              <w:spacing w:line="360" w:lineRule="auto"/>
              <w:jc w:val="center"/>
              <w:rPr>
                <w:rFonts w:ascii="宋体" w:hAnsi="宋体" w:cs="宋体"/>
                <w:sz w:val="24"/>
              </w:rPr>
            </w:pPr>
          </w:p>
        </w:tc>
        <w:tc>
          <w:tcPr>
            <w:tcW w:w="1447" w:type="dxa"/>
            <w:noWrap/>
            <w:vAlign w:val="center"/>
          </w:tcPr>
          <w:p>
            <w:pPr>
              <w:spacing w:line="360" w:lineRule="auto"/>
              <w:jc w:val="center"/>
              <w:rPr>
                <w:rFonts w:ascii="宋体" w:hAnsi="宋体" w:cs="宋体"/>
                <w:sz w:val="24"/>
              </w:rPr>
            </w:pPr>
          </w:p>
        </w:tc>
        <w:tc>
          <w:tcPr>
            <w:tcW w:w="2014" w:type="dxa"/>
            <w:noWrap/>
            <w:vAlign w:val="center"/>
          </w:tcPr>
          <w:p>
            <w:pPr>
              <w:spacing w:line="360" w:lineRule="auto"/>
              <w:jc w:val="center"/>
              <w:rPr>
                <w:rFonts w:ascii="宋体" w:hAnsi="宋体" w:cs="宋体"/>
                <w:sz w:val="24"/>
              </w:rPr>
            </w:pPr>
          </w:p>
        </w:tc>
        <w:tc>
          <w:tcPr>
            <w:tcW w:w="1371" w:type="dxa"/>
            <w:noWrap/>
            <w:vAlign w:val="center"/>
          </w:tcPr>
          <w:p>
            <w:pPr>
              <w:spacing w:line="360" w:lineRule="auto"/>
              <w:jc w:val="center"/>
              <w:rPr>
                <w:rFonts w:ascii="宋体" w:hAnsi="宋体" w:cs="宋体"/>
                <w:sz w:val="24"/>
              </w:rPr>
            </w:pPr>
          </w:p>
        </w:tc>
        <w:tc>
          <w:tcPr>
            <w:tcW w:w="1371" w:type="dxa"/>
            <w:noWrap/>
            <w:vAlign w:val="center"/>
          </w:tcPr>
          <w:p>
            <w:pPr>
              <w:spacing w:line="360" w:lineRule="auto"/>
              <w:jc w:val="center"/>
              <w:rPr>
                <w:rFonts w:ascii="宋体" w:hAnsi="宋体" w:cs="宋体"/>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cantSplit/>
          <w:trHeight w:val="561" w:hRule="atLeast"/>
          <w:jc w:val="center"/>
        </w:trPr>
        <w:tc>
          <w:tcPr>
            <w:tcW w:w="1004" w:type="dxa"/>
            <w:noWrap/>
            <w:vAlign w:val="center"/>
          </w:tcPr>
          <w:p>
            <w:pPr>
              <w:spacing w:line="360" w:lineRule="auto"/>
              <w:jc w:val="center"/>
              <w:rPr>
                <w:rFonts w:ascii="宋体" w:hAnsi="宋体" w:cs="宋体"/>
                <w:sz w:val="24"/>
              </w:rPr>
            </w:pPr>
          </w:p>
        </w:tc>
        <w:tc>
          <w:tcPr>
            <w:tcW w:w="2127" w:type="dxa"/>
            <w:noWrap/>
            <w:vAlign w:val="center"/>
          </w:tcPr>
          <w:p>
            <w:pPr>
              <w:spacing w:line="360" w:lineRule="auto"/>
              <w:jc w:val="center"/>
              <w:rPr>
                <w:rFonts w:ascii="宋体" w:hAnsi="宋体" w:cs="宋体"/>
                <w:sz w:val="24"/>
              </w:rPr>
            </w:pPr>
          </w:p>
        </w:tc>
        <w:tc>
          <w:tcPr>
            <w:tcW w:w="1447" w:type="dxa"/>
            <w:noWrap/>
            <w:vAlign w:val="center"/>
          </w:tcPr>
          <w:p>
            <w:pPr>
              <w:spacing w:line="360" w:lineRule="auto"/>
              <w:jc w:val="center"/>
              <w:rPr>
                <w:rFonts w:ascii="宋体" w:hAnsi="宋体" w:cs="宋体"/>
                <w:sz w:val="24"/>
              </w:rPr>
            </w:pPr>
          </w:p>
        </w:tc>
        <w:tc>
          <w:tcPr>
            <w:tcW w:w="2014" w:type="dxa"/>
            <w:noWrap/>
            <w:vAlign w:val="center"/>
          </w:tcPr>
          <w:p>
            <w:pPr>
              <w:spacing w:line="360" w:lineRule="auto"/>
              <w:jc w:val="center"/>
              <w:rPr>
                <w:rFonts w:ascii="宋体" w:hAnsi="宋体" w:cs="宋体"/>
                <w:sz w:val="24"/>
              </w:rPr>
            </w:pPr>
          </w:p>
        </w:tc>
        <w:tc>
          <w:tcPr>
            <w:tcW w:w="1371" w:type="dxa"/>
            <w:noWrap/>
            <w:vAlign w:val="center"/>
          </w:tcPr>
          <w:p>
            <w:pPr>
              <w:spacing w:line="360" w:lineRule="auto"/>
              <w:jc w:val="center"/>
              <w:rPr>
                <w:rFonts w:ascii="宋体" w:hAnsi="宋体" w:cs="宋体"/>
                <w:sz w:val="24"/>
              </w:rPr>
            </w:pPr>
          </w:p>
        </w:tc>
        <w:tc>
          <w:tcPr>
            <w:tcW w:w="1371" w:type="dxa"/>
            <w:noWrap/>
            <w:vAlign w:val="center"/>
          </w:tcPr>
          <w:p>
            <w:pPr>
              <w:spacing w:line="360" w:lineRule="auto"/>
              <w:jc w:val="center"/>
              <w:rPr>
                <w:rFonts w:ascii="宋体" w:hAnsi="宋体" w:cs="宋体"/>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cantSplit/>
          <w:trHeight w:val="561" w:hRule="atLeast"/>
          <w:jc w:val="center"/>
        </w:trPr>
        <w:tc>
          <w:tcPr>
            <w:tcW w:w="1004" w:type="dxa"/>
            <w:noWrap/>
            <w:vAlign w:val="center"/>
          </w:tcPr>
          <w:p>
            <w:pPr>
              <w:spacing w:line="360" w:lineRule="auto"/>
              <w:jc w:val="center"/>
              <w:rPr>
                <w:rFonts w:ascii="宋体" w:hAnsi="宋体" w:cs="宋体"/>
                <w:sz w:val="24"/>
              </w:rPr>
            </w:pPr>
          </w:p>
        </w:tc>
        <w:tc>
          <w:tcPr>
            <w:tcW w:w="2127" w:type="dxa"/>
            <w:noWrap/>
            <w:vAlign w:val="center"/>
          </w:tcPr>
          <w:p>
            <w:pPr>
              <w:spacing w:line="360" w:lineRule="auto"/>
              <w:jc w:val="center"/>
              <w:rPr>
                <w:rFonts w:ascii="宋体" w:hAnsi="宋体" w:cs="宋体"/>
                <w:sz w:val="24"/>
              </w:rPr>
            </w:pPr>
          </w:p>
        </w:tc>
        <w:tc>
          <w:tcPr>
            <w:tcW w:w="1447" w:type="dxa"/>
            <w:noWrap/>
            <w:vAlign w:val="center"/>
          </w:tcPr>
          <w:p>
            <w:pPr>
              <w:spacing w:line="360" w:lineRule="auto"/>
              <w:jc w:val="center"/>
              <w:rPr>
                <w:rFonts w:ascii="宋体" w:hAnsi="宋体" w:cs="宋体"/>
                <w:sz w:val="24"/>
              </w:rPr>
            </w:pPr>
          </w:p>
        </w:tc>
        <w:tc>
          <w:tcPr>
            <w:tcW w:w="2014" w:type="dxa"/>
            <w:noWrap/>
            <w:vAlign w:val="center"/>
          </w:tcPr>
          <w:p>
            <w:pPr>
              <w:spacing w:line="360" w:lineRule="auto"/>
              <w:jc w:val="center"/>
              <w:rPr>
                <w:rFonts w:ascii="宋体" w:hAnsi="宋体" w:cs="宋体"/>
                <w:sz w:val="24"/>
              </w:rPr>
            </w:pPr>
          </w:p>
        </w:tc>
        <w:tc>
          <w:tcPr>
            <w:tcW w:w="1371" w:type="dxa"/>
            <w:noWrap/>
            <w:vAlign w:val="center"/>
          </w:tcPr>
          <w:p>
            <w:pPr>
              <w:spacing w:line="360" w:lineRule="auto"/>
              <w:jc w:val="center"/>
              <w:rPr>
                <w:rFonts w:ascii="宋体" w:hAnsi="宋体" w:cs="宋体"/>
                <w:sz w:val="24"/>
              </w:rPr>
            </w:pPr>
          </w:p>
        </w:tc>
        <w:tc>
          <w:tcPr>
            <w:tcW w:w="1371" w:type="dxa"/>
            <w:noWrap/>
            <w:vAlign w:val="center"/>
          </w:tcPr>
          <w:p>
            <w:pPr>
              <w:spacing w:line="360" w:lineRule="auto"/>
              <w:jc w:val="center"/>
              <w:rPr>
                <w:rFonts w:ascii="宋体" w:hAnsi="宋体" w:cs="宋体"/>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cantSplit/>
          <w:trHeight w:val="561" w:hRule="atLeast"/>
          <w:jc w:val="center"/>
        </w:trPr>
        <w:tc>
          <w:tcPr>
            <w:tcW w:w="1004" w:type="dxa"/>
            <w:noWrap/>
            <w:vAlign w:val="center"/>
          </w:tcPr>
          <w:p>
            <w:pPr>
              <w:spacing w:line="360" w:lineRule="auto"/>
              <w:jc w:val="center"/>
              <w:rPr>
                <w:rFonts w:ascii="宋体" w:hAnsi="宋体" w:cs="宋体"/>
                <w:sz w:val="24"/>
              </w:rPr>
            </w:pPr>
          </w:p>
        </w:tc>
        <w:tc>
          <w:tcPr>
            <w:tcW w:w="2127" w:type="dxa"/>
            <w:noWrap/>
            <w:vAlign w:val="center"/>
          </w:tcPr>
          <w:p>
            <w:pPr>
              <w:spacing w:line="360" w:lineRule="auto"/>
              <w:jc w:val="center"/>
              <w:rPr>
                <w:rFonts w:ascii="宋体" w:hAnsi="宋体" w:cs="宋体"/>
                <w:sz w:val="24"/>
              </w:rPr>
            </w:pPr>
          </w:p>
        </w:tc>
        <w:tc>
          <w:tcPr>
            <w:tcW w:w="1447" w:type="dxa"/>
            <w:noWrap/>
            <w:vAlign w:val="center"/>
          </w:tcPr>
          <w:p>
            <w:pPr>
              <w:spacing w:line="360" w:lineRule="auto"/>
              <w:jc w:val="center"/>
              <w:rPr>
                <w:rFonts w:ascii="宋体" w:hAnsi="宋体" w:cs="宋体"/>
                <w:sz w:val="24"/>
              </w:rPr>
            </w:pPr>
          </w:p>
        </w:tc>
        <w:tc>
          <w:tcPr>
            <w:tcW w:w="2014" w:type="dxa"/>
            <w:noWrap/>
            <w:vAlign w:val="center"/>
          </w:tcPr>
          <w:p>
            <w:pPr>
              <w:spacing w:line="360" w:lineRule="auto"/>
              <w:jc w:val="center"/>
              <w:rPr>
                <w:rFonts w:ascii="宋体" w:hAnsi="宋体" w:cs="宋体"/>
                <w:sz w:val="24"/>
              </w:rPr>
            </w:pPr>
          </w:p>
        </w:tc>
        <w:tc>
          <w:tcPr>
            <w:tcW w:w="1371" w:type="dxa"/>
            <w:noWrap/>
            <w:vAlign w:val="center"/>
          </w:tcPr>
          <w:p>
            <w:pPr>
              <w:spacing w:line="360" w:lineRule="auto"/>
              <w:jc w:val="center"/>
              <w:rPr>
                <w:rFonts w:ascii="宋体" w:hAnsi="宋体" w:cs="宋体"/>
                <w:sz w:val="24"/>
              </w:rPr>
            </w:pPr>
          </w:p>
        </w:tc>
        <w:tc>
          <w:tcPr>
            <w:tcW w:w="1371" w:type="dxa"/>
            <w:noWrap/>
            <w:vAlign w:val="center"/>
          </w:tcPr>
          <w:p>
            <w:pPr>
              <w:spacing w:line="360" w:lineRule="auto"/>
              <w:jc w:val="center"/>
              <w:rPr>
                <w:rFonts w:ascii="宋体" w:hAnsi="宋体" w:cs="宋体"/>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cantSplit/>
          <w:trHeight w:val="561" w:hRule="atLeast"/>
          <w:jc w:val="center"/>
        </w:trPr>
        <w:tc>
          <w:tcPr>
            <w:tcW w:w="1004" w:type="dxa"/>
            <w:noWrap/>
            <w:vAlign w:val="center"/>
          </w:tcPr>
          <w:p>
            <w:pPr>
              <w:spacing w:line="360" w:lineRule="auto"/>
              <w:jc w:val="center"/>
              <w:rPr>
                <w:rFonts w:ascii="宋体" w:hAnsi="宋体" w:cs="宋体"/>
                <w:sz w:val="24"/>
              </w:rPr>
            </w:pPr>
          </w:p>
        </w:tc>
        <w:tc>
          <w:tcPr>
            <w:tcW w:w="2127" w:type="dxa"/>
            <w:noWrap/>
            <w:vAlign w:val="center"/>
          </w:tcPr>
          <w:p>
            <w:pPr>
              <w:spacing w:line="360" w:lineRule="auto"/>
              <w:jc w:val="center"/>
              <w:rPr>
                <w:rFonts w:ascii="宋体" w:hAnsi="宋体" w:cs="宋体"/>
                <w:sz w:val="24"/>
              </w:rPr>
            </w:pPr>
          </w:p>
        </w:tc>
        <w:tc>
          <w:tcPr>
            <w:tcW w:w="1447" w:type="dxa"/>
            <w:noWrap/>
            <w:vAlign w:val="center"/>
          </w:tcPr>
          <w:p>
            <w:pPr>
              <w:spacing w:line="360" w:lineRule="auto"/>
              <w:jc w:val="center"/>
              <w:rPr>
                <w:rFonts w:ascii="宋体" w:hAnsi="宋体" w:cs="宋体"/>
                <w:sz w:val="24"/>
              </w:rPr>
            </w:pPr>
          </w:p>
        </w:tc>
        <w:tc>
          <w:tcPr>
            <w:tcW w:w="2014" w:type="dxa"/>
            <w:noWrap/>
            <w:vAlign w:val="center"/>
          </w:tcPr>
          <w:p>
            <w:pPr>
              <w:spacing w:line="360" w:lineRule="auto"/>
              <w:jc w:val="center"/>
              <w:rPr>
                <w:rFonts w:ascii="宋体" w:hAnsi="宋体" w:cs="宋体"/>
                <w:sz w:val="24"/>
              </w:rPr>
            </w:pPr>
          </w:p>
        </w:tc>
        <w:tc>
          <w:tcPr>
            <w:tcW w:w="1371" w:type="dxa"/>
            <w:noWrap/>
            <w:vAlign w:val="center"/>
          </w:tcPr>
          <w:p>
            <w:pPr>
              <w:spacing w:line="360" w:lineRule="auto"/>
              <w:jc w:val="center"/>
              <w:rPr>
                <w:rFonts w:ascii="宋体" w:hAnsi="宋体" w:cs="宋体"/>
                <w:sz w:val="24"/>
              </w:rPr>
            </w:pPr>
          </w:p>
        </w:tc>
        <w:tc>
          <w:tcPr>
            <w:tcW w:w="1371" w:type="dxa"/>
            <w:noWrap/>
            <w:vAlign w:val="center"/>
          </w:tcPr>
          <w:p>
            <w:pPr>
              <w:spacing w:line="360" w:lineRule="auto"/>
              <w:jc w:val="center"/>
              <w:rPr>
                <w:rFonts w:ascii="宋体" w:hAnsi="宋体" w:cs="宋体"/>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cantSplit/>
          <w:trHeight w:val="561" w:hRule="atLeast"/>
          <w:jc w:val="center"/>
        </w:trPr>
        <w:tc>
          <w:tcPr>
            <w:tcW w:w="1004" w:type="dxa"/>
            <w:noWrap/>
            <w:vAlign w:val="center"/>
          </w:tcPr>
          <w:p>
            <w:pPr>
              <w:spacing w:line="360" w:lineRule="auto"/>
              <w:jc w:val="center"/>
              <w:rPr>
                <w:rFonts w:ascii="宋体" w:hAnsi="宋体" w:cs="宋体"/>
                <w:sz w:val="24"/>
              </w:rPr>
            </w:pPr>
          </w:p>
        </w:tc>
        <w:tc>
          <w:tcPr>
            <w:tcW w:w="2127" w:type="dxa"/>
            <w:noWrap/>
            <w:vAlign w:val="center"/>
          </w:tcPr>
          <w:p>
            <w:pPr>
              <w:spacing w:line="360" w:lineRule="auto"/>
              <w:jc w:val="center"/>
              <w:rPr>
                <w:rFonts w:ascii="宋体" w:hAnsi="宋体" w:cs="宋体"/>
                <w:sz w:val="24"/>
              </w:rPr>
            </w:pPr>
          </w:p>
        </w:tc>
        <w:tc>
          <w:tcPr>
            <w:tcW w:w="1447" w:type="dxa"/>
            <w:noWrap/>
            <w:vAlign w:val="center"/>
          </w:tcPr>
          <w:p>
            <w:pPr>
              <w:spacing w:line="360" w:lineRule="auto"/>
              <w:jc w:val="center"/>
              <w:rPr>
                <w:rFonts w:ascii="宋体" w:hAnsi="宋体" w:cs="宋体"/>
                <w:sz w:val="24"/>
              </w:rPr>
            </w:pPr>
          </w:p>
        </w:tc>
        <w:tc>
          <w:tcPr>
            <w:tcW w:w="2014" w:type="dxa"/>
            <w:noWrap/>
            <w:vAlign w:val="center"/>
          </w:tcPr>
          <w:p>
            <w:pPr>
              <w:spacing w:line="360" w:lineRule="auto"/>
              <w:jc w:val="center"/>
              <w:rPr>
                <w:rFonts w:ascii="宋体" w:hAnsi="宋体" w:cs="宋体"/>
                <w:sz w:val="24"/>
              </w:rPr>
            </w:pPr>
          </w:p>
        </w:tc>
        <w:tc>
          <w:tcPr>
            <w:tcW w:w="1371" w:type="dxa"/>
            <w:noWrap/>
            <w:vAlign w:val="center"/>
          </w:tcPr>
          <w:p>
            <w:pPr>
              <w:spacing w:line="360" w:lineRule="auto"/>
              <w:jc w:val="center"/>
              <w:rPr>
                <w:rFonts w:ascii="宋体" w:hAnsi="宋体" w:cs="宋体"/>
                <w:sz w:val="24"/>
              </w:rPr>
            </w:pPr>
          </w:p>
        </w:tc>
        <w:tc>
          <w:tcPr>
            <w:tcW w:w="1371" w:type="dxa"/>
            <w:noWrap/>
            <w:vAlign w:val="center"/>
          </w:tcPr>
          <w:p>
            <w:pPr>
              <w:spacing w:line="360" w:lineRule="auto"/>
              <w:jc w:val="center"/>
              <w:rPr>
                <w:rFonts w:ascii="宋体" w:hAnsi="宋体" w:cs="宋体"/>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cantSplit/>
          <w:trHeight w:val="561" w:hRule="atLeast"/>
          <w:jc w:val="center"/>
        </w:trPr>
        <w:tc>
          <w:tcPr>
            <w:tcW w:w="1004" w:type="dxa"/>
            <w:noWrap/>
            <w:vAlign w:val="center"/>
          </w:tcPr>
          <w:p>
            <w:pPr>
              <w:spacing w:line="360" w:lineRule="auto"/>
              <w:jc w:val="center"/>
              <w:rPr>
                <w:rFonts w:ascii="宋体" w:hAnsi="宋体" w:cs="宋体"/>
                <w:sz w:val="24"/>
              </w:rPr>
            </w:pPr>
          </w:p>
        </w:tc>
        <w:tc>
          <w:tcPr>
            <w:tcW w:w="2127" w:type="dxa"/>
            <w:noWrap/>
            <w:vAlign w:val="center"/>
          </w:tcPr>
          <w:p>
            <w:pPr>
              <w:spacing w:line="360" w:lineRule="auto"/>
              <w:jc w:val="center"/>
              <w:rPr>
                <w:rFonts w:ascii="宋体" w:hAnsi="宋体" w:cs="宋体"/>
                <w:sz w:val="24"/>
              </w:rPr>
            </w:pPr>
          </w:p>
        </w:tc>
        <w:tc>
          <w:tcPr>
            <w:tcW w:w="1447" w:type="dxa"/>
            <w:noWrap/>
            <w:vAlign w:val="center"/>
          </w:tcPr>
          <w:p>
            <w:pPr>
              <w:spacing w:line="360" w:lineRule="auto"/>
              <w:jc w:val="center"/>
              <w:rPr>
                <w:rFonts w:ascii="宋体" w:hAnsi="宋体" w:cs="宋体"/>
                <w:sz w:val="24"/>
              </w:rPr>
            </w:pPr>
          </w:p>
        </w:tc>
        <w:tc>
          <w:tcPr>
            <w:tcW w:w="2014" w:type="dxa"/>
            <w:noWrap/>
            <w:vAlign w:val="center"/>
          </w:tcPr>
          <w:p>
            <w:pPr>
              <w:spacing w:line="360" w:lineRule="auto"/>
              <w:jc w:val="center"/>
              <w:rPr>
                <w:rFonts w:ascii="宋体" w:hAnsi="宋体" w:cs="宋体"/>
                <w:sz w:val="24"/>
              </w:rPr>
            </w:pPr>
          </w:p>
        </w:tc>
        <w:tc>
          <w:tcPr>
            <w:tcW w:w="1371" w:type="dxa"/>
            <w:noWrap/>
            <w:vAlign w:val="center"/>
          </w:tcPr>
          <w:p>
            <w:pPr>
              <w:spacing w:line="360" w:lineRule="auto"/>
              <w:jc w:val="center"/>
              <w:rPr>
                <w:rFonts w:ascii="宋体" w:hAnsi="宋体" w:cs="宋体"/>
                <w:sz w:val="24"/>
              </w:rPr>
            </w:pPr>
          </w:p>
        </w:tc>
        <w:tc>
          <w:tcPr>
            <w:tcW w:w="1371" w:type="dxa"/>
            <w:noWrap/>
            <w:vAlign w:val="center"/>
          </w:tcPr>
          <w:p>
            <w:pPr>
              <w:spacing w:line="360" w:lineRule="auto"/>
              <w:jc w:val="center"/>
              <w:rPr>
                <w:rFonts w:ascii="宋体" w:hAnsi="宋体" w:cs="宋体"/>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cantSplit/>
          <w:trHeight w:val="561" w:hRule="atLeast"/>
          <w:jc w:val="center"/>
        </w:trPr>
        <w:tc>
          <w:tcPr>
            <w:tcW w:w="1004" w:type="dxa"/>
            <w:noWrap/>
            <w:vAlign w:val="center"/>
          </w:tcPr>
          <w:p>
            <w:pPr>
              <w:spacing w:line="360" w:lineRule="auto"/>
              <w:jc w:val="center"/>
              <w:rPr>
                <w:rFonts w:ascii="宋体" w:hAnsi="宋体" w:cs="宋体"/>
                <w:sz w:val="24"/>
              </w:rPr>
            </w:pPr>
          </w:p>
        </w:tc>
        <w:tc>
          <w:tcPr>
            <w:tcW w:w="2127" w:type="dxa"/>
            <w:noWrap/>
            <w:vAlign w:val="center"/>
          </w:tcPr>
          <w:p>
            <w:pPr>
              <w:spacing w:line="360" w:lineRule="auto"/>
              <w:jc w:val="center"/>
              <w:rPr>
                <w:rFonts w:ascii="宋体" w:hAnsi="宋体" w:cs="宋体"/>
                <w:sz w:val="24"/>
              </w:rPr>
            </w:pPr>
          </w:p>
        </w:tc>
        <w:tc>
          <w:tcPr>
            <w:tcW w:w="1447" w:type="dxa"/>
            <w:noWrap/>
            <w:vAlign w:val="center"/>
          </w:tcPr>
          <w:p>
            <w:pPr>
              <w:spacing w:line="360" w:lineRule="auto"/>
              <w:jc w:val="center"/>
              <w:rPr>
                <w:rFonts w:ascii="宋体" w:hAnsi="宋体" w:cs="宋体"/>
                <w:sz w:val="24"/>
              </w:rPr>
            </w:pPr>
          </w:p>
        </w:tc>
        <w:tc>
          <w:tcPr>
            <w:tcW w:w="2014" w:type="dxa"/>
            <w:noWrap/>
            <w:vAlign w:val="center"/>
          </w:tcPr>
          <w:p>
            <w:pPr>
              <w:spacing w:line="360" w:lineRule="auto"/>
              <w:jc w:val="center"/>
              <w:rPr>
                <w:rFonts w:ascii="宋体" w:hAnsi="宋体" w:cs="宋体"/>
                <w:sz w:val="24"/>
              </w:rPr>
            </w:pPr>
          </w:p>
        </w:tc>
        <w:tc>
          <w:tcPr>
            <w:tcW w:w="1371" w:type="dxa"/>
            <w:noWrap/>
            <w:vAlign w:val="center"/>
          </w:tcPr>
          <w:p>
            <w:pPr>
              <w:spacing w:line="360" w:lineRule="auto"/>
              <w:jc w:val="center"/>
              <w:rPr>
                <w:rFonts w:ascii="宋体" w:hAnsi="宋体" w:cs="宋体"/>
                <w:sz w:val="24"/>
              </w:rPr>
            </w:pPr>
          </w:p>
        </w:tc>
        <w:tc>
          <w:tcPr>
            <w:tcW w:w="1371" w:type="dxa"/>
            <w:noWrap/>
            <w:vAlign w:val="center"/>
          </w:tcPr>
          <w:p>
            <w:pPr>
              <w:spacing w:line="360" w:lineRule="auto"/>
              <w:jc w:val="center"/>
              <w:rPr>
                <w:rFonts w:ascii="宋体" w:hAnsi="宋体" w:cs="宋体"/>
                <w:sz w:val="24"/>
              </w:rPr>
            </w:pPr>
          </w:p>
        </w:tc>
      </w:tr>
    </w:tbl>
    <w:p>
      <w:pPr>
        <w:spacing w:line="360" w:lineRule="auto"/>
        <w:rPr>
          <w:rFonts w:ascii="宋体" w:hAnsi="宋体" w:cs="宋体"/>
          <w:sz w:val="24"/>
          <w:u w:val="single"/>
        </w:rPr>
      </w:pPr>
      <w:r>
        <w:rPr>
          <w:rFonts w:hint="eastAsia" w:ascii="宋体" w:hAnsi="宋体" w:cs="宋体"/>
          <w:sz w:val="24"/>
        </w:rPr>
        <w:t>附注：1.</w:t>
      </w:r>
      <w:r>
        <w:rPr>
          <w:rFonts w:hint="eastAsia" w:ascii="宋体" w:hAnsi="宋体" w:cs="宋体"/>
          <w:bCs/>
          <w:sz w:val="24"/>
          <w:u w:val="single"/>
        </w:rPr>
        <w:t>▲</w:t>
      </w:r>
      <w:r>
        <w:rPr>
          <w:rFonts w:hint="eastAsia" w:ascii="宋体" w:hAnsi="宋体" w:cs="宋体"/>
          <w:sz w:val="24"/>
          <w:u w:val="single"/>
        </w:rPr>
        <w:t>没有填写此表视为完全满足招标文件的实质性要求；</w:t>
      </w:r>
    </w:p>
    <w:p>
      <w:pPr>
        <w:widowControl/>
        <w:jc w:val="left"/>
        <w:rPr>
          <w:rFonts w:ascii="宋体" w:hAnsi="宋体" w:cs="宋体"/>
          <w:sz w:val="24"/>
        </w:rPr>
      </w:pPr>
      <w:r>
        <w:rPr>
          <w:rFonts w:hint="eastAsia" w:ascii="宋体" w:hAnsi="宋体" w:cs="宋体"/>
          <w:sz w:val="24"/>
        </w:rPr>
        <w:t>2.如出现偏离，投标供应商务必如实填写此表，“</w:t>
      </w:r>
      <w:r>
        <w:rPr>
          <w:rFonts w:hint="eastAsia" w:ascii="宋体" w:hAnsi="宋体" w:cs="宋体"/>
          <w:color w:val="000000"/>
          <w:kern w:val="0"/>
          <w:sz w:val="24"/>
        </w:rPr>
        <w:t>投标产品实际技术指标</w:t>
      </w:r>
      <w:r>
        <w:rPr>
          <w:rFonts w:hint="eastAsia" w:ascii="宋体" w:hAnsi="宋体" w:cs="宋体"/>
          <w:sz w:val="24"/>
        </w:rPr>
        <w:t>”及“</w:t>
      </w:r>
      <w:r>
        <w:rPr>
          <w:rFonts w:hint="eastAsia" w:ascii="宋体" w:hAnsi="宋体" w:cs="宋体"/>
          <w:color w:val="000000"/>
          <w:kern w:val="0"/>
          <w:sz w:val="24"/>
        </w:rPr>
        <w:t>偏离情况详细说明</w:t>
      </w:r>
      <w:r>
        <w:rPr>
          <w:rFonts w:hint="eastAsia" w:ascii="宋体" w:hAnsi="宋体" w:cs="宋体"/>
          <w:sz w:val="24"/>
        </w:rPr>
        <w:t>”栏不得复制粘贴，所投产品必须对照招标文件要求详细填写说明，否则存在的风险由投标供应商自行承担；</w:t>
      </w:r>
    </w:p>
    <w:p>
      <w:pPr>
        <w:spacing w:line="360" w:lineRule="auto"/>
        <w:ind w:firstLine="705" w:firstLineChars="294"/>
        <w:rPr>
          <w:rFonts w:ascii="宋体" w:hAnsi="宋体" w:cs="宋体"/>
          <w:sz w:val="24"/>
          <w:u w:val="single"/>
        </w:rPr>
      </w:pPr>
      <w:r>
        <w:rPr>
          <w:rFonts w:hint="eastAsia" w:ascii="宋体" w:hAnsi="宋体" w:cs="宋体"/>
          <w:sz w:val="24"/>
        </w:rPr>
        <w:t>3.</w:t>
      </w:r>
      <w:r>
        <w:rPr>
          <w:rFonts w:hint="eastAsia" w:ascii="宋体" w:hAnsi="宋体" w:cs="宋体"/>
          <w:bCs/>
          <w:sz w:val="24"/>
        </w:rPr>
        <w:t>投标供应商可按以上表格形式进行复制。</w:t>
      </w:r>
    </w:p>
    <w:p>
      <w:pPr>
        <w:spacing w:line="360" w:lineRule="auto"/>
        <w:rPr>
          <w:rFonts w:ascii="宋体" w:hAnsi="宋体" w:cs="宋体"/>
          <w:sz w:val="22"/>
          <w:szCs w:val="22"/>
        </w:rPr>
      </w:pPr>
    </w:p>
    <w:p>
      <w:pPr>
        <w:spacing w:line="360" w:lineRule="auto"/>
        <w:rPr>
          <w:rFonts w:ascii="宋体" w:hAnsi="宋体" w:cs="宋体"/>
          <w:sz w:val="24"/>
        </w:rPr>
      </w:pPr>
      <w:r>
        <w:rPr>
          <w:rFonts w:hint="eastAsia" w:ascii="宋体" w:hAnsi="宋体" w:cs="宋体"/>
          <w:sz w:val="24"/>
        </w:rPr>
        <w:t>投标供应商全称（</w:t>
      </w:r>
      <w:r>
        <w:rPr>
          <w:rFonts w:hint="eastAsia" w:ascii="宋体" w:hAnsi="宋体" w:cs="宋体"/>
          <w:bCs/>
          <w:sz w:val="24"/>
        </w:rPr>
        <w:t>公章或CA章</w:t>
      </w:r>
      <w:r>
        <w:rPr>
          <w:rFonts w:hint="eastAsia" w:ascii="宋体" w:hAnsi="宋体" w:cs="宋体"/>
          <w:sz w:val="24"/>
        </w:rPr>
        <w:t>）：</w:t>
      </w:r>
    </w:p>
    <w:p>
      <w:pPr>
        <w:spacing w:line="360" w:lineRule="auto"/>
        <w:rPr>
          <w:rFonts w:ascii="宋体" w:hAnsi="宋体" w:cs="宋体"/>
          <w:b/>
          <w:bCs/>
          <w:sz w:val="22"/>
          <w:szCs w:val="22"/>
        </w:rPr>
      </w:pPr>
      <w:r>
        <w:rPr>
          <w:rFonts w:hint="eastAsia" w:ascii="宋体" w:hAnsi="宋体" w:cs="宋体"/>
          <w:sz w:val="24"/>
        </w:rPr>
        <w:t>日期：年月日</w:t>
      </w:r>
    </w:p>
    <w:p>
      <w:pPr>
        <w:spacing w:line="360" w:lineRule="auto"/>
        <w:jc w:val="center"/>
        <w:rPr>
          <w:rFonts w:ascii="宋体" w:hAnsi="宋体" w:cs="宋体"/>
          <w:b/>
          <w:bCs/>
          <w:sz w:val="36"/>
          <w:szCs w:val="36"/>
        </w:rPr>
      </w:pPr>
      <w:r>
        <w:rPr>
          <w:rFonts w:hint="eastAsia" w:ascii="宋体" w:hAnsi="宋体" w:cs="宋体"/>
          <w:b/>
          <w:bCs/>
          <w:szCs w:val="21"/>
        </w:rPr>
        <w:br w:type="page"/>
      </w:r>
      <w:r>
        <w:rPr>
          <w:rFonts w:hint="eastAsia" w:ascii="宋体" w:hAnsi="宋体" w:cs="宋体"/>
          <w:b/>
          <w:bCs/>
          <w:sz w:val="36"/>
          <w:szCs w:val="36"/>
        </w:rPr>
        <w:t>（3）投标人投标截止时间前三年内同类项目业绩</w:t>
      </w:r>
    </w:p>
    <w:p>
      <w:pPr>
        <w:tabs>
          <w:tab w:val="left" w:pos="1985"/>
        </w:tabs>
        <w:spacing w:line="360" w:lineRule="auto"/>
        <w:rPr>
          <w:rFonts w:ascii="宋体" w:hAnsi="宋体" w:cs="宋体"/>
          <w:bCs/>
          <w:sz w:val="32"/>
          <w:szCs w:val="32"/>
        </w:rPr>
      </w:pPr>
      <w:r>
        <w:rPr>
          <w:rFonts w:hint="eastAsia" w:ascii="宋体" w:hAnsi="宋体" w:cs="宋体"/>
          <w:bCs/>
          <w:sz w:val="22"/>
          <w:szCs w:val="22"/>
        </w:rPr>
        <w:t>项目编号：</w:t>
      </w:r>
    </w:p>
    <w:tbl>
      <w:tblPr>
        <w:tblStyle w:val="20"/>
        <w:tblW w:w="9322"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477"/>
        <w:gridCol w:w="1608"/>
        <w:gridCol w:w="1134"/>
        <w:gridCol w:w="1701"/>
        <w:gridCol w:w="1559"/>
        <w:gridCol w:w="113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6" w:hRule="atLeast"/>
        </w:trPr>
        <w:tc>
          <w:tcPr>
            <w:tcW w:w="709" w:type="dxa"/>
            <w:noWrap/>
            <w:vAlign w:val="center"/>
          </w:tcPr>
          <w:p>
            <w:pPr>
              <w:tabs>
                <w:tab w:val="left" w:pos="1985"/>
              </w:tabs>
              <w:spacing w:after="120" w:line="360" w:lineRule="auto"/>
              <w:jc w:val="center"/>
              <w:rPr>
                <w:rFonts w:ascii="宋体" w:hAnsi="宋体" w:cs="宋体"/>
                <w:bCs/>
                <w:sz w:val="22"/>
                <w:szCs w:val="22"/>
              </w:rPr>
            </w:pPr>
            <w:r>
              <w:rPr>
                <w:rFonts w:hint="eastAsia" w:ascii="宋体" w:hAnsi="宋体" w:cs="宋体"/>
                <w:bCs/>
                <w:sz w:val="22"/>
                <w:szCs w:val="22"/>
              </w:rPr>
              <w:t>序号</w:t>
            </w:r>
          </w:p>
        </w:tc>
        <w:tc>
          <w:tcPr>
            <w:tcW w:w="1477" w:type="dxa"/>
            <w:noWrap/>
            <w:vAlign w:val="center"/>
          </w:tcPr>
          <w:p>
            <w:pPr>
              <w:tabs>
                <w:tab w:val="left" w:pos="1985"/>
              </w:tabs>
              <w:spacing w:after="120" w:line="360" w:lineRule="auto"/>
              <w:jc w:val="center"/>
              <w:rPr>
                <w:rFonts w:ascii="宋体" w:hAnsi="宋体" w:cs="宋体"/>
                <w:bCs/>
                <w:sz w:val="22"/>
                <w:szCs w:val="22"/>
              </w:rPr>
            </w:pPr>
            <w:r>
              <w:rPr>
                <w:rFonts w:hint="eastAsia" w:ascii="宋体" w:hAnsi="宋体" w:cs="宋体"/>
                <w:bCs/>
                <w:sz w:val="22"/>
                <w:szCs w:val="22"/>
              </w:rPr>
              <w:t>用户名称</w:t>
            </w:r>
          </w:p>
        </w:tc>
        <w:tc>
          <w:tcPr>
            <w:tcW w:w="1608" w:type="dxa"/>
            <w:noWrap/>
            <w:vAlign w:val="center"/>
          </w:tcPr>
          <w:p>
            <w:pPr>
              <w:tabs>
                <w:tab w:val="left" w:pos="1985"/>
              </w:tabs>
              <w:spacing w:after="120" w:line="360" w:lineRule="auto"/>
              <w:jc w:val="center"/>
              <w:rPr>
                <w:rFonts w:ascii="宋体" w:hAnsi="宋体" w:cs="宋体"/>
                <w:bCs/>
                <w:sz w:val="22"/>
                <w:szCs w:val="22"/>
              </w:rPr>
            </w:pPr>
            <w:r>
              <w:rPr>
                <w:rFonts w:hint="eastAsia" w:ascii="宋体" w:hAnsi="宋体" w:cs="宋体"/>
                <w:bCs/>
                <w:sz w:val="22"/>
                <w:szCs w:val="22"/>
              </w:rPr>
              <w:t>项目名称</w:t>
            </w:r>
          </w:p>
        </w:tc>
        <w:tc>
          <w:tcPr>
            <w:tcW w:w="1134" w:type="dxa"/>
            <w:noWrap/>
            <w:vAlign w:val="center"/>
          </w:tcPr>
          <w:p>
            <w:pPr>
              <w:tabs>
                <w:tab w:val="left" w:pos="1985"/>
              </w:tabs>
              <w:spacing w:after="120" w:line="360" w:lineRule="auto"/>
              <w:jc w:val="center"/>
              <w:rPr>
                <w:rFonts w:ascii="宋体" w:hAnsi="宋体" w:cs="宋体"/>
                <w:bCs/>
                <w:sz w:val="22"/>
                <w:szCs w:val="22"/>
              </w:rPr>
            </w:pPr>
            <w:r>
              <w:rPr>
                <w:rFonts w:hint="eastAsia" w:ascii="宋体" w:hAnsi="宋体" w:cs="宋体"/>
                <w:bCs/>
                <w:sz w:val="22"/>
                <w:szCs w:val="22"/>
              </w:rPr>
              <w:t>合同金额</w:t>
            </w:r>
          </w:p>
        </w:tc>
        <w:tc>
          <w:tcPr>
            <w:tcW w:w="1701" w:type="dxa"/>
            <w:noWrap/>
            <w:vAlign w:val="center"/>
          </w:tcPr>
          <w:p>
            <w:pPr>
              <w:tabs>
                <w:tab w:val="left" w:pos="1985"/>
              </w:tabs>
              <w:spacing w:after="120" w:line="360" w:lineRule="auto"/>
              <w:jc w:val="center"/>
              <w:rPr>
                <w:rFonts w:ascii="宋体" w:hAnsi="宋体" w:cs="宋体"/>
                <w:bCs/>
                <w:sz w:val="22"/>
                <w:szCs w:val="22"/>
              </w:rPr>
            </w:pPr>
            <w:r>
              <w:rPr>
                <w:rFonts w:hint="eastAsia" w:ascii="宋体" w:hAnsi="宋体" w:cs="宋体"/>
                <w:bCs/>
                <w:sz w:val="22"/>
                <w:szCs w:val="22"/>
              </w:rPr>
              <w:t>合同签订日期</w:t>
            </w:r>
          </w:p>
        </w:tc>
        <w:tc>
          <w:tcPr>
            <w:tcW w:w="1559" w:type="dxa"/>
            <w:noWrap/>
            <w:vAlign w:val="center"/>
          </w:tcPr>
          <w:p>
            <w:pPr>
              <w:tabs>
                <w:tab w:val="left" w:pos="1985"/>
              </w:tabs>
              <w:spacing w:after="120" w:line="360" w:lineRule="auto"/>
              <w:jc w:val="center"/>
              <w:rPr>
                <w:rFonts w:ascii="宋体" w:hAnsi="宋体" w:cs="宋体"/>
                <w:bCs/>
                <w:sz w:val="22"/>
                <w:szCs w:val="22"/>
              </w:rPr>
            </w:pPr>
            <w:r>
              <w:rPr>
                <w:rFonts w:hint="eastAsia" w:ascii="宋体" w:hAnsi="宋体" w:cs="宋体"/>
                <w:bCs/>
                <w:sz w:val="22"/>
                <w:szCs w:val="22"/>
              </w:rPr>
              <w:t>用户联系电话/手机</w:t>
            </w:r>
          </w:p>
        </w:tc>
        <w:tc>
          <w:tcPr>
            <w:tcW w:w="1134" w:type="dxa"/>
            <w:noWrap/>
            <w:vAlign w:val="center"/>
          </w:tcPr>
          <w:p>
            <w:pPr>
              <w:tabs>
                <w:tab w:val="left" w:pos="1985"/>
              </w:tabs>
              <w:spacing w:after="120" w:line="360" w:lineRule="auto"/>
              <w:jc w:val="center"/>
              <w:rPr>
                <w:rFonts w:ascii="宋体" w:hAnsi="宋体" w:cs="宋体"/>
                <w:bCs/>
                <w:sz w:val="22"/>
                <w:szCs w:val="22"/>
              </w:rPr>
            </w:pPr>
            <w:r>
              <w:rPr>
                <w:rFonts w:hint="eastAsia" w:ascii="宋体" w:hAnsi="宋体" w:cs="宋体"/>
                <w:bCs/>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6" w:hRule="atLeast"/>
        </w:trPr>
        <w:tc>
          <w:tcPr>
            <w:tcW w:w="709" w:type="dxa"/>
            <w:noWrap/>
            <w:vAlign w:val="center"/>
          </w:tcPr>
          <w:p>
            <w:pPr>
              <w:tabs>
                <w:tab w:val="left" w:pos="1985"/>
              </w:tabs>
              <w:spacing w:after="120" w:line="360" w:lineRule="auto"/>
              <w:ind w:left="420" w:leftChars="200"/>
              <w:rPr>
                <w:rFonts w:ascii="宋体" w:hAnsi="宋体" w:cs="宋体"/>
                <w:b/>
                <w:bCs/>
                <w:sz w:val="22"/>
                <w:szCs w:val="22"/>
              </w:rPr>
            </w:pPr>
          </w:p>
        </w:tc>
        <w:tc>
          <w:tcPr>
            <w:tcW w:w="1477" w:type="dxa"/>
            <w:noWrap/>
            <w:vAlign w:val="center"/>
          </w:tcPr>
          <w:p>
            <w:pPr>
              <w:tabs>
                <w:tab w:val="left" w:pos="1985"/>
              </w:tabs>
              <w:spacing w:after="120" w:line="360" w:lineRule="auto"/>
              <w:ind w:left="420" w:leftChars="200"/>
              <w:rPr>
                <w:rFonts w:ascii="宋体" w:hAnsi="宋体" w:cs="宋体"/>
                <w:b/>
                <w:bCs/>
                <w:sz w:val="22"/>
                <w:szCs w:val="22"/>
              </w:rPr>
            </w:pPr>
          </w:p>
        </w:tc>
        <w:tc>
          <w:tcPr>
            <w:tcW w:w="1608" w:type="dxa"/>
            <w:noWrap/>
            <w:vAlign w:val="center"/>
          </w:tcPr>
          <w:p>
            <w:pPr>
              <w:tabs>
                <w:tab w:val="left" w:pos="1985"/>
              </w:tabs>
              <w:spacing w:after="120" w:line="360" w:lineRule="auto"/>
              <w:ind w:left="420" w:leftChars="200"/>
              <w:rPr>
                <w:rFonts w:ascii="宋体" w:hAnsi="宋体" w:cs="宋体"/>
                <w:b/>
                <w:bCs/>
                <w:sz w:val="22"/>
                <w:szCs w:val="22"/>
              </w:rPr>
            </w:pPr>
          </w:p>
        </w:tc>
        <w:tc>
          <w:tcPr>
            <w:tcW w:w="1134" w:type="dxa"/>
            <w:noWrap/>
            <w:vAlign w:val="center"/>
          </w:tcPr>
          <w:p>
            <w:pPr>
              <w:tabs>
                <w:tab w:val="left" w:pos="1985"/>
              </w:tabs>
              <w:spacing w:after="120" w:line="360" w:lineRule="auto"/>
              <w:rPr>
                <w:rFonts w:ascii="宋体" w:hAnsi="宋体" w:cs="宋体"/>
                <w:bCs/>
                <w:sz w:val="22"/>
                <w:szCs w:val="22"/>
              </w:rPr>
            </w:pPr>
          </w:p>
        </w:tc>
        <w:tc>
          <w:tcPr>
            <w:tcW w:w="1701" w:type="dxa"/>
            <w:noWrap/>
            <w:vAlign w:val="center"/>
          </w:tcPr>
          <w:p>
            <w:pPr>
              <w:tabs>
                <w:tab w:val="left" w:pos="1985"/>
              </w:tabs>
              <w:spacing w:after="120" w:line="360" w:lineRule="auto"/>
              <w:rPr>
                <w:rFonts w:ascii="宋体" w:hAnsi="宋体" w:cs="宋体"/>
                <w:bCs/>
                <w:sz w:val="22"/>
                <w:szCs w:val="22"/>
              </w:rPr>
            </w:pPr>
          </w:p>
        </w:tc>
        <w:tc>
          <w:tcPr>
            <w:tcW w:w="1559" w:type="dxa"/>
            <w:noWrap/>
            <w:vAlign w:val="center"/>
          </w:tcPr>
          <w:p>
            <w:pPr>
              <w:tabs>
                <w:tab w:val="left" w:pos="1985"/>
              </w:tabs>
              <w:spacing w:after="120" w:line="360" w:lineRule="auto"/>
              <w:rPr>
                <w:rFonts w:ascii="宋体" w:hAnsi="宋体" w:cs="宋体"/>
                <w:bCs/>
                <w:sz w:val="22"/>
                <w:szCs w:val="22"/>
              </w:rPr>
            </w:pPr>
          </w:p>
        </w:tc>
        <w:tc>
          <w:tcPr>
            <w:tcW w:w="1134" w:type="dxa"/>
            <w:noWrap/>
            <w:vAlign w:val="center"/>
          </w:tcPr>
          <w:p>
            <w:pPr>
              <w:tabs>
                <w:tab w:val="left" w:pos="1985"/>
              </w:tabs>
              <w:spacing w:after="120" w:line="360" w:lineRule="auto"/>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6" w:hRule="atLeast"/>
        </w:trPr>
        <w:tc>
          <w:tcPr>
            <w:tcW w:w="709" w:type="dxa"/>
            <w:noWrap/>
            <w:vAlign w:val="center"/>
          </w:tcPr>
          <w:p>
            <w:pPr>
              <w:tabs>
                <w:tab w:val="left" w:pos="1985"/>
              </w:tabs>
              <w:spacing w:after="120" w:line="360" w:lineRule="auto"/>
              <w:ind w:left="420" w:leftChars="200"/>
              <w:rPr>
                <w:rFonts w:ascii="宋体" w:hAnsi="宋体" w:cs="宋体"/>
                <w:b/>
                <w:bCs/>
                <w:sz w:val="22"/>
                <w:szCs w:val="22"/>
              </w:rPr>
            </w:pPr>
          </w:p>
        </w:tc>
        <w:tc>
          <w:tcPr>
            <w:tcW w:w="1477" w:type="dxa"/>
            <w:noWrap/>
            <w:vAlign w:val="center"/>
          </w:tcPr>
          <w:p>
            <w:pPr>
              <w:tabs>
                <w:tab w:val="left" w:pos="1985"/>
              </w:tabs>
              <w:spacing w:after="120" w:line="360" w:lineRule="auto"/>
              <w:ind w:left="420" w:leftChars="200"/>
              <w:rPr>
                <w:rFonts w:ascii="宋体" w:hAnsi="宋体" w:cs="宋体"/>
                <w:b/>
                <w:bCs/>
                <w:sz w:val="22"/>
                <w:szCs w:val="22"/>
              </w:rPr>
            </w:pPr>
          </w:p>
        </w:tc>
        <w:tc>
          <w:tcPr>
            <w:tcW w:w="1608" w:type="dxa"/>
            <w:noWrap/>
            <w:vAlign w:val="center"/>
          </w:tcPr>
          <w:p>
            <w:pPr>
              <w:tabs>
                <w:tab w:val="left" w:pos="1985"/>
              </w:tabs>
              <w:spacing w:after="120" w:line="360" w:lineRule="auto"/>
              <w:ind w:left="420" w:leftChars="200"/>
              <w:rPr>
                <w:rFonts w:ascii="宋体" w:hAnsi="宋体" w:cs="宋体"/>
                <w:b/>
                <w:bCs/>
                <w:sz w:val="22"/>
                <w:szCs w:val="22"/>
              </w:rPr>
            </w:pPr>
          </w:p>
        </w:tc>
        <w:tc>
          <w:tcPr>
            <w:tcW w:w="1134" w:type="dxa"/>
            <w:noWrap/>
          </w:tcPr>
          <w:p>
            <w:pPr>
              <w:tabs>
                <w:tab w:val="left" w:pos="1985"/>
              </w:tabs>
              <w:spacing w:after="120" w:line="360" w:lineRule="auto"/>
              <w:ind w:left="420" w:leftChars="200"/>
              <w:rPr>
                <w:rFonts w:ascii="宋体" w:hAnsi="宋体" w:cs="宋体"/>
                <w:b/>
                <w:bCs/>
                <w:sz w:val="22"/>
                <w:szCs w:val="22"/>
              </w:rPr>
            </w:pPr>
          </w:p>
        </w:tc>
        <w:tc>
          <w:tcPr>
            <w:tcW w:w="1701" w:type="dxa"/>
            <w:noWrap/>
            <w:vAlign w:val="center"/>
          </w:tcPr>
          <w:p>
            <w:pPr>
              <w:tabs>
                <w:tab w:val="left" w:pos="1985"/>
              </w:tabs>
              <w:spacing w:after="120" w:line="360" w:lineRule="auto"/>
              <w:ind w:left="420" w:leftChars="200"/>
              <w:rPr>
                <w:rFonts w:ascii="宋体" w:hAnsi="宋体" w:cs="宋体"/>
                <w:b/>
                <w:bCs/>
                <w:sz w:val="22"/>
                <w:szCs w:val="22"/>
              </w:rPr>
            </w:pPr>
          </w:p>
        </w:tc>
        <w:tc>
          <w:tcPr>
            <w:tcW w:w="1559" w:type="dxa"/>
            <w:noWrap/>
            <w:vAlign w:val="center"/>
          </w:tcPr>
          <w:p>
            <w:pPr>
              <w:tabs>
                <w:tab w:val="left" w:pos="1985"/>
              </w:tabs>
              <w:spacing w:after="120" w:line="360" w:lineRule="auto"/>
              <w:ind w:left="420" w:leftChars="200"/>
              <w:rPr>
                <w:rFonts w:ascii="宋体" w:hAnsi="宋体" w:cs="宋体"/>
                <w:b/>
                <w:bCs/>
                <w:sz w:val="22"/>
                <w:szCs w:val="22"/>
              </w:rPr>
            </w:pPr>
          </w:p>
        </w:tc>
        <w:tc>
          <w:tcPr>
            <w:tcW w:w="1134" w:type="dxa"/>
            <w:noWrap/>
          </w:tcPr>
          <w:p>
            <w:pPr>
              <w:tabs>
                <w:tab w:val="left" w:pos="1985"/>
              </w:tabs>
              <w:spacing w:after="120" w:line="360" w:lineRule="auto"/>
              <w:ind w:left="420" w:leftChars="200"/>
              <w:rPr>
                <w:rFonts w:ascii="宋体" w:hAnsi="宋体" w:cs="宋体"/>
                <w:b/>
                <w:bCs/>
                <w:sz w:val="22"/>
                <w:szCs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6" w:hRule="atLeast"/>
        </w:trPr>
        <w:tc>
          <w:tcPr>
            <w:tcW w:w="709" w:type="dxa"/>
            <w:noWrap/>
            <w:vAlign w:val="center"/>
          </w:tcPr>
          <w:p>
            <w:pPr>
              <w:tabs>
                <w:tab w:val="left" w:pos="1985"/>
              </w:tabs>
              <w:spacing w:after="120" w:line="360" w:lineRule="auto"/>
              <w:ind w:left="420" w:leftChars="200"/>
              <w:rPr>
                <w:rFonts w:ascii="宋体" w:hAnsi="宋体" w:cs="宋体"/>
                <w:b/>
                <w:bCs/>
                <w:sz w:val="22"/>
                <w:szCs w:val="22"/>
              </w:rPr>
            </w:pPr>
          </w:p>
        </w:tc>
        <w:tc>
          <w:tcPr>
            <w:tcW w:w="1477" w:type="dxa"/>
            <w:noWrap/>
            <w:vAlign w:val="center"/>
          </w:tcPr>
          <w:p>
            <w:pPr>
              <w:tabs>
                <w:tab w:val="left" w:pos="1985"/>
              </w:tabs>
              <w:spacing w:after="120" w:line="360" w:lineRule="auto"/>
              <w:ind w:left="420" w:leftChars="200"/>
              <w:rPr>
                <w:rFonts w:ascii="宋体" w:hAnsi="宋体" w:cs="宋体"/>
                <w:b/>
                <w:bCs/>
                <w:sz w:val="22"/>
                <w:szCs w:val="22"/>
              </w:rPr>
            </w:pPr>
          </w:p>
        </w:tc>
        <w:tc>
          <w:tcPr>
            <w:tcW w:w="1608" w:type="dxa"/>
            <w:noWrap/>
            <w:vAlign w:val="center"/>
          </w:tcPr>
          <w:p>
            <w:pPr>
              <w:tabs>
                <w:tab w:val="left" w:pos="1985"/>
              </w:tabs>
              <w:spacing w:after="120" w:line="360" w:lineRule="auto"/>
              <w:ind w:left="420" w:leftChars="200"/>
              <w:rPr>
                <w:rFonts w:ascii="宋体" w:hAnsi="宋体" w:cs="宋体"/>
                <w:b/>
                <w:bCs/>
                <w:sz w:val="22"/>
                <w:szCs w:val="22"/>
              </w:rPr>
            </w:pPr>
          </w:p>
        </w:tc>
        <w:tc>
          <w:tcPr>
            <w:tcW w:w="1134" w:type="dxa"/>
            <w:noWrap/>
          </w:tcPr>
          <w:p>
            <w:pPr>
              <w:tabs>
                <w:tab w:val="left" w:pos="1985"/>
              </w:tabs>
              <w:spacing w:after="120" w:line="360" w:lineRule="auto"/>
              <w:ind w:left="420" w:leftChars="200"/>
              <w:rPr>
                <w:rFonts w:ascii="宋体" w:hAnsi="宋体" w:cs="宋体"/>
                <w:b/>
                <w:bCs/>
                <w:sz w:val="22"/>
                <w:szCs w:val="22"/>
              </w:rPr>
            </w:pPr>
          </w:p>
        </w:tc>
        <w:tc>
          <w:tcPr>
            <w:tcW w:w="1701" w:type="dxa"/>
            <w:noWrap/>
            <w:vAlign w:val="center"/>
          </w:tcPr>
          <w:p>
            <w:pPr>
              <w:tabs>
                <w:tab w:val="left" w:pos="1985"/>
              </w:tabs>
              <w:spacing w:after="120" w:line="360" w:lineRule="auto"/>
              <w:ind w:left="420" w:leftChars="200"/>
              <w:rPr>
                <w:rFonts w:ascii="宋体" w:hAnsi="宋体" w:cs="宋体"/>
                <w:b/>
                <w:bCs/>
                <w:sz w:val="22"/>
                <w:szCs w:val="22"/>
              </w:rPr>
            </w:pPr>
          </w:p>
        </w:tc>
        <w:tc>
          <w:tcPr>
            <w:tcW w:w="1559" w:type="dxa"/>
            <w:noWrap/>
            <w:vAlign w:val="center"/>
          </w:tcPr>
          <w:p>
            <w:pPr>
              <w:tabs>
                <w:tab w:val="left" w:pos="1985"/>
              </w:tabs>
              <w:spacing w:after="120" w:line="360" w:lineRule="auto"/>
              <w:ind w:left="420" w:leftChars="200"/>
              <w:rPr>
                <w:rFonts w:ascii="宋体" w:hAnsi="宋体" w:cs="宋体"/>
                <w:b/>
                <w:bCs/>
                <w:sz w:val="22"/>
                <w:szCs w:val="22"/>
              </w:rPr>
            </w:pPr>
          </w:p>
        </w:tc>
        <w:tc>
          <w:tcPr>
            <w:tcW w:w="1134" w:type="dxa"/>
            <w:noWrap/>
          </w:tcPr>
          <w:p>
            <w:pPr>
              <w:tabs>
                <w:tab w:val="left" w:pos="1985"/>
              </w:tabs>
              <w:spacing w:after="120" w:line="360" w:lineRule="auto"/>
              <w:ind w:left="420" w:leftChars="200"/>
              <w:rPr>
                <w:rFonts w:ascii="宋体" w:hAnsi="宋体" w:cs="宋体"/>
                <w:b/>
                <w:bCs/>
                <w:sz w:val="22"/>
                <w:szCs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6" w:hRule="atLeast"/>
        </w:trPr>
        <w:tc>
          <w:tcPr>
            <w:tcW w:w="709" w:type="dxa"/>
            <w:noWrap/>
            <w:vAlign w:val="center"/>
          </w:tcPr>
          <w:p>
            <w:pPr>
              <w:tabs>
                <w:tab w:val="left" w:pos="1985"/>
              </w:tabs>
              <w:spacing w:after="120" w:line="360" w:lineRule="auto"/>
              <w:ind w:left="420" w:leftChars="200"/>
              <w:rPr>
                <w:rFonts w:ascii="宋体" w:hAnsi="宋体" w:cs="宋体"/>
                <w:b/>
                <w:bCs/>
                <w:sz w:val="22"/>
                <w:szCs w:val="22"/>
              </w:rPr>
            </w:pPr>
          </w:p>
        </w:tc>
        <w:tc>
          <w:tcPr>
            <w:tcW w:w="1477" w:type="dxa"/>
            <w:noWrap/>
            <w:vAlign w:val="center"/>
          </w:tcPr>
          <w:p>
            <w:pPr>
              <w:tabs>
                <w:tab w:val="left" w:pos="1985"/>
              </w:tabs>
              <w:spacing w:after="120" w:line="360" w:lineRule="auto"/>
              <w:ind w:left="420" w:leftChars="200"/>
              <w:rPr>
                <w:rFonts w:ascii="宋体" w:hAnsi="宋体" w:cs="宋体"/>
                <w:b/>
                <w:bCs/>
                <w:sz w:val="22"/>
                <w:szCs w:val="22"/>
              </w:rPr>
            </w:pPr>
          </w:p>
        </w:tc>
        <w:tc>
          <w:tcPr>
            <w:tcW w:w="1608" w:type="dxa"/>
            <w:noWrap/>
            <w:vAlign w:val="center"/>
          </w:tcPr>
          <w:p>
            <w:pPr>
              <w:tabs>
                <w:tab w:val="left" w:pos="1985"/>
              </w:tabs>
              <w:spacing w:after="120" w:line="360" w:lineRule="auto"/>
              <w:ind w:left="420" w:leftChars="200"/>
              <w:rPr>
                <w:rFonts w:ascii="宋体" w:hAnsi="宋体" w:cs="宋体"/>
                <w:b/>
                <w:bCs/>
                <w:sz w:val="22"/>
                <w:szCs w:val="22"/>
              </w:rPr>
            </w:pPr>
          </w:p>
        </w:tc>
        <w:tc>
          <w:tcPr>
            <w:tcW w:w="1134" w:type="dxa"/>
            <w:noWrap/>
          </w:tcPr>
          <w:p>
            <w:pPr>
              <w:tabs>
                <w:tab w:val="left" w:pos="1985"/>
              </w:tabs>
              <w:spacing w:after="120" w:line="360" w:lineRule="auto"/>
              <w:ind w:left="420" w:leftChars="200"/>
              <w:rPr>
                <w:rFonts w:ascii="宋体" w:hAnsi="宋体" w:cs="宋体"/>
                <w:b/>
                <w:bCs/>
                <w:sz w:val="22"/>
                <w:szCs w:val="22"/>
              </w:rPr>
            </w:pPr>
          </w:p>
        </w:tc>
        <w:tc>
          <w:tcPr>
            <w:tcW w:w="1701" w:type="dxa"/>
            <w:noWrap/>
            <w:vAlign w:val="center"/>
          </w:tcPr>
          <w:p>
            <w:pPr>
              <w:tabs>
                <w:tab w:val="left" w:pos="1985"/>
              </w:tabs>
              <w:spacing w:after="120" w:line="360" w:lineRule="auto"/>
              <w:ind w:left="420" w:leftChars="200"/>
              <w:rPr>
                <w:rFonts w:ascii="宋体" w:hAnsi="宋体" w:cs="宋体"/>
                <w:b/>
                <w:bCs/>
                <w:sz w:val="22"/>
                <w:szCs w:val="22"/>
              </w:rPr>
            </w:pPr>
          </w:p>
        </w:tc>
        <w:tc>
          <w:tcPr>
            <w:tcW w:w="1559" w:type="dxa"/>
            <w:noWrap/>
            <w:vAlign w:val="center"/>
          </w:tcPr>
          <w:p>
            <w:pPr>
              <w:tabs>
                <w:tab w:val="left" w:pos="1985"/>
              </w:tabs>
              <w:spacing w:after="120" w:line="360" w:lineRule="auto"/>
              <w:ind w:left="420" w:leftChars="200"/>
              <w:rPr>
                <w:rFonts w:ascii="宋体" w:hAnsi="宋体" w:cs="宋体"/>
                <w:b/>
                <w:bCs/>
                <w:sz w:val="22"/>
                <w:szCs w:val="22"/>
              </w:rPr>
            </w:pPr>
          </w:p>
        </w:tc>
        <w:tc>
          <w:tcPr>
            <w:tcW w:w="1134" w:type="dxa"/>
            <w:noWrap/>
          </w:tcPr>
          <w:p>
            <w:pPr>
              <w:tabs>
                <w:tab w:val="left" w:pos="1985"/>
              </w:tabs>
              <w:spacing w:after="120" w:line="360" w:lineRule="auto"/>
              <w:ind w:left="420" w:leftChars="200"/>
              <w:rPr>
                <w:rFonts w:ascii="宋体" w:hAnsi="宋体" w:cs="宋体"/>
                <w:b/>
                <w:bCs/>
                <w:sz w:val="22"/>
                <w:szCs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6" w:hRule="atLeast"/>
        </w:trPr>
        <w:tc>
          <w:tcPr>
            <w:tcW w:w="709" w:type="dxa"/>
            <w:noWrap/>
            <w:vAlign w:val="center"/>
          </w:tcPr>
          <w:p>
            <w:pPr>
              <w:tabs>
                <w:tab w:val="left" w:pos="1985"/>
              </w:tabs>
              <w:spacing w:after="120" w:line="360" w:lineRule="auto"/>
              <w:ind w:left="420" w:leftChars="200"/>
              <w:rPr>
                <w:rFonts w:ascii="宋体" w:hAnsi="宋体" w:cs="宋体"/>
                <w:b/>
                <w:bCs/>
                <w:sz w:val="22"/>
                <w:szCs w:val="22"/>
              </w:rPr>
            </w:pPr>
          </w:p>
        </w:tc>
        <w:tc>
          <w:tcPr>
            <w:tcW w:w="1477" w:type="dxa"/>
            <w:noWrap/>
            <w:vAlign w:val="center"/>
          </w:tcPr>
          <w:p>
            <w:pPr>
              <w:tabs>
                <w:tab w:val="left" w:pos="1985"/>
              </w:tabs>
              <w:spacing w:after="120" w:line="360" w:lineRule="auto"/>
              <w:ind w:left="420" w:leftChars="200"/>
              <w:rPr>
                <w:rFonts w:ascii="宋体" w:hAnsi="宋体" w:cs="宋体"/>
                <w:b/>
                <w:bCs/>
                <w:sz w:val="22"/>
                <w:szCs w:val="22"/>
              </w:rPr>
            </w:pPr>
          </w:p>
        </w:tc>
        <w:tc>
          <w:tcPr>
            <w:tcW w:w="1608" w:type="dxa"/>
            <w:noWrap/>
            <w:vAlign w:val="center"/>
          </w:tcPr>
          <w:p>
            <w:pPr>
              <w:tabs>
                <w:tab w:val="left" w:pos="1985"/>
              </w:tabs>
              <w:spacing w:after="120" w:line="360" w:lineRule="auto"/>
              <w:ind w:left="420" w:leftChars="200"/>
              <w:rPr>
                <w:rFonts w:ascii="宋体" w:hAnsi="宋体" w:cs="宋体"/>
                <w:b/>
                <w:bCs/>
                <w:sz w:val="22"/>
                <w:szCs w:val="22"/>
              </w:rPr>
            </w:pPr>
          </w:p>
        </w:tc>
        <w:tc>
          <w:tcPr>
            <w:tcW w:w="1134" w:type="dxa"/>
            <w:noWrap/>
          </w:tcPr>
          <w:p>
            <w:pPr>
              <w:tabs>
                <w:tab w:val="left" w:pos="1985"/>
              </w:tabs>
              <w:spacing w:after="120" w:line="360" w:lineRule="auto"/>
              <w:ind w:left="420" w:leftChars="200"/>
              <w:rPr>
                <w:rFonts w:ascii="宋体" w:hAnsi="宋体" w:cs="宋体"/>
                <w:b/>
                <w:bCs/>
                <w:sz w:val="22"/>
                <w:szCs w:val="22"/>
              </w:rPr>
            </w:pPr>
          </w:p>
        </w:tc>
        <w:tc>
          <w:tcPr>
            <w:tcW w:w="1701" w:type="dxa"/>
            <w:noWrap/>
            <w:vAlign w:val="center"/>
          </w:tcPr>
          <w:p>
            <w:pPr>
              <w:tabs>
                <w:tab w:val="left" w:pos="1985"/>
              </w:tabs>
              <w:spacing w:after="120" w:line="360" w:lineRule="auto"/>
              <w:ind w:left="420" w:leftChars="200"/>
              <w:rPr>
                <w:rFonts w:ascii="宋体" w:hAnsi="宋体" w:cs="宋体"/>
                <w:b/>
                <w:bCs/>
                <w:sz w:val="22"/>
                <w:szCs w:val="22"/>
              </w:rPr>
            </w:pPr>
          </w:p>
        </w:tc>
        <w:tc>
          <w:tcPr>
            <w:tcW w:w="1559" w:type="dxa"/>
            <w:noWrap/>
            <w:vAlign w:val="center"/>
          </w:tcPr>
          <w:p>
            <w:pPr>
              <w:tabs>
                <w:tab w:val="left" w:pos="1985"/>
              </w:tabs>
              <w:spacing w:after="120" w:line="360" w:lineRule="auto"/>
              <w:ind w:left="420" w:leftChars="200"/>
              <w:rPr>
                <w:rFonts w:ascii="宋体" w:hAnsi="宋体" w:cs="宋体"/>
                <w:b/>
                <w:bCs/>
                <w:sz w:val="22"/>
                <w:szCs w:val="22"/>
              </w:rPr>
            </w:pPr>
          </w:p>
        </w:tc>
        <w:tc>
          <w:tcPr>
            <w:tcW w:w="1134" w:type="dxa"/>
            <w:noWrap/>
          </w:tcPr>
          <w:p>
            <w:pPr>
              <w:tabs>
                <w:tab w:val="left" w:pos="1985"/>
              </w:tabs>
              <w:spacing w:after="120" w:line="360" w:lineRule="auto"/>
              <w:ind w:left="420" w:leftChars="200"/>
              <w:rPr>
                <w:rFonts w:ascii="宋体" w:hAnsi="宋体" w:cs="宋体"/>
                <w:b/>
                <w:bCs/>
                <w:sz w:val="22"/>
                <w:szCs w:val="22"/>
              </w:rPr>
            </w:pPr>
          </w:p>
        </w:tc>
      </w:tr>
    </w:tbl>
    <w:p>
      <w:pPr>
        <w:tabs>
          <w:tab w:val="left" w:pos="1985"/>
        </w:tabs>
        <w:spacing w:line="360" w:lineRule="auto"/>
        <w:rPr>
          <w:rFonts w:ascii="宋体" w:hAnsi="宋体" w:cs="宋体"/>
          <w:sz w:val="22"/>
          <w:szCs w:val="22"/>
        </w:rPr>
      </w:pPr>
      <w:r>
        <w:rPr>
          <w:rFonts w:hint="eastAsia" w:ascii="宋体" w:hAnsi="宋体" w:cs="宋体"/>
          <w:sz w:val="22"/>
          <w:szCs w:val="22"/>
        </w:rPr>
        <w:t>附注：</w:t>
      </w:r>
    </w:p>
    <w:p>
      <w:pPr>
        <w:tabs>
          <w:tab w:val="left" w:pos="1985"/>
        </w:tabs>
        <w:spacing w:line="360" w:lineRule="auto"/>
        <w:rPr>
          <w:rFonts w:ascii="宋体" w:hAnsi="宋体" w:cs="宋体"/>
          <w:sz w:val="22"/>
          <w:szCs w:val="22"/>
        </w:rPr>
      </w:pPr>
      <w:r>
        <w:rPr>
          <w:rFonts w:hint="eastAsia" w:ascii="宋体" w:hAnsi="宋体" w:cs="宋体"/>
          <w:sz w:val="22"/>
          <w:szCs w:val="22"/>
        </w:rPr>
        <w:t>1.此表仅提供了表格形式，供应商应根据需要准备足够数量的表格来填写。</w:t>
      </w:r>
    </w:p>
    <w:p>
      <w:pPr>
        <w:tabs>
          <w:tab w:val="left" w:pos="1985"/>
        </w:tabs>
        <w:spacing w:line="360" w:lineRule="auto"/>
        <w:rPr>
          <w:rFonts w:ascii="宋体" w:hAnsi="宋体" w:cs="宋体"/>
          <w:sz w:val="22"/>
          <w:szCs w:val="22"/>
        </w:rPr>
      </w:pPr>
      <w:r>
        <w:rPr>
          <w:rFonts w:hint="eastAsia" w:ascii="宋体" w:hAnsi="宋体" w:cs="宋体"/>
          <w:sz w:val="22"/>
          <w:szCs w:val="22"/>
        </w:rPr>
        <w:t>2.供应商同类项目业绩须满足以下条件：提供客户联系方式、采购合同扫描件加盖投标人公章，资料提供不齐全不得分；只计算投标人业绩，其子公司、母公司业绩不计分。</w:t>
      </w:r>
    </w:p>
    <w:p>
      <w:pPr>
        <w:tabs>
          <w:tab w:val="left" w:pos="1985"/>
        </w:tabs>
        <w:spacing w:line="360" w:lineRule="auto"/>
        <w:rPr>
          <w:rFonts w:ascii="宋体" w:hAnsi="宋体" w:cs="宋体"/>
          <w:sz w:val="22"/>
          <w:szCs w:val="22"/>
        </w:rPr>
      </w:pPr>
      <w:r>
        <w:rPr>
          <w:rFonts w:hint="eastAsia" w:ascii="宋体" w:hAnsi="宋体" w:cs="宋体"/>
          <w:sz w:val="22"/>
          <w:szCs w:val="22"/>
        </w:rPr>
        <w:t>3.供应商不按此要求填写此项内容或案例无证明文件（见本附件附注第2点）支撑，则不纳入技术资信评分范围。</w:t>
      </w:r>
    </w:p>
    <w:p>
      <w:pPr>
        <w:tabs>
          <w:tab w:val="left" w:pos="1985"/>
        </w:tabs>
        <w:spacing w:line="360" w:lineRule="auto"/>
        <w:rPr>
          <w:rFonts w:ascii="宋体" w:hAnsi="宋体" w:cs="宋体"/>
          <w:b/>
          <w:sz w:val="22"/>
          <w:szCs w:val="22"/>
        </w:rPr>
      </w:pPr>
      <w:r>
        <w:rPr>
          <w:rFonts w:hint="eastAsia" w:ascii="宋体" w:hAnsi="宋体" w:cs="宋体"/>
          <w:b/>
          <w:sz w:val="22"/>
          <w:szCs w:val="22"/>
        </w:rPr>
        <w:t>4.根据《温州市人民政府关于印发温州市公共资源交易平台建设管理暂行办法的通知》（温政发〔2018〕2号）第四十条规定，将在中标或者成交公告的内容中</w:t>
      </w:r>
      <w:r>
        <w:rPr>
          <w:rFonts w:hint="eastAsia" w:ascii="宋体" w:hAnsi="宋体" w:cs="宋体"/>
          <w:b/>
          <w:sz w:val="22"/>
          <w:szCs w:val="22"/>
          <w:shd w:val="pct10" w:color="auto" w:fill="FFFFFF"/>
        </w:rPr>
        <w:t>公开本表</w:t>
      </w:r>
      <w:r>
        <w:rPr>
          <w:rFonts w:hint="eastAsia" w:ascii="宋体" w:hAnsi="宋体" w:cs="宋体"/>
          <w:b/>
          <w:sz w:val="22"/>
          <w:szCs w:val="22"/>
        </w:rPr>
        <w:t>，请各供应商认真填写，确保数据的真实性、完整性和合理性。</w:t>
      </w:r>
    </w:p>
    <w:p>
      <w:pPr>
        <w:tabs>
          <w:tab w:val="left" w:pos="1985"/>
        </w:tabs>
        <w:spacing w:line="360" w:lineRule="auto"/>
        <w:rPr>
          <w:rFonts w:ascii="宋体" w:hAnsi="宋体" w:cs="宋体"/>
          <w:sz w:val="22"/>
          <w:szCs w:val="22"/>
        </w:rPr>
      </w:pPr>
    </w:p>
    <w:p>
      <w:pPr>
        <w:tabs>
          <w:tab w:val="left" w:pos="1985"/>
        </w:tabs>
        <w:spacing w:line="360" w:lineRule="auto"/>
        <w:rPr>
          <w:rFonts w:ascii="宋体" w:hAnsi="宋体" w:cs="宋体"/>
          <w:sz w:val="22"/>
          <w:szCs w:val="22"/>
        </w:rPr>
      </w:pPr>
      <w:r>
        <w:rPr>
          <w:rFonts w:hint="eastAsia" w:ascii="宋体" w:hAnsi="宋体" w:cs="宋体"/>
          <w:sz w:val="22"/>
          <w:szCs w:val="22"/>
        </w:rPr>
        <w:t>投标人全称（公章）：</w:t>
      </w:r>
    </w:p>
    <w:p>
      <w:pPr>
        <w:tabs>
          <w:tab w:val="left" w:pos="1985"/>
        </w:tabs>
        <w:spacing w:line="360" w:lineRule="auto"/>
        <w:rPr>
          <w:rFonts w:ascii="宋体" w:hAnsi="宋体" w:cs="宋体"/>
          <w:sz w:val="22"/>
          <w:szCs w:val="22"/>
        </w:rPr>
      </w:pPr>
      <w:r>
        <w:rPr>
          <w:rFonts w:hint="eastAsia" w:ascii="宋体" w:hAnsi="宋体" w:cs="宋体"/>
          <w:sz w:val="22"/>
          <w:szCs w:val="22"/>
        </w:rPr>
        <w:t>法定代表人（或负责人）或授权代表（签字或盖章）：</w:t>
      </w:r>
    </w:p>
    <w:p>
      <w:pPr>
        <w:tabs>
          <w:tab w:val="left" w:pos="1985"/>
        </w:tabs>
        <w:spacing w:line="360" w:lineRule="auto"/>
        <w:jc w:val="right"/>
        <w:rPr>
          <w:rFonts w:ascii="宋体" w:hAnsi="宋体" w:cs="宋体"/>
          <w:b/>
          <w:bCs/>
          <w:sz w:val="22"/>
          <w:szCs w:val="22"/>
        </w:rPr>
      </w:pPr>
      <w:r>
        <w:rPr>
          <w:rFonts w:hint="eastAsia" w:ascii="宋体" w:hAnsi="宋体" w:cs="宋体"/>
          <w:sz w:val="22"/>
          <w:szCs w:val="22"/>
        </w:rPr>
        <w:t>日期：年月日</w:t>
      </w:r>
    </w:p>
    <w:p>
      <w:pPr>
        <w:spacing w:line="360" w:lineRule="auto"/>
        <w:rPr>
          <w:rFonts w:ascii="宋体" w:hAnsi="宋体" w:cs="宋体"/>
          <w:sz w:val="24"/>
        </w:rPr>
      </w:pPr>
    </w:p>
    <w:p>
      <w:pPr>
        <w:widowControl/>
        <w:spacing w:line="360" w:lineRule="auto"/>
        <w:jc w:val="center"/>
        <w:rPr>
          <w:rFonts w:ascii="宋体" w:hAnsi="宋体" w:cs="宋体"/>
          <w:b/>
          <w:sz w:val="36"/>
          <w:szCs w:val="36"/>
        </w:rPr>
      </w:pPr>
      <w:r>
        <w:rPr>
          <w:rFonts w:hint="eastAsia" w:ascii="宋体" w:hAnsi="宋体" w:cs="宋体"/>
          <w:b/>
          <w:bCs/>
          <w:sz w:val="36"/>
          <w:szCs w:val="36"/>
        </w:rPr>
        <w:br w:type="page"/>
      </w:r>
    </w:p>
    <w:p>
      <w:pPr>
        <w:widowControl/>
        <w:spacing w:line="360" w:lineRule="auto"/>
        <w:jc w:val="center"/>
        <w:rPr>
          <w:rFonts w:ascii="宋体" w:hAnsi="宋体" w:cs="宋体"/>
          <w:b/>
          <w:bCs/>
          <w:sz w:val="36"/>
          <w:szCs w:val="36"/>
        </w:rPr>
      </w:pPr>
      <w:r>
        <w:rPr>
          <w:rFonts w:hint="eastAsia" w:ascii="宋体" w:hAnsi="宋体" w:cs="宋体"/>
          <w:b/>
          <w:bCs/>
          <w:sz w:val="36"/>
          <w:szCs w:val="36"/>
        </w:rPr>
        <w:t>（4）拟派项目负责人（经理）相关情况</w:t>
      </w:r>
    </w:p>
    <w:p>
      <w:pPr>
        <w:spacing w:line="360" w:lineRule="auto"/>
        <w:rPr>
          <w:rFonts w:ascii="宋体" w:hAnsi="宋体" w:cs="宋体"/>
          <w:b/>
          <w:bCs/>
          <w:sz w:val="32"/>
        </w:rPr>
      </w:pPr>
      <w:r>
        <w:rPr>
          <w:rFonts w:hint="eastAsia" w:ascii="宋体" w:hAnsi="宋体" w:cs="宋体"/>
        </w:rPr>
        <w:t>项目编号：</w:t>
      </w:r>
    </w:p>
    <w:tbl>
      <w:tblPr>
        <w:tblStyle w:val="20"/>
        <w:tblW w:w="9110"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1"/>
        <w:gridCol w:w="2451"/>
        <w:gridCol w:w="4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2301" w:type="dxa"/>
            <w:tcBorders>
              <w:top w:val="single" w:color="auto" w:sz="4" w:space="0"/>
              <w:left w:val="single" w:color="auto" w:sz="4" w:space="0"/>
              <w:bottom w:val="single" w:color="auto" w:sz="4" w:space="0"/>
              <w:right w:val="single" w:color="auto" w:sz="4" w:space="0"/>
            </w:tcBorders>
            <w:noWrap/>
            <w:vAlign w:val="center"/>
          </w:tcPr>
          <w:p>
            <w:pPr>
              <w:pStyle w:val="36"/>
              <w:widowControl/>
              <w:autoSpaceDE w:val="0"/>
              <w:autoSpaceDN w:val="0"/>
              <w:spacing w:line="360" w:lineRule="auto"/>
              <w:rPr>
                <w:rFonts w:ascii="宋体" w:hAnsi="宋体" w:eastAsia="宋体" w:cs="宋体"/>
                <w:b/>
                <w:lang w:val="zh-CN"/>
              </w:rPr>
            </w:pPr>
            <w:r>
              <w:rPr>
                <w:rFonts w:hint="eastAsia" w:ascii="宋体" w:hAnsi="宋体" w:eastAsia="宋体" w:cs="宋体"/>
                <w:b/>
                <w:lang w:val="zh-CN"/>
              </w:rPr>
              <w:t>姓名</w:t>
            </w:r>
          </w:p>
        </w:tc>
        <w:tc>
          <w:tcPr>
            <w:tcW w:w="2451"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360" w:lineRule="auto"/>
              <w:jc w:val="center"/>
              <w:rPr>
                <w:rFonts w:ascii="宋体" w:hAnsi="宋体" w:cs="宋体"/>
                <w:sz w:val="24"/>
                <w:lang w:val="zh-CN"/>
              </w:rPr>
            </w:pPr>
          </w:p>
        </w:tc>
        <w:tc>
          <w:tcPr>
            <w:tcW w:w="4358" w:type="dxa"/>
            <w:tcBorders>
              <w:top w:val="single" w:color="auto" w:sz="4" w:space="0"/>
              <w:left w:val="single" w:color="auto" w:sz="4" w:space="0"/>
              <w:bottom w:val="single" w:color="auto" w:sz="4" w:space="0"/>
              <w:right w:val="single" w:color="auto" w:sz="4" w:space="0"/>
            </w:tcBorders>
            <w:noWrap/>
            <w:vAlign w:val="center"/>
          </w:tcPr>
          <w:p>
            <w:pPr>
              <w:pStyle w:val="36"/>
              <w:widowControl/>
              <w:autoSpaceDE w:val="0"/>
              <w:autoSpaceDN w:val="0"/>
              <w:spacing w:line="360" w:lineRule="auto"/>
              <w:rPr>
                <w:rFonts w:ascii="宋体" w:hAnsi="宋体" w:eastAsia="宋体" w:cs="宋体"/>
                <w:b/>
                <w:lang w:val="zh-CN"/>
              </w:rPr>
            </w:pPr>
            <w:r>
              <w:rPr>
                <w:rFonts w:hint="eastAsia" w:ascii="宋体" w:hAnsi="宋体" w:eastAsia="宋体" w:cs="宋体"/>
                <w:b/>
                <w:lang w:val="zh-CN"/>
              </w:rPr>
              <w:t>近年来主要工作业绩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trPr>
        <w:tc>
          <w:tcPr>
            <w:tcW w:w="2301"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360" w:lineRule="auto"/>
              <w:jc w:val="center"/>
              <w:rPr>
                <w:rFonts w:ascii="宋体" w:hAnsi="宋体" w:cs="宋体"/>
                <w:bCs/>
                <w:lang w:val="zh-CN"/>
              </w:rPr>
            </w:pPr>
            <w:r>
              <w:rPr>
                <w:rFonts w:hint="eastAsia" w:ascii="宋体" w:hAnsi="宋体" w:cs="宋体"/>
                <w:bCs/>
                <w:lang w:val="zh-CN"/>
              </w:rPr>
              <w:t>性别</w:t>
            </w:r>
          </w:p>
        </w:tc>
        <w:tc>
          <w:tcPr>
            <w:tcW w:w="2451"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360" w:lineRule="auto"/>
              <w:jc w:val="center"/>
              <w:rPr>
                <w:rFonts w:ascii="宋体" w:hAnsi="宋体" w:cs="宋体"/>
                <w:lang w:val="zh-CN"/>
              </w:rPr>
            </w:pPr>
          </w:p>
        </w:tc>
        <w:tc>
          <w:tcPr>
            <w:tcW w:w="4358" w:type="dxa"/>
            <w:vMerge w:val="restart"/>
            <w:tcBorders>
              <w:top w:val="single" w:color="auto" w:sz="4" w:space="0"/>
              <w:left w:val="single" w:color="auto" w:sz="4" w:space="0"/>
              <w:bottom w:val="single" w:color="auto" w:sz="4" w:space="0"/>
              <w:right w:val="single" w:color="auto" w:sz="4" w:space="0"/>
            </w:tcBorders>
            <w:noWrap/>
            <w:vAlign w:val="center"/>
          </w:tcPr>
          <w:p>
            <w:pPr>
              <w:pStyle w:val="37"/>
              <w:widowControl w:val="0"/>
              <w:autoSpaceDE w:val="0"/>
              <w:autoSpaceDN w:val="0"/>
              <w:adjustRightInd w:val="0"/>
              <w:spacing w:before="240" w:beforeAutospacing="0" w:afterAutospacing="0" w:line="360" w:lineRule="auto"/>
              <w:ind w:left="314" w:hanging="314"/>
              <w:rPr>
                <w:rFonts w:ascii="宋体" w:hAnsi="宋体" w:cs="宋体"/>
                <w:kern w:val="2"/>
                <w:sz w:val="21"/>
              </w:rPr>
            </w:pPr>
            <w:r>
              <w:rPr>
                <w:rFonts w:hint="eastAsia" w:ascii="宋体" w:hAnsi="宋体" w:cs="宋体"/>
                <w:kern w:val="2"/>
                <w:sz w:val="21"/>
              </w:rPr>
              <w:t>注：业绩证明应提供旁证材料</w:t>
            </w:r>
          </w:p>
          <w:p>
            <w:pPr>
              <w:autoSpaceDE w:val="0"/>
              <w:autoSpaceDN w:val="0"/>
              <w:adjustRightInd w:val="0"/>
              <w:spacing w:line="360" w:lineRule="auto"/>
              <w:jc w:val="center"/>
              <w:rPr>
                <w:rFonts w:ascii="宋体" w:hAnsi="宋体" w:cs="宋体"/>
                <w:lang w:val="zh-CN"/>
              </w:rPr>
            </w:pPr>
            <w:r>
              <w:rPr>
                <w:rFonts w:hint="eastAsia" w:ascii="宋体" w:hAnsi="宋体" w:cs="宋体"/>
              </w:rPr>
              <w:t>（如服务业主单位盖章证明）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trPr>
        <w:tc>
          <w:tcPr>
            <w:tcW w:w="2301"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360" w:lineRule="auto"/>
              <w:jc w:val="center"/>
              <w:rPr>
                <w:rFonts w:ascii="宋体" w:hAnsi="宋体" w:cs="宋体"/>
                <w:bCs/>
                <w:lang w:val="zh-CN"/>
              </w:rPr>
            </w:pPr>
            <w:r>
              <w:rPr>
                <w:rFonts w:hint="eastAsia" w:ascii="宋体" w:hAnsi="宋体" w:cs="宋体"/>
                <w:bCs/>
                <w:lang w:val="zh-CN"/>
              </w:rPr>
              <w:t>年龄</w:t>
            </w:r>
          </w:p>
        </w:tc>
        <w:tc>
          <w:tcPr>
            <w:tcW w:w="2451"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360" w:lineRule="auto"/>
              <w:jc w:val="center"/>
              <w:rPr>
                <w:rFonts w:ascii="宋体" w:hAnsi="宋体" w:cs="宋体"/>
                <w:lang w:val="zh-CN"/>
              </w:rPr>
            </w:pPr>
          </w:p>
        </w:tc>
        <w:tc>
          <w:tcPr>
            <w:tcW w:w="4358" w:type="dxa"/>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trPr>
        <w:tc>
          <w:tcPr>
            <w:tcW w:w="2301"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360" w:lineRule="auto"/>
              <w:jc w:val="center"/>
              <w:rPr>
                <w:rFonts w:ascii="宋体" w:hAnsi="宋体" w:cs="宋体"/>
                <w:bCs/>
              </w:rPr>
            </w:pPr>
            <w:r>
              <w:rPr>
                <w:rFonts w:hint="eastAsia" w:ascii="宋体" w:hAnsi="宋体" w:cs="宋体"/>
                <w:bCs/>
                <w:lang w:val="zh-CN"/>
              </w:rPr>
              <w:t>职称</w:t>
            </w:r>
            <w:r>
              <w:rPr>
                <w:rFonts w:hint="eastAsia" w:ascii="宋体" w:hAnsi="宋体" w:cs="宋体"/>
                <w:bCs/>
              </w:rPr>
              <w:t>/资格证书</w:t>
            </w:r>
          </w:p>
        </w:tc>
        <w:tc>
          <w:tcPr>
            <w:tcW w:w="2451"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360" w:lineRule="auto"/>
              <w:jc w:val="center"/>
              <w:rPr>
                <w:rFonts w:ascii="宋体" w:hAnsi="宋体" w:cs="宋体"/>
                <w:lang w:val="zh-CN"/>
              </w:rPr>
            </w:pPr>
          </w:p>
        </w:tc>
        <w:tc>
          <w:tcPr>
            <w:tcW w:w="4358" w:type="dxa"/>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trPr>
        <w:tc>
          <w:tcPr>
            <w:tcW w:w="2301"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360" w:lineRule="auto"/>
              <w:jc w:val="center"/>
              <w:rPr>
                <w:rFonts w:ascii="宋体" w:hAnsi="宋体" w:cs="宋体"/>
                <w:bCs/>
                <w:lang w:val="zh-CN"/>
              </w:rPr>
            </w:pPr>
            <w:r>
              <w:rPr>
                <w:rFonts w:hint="eastAsia" w:ascii="宋体" w:hAnsi="宋体" w:cs="宋体"/>
                <w:bCs/>
                <w:lang w:val="zh-CN"/>
              </w:rPr>
              <w:t>毕业时间</w:t>
            </w:r>
          </w:p>
        </w:tc>
        <w:tc>
          <w:tcPr>
            <w:tcW w:w="2451"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360" w:lineRule="auto"/>
              <w:jc w:val="center"/>
              <w:rPr>
                <w:rFonts w:ascii="宋体" w:hAnsi="宋体" w:cs="宋体"/>
                <w:lang w:val="zh-CN"/>
              </w:rPr>
            </w:pPr>
          </w:p>
        </w:tc>
        <w:tc>
          <w:tcPr>
            <w:tcW w:w="4358" w:type="dxa"/>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trPr>
        <w:tc>
          <w:tcPr>
            <w:tcW w:w="2301"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360" w:lineRule="auto"/>
              <w:jc w:val="center"/>
              <w:rPr>
                <w:rFonts w:ascii="宋体" w:hAnsi="宋体" w:cs="宋体"/>
                <w:bCs/>
                <w:lang w:val="zh-CN"/>
              </w:rPr>
            </w:pPr>
            <w:r>
              <w:rPr>
                <w:rFonts w:hint="eastAsia" w:ascii="宋体" w:hAnsi="宋体" w:cs="宋体"/>
                <w:bCs/>
                <w:lang w:val="zh-CN"/>
              </w:rPr>
              <w:t>学校专业</w:t>
            </w:r>
          </w:p>
        </w:tc>
        <w:tc>
          <w:tcPr>
            <w:tcW w:w="2451"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360" w:lineRule="auto"/>
              <w:jc w:val="center"/>
              <w:rPr>
                <w:rFonts w:ascii="宋体" w:hAnsi="宋体" w:cs="宋体"/>
                <w:lang w:val="zh-CN"/>
              </w:rPr>
            </w:pPr>
          </w:p>
        </w:tc>
        <w:tc>
          <w:tcPr>
            <w:tcW w:w="4358" w:type="dxa"/>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trPr>
        <w:tc>
          <w:tcPr>
            <w:tcW w:w="2301"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360" w:lineRule="auto"/>
              <w:jc w:val="center"/>
              <w:rPr>
                <w:rFonts w:ascii="宋体" w:hAnsi="宋体" w:cs="宋体"/>
                <w:bCs/>
                <w:lang w:val="zh-CN"/>
              </w:rPr>
            </w:pPr>
            <w:r>
              <w:rPr>
                <w:rFonts w:hint="eastAsia" w:ascii="宋体" w:hAnsi="宋体" w:cs="宋体"/>
                <w:bCs/>
                <w:lang w:val="zh-CN"/>
              </w:rPr>
              <w:t>联系电话</w:t>
            </w:r>
          </w:p>
        </w:tc>
        <w:tc>
          <w:tcPr>
            <w:tcW w:w="2451"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360" w:lineRule="auto"/>
              <w:jc w:val="center"/>
              <w:rPr>
                <w:rFonts w:ascii="宋体" w:hAnsi="宋体" w:cs="宋体"/>
                <w:lang w:val="zh-CN"/>
              </w:rPr>
            </w:pPr>
          </w:p>
        </w:tc>
        <w:tc>
          <w:tcPr>
            <w:tcW w:w="4358" w:type="dxa"/>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trPr>
        <w:tc>
          <w:tcPr>
            <w:tcW w:w="2301"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360" w:lineRule="auto"/>
              <w:jc w:val="center"/>
              <w:rPr>
                <w:rFonts w:ascii="宋体" w:hAnsi="宋体" w:cs="宋体"/>
                <w:bCs/>
                <w:lang w:val="zh-CN"/>
              </w:rPr>
            </w:pPr>
            <w:r>
              <w:rPr>
                <w:rFonts w:hint="eastAsia" w:ascii="宋体" w:hAnsi="宋体" w:cs="宋体"/>
                <w:bCs/>
              </w:rPr>
              <w:t>最近一年工作状况</w:t>
            </w:r>
          </w:p>
        </w:tc>
        <w:tc>
          <w:tcPr>
            <w:tcW w:w="2451"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360" w:lineRule="auto"/>
              <w:jc w:val="center"/>
              <w:rPr>
                <w:rFonts w:ascii="宋体" w:hAnsi="宋体" w:cs="宋体"/>
                <w:lang w:val="zh-CN"/>
              </w:rPr>
            </w:pPr>
          </w:p>
        </w:tc>
        <w:tc>
          <w:tcPr>
            <w:tcW w:w="4358" w:type="dxa"/>
            <w:vMerge w:val="continue"/>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2301"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360" w:lineRule="auto"/>
              <w:jc w:val="center"/>
              <w:rPr>
                <w:rFonts w:ascii="宋体" w:hAnsi="宋体" w:cs="宋体"/>
                <w:bCs/>
                <w:lang w:val="zh-CN"/>
              </w:rPr>
            </w:pPr>
            <w:r>
              <w:rPr>
                <w:rFonts w:hint="eastAsia" w:ascii="宋体" w:hAnsi="宋体" w:cs="宋体"/>
                <w:bCs/>
                <w:lang w:val="zh-CN"/>
              </w:rPr>
              <w:t>拟在本项目中担任主要工作</w:t>
            </w:r>
          </w:p>
        </w:tc>
        <w:tc>
          <w:tcPr>
            <w:tcW w:w="6809" w:type="dxa"/>
            <w:gridSpan w:val="2"/>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360" w:lineRule="auto"/>
              <w:jc w:val="center"/>
              <w:rPr>
                <w:rFonts w:ascii="宋体" w:hAnsi="宋体" w:cs="宋体"/>
                <w:lang w:val="zh-CN"/>
              </w:rPr>
            </w:pPr>
          </w:p>
        </w:tc>
      </w:tr>
    </w:tbl>
    <w:p>
      <w:pPr>
        <w:pStyle w:val="16"/>
        <w:widowControl/>
        <w:spacing w:line="360" w:lineRule="auto"/>
        <w:ind w:left="821" w:hanging="821"/>
        <w:jc w:val="left"/>
        <w:rPr>
          <w:rFonts w:ascii="宋体" w:hAnsi="宋体" w:eastAsia="宋体" w:cs="宋体"/>
          <w:bCs/>
          <w:szCs w:val="21"/>
        </w:rPr>
      </w:pPr>
      <w:r>
        <w:rPr>
          <w:rFonts w:hint="eastAsia" w:ascii="宋体" w:hAnsi="宋体" w:eastAsia="宋体" w:cs="宋体"/>
          <w:sz w:val="24"/>
        </w:rPr>
        <w:t>附注：后附学历、职称/资格证书、业绩证明旁证材料（加盖公章）。</w:t>
      </w:r>
    </w:p>
    <w:p>
      <w:pPr>
        <w:spacing w:line="360" w:lineRule="auto"/>
        <w:ind w:firstLine="5280" w:firstLineChars="2400"/>
        <w:rPr>
          <w:rFonts w:ascii="宋体" w:hAnsi="宋体" w:cs="宋体"/>
          <w:sz w:val="22"/>
          <w:szCs w:val="22"/>
        </w:rPr>
      </w:pPr>
    </w:p>
    <w:p>
      <w:pPr>
        <w:spacing w:line="360" w:lineRule="auto"/>
        <w:ind w:firstLine="3630" w:firstLineChars="1650"/>
        <w:rPr>
          <w:rFonts w:ascii="宋体" w:hAnsi="宋体" w:cs="宋体"/>
          <w:sz w:val="22"/>
          <w:szCs w:val="22"/>
        </w:rPr>
      </w:pPr>
    </w:p>
    <w:p>
      <w:pPr>
        <w:spacing w:line="360" w:lineRule="auto"/>
        <w:rPr>
          <w:rFonts w:ascii="宋体" w:hAnsi="宋体" w:cs="宋体"/>
          <w:sz w:val="24"/>
        </w:rPr>
      </w:pPr>
      <w:r>
        <w:rPr>
          <w:rFonts w:hint="eastAsia" w:ascii="宋体" w:hAnsi="宋体" w:cs="宋体"/>
          <w:sz w:val="24"/>
        </w:rPr>
        <w:t>投标人全称（公章或CA章）：</w:t>
      </w:r>
    </w:p>
    <w:p>
      <w:pPr>
        <w:spacing w:line="360" w:lineRule="auto"/>
        <w:rPr>
          <w:rFonts w:ascii="宋体" w:hAnsi="宋体" w:cs="宋体"/>
          <w:bCs/>
          <w:sz w:val="24"/>
        </w:rPr>
      </w:pPr>
      <w:r>
        <w:rPr>
          <w:rFonts w:hint="eastAsia" w:ascii="宋体" w:hAnsi="宋体" w:cs="宋体"/>
          <w:sz w:val="24"/>
        </w:rPr>
        <w:t>日期：年月日</w:t>
      </w:r>
    </w:p>
    <w:p>
      <w:pPr>
        <w:widowControl/>
        <w:spacing w:line="360" w:lineRule="auto"/>
        <w:jc w:val="center"/>
        <w:rPr>
          <w:rFonts w:ascii="宋体" w:hAnsi="宋体" w:cs="宋体"/>
          <w:b/>
          <w:bCs/>
          <w:sz w:val="36"/>
          <w:szCs w:val="36"/>
        </w:rPr>
      </w:pPr>
      <w:r>
        <w:rPr>
          <w:rFonts w:hint="eastAsia" w:ascii="宋体" w:hAnsi="宋体" w:cs="宋体"/>
          <w:b/>
          <w:bCs/>
          <w:sz w:val="36"/>
          <w:szCs w:val="36"/>
        </w:rPr>
        <w:br w:type="page"/>
      </w:r>
      <w:r>
        <w:rPr>
          <w:rFonts w:hint="eastAsia" w:ascii="宋体" w:hAnsi="宋体" w:cs="宋体"/>
          <w:b/>
          <w:bCs/>
          <w:sz w:val="36"/>
          <w:szCs w:val="36"/>
        </w:rPr>
        <w:t>（5）各服务人员配置情况</w:t>
      </w:r>
    </w:p>
    <w:p>
      <w:pPr>
        <w:tabs>
          <w:tab w:val="left" w:pos="1985"/>
        </w:tabs>
        <w:spacing w:line="360" w:lineRule="auto"/>
        <w:rPr>
          <w:rFonts w:ascii="宋体" w:hAnsi="宋体" w:cs="宋体"/>
          <w:bCs/>
          <w:sz w:val="22"/>
          <w:szCs w:val="22"/>
        </w:rPr>
      </w:pPr>
      <w:r>
        <w:rPr>
          <w:rFonts w:hint="eastAsia" w:ascii="宋体" w:hAnsi="宋体" w:cs="宋体"/>
          <w:bCs/>
          <w:sz w:val="22"/>
          <w:szCs w:val="22"/>
        </w:rPr>
        <w:t>项目编号：</w:t>
      </w:r>
    </w:p>
    <w:tbl>
      <w:tblPr>
        <w:tblStyle w:val="20"/>
        <w:tblW w:w="9108" w:type="dxa"/>
        <w:tblInd w:w="0"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2132"/>
        <w:gridCol w:w="2132"/>
        <w:gridCol w:w="2790"/>
        <w:gridCol w:w="2054"/>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2132" w:type="dxa"/>
            <w:tcBorders>
              <w:top w:val="single" w:color="auto" w:sz="2" w:space="0"/>
              <w:left w:val="single" w:color="auto" w:sz="2" w:space="0"/>
              <w:bottom w:val="single" w:color="auto" w:sz="6" w:space="0"/>
              <w:right w:val="single" w:color="auto" w:sz="6" w:space="0"/>
            </w:tcBorders>
            <w:noWrap/>
          </w:tcPr>
          <w:p>
            <w:pPr>
              <w:snapToGrid w:val="0"/>
              <w:spacing w:line="360" w:lineRule="auto"/>
              <w:jc w:val="center"/>
              <w:rPr>
                <w:rFonts w:ascii="宋体" w:hAnsi="宋体" w:cs="宋体"/>
                <w:szCs w:val="21"/>
              </w:rPr>
            </w:pPr>
            <w:r>
              <w:rPr>
                <w:rFonts w:hint="eastAsia" w:ascii="宋体" w:hAnsi="宋体" w:cs="宋体"/>
                <w:szCs w:val="21"/>
              </w:rPr>
              <w:t>岗位</w:t>
            </w:r>
          </w:p>
        </w:tc>
        <w:tc>
          <w:tcPr>
            <w:tcW w:w="2132" w:type="dxa"/>
            <w:tcBorders>
              <w:top w:val="single" w:color="auto" w:sz="2" w:space="0"/>
              <w:left w:val="single" w:color="auto" w:sz="6" w:space="0"/>
              <w:bottom w:val="single" w:color="auto" w:sz="6" w:space="0"/>
              <w:right w:val="single" w:color="auto" w:sz="6" w:space="0"/>
            </w:tcBorders>
            <w:noWrap/>
          </w:tcPr>
          <w:p>
            <w:pPr>
              <w:snapToGrid w:val="0"/>
              <w:spacing w:line="360" w:lineRule="auto"/>
              <w:jc w:val="center"/>
              <w:rPr>
                <w:rFonts w:ascii="宋体" w:hAnsi="宋体" w:cs="宋体"/>
                <w:szCs w:val="21"/>
              </w:rPr>
            </w:pPr>
            <w:r>
              <w:rPr>
                <w:rFonts w:hint="eastAsia" w:ascii="宋体" w:hAnsi="宋体" w:cs="宋体"/>
                <w:szCs w:val="21"/>
              </w:rPr>
              <w:t>人数</w:t>
            </w:r>
          </w:p>
        </w:tc>
        <w:tc>
          <w:tcPr>
            <w:tcW w:w="2790" w:type="dxa"/>
            <w:tcBorders>
              <w:top w:val="single" w:color="auto" w:sz="2" w:space="0"/>
              <w:left w:val="single" w:color="auto" w:sz="6" w:space="0"/>
              <w:bottom w:val="single" w:color="auto" w:sz="6" w:space="0"/>
              <w:right w:val="single" w:color="auto" w:sz="6" w:space="0"/>
            </w:tcBorders>
            <w:noWrap/>
          </w:tcPr>
          <w:p>
            <w:pPr>
              <w:snapToGrid w:val="0"/>
              <w:spacing w:line="360" w:lineRule="auto"/>
              <w:jc w:val="center"/>
              <w:rPr>
                <w:rFonts w:ascii="宋体" w:hAnsi="宋体" w:cs="宋体"/>
                <w:szCs w:val="21"/>
              </w:rPr>
            </w:pPr>
            <w:r>
              <w:rPr>
                <w:rFonts w:hint="eastAsia" w:ascii="宋体" w:hAnsi="宋体" w:cs="宋体"/>
                <w:szCs w:val="21"/>
              </w:rPr>
              <w:t>现场承担工作</w:t>
            </w:r>
          </w:p>
        </w:tc>
        <w:tc>
          <w:tcPr>
            <w:tcW w:w="2054" w:type="dxa"/>
            <w:tcBorders>
              <w:top w:val="single" w:color="auto" w:sz="2" w:space="0"/>
              <w:left w:val="single" w:color="auto" w:sz="6" w:space="0"/>
              <w:bottom w:val="single" w:color="auto" w:sz="6" w:space="0"/>
              <w:right w:val="single" w:color="auto" w:sz="2" w:space="0"/>
            </w:tcBorders>
            <w:noWrap/>
          </w:tcPr>
          <w:p>
            <w:pPr>
              <w:snapToGrid w:val="0"/>
              <w:spacing w:line="360" w:lineRule="auto"/>
              <w:jc w:val="center"/>
              <w:rPr>
                <w:rFonts w:ascii="宋体" w:hAnsi="宋体" w:cs="宋体"/>
                <w:szCs w:val="21"/>
              </w:rPr>
            </w:pPr>
            <w:r>
              <w:rPr>
                <w:rFonts w:hint="eastAsia" w:ascii="宋体" w:hAnsi="宋体" w:cs="宋体"/>
                <w:szCs w:val="21"/>
              </w:rPr>
              <w:t>是否有上岗证书</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2132" w:type="dxa"/>
            <w:tcBorders>
              <w:top w:val="single" w:color="auto" w:sz="6" w:space="0"/>
              <w:left w:val="single" w:color="auto" w:sz="2" w:space="0"/>
              <w:bottom w:val="single" w:color="auto" w:sz="6" w:space="0"/>
              <w:right w:val="single" w:color="auto" w:sz="6" w:space="0"/>
            </w:tcBorders>
            <w:noWrap/>
          </w:tcPr>
          <w:p>
            <w:pPr>
              <w:snapToGrid w:val="0"/>
              <w:spacing w:line="360" w:lineRule="auto"/>
              <w:jc w:val="center"/>
              <w:rPr>
                <w:rFonts w:ascii="宋体" w:hAnsi="宋体" w:cs="宋体"/>
                <w:szCs w:val="21"/>
              </w:rPr>
            </w:pPr>
            <w:r>
              <w:rPr>
                <w:rFonts w:hint="eastAsia" w:ascii="宋体" w:hAnsi="宋体" w:cs="宋体"/>
                <w:szCs w:val="21"/>
              </w:rPr>
              <w:t>项目负责人</w:t>
            </w:r>
          </w:p>
        </w:tc>
        <w:tc>
          <w:tcPr>
            <w:tcW w:w="2132" w:type="dxa"/>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Cs w:val="21"/>
              </w:rPr>
            </w:pPr>
          </w:p>
        </w:tc>
        <w:tc>
          <w:tcPr>
            <w:tcW w:w="2790" w:type="dxa"/>
            <w:tcBorders>
              <w:top w:val="single" w:color="auto" w:sz="6" w:space="0"/>
              <w:left w:val="single" w:color="auto" w:sz="6" w:space="0"/>
              <w:bottom w:val="single" w:color="auto" w:sz="6" w:space="0"/>
              <w:right w:val="single" w:color="auto" w:sz="6" w:space="0"/>
            </w:tcBorders>
            <w:noWrap/>
          </w:tcPr>
          <w:p>
            <w:pPr>
              <w:snapToGrid w:val="0"/>
              <w:spacing w:line="360" w:lineRule="auto"/>
              <w:jc w:val="center"/>
              <w:rPr>
                <w:rFonts w:ascii="宋体" w:hAnsi="宋体" w:cs="宋体"/>
                <w:szCs w:val="21"/>
              </w:rPr>
            </w:pPr>
          </w:p>
        </w:tc>
        <w:tc>
          <w:tcPr>
            <w:tcW w:w="2054" w:type="dxa"/>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2132" w:type="dxa"/>
            <w:tcBorders>
              <w:top w:val="single" w:color="auto" w:sz="6" w:space="0"/>
              <w:left w:val="single" w:color="auto" w:sz="2" w:space="0"/>
              <w:bottom w:val="single" w:color="auto" w:sz="6" w:space="0"/>
              <w:right w:val="single" w:color="auto" w:sz="6" w:space="0"/>
            </w:tcBorders>
            <w:noWrap/>
          </w:tcPr>
          <w:p>
            <w:pPr>
              <w:snapToGrid w:val="0"/>
              <w:spacing w:line="360" w:lineRule="auto"/>
              <w:jc w:val="center"/>
              <w:rPr>
                <w:rFonts w:ascii="宋体" w:hAnsi="宋体" w:cs="宋体"/>
                <w:szCs w:val="21"/>
              </w:rPr>
            </w:pPr>
            <w:r>
              <w:rPr>
                <w:rFonts w:hint="eastAsia" w:ascii="宋体" w:hAnsi="宋体" w:cs="宋体"/>
                <w:szCs w:val="21"/>
              </w:rPr>
              <w:t>驻点人员</w:t>
            </w:r>
          </w:p>
        </w:tc>
        <w:tc>
          <w:tcPr>
            <w:tcW w:w="2132" w:type="dxa"/>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Cs w:val="21"/>
              </w:rPr>
            </w:pPr>
          </w:p>
        </w:tc>
        <w:tc>
          <w:tcPr>
            <w:tcW w:w="2790" w:type="dxa"/>
            <w:tcBorders>
              <w:top w:val="single" w:color="auto" w:sz="6" w:space="0"/>
              <w:left w:val="single" w:color="auto" w:sz="6" w:space="0"/>
              <w:bottom w:val="single" w:color="auto" w:sz="6" w:space="0"/>
              <w:right w:val="single" w:color="auto" w:sz="6" w:space="0"/>
            </w:tcBorders>
            <w:noWrap/>
          </w:tcPr>
          <w:p>
            <w:pPr>
              <w:snapToGrid w:val="0"/>
              <w:spacing w:line="360" w:lineRule="auto"/>
              <w:jc w:val="center"/>
              <w:rPr>
                <w:rFonts w:ascii="宋体" w:hAnsi="宋体" w:cs="宋体"/>
                <w:szCs w:val="21"/>
              </w:rPr>
            </w:pPr>
          </w:p>
        </w:tc>
        <w:tc>
          <w:tcPr>
            <w:tcW w:w="2054" w:type="dxa"/>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2132" w:type="dxa"/>
            <w:tcBorders>
              <w:top w:val="single" w:color="auto" w:sz="6" w:space="0"/>
              <w:left w:val="single" w:color="auto" w:sz="2" w:space="0"/>
              <w:bottom w:val="single" w:color="auto" w:sz="6" w:space="0"/>
              <w:right w:val="single" w:color="auto" w:sz="6" w:space="0"/>
            </w:tcBorders>
            <w:noWrap/>
          </w:tcPr>
          <w:p>
            <w:pPr>
              <w:snapToGrid w:val="0"/>
              <w:spacing w:line="360" w:lineRule="auto"/>
              <w:jc w:val="center"/>
              <w:rPr>
                <w:rFonts w:ascii="宋体" w:hAnsi="宋体" w:cs="宋体"/>
                <w:szCs w:val="21"/>
              </w:rPr>
            </w:pPr>
            <w:r>
              <w:rPr>
                <w:rFonts w:hint="eastAsia" w:ascii="宋体" w:hAnsi="宋体" w:cs="宋体"/>
                <w:szCs w:val="21"/>
              </w:rPr>
              <w:t>实施团队人员</w:t>
            </w:r>
          </w:p>
        </w:tc>
        <w:tc>
          <w:tcPr>
            <w:tcW w:w="2132" w:type="dxa"/>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Cs w:val="21"/>
              </w:rPr>
            </w:pPr>
          </w:p>
        </w:tc>
        <w:tc>
          <w:tcPr>
            <w:tcW w:w="2790" w:type="dxa"/>
            <w:tcBorders>
              <w:top w:val="single" w:color="auto" w:sz="6" w:space="0"/>
              <w:left w:val="single" w:color="auto" w:sz="6" w:space="0"/>
              <w:bottom w:val="single" w:color="auto" w:sz="6" w:space="0"/>
              <w:right w:val="single" w:color="auto" w:sz="6" w:space="0"/>
            </w:tcBorders>
            <w:noWrap/>
          </w:tcPr>
          <w:p>
            <w:pPr>
              <w:snapToGrid w:val="0"/>
              <w:spacing w:line="360" w:lineRule="auto"/>
              <w:jc w:val="center"/>
              <w:rPr>
                <w:rFonts w:ascii="宋体" w:hAnsi="宋体" w:cs="宋体"/>
                <w:szCs w:val="21"/>
              </w:rPr>
            </w:pPr>
          </w:p>
        </w:tc>
        <w:tc>
          <w:tcPr>
            <w:tcW w:w="2054" w:type="dxa"/>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2132" w:type="dxa"/>
            <w:tcBorders>
              <w:top w:val="single" w:color="auto" w:sz="6" w:space="0"/>
              <w:left w:val="single" w:color="auto" w:sz="2" w:space="0"/>
              <w:bottom w:val="single" w:color="auto" w:sz="6" w:space="0"/>
              <w:right w:val="single" w:color="auto" w:sz="6" w:space="0"/>
            </w:tcBorders>
            <w:noWrap/>
          </w:tcPr>
          <w:p>
            <w:pPr>
              <w:snapToGrid w:val="0"/>
              <w:spacing w:line="360" w:lineRule="auto"/>
              <w:jc w:val="center"/>
              <w:rPr>
                <w:rFonts w:ascii="宋体" w:hAnsi="宋体" w:cs="宋体"/>
                <w:szCs w:val="21"/>
              </w:rPr>
            </w:pPr>
          </w:p>
        </w:tc>
        <w:tc>
          <w:tcPr>
            <w:tcW w:w="2132" w:type="dxa"/>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Cs w:val="21"/>
              </w:rPr>
            </w:pPr>
          </w:p>
        </w:tc>
        <w:tc>
          <w:tcPr>
            <w:tcW w:w="2790" w:type="dxa"/>
            <w:tcBorders>
              <w:top w:val="single" w:color="auto" w:sz="6" w:space="0"/>
              <w:left w:val="single" w:color="auto" w:sz="6" w:space="0"/>
              <w:bottom w:val="single" w:color="auto" w:sz="6" w:space="0"/>
              <w:right w:val="single" w:color="auto" w:sz="6" w:space="0"/>
            </w:tcBorders>
            <w:noWrap/>
          </w:tcPr>
          <w:p>
            <w:pPr>
              <w:snapToGrid w:val="0"/>
              <w:spacing w:line="360" w:lineRule="auto"/>
              <w:jc w:val="center"/>
              <w:rPr>
                <w:rFonts w:ascii="宋体" w:hAnsi="宋体" w:cs="宋体"/>
                <w:szCs w:val="21"/>
              </w:rPr>
            </w:pPr>
          </w:p>
        </w:tc>
        <w:tc>
          <w:tcPr>
            <w:tcW w:w="2054" w:type="dxa"/>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2132" w:type="dxa"/>
            <w:tcBorders>
              <w:top w:val="single" w:color="auto" w:sz="6" w:space="0"/>
              <w:left w:val="single" w:color="auto" w:sz="2" w:space="0"/>
              <w:bottom w:val="single" w:color="auto" w:sz="6" w:space="0"/>
              <w:right w:val="single" w:color="auto" w:sz="6" w:space="0"/>
            </w:tcBorders>
            <w:noWrap/>
          </w:tcPr>
          <w:p>
            <w:pPr>
              <w:snapToGrid w:val="0"/>
              <w:spacing w:line="360" w:lineRule="auto"/>
              <w:jc w:val="center"/>
              <w:rPr>
                <w:rFonts w:ascii="宋体" w:hAnsi="宋体" w:cs="宋体"/>
                <w:szCs w:val="21"/>
              </w:rPr>
            </w:pPr>
          </w:p>
        </w:tc>
        <w:tc>
          <w:tcPr>
            <w:tcW w:w="2132" w:type="dxa"/>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Cs w:val="21"/>
              </w:rPr>
            </w:pPr>
          </w:p>
        </w:tc>
        <w:tc>
          <w:tcPr>
            <w:tcW w:w="2790" w:type="dxa"/>
            <w:tcBorders>
              <w:top w:val="single" w:color="auto" w:sz="6" w:space="0"/>
              <w:left w:val="single" w:color="auto" w:sz="6" w:space="0"/>
              <w:bottom w:val="single" w:color="auto" w:sz="6" w:space="0"/>
              <w:right w:val="single" w:color="auto" w:sz="6" w:space="0"/>
            </w:tcBorders>
            <w:noWrap/>
          </w:tcPr>
          <w:p>
            <w:pPr>
              <w:snapToGrid w:val="0"/>
              <w:spacing w:line="360" w:lineRule="auto"/>
              <w:jc w:val="center"/>
              <w:rPr>
                <w:rFonts w:ascii="宋体" w:hAnsi="宋体" w:cs="宋体"/>
                <w:szCs w:val="21"/>
              </w:rPr>
            </w:pPr>
          </w:p>
        </w:tc>
        <w:tc>
          <w:tcPr>
            <w:tcW w:w="2054" w:type="dxa"/>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2132" w:type="dxa"/>
            <w:tcBorders>
              <w:top w:val="single" w:color="auto" w:sz="6" w:space="0"/>
              <w:left w:val="single" w:color="auto" w:sz="2" w:space="0"/>
              <w:bottom w:val="single" w:color="auto" w:sz="6" w:space="0"/>
              <w:right w:val="single" w:color="auto" w:sz="6" w:space="0"/>
            </w:tcBorders>
            <w:noWrap/>
          </w:tcPr>
          <w:p>
            <w:pPr>
              <w:snapToGrid w:val="0"/>
              <w:spacing w:line="360" w:lineRule="auto"/>
              <w:jc w:val="center"/>
              <w:rPr>
                <w:rFonts w:ascii="宋体" w:hAnsi="宋体" w:cs="宋体"/>
                <w:szCs w:val="21"/>
              </w:rPr>
            </w:pPr>
          </w:p>
        </w:tc>
        <w:tc>
          <w:tcPr>
            <w:tcW w:w="2132" w:type="dxa"/>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Cs w:val="21"/>
              </w:rPr>
            </w:pPr>
          </w:p>
        </w:tc>
        <w:tc>
          <w:tcPr>
            <w:tcW w:w="2790" w:type="dxa"/>
            <w:tcBorders>
              <w:top w:val="single" w:color="auto" w:sz="6" w:space="0"/>
              <w:left w:val="single" w:color="auto" w:sz="6" w:space="0"/>
              <w:bottom w:val="single" w:color="auto" w:sz="6" w:space="0"/>
              <w:right w:val="single" w:color="auto" w:sz="6" w:space="0"/>
            </w:tcBorders>
            <w:noWrap/>
          </w:tcPr>
          <w:p>
            <w:pPr>
              <w:snapToGrid w:val="0"/>
              <w:spacing w:line="360" w:lineRule="auto"/>
              <w:jc w:val="center"/>
              <w:rPr>
                <w:rFonts w:ascii="宋体" w:hAnsi="宋体" w:cs="宋体"/>
                <w:szCs w:val="21"/>
              </w:rPr>
            </w:pPr>
          </w:p>
        </w:tc>
        <w:tc>
          <w:tcPr>
            <w:tcW w:w="2054" w:type="dxa"/>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2132" w:type="dxa"/>
            <w:tcBorders>
              <w:top w:val="single" w:color="auto" w:sz="6" w:space="0"/>
              <w:left w:val="single" w:color="auto" w:sz="2" w:space="0"/>
              <w:bottom w:val="single" w:color="auto" w:sz="6" w:space="0"/>
              <w:right w:val="single" w:color="auto" w:sz="6" w:space="0"/>
            </w:tcBorders>
            <w:noWrap/>
          </w:tcPr>
          <w:p>
            <w:pPr>
              <w:snapToGrid w:val="0"/>
              <w:spacing w:line="360" w:lineRule="auto"/>
              <w:rPr>
                <w:rFonts w:ascii="宋体" w:hAnsi="宋体" w:cs="宋体"/>
                <w:szCs w:val="21"/>
              </w:rPr>
            </w:pPr>
          </w:p>
        </w:tc>
        <w:tc>
          <w:tcPr>
            <w:tcW w:w="2132" w:type="dxa"/>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Cs w:val="21"/>
              </w:rPr>
            </w:pPr>
          </w:p>
        </w:tc>
        <w:tc>
          <w:tcPr>
            <w:tcW w:w="2790" w:type="dxa"/>
            <w:tcBorders>
              <w:top w:val="single" w:color="auto" w:sz="6" w:space="0"/>
              <w:left w:val="single" w:color="auto" w:sz="6" w:space="0"/>
              <w:bottom w:val="single" w:color="auto" w:sz="6" w:space="0"/>
              <w:right w:val="single" w:color="auto" w:sz="6" w:space="0"/>
            </w:tcBorders>
            <w:noWrap/>
          </w:tcPr>
          <w:p>
            <w:pPr>
              <w:snapToGrid w:val="0"/>
              <w:spacing w:line="360" w:lineRule="auto"/>
              <w:jc w:val="center"/>
              <w:rPr>
                <w:rFonts w:ascii="宋体" w:hAnsi="宋体" w:cs="宋体"/>
                <w:szCs w:val="21"/>
              </w:rPr>
            </w:pPr>
          </w:p>
        </w:tc>
        <w:tc>
          <w:tcPr>
            <w:tcW w:w="2054" w:type="dxa"/>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2132" w:type="dxa"/>
            <w:tcBorders>
              <w:top w:val="single" w:color="auto" w:sz="6" w:space="0"/>
              <w:left w:val="single" w:color="auto" w:sz="2" w:space="0"/>
              <w:bottom w:val="single" w:color="auto" w:sz="6" w:space="0"/>
              <w:right w:val="single" w:color="auto" w:sz="6" w:space="0"/>
            </w:tcBorders>
            <w:noWrap/>
          </w:tcPr>
          <w:p>
            <w:pPr>
              <w:snapToGrid w:val="0"/>
              <w:spacing w:line="360" w:lineRule="auto"/>
              <w:rPr>
                <w:rFonts w:ascii="宋体" w:hAnsi="宋体" w:cs="宋体"/>
                <w:szCs w:val="21"/>
              </w:rPr>
            </w:pPr>
          </w:p>
        </w:tc>
        <w:tc>
          <w:tcPr>
            <w:tcW w:w="2132" w:type="dxa"/>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Cs w:val="21"/>
              </w:rPr>
            </w:pPr>
          </w:p>
        </w:tc>
        <w:tc>
          <w:tcPr>
            <w:tcW w:w="2790" w:type="dxa"/>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Cs w:val="21"/>
              </w:rPr>
            </w:pPr>
          </w:p>
        </w:tc>
        <w:tc>
          <w:tcPr>
            <w:tcW w:w="2054" w:type="dxa"/>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2132" w:type="dxa"/>
            <w:tcBorders>
              <w:top w:val="single" w:color="auto" w:sz="6" w:space="0"/>
              <w:left w:val="single" w:color="auto" w:sz="2" w:space="0"/>
              <w:bottom w:val="single" w:color="auto" w:sz="6" w:space="0"/>
              <w:right w:val="single" w:color="auto" w:sz="6" w:space="0"/>
            </w:tcBorders>
            <w:noWrap/>
          </w:tcPr>
          <w:p>
            <w:pPr>
              <w:snapToGrid w:val="0"/>
              <w:spacing w:line="360" w:lineRule="auto"/>
              <w:rPr>
                <w:rFonts w:ascii="宋体" w:hAnsi="宋体" w:cs="宋体"/>
                <w:szCs w:val="21"/>
              </w:rPr>
            </w:pPr>
          </w:p>
        </w:tc>
        <w:tc>
          <w:tcPr>
            <w:tcW w:w="2132" w:type="dxa"/>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Cs w:val="21"/>
              </w:rPr>
            </w:pPr>
          </w:p>
        </w:tc>
        <w:tc>
          <w:tcPr>
            <w:tcW w:w="2790" w:type="dxa"/>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Cs w:val="21"/>
              </w:rPr>
            </w:pPr>
          </w:p>
        </w:tc>
        <w:tc>
          <w:tcPr>
            <w:tcW w:w="2054" w:type="dxa"/>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2132" w:type="dxa"/>
            <w:tcBorders>
              <w:top w:val="single" w:color="auto" w:sz="6" w:space="0"/>
              <w:left w:val="single" w:color="auto" w:sz="2" w:space="0"/>
              <w:bottom w:val="single" w:color="auto" w:sz="6" w:space="0"/>
              <w:right w:val="single" w:color="auto" w:sz="6" w:space="0"/>
            </w:tcBorders>
            <w:noWrap/>
          </w:tcPr>
          <w:p>
            <w:pPr>
              <w:snapToGrid w:val="0"/>
              <w:spacing w:line="360" w:lineRule="auto"/>
              <w:rPr>
                <w:rFonts w:ascii="宋体" w:hAnsi="宋体" w:cs="宋体"/>
                <w:szCs w:val="21"/>
              </w:rPr>
            </w:pPr>
          </w:p>
        </w:tc>
        <w:tc>
          <w:tcPr>
            <w:tcW w:w="2132" w:type="dxa"/>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Cs w:val="21"/>
              </w:rPr>
            </w:pPr>
          </w:p>
        </w:tc>
        <w:tc>
          <w:tcPr>
            <w:tcW w:w="2790" w:type="dxa"/>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Cs w:val="21"/>
              </w:rPr>
            </w:pPr>
          </w:p>
        </w:tc>
        <w:tc>
          <w:tcPr>
            <w:tcW w:w="2054" w:type="dxa"/>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2132" w:type="dxa"/>
            <w:tcBorders>
              <w:top w:val="single" w:color="auto" w:sz="6" w:space="0"/>
              <w:left w:val="single" w:color="auto" w:sz="2" w:space="0"/>
              <w:bottom w:val="single" w:color="auto" w:sz="6" w:space="0"/>
              <w:right w:val="single" w:color="auto" w:sz="6" w:space="0"/>
            </w:tcBorders>
            <w:noWrap/>
          </w:tcPr>
          <w:p>
            <w:pPr>
              <w:snapToGrid w:val="0"/>
              <w:spacing w:line="360" w:lineRule="auto"/>
              <w:rPr>
                <w:rFonts w:ascii="宋体" w:hAnsi="宋体" w:cs="宋体"/>
                <w:szCs w:val="21"/>
              </w:rPr>
            </w:pPr>
          </w:p>
        </w:tc>
        <w:tc>
          <w:tcPr>
            <w:tcW w:w="2132" w:type="dxa"/>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Cs w:val="21"/>
              </w:rPr>
            </w:pPr>
          </w:p>
        </w:tc>
        <w:tc>
          <w:tcPr>
            <w:tcW w:w="2790" w:type="dxa"/>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Cs w:val="21"/>
              </w:rPr>
            </w:pPr>
          </w:p>
        </w:tc>
        <w:tc>
          <w:tcPr>
            <w:tcW w:w="2054" w:type="dxa"/>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2132" w:type="dxa"/>
            <w:tcBorders>
              <w:top w:val="single" w:color="auto" w:sz="6" w:space="0"/>
              <w:left w:val="single" w:color="auto" w:sz="2" w:space="0"/>
              <w:bottom w:val="single" w:color="auto" w:sz="6" w:space="0"/>
              <w:right w:val="single" w:color="auto" w:sz="6" w:space="0"/>
            </w:tcBorders>
            <w:noWrap/>
          </w:tcPr>
          <w:p>
            <w:pPr>
              <w:snapToGrid w:val="0"/>
              <w:spacing w:line="360" w:lineRule="auto"/>
              <w:rPr>
                <w:rFonts w:ascii="宋体" w:hAnsi="宋体" w:cs="宋体"/>
                <w:szCs w:val="21"/>
              </w:rPr>
            </w:pPr>
          </w:p>
        </w:tc>
        <w:tc>
          <w:tcPr>
            <w:tcW w:w="2132" w:type="dxa"/>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Cs w:val="21"/>
              </w:rPr>
            </w:pPr>
          </w:p>
        </w:tc>
        <w:tc>
          <w:tcPr>
            <w:tcW w:w="2790" w:type="dxa"/>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Cs w:val="21"/>
              </w:rPr>
            </w:pPr>
          </w:p>
        </w:tc>
        <w:tc>
          <w:tcPr>
            <w:tcW w:w="2054" w:type="dxa"/>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2132" w:type="dxa"/>
            <w:tcBorders>
              <w:top w:val="single" w:color="auto" w:sz="6" w:space="0"/>
              <w:left w:val="single" w:color="auto" w:sz="2" w:space="0"/>
              <w:bottom w:val="single" w:color="auto" w:sz="6" w:space="0"/>
              <w:right w:val="single" w:color="auto" w:sz="6" w:space="0"/>
            </w:tcBorders>
            <w:noWrap/>
          </w:tcPr>
          <w:p>
            <w:pPr>
              <w:snapToGrid w:val="0"/>
              <w:spacing w:line="360" w:lineRule="auto"/>
              <w:rPr>
                <w:rFonts w:ascii="宋体" w:hAnsi="宋体" w:cs="宋体"/>
                <w:szCs w:val="21"/>
              </w:rPr>
            </w:pPr>
          </w:p>
        </w:tc>
        <w:tc>
          <w:tcPr>
            <w:tcW w:w="2132" w:type="dxa"/>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Cs w:val="21"/>
              </w:rPr>
            </w:pPr>
          </w:p>
        </w:tc>
        <w:tc>
          <w:tcPr>
            <w:tcW w:w="2790" w:type="dxa"/>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Cs w:val="21"/>
              </w:rPr>
            </w:pPr>
          </w:p>
        </w:tc>
        <w:tc>
          <w:tcPr>
            <w:tcW w:w="2054" w:type="dxa"/>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2132" w:type="dxa"/>
            <w:tcBorders>
              <w:top w:val="single" w:color="auto" w:sz="6" w:space="0"/>
              <w:left w:val="single" w:color="auto" w:sz="2" w:space="0"/>
              <w:bottom w:val="single" w:color="auto" w:sz="6" w:space="0"/>
              <w:right w:val="single" w:color="auto" w:sz="6" w:space="0"/>
            </w:tcBorders>
            <w:noWrap/>
          </w:tcPr>
          <w:p>
            <w:pPr>
              <w:snapToGrid w:val="0"/>
              <w:spacing w:line="360" w:lineRule="auto"/>
              <w:rPr>
                <w:rFonts w:ascii="宋体" w:hAnsi="宋体" w:cs="宋体"/>
                <w:szCs w:val="21"/>
              </w:rPr>
            </w:pPr>
          </w:p>
        </w:tc>
        <w:tc>
          <w:tcPr>
            <w:tcW w:w="2132" w:type="dxa"/>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Cs w:val="21"/>
              </w:rPr>
            </w:pPr>
          </w:p>
        </w:tc>
        <w:tc>
          <w:tcPr>
            <w:tcW w:w="2790" w:type="dxa"/>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Cs w:val="21"/>
              </w:rPr>
            </w:pPr>
          </w:p>
        </w:tc>
        <w:tc>
          <w:tcPr>
            <w:tcW w:w="2054" w:type="dxa"/>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2132" w:type="dxa"/>
            <w:tcBorders>
              <w:top w:val="single" w:color="auto" w:sz="6" w:space="0"/>
              <w:left w:val="single" w:color="auto" w:sz="2" w:space="0"/>
              <w:bottom w:val="single" w:color="auto" w:sz="6" w:space="0"/>
              <w:right w:val="single" w:color="auto" w:sz="6" w:space="0"/>
            </w:tcBorders>
            <w:noWrap/>
          </w:tcPr>
          <w:p>
            <w:pPr>
              <w:snapToGrid w:val="0"/>
              <w:spacing w:line="360" w:lineRule="auto"/>
              <w:rPr>
                <w:rFonts w:ascii="宋体" w:hAnsi="宋体" w:cs="宋体"/>
                <w:szCs w:val="21"/>
              </w:rPr>
            </w:pPr>
          </w:p>
        </w:tc>
        <w:tc>
          <w:tcPr>
            <w:tcW w:w="2132" w:type="dxa"/>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Cs w:val="21"/>
              </w:rPr>
            </w:pPr>
          </w:p>
        </w:tc>
        <w:tc>
          <w:tcPr>
            <w:tcW w:w="2790" w:type="dxa"/>
            <w:tcBorders>
              <w:top w:val="single" w:color="auto" w:sz="6" w:space="0"/>
              <w:left w:val="single" w:color="auto" w:sz="6" w:space="0"/>
              <w:bottom w:val="single" w:color="auto" w:sz="6" w:space="0"/>
              <w:right w:val="single" w:color="auto" w:sz="6" w:space="0"/>
            </w:tcBorders>
            <w:noWrap/>
          </w:tcPr>
          <w:p>
            <w:pPr>
              <w:snapToGrid w:val="0"/>
              <w:spacing w:line="360" w:lineRule="auto"/>
              <w:rPr>
                <w:rFonts w:ascii="宋体" w:hAnsi="宋体" w:cs="宋体"/>
                <w:szCs w:val="21"/>
              </w:rPr>
            </w:pPr>
          </w:p>
        </w:tc>
        <w:tc>
          <w:tcPr>
            <w:tcW w:w="2054" w:type="dxa"/>
            <w:tcBorders>
              <w:top w:val="single" w:color="auto" w:sz="6" w:space="0"/>
              <w:left w:val="single" w:color="auto" w:sz="6" w:space="0"/>
              <w:bottom w:val="single" w:color="auto" w:sz="6" w:space="0"/>
              <w:right w:val="single" w:color="auto" w:sz="2" w:space="0"/>
            </w:tcBorders>
            <w:noWrap/>
          </w:tcPr>
          <w:p>
            <w:pPr>
              <w:snapToGrid w:val="0"/>
              <w:spacing w:line="360" w:lineRule="auto"/>
              <w:rPr>
                <w:rFonts w:ascii="宋体" w:hAnsi="宋体" w:cs="宋体"/>
                <w:szCs w:val="21"/>
              </w:rPr>
            </w:pPr>
          </w:p>
        </w:tc>
      </w:tr>
    </w:tbl>
    <w:p>
      <w:pPr>
        <w:spacing w:line="360" w:lineRule="auto"/>
        <w:ind w:left="1056" w:hanging="1056" w:hangingChars="440"/>
        <w:rPr>
          <w:rFonts w:ascii="宋体" w:hAnsi="宋体" w:cs="宋体"/>
        </w:rPr>
      </w:pPr>
      <w:r>
        <w:rPr>
          <w:rFonts w:hint="eastAsia" w:ascii="宋体" w:hAnsi="宋体" w:cs="宋体"/>
          <w:sz w:val="24"/>
        </w:rPr>
        <w:t>附注：</w:t>
      </w:r>
      <w:r>
        <w:rPr>
          <w:rFonts w:hint="eastAsia" w:ascii="宋体" w:hAnsi="宋体" w:cs="宋体"/>
        </w:rPr>
        <w:t>1.驻点人员、实施团队人员、安全员、质检员、操作工、设备材料、以及各主要专业工种负责人均应列入；</w:t>
      </w:r>
    </w:p>
    <w:p>
      <w:pPr>
        <w:spacing w:line="360" w:lineRule="auto"/>
        <w:ind w:left="716" w:leftChars="321" w:hanging="42" w:hangingChars="20"/>
        <w:rPr>
          <w:rFonts w:ascii="宋体" w:hAnsi="宋体" w:cs="宋体"/>
        </w:rPr>
      </w:pPr>
      <w:r>
        <w:rPr>
          <w:rFonts w:hint="eastAsia" w:ascii="宋体" w:hAnsi="宋体" w:cs="宋体"/>
        </w:rPr>
        <w:t>2.列入本表人员如要更换，需经采购人同意，擅自更换或不到位属违约行为；</w:t>
      </w:r>
    </w:p>
    <w:p>
      <w:pPr>
        <w:spacing w:line="360" w:lineRule="auto"/>
        <w:ind w:left="716" w:leftChars="321" w:hanging="42" w:hangingChars="20"/>
        <w:rPr>
          <w:rFonts w:ascii="宋体" w:hAnsi="宋体" w:cs="宋体"/>
          <w:b/>
        </w:rPr>
      </w:pPr>
      <w:r>
        <w:rPr>
          <w:rFonts w:hint="eastAsia" w:ascii="宋体" w:hAnsi="宋体" w:cs="宋体"/>
          <w:b/>
        </w:rPr>
        <w:t>3.</w:t>
      </w:r>
      <w:r>
        <w:rPr>
          <w:rFonts w:hint="eastAsia" w:ascii="宋体" w:hAnsi="宋体" w:cs="宋体"/>
          <w:b/>
          <w:bCs/>
        </w:rPr>
        <w:t>相关资质</w:t>
      </w:r>
      <w:r>
        <w:rPr>
          <w:rFonts w:hint="eastAsia" w:ascii="宋体" w:hAnsi="宋体" w:cs="宋体"/>
          <w:b/>
        </w:rPr>
        <w:t>证书及在投标人处的社保证明文件扫描件附后，并加盖投标人公章。</w:t>
      </w:r>
    </w:p>
    <w:p>
      <w:pPr>
        <w:spacing w:line="360" w:lineRule="auto"/>
        <w:ind w:left="716" w:leftChars="321" w:hanging="42" w:hangingChars="20"/>
        <w:rPr>
          <w:rFonts w:ascii="宋体" w:hAnsi="宋体" w:cs="宋体"/>
          <w:sz w:val="24"/>
        </w:rPr>
      </w:pPr>
      <w:r>
        <w:rPr>
          <w:rFonts w:hint="eastAsia" w:ascii="宋体" w:hAnsi="宋体" w:cs="宋体"/>
          <w:b/>
        </w:rPr>
        <w:t>4.根据《温州市人民政府关于印发温州市公共资源交易平台建设管理暂行办法的通知》（温政发〔2018〕2号）第四十条规定，将在中标或者成交公告的内容中</w:t>
      </w:r>
      <w:r>
        <w:rPr>
          <w:rFonts w:hint="eastAsia" w:ascii="宋体" w:hAnsi="宋体" w:cs="宋体"/>
          <w:b/>
          <w:shd w:val="pct10" w:color="auto" w:fill="FFFFFF"/>
        </w:rPr>
        <w:t>公开本表</w:t>
      </w:r>
      <w:r>
        <w:rPr>
          <w:rFonts w:hint="eastAsia" w:ascii="宋体" w:hAnsi="宋体" w:cs="宋体"/>
          <w:b/>
        </w:rPr>
        <w:t>，请各投标人认真填写，确保数据的真实性、完整性和合理性。</w:t>
      </w: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r>
        <w:rPr>
          <w:rFonts w:hint="eastAsia" w:ascii="宋体" w:hAnsi="宋体" w:cs="宋体"/>
          <w:sz w:val="24"/>
        </w:rPr>
        <w:t>投标人全称（公章或CA章）：</w:t>
      </w:r>
    </w:p>
    <w:p>
      <w:pPr>
        <w:spacing w:line="360" w:lineRule="auto"/>
        <w:rPr>
          <w:rFonts w:ascii="宋体" w:hAnsi="宋体" w:cs="宋体"/>
          <w:bCs/>
          <w:sz w:val="22"/>
          <w:szCs w:val="22"/>
        </w:rPr>
        <w:sectPr>
          <w:pgSz w:w="11906" w:h="16838"/>
          <w:pgMar w:top="1135" w:right="1135" w:bottom="686" w:left="1135" w:header="851" w:footer="851" w:gutter="0"/>
          <w:cols w:space="720" w:num="1"/>
          <w:docGrid w:type="lines" w:linePitch="312" w:charSpace="0"/>
        </w:sectPr>
      </w:pPr>
      <w:r>
        <w:rPr>
          <w:rFonts w:hint="eastAsia" w:ascii="宋体" w:hAnsi="宋体" w:cs="宋体"/>
          <w:sz w:val="24"/>
        </w:rPr>
        <w:t>日期：年月日</w:t>
      </w:r>
    </w:p>
    <w:p>
      <w:pPr>
        <w:widowControl/>
        <w:spacing w:line="360" w:lineRule="auto"/>
        <w:jc w:val="center"/>
        <w:rPr>
          <w:rFonts w:ascii="宋体" w:hAnsi="宋体" w:cs="宋体"/>
          <w:b/>
          <w:bCs/>
          <w:sz w:val="36"/>
          <w:szCs w:val="36"/>
        </w:rPr>
      </w:pPr>
      <w:r>
        <w:rPr>
          <w:rFonts w:hint="eastAsia" w:ascii="宋体" w:hAnsi="宋体" w:cs="宋体"/>
          <w:b/>
          <w:bCs/>
          <w:sz w:val="36"/>
          <w:szCs w:val="36"/>
        </w:rPr>
        <w:t>（6）</w:t>
      </w:r>
      <w:r>
        <w:rPr>
          <w:rFonts w:hint="eastAsia" w:ascii="宋体" w:hAnsi="宋体" w:cs="宋体"/>
          <w:b/>
          <w:bCs/>
          <w:sz w:val="36"/>
          <w:szCs w:val="36"/>
          <w:lang w:val="zh-CN"/>
        </w:rPr>
        <w:t>标线维护方案</w:t>
      </w:r>
    </w:p>
    <w:p>
      <w:pPr>
        <w:spacing w:line="360" w:lineRule="auto"/>
        <w:jc w:val="distribute"/>
        <w:rPr>
          <w:rFonts w:ascii="宋体" w:hAnsi="宋体" w:cs="宋体"/>
          <w:b/>
          <w:sz w:val="10"/>
          <w:szCs w:val="10"/>
        </w:rPr>
      </w:pPr>
    </w:p>
    <w:p>
      <w:pPr>
        <w:spacing w:line="360" w:lineRule="auto"/>
        <w:rPr>
          <w:rFonts w:ascii="宋体" w:hAnsi="宋体" w:cs="宋体"/>
          <w:bCs/>
        </w:rPr>
      </w:pPr>
      <w:r>
        <w:rPr>
          <w:rFonts w:hint="eastAsia" w:ascii="宋体" w:hAnsi="宋体" w:cs="宋体"/>
        </w:rPr>
        <w:t>项目编号：</w:t>
      </w:r>
    </w:p>
    <w:tbl>
      <w:tblPr>
        <w:tblStyle w:val="20"/>
        <w:tblW w:w="9214"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921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587" w:hRule="atLeast"/>
        </w:trPr>
        <w:tc>
          <w:tcPr>
            <w:tcW w:w="9214" w:type="dxa"/>
            <w:noWrap/>
            <w:vAlign w:val="center"/>
          </w:tcPr>
          <w:p>
            <w:pPr>
              <w:spacing w:line="360" w:lineRule="auto"/>
              <w:rPr>
                <w:rFonts w:ascii="宋体" w:hAnsi="宋体" w:cs="宋体"/>
              </w:rPr>
            </w:pPr>
          </w:p>
          <w:p>
            <w:pPr>
              <w:spacing w:line="360" w:lineRule="auto"/>
              <w:jc w:val="center"/>
              <w:rPr>
                <w:rFonts w:ascii="宋体" w:hAnsi="宋体" w:cs="宋体"/>
              </w:rPr>
            </w:pPr>
            <w:r>
              <w:rPr>
                <w:rFonts w:hint="eastAsia" w:ascii="宋体" w:hAnsi="宋体" w:cs="宋体"/>
              </w:rPr>
              <w:t>（格式自拟）</w:t>
            </w:r>
          </w:p>
          <w:p>
            <w:pPr>
              <w:spacing w:line="360" w:lineRule="auto"/>
              <w:ind w:left="5250" w:leftChars="2500"/>
              <w:rPr>
                <w:rFonts w:ascii="宋体" w:hAnsi="宋体" w:cs="宋体"/>
                <w:b/>
                <w:bCs/>
              </w:rPr>
            </w:pPr>
          </w:p>
        </w:tc>
      </w:tr>
    </w:tbl>
    <w:p>
      <w:pPr>
        <w:spacing w:line="360" w:lineRule="auto"/>
        <w:rPr>
          <w:rFonts w:ascii="宋体" w:hAnsi="宋体" w:cs="宋体"/>
          <w:sz w:val="24"/>
        </w:rPr>
      </w:pPr>
      <w:r>
        <w:rPr>
          <w:rFonts w:hint="eastAsia" w:ascii="宋体" w:hAnsi="宋体" w:cs="宋体"/>
          <w:sz w:val="24"/>
        </w:rPr>
        <w:t>投标供应商全称（公章或CA章）：</w:t>
      </w:r>
    </w:p>
    <w:p>
      <w:pPr>
        <w:spacing w:line="360" w:lineRule="auto"/>
        <w:rPr>
          <w:rFonts w:ascii="宋体" w:hAnsi="宋体" w:cs="宋体"/>
          <w:bCs/>
          <w:sz w:val="24"/>
        </w:rPr>
      </w:pPr>
      <w:r>
        <w:rPr>
          <w:rFonts w:hint="eastAsia" w:ascii="宋体" w:hAnsi="宋体" w:cs="宋体"/>
          <w:sz w:val="24"/>
        </w:rPr>
        <w:t>日期：年月日</w:t>
      </w:r>
    </w:p>
    <w:p>
      <w:pPr>
        <w:spacing w:line="360" w:lineRule="auto"/>
        <w:jc w:val="left"/>
        <w:rPr>
          <w:rFonts w:ascii="宋体" w:hAnsi="宋体" w:cs="宋体"/>
          <w:b/>
          <w:bCs/>
          <w:sz w:val="24"/>
        </w:rPr>
      </w:pPr>
    </w:p>
    <w:p>
      <w:pPr>
        <w:spacing w:line="360" w:lineRule="auto"/>
        <w:jc w:val="left"/>
        <w:rPr>
          <w:rFonts w:ascii="宋体" w:hAnsi="宋体" w:cs="宋体"/>
          <w:b/>
          <w:bCs/>
          <w:sz w:val="24"/>
        </w:rPr>
      </w:pPr>
    </w:p>
    <w:p>
      <w:pPr>
        <w:spacing w:line="360" w:lineRule="auto"/>
        <w:jc w:val="center"/>
        <w:rPr>
          <w:rFonts w:ascii="宋体" w:hAnsi="宋体" w:cs="宋体"/>
          <w:b/>
          <w:bCs/>
          <w:sz w:val="36"/>
          <w:szCs w:val="36"/>
        </w:rPr>
      </w:pPr>
      <w:r>
        <w:rPr>
          <w:rFonts w:hint="eastAsia" w:ascii="宋体" w:hAnsi="宋体" w:cs="宋体"/>
          <w:b/>
          <w:bCs/>
          <w:sz w:val="36"/>
          <w:szCs w:val="36"/>
        </w:rPr>
        <w:br w:type="page"/>
      </w:r>
      <w:r>
        <w:rPr>
          <w:rFonts w:hint="eastAsia" w:ascii="宋体" w:hAnsi="宋体" w:cs="宋体"/>
          <w:b/>
          <w:bCs/>
          <w:sz w:val="36"/>
          <w:szCs w:val="36"/>
        </w:rPr>
        <w:t>（7）</w:t>
      </w:r>
      <w:r>
        <w:rPr>
          <w:rFonts w:hint="eastAsia" w:ascii="宋体" w:hAnsi="宋体" w:cs="宋体"/>
          <w:b/>
          <w:bCs/>
          <w:sz w:val="36"/>
          <w:szCs w:val="36"/>
          <w:lang w:val="zh-CN"/>
        </w:rPr>
        <w:t>安装施工组织方案</w:t>
      </w:r>
    </w:p>
    <w:p>
      <w:pPr>
        <w:spacing w:line="360" w:lineRule="auto"/>
        <w:rPr>
          <w:rFonts w:ascii="宋体" w:hAnsi="宋体" w:cs="宋体"/>
          <w:bCs/>
        </w:rPr>
      </w:pPr>
      <w:r>
        <w:rPr>
          <w:rFonts w:hint="eastAsia" w:ascii="宋体" w:hAnsi="宋体" w:cs="宋体"/>
        </w:rPr>
        <w:t>项目编号：</w:t>
      </w:r>
    </w:p>
    <w:tbl>
      <w:tblPr>
        <w:tblStyle w:val="20"/>
        <w:tblW w:w="9214"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921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587" w:hRule="atLeast"/>
        </w:trPr>
        <w:tc>
          <w:tcPr>
            <w:tcW w:w="9214" w:type="dxa"/>
            <w:noWrap/>
            <w:vAlign w:val="center"/>
          </w:tcPr>
          <w:p>
            <w:pPr>
              <w:spacing w:line="360" w:lineRule="auto"/>
              <w:rPr>
                <w:rFonts w:ascii="宋体" w:hAnsi="宋体" w:cs="宋体"/>
              </w:rPr>
            </w:pPr>
          </w:p>
          <w:p>
            <w:pPr>
              <w:spacing w:line="360" w:lineRule="auto"/>
              <w:jc w:val="center"/>
              <w:rPr>
                <w:rFonts w:ascii="宋体" w:hAnsi="宋体" w:cs="宋体"/>
              </w:rPr>
            </w:pPr>
            <w:r>
              <w:rPr>
                <w:rFonts w:hint="eastAsia" w:ascii="宋体" w:hAnsi="宋体" w:cs="宋体"/>
              </w:rPr>
              <w:t>（格式自拟）</w:t>
            </w:r>
          </w:p>
          <w:p>
            <w:pPr>
              <w:spacing w:line="360" w:lineRule="auto"/>
              <w:ind w:left="5250" w:leftChars="2500"/>
              <w:rPr>
                <w:rFonts w:ascii="宋体" w:hAnsi="宋体" w:cs="宋体"/>
                <w:b/>
                <w:bCs/>
              </w:rPr>
            </w:pPr>
          </w:p>
        </w:tc>
      </w:tr>
    </w:tbl>
    <w:p>
      <w:pPr>
        <w:spacing w:line="360" w:lineRule="auto"/>
        <w:rPr>
          <w:rFonts w:ascii="宋体" w:hAnsi="宋体" w:cs="宋体"/>
          <w:sz w:val="24"/>
        </w:rPr>
      </w:pPr>
      <w:r>
        <w:rPr>
          <w:rFonts w:hint="eastAsia" w:ascii="宋体" w:hAnsi="宋体" w:cs="宋体"/>
          <w:sz w:val="24"/>
        </w:rPr>
        <w:t>投标供应商全称（公章或CA章）：</w:t>
      </w:r>
    </w:p>
    <w:p>
      <w:pPr>
        <w:spacing w:line="360" w:lineRule="auto"/>
        <w:rPr>
          <w:rFonts w:ascii="宋体" w:hAnsi="宋体" w:cs="宋体"/>
          <w:bCs/>
          <w:sz w:val="24"/>
        </w:rPr>
      </w:pPr>
      <w:r>
        <w:rPr>
          <w:rFonts w:hint="eastAsia" w:ascii="宋体" w:hAnsi="宋体" w:cs="宋体"/>
          <w:sz w:val="24"/>
        </w:rPr>
        <w:t>日期：年月日</w:t>
      </w:r>
    </w:p>
    <w:p>
      <w:pPr>
        <w:spacing w:line="360" w:lineRule="auto"/>
        <w:jc w:val="center"/>
        <w:rPr>
          <w:rFonts w:ascii="宋体" w:hAnsi="宋体" w:cs="宋体"/>
          <w:b/>
          <w:kern w:val="0"/>
          <w:sz w:val="32"/>
          <w:szCs w:val="32"/>
        </w:rPr>
        <w:sectPr>
          <w:footerReference r:id="rId14" w:type="default"/>
          <w:type w:val="nextColumn"/>
          <w:pgSz w:w="11906" w:h="16838"/>
          <w:pgMar w:top="1440" w:right="1304" w:bottom="1440" w:left="1531" w:header="851" w:footer="992" w:gutter="0"/>
          <w:cols w:space="720" w:num="1"/>
          <w:docGrid w:linePitch="312" w:charSpace="0"/>
        </w:sectPr>
      </w:pPr>
    </w:p>
    <w:p>
      <w:pPr>
        <w:pStyle w:val="26"/>
      </w:pPr>
    </w:p>
    <w:p>
      <w:pPr>
        <w:spacing w:line="360" w:lineRule="auto"/>
        <w:jc w:val="center"/>
        <w:rPr>
          <w:rFonts w:ascii="宋体" w:hAnsi="宋体" w:cs="宋体"/>
          <w:b/>
          <w:kern w:val="0"/>
          <w:sz w:val="32"/>
          <w:szCs w:val="32"/>
        </w:rPr>
      </w:pPr>
      <w:r>
        <w:rPr>
          <w:rFonts w:hint="eastAsia" w:ascii="宋体" w:hAnsi="宋体" w:cs="宋体"/>
          <w:b/>
          <w:kern w:val="0"/>
          <w:sz w:val="32"/>
          <w:szCs w:val="32"/>
          <w:lang w:val="zh-CN"/>
        </w:rPr>
        <w:t>（</w:t>
      </w:r>
      <w:r>
        <w:rPr>
          <w:rFonts w:hint="eastAsia" w:ascii="宋体" w:hAnsi="宋体" w:cs="宋体"/>
          <w:b/>
          <w:kern w:val="0"/>
          <w:sz w:val="32"/>
          <w:szCs w:val="32"/>
        </w:rPr>
        <w:t>8）</w:t>
      </w:r>
      <w:r>
        <w:rPr>
          <w:rFonts w:hint="eastAsia" w:ascii="宋体" w:hAnsi="宋体" w:cs="宋体"/>
          <w:b/>
          <w:kern w:val="0"/>
          <w:sz w:val="32"/>
          <w:szCs w:val="32"/>
          <w:lang w:val="zh-CN"/>
        </w:rPr>
        <w:t>现场施工车辆方案</w:t>
      </w:r>
    </w:p>
    <w:p>
      <w:pPr>
        <w:spacing w:line="360" w:lineRule="auto"/>
        <w:rPr>
          <w:rFonts w:ascii="宋体" w:hAnsi="宋体" w:cs="宋体"/>
          <w:bCs/>
        </w:rPr>
      </w:pPr>
      <w:r>
        <w:rPr>
          <w:rFonts w:hint="eastAsia" w:ascii="宋体" w:hAnsi="宋体" w:cs="宋体"/>
        </w:rPr>
        <w:t>项目编号：</w:t>
      </w:r>
    </w:p>
    <w:tbl>
      <w:tblPr>
        <w:tblStyle w:val="20"/>
        <w:tblW w:w="9214"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921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587" w:hRule="atLeast"/>
        </w:trPr>
        <w:tc>
          <w:tcPr>
            <w:tcW w:w="9214" w:type="dxa"/>
            <w:noWrap/>
            <w:vAlign w:val="center"/>
          </w:tcPr>
          <w:p>
            <w:pPr>
              <w:spacing w:line="360" w:lineRule="auto"/>
              <w:rPr>
                <w:rFonts w:ascii="宋体" w:hAnsi="宋体" w:cs="宋体"/>
              </w:rPr>
            </w:pPr>
          </w:p>
          <w:p>
            <w:pPr>
              <w:spacing w:line="360" w:lineRule="auto"/>
              <w:jc w:val="center"/>
              <w:rPr>
                <w:rFonts w:ascii="宋体" w:hAnsi="宋体" w:cs="宋体"/>
              </w:rPr>
            </w:pPr>
            <w:r>
              <w:rPr>
                <w:rFonts w:hint="eastAsia" w:ascii="宋体" w:hAnsi="宋体" w:cs="宋体"/>
              </w:rPr>
              <w:t>（格式自拟）</w:t>
            </w:r>
          </w:p>
          <w:p>
            <w:pPr>
              <w:spacing w:line="360" w:lineRule="auto"/>
              <w:ind w:left="5250" w:leftChars="2500"/>
              <w:rPr>
                <w:rFonts w:ascii="宋体" w:hAnsi="宋体" w:cs="宋体"/>
                <w:b/>
                <w:bCs/>
              </w:rPr>
            </w:pPr>
          </w:p>
        </w:tc>
      </w:tr>
    </w:tbl>
    <w:p>
      <w:pPr>
        <w:spacing w:line="360" w:lineRule="auto"/>
        <w:rPr>
          <w:rFonts w:ascii="宋体" w:hAnsi="宋体" w:cs="宋体"/>
          <w:sz w:val="24"/>
        </w:rPr>
      </w:pPr>
      <w:r>
        <w:rPr>
          <w:rFonts w:hint="eastAsia" w:ascii="宋体" w:hAnsi="宋体" w:cs="宋体"/>
          <w:sz w:val="24"/>
        </w:rPr>
        <w:t>投标供应商全称（公章或CA章）：</w:t>
      </w:r>
    </w:p>
    <w:p>
      <w:pPr>
        <w:spacing w:line="360" w:lineRule="auto"/>
        <w:rPr>
          <w:rFonts w:ascii="宋体" w:hAnsi="宋体" w:cs="宋体"/>
          <w:bCs/>
          <w:sz w:val="24"/>
        </w:rPr>
      </w:pPr>
      <w:r>
        <w:rPr>
          <w:rFonts w:hint="eastAsia" w:ascii="宋体" w:hAnsi="宋体" w:cs="宋体"/>
          <w:sz w:val="24"/>
        </w:rPr>
        <w:t>日期：年月日</w:t>
      </w:r>
    </w:p>
    <w:p>
      <w:pPr>
        <w:spacing w:line="360" w:lineRule="auto"/>
        <w:jc w:val="center"/>
        <w:rPr>
          <w:rFonts w:ascii="宋体" w:hAnsi="宋体" w:cs="宋体"/>
          <w:b/>
          <w:kern w:val="0"/>
          <w:sz w:val="32"/>
          <w:szCs w:val="32"/>
          <w:lang w:val="zh-CN"/>
        </w:rPr>
        <w:sectPr>
          <w:pgSz w:w="11906" w:h="16838"/>
          <w:pgMar w:top="1440" w:right="1304" w:bottom="1440" w:left="1531" w:header="851" w:footer="992" w:gutter="0"/>
          <w:cols w:space="720" w:num="1"/>
          <w:docGrid w:linePitch="312" w:charSpace="0"/>
        </w:sectPr>
      </w:pPr>
    </w:p>
    <w:p>
      <w:pPr>
        <w:spacing w:line="360" w:lineRule="auto"/>
        <w:jc w:val="center"/>
        <w:rPr>
          <w:rFonts w:ascii="宋体" w:hAnsi="宋体" w:cs="宋体"/>
          <w:b/>
          <w:kern w:val="0"/>
          <w:sz w:val="32"/>
          <w:szCs w:val="32"/>
          <w:lang w:val="zh-CN"/>
        </w:rPr>
      </w:pPr>
      <w:r>
        <w:rPr>
          <w:rFonts w:hint="eastAsia" w:ascii="宋体" w:hAnsi="宋体" w:cs="宋体"/>
          <w:b/>
          <w:kern w:val="0"/>
          <w:sz w:val="32"/>
          <w:szCs w:val="32"/>
          <w:lang w:val="zh-CN"/>
        </w:rPr>
        <w:t>（</w:t>
      </w:r>
      <w:r>
        <w:rPr>
          <w:rFonts w:hint="eastAsia" w:ascii="宋体" w:hAnsi="宋体" w:cs="宋体"/>
          <w:b/>
          <w:kern w:val="0"/>
          <w:sz w:val="32"/>
          <w:szCs w:val="32"/>
        </w:rPr>
        <w:t>9）</w:t>
      </w:r>
      <w:r>
        <w:rPr>
          <w:rFonts w:hint="eastAsia" w:ascii="宋体" w:hAnsi="宋体" w:cs="宋体"/>
          <w:b/>
          <w:kern w:val="0"/>
          <w:sz w:val="32"/>
          <w:szCs w:val="32"/>
          <w:lang w:val="zh-CN"/>
        </w:rPr>
        <w:t>安全防护措施方案</w:t>
      </w:r>
    </w:p>
    <w:p>
      <w:pPr>
        <w:spacing w:line="360" w:lineRule="auto"/>
        <w:rPr>
          <w:rFonts w:ascii="宋体" w:hAnsi="宋体" w:cs="宋体"/>
          <w:bCs/>
        </w:rPr>
      </w:pPr>
      <w:r>
        <w:rPr>
          <w:rFonts w:hint="eastAsia" w:ascii="宋体" w:hAnsi="宋体" w:cs="宋体"/>
        </w:rPr>
        <w:t>项目编号：</w:t>
      </w:r>
    </w:p>
    <w:tbl>
      <w:tblPr>
        <w:tblStyle w:val="20"/>
        <w:tblW w:w="9214"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921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587" w:hRule="atLeast"/>
        </w:trPr>
        <w:tc>
          <w:tcPr>
            <w:tcW w:w="9214" w:type="dxa"/>
            <w:noWrap/>
            <w:vAlign w:val="center"/>
          </w:tcPr>
          <w:p>
            <w:pPr>
              <w:spacing w:line="360" w:lineRule="auto"/>
              <w:rPr>
                <w:rFonts w:ascii="宋体" w:hAnsi="宋体" w:cs="宋体"/>
              </w:rPr>
            </w:pPr>
          </w:p>
          <w:p>
            <w:pPr>
              <w:spacing w:line="360" w:lineRule="auto"/>
              <w:jc w:val="center"/>
              <w:rPr>
                <w:rFonts w:ascii="宋体" w:hAnsi="宋体" w:cs="宋体"/>
              </w:rPr>
            </w:pPr>
            <w:r>
              <w:rPr>
                <w:rFonts w:hint="eastAsia" w:ascii="宋体" w:hAnsi="宋体" w:cs="宋体"/>
              </w:rPr>
              <w:t>（格式自拟）</w:t>
            </w:r>
          </w:p>
          <w:p>
            <w:pPr>
              <w:spacing w:line="360" w:lineRule="auto"/>
              <w:ind w:left="5250" w:leftChars="2500"/>
              <w:rPr>
                <w:rFonts w:ascii="宋体" w:hAnsi="宋体" w:cs="宋体"/>
                <w:b/>
                <w:bCs/>
              </w:rPr>
            </w:pPr>
          </w:p>
        </w:tc>
      </w:tr>
    </w:tbl>
    <w:p>
      <w:pPr>
        <w:spacing w:line="360" w:lineRule="auto"/>
        <w:rPr>
          <w:rFonts w:ascii="宋体" w:hAnsi="宋体" w:cs="宋体"/>
          <w:sz w:val="24"/>
        </w:rPr>
      </w:pPr>
      <w:r>
        <w:rPr>
          <w:rFonts w:hint="eastAsia" w:ascii="宋体" w:hAnsi="宋体" w:cs="宋体"/>
          <w:sz w:val="24"/>
        </w:rPr>
        <w:t>投标供应商全称（公章或CA章）：</w:t>
      </w:r>
    </w:p>
    <w:p>
      <w:pPr>
        <w:spacing w:line="360" w:lineRule="auto"/>
        <w:rPr>
          <w:rFonts w:ascii="宋体" w:hAnsi="宋体" w:cs="宋体"/>
          <w:bCs/>
          <w:sz w:val="24"/>
        </w:rPr>
      </w:pPr>
      <w:r>
        <w:rPr>
          <w:rFonts w:hint="eastAsia" w:ascii="宋体" w:hAnsi="宋体" w:cs="宋体"/>
          <w:sz w:val="24"/>
        </w:rPr>
        <w:t>日期：年月日</w:t>
      </w:r>
    </w:p>
    <w:p>
      <w:pPr>
        <w:spacing w:line="360" w:lineRule="auto"/>
        <w:jc w:val="center"/>
        <w:rPr>
          <w:rFonts w:ascii="宋体" w:hAnsi="宋体" w:cs="宋体"/>
          <w:b/>
          <w:kern w:val="0"/>
          <w:sz w:val="32"/>
          <w:szCs w:val="32"/>
          <w:lang w:val="zh-CN"/>
        </w:rPr>
        <w:sectPr>
          <w:pgSz w:w="11906" w:h="16838"/>
          <w:pgMar w:top="1440" w:right="1304" w:bottom="1440" w:left="1531" w:header="851" w:footer="992" w:gutter="0"/>
          <w:cols w:space="720" w:num="1"/>
          <w:docGrid w:linePitch="312" w:charSpace="0"/>
        </w:sectPr>
      </w:pPr>
    </w:p>
    <w:p>
      <w:pPr>
        <w:spacing w:line="360" w:lineRule="auto"/>
        <w:jc w:val="center"/>
        <w:rPr>
          <w:rFonts w:ascii="宋体" w:hAnsi="宋体" w:cs="宋体"/>
          <w:b/>
          <w:kern w:val="0"/>
          <w:sz w:val="32"/>
          <w:szCs w:val="32"/>
        </w:rPr>
      </w:pPr>
      <w:r>
        <w:rPr>
          <w:rFonts w:hint="eastAsia" w:ascii="宋体" w:hAnsi="宋体" w:cs="宋体"/>
          <w:b/>
          <w:kern w:val="0"/>
          <w:sz w:val="32"/>
          <w:szCs w:val="32"/>
          <w:lang w:val="zh-CN"/>
        </w:rPr>
        <w:t>（</w:t>
      </w:r>
      <w:r>
        <w:rPr>
          <w:rFonts w:hint="eastAsia" w:ascii="宋体" w:hAnsi="宋体" w:cs="宋体"/>
          <w:b/>
          <w:kern w:val="0"/>
          <w:sz w:val="32"/>
          <w:szCs w:val="32"/>
        </w:rPr>
        <w:t>10）</w:t>
      </w:r>
      <w:r>
        <w:rPr>
          <w:rFonts w:hint="eastAsia" w:ascii="宋体" w:hAnsi="宋体" w:cs="宋体"/>
          <w:b/>
          <w:kern w:val="0"/>
          <w:sz w:val="32"/>
          <w:szCs w:val="32"/>
          <w:lang w:val="zh-CN"/>
        </w:rPr>
        <w:t>项目“设备材料制作”</w:t>
      </w:r>
      <w:r>
        <w:rPr>
          <w:rFonts w:hint="eastAsia" w:ascii="宋体" w:hAnsi="宋体" w:cs="宋体"/>
          <w:b/>
          <w:kern w:val="0"/>
          <w:sz w:val="32"/>
          <w:szCs w:val="32"/>
        </w:rPr>
        <w:t>情况</w:t>
      </w:r>
    </w:p>
    <w:p>
      <w:pPr>
        <w:spacing w:line="360" w:lineRule="auto"/>
        <w:rPr>
          <w:rFonts w:ascii="宋体" w:hAnsi="宋体" w:cs="宋体"/>
          <w:bCs/>
        </w:rPr>
      </w:pPr>
      <w:r>
        <w:rPr>
          <w:rFonts w:hint="eastAsia" w:ascii="宋体" w:hAnsi="宋体" w:cs="宋体"/>
        </w:rPr>
        <w:t>项目编号：</w:t>
      </w:r>
    </w:p>
    <w:tbl>
      <w:tblPr>
        <w:tblStyle w:val="20"/>
        <w:tblW w:w="9214"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921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587" w:hRule="atLeast"/>
        </w:trPr>
        <w:tc>
          <w:tcPr>
            <w:tcW w:w="9214" w:type="dxa"/>
            <w:noWrap/>
            <w:vAlign w:val="center"/>
          </w:tcPr>
          <w:p>
            <w:pPr>
              <w:spacing w:line="360" w:lineRule="auto"/>
              <w:rPr>
                <w:rFonts w:ascii="宋体" w:hAnsi="宋体" w:cs="宋体"/>
              </w:rPr>
            </w:pPr>
          </w:p>
          <w:p>
            <w:pPr>
              <w:spacing w:line="360" w:lineRule="auto"/>
              <w:jc w:val="center"/>
              <w:rPr>
                <w:rFonts w:ascii="宋体" w:hAnsi="宋体" w:cs="宋体"/>
              </w:rPr>
            </w:pPr>
            <w:r>
              <w:rPr>
                <w:rFonts w:hint="eastAsia" w:ascii="宋体" w:hAnsi="宋体" w:cs="宋体"/>
              </w:rPr>
              <w:t>（格式自拟）</w:t>
            </w:r>
          </w:p>
          <w:p>
            <w:pPr>
              <w:spacing w:line="360" w:lineRule="auto"/>
              <w:ind w:left="5250" w:leftChars="2500"/>
              <w:rPr>
                <w:rFonts w:ascii="宋体" w:hAnsi="宋体" w:cs="宋体"/>
                <w:b/>
                <w:bCs/>
              </w:rPr>
            </w:pPr>
          </w:p>
        </w:tc>
      </w:tr>
    </w:tbl>
    <w:p>
      <w:pPr>
        <w:spacing w:line="360" w:lineRule="auto"/>
        <w:rPr>
          <w:rFonts w:ascii="宋体" w:hAnsi="宋体" w:cs="宋体"/>
          <w:sz w:val="24"/>
        </w:rPr>
      </w:pPr>
      <w:r>
        <w:rPr>
          <w:rFonts w:hint="eastAsia" w:ascii="宋体" w:hAnsi="宋体" w:cs="宋体"/>
          <w:sz w:val="24"/>
        </w:rPr>
        <w:t>投标供应商全称（公章或CA章）：</w:t>
      </w:r>
    </w:p>
    <w:p>
      <w:pPr>
        <w:spacing w:line="360" w:lineRule="auto"/>
        <w:rPr>
          <w:rFonts w:ascii="宋体" w:hAnsi="宋体" w:cs="宋体"/>
          <w:bCs/>
          <w:sz w:val="24"/>
        </w:rPr>
      </w:pPr>
      <w:r>
        <w:rPr>
          <w:rFonts w:hint="eastAsia" w:ascii="宋体" w:hAnsi="宋体" w:cs="宋体"/>
          <w:sz w:val="24"/>
        </w:rPr>
        <w:t>日期：年月日</w:t>
      </w:r>
    </w:p>
    <w:p>
      <w:pPr>
        <w:spacing w:line="360" w:lineRule="auto"/>
        <w:jc w:val="center"/>
        <w:rPr>
          <w:rFonts w:ascii="宋体" w:hAnsi="宋体" w:cs="宋体"/>
          <w:b/>
          <w:kern w:val="0"/>
          <w:sz w:val="32"/>
          <w:szCs w:val="32"/>
        </w:rPr>
        <w:sectPr>
          <w:pgSz w:w="11906" w:h="16838"/>
          <w:pgMar w:top="1440" w:right="1304" w:bottom="1440" w:left="1531" w:header="851" w:footer="992" w:gutter="0"/>
          <w:cols w:space="720" w:num="1"/>
          <w:docGrid w:linePitch="312" w:charSpace="0"/>
        </w:sectPr>
      </w:pPr>
    </w:p>
    <w:p>
      <w:pPr>
        <w:spacing w:line="360" w:lineRule="auto"/>
        <w:jc w:val="center"/>
        <w:rPr>
          <w:rFonts w:ascii="宋体" w:hAnsi="宋体" w:cs="宋体"/>
          <w:b/>
          <w:kern w:val="0"/>
          <w:sz w:val="32"/>
          <w:szCs w:val="32"/>
        </w:rPr>
      </w:pPr>
      <w:r>
        <w:rPr>
          <w:rFonts w:hint="eastAsia" w:ascii="宋体" w:hAnsi="宋体" w:cs="宋体"/>
          <w:b/>
          <w:kern w:val="0"/>
          <w:sz w:val="32"/>
          <w:szCs w:val="32"/>
        </w:rPr>
        <w:t>（11）</w:t>
      </w:r>
      <w:r>
        <w:rPr>
          <w:rFonts w:hint="eastAsia" w:ascii="宋体" w:hAnsi="宋体" w:cs="宋体"/>
          <w:b/>
          <w:kern w:val="0"/>
          <w:sz w:val="32"/>
          <w:szCs w:val="32"/>
          <w:lang w:val="zh-CN"/>
        </w:rPr>
        <w:t>设施巡查方案</w:t>
      </w:r>
    </w:p>
    <w:p>
      <w:pPr>
        <w:spacing w:line="360" w:lineRule="auto"/>
        <w:rPr>
          <w:rFonts w:ascii="宋体" w:hAnsi="宋体" w:cs="宋体"/>
          <w:bCs/>
        </w:rPr>
      </w:pPr>
      <w:r>
        <w:rPr>
          <w:rFonts w:hint="eastAsia" w:ascii="宋体" w:hAnsi="宋体" w:cs="宋体"/>
        </w:rPr>
        <w:t>项目编号：</w:t>
      </w:r>
    </w:p>
    <w:tbl>
      <w:tblPr>
        <w:tblStyle w:val="20"/>
        <w:tblW w:w="9214"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921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587" w:hRule="atLeast"/>
        </w:trPr>
        <w:tc>
          <w:tcPr>
            <w:tcW w:w="9214" w:type="dxa"/>
            <w:noWrap/>
            <w:vAlign w:val="center"/>
          </w:tcPr>
          <w:p>
            <w:pPr>
              <w:spacing w:line="360" w:lineRule="auto"/>
              <w:rPr>
                <w:rFonts w:ascii="宋体" w:hAnsi="宋体" w:cs="宋体"/>
              </w:rPr>
            </w:pPr>
          </w:p>
          <w:p>
            <w:pPr>
              <w:spacing w:line="360" w:lineRule="auto"/>
              <w:jc w:val="center"/>
              <w:rPr>
                <w:rFonts w:ascii="宋体" w:hAnsi="宋体" w:cs="宋体"/>
              </w:rPr>
            </w:pPr>
            <w:r>
              <w:rPr>
                <w:rFonts w:hint="eastAsia" w:ascii="宋体" w:hAnsi="宋体" w:cs="宋体"/>
              </w:rPr>
              <w:t>（格式自拟）</w:t>
            </w:r>
          </w:p>
          <w:p>
            <w:pPr>
              <w:spacing w:line="360" w:lineRule="auto"/>
              <w:ind w:left="5250" w:leftChars="2500"/>
              <w:rPr>
                <w:rFonts w:ascii="宋体" w:hAnsi="宋体" w:cs="宋体"/>
                <w:b/>
                <w:bCs/>
              </w:rPr>
            </w:pPr>
          </w:p>
        </w:tc>
      </w:tr>
    </w:tbl>
    <w:p>
      <w:pPr>
        <w:spacing w:line="360" w:lineRule="auto"/>
        <w:rPr>
          <w:rFonts w:ascii="宋体" w:hAnsi="宋体" w:cs="宋体"/>
          <w:sz w:val="24"/>
        </w:rPr>
      </w:pPr>
      <w:r>
        <w:rPr>
          <w:rFonts w:hint="eastAsia" w:ascii="宋体" w:hAnsi="宋体" w:cs="宋体"/>
          <w:sz w:val="24"/>
        </w:rPr>
        <w:t>投标供应商全称（公章或CA章）：</w:t>
      </w:r>
    </w:p>
    <w:p>
      <w:pPr>
        <w:spacing w:line="360" w:lineRule="auto"/>
        <w:rPr>
          <w:rFonts w:ascii="宋体" w:hAnsi="宋体" w:cs="宋体"/>
          <w:bCs/>
          <w:sz w:val="24"/>
        </w:rPr>
      </w:pPr>
      <w:r>
        <w:rPr>
          <w:rFonts w:hint="eastAsia" w:ascii="宋体" w:hAnsi="宋体" w:cs="宋体"/>
          <w:sz w:val="24"/>
        </w:rPr>
        <w:t>日期：年月日</w:t>
      </w:r>
    </w:p>
    <w:p>
      <w:pPr>
        <w:spacing w:line="360" w:lineRule="auto"/>
        <w:jc w:val="center"/>
        <w:rPr>
          <w:rFonts w:ascii="宋体" w:hAnsi="宋体" w:cs="宋体"/>
          <w:b/>
          <w:kern w:val="0"/>
          <w:sz w:val="32"/>
          <w:szCs w:val="32"/>
          <w:lang w:val="zh-CN"/>
        </w:rPr>
        <w:sectPr>
          <w:pgSz w:w="11906" w:h="16838"/>
          <w:pgMar w:top="1440" w:right="1304" w:bottom="1440" w:left="1531" w:header="851" w:footer="992" w:gutter="0"/>
          <w:cols w:space="720" w:num="1"/>
          <w:docGrid w:linePitch="312" w:charSpace="0"/>
        </w:sectPr>
      </w:pPr>
    </w:p>
    <w:p>
      <w:pPr>
        <w:spacing w:line="360" w:lineRule="auto"/>
        <w:jc w:val="center"/>
        <w:rPr>
          <w:rFonts w:ascii="宋体" w:hAnsi="宋体" w:cs="宋体"/>
          <w:b/>
          <w:kern w:val="0"/>
          <w:sz w:val="32"/>
          <w:szCs w:val="32"/>
        </w:rPr>
      </w:pPr>
      <w:r>
        <w:rPr>
          <w:rFonts w:hint="eastAsia" w:ascii="宋体" w:hAnsi="宋体" w:cs="宋体"/>
          <w:b/>
          <w:kern w:val="0"/>
          <w:sz w:val="32"/>
          <w:szCs w:val="32"/>
          <w:lang w:val="zh-CN"/>
        </w:rPr>
        <w:t>（</w:t>
      </w:r>
      <w:r>
        <w:rPr>
          <w:rFonts w:hint="eastAsia" w:ascii="宋体" w:hAnsi="宋体" w:cs="宋体"/>
          <w:b/>
          <w:kern w:val="0"/>
          <w:sz w:val="32"/>
          <w:szCs w:val="32"/>
        </w:rPr>
        <w:t>12）</w:t>
      </w:r>
      <w:r>
        <w:rPr>
          <w:rFonts w:hint="eastAsia" w:ascii="宋体" w:hAnsi="宋体" w:cs="宋体"/>
          <w:b/>
          <w:kern w:val="0"/>
          <w:sz w:val="32"/>
          <w:szCs w:val="32"/>
          <w:lang w:val="zh-CN"/>
        </w:rPr>
        <w:t>项目应急方案</w:t>
      </w:r>
    </w:p>
    <w:p>
      <w:pPr>
        <w:spacing w:line="360" w:lineRule="auto"/>
        <w:rPr>
          <w:rFonts w:ascii="宋体" w:hAnsi="宋体" w:cs="宋体"/>
          <w:bCs/>
        </w:rPr>
      </w:pPr>
      <w:r>
        <w:rPr>
          <w:rFonts w:hint="eastAsia" w:ascii="宋体" w:hAnsi="宋体" w:cs="宋体"/>
        </w:rPr>
        <w:t>项目编号：</w:t>
      </w:r>
    </w:p>
    <w:tbl>
      <w:tblPr>
        <w:tblStyle w:val="20"/>
        <w:tblW w:w="9214"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921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587" w:hRule="atLeast"/>
        </w:trPr>
        <w:tc>
          <w:tcPr>
            <w:tcW w:w="9214" w:type="dxa"/>
            <w:noWrap/>
            <w:vAlign w:val="center"/>
          </w:tcPr>
          <w:p>
            <w:pPr>
              <w:spacing w:line="360" w:lineRule="auto"/>
              <w:rPr>
                <w:rFonts w:ascii="宋体" w:hAnsi="宋体" w:cs="宋体"/>
              </w:rPr>
            </w:pPr>
          </w:p>
          <w:p>
            <w:pPr>
              <w:spacing w:line="360" w:lineRule="auto"/>
              <w:jc w:val="center"/>
              <w:rPr>
                <w:rFonts w:ascii="宋体" w:hAnsi="宋体" w:cs="宋体"/>
              </w:rPr>
            </w:pPr>
            <w:r>
              <w:rPr>
                <w:rFonts w:hint="eastAsia" w:ascii="宋体" w:hAnsi="宋体" w:cs="宋体"/>
              </w:rPr>
              <w:t>（格式自拟）</w:t>
            </w:r>
          </w:p>
          <w:p>
            <w:pPr>
              <w:spacing w:line="360" w:lineRule="auto"/>
              <w:ind w:left="5250" w:leftChars="2500"/>
              <w:rPr>
                <w:rFonts w:ascii="宋体" w:hAnsi="宋体" w:cs="宋体"/>
                <w:b/>
                <w:bCs/>
              </w:rPr>
            </w:pPr>
          </w:p>
        </w:tc>
      </w:tr>
    </w:tbl>
    <w:p>
      <w:pPr>
        <w:spacing w:line="360" w:lineRule="auto"/>
        <w:rPr>
          <w:rFonts w:ascii="宋体" w:hAnsi="宋体" w:cs="宋体"/>
          <w:sz w:val="24"/>
        </w:rPr>
      </w:pPr>
      <w:r>
        <w:rPr>
          <w:rFonts w:hint="eastAsia" w:ascii="宋体" w:hAnsi="宋体" w:cs="宋体"/>
          <w:sz w:val="24"/>
        </w:rPr>
        <w:t>投标供应商全称（公章或CA章）：</w:t>
      </w:r>
    </w:p>
    <w:p>
      <w:pPr>
        <w:spacing w:line="360" w:lineRule="auto"/>
        <w:rPr>
          <w:rFonts w:ascii="宋体" w:hAnsi="宋体" w:cs="宋体"/>
          <w:bCs/>
          <w:sz w:val="24"/>
        </w:rPr>
      </w:pPr>
      <w:r>
        <w:rPr>
          <w:rFonts w:hint="eastAsia" w:ascii="宋体" w:hAnsi="宋体" w:cs="宋体"/>
          <w:sz w:val="24"/>
        </w:rPr>
        <w:t>日期：年月日</w:t>
      </w:r>
    </w:p>
    <w:p>
      <w:pPr>
        <w:spacing w:line="360" w:lineRule="auto"/>
        <w:jc w:val="center"/>
        <w:rPr>
          <w:rFonts w:ascii="宋体" w:hAnsi="宋体" w:cs="宋体"/>
          <w:b/>
          <w:kern w:val="0"/>
          <w:sz w:val="32"/>
          <w:szCs w:val="32"/>
          <w:lang w:val="zh-CN"/>
        </w:rPr>
        <w:sectPr>
          <w:pgSz w:w="11906" w:h="16838"/>
          <w:pgMar w:top="1440" w:right="1304" w:bottom="1440" w:left="1531" w:header="851" w:footer="992" w:gutter="0"/>
          <w:cols w:space="720" w:num="1"/>
          <w:docGrid w:linePitch="312" w:charSpace="0"/>
        </w:sectPr>
      </w:pPr>
    </w:p>
    <w:p>
      <w:pPr>
        <w:spacing w:line="360" w:lineRule="auto"/>
        <w:jc w:val="center"/>
        <w:rPr>
          <w:rFonts w:ascii="宋体" w:hAnsi="宋体" w:cs="宋体"/>
          <w:b/>
          <w:kern w:val="0"/>
          <w:sz w:val="32"/>
          <w:szCs w:val="32"/>
          <w:lang w:val="zh-CN"/>
        </w:rPr>
      </w:pPr>
      <w:r>
        <w:rPr>
          <w:rFonts w:hint="eastAsia" w:ascii="宋体" w:hAnsi="宋体" w:cs="宋体"/>
          <w:b/>
          <w:kern w:val="0"/>
          <w:sz w:val="32"/>
          <w:szCs w:val="32"/>
          <w:lang w:val="zh-CN"/>
        </w:rPr>
        <w:t>（</w:t>
      </w:r>
      <w:r>
        <w:rPr>
          <w:rFonts w:hint="eastAsia" w:ascii="宋体" w:hAnsi="宋体" w:cs="宋体"/>
          <w:b/>
          <w:kern w:val="0"/>
          <w:sz w:val="32"/>
          <w:szCs w:val="32"/>
        </w:rPr>
        <w:t>13）</w:t>
      </w:r>
      <w:r>
        <w:rPr>
          <w:rFonts w:hint="eastAsia" w:ascii="宋体" w:hAnsi="宋体" w:cs="宋体"/>
          <w:b/>
          <w:kern w:val="0"/>
          <w:sz w:val="32"/>
          <w:szCs w:val="32"/>
          <w:lang w:val="zh-CN"/>
        </w:rPr>
        <w:t>项目备品备件情况</w:t>
      </w:r>
    </w:p>
    <w:p>
      <w:pPr>
        <w:spacing w:line="360" w:lineRule="auto"/>
        <w:rPr>
          <w:rFonts w:ascii="宋体" w:hAnsi="宋体" w:cs="宋体"/>
          <w:bCs/>
        </w:rPr>
      </w:pPr>
      <w:r>
        <w:rPr>
          <w:rFonts w:hint="eastAsia" w:ascii="宋体" w:hAnsi="宋体" w:cs="宋体"/>
        </w:rPr>
        <w:t>项目编号：</w:t>
      </w:r>
    </w:p>
    <w:tbl>
      <w:tblPr>
        <w:tblStyle w:val="20"/>
        <w:tblW w:w="9214"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921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587" w:hRule="atLeast"/>
        </w:trPr>
        <w:tc>
          <w:tcPr>
            <w:tcW w:w="9214" w:type="dxa"/>
            <w:noWrap/>
            <w:vAlign w:val="center"/>
          </w:tcPr>
          <w:p>
            <w:pPr>
              <w:spacing w:line="360" w:lineRule="auto"/>
              <w:rPr>
                <w:rFonts w:ascii="宋体" w:hAnsi="宋体" w:cs="宋体"/>
              </w:rPr>
            </w:pPr>
          </w:p>
          <w:p>
            <w:pPr>
              <w:spacing w:line="360" w:lineRule="auto"/>
              <w:jc w:val="center"/>
              <w:rPr>
                <w:rFonts w:ascii="宋体" w:hAnsi="宋体" w:cs="宋体"/>
              </w:rPr>
            </w:pPr>
            <w:r>
              <w:rPr>
                <w:rFonts w:hint="eastAsia" w:ascii="宋体" w:hAnsi="宋体" w:cs="宋体"/>
              </w:rPr>
              <w:t>（格式自拟）</w:t>
            </w:r>
          </w:p>
          <w:p>
            <w:pPr>
              <w:spacing w:line="360" w:lineRule="auto"/>
              <w:ind w:left="5250" w:leftChars="2500"/>
              <w:rPr>
                <w:rFonts w:ascii="宋体" w:hAnsi="宋体" w:cs="宋体"/>
                <w:b/>
                <w:bCs/>
              </w:rPr>
            </w:pPr>
          </w:p>
        </w:tc>
      </w:tr>
    </w:tbl>
    <w:p>
      <w:pPr>
        <w:spacing w:line="360" w:lineRule="auto"/>
        <w:rPr>
          <w:rFonts w:ascii="宋体" w:hAnsi="宋体" w:cs="宋体"/>
          <w:sz w:val="24"/>
        </w:rPr>
      </w:pPr>
      <w:r>
        <w:rPr>
          <w:rFonts w:hint="eastAsia" w:ascii="宋体" w:hAnsi="宋体" w:cs="宋体"/>
          <w:sz w:val="24"/>
        </w:rPr>
        <w:t>投标供应商全称（公章或CA章）：</w:t>
      </w:r>
    </w:p>
    <w:p>
      <w:pPr>
        <w:spacing w:line="360" w:lineRule="auto"/>
        <w:rPr>
          <w:rFonts w:ascii="宋体" w:hAnsi="宋体" w:cs="宋体"/>
          <w:bCs/>
          <w:sz w:val="24"/>
        </w:rPr>
      </w:pPr>
      <w:r>
        <w:rPr>
          <w:rFonts w:hint="eastAsia" w:ascii="宋体" w:hAnsi="宋体" w:cs="宋体"/>
          <w:sz w:val="24"/>
        </w:rPr>
        <w:t>日期：年月日</w:t>
      </w:r>
    </w:p>
    <w:p>
      <w:pPr>
        <w:widowControl/>
        <w:jc w:val="center"/>
        <w:rPr>
          <w:rFonts w:ascii="宋体" w:hAnsi="宋体" w:cs="宋体"/>
          <w:b/>
          <w:kern w:val="0"/>
          <w:sz w:val="32"/>
          <w:szCs w:val="32"/>
        </w:rPr>
        <w:sectPr>
          <w:pgSz w:w="11906" w:h="16838"/>
          <w:pgMar w:top="1440" w:right="1304" w:bottom="1440" w:left="1531" w:header="851" w:footer="992" w:gutter="0"/>
          <w:cols w:space="720" w:num="1"/>
          <w:docGrid w:linePitch="312" w:charSpace="0"/>
        </w:sectPr>
      </w:pPr>
    </w:p>
    <w:p>
      <w:pPr>
        <w:widowControl/>
        <w:jc w:val="center"/>
      </w:pPr>
      <w:r>
        <w:rPr>
          <w:rFonts w:hint="eastAsia" w:ascii="宋体" w:hAnsi="宋体" w:cs="宋体"/>
          <w:b/>
          <w:kern w:val="0"/>
          <w:sz w:val="32"/>
          <w:szCs w:val="32"/>
        </w:rPr>
        <w:t>（14）</w:t>
      </w:r>
      <w:r>
        <w:rPr>
          <w:rFonts w:hint="eastAsia" w:ascii="宋体" w:hAnsi="宋体" w:cs="宋体"/>
          <w:b/>
          <w:bCs/>
          <w:color w:val="000000"/>
          <w:kern w:val="0"/>
          <w:sz w:val="31"/>
          <w:szCs w:val="31"/>
        </w:rPr>
        <w:t>项目履行承诺</w:t>
      </w:r>
    </w:p>
    <w:p>
      <w:pPr>
        <w:spacing w:line="360" w:lineRule="auto"/>
        <w:rPr>
          <w:rFonts w:ascii="宋体" w:hAnsi="宋体" w:cs="宋体"/>
          <w:bCs/>
        </w:rPr>
      </w:pPr>
      <w:r>
        <w:rPr>
          <w:rFonts w:hint="eastAsia" w:ascii="宋体" w:hAnsi="宋体" w:cs="宋体"/>
        </w:rPr>
        <w:t>项目编号：</w:t>
      </w:r>
    </w:p>
    <w:tbl>
      <w:tblPr>
        <w:tblStyle w:val="20"/>
        <w:tblW w:w="9214" w:type="dxa"/>
        <w:tblInd w:w="10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921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587" w:hRule="atLeast"/>
        </w:trPr>
        <w:tc>
          <w:tcPr>
            <w:tcW w:w="9214" w:type="dxa"/>
            <w:noWrap/>
            <w:vAlign w:val="center"/>
          </w:tcPr>
          <w:p>
            <w:pPr>
              <w:spacing w:line="360" w:lineRule="auto"/>
              <w:rPr>
                <w:rFonts w:ascii="宋体" w:hAnsi="宋体" w:cs="宋体"/>
              </w:rPr>
            </w:pPr>
          </w:p>
          <w:p>
            <w:pPr>
              <w:spacing w:line="360" w:lineRule="auto"/>
              <w:jc w:val="center"/>
              <w:rPr>
                <w:rFonts w:ascii="宋体" w:hAnsi="宋体" w:cs="宋体"/>
              </w:rPr>
            </w:pPr>
            <w:r>
              <w:rPr>
                <w:rFonts w:hint="eastAsia" w:ascii="宋体" w:hAnsi="宋体" w:cs="宋体"/>
              </w:rPr>
              <w:t>（格式自拟）</w:t>
            </w:r>
          </w:p>
          <w:p>
            <w:pPr>
              <w:spacing w:line="360" w:lineRule="auto"/>
              <w:ind w:left="5250" w:leftChars="2500"/>
              <w:rPr>
                <w:rFonts w:ascii="宋体" w:hAnsi="宋体" w:cs="宋体"/>
                <w:b/>
                <w:bCs/>
              </w:rPr>
            </w:pPr>
          </w:p>
        </w:tc>
      </w:tr>
    </w:tbl>
    <w:p>
      <w:pPr>
        <w:spacing w:line="360" w:lineRule="auto"/>
        <w:rPr>
          <w:rFonts w:ascii="宋体" w:hAnsi="宋体" w:cs="宋体"/>
          <w:sz w:val="24"/>
        </w:rPr>
      </w:pPr>
      <w:r>
        <w:rPr>
          <w:rFonts w:hint="eastAsia" w:ascii="宋体" w:hAnsi="宋体" w:cs="宋体"/>
          <w:sz w:val="24"/>
        </w:rPr>
        <w:t>投标供应商全称（公章或CA章）：</w:t>
      </w:r>
    </w:p>
    <w:p>
      <w:pPr>
        <w:spacing w:line="360" w:lineRule="auto"/>
        <w:rPr>
          <w:rFonts w:ascii="宋体" w:hAnsi="宋体" w:cs="宋体"/>
          <w:bCs/>
          <w:sz w:val="24"/>
        </w:rPr>
      </w:pPr>
      <w:r>
        <w:rPr>
          <w:rFonts w:hint="eastAsia" w:ascii="宋体" w:hAnsi="宋体" w:cs="宋体"/>
          <w:sz w:val="24"/>
        </w:rPr>
        <w:t>日期：年月日</w:t>
      </w:r>
    </w:p>
    <w:p>
      <w:pPr>
        <w:spacing w:line="360" w:lineRule="auto"/>
        <w:jc w:val="center"/>
        <w:rPr>
          <w:rFonts w:ascii="宋体" w:hAnsi="宋体" w:cs="宋体"/>
          <w:b/>
          <w:kern w:val="0"/>
          <w:sz w:val="32"/>
          <w:szCs w:val="32"/>
        </w:rPr>
        <w:sectPr>
          <w:pgSz w:w="11906" w:h="16838"/>
          <w:pgMar w:top="1440" w:right="1304" w:bottom="1440" w:left="1531" w:header="851" w:footer="992" w:gutter="0"/>
          <w:cols w:space="720" w:num="1"/>
          <w:docGrid w:linePitch="312" w:charSpace="0"/>
        </w:sectPr>
      </w:pPr>
    </w:p>
    <w:p>
      <w:pPr>
        <w:spacing w:line="360" w:lineRule="auto"/>
        <w:jc w:val="center"/>
        <w:rPr>
          <w:rFonts w:ascii="宋体" w:hAnsi="宋体" w:cs="宋体"/>
        </w:rPr>
      </w:pPr>
      <w:r>
        <w:rPr>
          <w:rFonts w:hint="eastAsia" w:ascii="宋体" w:hAnsi="宋体" w:cs="宋体"/>
          <w:b/>
          <w:kern w:val="0"/>
          <w:sz w:val="32"/>
          <w:szCs w:val="32"/>
        </w:rPr>
        <w:t>（15）评标标准相应的商务技术资料</w:t>
      </w:r>
    </w:p>
    <w:p>
      <w:pPr>
        <w:snapToGrid w:val="0"/>
        <w:spacing w:line="360" w:lineRule="auto"/>
        <w:jc w:val="left"/>
        <w:rPr>
          <w:rFonts w:ascii="宋体" w:hAnsi="宋体" w:cs="宋体"/>
          <w:b/>
          <w:sz w:val="24"/>
        </w:rPr>
      </w:pPr>
      <w:r>
        <w:rPr>
          <w:rFonts w:hint="eastAsia" w:ascii="宋体" w:hAnsi="宋体" w:cs="宋体"/>
          <w:b/>
          <w:sz w:val="24"/>
        </w:rPr>
        <w:t>（按招标文件评标办法前附表中“投标文件中评标标准相应的商务技术资料目录”提供资料。）</w:t>
      </w:r>
    </w:p>
    <w:p>
      <w:pPr>
        <w:snapToGrid w:val="0"/>
        <w:spacing w:line="360" w:lineRule="auto"/>
        <w:jc w:val="left"/>
        <w:rPr>
          <w:rFonts w:ascii="宋体" w:hAnsi="宋体" w:cs="宋体"/>
          <w:b/>
          <w:sz w:val="24"/>
        </w:rPr>
      </w:pPr>
    </w:p>
    <w:p>
      <w:pPr>
        <w:pStyle w:val="11"/>
        <w:spacing w:line="360" w:lineRule="auto"/>
        <w:rPr>
          <w:rFonts w:hAnsi="宋体" w:cs="宋体"/>
          <w:b/>
          <w:sz w:val="24"/>
        </w:rPr>
      </w:pPr>
    </w:p>
    <w:p>
      <w:pPr>
        <w:spacing w:line="360" w:lineRule="auto"/>
        <w:rPr>
          <w:rFonts w:ascii="宋体" w:hAnsi="宋体" w:cs="宋体"/>
        </w:rPr>
      </w:pPr>
    </w:p>
    <w:p>
      <w:pPr>
        <w:spacing w:line="360" w:lineRule="auto"/>
        <w:jc w:val="right"/>
        <w:rPr>
          <w:rFonts w:ascii="宋体" w:hAnsi="宋体" w:cs="宋体"/>
          <w:sz w:val="24"/>
        </w:rPr>
      </w:pPr>
      <w:r>
        <w:rPr>
          <w:rFonts w:hint="eastAsia" w:ascii="宋体" w:hAnsi="宋体" w:cs="宋体"/>
          <w:sz w:val="24"/>
        </w:rPr>
        <w:t>投标供应商全称（公章或CA章）：</w:t>
      </w:r>
    </w:p>
    <w:p>
      <w:pPr>
        <w:spacing w:line="360" w:lineRule="auto"/>
        <w:jc w:val="right"/>
        <w:rPr>
          <w:rFonts w:ascii="宋体" w:hAnsi="宋体" w:cs="宋体"/>
          <w:bCs/>
          <w:sz w:val="24"/>
        </w:rPr>
      </w:pPr>
      <w:r>
        <w:rPr>
          <w:rFonts w:hint="eastAsia" w:ascii="宋体" w:hAnsi="宋体" w:cs="宋体"/>
          <w:sz w:val="24"/>
        </w:rPr>
        <w:t>日期：年月日</w:t>
      </w:r>
    </w:p>
    <w:p>
      <w:pPr>
        <w:spacing w:line="360" w:lineRule="auto"/>
        <w:jc w:val="center"/>
        <w:rPr>
          <w:rFonts w:ascii="宋体" w:hAnsi="宋体" w:cs="宋体"/>
          <w:b/>
          <w:bCs/>
          <w:sz w:val="36"/>
          <w:szCs w:val="36"/>
        </w:rPr>
      </w:pPr>
    </w:p>
    <w:p>
      <w:pPr>
        <w:spacing w:line="360" w:lineRule="auto"/>
        <w:jc w:val="center"/>
        <w:rPr>
          <w:rFonts w:ascii="宋体" w:hAnsi="宋体" w:cs="宋体"/>
          <w:b/>
          <w:sz w:val="36"/>
          <w:szCs w:val="36"/>
        </w:rPr>
      </w:pPr>
      <w:r>
        <w:rPr>
          <w:rFonts w:hint="eastAsia" w:ascii="宋体" w:hAnsi="宋体" w:cs="宋体"/>
          <w:b/>
          <w:bCs/>
          <w:sz w:val="36"/>
          <w:szCs w:val="36"/>
        </w:rPr>
        <w:br w:type="page"/>
      </w:r>
    </w:p>
    <w:p>
      <w:pPr>
        <w:snapToGrid w:val="0"/>
        <w:spacing w:before="50" w:after="50" w:line="360" w:lineRule="auto"/>
        <w:rPr>
          <w:rFonts w:ascii="宋体" w:hAnsi="宋体" w:cs="宋体"/>
          <w:b/>
          <w:sz w:val="36"/>
          <w:szCs w:val="36"/>
        </w:rPr>
      </w:pPr>
      <w:r>
        <w:rPr>
          <w:rFonts w:hint="eastAsia" w:ascii="宋体" w:hAnsi="宋体" w:cs="宋体"/>
          <w:b/>
          <w:sz w:val="36"/>
          <w:szCs w:val="36"/>
        </w:rPr>
        <w:t>3、报价文件目录</w:t>
      </w:r>
    </w:p>
    <w:p>
      <w:pPr>
        <w:snapToGrid w:val="0"/>
        <w:spacing w:before="50" w:after="50" w:line="360" w:lineRule="auto"/>
        <w:ind w:firstLine="420" w:firstLineChars="150"/>
        <w:rPr>
          <w:rFonts w:ascii="宋体" w:hAnsi="宋体" w:cs="宋体"/>
          <w:sz w:val="28"/>
          <w:szCs w:val="28"/>
        </w:rPr>
      </w:pPr>
    </w:p>
    <w:p>
      <w:pPr>
        <w:snapToGrid w:val="0"/>
        <w:spacing w:before="50" w:after="50" w:line="360" w:lineRule="auto"/>
        <w:ind w:firstLine="700" w:firstLineChars="250"/>
        <w:rPr>
          <w:rFonts w:ascii="宋体" w:hAnsi="宋体" w:cs="宋体"/>
          <w:sz w:val="28"/>
          <w:szCs w:val="28"/>
        </w:rPr>
      </w:pPr>
      <w:r>
        <w:rPr>
          <w:rFonts w:hint="eastAsia" w:ascii="宋体" w:hAnsi="宋体" w:cs="宋体"/>
          <w:sz w:val="28"/>
          <w:szCs w:val="28"/>
        </w:rPr>
        <w:t>（1）开标一览表</w:t>
      </w:r>
      <w:r>
        <w:rPr>
          <w:rFonts w:hint="eastAsia" w:ascii="宋体" w:hAnsi="宋体" w:cs="宋体"/>
          <w:sz w:val="28"/>
          <w:szCs w:val="28"/>
          <w:lang w:val="zh-CN"/>
        </w:rPr>
        <w:t>（报价表）</w:t>
      </w:r>
    </w:p>
    <w:p>
      <w:pPr>
        <w:snapToGrid w:val="0"/>
        <w:spacing w:before="50" w:after="50" w:line="360" w:lineRule="auto"/>
        <w:ind w:firstLine="840" w:firstLineChars="300"/>
        <w:rPr>
          <w:rFonts w:ascii="宋体" w:hAnsi="宋体" w:cs="宋体"/>
          <w:sz w:val="28"/>
          <w:szCs w:val="28"/>
        </w:rPr>
      </w:pPr>
      <w:r>
        <w:rPr>
          <w:rFonts w:hint="eastAsia" w:ascii="宋体" w:hAnsi="宋体" w:cs="宋体"/>
          <w:sz w:val="28"/>
          <w:szCs w:val="28"/>
        </w:rPr>
        <w:t>(2) 分项报价表</w:t>
      </w:r>
    </w:p>
    <w:p>
      <w:pPr>
        <w:snapToGrid w:val="0"/>
        <w:spacing w:line="360" w:lineRule="auto"/>
        <w:ind w:firstLine="548" w:firstLineChars="196"/>
        <w:jc w:val="left"/>
        <w:rPr>
          <w:rFonts w:ascii="宋体" w:hAnsi="宋体" w:cs="宋体"/>
          <w:sz w:val="28"/>
          <w:szCs w:val="28"/>
          <w:lang w:val="zh-CN"/>
        </w:rPr>
      </w:pPr>
      <w:r>
        <w:rPr>
          <w:rFonts w:hint="eastAsia" w:ascii="宋体" w:hAnsi="宋体" w:cs="宋体"/>
          <w:sz w:val="28"/>
          <w:szCs w:val="28"/>
        </w:rPr>
        <w:t>（3）中小企业声明函</w:t>
      </w:r>
      <w:r>
        <w:rPr>
          <w:rFonts w:hint="eastAsia" w:ascii="宋体" w:hAnsi="宋体" w:cs="宋体"/>
          <w:sz w:val="28"/>
          <w:szCs w:val="28"/>
          <w:lang w:val="zh-CN"/>
        </w:rPr>
        <w:t>（如果有）</w:t>
      </w:r>
    </w:p>
    <w:p>
      <w:pPr>
        <w:snapToGrid w:val="0"/>
        <w:spacing w:line="360" w:lineRule="auto"/>
        <w:ind w:firstLine="548" w:firstLineChars="196"/>
        <w:jc w:val="left"/>
        <w:rPr>
          <w:rFonts w:ascii="宋体" w:hAnsi="宋体" w:cs="宋体"/>
          <w:sz w:val="28"/>
          <w:szCs w:val="28"/>
        </w:rPr>
      </w:pPr>
      <w:r>
        <w:rPr>
          <w:rFonts w:hint="eastAsia" w:ascii="宋体" w:hAnsi="宋体" w:cs="宋体"/>
          <w:sz w:val="28"/>
          <w:szCs w:val="28"/>
        </w:rPr>
        <w:t>（4）残疾人福利性单位声明函（如有）</w:t>
      </w:r>
    </w:p>
    <w:p>
      <w:pPr>
        <w:snapToGrid w:val="0"/>
        <w:spacing w:line="360" w:lineRule="auto"/>
        <w:ind w:firstLine="548" w:firstLineChars="196"/>
        <w:jc w:val="left"/>
        <w:rPr>
          <w:rFonts w:ascii="宋体" w:hAnsi="宋体" w:cs="宋体"/>
          <w:sz w:val="24"/>
        </w:rPr>
      </w:pPr>
      <w:r>
        <w:rPr>
          <w:rFonts w:hint="eastAsia" w:ascii="宋体" w:hAnsi="宋体" w:cs="宋体"/>
          <w:sz w:val="28"/>
          <w:szCs w:val="28"/>
        </w:rPr>
        <w:t>（5）监狱企业的证明文件（如有）</w:t>
      </w:r>
    </w:p>
    <w:p>
      <w:pPr>
        <w:snapToGrid w:val="0"/>
        <w:spacing w:before="50" w:after="50" w:line="360" w:lineRule="auto"/>
        <w:ind w:firstLine="700" w:firstLineChars="250"/>
        <w:rPr>
          <w:rFonts w:ascii="宋体" w:hAnsi="宋体" w:cs="宋体"/>
          <w:sz w:val="28"/>
          <w:szCs w:val="28"/>
        </w:rPr>
        <w:sectPr>
          <w:pgSz w:w="11906" w:h="16838"/>
          <w:pgMar w:top="1440" w:right="1304" w:bottom="1440" w:left="1531" w:header="851" w:footer="992" w:gutter="0"/>
          <w:cols w:space="720" w:num="1"/>
          <w:docGrid w:linePitch="312" w:charSpace="0"/>
        </w:sectPr>
      </w:pPr>
    </w:p>
    <w:p>
      <w:pPr>
        <w:spacing w:line="360" w:lineRule="auto"/>
        <w:jc w:val="center"/>
        <w:rPr>
          <w:rFonts w:ascii="宋体" w:hAnsi="宋体" w:cs="宋体"/>
          <w:b/>
          <w:bCs/>
          <w:sz w:val="36"/>
          <w:szCs w:val="36"/>
        </w:rPr>
      </w:pPr>
      <w:r>
        <w:rPr>
          <w:rFonts w:hint="eastAsia" w:ascii="宋体" w:hAnsi="宋体" w:cs="宋体"/>
          <w:b/>
          <w:bCs/>
          <w:sz w:val="36"/>
          <w:szCs w:val="36"/>
        </w:rPr>
        <w:t>（1）开标一览表</w:t>
      </w:r>
    </w:p>
    <w:p>
      <w:pPr>
        <w:pStyle w:val="8"/>
        <w:spacing w:line="360" w:lineRule="auto"/>
        <w:ind w:firstLine="0"/>
        <w:rPr>
          <w:rFonts w:ascii="宋体" w:hAnsi="宋体" w:cs="宋体"/>
        </w:rPr>
      </w:pPr>
    </w:p>
    <w:p>
      <w:pPr>
        <w:widowControl/>
        <w:jc w:val="left"/>
      </w:pPr>
      <w:r>
        <w:rPr>
          <w:rFonts w:hint="eastAsia" w:ascii="宋体" w:hAnsi="宋体" w:cs="宋体"/>
          <w:color w:val="000000"/>
          <w:kern w:val="0"/>
          <w:sz w:val="24"/>
        </w:rPr>
        <w:t xml:space="preserve">项目名称： </w:t>
      </w:r>
    </w:p>
    <w:p>
      <w:pPr>
        <w:widowControl/>
        <w:jc w:val="left"/>
      </w:pPr>
      <w:r>
        <w:rPr>
          <w:rFonts w:hint="eastAsia" w:ascii="宋体" w:hAnsi="宋体" w:cs="宋体"/>
          <w:color w:val="000000"/>
          <w:kern w:val="0"/>
          <w:sz w:val="24"/>
        </w:rPr>
        <w:t>项目编号：                                      报价金额单位：人民币元</w:t>
      </w:r>
    </w:p>
    <w:p>
      <w:pPr>
        <w:pStyle w:val="4"/>
        <w:spacing w:line="360" w:lineRule="auto"/>
        <w:rPr>
          <w:rFonts w:ascii="宋体" w:hAnsi="宋体" w:eastAsia="宋体" w:cs="宋体"/>
        </w:rPr>
      </w:pPr>
      <w:r>
        <w:rPr>
          <w:rFonts w:hint="eastAsia" w:ascii="宋体" w:hAnsi="宋体" w:eastAsia="宋体" w:cs="宋体"/>
        </w:rPr>
        <w:t>标项一</w:t>
      </w:r>
    </w:p>
    <w:tbl>
      <w:tblPr>
        <w:tblStyle w:val="20"/>
        <w:tblW w:w="4996" w:type="pct"/>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121"/>
        <w:gridCol w:w="4544"/>
        <w:gridCol w:w="1615"/>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cantSplit/>
          <w:trHeight w:val="567" w:hRule="atLeast"/>
          <w:jc w:val="center"/>
        </w:trPr>
        <w:tc>
          <w:tcPr>
            <w:tcW w:w="1681" w:type="pct"/>
            <w:tcBorders>
              <w:top w:val="single" w:color="auto" w:sz="0" w:space="0"/>
              <w:left w:val="single" w:color="auto" w:sz="0" w:space="0"/>
              <w:bottom w:val="single" w:color="auto" w:sz="0" w:space="0"/>
              <w:right w:val="single" w:color="auto" w:sz="0" w:space="0"/>
            </w:tcBorders>
            <w:noWrap/>
            <w:vAlign w:val="center"/>
          </w:tcPr>
          <w:p>
            <w:pPr>
              <w:spacing w:line="360" w:lineRule="auto"/>
              <w:ind w:right="-21" w:rightChars="-10"/>
              <w:jc w:val="center"/>
              <w:rPr>
                <w:rFonts w:ascii="宋体" w:hAnsi="宋体" w:cs="宋体"/>
                <w:bCs/>
                <w:sz w:val="24"/>
              </w:rPr>
            </w:pPr>
            <w:r>
              <w:rPr>
                <w:rFonts w:hint="eastAsia" w:ascii="宋体" w:hAnsi="宋体" w:cs="宋体"/>
                <w:bCs/>
                <w:sz w:val="24"/>
              </w:rPr>
              <w:t>名称</w:t>
            </w:r>
          </w:p>
        </w:tc>
        <w:tc>
          <w:tcPr>
            <w:tcW w:w="2448" w:type="pct"/>
            <w:tcBorders>
              <w:top w:val="single" w:color="auto" w:sz="0" w:space="0"/>
              <w:left w:val="single" w:color="auto" w:sz="0" w:space="0"/>
              <w:bottom w:val="single" w:color="auto" w:sz="0" w:space="0"/>
              <w:right w:val="single" w:color="auto" w:sz="4" w:space="0"/>
            </w:tcBorders>
            <w:noWrap/>
            <w:vAlign w:val="center"/>
          </w:tcPr>
          <w:p>
            <w:pPr>
              <w:spacing w:line="360" w:lineRule="auto"/>
              <w:ind w:right="-21" w:rightChars="-10"/>
              <w:jc w:val="center"/>
              <w:rPr>
                <w:rFonts w:ascii="宋体" w:hAnsi="宋体" w:cs="宋体"/>
                <w:bCs/>
                <w:sz w:val="24"/>
              </w:rPr>
            </w:pPr>
            <w:r>
              <w:rPr>
                <w:rFonts w:hint="eastAsia" w:ascii="宋体" w:hAnsi="宋体" w:cs="宋体"/>
                <w:bCs/>
                <w:sz w:val="24"/>
              </w:rPr>
              <w:t>服务期限</w:t>
            </w:r>
          </w:p>
        </w:tc>
        <w:tc>
          <w:tcPr>
            <w:tcW w:w="870" w:type="pct"/>
            <w:tcBorders>
              <w:top w:val="single" w:color="auto" w:sz="0" w:space="0"/>
              <w:left w:val="single" w:color="auto" w:sz="4" w:space="0"/>
              <w:bottom w:val="single" w:color="auto" w:sz="0" w:space="0"/>
              <w:right w:val="single" w:color="auto" w:sz="0" w:space="0"/>
            </w:tcBorders>
            <w:noWrap/>
            <w:vAlign w:val="center"/>
          </w:tcPr>
          <w:p>
            <w:pPr>
              <w:spacing w:line="360" w:lineRule="auto"/>
              <w:ind w:right="-21" w:rightChars="-10"/>
              <w:jc w:val="center"/>
              <w:rPr>
                <w:rFonts w:ascii="宋体" w:hAnsi="宋体" w:cs="宋体"/>
                <w:bCs/>
                <w:sz w:val="24"/>
              </w:rPr>
            </w:pPr>
            <w:r>
              <w:rPr>
                <w:rFonts w:hint="eastAsia" w:ascii="宋体" w:hAnsi="宋体" w:cs="宋体"/>
                <w:bCs/>
                <w:sz w:val="24"/>
              </w:rPr>
              <w:t>项目负责人</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cantSplit/>
          <w:trHeight w:val="1461" w:hRule="atLeast"/>
          <w:jc w:val="center"/>
        </w:trPr>
        <w:tc>
          <w:tcPr>
            <w:tcW w:w="1681" w:type="pct"/>
            <w:tcBorders>
              <w:top w:val="single" w:color="auto" w:sz="0" w:space="0"/>
              <w:left w:val="single" w:color="auto" w:sz="0" w:space="0"/>
              <w:right w:val="single" w:color="auto" w:sz="0" w:space="0"/>
            </w:tcBorders>
            <w:noWrap/>
            <w:vAlign w:val="center"/>
          </w:tcPr>
          <w:p>
            <w:pPr>
              <w:pStyle w:val="18"/>
              <w:spacing w:line="360" w:lineRule="auto"/>
              <w:rPr>
                <w:bCs/>
              </w:rPr>
            </w:pPr>
            <w:r>
              <w:rPr>
                <w:rFonts w:hint="eastAsia"/>
                <w:bCs/>
              </w:rPr>
              <w:t>标项一</w:t>
            </w:r>
          </w:p>
        </w:tc>
        <w:tc>
          <w:tcPr>
            <w:tcW w:w="2448" w:type="pct"/>
            <w:tcBorders>
              <w:top w:val="single" w:color="auto" w:sz="0" w:space="0"/>
              <w:left w:val="single" w:color="auto" w:sz="0" w:space="0"/>
              <w:right w:val="single" w:color="auto" w:sz="4" w:space="0"/>
            </w:tcBorders>
            <w:noWrap/>
            <w:vAlign w:val="center"/>
          </w:tcPr>
          <w:p>
            <w:pPr>
              <w:spacing w:line="360" w:lineRule="auto"/>
              <w:rPr>
                <w:rFonts w:ascii="宋体" w:hAnsi="宋体" w:cs="宋体"/>
              </w:rPr>
            </w:pPr>
            <w:r>
              <w:rPr>
                <w:rFonts w:hint="eastAsia" w:ascii="宋体" w:hAnsi="宋体" w:cs="宋体"/>
                <w:kern w:val="0"/>
                <w:sz w:val="22"/>
                <w:szCs w:val="27"/>
              </w:rPr>
              <w:t>自合同签订之日起至2023年10月31日</w:t>
            </w:r>
          </w:p>
        </w:tc>
        <w:tc>
          <w:tcPr>
            <w:tcW w:w="870" w:type="pct"/>
            <w:tcBorders>
              <w:top w:val="single" w:color="auto" w:sz="0" w:space="0"/>
              <w:left w:val="single" w:color="auto" w:sz="4" w:space="0"/>
              <w:right w:val="single" w:color="auto" w:sz="0" w:space="0"/>
            </w:tcBorders>
            <w:noWrap/>
            <w:vAlign w:val="center"/>
          </w:tcPr>
          <w:p>
            <w:pPr>
              <w:spacing w:line="360" w:lineRule="auto"/>
              <w:ind w:right="-21" w:rightChars="-10"/>
              <w:jc w:val="center"/>
              <w:rPr>
                <w:rFonts w:ascii="宋体" w:hAnsi="宋体" w:cs="宋体"/>
                <w:bCs/>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cantSplit/>
          <w:trHeight w:val="1461" w:hRule="atLeast"/>
          <w:jc w:val="center"/>
        </w:trPr>
        <w:tc>
          <w:tcPr>
            <w:tcW w:w="1681" w:type="pct"/>
            <w:tcBorders>
              <w:top w:val="single" w:color="auto" w:sz="0" w:space="0"/>
              <w:left w:val="single" w:color="auto" w:sz="0" w:space="0"/>
              <w:right w:val="single" w:color="auto" w:sz="0" w:space="0"/>
            </w:tcBorders>
            <w:noWrap/>
            <w:vAlign w:val="center"/>
          </w:tcPr>
          <w:p>
            <w:pPr>
              <w:widowControl/>
              <w:jc w:val="left"/>
              <w:rPr>
                <w:rFonts w:ascii="宋体" w:hAnsi="宋体" w:cs="宋体"/>
                <w:bCs/>
              </w:rPr>
            </w:pPr>
            <w:r>
              <w:rPr>
                <w:rFonts w:hint="eastAsia" w:ascii="宋体" w:hAnsi="宋体" w:cs="宋体"/>
                <w:color w:val="000000"/>
                <w:kern w:val="0"/>
                <w:sz w:val="24"/>
              </w:rPr>
              <w:t>项目总报价</w:t>
            </w:r>
          </w:p>
        </w:tc>
        <w:tc>
          <w:tcPr>
            <w:tcW w:w="3318" w:type="pct"/>
            <w:gridSpan w:val="2"/>
            <w:tcBorders>
              <w:top w:val="single" w:color="auto" w:sz="0" w:space="0"/>
              <w:left w:val="single" w:color="auto" w:sz="0" w:space="0"/>
              <w:right w:val="single" w:color="auto" w:sz="0" w:space="0"/>
            </w:tcBorders>
            <w:noWrap/>
            <w:vAlign w:val="center"/>
          </w:tcPr>
          <w:p>
            <w:pPr>
              <w:widowControl/>
              <w:jc w:val="left"/>
              <w:rPr>
                <w:rFonts w:ascii="宋体" w:hAnsi="宋体" w:cs="宋体"/>
                <w:bCs/>
                <w:sz w:val="24"/>
              </w:rPr>
            </w:pPr>
            <w:r>
              <w:rPr>
                <w:rFonts w:hint="eastAsia" w:ascii="宋体" w:hAnsi="宋体" w:cs="宋体"/>
                <w:color w:val="000000"/>
                <w:kern w:val="0"/>
                <w:sz w:val="24"/>
              </w:rPr>
              <w:t>大写：叁佰柒拾万元整（￥：</w:t>
            </w:r>
            <w:r>
              <w:rPr>
                <w:rFonts w:hint="eastAsia" w:ascii="宋体" w:hAnsi="宋体" w:cs="宋体"/>
                <w:kern w:val="0"/>
                <w:sz w:val="22"/>
                <w:szCs w:val="27"/>
              </w:rPr>
              <w:t>3700000</w:t>
            </w:r>
            <w:r>
              <w:rPr>
                <w:rFonts w:hint="eastAsia" w:ascii="宋体" w:hAnsi="宋体" w:cs="宋体"/>
                <w:color w:val="000000"/>
                <w:kern w:val="0"/>
                <w:sz w:val="24"/>
              </w:rPr>
              <w:t>.00）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cantSplit/>
          <w:trHeight w:val="1331" w:hRule="atLeast"/>
          <w:jc w:val="center"/>
        </w:trPr>
        <w:tc>
          <w:tcPr>
            <w:tcW w:w="1681" w:type="pct"/>
            <w:tcBorders>
              <w:left w:val="single" w:color="auto" w:sz="0" w:space="0"/>
              <w:bottom w:val="single" w:color="auto" w:sz="0" w:space="0"/>
              <w:right w:val="single" w:color="auto" w:sz="0" w:space="0"/>
            </w:tcBorders>
            <w:noWrap/>
            <w:vAlign w:val="center"/>
          </w:tcPr>
          <w:p>
            <w:pPr>
              <w:widowControl/>
              <w:jc w:val="left"/>
              <w:rPr>
                <w:rFonts w:ascii="宋体" w:hAnsi="宋体" w:cs="宋体"/>
                <w:bCs/>
                <w:sz w:val="24"/>
              </w:rPr>
            </w:pPr>
            <w:r>
              <w:rPr>
                <w:rFonts w:hint="eastAsia" w:ascii="宋体" w:hAnsi="宋体" w:cs="宋体"/>
                <w:color w:val="000000"/>
                <w:kern w:val="0"/>
                <w:sz w:val="24"/>
              </w:rPr>
              <w:t>各项单价统一折扣率</w:t>
            </w:r>
          </w:p>
        </w:tc>
        <w:tc>
          <w:tcPr>
            <w:tcW w:w="3318" w:type="pct"/>
            <w:gridSpan w:val="2"/>
            <w:tcBorders>
              <w:left w:val="single" w:color="auto" w:sz="0" w:space="0"/>
              <w:bottom w:val="single" w:color="auto" w:sz="0" w:space="0"/>
              <w:right w:val="single" w:color="auto" w:sz="0" w:space="0"/>
            </w:tcBorders>
            <w:noWrap/>
            <w:vAlign w:val="center"/>
          </w:tcPr>
          <w:p>
            <w:pPr>
              <w:widowControl/>
              <w:spacing w:line="360" w:lineRule="auto"/>
              <w:jc w:val="left"/>
              <w:rPr>
                <w:rFonts w:ascii="宋体" w:hAnsi="宋体" w:cs="宋体"/>
                <w:bCs/>
                <w:sz w:val="24"/>
              </w:rPr>
            </w:pPr>
          </w:p>
          <w:p>
            <w:pPr>
              <w:spacing w:beforeLines="100" w:line="360" w:lineRule="auto"/>
              <w:ind w:right="-21" w:rightChars="-10"/>
              <w:rPr>
                <w:rFonts w:ascii="宋体" w:hAnsi="宋体" w:cs="宋体"/>
                <w:bCs/>
                <w:sz w:val="24"/>
              </w:rPr>
            </w:pPr>
          </w:p>
        </w:tc>
      </w:tr>
    </w:tbl>
    <w:p>
      <w:pPr>
        <w:spacing w:line="360" w:lineRule="auto"/>
        <w:ind w:right="-21" w:rightChars="-10"/>
        <w:rPr>
          <w:rFonts w:ascii="宋体" w:hAnsi="宋体" w:cs="宋体"/>
          <w:bCs/>
          <w:sz w:val="24"/>
        </w:rPr>
      </w:pPr>
      <w:r>
        <w:rPr>
          <w:rFonts w:hint="eastAsia" w:ascii="宋体" w:hAnsi="宋体" w:cs="宋体"/>
          <w:bCs/>
          <w:sz w:val="24"/>
        </w:rPr>
        <w:t>附注：</w:t>
      </w:r>
    </w:p>
    <w:p>
      <w:pPr>
        <w:spacing w:line="360" w:lineRule="auto"/>
        <w:ind w:right="-21" w:rightChars="-10"/>
        <w:rPr>
          <w:rFonts w:ascii="宋体" w:hAnsi="宋体" w:cs="宋体"/>
          <w:bCs/>
          <w:sz w:val="24"/>
        </w:rPr>
      </w:pPr>
      <w:r>
        <w:rPr>
          <w:rFonts w:hint="eastAsia" w:ascii="宋体" w:hAnsi="宋体" w:cs="宋体"/>
          <w:bCs/>
          <w:sz w:val="24"/>
        </w:rPr>
        <w:t xml:space="preserve">1.响应文件只允许有一个报价，有选择的或者有条件的报价将不予接受。 </w:t>
      </w:r>
    </w:p>
    <w:p>
      <w:pPr>
        <w:spacing w:line="360" w:lineRule="auto"/>
        <w:ind w:right="-21" w:rightChars="-10"/>
        <w:rPr>
          <w:rFonts w:ascii="宋体" w:hAnsi="宋体" w:cs="宋体"/>
          <w:bCs/>
          <w:sz w:val="24"/>
        </w:rPr>
      </w:pPr>
      <w:r>
        <w:rPr>
          <w:rFonts w:hint="eastAsia" w:ascii="宋体" w:hAnsi="宋体" w:cs="宋体"/>
          <w:bCs/>
          <w:sz w:val="24"/>
        </w:rPr>
        <w:t xml:space="preserve">2.相关报价明细表填写时，应详细注明该表列举的费用及分项清单。 </w:t>
      </w:r>
    </w:p>
    <w:p>
      <w:pPr>
        <w:spacing w:line="360" w:lineRule="auto"/>
        <w:ind w:right="-21" w:rightChars="-10"/>
        <w:rPr>
          <w:rFonts w:ascii="宋体" w:hAnsi="宋体" w:cs="宋体"/>
          <w:bCs/>
          <w:sz w:val="24"/>
        </w:rPr>
      </w:pPr>
      <w:r>
        <w:rPr>
          <w:rFonts w:hint="eastAsia" w:ascii="宋体" w:hAnsi="宋体" w:cs="宋体"/>
          <w:bCs/>
          <w:sz w:val="24"/>
        </w:rPr>
        <w:t xml:space="preserve">3.报价超过采购最高限价的，供应商不得推荐为中标候选人。 </w:t>
      </w:r>
    </w:p>
    <w:p>
      <w:pPr>
        <w:spacing w:line="360" w:lineRule="auto"/>
        <w:ind w:right="-21" w:rightChars="-10"/>
        <w:rPr>
          <w:rFonts w:ascii="宋体" w:hAnsi="宋体" w:cs="宋体"/>
          <w:bCs/>
          <w:sz w:val="24"/>
        </w:rPr>
      </w:pPr>
      <w:r>
        <w:rPr>
          <w:rFonts w:hint="eastAsia" w:ascii="宋体" w:hAnsi="宋体" w:cs="宋体"/>
          <w:bCs/>
          <w:sz w:val="24"/>
        </w:rPr>
        <w:t>4.供应商报价只有总报价而无分项报价的，供应商不得推荐为中标候选人。供应商报价只有分项报价而无总报价的，其不得推荐为中标候选人。</w:t>
      </w:r>
    </w:p>
    <w:p>
      <w:pPr>
        <w:spacing w:line="360" w:lineRule="auto"/>
        <w:ind w:right="-21" w:rightChars="-10"/>
        <w:rPr>
          <w:rFonts w:ascii="宋体" w:hAnsi="宋体" w:cs="宋体"/>
          <w:bCs/>
          <w:sz w:val="24"/>
        </w:rPr>
      </w:pPr>
      <w:r>
        <w:rPr>
          <w:rFonts w:hint="eastAsia" w:ascii="宋体" w:hAnsi="宋体" w:cs="宋体"/>
          <w:bCs/>
          <w:sz w:val="24"/>
        </w:rPr>
        <w:t>5.报价一经涂改，应在涂改处加盖单位公章，否则不得推荐为中标候选人。</w:t>
      </w:r>
    </w:p>
    <w:p>
      <w:pPr>
        <w:spacing w:line="360" w:lineRule="auto"/>
        <w:ind w:right="-21" w:rightChars="-10"/>
        <w:rPr>
          <w:rFonts w:ascii="宋体" w:hAnsi="宋体" w:cs="宋体"/>
          <w:bCs/>
          <w:sz w:val="24"/>
        </w:rPr>
      </w:pPr>
      <w:r>
        <w:rPr>
          <w:rFonts w:hint="eastAsia" w:ascii="宋体" w:hAnsi="宋体" w:cs="宋体"/>
          <w:bCs/>
          <w:sz w:val="24"/>
        </w:rPr>
        <w:t>6.</w:t>
      </w:r>
      <w:r>
        <w:rPr>
          <w:rFonts w:hint="eastAsia" w:ascii="宋体" w:hAnsi="宋体" w:cs="宋体"/>
          <w:b/>
          <w:sz w:val="24"/>
        </w:rPr>
        <w:t>本次采购采用各项单价统一折扣率（非下浮率）形式报价，各项中标单价=最高限价单价×各项单价统一折扣率</w:t>
      </w:r>
      <w:r>
        <w:rPr>
          <w:rFonts w:hint="eastAsia" w:ascii="宋体" w:hAnsi="宋体" w:cs="宋体"/>
          <w:bCs/>
          <w:sz w:val="24"/>
        </w:rPr>
        <w:t>，投标单价包括产品供货、运输、安装、调试、车辆、售后服务、维护费、服务费用（包含人员工资、加班工资、《劳动合同法》规定的各种社会保险费、人员食宿与交通、工具、办公费、车辆使用）及税金等一切费用均计入报价。</w:t>
      </w:r>
    </w:p>
    <w:p>
      <w:pPr>
        <w:spacing w:line="360" w:lineRule="auto"/>
        <w:ind w:right="-21" w:rightChars="-10"/>
        <w:rPr>
          <w:rFonts w:ascii="宋体" w:hAnsi="宋体" w:cs="宋体"/>
          <w:bCs/>
          <w:sz w:val="24"/>
        </w:rPr>
      </w:pPr>
      <w:r>
        <w:rPr>
          <w:rFonts w:hint="eastAsia" w:ascii="宋体" w:hAnsi="宋体" w:cs="宋体"/>
          <w:bCs/>
          <w:sz w:val="24"/>
        </w:rPr>
        <w:t>7.供应商未在响应文件中注明上述相关明细或证明的，造成后果由供应商自行承担。</w:t>
      </w:r>
    </w:p>
    <w:p>
      <w:pPr>
        <w:spacing w:line="360" w:lineRule="auto"/>
        <w:ind w:right="-21" w:rightChars="-10"/>
        <w:rPr>
          <w:rFonts w:ascii="宋体" w:hAnsi="宋体" w:cs="宋体"/>
          <w:bCs/>
          <w:sz w:val="24"/>
        </w:rPr>
      </w:pPr>
      <w:r>
        <w:rPr>
          <w:rFonts w:hint="eastAsia" w:ascii="宋体" w:hAnsi="宋体" w:cs="宋体"/>
          <w:bCs/>
          <w:sz w:val="24"/>
        </w:rPr>
        <w:t>8.</w:t>
      </w:r>
      <w:r>
        <w:rPr>
          <w:rFonts w:hint="eastAsia" w:ascii="宋体" w:hAnsi="宋体" w:cs="宋体"/>
          <w:bCs/>
          <w:sz w:val="24"/>
          <w:u w:val="single"/>
        </w:rPr>
        <w:t xml:space="preserve"> ▲不提供此表格将被视为没有满足招标文件的实质性要求。</w:t>
      </w:r>
    </w:p>
    <w:p>
      <w:pPr>
        <w:spacing w:line="360" w:lineRule="auto"/>
        <w:ind w:right="-21" w:rightChars="-10"/>
        <w:rPr>
          <w:rFonts w:ascii="宋体" w:hAnsi="宋体" w:cs="宋体"/>
          <w:sz w:val="24"/>
        </w:rPr>
      </w:pPr>
    </w:p>
    <w:p>
      <w:pPr>
        <w:spacing w:line="360" w:lineRule="auto"/>
        <w:ind w:right="-21" w:rightChars="-10"/>
        <w:rPr>
          <w:rFonts w:ascii="宋体" w:hAnsi="宋体" w:cs="宋体"/>
          <w:sz w:val="24"/>
        </w:rPr>
      </w:pPr>
      <w:r>
        <w:rPr>
          <w:rFonts w:hint="eastAsia" w:ascii="宋体" w:hAnsi="宋体" w:cs="宋体"/>
          <w:sz w:val="24"/>
        </w:rPr>
        <w:t>投标人全称（</w:t>
      </w:r>
      <w:r>
        <w:rPr>
          <w:rFonts w:hint="eastAsia" w:ascii="宋体" w:hAnsi="宋体" w:cs="宋体"/>
          <w:bCs/>
          <w:sz w:val="24"/>
        </w:rPr>
        <w:t>公章或CA章</w:t>
      </w:r>
      <w:r>
        <w:rPr>
          <w:rFonts w:hint="eastAsia" w:ascii="宋体" w:hAnsi="宋体" w:cs="宋体"/>
          <w:sz w:val="24"/>
        </w:rPr>
        <w:t>）：</w:t>
      </w:r>
    </w:p>
    <w:p>
      <w:pPr>
        <w:spacing w:line="360" w:lineRule="auto"/>
        <w:ind w:right="-10"/>
        <w:rPr>
          <w:rFonts w:ascii="宋体" w:hAnsi="宋体" w:cs="宋体"/>
          <w:sz w:val="24"/>
        </w:rPr>
      </w:pPr>
      <w:r>
        <w:rPr>
          <w:rFonts w:hint="eastAsia" w:ascii="宋体" w:hAnsi="宋体" w:cs="宋体"/>
          <w:sz w:val="24"/>
        </w:rPr>
        <w:t>法定代表人或授权代表（签字或盖章）：</w:t>
      </w:r>
    </w:p>
    <w:p>
      <w:pPr>
        <w:spacing w:line="360" w:lineRule="auto"/>
        <w:rPr>
          <w:rFonts w:ascii="宋体" w:hAnsi="宋体" w:cs="宋体"/>
          <w:sz w:val="24"/>
        </w:rPr>
      </w:pPr>
      <w:r>
        <w:rPr>
          <w:rFonts w:hint="eastAsia" w:ascii="宋体" w:hAnsi="宋体" w:cs="宋体"/>
          <w:sz w:val="24"/>
        </w:rPr>
        <w:t>日期：  年   月  日</w:t>
      </w:r>
    </w:p>
    <w:p>
      <w:pPr>
        <w:rPr>
          <w:rFonts w:ascii="宋体" w:hAnsi="宋体" w:cs="宋体"/>
          <w:sz w:val="24"/>
        </w:rPr>
      </w:pPr>
      <w:r>
        <w:rPr>
          <w:rFonts w:hint="eastAsia" w:ascii="宋体" w:hAnsi="宋体" w:cs="宋体"/>
          <w:sz w:val="24"/>
        </w:rPr>
        <w:br w:type="page"/>
      </w:r>
    </w:p>
    <w:p>
      <w:pPr>
        <w:rPr>
          <w:rFonts w:ascii="宋体" w:hAnsi="宋体" w:cs="宋体"/>
          <w:sz w:val="24"/>
        </w:rPr>
      </w:pPr>
    </w:p>
    <w:p>
      <w:pPr>
        <w:spacing w:line="360" w:lineRule="auto"/>
        <w:jc w:val="center"/>
        <w:rPr>
          <w:rFonts w:ascii="宋体" w:hAnsi="宋体" w:cs="宋体"/>
          <w:b/>
          <w:bCs/>
          <w:sz w:val="36"/>
          <w:szCs w:val="36"/>
        </w:rPr>
      </w:pPr>
      <w:r>
        <w:rPr>
          <w:rFonts w:hint="eastAsia" w:ascii="宋体" w:hAnsi="宋体" w:cs="宋体"/>
          <w:b/>
          <w:bCs/>
          <w:sz w:val="36"/>
          <w:szCs w:val="36"/>
        </w:rPr>
        <w:t>（1）开标一览表</w:t>
      </w:r>
    </w:p>
    <w:p>
      <w:pPr>
        <w:pStyle w:val="8"/>
        <w:spacing w:line="360" w:lineRule="auto"/>
        <w:ind w:firstLine="0"/>
        <w:rPr>
          <w:rFonts w:ascii="宋体" w:hAnsi="宋体" w:cs="宋体"/>
        </w:rPr>
      </w:pPr>
    </w:p>
    <w:p>
      <w:pPr>
        <w:widowControl/>
        <w:jc w:val="left"/>
      </w:pPr>
      <w:r>
        <w:rPr>
          <w:rFonts w:hint="eastAsia" w:ascii="宋体" w:hAnsi="宋体" w:cs="宋体"/>
          <w:color w:val="000000"/>
          <w:kern w:val="0"/>
          <w:sz w:val="24"/>
        </w:rPr>
        <w:t xml:space="preserve">项目名称： </w:t>
      </w:r>
    </w:p>
    <w:p>
      <w:pPr>
        <w:widowControl/>
        <w:jc w:val="left"/>
      </w:pPr>
      <w:r>
        <w:rPr>
          <w:rFonts w:hint="eastAsia" w:ascii="宋体" w:hAnsi="宋体" w:cs="宋体"/>
          <w:color w:val="000000"/>
          <w:kern w:val="0"/>
          <w:sz w:val="24"/>
        </w:rPr>
        <w:t>项目编号：                                      报价金额单位：人民币元</w:t>
      </w:r>
    </w:p>
    <w:p>
      <w:pPr>
        <w:pStyle w:val="4"/>
        <w:spacing w:line="360" w:lineRule="auto"/>
        <w:rPr>
          <w:rFonts w:ascii="宋体" w:hAnsi="宋体" w:eastAsia="宋体" w:cs="宋体"/>
        </w:rPr>
      </w:pPr>
      <w:r>
        <w:rPr>
          <w:rFonts w:hint="eastAsia" w:ascii="宋体" w:hAnsi="宋体" w:eastAsia="宋体" w:cs="宋体"/>
        </w:rPr>
        <w:t>标项二</w:t>
      </w:r>
    </w:p>
    <w:tbl>
      <w:tblPr>
        <w:tblStyle w:val="20"/>
        <w:tblW w:w="4996" w:type="pct"/>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121"/>
        <w:gridCol w:w="4544"/>
        <w:gridCol w:w="1615"/>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cantSplit/>
          <w:trHeight w:val="567" w:hRule="atLeast"/>
          <w:jc w:val="center"/>
        </w:trPr>
        <w:tc>
          <w:tcPr>
            <w:tcW w:w="1681" w:type="pct"/>
            <w:tcBorders>
              <w:top w:val="single" w:color="auto" w:sz="0" w:space="0"/>
              <w:left w:val="single" w:color="auto" w:sz="0" w:space="0"/>
              <w:bottom w:val="single" w:color="auto" w:sz="0" w:space="0"/>
              <w:right w:val="single" w:color="auto" w:sz="0" w:space="0"/>
            </w:tcBorders>
            <w:noWrap/>
            <w:vAlign w:val="center"/>
          </w:tcPr>
          <w:p>
            <w:pPr>
              <w:spacing w:line="360" w:lineRule="auto"/>
              <w:ind w:right="-21" w:rightChars="-10"/>
              <w:jc w:val="center"/>
              <w:rPr>
                <w:rFonts w:ascii="宋体" w:hAnsi="宋体" w:cs="宋体"/>
                <w:bCs/>
                <w:sz w:val="24"/>
              </w:rPr>
            </w:pPr>
            <w:r>
              <w:rPr>
                <w:rFonts w:hint="eastAsia" w:ascii="宋体" w:hAnsi="宋体" w:cs="宋体"/>
                <w:bCs/>
                <w:sz w:val="24"/>
              </w:rPr>
              <w:t>名称</w:t>
            </w:r>
          </w:p>
        </w:tc>
        <w:tc>
          <w:tcPr>
            <w:tcW w:w="2448" w:type="pct"/>
            <w:tcBorders>
              <w:top w:val="single" w:color="auto" w:sz="0" w:space="0"/>
              <w:left w:val="single" w:color="auto" w:sz="0" w:space="0"/>
              <w:bottom w:val="single" w:color="auto" w:sz="0" w:space="0"/>
              <w:right w:val="single" w:color="auto" w:sz="4" w:space="0"/>
            </w:tcBorders>
            <w:noWrap/>
            <w:vAlign w:val="center"/>
          </w:tcPr>
          <w:p>
            <w:pPr>
              <w:spacing w:line="360" w:lineRule="auto"/>
              <w:ind w:right="-21" w:rightChars="-10"/>
              <w:jc w:val="center"/>
              <w:rPr>
                <w:rFonts w:ascii="宋体" w:hAnsi="宋体" w:cs="宋体"/>
                <w:bCs/>
                <w:sz w:val="24"/>
              </w:rPr>
            </w:pPr>
            <w:r>
              <w:rPr>
                <w:rFonts w:hint="eastAsia" w:ascii="宋体" w:hAnsi="宋体" w:cs="宋体"/>
                <w:bCs/>
                <w:sz w:val="24"/>
              </w:rPr>
              <w:t>服务期限</w:t>
            </w:r>
          </w:p>
        </w:tc>
        <w:tc>
          <w:tcPr>
            <w:tcW w:w="870" w:type="pct"/>
            <w:tcBorders>
              <w:top w:val="single" w:color="auto" w:sz="0" w:space="0"/>
              <w:left w:val="single" w:color="auto" w:sz="4" w:space="0"/>
              <w:bottom w:val="single" w:color="auto" w:sz="0" w:space="0"/>
              <w:right w:val="single" w:color="auto" w:sz="0" w:space="0"/>
            </w:tcBorders>
            <w:noWrap/>
            <w:vAlign w:val="center"/>
          </w:tcPr>
          <w:p>
            <w:pPr>
              <w:spacing w:line="360" w:lineRule="auto"/>
              <w:ind w:right="-21" w:rightChars="-10"/>
              <w:jc w:val="center"/>
              <w:rPr>
                <w:rFonts w:ascii="宋体" w:hAnsi="宋体" w:cs="宋体"/>
                <w:bCs/>
                <w:sz w:val="24"/>
              </w:rPr>
            </w:pPr>
            <w:r>
              <w:rPr>
                <w:rFonts w:hint="eastAsia" w:ascii="宋体" w:hAnsi="宋体" w:cs="宋体"/>
                <w:bCs/>
                <w:sz w:val="24"/>
              </w:rPr>
              <w:t>项目负责人</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cantSplit/>
          <w:trHeight w:val="1461" w:hRule="atLeast"/>
          <w:jc w:val="center"/>
        </w:trPr>
        <w:tc>
          <w:tcPr>
            <w:tcW w:w="1681" w:type="pct"/>
            <w:tcBorders>
              <w:top w:val="single" w:color="auto" w:sz="0" w:space="0"/>
              <w:left w:val="single" w:color="auto" w:sz="0" w:space="0"/>
              <w:right w:val="single" w:color="auto" w:sz="0" w:space="0"/>
            </w:tcBorders>
            <w:noWrap/>
            <w:vAlign w:val="center"/>
          </w:tcPr>
          <w:p>
            <w:pPr>
              <w:pStyle w:val="18"/>
              <w:spacing w:line="360" w:lineRule="auto"/>
              <w:jc w:val="center"/>
              <w:rPr>
                <w:bCs/>
              </w:rPr>
            </w:pPr>
          </w:p>
        </w:tc>
        <w:tc>
          <w:tcPr>
            <w:tcW w:w="2448" w:type="pct"/>
            <w:tcBorders>
              <w:top w:val="single" w:color="auto" w:sz="0" w:space="0"/>
              <w:left w:val="single" w:color="auto" w:sz="0" w:space="0"/>
              <w:right w:val="single" w:color="auto" w:sz="4" w:space="0"/>
            </w:tcBorders>
            <w:noWrap/>
            <w:vAlign w:val="center"/>
          </w:tcPr>
          <w:p>
            <w:pPr>
              <w:spacing w:line="360" w:lineRule="auto"/>
              <w:rPr>
                <w:rFonts w:ascii="宋体" w:hAnsi="宋体" w:cs="宋体"/>
              </w:rPr>
            </w:pPr>
            <w:r>
              <w:rPr>
                <w:rFonts w:hint="eastAsia" w:ascii="宋体" w:hAnsi="宋体" w:cs="宋体"/>
                <w:kern w:val="0"/>
                <w:sz w:val="22"/>
                <w:szCs w:val="27"/>
              </w:rPr>
              <w:t>自合同签订之日起至2023年10月31日</w:t>
            </w:r>
          </w:p>
        </w:tc>
        <w:tc>
          <w:tcPr>
            <w:tcW w:w="870" w:type="pct"/>
            <w:tcBorders>
              <w:top w:val="single" w:color="auto" w:sz="0" w:space="0"/>
              <w:left w:val="single" w:color="auto" w:sz="4" w:space="0"/>
              <w:right w:val="single" w:color="auto" w:sz="0" w:space="0"/>
            </w:tcBorders>
            <w:noWrap/>
            <w:vAlign w:val="center"/>
          </w:tcPr>
          <w:p>
            <w:pPr>
              <w:spacing w:line="360" w:lineRule="auto"/>
              <w:ind w:right="-21" w:rightChars="-10"/>
              <w:jc w:val="center"/>
              <w:rPr>
                <w:rFonts w:ascii="宋体" w:hAnsi="宋体" w:cs="宋体"/>
                <w:bCs/>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cantSplit/>
          <w:trHeight w:val="1461" w:hRule="atLeast"/>
          <w:jc w:val="center"/>
        </w:trPr>
        <w:tc>
          <w:tcPr>
            <w:tcW w:w="1681" w:type="pct"/>
            <w:tcBorders>
              <w:top w:val="single" w:color="auto" w:sz="0" w:space="0"/>
              <w:left w:val="single" w:color="auto" w:sz="0" w:space="0"/>
              <w:right w:val="single" w:color="auto" w:sz="0" w:space="0"/>
            </w:tcBorders>
            <w:noWrap/>
            <w:vAlign w:val="center"/>
          </w:tcPr>
          <w:p>
            <w:pPr>
              <w:widowControl/>
              <w:jc w:val="left"/>
              <w:rPr>
                <w:rFonts w:ascii="宋体" w:hAnsi="宋体" w:cs="宋体"/>
                <w:bCs/>
              </w:rPr>
            </w:pPr>
            <w:r>
              <w:rPr>
                <w:rFonts w:hint="eastAsia" w:ascii="宋体" w:hAnsi="宋体" w:cs="宋体"/>
                <w:color w:val="000000"/>
                <w:kern w:val="0"/>
                <w:sz w:val="24"/>
              </w:rPr>
              <w:t>项目总报价</w:t>
            </w:r>
          </w:p>
        </w:tc>
        <w:tc>
          <w:tcPr>
            <w:tcW w:w="3318" w:type="pct"/>
            <w:gridSpan w:val="2"/>
            <w:tcBorders>
              <w:top w:val="single" w:color="auto" w:sz="0" w:space="0"/>
              <w:left w:val="single" w:color="auto" w:sz="0" w:space="0"/>
              <w:right w:val="single" w:color="auto" w:sz="0" w:space="0"/>
            </w:tcBorders>
            <w:noWrap/>
            <w:vAlign w:val="center"/>
          </w:tcPr>
          <w:p>
            <w:pPr>
              <w:widowControl/>
              <w:jc w:val="left"/>
              <w:rPr>
                <w:rFonts w:ascii="宋体" w:hAnsi="宋体" w:cs="宋体"/>
                <w:bCs/>
                <w:sz w:val="24"/>
              </w:rPr>
            </w:pPr>
            <w:r>
              <w:rPr>
                <w:rFonts w:hint="eastAsia" w:ascii="宋体" w:hAnsi="宋体" w:cs="宋体"/>
                <w:color w:val="000000"/>
                <w:kern w:val="0"/>
                <w:sz w:val="24"/>
              </w:rPr>
              <w:t>大写：叁佰肆拾万元整（￥：</w:t>
            </w:r>
            <w:r>
              <w:rPr>
                <w:rFonts w:hint="eastAsia" w:ascii="宋体" w:hAnsi="宋体" w:cs="宋体"/>
                <w:kern w:val="0"/>
                <w:sz w:val="22"/>
                <w:szCs w:val="27"/>
              </w:rPr>
              <w:t>3400000</w:t>
            </w:r>
            <w:r>
              <w:rPr>
                <w:rFonts w:hint="eastAsia" w:ascii="宋体" w:hAnsi="宋体" w:cs="宋体"/>
                <w:color w:val="000000"/>
                <w:kern w:val="0"/>
                <w:sz w:val="24"/>
              </w:rPr>
              <w:t>.00）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cantSplit/>
          <w:trHeight w:val="1331" w:hRule="atLeast"/>
          <w:jc w:val="center"/>
        </w:trPr>
        <w:tc>
          <w:tcPr>
            <w:tcW w:w="1681" w:type="pct"/>
            <w:tcBorders>
              <w:left w:val="single" w:color="auto" w:sz="0" w:space="0"/>
              <w:bottom w:val="single" w:color="auto" w:sz="0" w:space="0"/>
              <w:right w:val="single" w:color="auto" w:sz="0" w:space="0"/>
            </w:tcBorders>
            <w:noWrap/>
            <w:vAlign w:val="center"/>
          </w:tcPr>
          <w:p>
            <w:pPr>
              <w:widowControl/>
              <w:jc w:val="left"/>
              <w:rPr>
                <w:rFonts w:ascii="宋体" w:hAnsi="宋体" w:cs="宋体"/>
                <w:bCs/>
                <w:sz w:val="24"/>
              </w:rPr>
            </w:pPr>
            <w:r>
              <w:rPr>
                <w:rFonts w:hint="eastAsia" w:ascii="宋体" w:hAnsi="宋体" w:cs="宋体"/>
                <w:color w:val="000000"/>
                <w:kern w:val="0"/>
                <w:sz w:val="24"/>
              </w:rPr>
              <w:t>各项单价统一折扣率</w:t>
            </w:r>
          </w:p>
        </w:tc>
        <w:tc>
          <w:tcPr>
            <w:tcW w:w="3318" w:type="pct"/>
            <w:gridSpan w:val="2"/>
            <w:tcBorders>
              <w:left w:val="single" w:color="auto" w:sz="0" w:space="0"/>
              <w:bottom w:val="single" w:color="auto" w:sz="0" w:space="0"/>
              <w:right w:val="single" w:color="auto" w:sz="0" w:space="0"/>
            </w:tcBorders>
            <w:noWrap/>
            <w:vAlign w:val="center"/>
          </w:tcPr>
          <w:p>
            <w:pPr>
              <w:widowControl/>
              <w:spacing w:line="360" w:lineRule="auto"/>
              <w:jc w:val="left"/>
              <w:rPr>
                <w:rFonts w:ascii="宋体" w:hAnsi="宋体" w:cs="宋体"/>
                <w:bCs/>
                <w:sz w:val="24"/>
              </w:rPr>
            </w:pPr>
          </w:p>
          <w:p>
            <w:pPr>
              <w:spacing w:beforeLines="100" w:line="360" w:lineRule="auto"/>
              <w:ind w:right="-21" w:rightChars="-10"/>
              <w:rPr>
                <w:rFonts w:ascii="宋体" w:hAnsi="宋体" w:cs="宋体"/>
                <w:bCs/>
                <w:sz w:val="24"/>
              </w:rPr>
            </w:pPr>
          </w:p>
        </w:tc>
      </w:tr>
    </w:tbl>
    <w:p>
      <w:pPr>
        <w:spacing w:line="360" w:lineRule="auto"/>
        <w:ind w:right="-21" w:rightChars="-10"/>
        <w:rPr>
          <w:rFonts w:ascii="宋体" w:hAnsi="宋体" w:cs="宋体"/>
          <w:bCs/>
          <w:sz w:val="24"/>
        </w:rPr>
      </w:pPr>
      <w:r>
        <w:rPr>
          <w:rFonts w:hint="eastAsia" w:ascii="宋体" w:hAnsi="宋体" w:cs="宋体"/>
          <w:bCs/>
          <w:sz w:val="24"/>
        </w:rPr>
        <w:t>附注：</w:t>
      </w:r>
    </w:p>
    <w:p>
      <w:pPr>
        <w:spacing w:line="360" w:lineRule="auto"/>
        <w:ind w:right="-21" w:rightChars="-10"/>
        <w:rPr>
          <w:rFonts w:ascii="宋体" w:hAnsi="宋体" w:cs="宋体"/>
          <w:bCs/>
          <w:sz w:val="24"/>
        </w:rPr>
      </w:pPr>
      <w:r>
        <w:rPr>
          <w:rFonts w:hint="eastAsia" w:ascii="宋体" w:hAnsi="宋体" w:cs="宋体"/>
          <w:bCs/>
          <w:sz w:val="24"/>
        </w:rPr>
        <w:t xml:space="preserve">1.响应文件只允许有一个报价，有选择的或者有条件的报价将不予接受。 </w:t>
      </w:r>
    </w:p>
    <w:p>
      <w:pPr>
        <w:spacing w:line="360" w:lineRule="auto"/>
        <w:ind w:right="-21" w:rightChars="-10"/>
        <w:rPr>
          <w:rFonts w:ascii="宋体" w:hAnsi="宋体" w:cs="宋体"/>
          <w:bCs/>
          <w:sz w:val="24"/>
        </w:rPr>
      </w:pPr>
      <w:r>
        <w:rPr>
          <w:rFonts w:hint="eastAsia" w:ascii="宋体" w:hAnsi="宋体" w:cs="宋体"/>
          <w:bCs/>
          <w:sz w:val="24"/>
        </w:rPr>
        <w:t xml:space="preserve">2.相关报价明细表填写时，应详细注明该表列举的费用及分项清单。 </w:t>
      </w:r>
    </w:p>
    <w:p>
      <w:pPr>
        <w:spacing w:line="360" w:lineRule="auto"/>
        <w:ind w:right="-21" w:rightChars="-10"/>
        <w:rPr>
          <w:rFonts w:ascii="宋体" w:hAnsi="宋体" w:cs="宋体"/>
          <w:bCs/>
          <w:sz w:val="24"/>
        </w:rPr>
      </w:pPr>
      <w:r>
        <w:rPr>
          <w:rFonts w:hint="eastAsia" w:ascii="宋体" w:hAnsi="宋体" w:cs="宋体"/>
          <w:bCs/>
          <w:sz w:val="24"/>
        </w:rPr>
        <w:t xml:space="preserve">3.报价超过采购最高限价的，供应商不得推荐为中标候选人。 </w:t>
      </w:r>
    </w:p>
    <w:p>
      <w:pPr>
        <w:spacing w:line="360" w:lineRule="auto"/>
        <w:ind w:right="-21" w:rightChars="-10"/>
        <w:rPr>
          <w:rFonts w:ascii="宋体" w:hAnsi="宋体" w:cs="宋体"/>
          <w:bCs/>
          <w:sz w:val="24"/>
        </w:rPr>
      </w:pPr>
      <w:r>
        <w:rPr>
          <w:rFonts w:hint="eastAsia" w:ascii="宋体" w:hAnsi="宋体" w:cs="宋体"/>
          <w:bCs/>
          <w:sz w:val="24"/>
        </w:rPr>
        <w:t>4.供应商报价只有总报价而无分项报价的，供应商不得推荐为中标候选人。供应商报价只有分项报价而无总报价的，其不得推荐为中标候选人。</w:t>
      </w:r>
    </w:p>
    <w:p>
      <w:pPr>
        <w:spacing w:line="360" w:lineRule="auto"/>
        <w:ind w:right="-21" w:rightChars="-10"/>
        <w:rPr>
          <w:rFonts w:ascii="宋体" w:hAnsi="宋体" w:cs="宋体"/>
          <w:bCs/>
          <w:sz w:val="24"/>
        </w:rPr>
      </w:pPr>
      <w:r>
        <w:rPr>
          <w:rFonts w:hint="eastAsia" w:ascii="宋体" w:hAnsi="宋体" w:cs="宋体"/>
          <w:bCs/>
          <w:sz w:val="24"/>
        </w:rPr>
        <w:t>5.报价一经涂改，应在涂改处加盖单位公章，否则不得推荐为中标候选人。</w:t>
      </w:r>
    </w:p>
    <w:p>
      <w:pPr>
        <w:spacing w:line="360" w:lineRule="auto"/>
        <w:ind w:right="-21" w:rightChars="-10"/>
        <w:rPr>
          <w:rFonts w:ascii="宋体" w:hAnsi="宋体" w:cs="宋体"/>
          <w:bCs/>
          <w:sz w:val="24"/>
        </w:rPr>
      </w:pPr>
      <w:r>
        <w:rPr>
          <w:rFonts w:hint="eastAsia" w:ascii="宋体" w:hAnsi="宋体" w:cs="宋体"/>
          <w:bCs/>
          <w:sz w:val="24"/>
        </w:rPr>
        <w:t>6.本次采购采用各项单价统一折扣率（非下浮率）形式报价，各项中标单价=最高限价单价×各项单价统一折扣率，投标单价包括产品供货、运输、安装、调试、车辆、售后服务、维护费、服务费用（包含人员工资、加班工资、《劳动合同法》规定的各种社会保险费、人员食宿与交通、工具、办公费、车辆使用）及税金等一切费用均计入报价。</w:t>
      </w:r>
    </w:p>
    <w:p>
      <w:pPr>
        <w:spacing w:line="360" w:lineRule="auto"/>
        <w:ind w:right="-21" w:rightChars="-10"/>
        <w:rPr>
          <w:rFonts w:ascii="宋体" w:hAnsi="宋体" w:cs="宋体"/>
          <w:bCs/>
          <w:sz w:val="24"/>
        </w:rPr>
      </w:pPr>
      <w:r>
        <w:rPr>
          <w:rFonts w:hint="eastAsia" w:ascii="宋体" w:hAnsi="宋体" w:cs="宋体"/>
          <w:bCs/>
          <w:sz w:val="24"/>
        </w:rPr>
        <w:t>7.供应商未在响应文件中注明上述相关明细或证明的，造成后果由供应商自行承担。</w:t>
      </w:r>
    </w:p>
    <w:p>
      <w:pPr>
        <w:spacing w:line="360" w:lineRule="auto"/>
        <w:ind w:right="-21" w:rightChars="-10"/>
        <w:rPr>
          <w:rFonts w:ascii="宋体" w:hAnsi="宋体" w:cs="宋体"/>
          <w:bCs/>
          <w:sz w:val="24"/>
        </w:rPr>
      </w:pPr>
      <w:r>
        <w:rPr>
          <w:rFonts w:hint="eastAsia" w:ascii="宋体" w:hAnsi="宋体" w:cs="宋体"/>
          <w:bCs/>
          <w:sz w:val="24"/>
        </w:rPr>
        <w:t>8.</w:t>
      </w:r>
      <w:r>
        <w:rPr>
          <w:rFonts w:hint="eastAsia" w:ascii="宋体" w:hAnsi="宋体" w:cs="宋体"/>
          <w:bCs/>
          <w:sz w:val="24"/>
          <w:u w:val="single"/>
        </w:rPr>
        <w:t xml:space="preserve"> ▲不提供此表格将被视为没有满足招标文件的实质性要求。</w:t>
      </w:r>
    </w:p>
    <w:p>
      <w:pPr>
        <w:spacing w:line="360" w:lineRule="auto"/>
        <w:ind w:right="-21" w:rightChars="-10"/>
        <w:rPr>
          <w:rFonts w:ascii="宋体" w:hAnsi="宋体" w:cs="宋体"/>
          <w:sz w:val="24"/>
        </w:rPr>
      </w:pPr>
    </w:p>
    <w:p>
      <w:pPr>
        <w:spacing w:line="360" w:lineRule="auto"/>
        <w:ind w:right="-21" w:rightChars="-10"/>
        <w:rPr>
          <w:rFonts w:ascii="宋体" w:hAnsi="宋体" w:cs="宋体"/>
          <w:sz w:val="24"/>
        </w:rPr>
      </w:pPr>
      <w:r>
        <w:rPr>
          <w:rFonts w:hint="eastAsia" w:ascii="宋体" w:hAnsi="宋体" w:cs="宋体"/>
          <w:sz w:val="24"/>
        </w:rPr>
        <w:t>投标人全称（</w:t>
      </w:r>
      <w:r>
        <w:rPr>
          <w:rFonts w:hint="eastAsia" w:ascii="宋体" w:hAnsi="宋体" w:cs="宋体"/>
          <w:bCs/>
          <w:sz w:val="24"/>
        </w:rPr>
        <w:t>公章或CA章</w:t>
      </w:r>
      <w:r>
        <w:rPr>
          <w:rFonts w:hint="eastAsia" w:ascii="宋体" w:hAnsi="宋体" w:cs="宋体"/>
          <w:sz w:val="24"/>
        </w:rPr>
        <w:t>）：</w:t>
      </w:r>
    </w:p>
    <w:p>
      <w:pPr>
        <w:spacing w:line="360" w:lineRule="auto"/>
        <w:ind w:right="-10"/>
        <w:rPr>
          <w:rFonts w:ascii="宋体" w:hAnsi="宋体" w:cs="宋体"/>
          <w:sz w:val="24"/>
        </w:rPr>
      </w:pPr>
      <w:r>
        <w:rPr>
          <w:rFonts w:hint="eastAsia" w:ascii="宋体" w:hAnsi="宋体" w:cs="宋体"/>
          <w:sz w:val="24"/>
        </w:rPr>
        <w:t>法定代表人或授权代表（签字或盖章）：</w:t>
      </w:r>
    </w:p>
    <w:p>
      <w:pPr>
        <w:spacing w:line="360" w:lineRule="auto"/>
        <w:rPr>
          <w:rFonts w:ascii="宋体" w:hAnsi="宋体" w:cs="宋体"/>
          <w:sz w:val="24"/>
        </w:rPr>
        <w:sectPr>
          <w:pgSz w:w="11906" w:h="16838"/>
          <w:pgMar w:top="1440" w:right="1304" w:bottom="1440" w:left="1531" w:header="851" w:footer="992" w:gutter="0"/>
          <w:cols w:space="720" w:num="1"/>
          <w:docGrid w:linePitch="312" w:charSpace="0"/>
        </w:sectPr>
      </w:pPr>
      <w:r>
        <w:rPr>
          <w:rFonts w:hint="eastAsia" w:ascii="宋体" w:hAnsi="宋体" w:cs="宋体"/>
          <w:sz w:val="24"/>
        </w:rPr>
        <w:t>日期：  年   月  日</w:t>
      </w:r>
    </w:p>
    <w:p>
      <w:pPr>
        <w:spacing w:line="360" w:lineRule="auto"/>
        <w:jc w:val="center"/>
        <w:rPr>
          <w:rFonts w:ascii="宋体" w:hAnsi="宋体" w:cs="宋体"/>
          <w:b/>
          <w:bCs/>
          <w:sz w:val="36"/>
          <w:szCs w:val="36"/>
        </w:rPr>
      </w:pPr>
      <w:r>
        <w:rPr>
          <w:rFonts w:hint="eastAsia" w:ascii="宋体" w:hAnsi="宋体" w:cs="宋体"/>
          <w:b/>
          <w:bCs/>
          <w:sz w:val="36"/>
          <w:szCs w:val="36"/>
        </w:rPr>
        <w:t>（2）投标分项报价表</w:t>
      </w:r>
    </w:p>
    <w:p>
      <w:pPr>
        <w:spacing w:line="360" w:lineRule="auto"/>
        <w:rPr>
          <w:rFonts w:ascii="宋体" w:hAnsi="宋体" w:cs="宋体"/>
        </w:rPr>
      </w:pPr>
    </w:p>
    <w:p>
      <w:pPr>
        <w:widowControl/>
        <w:jc w:val="left"/>
        <w:rPr>
          <w:rFonts w:ascii="宋体" w:hAnsi="宋体" w:cs="宋体"/>
          <w:color w:val="000000"/>
          <w:kern w:val="0"/>
          <w:sz w:val="24"/>
        </w:rPr>
      </w:pPr>
      <w:r>
        <w:rPr>
          <w:rFonts w:hint="eastAsia" w:ascii="宋体" w:hAnsi="宋体" w:cs="宋体"/>
          <w:color w:val="000000"/>
          <w:kern w:val="0"/>
          <w:sz w:val="24"/>
        </w:rPr>
        <w:t xml:space="preserve">项目名称： </w:t>
      </w:r>
    </w:p>
    <w:p>
      <w:pPr>
        <w:widowControl/>
        <w:jc w:val="left"/>
        <w:rPr>
          <w:rFonts w:ascii="宋体" w:hAnsi="宋体" w:cs="宋体"/>
          <w:color w:val="000000"/>
          <w:kern w:val="0"/>
          <w:sz w:val="24"/>
        </w:rPr>
      </w:pPr>
      <w:r>
        <w:rPr>
          <w:rFonts w:hint="eastAsia" w:ascii="宋体" w:hAnsi="宋体" w:cs="宋体"/>
          <w:color w:val="000000"/>
          <w:kern w:val="0"/>
          <w:sz w:val="24"/>
        </w:rPr>
        <w:t>项目编号：</w:t>
      </w:r>
    </w:p>
    <w:p>
      <w:pPr>
        <w:widowControl/>
        <w:jc w:val="left"/>
        <w:rPr>
          <w:rFonts w:ascii="宋体" w:hAnsi="宋体" w:cs="宋体"/>
          <w:color w:val="000000"/>
          <w:kern w:val="0"/>
          <w:sz w:val="24"/>
        </w:rPr>
      </w:pPr>
      <w:r>
        <w:rPr>
          <w:rFonts w:hint="eastAsia" w:ascii="宋体" w:hAnsi="宋体" w:cs="宋体"/>
          <w:color w:val="000000"/>
          <w:kern w:val="0"/>
          <w:sz w:val="24"/>
        </w:rPr>
        <w:t>标一：</w:t>
      </w:r>
    </w:p>
    <w:p>
      <w:pPr>
        <w:widowControl/>
        <w:jc w:val="center"/>
        <w:rPr>
          <w:rFonts w:ascii="宋体" w:hAnsi="宋体" w:cs="宋体"/>
          <w:color w:val="000000"/>
          <w:kern w:val="0"/>
          <w:sz w:val="24"/>
        </w:rPr>
      </w:pPr>
      <w:r>
        <w:rPr>
          <w:rFonts w:hint="eastAsia" w:ascii="宋体" w:hAnsi="宋体" w:cs="宋体"/>
          <w:color w:val="000000"/>
          <w:kern w:val="0"/>
          <w:sz w:val="24"/>
        </w:rPr>
        <w:t>报价金额单位：人民币元</w:t>
      </w:r>
    </w:p>
    <w:tbl>
      <w:tblPr>
        <w:tblStyle w:val="20"/>
        <w:tblW w:w="5156" w:type="pct"/>
        <w:tblInd w:w="-223" w:type="dxa"/>
        <w:tblLayout w:type="fixed"/>
        <w:tblCellMar>
          <w:top w:w="0" w:type="dxa"/>
          <w:left w:w="108" w:type="dxa"/>
          <w:bottom w:w="0" w:type="dxa"/>
          <w:right w:w="108" w:type="dxa"/>
        </w:tblCellMar>
      </w:tblPr>
      <w:tblGrid>
        <w:gridCol w:w="1035"/>
        <w:gridCol w:w="1899"/>
        <w:gridCol w:w="4351"/>
        <w:gridCol w:w="1562"/>
        <w:gridCol w:w="986"/>
        <w:gridCol w:w="1322"/>
        <w:gridCol w:w="1731"/>
        <w:gridCol w:w="1731"/>
      </w:tblGrid>
      <w:tr>
        <w:tblPrEx>
          <w:tblCellMar>
            <w:top w:w="0" w:type="dxa"/>
            <w:left w:w="108" w:type="dxa"/>
            <w:bottom w:w="0" w:type="dxa"/>
            <w:right w:w="108" w:type="dxa"/>
          </w:tblCellMar>
        </w:tblPrEx>
        <w:trPr>
          <w:trHeight w:val="1404" w:hRule="atLeast"/>
        </w:trPr>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序号</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名称</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规格配置</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单位</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数量</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最高限价单价（元）</w:t>
            </w: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top"/>
          </w:tcPr>
          <w:p>
            <w:pPr>
              <w:widowControl/>
              <w:spacing w:line="360" w:lineRule="auto"/>
              <w:jc w:val="center"/>
              <w:textAlignment w:val="center"/>
              <w:rPr>
                <w:rFonts w:hint="eastAsia" w:ascii="宋体" w:hAnsi="宋体" w:eastAsia="宋体" w:cs="宋体"/>
                <w:color w:val="000000"/>
                <w:kern w:val="0"/>
                <w:sz w:val="24"/>
                <w:lang w:eastAsia="zh-CN"/>
              </w:rPr>
            </w:pPr>
            <w:r>
              <w:rPr>
                <w:rFonts w:hint="eastAsia" w:ascii="宋体" w:hAnsi="宋体" w:eastAsia="宋体" w:cs="宋体"/>
                <w:color w:val="000000"/>
                <w:kern w:val="0"/>
                <w:sz w:val="24"/>
                <w:lang w:eastAsia="zh-CN"/>
              </w:rPr>
              <w:t>各项单价统一折扣率</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w:t>
            </w:r>
            <w:r>
              <w:rPr>
                <w:rFonts w:hint="eastAsia" w:ascii="宋体" w:hAnsi="宋体" w:cs="宋体"/>
                <w:color w:val="000000"/>
                <w:kern w:val="0"/>
                <w:sz w:val="24"/>
                <w:lang w:eastAsia="zh-CN"/>
              </w:rPr>
              <w:t>）</w:t>
            </w: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top"/>
          </w:tcPr>
          <w:p>
            <w:pPr>
              <w:widowControl/>
              <w:spacing w:line="360" w:lineRule="auto"/>
              <w:jc w:val="center"/>
              <w:textAlignment w:val="center"/>
              <w:rPr>
                <w:rFonts w:hint="eastAsia" w:ascii="宋体" w:hAnsi="宋体" w:eastAsia="宋体" w:cs="宋体"/>
                <w:color w:val="000000"/>
                <w:kern w:val="0"/>
                <w:sz w:val="24"/>
                <w:lang w:eastAsia="zh-CN"/>
              </w:rPr>
            </w:pPr>
            <w:r>
              <w:rPr>
                <w:rFonts w:hint="eastAsia" w:ascii="宋体" w:hAnsi="宋体" w:cs="宋体"/>
                <w:color w:val="000000"/>
                <w:kern w:val="0"/>
                <w:sz w:val="24"/>
                <w:lang w:eastAsia="zh-CN"/>
              </w:rPr>
              <w:t>投标单价报价（元）</w:t>
            </w:r>
          </w:p>
        </w:tc>
      </w:tr>
      <w:tr>
        <w:tblPrEx>
          <w:tblCellMar>
            <w:top w:w="0" w:type="dxa"/>
            <w:left w:w="108" w:type="dxa"/>
            <w:bottom w:w="0" w:type="dxa"/>
            <w:right w:w="108" w:type="dxa"/>
          </w:tblCellMar>
        </w:tblPrEx>
        <w:trPr>
          <w:trHeight w:val="270" w:hRule="atLeast"/>
        </w:trPr>
        <w:tc>
          <w:tcPr>
            <w:tcW w:w="3437" w:type="pct"/>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left"/>
              <w:rPr>
                <w:rFonts w:ascii="宋体" w:hAnsi="宋体" w:cs="宋体"/>
                <w:color w:val="000000"/>
                <w:kern w:val="0"/>
                <w:sz w:val="24"/>
              </w:rPr>
            </w:pPr>
            <w:r>
              <w:rPr>
                <w:rFonts w:hint="eastAsia" w:ascii="宋体" w:hAnsi="宋体" w:cs="宋体"/>
                <w:color w:val="000000"/>
                <w:kern w:val="0"/>
                <w:sz w:val="24"/>
              </w:rPr>
              <w:t>一、标线类</w:t>
            </w: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left"/>
              <w:rPr>
                <w:rFonts w:hint="eastAsia" w:ascii="宋体" w:hAnsi="宋体" w:cs="宋体"/>
                <w:color w:val="000000"/>
                <w:kern w:val="0"/>
                <w:sz w:val="24"/>
              </w:rPr>
            </w:pPr>
          </w:p>
        </w:tc>
      </w:tr>
      <w:tr>
        <w:tblPrEx>
          <w:tblCellMar>
            <w:top w:w="0" w:type="dxa"/>
            <w:left w:w="108" w:type="dxa"/>
            <w:bottom w:w="0" w:type="dxa"/>
            <w:right w:w="108" w:type="dxa"/>
          </w:tblCellMar>
        </w:tblPrEx>
        <w:trPr>
          <w:trHeight w:val="3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预成型反光标带</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彩色防滑标线，厚度1.5-2.5mm</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120</w:t>
            </w:r>
          </w:p>
        </w:tc>
        <w:tc>
          <w:tcPr>
            <w:tcW w:w="461" w:type="pct"/>
            <w:vMerge w:val="restart"/>
            <w:tcBorders>
              <w:top w:val="single" w:color="000000" w:sz="4" w:space="0"/>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6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彩色防滑路面标线</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厚度≥3.0mm,彩色公交专用道(含黄色专用道)</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138</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30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绿色泊位标线</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厚度≥3.0mm</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138</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4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常温标线</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厚度：0.3mm～0.5mm</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普通热熔标线、地面标识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热熔反光型标线厚度≥1.8mm，均匀撒布反光珠</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3"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Ⅱ级反光热熔标线</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热熔反光型标线厚度≥1.8mm，均匀撒布反光珠，符合F80-2017(公路工程质量检验评定标准）标线施划后检测逆反射亮度系数≥250，一年内任意一次检测时数值均需≥150。</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53</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7</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普通热熔振荡标线</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基线厚度≥1.5mm，突起部分高度≥5mm，均匀撒布反光珠</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70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142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8</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Ⅱ级振荡反光热熔标线</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基线厚度≥1.5mm，突起部分高度≥5mm，均匀撒布反光珠，符合F80-2017(公路工程质量检验评定标准）标线施划后检测逆反射亮度系数≥250，一年内任意一次检测时数值均需≥150。</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adjustRightInd/>
              <w:spacing w:line="360" w:lineRule="auto"/>
              <w:ind w:firstLine="0"/>
              <w:jc w:val="center"/>
              <w:textAlignment w:val="auto"/>
              <w:rPr>
                <w:rFonts w:cs="宋体" w:asciiTheme="minorEastAsia" w:hAnsiTheme="minorEastAsia" w:eastAsiaTheme="minorEastAsia"/>
                <w:color w:val="000000"/>
                <w:sz w:val="24"/>
              </w:rPr>
            </w:pPr>
            <w:r>
              <w:rPr>
                <w:rFonts w:asciiTheme="minorEastAsia" w:hAnsiTheme="minorEastAsia" w:eastAsiaTheme="minorEastAsia"/>
                <w:sz w:val="24"/>
                <w:szCs w:val="24"/>
              </w:rPr>
              <w:t>93</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120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9</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双组份结构型反光标线</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1、MMA材质；2、不粘胎干结时间：≤15分钟；3、耐磨性：≤40mg；4、符合F80-2017(公路工程质量检验评定标准）标线施划后检测逆反射亮度系数≥350，一年内任意一次检测时数值均需≥150。</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123</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120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雨夜标线</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标线施划表面撒播白色或黄色雨夜反光珠和玻璃珠，雨夜珠播量≥200g/m2，玻璃珠撒播量≥200g/m2。雨夜珠应为全天候高亮雨夜珠，外观为不规则形状，表层</w:t>
            </w:r>
          </w:p>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为微晶陶瓷珠涂层结构。</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161</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绿化带端头刷漆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按照GB5768要求施划立面标记，黄黑反光漆</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34</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双组份标线（甩涂型）</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含地面、夯平、图形制作、底胶浸倒、陶珠散布、余珠清除</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87</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13</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双组份标线（喷涂型）</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含地面、夯平、图形制作、底胶浸倒、陶珠散布、余珠清除</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30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高亮反光热熔标线（刮涂型）</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厚度≥0.7mm，逆反射亮度系数≥350。</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30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高亮反光热熔标线（喷涂型）</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厚度≥0.7mm，逆反射亮度系数≥350。</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110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高压水除线（带回收）</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超高压水磨清洗法，清除老标线，无明显痕迹（回收残渣）</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16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17</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高压水除线</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超高压水磨清洗法，清除老标线，无明显痕迹，</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40</w:t>
            </w:r>
          </w:p>
        </w:tc>
        <w:tc>
          <w:tcPr>
            <w:tcW w:w="461" w:type="pct"/>
            <w:vMerge w:val="continue"/>
            <w:tcBorders>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437"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left"/>
              <w:rPr>
                <w:rFonts w:cs="宋体" w:asciiTheme="minorEastAsia" w:hAnsiTheme="minorEastAsia" w:eastAsiaTheme="minorEastAsia"/>
                <w:color w:val="000000"/>
                <w:sz w:val="24"/>
              </w:rPr>
            </w:pPr>
            <w:r>
              <w:rPr>
                <w:rFonts w:hint="eastAsia" w:cs="宋体" w:asciiTheme="minorEastAsia" w:hAnsiTheme="minorEastAsia" w:eastAsiaTheme="minorEastAsia"/>
                <w:color w:val="000000"/>
                <w:kern w:val="0"/>
                <w:sz w:val="24"/>
              </w:rPr>
              <w:t>二、标志类</w:t>
            </w:r>
          </w:p>
        </w:tc>
        <w:tc>
          <w:tcPr>
            <w:tcW w:w="4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left"/>
              <w:rPr>
                <w:rFonts w:hint="eastAsia" w:cs="宋体" w:asciiTheme="minorEastAsia" w:hAnsiTheme="minorEastAsia" w:eastAsiaTheme="minorEastAsia"/>
                <w:color w:val="000000"/>
                <w:kern w:val="0"/>
                <w:sz w:val="24"/>
              </w:rPr>
            </w:pPr>
          </w:p>
        </w:tc>
      </w:tr>
      <w:tr>
        <w:tblPrEx>
          <w:tblCellMar>
            <w:top w:w="0" w:type="dxa"/>
            <w:left w:w="108" w:type="dxa"/>
            <w:bottom w:w="0" w:type="dxa"/>
            <w:right w:w="108" w:type="dxa"/>
          </w:tblCellMar>
        </w:tblPrEx>
        <w:trPr>
          <w:trHeight w:val="70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道路标志牌三角形（单位：cm)△70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标志膜采用第IV类反光膜,并安装于指定位置，采用2.0mm厚度铝合金板。详见项目技术规范</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cs="宋体" w:asciiTheme="minorEastAsia" w:hAnsiTheme="minorEastAsia" w:eastAsiaTheme="minorEastAsia"/>
                <w:color w:val="000000"/>
                <w:sz w:val="24"/>
              </w:rPr>
            </w:pPr>
            <w:r>
              <w:rPr>
                <w:rFonts w:asciiTheme="minorEastAsia" w:hAnsiTheme="minorEastAsia" w:eastAsiaTheme="minorEastAsia"/>
                <w:sz w:val="24"/>
                <w:szCs w:val="24"/>
              </w:rPr>
              <w:t>150</w:t>
            </w:r>
          </w:p>
        </w:tc>
        <w:tc>
          <w:tcPr>
            <w:tcW w:w="461" w:type="pct"/>
            <w:vMerge w:val="restar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p>
        </w:tc>
      </w:tr>
      <w:tr>
        <w:tblPrEx>
          <w:tblCellMar>
            <w:top w:w="0" w:type="dxa"/>
            <w:left w:w="108" w:type="dxa"/>
            <w:bottom w:w="0" w:type="dxa"/>
            <w:right w:w="108" w:type="dxa"/>
          </w:tblCellMar>
        </w:tblPrEx>
        <w:trPr>
          <w:trHeight w:val="66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道路标志牌三角形（单位：cm)△90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180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道路标志牌三角形（单位：cm)△110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道路标志牌圆形（单位：cm）Φ60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170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道路标志牌圆形（单位：cm）Φ80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240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道路标志牌圆形（单位：cm）Φ100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390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7</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道路标志牌正方形（单位:cm）60×60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196</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8</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道路标志牌正方形（单位:cm）80×80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320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9</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道路标志牌正方形（单位:cm）100×100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485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道路标志牌长方形（单位：cm）60×30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道路标志牌长方形（单位：cm）80×40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180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道路标志牌长方形（单位：cm）100×50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250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13</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道路标志牌长方形（单位：cm）120×60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360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道路标志牌三角形（单位：cm)△130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标志膜采用第IV类反光膜,并安装于指定位置，采用3.0mm厚度铝合金板。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72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道路标志牌圆形（单位：cm）Φ120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标志膜采用第IV类反光膜,并安装于指定位置，采用3.0mm厚度铝合金板。详见项目技术规范</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750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道路标志牌正方形（单位:cm）120×120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标志膜采用第IV类反光膜,并安装于指定位置，采用3.0mm厚度铝合金板。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color w:val="000000"/>
                <w:sz w:val="24"/>
                <w:szCs w:val="24"/>
              </w:rPr>
              <w:t>853</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17</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道路标志牌长方形（单位：cm）140×100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标志膜采用第IV类反光膜,并安装于指定位置，采用3.0mm厚度铝合金板。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color w:val="000000"/>
                <w:sz w:val="24"/>
                <w:szCs w:val="24"/>
              </w:rPr>
              <w:t>814</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18</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道路标志牌三角形（单位：cm)△70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cs="宋体" w:asciiTheme="minorEastAsia" w:hAnsiTheme="minorEastAsia" w:eastAsiaTheme="minorEastAsia"/>
                <w:color w:val="000000"/>
                <w:sz w:val="24"/>
              </w:rPr>
            </w:pPr>
            <w:r>
              <w:rPr>
                <w:rFonts w:asciiTheme="minorEastAsia" w:hAnsiTheme="minorEastAsia" w:eastAsiaTheme="minorEastAsia"/>
                <w:sz w:val="24"/>
                <w:szCs w:val="24"/>
              </w:rPr>
              <w:t>250</w:t>
            </w:r>
          </w:p>
        </w:tc>
        <w:tc>
          <w:tcPr>
            <w:tcW w:w="461" w:type="pct"/>
            <w:vMerge w:val="continue"/>
            <w:tcBorders>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19</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道路标志牌三角形（单位：cm)△90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450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道路标志牌三角形（单位：cm)△110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道路标志牌圆形（单位：cm）Φ60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320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道路标志牌圆形（单位：cm）Φ80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420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23</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道路标志牌圆形（单位：cm）Φ100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791</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道路标志牌正方形（单位:cm）60×60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道路标志牌正方形（单位:cm）80×80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520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道路标志牌正方形（单位:cm）100×100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810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27</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道路标志牌长方形（单位：cm）60×30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170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28</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道路标志牌长方形（单位：cm）80×40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270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29</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道路标志牌长方形（单位：cm）100×50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420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道路标志牌长方形（单位：cm）120×60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590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道路标志牌三角形（单位：cm)△130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标志膜采用第V类反光膜,并安装于指定位置，采用3.0mm厚度铝合金板。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610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道路标志牌圆形（单位：cm）Φ120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标志膜采用第V类反光膜,并安装于指定位置，采用3.0mm厚度铝合金板。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1100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33</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道路标志牌正方形（单位:cm）120×120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标志膜采用第V类反光膜,并安装于指定位置，采用3.0mm厚度铝合金板。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1200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道路标志牌长方形（单位：cm）140×100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标志膜采用第V类反光膜,并安装于指定位置，采用3.0mm厚度铝合金板。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1150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道路标志牌1.2至3m²（按2.1 m²板计）</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标志膜采用第V类反光膜,并安装于指定位置，采用3.0mm厚度铝合金板。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1900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道路标志牌3至5m²（按4 m²板计）</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标志膜采用第V类反光膜,并安装于指定位置，采用3.0mm厚度铝合金板。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3300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37</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道路标志牌5至7m²（按6 m²板计）</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标志膜采用第V类反光膜,并安装于指定位置，采用3.0mm厚度铝合金板。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4600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38</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道路标志牌7至9m²（按8 m²板计）</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标志膜采用第V类反光膜,并安装于指定位置，采用3.0mm厚度铝合金板。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5800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39</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道路标志牌9至12m²（按10.5 m²板计）</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标志膜采用第V类反光膜,并安装于指定位置，采用3.0mm厚度铝合金板。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8400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道路标志牌12至15m²（按13.5 m²板计）</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标志膜采用第V类反光膜,并安装于指定位置，采用3.0mm厚度铝合金板。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11000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道路标志牌15m²以上（按18 m²板计）</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标志膜采用第V类反光膜,并安装于指定位置，采用3.0mm厚度铝合金板。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15000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标志牌去膜改版（字按热熔字考虑，字体面积按版面的1/3计算）</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贴第IV类反光膜(单块标牌面积1m²起算)</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216</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43</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标志牌去膜改版</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贴第V类反光膜(单块标牌面积1m²起算)</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441</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52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贴膜</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杆件、警示桩、护栏边柱、岗亭等设施贴第IV类反光膜</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119</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标志牌清洗</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仅限大于5m²的，小于等于5m²的包含于年度维护费中</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0.79</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钢支架</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钢制活动支架，用以直接设置在路上，并安装于指定位置</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t</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5340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47</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设备支架制作安装</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设备支架制作安装每组重量0.2t以内</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t</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8540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48</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设备支架制作安装</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设备支架制作安装每组重量0.2-0.5t</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t</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8413</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49</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设备支架制作安装</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设备支架制作安装每组重量0.5-1t</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t</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8144</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设备支架制作安装</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设备支架制作安装每组重量1-3t</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t</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7866</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设备支架制作安装</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设备支架制作安装每组重量3-5t</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t</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7607</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KT板（广告牌）</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按1*1.2m亚克力板计算</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110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53</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三角形（单位：cm)△70标志版拆除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95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三角形（单位：cm)△90标志版拆除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103</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三角形（单位：cm)△110标志版拆除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110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三角形（单位：cm)△130标志版拆除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118</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57</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圆形（单位：cm）Φ60标志版拆除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103</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58</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圆形（单位：cm）Φ80标志版拆除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110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59</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圆形（单位：cm）Φ100标志版拆除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118</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60</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圆形（单位：cm）Φ120标志版拆除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145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61</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正方形（单位:cm）60×60标志版拆除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103</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62</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正方形（单位:cm）80×80标志版拆除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110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63</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正方形（单位:cm）100×100标志版拆除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118</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64</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正方形（单位:cm）120×120标志版拆除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145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65</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长方形（单位：cm）60×30标志版拆除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95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66</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长方形（单位：cm）80×40标志版拆除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103</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67</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长方形（单位：cm）100×50标志版拆除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110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68</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长方形（单位：cm）120×60标志版拆除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118</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69</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长方形（单位：cm）140×100标志版拆除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126</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70</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面积1.5-3m2以内标志版拆除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280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71</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面积3-5m2以内标志版拆除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446</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72</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面积5-7m2以内标志版拆除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646</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73</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面积7-9m2以内标志版拆除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859</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74</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面积9-12m2以内标志版拆除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1045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75</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面积12-15m2以内标志版拆除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1214</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76</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面积15m2以上标志版拆除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1343</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77</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发光标志</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标志板面发光设计，全（半）透型面板显示</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m²</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4000</w:t>
            </w:r>
          </w:p>
        </w:tc>
        <w:tc>
          <w:tcPr>
            <w:tcW w:w="461" w:type="pct"/>
            <w:vMerge w:val="continue"/>
            <w:tcBorders>
              <w:left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78</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LED分体式可变车道标志板</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V类反光膜</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6500</w:t>
            </w:r>
          </w:p>
        </w:tc>
        <w:tc>
          <w:tcPr>
            <w:tcW w:w="461" w:type="pct"/>
            <w:vMerge w:val="continue"/>
            <w:tcBorders>
              <w:left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79</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可变车道诱导屏</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0.8*1.2m，含控制箱，匹配现有工程</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12000</w:t>
            </w:r>
          </w:p>
        </w:tc>
        <w:tc>
          <w:tcPr>
            <w:tcW w:w="461" w:type="pct"/>
            <w:vMerge w:val="continue"/>
            <w:tcBorders>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437" w:type="pct"/>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left"/>
              <w:rPr>
                <w:rFonts w:cs="宋体" w:asciiTheme="minorEastAsia" w:hAnsiTheme="minorEastAsia" w:eastAsiaTheme="minorEastAsia"/>
                <w:color w:val="000000"/>
                <w:sz w:val="24"/>
              </w:rPr>
            </w:pPr>
            <w:r>
              <w:rPr>
                <w:rFonts w:hint="eastAsia" w:cs="宋体" w:asciiTheme="minorEastAsia" w:hAnsiTheme="minorEastAsia" w:eastAsiaTheme="minorEastAsia"/>
                <w:color w:val="000000"/>
                <w:kern w:val="0"/>
                <w:sz w:val="24"/>
              </w:rPr>
              <w:t>三、立杆</w:t>
            </w: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left"/>
              <w:rPr>
                <w:rFonts w:hint="eastAsia" w:cs="宋体" w:asciiTheme="minorEastAsia" w:hAnsiTheme="minorEastAsia" w:eastAsiaTheme="minorEastAsia"/>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Ф60H3米立杆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201</w:t>
            </w:r>
          </w:p>
        </w:tc>
        <w:tc>
          <w:tcPr>
            <w:tcW w:w="461" w:type="pct"/>
            <w:vMerge w:val="restart"/>
            <w:tcBorders>
              <w:top w:val="single" w:color="000000" w:sz="4" w:space="0"/>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Ф89H2米立杆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210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Ф89H3米立杆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270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Ф89H3.5米立杆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Ф89H4米立杆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330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Ф114H0.85米反光柱</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176</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7</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Ф114H1米立杆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8</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Ф114H3米立杆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330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9</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Ф114H3.3米立杆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365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Ф114H3.5米立杆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Ф114H4米立杆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420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Ф114H4.5米立杆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450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13</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Ф114H4.7米立杆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465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Ф114H4.8米立杆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Ф114H5米立杆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557</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Ф114H5.5米立杆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601</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17</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Ф114H6米立杆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644</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85"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18</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165*5.5米</w:t>
            </w:r>
            <w:r>
              <w:rPr>
                <w:rStyle w:val="30"/>
                <w:rFonts w:hint="eastAsia" w:ascii="宋体" w:hAnsi="宋体" w:cs="宋体"/>
                <w:sz w:val="24"/>
                <w:szCs w:val="24"/>
              </w:rPr>
              <w:t>F</w:t>
            </w:r>
            <w:r>
              <w:rPr>
                <w:rFonts w:hint="eastAsia" w:ascii="宋体" w:hAnsi="宋体" w:cs="宋体"/>
                <w:color w:val="000000"/>
                <w:kern w:val="0"/>
                <w:sz w:val="24"/>
              </w:rPr>
              <w:t>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1、立柱：165*10*6500镀锌钢管</w:t>
            </w:r>
            <w:r>
              <w:rPr>
                <w:rFonts w:hint="eastAsia" w:ascii="宋体" w:hAnsi="宋体" w:cs="宋体"/>
                <w:color w:val="000000"/>
                <w:kern w:val="0"/>
                <w:sz w:val="24"/>
              </w:rPr>
              <w:cr/>
            </w:r>
            <w:r>
              <w:rPr>
                <w:rFonts w:hint="eastAsia" w:ascii="宋体" w:hAnsi="宋体" w:cs="宋体"/>
                <w:color w:val="000000"/>
                <w:kern w:val="0"/>
                <w:sz w:val="24"/>
              </w:rPr>
              <w:t>2、横梁：89*8*5500镀锌钢管</w:t>
            </w:r>
            <w:r>
              <w:rPr>
                <w:rFonts w:hint="eastAsia" w:ascii="宋体" w:hAnsi="宋体" w:cs="宋体"/>
                <w:color w:val="000000"/>
                <w:kern w:val="0"/>
                <w:sz w:val="24"/>
              </w:rPr>
              <w:cr/>
            </w:r>
            <w:r>
              <w:rPr>
                <w:rFonts w:hint="eastAsia" w:ascii="宋体" w:hAnsi="宋体" w:cs="宋体"/>
                <w:color w:val="000000"/>
                <w:kern w:val="0"/>
                <w:sz w:val="24"/>
              </w:rPr>
              <w:t>3、滑动槽钢、抱箍及加劲肋等，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9000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85"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19</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165*4.5米</w:t>
            </w:r>
            <w:r>
              <w:rPr>
                <w:rStyle w:val="30"/>
                <w:rFonts w:hint="eastAsia" w:ascii="宋体" w:hAnsi="宋体" w:cs="宋体"/>
                <w:sz w:val="24"/>
                <w:szCs w:val="24"/>
              </w:rPr>
              <w:t>F</w:t>
            </w:r>
            <w:r>
              <w:rPr>
                <w:rFonts w:hint="eastAsia" w:ascii="宋体" w:hAnsi="宋体" w:cs="宋体"/>
                <w:color w:val="000000"/>
                <w:kern w:val="0"/>
                <w:sz w:val="24"/>
              </w:rPr>
              <w:t>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1、立柱：165*10*6500镀锌钢管</w:t>
            </w:r>
            <w:r>
              <w:rPr>
                <w:rFonts w:hint="eastAsia" w:ascii="宋体" w:hAnsi="宋体" w:cs="宋体"/>
                <w:color w:val="000000"/>
                <w:kern w:val="0"/>
                <w:sz w:val="24"/>
              </w:rPr>
              <w:cr/>
            </w:r>
            <w:r>
              <w:rPr>
                <w:rFonts w:hint="eastAsia" w:ascii="宋体" w:hAnsi="宋体" w:cs="宋体"/>
                <w:color w:val="000000"/>
                <w:kern w:val="0"/>
                <w:sz w:val="24"/>
              </w:rPr>
              <w:t>2、横梁：89*8*5500镀锌钢管</w:t>
            </w:r>
            <w:r>
              <w:rPr>
                <w:rFonts w:hint="eastAsia" w:ascii="宋体" w:hAnsi="宋体" w:cs="宋体"/>
                <w:color w:val="000000"/>
                <w:kern w:val="0"/>
                <w:sz w:val="24"/>
              </w:rPr>
              <w:cr/>
            </w:r>
            <w:r>
              <w:rPr>
                <w:rFonts w:hint="eastAsia" w:ascii="宋体" w:hAnsi="宋体" w:cs="宋体"/>
                <w:color w:val="000000"/>
                <w:kern w:val="0"/>
                <w:sz w:val="24"/>
              </w:rPr>
              <w:t>3、滑动槽钢、抱箍及加劲肋等，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8900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6.8*5米悬臂八棱杆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1、立柱：八角φ（300~500）*10*6.9m镀锌钢管</w:t>
            </w:r>
            <w:r>
              <w:rPr>
                <w:rFonts w:hint="eastAsia" w:ascii="宋体" w:hAnsi="宋体" w:cs="宋体"/>
                <w:color w:val="000000"/>
                <w:kern w:val="0"/>
                <w:sz w:val="24"/>
              </w:rPr>
              <w:cr/>
            </w:r>
            <w:r>
              <w:rPr>
                <w:rFonts w:hint="eastAsia" w:ascii="宋体" w:hAnsi="宋体" w:cs="宋体"/>
                <w:color w:val="000000"/>
                <w:kern w:val="0"/>
                <w:sz w:val="24"/>
              </w:rPr>
              <w:t>2、横梁：八角φ（110~250）*8*5.0m镀锌钢管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26994</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6.8*6米悬臂八棱杆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1、立柱：八角φ（300~500）*10*6.9m镀锌钢管</w:t>
            </w:r>
            <w:r>
              <w:rPr>
                <w:rFonts w:hint="eastAsia" w:ascii="宋体" w:hAnsi="宋体" w:cs="宋体"/>
                <w:color w:val="000000"/>
                <w:kern w:val="0"/>
                <w:sz w:val="24"/>
              </w:rPr>
              <w:cr/>
            </w:r>
            <w:r>
              <w:rPr>
                <w:rFonts w:hint="eastAsia" w:ascii="宋体" w:hAnsi="宋体" w:cs="宋体"/>
                <w:color w:val="000000"/>
                <w:kern w:val="0"/>
                <w:sz w:val="24"/>
              </w:rPr>
              <w:t>2、横梁：八角φ（110~250）*8*6.0m镀锌钢管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27228</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6.8*7米悬臂八棱杆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1、立柱：八角φ（300~500）*10*6.9m镀锌钢管</w:t>
            </w:r>
            <w:r>
              <w:rPr>
                <w:rFonts w:hint="eastAsia" w:ascii="宋体" w:hAnsi="宋体" w:cs="宋体"/>
                <w:color w:val="000000"/>
                <w:kern w:val="0"/>
                <w:sz w:val="24"/>
              </w:rPr>
              <w:cr/>
            </w:r>
            <w:r>
              <w:rPr>
                <w:rFonts w:hint="eastAsia" w:ascii="宋体" w:hAnsi="宋体" w:cs="宋体"/>
                <w:color w:val="000000"/>
                <w:kern w:val="0"/>
                <w:sz w:val="24"/>
              </w:rPr>
              <w:t>2、横梁：八角φ（110~250）*8*7.0m镀锌钢管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27461</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23</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6.8*8米悬臂八棱杆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1、立柱：八角φ（300~500）*10*6.9m镀锌钢管</w:t>
            </w:r>
            <w:r>
              <w:rPr>
                <w:rFonts w:hint="eastAsia" w:ascii="宋体" w:hAnsi="宋体" w:cs="宋体"/>
                <w:color w:val="000000"/>
                <w:kern w:val="0"/>
                <w:sz w:val="24"/>
              </w:rPr>
              <w:cr/>
            </w:r>
            <w:r>
              <w:rPr>
                <w:rFonts w:hint="eastAsia" w:ascii="宋体" w:hAnsi="宋体" w:cs="宋体"/>
                <w:color w:val="000000"/>
                <w:kern w:val="0"/>
                <w:sz w:val="24"/>
              </w:rPr>
              <w:t>2、横梁：八角φ（110~250）*8*8.0m镀锌钢管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27688</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24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6.8*9米悬臂八棱杆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1、立柱：八角φ（300~500）*10*6.9m镀锌钢管</w:t>
            </w:r>
            <w:r>
              <w:rPr>
                <w:rFonts w:hint="eastAsia" w:ascii="宋体" w:hAnsi="宋体" w:cs="宋体"/>
                <w:color w:val="000000"/>
                <w:kern w:val="0"/>
                <w:sz w:val="24"/>
              </w:rPr>
              <w:cr/>
            </w:r>
            <w:r>
              <w:rPr>
                <w:rFonts w:hint="eastAsia" w:ascii="宋体" w:hAnsi="宋体" w:cs="宋体"/>
                <w:color w:val="000000"/>
                <w:kern w:val="0"/>
                <w:sz w:val="24"/>
              </w:rPr>
              <w:t>2、横梁：八角φ（110~250）*8*9.0m镀锌钢管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27922</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6.8*9米*7米双挑悬臂八棱杆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1、立柱：八角φ（300~500）*10*6.9m镀锌钢管</w:t>
            </w:r>
            <w:r>
              <w:rPr>
                <w:rFonts w:hint="eastAsia" w:ascii="宋体" w:hAnsi="宋体" w:cs="宋体"/>
                <w:color w:val="000000"/>
                <w:kern w:val="0"/>
                <w:sz w:val="24"/>
              </w:rPr>
              <w:cr/>
            </w:r>
            <w:r>
              <w:rPr>
                <w:rFonts w:hint="eastAsia" w:ascii="宋体" w:hAnsi="宋体" w:cs="宋体"/>
                <w:color w:val="000000"/>
                <w:kern w:val="0"/>
                <w:sz w:val="24"/>
              </w:rPr>
              <w:t>2、横梁：八角φ（110~250）*8*(9+7)m镀锌钢管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29556</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6.8*9米双挑悬臂八棱杆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1、立柱：八角φ（300~500）*10*6.9m镀锌钢管</w:t>
            </w:r>
            <w:r>
              <w:rPr>
                <w:rFonts w:hint="eastAsia" w:ascii="宋体" w:hAnsi="宋体" w:cs="宋体"/>
                <w:color w:val="000000"/>
                <w:kern w:val="0"/>
                <w:sz w:val="24"/>
              </w:rPr>
              <w:cr/>
            </w:r>
            <w:r>
              <w:rPr>
                <w:rFonts w:hint="eastAsia" w:ascii="宋体" w:hAnsi="宋体" w:cs="宋体"/>
                <w:color w:val="000000"/>
                <w:kern w:val="0"/>
                <w:sz w:val="24"/>
              </w:rPr>
              <w:t>2、横梁：八角φ（110~250）*8*(9+9)m镀锌钢管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30023</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27</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6.8*11米悬臂八棱杆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1、立柱：八角φ（300~500）*10*6.9m镀锌钢管</w:t>
            </w:r>
            <w:r>
              <w:rPr>
                <w:rFonts w:hint="eastAsia" w:ascii="宋体" w:hAnsi="宋体" w:cs="宋体"/>
                <w:color w:val="000000"/>
                <w:kern w:val="0"/>
                <w:sz w:val="24"/>
              </w:rPr>
              <w:cr/>
            </w:r>
            <w:r>
              <w:rPr>
                <w:rFonts w:hint="eastAsia" w:ascii="宋体" w:hAnsi="宋体" w:cs="宋体"/>
                <w:color w:val="000000"/>
                <w:kern w:val="0"/>
                <w:sz w:val="24"/>
              </w:rPr>
              <w:t>2、横梁：八角φ（110~250）*8*11m镀锌钢管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28389</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28</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6.8*15米悬臂八棱杆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1、立柱：八角φ（300~500）*10*6.9m镀锌钢管</w:t>
            </w:r>
            <w:r>
              <w:rPr>
                <w:rFonts w:hint="eastAsia" w:ascii="宋体" w:hAnsi="宋体" w:cs="宋体"/>
                <w:color w:val="000000"/>
                <w:kern w:val="0"/>
                <w:sz w:val="24"/>
              </w:rPr>
              <w:cr/>
            </w:r>
            <w:r>
              <w:rPr>
                <w:rFonts w:hint="eastAsia" w:ascii="宋体" w:hAnsi="宋体" w:cs="宋体"/>
                <w:color w:val="000000"/>
                <w:kern w:val="0"/>
                <w:sz w:val="24"/>
              </w:rPr>
              <w:t>2、横梁：八角φ（110~250）*8*15m镀锌钢管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29323</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29</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219杆4*5.5悬臂杆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w:t>
            </w:r>
            <w:r>
              <w:rPr>
                <w:rFonts w:hint="eastAsia" w:ascii="宋体" w:hAnsi="宋体" w:cs="宋体"/>
                <w:color w:val="FF0000"/>
                <w:kern w:val="0"/>
                <w:sz w:val="24"/>
              </w:rPr>
              <w:t>立柱</w:t>
            </w:r>
            <w:r>
              <w:rPr>
                <w:rFonts w:hint="eastAsia" w:ascii="宋体" w:hAnsi="宋体" w:cs="宋体"/>
                <w:color w:val="FF0000"/>
                <w:kern w:val="0"/>
                <w:sz w:val="24"/>
                <w:shd w:val="clear"/>
              </w:rPr>
              <w:t>：φ219*10*6500镀锌钢管</w:t>
            </w:r>
            <w:r>
              <w:rPr>
                <w:rFonts w:hint="eastAsia" w:ascii="宋体" w:hAnsi="宋体" w:cs="宋体"/>
                <w:color w:val="FF0000"/>
                <w:kern w:val="0"/>
                <w:sz w:val="24"/>
                <w:shd w:val="clear"/>
              </w:rPr>
              <w:cr/>
            </w:r>
            <w:r>
              <w:rPr>
                <w:rFonts w:hint="eastAsia" w:ascii="宋体" w:hAnsi="宋体" w:cs="宋体"/>
                <w:color w:val="000000"/>
                <w:kern w:val="0"/>
                <w:sz w:val="24"/>
                <w:shd w:val="clear"/>
              </w:rPr>
              <w:t>2、横梁：φ168*8*5000(543)镀锌钢管</w:t>
            </w:r>
            <w:r>
              <w:rPr>
                <w:rFonts w:hint="eastAsia" w:ascii="宋体" w:hAnsi="宋体" w:cs="宋体"/>
                <w:color w:val="000000"/>
                <w:kern w:val="0"/>
                <w:sz w:val="24"/>
                <w:shd w:val="clear"/>
              </w:rPr>
              <w:cr/>
            </w:r>
            <w:r>
              <w:rPr>
                <w:rFonts w:hint="eastAsia" w:ascii="宋体" w:hAnsi="宋体" w:cs="宋体"/>
                <w:color w:val="000000"/>
                <w:kern w:val="0"/>
                <w:sz w:val="24"/>
                <w:shd w:val="clear"/>
              </w:rPr>
              <w:t>3、法兰盘及加</w:t>
            </w:r>
            <w:r>
              <w:rPr>
                <w:rFonts w:hint="eastAsia" w:ascii="宋体" w:hAnsi="宋体" w:cs="宋体"/>
                <w:color w:val="000000"/>
                <w:kern w:val="0"/>
                <w:sz w:val="24"/>
                <w:highlight w:val="none"/>
                <w:shd w:val="clear"/>
              </w:rPr>
              <w:t>劲肋等</w:t>
            </w:r>
            <w:r>
              <w:rPr>
                <w:rFonts w:hint="eastAsia" w:ascii="宋体" w:hAnsi="宋体" w:cs="宋体"/>
                <w:color w:val="000000"/>
                <w:kern w:val="0"/>
                <w:sz w:val="24"/>
                <w:highlight w:val="none"/>
                <w:shd w:val="clear"/>
              </w:rPr>
              <w:cr/>
            </w:r>
            <w:r>
              <w:rPr>
                <w:rFonts w:hint="eastAsia" w:ascii="宋体" w:hAnsi="宋体" w:cs="宋体"/>
                <w:color w:val="000000"/>
                <w:kern w:val="0"/>
                <w:sz w:val="24"/>
                <w:highlight w:val="none"/>
                <w:shd w:val="clear"/>
              </w:rPr>
              <w:t>4、C25钢筋混凝土基础+C10细石砼垫层+200厚片石垫层</w:t>
            </w:r>
            <w:r>
              <w:rPr>
                <w:rFonts w:hint="eastAsia" w:ascii="宋体" w:hAnsi="宋体" w:cs="宋体"/>
                <w:color w:val="000000"/>
                <w:kern w:val="0"/>
                <w:sz w:val="24"/>
                <w:highlight w:val="none"/>
                <w:shd w:val="clear"/>
              </w:rPr>
              <w:cr/>
            </w:r>
            <w:r>
              <w:rPr>
                <w:rFonts w:hint="eastAsia" w:ascii="宋体" w:hAnsi="宋体" w:cs="宋体"/>
                <w:color w:val="000000"/>
                <w:kern w:val="0"/>
                <w:sz w:val="24"/>
                <w:highlight w:val="none"/>
                <w:shd w:val="clear"/>
              </w:rPr>
              <w:t>详见8.附件：图纸，如参数与图纸不一致，以图纸为准。</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9600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273型×4.5"×5.5m(Ф800)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1、立柱：φ273*14*7900镀锌钢管</w:t>
            </w:r>
            <w:r>
              <w:rPr>
                <w:rFonts w:hint="eastAsia" w:ascii="宋体" w:hAnsi="宋体" w:cs="宋体"/>
                <w:color w:val="000000"/>
                <w:kern w:val="0"/>
                <w:sz w:val="24"/>
              </w:rPr>
              <w:cr/>
            </w:r>
            <w:r>
              <w:rPr>
                <w:rFonts w:hint="eastAsia" w:ascii="宋体" w:hAnsi="宋体" w:cs="宋体"/>
                <w:color w:val="000000"/>
                <w:kern w:val="0"/>
                <w:sz w:val="24"/>
              </w:rPr>
              <w:t>2、横梁：φ150*8*5500(543)镀锌钢管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18000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273型*5"*5米悬臂杆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1、立柱：φ273*14*7900镀锌钢管</w:t>
            </w:r>
            <w:r>
              <w:rPr>
                <w:rFonts w:hint="eastAsia" w:ascii="宋体" w:hAnsi="宋体" w:cs="宋体"/>
                <w:color w:val="000000"/>
                <w:kern w:val="0"/>
                <w:sz w:val="24"/>
              </w:rPr>
              <w:cr/>
            </w:r>
            <w:r>
              <w:rPr>
                <w:rFonts w:hint="eastAsia" w:ascii="宋体" w:hAnsi="宋体" w:cs="宋体"/>
                <w:color w:val="000000"/>
                <w:kern w:val="0"/>
                <w:sz w:val="24"/>
              </w:rPr>
              <w:t>2、横梁：φ168*8*5000(543)镀锌钢管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18800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32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273型*5"*5.5米悬臂杆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1、立柱：φ273*14*7900镀锌钢管</w:t>
            </w:r>
            <w:r>
              <w:rPr>
                <w:rFonts w:hint="eastAsia" w:ascii="宋体" w:hAnsi="宋体" w:cs="宋体"/>
                <w:color w:val="000000"/>
                <w:kern w:val="0"/>
                <w:sz w:val="24"/>
              </w:rPr>
              <w:cr/>
            </w:r>
            <w:r>
              <w:rPr>
                <w:rFonts w:hint="eastAsia" w:ascii="宋体" w:hAnsi="宋体" w:cs="宋体"/>
                <w:color w:val="000000"/>
                <w:kern w:val="0"/>
                <w:sz w:val="24"/>
              </w:rPr>
              <w:t>2、横梁：φ168*8*5500(543)镀锌钢管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19200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33</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273型*7*7双挑悬臂杆（厚10cm）</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1、立柱：φ273*14*7900镀锌钢管</w:t>
            </w:r>
            <w:r>
              <w:rPr>
                <w:rFonts w:hint="eastAsia" w:ascii="宋体" w:hAnsi="宋体" w:cs="宋体"/>
                <w:color w:val="000000"/>
                <w:kern w:val="0"/>
                <w:sz w:val="24"/>
              </w:rPr>
              <w:cr/>
            </w:r>
            <w:r>
              <w:rPr>
                <w:rFonts w:hint="eastAsia" w:ascii="宋体" w:hAnsi="宋体" w:cs="宋体"/>
                <w:color w:val="000000"/>
                <w:kern w:val="0"/>
                <w:sz w:val="24"/>
              </w:rPr>
              <w:t>2、横梁：φ168*10*7000(543)镀锌钢管(双排）</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24800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龙门架杆件</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1、立柱(mm)：Ф377×12×8000</w:t>
            </w:r>
            <w:r>
              <w:rPr>
                <w:rFonts w:hint="eastAsia" w:ascii="宋体" w:hAnsi="宋体" w:cs="宋体"/>
                <w:color w:val="000000"/>
                <w:kern w:val="0"/>
                <w:sz w:val="24"/>
              </w:rPr>
              <w:cr/>
            </w:r>
            <w:r>
              <w:rPr>
                <w:rFonts w:hint="eastAsia" w:ascii="宋体" w:hAnsi="宋体" w:cs="宋体"/>
                <w:color w:val="000000"/>
                <w:kern w:val="0"/>
                <w:sz w:val="24"/>
              </w:rPr>
              <w:t>2、横梁(mm)：Ф159×8×13220</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50177</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龙门架杆件</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1、立柱(mm)：立柱(mm)：Ф426×12×8000</w:t>
            </w:r>
            <w:r>
              <w:rPr>
                <w:rFonts w:hint="eastAsia" w:ascii="宋体" w:hAnsi="宋体" w:cs="宋体"/>
                <w:color w:val="000000"/>
                <w:kern w:val="0"/>
                <w:sz w:val="24"/>
              </w:rPr>
              <w:cr/>
            </w:r>
            <w:r>
              <w:rPr>
                <w:rFonts w:hint="eastAsia" w:ascii="宋体" w:hAnsi="宋体" w:cs="宋体"/>
                <w:color w:val="000000"/>
                <w:kern w:val="0"/>
                <w:sz w:val="24"/>
              </w:rPr>
              <w:t>2、横梁(mm)：Ф219×12×17170</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65321</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龙门架杆件</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1、立柱(mm)：杆(mm)：Ф273×10×7400</w:t>
            </w:r>
            <w:r>
              <w:rPr>
                <w:rFonts w:hint="eastAsia" w:ascii="宋体" w:hAnsi="宋体" w:cs="宋体"/>
                <w:color w:val="000000"/>
                <w:kern w:val="0"/>
                <w:sz w:val="24"/>
              </w:rPr>
              <w:cr/>
            </w:r>
            <w:r>
              <w:rPr>
                <w:rFonts w:hint="eastAsia" w:ascii="宋体" w:hAnsi="宋体" w:cs="宋体"/>
                <w:color w:val="000000"/>
                <w:kern w:val="0"/>
                <w:sz w:val="24"/>
              </w:rPr>
              <w:t>2、臂(mm)：Ф152×8×（≥17米）</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46735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37</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Ф60 3米以内立柱立杆拆除</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69</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38</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Ф89 5米以内立柱拆除</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91</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39</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Ф114 5米以内立柱拆除</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125</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Ф140 4.5米以内立柱拆除，</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139</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Ф140 8米以内立柱拆除</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200</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165*5.5米F杆拆除</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adjustRightInd/>
              <w:spacing w:line="360" w:lineRule="auto"/>
              <w:ind w:firstLine="0"/>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670</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43</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165*4.5米F杆拆除</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592</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6.8*5米悬臂八棱杆拆除</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630</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6.8*6米悬臂八棱杆拆除</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709</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6.8*7米悬臂八棱杆拆除</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787</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47</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6.8*8米悬臂八棱杆拆除</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865</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48</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6.8*9米悬臂八棱杆拆除</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943</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49</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6.8*11米悬臂八棱杆拆除</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1100</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50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6.8*15米悬臂八棱杆拆除</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1411</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51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219杆悬臂杆拆除</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277</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52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273型立杆拆除</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554</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53</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龙门架杆件拆除</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2422</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标杆（仅计底盘）</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Ф89 立杆底盘，法兰盘、加劲肋及地脚螺栓等，详见项目技术规范</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386</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55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标杆（仅计底盘）</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Ф114 立杆底盘，法兰盘、加劲肋及地脚螺栓等，详见项目技术规范</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441</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混凝土基础</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Ф89 米立杆C25混凝土基础，详见项目技术规范</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530</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57</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混凝土基础</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Ф114 米立杆C25混凝土基础，详见项目技术规范</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943</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54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58</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混凝土基础</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C25砼（含C10素砼垫层及砂砾石底层），含挖土方、运土、基础笼、清理现场等</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m3</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1200</w:t>
            </w:r>
          </w:p>
        </w:tc>
        <w:tc>
          <w:tcPr>
            <w:tcW w:w="461" w:type="pct"/>
            <w:vMerge w:val="continue"/>
            <w:tcBorders>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3437" w:type="pct"/>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left"/>
              <w:rPr>
                <w:rFonts w:cs="宋体" w:asciiTheme="minorEastAsia" w:hAnsiTheme="minorEastAsia" w:eastAsiaTheme="minorEastAsia"/>
                <w:color w:val="000000"/>
                <w:sz w:val="24"/>
              </w:rPr>
            </w:pPr>
            <w:r>
              <w:rPr>
                <w:rFonts w:hint="eastAsia" w:cs="宋体" w:asciiTheme="minorEastAsia" w:hAnsiTheme="minorEastAsia" w:eastAsiaTheme="minorEastAsia"/>
                <w:color w:val="000000"/>
                <w:kern w:val="0"/>
                <w:sz w:val="24"/>
              </w:rPr>
              <w:t>四、护栏类</w:t>
            </w: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left"/>
              <w:rPr>
                <w:rFonts w:hint="eastAsia" w:cs="宋体" w:asciiTheme="minorEastAsia" w:hAnsiTheme="minorEastAsia" w:eastAsiaTheme="minorEastAsia"/>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A型立柱</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100</w:t>
            </w:r>
          </w:p>
        </w:tc>
        <w:tc>
          <w:tcPr>
            <w:tcW w:w="461" w:type="pct"/>
            <w:vMerge w:val="restart"/>
            <w:tcBorders>
              <w:top w:val="single" w:color="000000" w:sz="4" w:space="0"/>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A型护栏</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90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A型护栏(含立柱)</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145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B型立柱</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110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B型护栏</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B型护栏(含立柱)</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155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7</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新款塑钢立柱</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8</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新款塑钢护栏（导向牌）</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90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9</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导向牌面板</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155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新款塑钢立柱顶帽</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交通导向牌(含护栏)</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320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新款塑钢立柱</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110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13</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新款塑钢护栏（导向牌）</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导向牌面板</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170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新款塑钢立柱顶帽</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85"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交通导向牌(含护栏)</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350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3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17</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端头反光柱(右侧通行、机动车通行)</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325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18</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太阳能自发光端头导向牌(中心护栏)</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470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19</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120型太阳能自发光护栏立杆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218</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20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N型中心护栏</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M</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135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21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N型机非护栏</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m</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120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22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A级波形护栏</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4320*310*85*3mm</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M</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87</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23</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护栏立柱</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打桩型立柱，长1.8米</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163</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24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护栏立柱</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预埋型立柱，长1.2米</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109</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25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隔离护栏防撞头</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路侧端头R160mm</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65</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sz w:val="24"/>
              </w:rPr>
              <w:t>26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钢索护栏</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kern w:val="0"/>
                <w:sz w:val="24"/>
              </w:rPr>
            </w:pPr>
            <w:r>
              <w:rPr>
                <w:rFonts w:hint="eastAsia" w:ascii="宋体" w:hAnsi="宋体" w:cs="宋体"/>
                <w:color w:val="000000"/>
                <w:kern w:val="0"/>
                <w:sz w:val="24"/>
              </w:rPr>
              <w:t>镀锌钢管、钢丝绳</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kern w:val="0"/>
                <w:sz w:val="24"/>
              </w:rPr>
            </w:pPr>
            <w:r>
              <w:rPr>
                <w:rFonts w:hint="eastAsia" w:ascii="宋体" w:hAnsi="宋体" w:cs="宋体"/>
                <w:color w:val="000000"/>
                <w:kern w:val="0"/>
                <w:sz w:val="24"/>
              </w:rPr>
              <w:t>M</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100</w:t>
            </w:r>
          </w:p>
        </w:tc>
        <w:tc>
          <w:tcPr>
            <w:tcW w:w="461" w:type="pct"/>
            <w:vMerge w:val="continue"/>
            <w:tcBorders>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437"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left"/>
              <w:rPr>
                <w:rFonts w:cs="宋体" w:asciiTheme="minorEastAsia" w:hAnsiTheme="minorEastAsia" w:eastAsiaTheme="minorEastAsia"/>
                <w:color w:val="000000"/>
                <w:sz w:val="24"/>
              </w:rPr>
            </w:pPr>
            <w:r>
              <w:rPr>
                <w:rFonts w:hint="eastAsia" w:cs="宋体" w:asciiTheme="minorEastAsia" w:hAnsiTheme="minorEastAsia" w:eastAsiaTheme="minorEastAsia"/>
                <w:color w:val="000000"/>
                <w:kern w:val="0"/>
                <w:sz w:val="24"/>
              </w:rPr>
              <w:t>五、其他</w:t>
            </w:r>
          </w:p>
        </w:tc>
        <w:tc>
          <w:tcPr>
            <w:tcW w:w="4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left"/>
              <w:rPr>
                <w:rFonts w:hint="eastAsia" w:cs="宋体" w:asciiTheme="minorEastAsia" w:hAnsiTheme="minorEastAsia" w:eastAsiaTheme="minorEastAsia"/>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锁具</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3米链条+防剪锁加粗8mm+锁具</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adjustRightInd/>
              <w:spacing w:line="360" w:lineRule="auto"/>
              <w:ind w:firstLine="0"/>
              <w:jc w:val="center"/>
              <w:textAlignment w:val="auto"/>
              <w:rPr>
                <w:rFonts w:cs="宋体" w:asciiTheme="minorEastAsia" w:hAnsiTheme="minorEastAsia" w:eastAsiaTheme="minorEastAsia"/>
                <w:color w:val="000000"/>
                <w:sz w:val="24"/>
              </w:rPr>
            </w:pPr>
            <w:r>
              <w:rPr>
                <w:rFonts w:asciiTheme="minorEastAsia" w:hAnsiTheme="minorEastAsia" w:eastAsiaTheme="minorEastAsia"/>
                <w:sz w:val="24"/>
                <w:szCs w:val="24"/>
              </w:rPr>
              <w:t>46</w:t>
            </w:r>
          </w:p>
        </w:tc>
        <w:tc>
          <w:tcPr>
            <w:tcW w:w="461" w:type="pct"/>
            <w:vMerge w:val="restart"/>
            <w:tcBorders>
              <w:top w:val="single" w:color="000000" w:sz="4" w:space="0"/>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抽屉锁</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A级锁，岗亭衣柜及办公抽屉锁等</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岗亭门锁</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B级锁即可</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120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岗亭玻璃</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更换岗亭玻璃</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271</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岗亭灯管</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更换岗亭日光灯管</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根</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岗亭（空调加氟利昂）</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老旧空调加氟利昂</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次</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180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7</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岗亭（空调遥控器）</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适配岗亭空调</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8</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岗亭空调</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（≥1.5P，适用面积9-18平方米，尺寸≥285*770*223cm）</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台</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2400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6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9</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岗亭内的扫把、拖把、水桶、垃圾畚斗、抹布</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满足岗亭日常清洁需求</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件</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岗亭玻璃(曲面)</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更换岗亭玻璃</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294</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岗亭（空调铜管）</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更换岗亭空调铜管</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岗亭（空调插座）</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更换岗亭空调插座</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13</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岗亭（空调清洗，漏水）</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岗亭空调清洗，漏水修复</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处</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岗亭清洗</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对岗亭进行整体清洗</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501</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PVC管6分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6.5</w:t>
            </w:r>
          </w:p>
        </w:tc>
        <w:tc>
          <w:tcPr>
            <w:tcW w:w="461" w:type="pct"/>
            <w:vMerge w:val="continue"/>
            <w:tcBorders>
              <w:left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32PE管</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17</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60PE管2寸</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18</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50PE管1.5寸</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11</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19</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75PE管2.5寸</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110PE管</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34</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镀锌扁铁</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49</w:t>
            </w:r>
          </w:p>
        </w:tc>
        <w:tc>
          <w:tcPr>
            <w:tcW w:w="461" w:type="pct"/>
            <w:vMerge w:val="continue"/>
            <w:tcBorders>
              <w:left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镀锌管</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SC89</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71</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23</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镀锌管</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SC114</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镀锌管接头</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kern w:val="0"/>
                <w:sz w:val="24"/>
              </w:rPr>
              <w:t>匹配SC89镀锌管</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镀锌管接头</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kern w:val="0"/>
                <w:sz w:val="24"/>
              </w:rPr>
              <w:t>匹配SC114镀锌管</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60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顶管DN110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PE管￠110</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220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27</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水泥工井</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带砌口40cm*65cm</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627</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28</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大水泥工井</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带砌口76cm*85cm</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753</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29</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绿化带开挖.恢复</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30cm*50cm</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109</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透水砖面人行道开挖、恢复</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30cm*50cm</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395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沥青混凝土(板块)过街开挖.恢复</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50cm宽，70cm深，C25砼修复</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199</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水泥混凝土(板块)过街开挖.恢复</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50cm宽，70cm深，C25砼修复</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33</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圆形防撞桶</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600mm×800mm，PE，含黄沙（1/3高）</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186</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防撞桶</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90CM*90CM*90CM，新款防撞桶，贴红白反光膜，桶内装入适当沙石，并放置指定位置</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465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路锥</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71cmpvc，30*30*71cm</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47</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路锥</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H=700mm,底36*36mm</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38</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37</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路锥</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H=500mm，底28*28mm</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38</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路锥连接杆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∮33.5×2000mm</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21</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39</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荧光轮廓标</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单侧反光、双侧反光14.05*4.05公分</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22</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72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道钉（单面）</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left"/>
              <w:textAlignment w:val="center"/>
              <w:rPr>
                <w:rFonts w:ascii="宋体" w:hAnsi="宋体" w:cs="宋体"/>
                <w:color w:val="000000"/>
                <w:sz w:val="24"/>
              </w:rPr>
            </w:pPr>
            <w:r>
              <w:rPr>
                <w:rFonts w:hint="eastAsia" w:ascii="宋体" w:hAnsi="宋体" w:cs="宋体"/>
                <w:color w:val="000000"/>
                <w:kern w:val="0"/>
                <w:sz w:val="24"/>
              </w:rPr>
              <w:t xml:space="preserve"> 采用GB/T24725-2009《突起路标》中A1类突起路标的性能要求。</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72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道钉（双面）</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left"/>
              <w:textAlignment w:val="center"/>
              <w:rPr>
                <w:rFonts w:ascii="宋体" w:hAnsi="宋体" w:cs="宋体"/>
                <w:color w:val="000000"/>
                <w:sz w:val="24"/>
              </w:rPr>
            </w:pPr>
            <w:r>
              <w:rPr>
                <w:rFonts w:hint="eastAsia" w:ascii="宋体" w:hAnsi="宋体" w:cs="宋体"/>
                <w:color w:val="000000"/>
                <w:kern w:val="0"/>
                <w:sz w:val="24"/>
              </w:rPr>
              <w:t>采用GB/T24725-2009《突起路标》对A2类突起路标的性能要求。</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34</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80cmpu磁铁潮汐车道弹性柱</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符合GBT24972-2010弹性交通柱标准</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160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9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43</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磁铁</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auto"/>
                <w:sz w:val="24"/>
              </w:rPr>
            </w:pPr>
            <w:r>
              <w:rPr>
                <w:rFonts w:hint="eastAsia" w:ascii="宋体" w:hAnsi="宋体" w:cs="宋体"/>
                <w:b w:val="0"/>
                <w:bCs/>
                <w:color w:val="auto"/>
                <w:sz w:val="24"/>
              </w:rPr>
              <w:t>适配磁吸警示柱</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auto"/>
                <w:sz w:val="24"/>
              </w:rPr>
            </w:pPr>
            <w:r>
              <w:rPr>
                <w:rFonts w:hint="eastAsia" w:ascii="宋体" w:hAnsi="宋体" w:cs="宋体"/>
                <w:color w:val="auto"/>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FF0000"/>
                <w:sz w:val="24"/>
              </w:rPr>
            </w:pPr>
            <w:r>
              <w:rPr>
                <w:rFonts w:asciiTheme="minorEastAsia" w:hAnsiTheme="minorEastAsia" w:eastAsiaTheme="minorEastAsia"/>
                <w:sz w:val="24"/>
                <w:szCs w:val="24"/>
              </w:rPr>
              <w:t>54</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FF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FF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橡胶减速带</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380×50mm</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auto"/>
                <w:sz w:val="24"/>
              </w:rPr>
            </w:pPr>
            <w:r>
              <w:rPr>
                <w:rFonts w:hint="eastAsia" w:ascii="宋体" w:hAnsi="宋体" w:cs="宋体"/>
                <w:color w:val="auto"/>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4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铸铁减速带</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350×45mm</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auto"/>
                <w:sz w:val="24"/>
              </w:rPr>
            </w:pPr>
            <w:r>
              <w:rPr>
                <w:rFonts w:hint="eastAsia" w:ascii="宋体" w:hAnsi="宋体" w:cs="宋体"/>
                <w:color w:val="auto"/>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104</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left"/>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left"/>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Ф80广角镜</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Φ800（镜面PC+铝合金包边，镜背ABS塑料）</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auto"/>
                <w:sz w:val="24"/>
              </w:rPr>
            </w:pPr>
            <w:r>
              <w:rPr>
                <w:rFonts w:hint="eastAsia" w:ascii="宋体" w:hAnsi="宋体" w:cs="宋体"/>
                <w:color w:val="auto"/>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FF0000"/>
                <w:sz w:val="24"/>
              </w:rPr>
            </w:pPr>
            <w:r>
              <w:rPr>
                <w:rFonts w:asciiTheme="minorEastAsia" w:hAnsiTheme="minorEastAsia" w:eastAsiaTheme="minorEastAsia"/>
                <w:sz w:val="24"/>
                <w:szCs w:val="24"/>
              </w:rPr>
              <w:t>148</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left"/>
              <w:rPr>
                <w:rFonts w:ascii="宋体" w:hAnsi="宋体" w:cs="宋体"/>
                <w:color w:val="FF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left"/>
              <w:rPr>
                <w:rFonts w:ascii="宋体" w:hAnsi="宋体" w:cs="宋体"/>
                <w:color w:val="FF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47</w:t>
            </w:r>
          </w:p>
        </w:tc>
        <w:tc>
          <w:tcPr>
            <w:tcW w:w="50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Ф100广角镜</w:t>
            </w:r>
          </w:p>
        </w:tc>
        <w:tc>
          <w:tcPr>
            <w:tcW w:w="11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Φ1000（镜面PC+铝合金包边，镜背ABS塑料）</w:t>
            </w:r>
          </w:p>
        </w:tc>
        <w:tc>
          <w:tcPr>
            <w:tcW w:w="41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231</w:t>
            </w:r>
          </w:p>
        </w:tc>
        <w:tc>
          <w:tcPr>
            <w:tcW w:w="461"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48</w:t>
            </w:r>
          </w:p>
        </w:tc>
        <w:tc>
          <w:tcPr>
            <w:tcW w:w="50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四联爆闪灯</w:t>
            </w:r>
          </w:p>
        </w:tc>
        <w:tc>
          <w:tcPr>
            <w:tcW w:w="11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双面四片爆闪灯（550mm×150mm太阳能）</w:t>
            </w:r>
          </w:p>
        </w:tc>
        <w:tc>
          <w:tcPr>
            <w:tcW w:w="41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组</w:t>
            </w:r>
          </w:p>
        </w:tc>
        <w:tc>
          <w:tcPr>
            <w:tcW w:w="26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794</w:t>
            </w:r>
          </w:p>
        </w:tc>
        <w:tc>
          <w:tcPr>
            <w:tcW w:w="461"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49</w:t>
            </w:r>
          </w:p>
        </w:tc>
        <w:tc>
          <w:tcPr>
            <w:tcW w:w="50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警戒带</w:t>
            </w:r>
          </w:p>
        </w:tc>
        <w:tc>
          <w:tcPr>
            <w:tcW w:w="11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宽6cm*长100m</w:t>
            </w:r>
          </w:p>
        </w:tc>
        <w:tc>
          <w:tcPr>
            <w:tcW w:w="41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卷</w:t>
            </w:r>
          </w:p>
        </w:tc>
        <w:tc>
          <w:tcPr>
            <w:tcW w:w="26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w:t>
            </w:r>
          </w:p>
        </w:tc>
        <w:tc>
          <w:tcPr>
            <w:tcW w:w="461"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85"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塑胶水马</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1500mm×800mm×480mm，PE</w:t>
            </w:r>
          </w:p>
        </w:tc>
        <w:tc>
          <w:tcPr>
            <w:tcW w:w="416" w:type="pct"/>
            <w:tcBorders>
              <w:top w:val="nil"/>
              <w:left w:val="nil"/>
              <w:bottom w:val="single" w:color="000000" w:sz="8" w:space="0"/>
              <w:right w:val="single" w:color="000000" w:sz="8"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只</w:t>
            </w:r>
          </w:p>
        </w:tc>
        <w:tc>
          <w:tcPr>
            <w:tcW w:w="26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106</w:t>
            </w:r>
          </w:p>
        </w:tc>
        <w:tc>
          <w:tcPr>
            <w:tcW w:w="461"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51</w:t>
            </w:r>
          </w:p>
        </w:tc>
        <w:tc>
          <w:tcPr>
            <w:tcW w:w="50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铁马</w:t>
            </w:r>
          </w:p>
        </w:tc>
        <w:tc>
          <w:tcPr>
            <w:tcW w:w="11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铁质，高0.8米，长1.2米</w:t>
            </w:r>
          </w:p>
        </w:tc>
        <w:tc>
          <w:tcPr>
            <w:tcW w:w="41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p>
        </w:tc>
        <w:tc>
          <w:tcPr>
            <w:tcW w:w="26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44</w:t>
            </w:r>
          </w:p>
        </w:tc>
        <w:tc>
          <w:tcPr>
            <w:tcW w:w="461"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52</w:t>
            </w:r>
          </w:p>
        </w:tc>
        <w:tc>
          <w:tcPr>
            <w:tcW w:w="50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铁马</w:t>
            </w:r>
          </w:p>
        </w:tc>
        <w:tc>
          <w:tcPr>
            <w:tcW w:w="1160"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 xml:space="preserve">304不锈钢，1*1.5m, </w:t>
            </w:r>
          </w:p>
        </w:tc>
        <w:tc>
          <w:tcPr>
            <w:tcW w:w="41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m</w:t>
            </w:r>
          </w:p>
        </w:tc>
        <w:tc>
          <w:tcPr>
            <w:tcW w:w="26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205</w:t>
            </w:r>
          </w:p>
        </w:tc>
        <w:tc>
          <w:tcPr>
            <w:tcW w:w="461"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53</w:t>
            </w:r>
          </w:p>
        </w:tc>
        <w:tc>
          <w:tcPr>
            <w:tcW w:w="50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灯杆后盖</w:t>
            </w:r>
          </w:p>
        </w:tc>
        <w:tc>
          <w:tcPr>
            <w:tcW w:w="1160"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ascii="宋体" w:hAnsi="宋体" w:cs="宋体"/>
                <w:color w:val="000000"/>
                <w:sz w:val="24"/>
              </w:rPr>
            </w:pPr>
          </w:p>
        </w:tc>
        <w:tc>
          <w:tcPr>
            <w:tcW w:w="41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54</w:t>
            </w:r>
          </w:p>
        </w:tc>
        <w:tc>
          <w:tcPr>
            <w:tcW w:w="461"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500" w:hRule="atLeast"/>
        </w:trPr>
        <w:tc>
          <w:tcPr>
            <w:tcW w:w="27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54</w:t>
            </w:r>
          </w:p>
        </w:tc>
        <w:tc>
          <w:tcPr>
            <w:tcW w:w="50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人行护栏</w:t>
            </w:r>
          </w:p>
        </w:tc>
        <w:tc>
          <w:tcPr>
            <w:tcW w:w="11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黑色，高100公分或110公分</w:t>
            </w:r>
          </w:p>
        </w:tc>
        <w:tc>
          <w:tcPr>
            <w:tcW w:w="41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26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132</w:t>
            </w:r>
          </w:p>
        </w:tc>
        <w:tc>
          <w:tcPr>
            <w:tcW w:w="461"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55</w:t>
            </w:r>
          </w:p>
        </w:tc>
        <w:tc>
          <w:tcPr>
            <w:tcW w:w="50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路口遮阳棚</w:t>
            </w:r>
          </w:p>
        </w:tc>
        <w:tc>
          <w:tcPr>
            <w:tcW w:w="11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匹配现有类型</w:t>
            </w:r>
          </w:p>
        </w:tc>
        <w:tc>
          <w:tcPr>
            <w:tcW w:w="41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M²</w:t>
            </w:r>
          </w:p>
        </w:tc>
        <w:tc>
          <w:tcPr>
            <w:tcW w:w="26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81</w:t>
            </w:r>
          </w:p>
        </w:tc>
        <w:tc>
          <w:tcPr>
            <w:tcW w:w="461"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56</w:t>
            </w:r>
          </w:p>
        </w:tc>
        <w:tc>
          <w:tcPr>
            <w:tcW w:w="50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工井盖更换</w:t>
            </w:r>
          </w:p>
        </w:tc>
        <w:tc>
          <w:tcPr>
            <w:tcW w:w="11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匹配现有工程</w:t>
            </w:r>
          </w:p>
        </w:tc>
        <w:tc>
          <w:tcPr>
            <w:tcW w:w="41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410</w:t>
            </w:r>
          </w:p>
        </w:tc>
        <w:tc>
          <w:tcPr>
            <w:tcW w:w="461"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57</w:t>
            </w:r>
          </w:p>
        </w:tc>
        <w:tc>
          <w:tcPr>
            <w:tcW w:w="50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磁吸警示柱</w:t>
            </w:r>
          </w:p>
        </w:tc>
        <w:tc>
          <w:tcPr>
            <w:tcW w:w="11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∮80×750</w:t>
            </w:r>
          </w:p>
        </w:tc>
        <w:tc>
          <w:tcPr>
            <w:tcW w:w="41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只</w:t>
            </w:r>
          </w:p>
        </w:tc>
        <w:tc>
          <w:tcPr>
            <w:tcW w:w="26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84</w:t>
            </w:r>
          </w:p>
        </w:tc>
        <w:tc>
          <w:tcPr>
            <w:tcW w:w="461"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58</w:t>
            </w:r>
          </w:p>
        </w:tc>
        <w:tc>
          <w:tcPr>
            <w:tcW w:w="50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磁吸式突起路标</w:t>
            </w:r>
          </w:p>
        </w:tc>
        <w:tc>
          <w:tcPr>
            <w:tcW w:w="11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100×100×19</w:t>
            </w:r>
          </w:p>
        </w:tc>
        <w:tc>
          <w:tcPr>
            <w:tcW w:w="41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只</w:t>
            </w:r>
          </w:p>
        </w:tc>
        <w:tc>
          <w:tcPr>
            <w:tcW w:w="26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31</w:t>
            </w:r>
          </w:p>
        </w:tc>
        <w:tc>
          <w:tcPr>
            <w:tcW w:w="461"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59</w:t>
            </w:r>
          </w:p>
        </w:tc>
        <w:tc>
          <w:tcPr>
            <w:tcW w:w="50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示警桩</w:t>
            </w:r>
          </w:p>
        </w:tc>
        <w:tc>
          <w:tcPr>
            <w:tcW w:w="11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∮114×（800+400）</w:t>
            </w:r>
          </w:p>
        </w:tc>
        <w:tc>
          <w:tcPr>
            <w:tcW w:w="41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只</w:t>
            </w:r>
          </w:p>
        </w:tc>
        <w:tc>
          <w:tcPr>
            <w:tcW w:w="26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119</w:t>
            </w:r>
          </w:p>
        </w:tc>
        <w:tc>
          <w:tcPr>
            <w:tcW w:w="461"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60</w:t>
            </w:r>
          </w:p>
        </w:tc>
        <w:tc>
          <w:tcPr>
            <w:tcW w:w="50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示警桩</w:t>
            </w:r>
          </w:p>
        </w:tc>
        <w:tc>
          <w:tcPr>
            <w:tcW w:w="11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∮89×（800+400）</w:t>
            </w:r>
          </w:p>
        </w:tc>
        <w:tc>
          <w:tcPr>
            <w:tcW w:w="41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只</w:t>
            </w:r>
          </w:p>
        </w:tc>
        <w:tc>
          <w:tcPr>
            <w:tcW w:w="26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90</w:t>
            </w:r>
          </w:p>
        </w:tc>
        <w:tc>
          <w:tcPr>
            <w:tcW w:w="461"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1092" w:hRule="atLeast"/>
        </w:trPr>
        <w:tc>
          <w:tcPr>
            <w:tcW w:w="27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61</w:t>
            </w:r>
          </w:p>
        </w:tc>
        <w:tc>
          <w:tcPr>
            <w:tcW w:w="506"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右转隔离墩短端头</w:t>
            </w:r>
          </w:p>
        </w:tc>
        <w:tc>
          <w:tcPr>
            <w:tcW w:w="1160"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232*250*190mm</w:t>
            </w:r>
          </w:p>
        </w:tc>
        <w:tc>
          <w:tcPr>
            <w:tcW w:w="416"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40</w:t>
            </w:r>
          </w:p>
        </w:tc>
        <w:tc>
          <w:tcPr>
            <w:tcW w:w="461" w:type="pct"/>
            <w:vMerge w:val="continue"/>
            <w:tcBorders>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1092" w:hRule="atLeast"/>
        </w:trPr>
        <w:tc>
          <w:tcPr>
            <w:tcW w:w="27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62</w:t>
            </w:r>
          </w:p>
        </w:tc>
        <w:tc>
          <w:tcPr>
            <w:tcW w:w="506"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右转隔离墩长端头</w:t>
            </w:r>
          </w:p>
        </w:tc>
        <w:tc>
          <w:tcPr>
            <w:tcW w:w="1160"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502*250*200mm</w:t>
            </w:r>
          </w:p>
        </w:tc>
        <w:tc>
          <w:tcPr>
            <w:tcW w:w="416"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50</w:t>
            </w:r>
          </w:p>
        </w:tc>
        <w:tc>
          <w:tcPr>
            <w:tcW w:w="461" w:type="pct"/>
            <w:vMerge w:val="continue"/>
            <w:tcBorders>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968" w:hRule="atLeast"/>
        </w:trPr>
        <w:tc>
          <w:tcPr>
            <w:tcW w:w="27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63</w:t>
            </w:r>
          </w:p>
        </w:tc>
        <w:tc>
          <w:tcPr>
            <w:tcW w:w="506" w:type="pct"/>
            <w:tcBorders>
              <w:top w:val="single" w:color="000000" w:sz="4" w:space="0"/>
              <w:left w:val="single" w:color="000000" w:sz="4" w:space="0"/>
              <w:right w:val="single" w:color="000000" w:sz="4" w:space="0"/>
            </w:tcBorders>
            <w:noWrap/>
            <w:vAlign w:val="center"/>
          </w:tcPr>
          <w:p>
            <w:pPr>
              <w:spacing w:line="360" w:lineRule="auto"/>
              <w:jc w:val="center"/>
              <w:rPr>
                <w:rFonts w:ascii="宋体" w:hAnsi="宋体" w:cs="宋体"/>
                <w:color w:val="000000"/>
                <w:kern w:val="0"/>
                <w:sz w:val="24"/>
              </w:rPr>
            </w:pPr>
            <w:r>
              <w:rPr>
                <w:rFonts w:hint="eastAsia" w:ascii="宋体" w:hAnsi="宋体" w:cs="宋体"/>
                <w:color w:val="000000"/>
                <w:kern w:val="0"/>
                <w:sz w:val="24"/>
              </w:rPr>
              <w:t>弹性分道标</w:t>
            </w:r>
          </w:p>
        </w:tc>
        <w:tc>
          <w:tcPr>
            <w:tcW w:w="1160"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详见附件8图纸</w:t>
            </w:r>
          </w:p>
        </w:tc>
        <w:tc>
          <w:tcPr>
            <w:tcW w:w="416"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个</w:t>
            </w:r>
          </w:p>
        </w:tc>
        <w:tc>
          <w:tcPr>
            <w:tcW w:w="263" w:type="pct"/>
            <w:tcBorders>
              <w:top w:val="single" w:color="000000" w:sz="4" w:space="0"/>
              <w:left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50</w:t>
            </w:r>
          </w:p>
        </w:tc>
        <w:tc>
          <w:tcPr>
            <w:tcW w:w="461" w:type="pct"/>
            <w:vMerge w:val="continue"/>
            <w:tcBorders>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p>
        </w:tc>
        <w:tc>
          <w:tcPr>
            <w:tcW w:w="461"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p>
        </w:tc>
      </w:tr>
      <w:tr>
        <w:tblPrEx>
          <w:tblCellMar>
            <w:top w:w="0" w:type="dxa"/>
            <w:left w:w="108" w:type="dxa"/>
            <w:bottom w:w="0" w:type="dxa"/>
            <w:right w:w="108" w:type="dxa"/>
          </w:tblCellMar>
        </w:tblPrEx>
        <w:trPr>
          <w:trHeight w:val="1092" w:hRule="atLeast"/>
        </w:trPr>
        <w:tc>
          <w:tcPr>
            <w:tcW w:w="27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64</w:t>
            </w:r>
          </w:p>
        </w:tc>
        <w:tc>
          <w:tcPr>
            <w:tcW w:w="506"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右转隔离墩主体</w:t>
            </w:r>
          </w:p>
        </w:tc>
        <w:tc>
          <w:tcPr>
            <w:tcW w:w="1160"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238.5*250*190mm</w:t>
            </w:r>
          </w:p>
        </w:tc>
        <w:tc>
          <w:tcPr>
            <w:tcW w:w="416"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个</w:t>
            </w:r>
          </w:p>
        </w:tc>
        <w:tc>
          <w:tcPr>
            <w:tcW w:w="263" w:type="pct"/>
            <w:tcBorders>
              <w:top w:val="single" w:color="000000" w:sz="4" w:space="0"/>
              <w:left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cs="宋体" w:asciiTheme="minorEastAsia" w:hAnsiTheme="minorEastAsia" w:eastAsiaTheme="minorEastAsia"/>
                <w:color w:val="000000"/>
                <w:sz w:val="24"/>
              </w:rPr>
              <w:t>90</w:t>
            </w:r>
          </w:p>
        </w:tc>
        <w:tc>
          <w:tcPr>
            <w:tcW w:w="461" w:type="pct"/>
            <w:vMerge w:val="continue"/>
            <w:tcBorders>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p>
        </w:tc>
        <w:tc>
          <w:tcPr>
            <w:tcW w:w="461"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p>
        </w:tc>
      </w:tr>
      <w:tr>
        <w:tblPrEx>
          <w:tblCellMar>
            <w:top w:w="0" w:type="dxa"/>
            <w:left w:w="108" w:type="dxa"/>
            <w:bottom w:w="0" w:type="dxa"/>
            <w:right w:w="108" w:type="dxa"/>
          </w:tblCellMar>
        </w:tblPrEx>
        <w:trPr>
          <w:trHeight w:val="1092" w:hRule="atLeast"/>
        </w:trPr>
        <w:tc>
          <w:tcPr>
            <w:tcW w:w="27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65</w:t>
            </w:r>
          </w:p>
        </w:tc>
        <w:tc>
          <w:tcPr>
            <w:tcW w:w="506"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一体式弹性交通柱</w:t>
            </w:r>
          </w:p>
        </w:tc>
        <w:tc>
          <w:tcPr>
            <w:tcW w:w="1160"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∮80×750</w:t>
            </w:r>
          </w:p>
        </w:tc>
        <w:tc>
          <w:tcPr>
            <w:tcW w:w="416"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只</w:t>
            </w:r>
          </w:p>
        </w:tc>
        <w:tc>
          <w:tcPr>
            <w:tcW w:w="263" w:type="pct"/>
            <w:tcBorders>
              <w:top w:val="single" w:color="000000" w:sz="4" w:space="0"/>
              <w:left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cs="宋体" w:asciiTheme="minorEastAsia" w:hAnsiTheme="minorEastAsia" w:eastAsiaTheme="minorEastAsia"/>
                <w:color w:val="000000"/>
                <w:sz w:val="24"/>
              </w:rPr>
              <w:t>54</w:t>
            </w:r>
          </w:p>
        </w:tc>
        <w:tc>
          <w:tcPr>
            <w:tcW w:w="461" w:type="pct"/>
            <w:vMerge w:val="continue"/>
            <w:tcBorders>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p>
        </w:tc>
        <w:tc>
          <w:tcPr>
            <w:tcW w:w="461"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p>
        </w:tc>
      </w:tr>
      <w:tr>
        <w:tblPrEx>
          <w:tblCellMar>
            <w:top w:w="0" w:type="dxa"/>
            <w:left w:w="108" w:type="dxa"/>
            <w:bottom w:w="0" w:type="dxa"/>
            <w:right w:w="108" w:type="dxa"/>
          </w:tblCellMar>
        </w:tblPrEx>
        <w:trPr>
          <w:trHeight w:val="1092" w:hRule="atLeast"/>
        </w:trPr>
        <w:tc>
          <w:tcPr>
            <w:tcW w:w="27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65</w:t>
            </w:r>
          </w:p>
        </w:tc>
        <w:tc>
          <w:tcPr>
            <w:tcW w:w="506"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临时车辆</w:t>
            </w:r>
          </w:p>
        </w:tc>
        <w:tc>
          <w:tcPr>
            <w:tcW w:w="1160"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sz w:val="24"/>
              </w:rPr>
              <w:t>采购人临时任务通知所需车辆，按每小时结算</w:t>
            </w:r>
          </w:p>
        </w:tc>
        <w:tc>
          <w:tcPr>
            <w:tcW w:w="416"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辆</w:t>
            </w:r>
          </w:p>
        </w:tc>
        <w:tc>
          <w:tcPr>
            <w:tcW w:w="263" w:type="pct"/>
            <w:tcBorders>
              <w:top w:val="single" w:color="000000" w:sz="4" w:space="0"/>
              <w:left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cs="宋体" w:asciiTheme="minorEastAsia" w:hAnsiTheme="minorEastAsia" w:eastAsiaTheme="minorEastAsia"/>
                <w:color w:val="000000"/>
                <w:sz w:val="24"/>
              </w:rPr>
              <w:t>218</w:t>
            </w:r>
          </w:p>
        </w:tc>
        <w:tc>
          <w:tcPr>
            <w:tcW w:w="461"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461" w:type="pct"/>
            <w:tcBorders>
              <w:top w:val="single" w:color="000000" w:sz="4" w:space="0"/>
              <w:left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720" w:hRule="atLeast"/>
        </w:trPr>
        <w:tc>
          <w:tcPr>
            <w:tcW w:w="276"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66</w:t>
            </w:r>
          </w:p>
        </w:tc>
        <w:tc>
          <w:tcPr>
            <w:tcW w:w="50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临时人员费用</w:t>
            </w:r>
          </w:p>
        </w:tc>
        <w:tc>
          <w:tcPr>
            <w:tcW w:w="11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sz w:val="24"/>
              </w:rPr>
              <w:t>采购人临时任务通知所需人员，按每小时结算</w:t>
            </w:r>
          </w:p>
        </w:tc>
        <w:tc>
          <w:tcPr>
            <w:tcW w:w="41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人</w:t>
            </w:r>
          </w:p>
        </w:tc>
        <w:tc>
          <w:tcPr>
            <w:tcW w:w="26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cs="宋体" w:asciiTheme="minorEastAsia" w:hAnsiTheme="minorEastAsia" w:eastAsiaTheme="minorEastAsia"/>
                <w:color w:val="000000"/>
                <w:sz w:val="24"/>
              </w:rPr>
              <w:t>35</w:t>
            </w:r>
          </w:p>
        </w:tc>
        <w:tc>
          <w:tcPr>
            <w:tcW w:w="461" w:type="pct"/>
            <w:vMerge w:val="continue"/>
            <w:tcBorders>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bl>
    <w:p>
      <w:pPr>
        <w:spacing w:line="360" w:lineRule="auto"/>
        <w:rPr>
          <w:rFonts w:ascii="宋体" w:hAnsi="宋体" w:cs="宋体"/>
          <w:bCs/>
          <w:color w:val="000000"/>
          <w:sz w:val="24"/>
        </w:rPr>
      </w:pPr>
      <w:r>
        <w:rPr>
          <w:rFonts w:hint="eastAsia" w:ascii="宋体" w:hAnsi="宋体" w:cs="宋体"/>
          <w:bCs/>
          <w:color w:val="000000"/>
          <w:sz w:val="24"/>
        </w:rPr>
        <w:t>附注：</w:t>
      </w:r>
    </w:p>
    <w:p>
      <w:pPr>
        <w:spacing w:line="360" w:lineRule="auto"/>
        <w:ind w:firstLine="720" w:firstLineChars="300"/>
        <w:rPr>
          <w:rFonts w:ascii="宋体" w:hAnsi="宋体" w:cs="宋体"/>
          <w:color w:val="000000"/>
          <w:sz w:val="24"/>
        </w:rPr>
      </w:pPr>
      <w:r>
        <w:rPr>
          <w:rFonts w:hint="eastAsia" w:ascii="宋体" w:hAnsi="宋体" w:cs="宋体"/>
          <w:color w:val="000000"/>
          <w:sz w:val="24"/>
        </w:rPr>
        <w:t>1. 不提供详细分项报价表将视为没有明确响应招标文件。</w:t>
      </w:r>
    </w:p>
    <w:p>
      <w:pPr>
        <w:widowControl/>
        <w:ind w:firstLine="720" w:firstLineChars="300"/>
        <w:jc w:val="left"/>
      </w:pPr>
      <w:r>
        <w:rPr>
          <w:rFonts w:hint="eastAsia" w:ascii="宋体" w:hAnsi="宋体" w:cs="宋体"/>
          <w:color w:val="000000"/>
          <w:sz w:val="24"/>
        </w:rPr>
        <w:t>2.</w:t>
      </w:r>
      <w:r>
        <w:rPr>
          <w:rFonts w:hint="eastAsia" w:ascii="宋体" w:hAnsi="宋体" w:cs="宋体"/>
          <w:color w:val="000000"/>
          <w:kern w:val="0"/>
          <w:sz w:val="24"/>
        </w:rPr>
        <w:t>供应商需按“开标一览表”的</w:t>
      </w:r>
      <w:r>
        <w:rPr>
          <w:rFonts w:hint="eastAsia" w:ascii="宋体" w:hAnsi="宋体" w:cs="宋体"/>
          <w:color w:val="000000"/>
          <w:kern w:val="0"/>
          <w:sz w:val="24"/>
          <w:lang w:eastAsia="zh-CN"/>
        </w:rPr>
        <w:t>统一折扣率</w:t>
      </w:r>
      <w:r>
        <w:rPr>
          <w:rFonts w:hint="eastAsia" w:ascii="宋体" w:hAnsi="宋体" w:cs="宋体"/>
          <w:color w:val="000000"/>
          <w:kern w:val="0"/>
          <w:sz w:val="24"/>
        </w:rPr>
        <w:t>，对</w:t>
      </w:r>
      <w:r>
        <w:rPr>
          <w:rFonts w:hint="eastAsia" w:ascii="宋体" w:hAnsi="宋体" w:cs="宋体"/>
          <w:b/>
          <w:bCs/>
          <w:color w:val="000000"/>
          <w:kern w:val="0"/>
          <w:sz w:val="24"/>
        </w:rPr>
        <w:t>分项报价进行详细列表说明</w:t>
      </w:r>
    </w:p>
    <w:p>
      <w:pPr>
        <w:tabs>
          <w:tab w:val="left" w:pos="1905"/>
        </w:tabs>
        <w:spacing w:line="360" w:lineRule="auto"/>
        <w:ind w:right="-11"/>
        <w:jc w:val="left"/>
        <w:rPr>
          <w:rFonts w:ascii="宋体" w:hAnsi="宋体" w:cs="宋体"/>
          <w:sz w:val="24"/>
        </w:rPr>
      </w:pPr>
    </w:p>
    <w:p>
      <w:pPr>
        <w:tabs>
          <w:tab w:val="left" w:pos="1905"/>
        </w:tabs>
        <w:spacing w:line="360" w:lineRule="auto"/>
        <w:ind w:right="-11"/>
        <w:jc w:val="left"/>
        <w:rPr>
          <w:rFonts w:ascii="宋体" w:hAnsi="宋体" w:cs="宋体"/>
          <w:sz w:val="24"/>
        </w:rPr>
      </w:pPr>
      <w:r>
        <w:rPr>
          <w:rFonts w:hint="eastAsia" w:ascii="宋体" w:hAnsi="宋体" w:cs="宋体"/>
          <w:sz w:val="24"/>
        </w:rPr>
        <w:t>投标人全称（</w:t>
      </w:r>
      <w:r>
        <w:rPr>
          <w:rFonts w:hint="eastAsia" w:ascii="宋体" w:hAnsi="宋体" w:cs="宋体"/>
          <w:bCs/>
          <w:sz w:val="24"/>
        </w:rPr>
        <w:t>公章或CA章</w:t>
      </w:r>
      <w:r>
        <w:rPr>
          <w:rFonts w:hint="eastAsia" w:ascii="宋体" w:hAnsi="宋体" w:cs="宋体"/>
          <w:sz w:val="24"/>
        </w:rPr>
        <w:t>）：</w:t>
      </w:r>
    </w:p>
    <w:p>
      <w:pPr>
        <w:spacing w:line="360" w:lineRule="auto"/>
        <w:ind w:right="-10"/>
        <w:jc w:val="left"/>
        <w:rPr>
          <w:rFonts w:ascii="宋体" w:hAnsi="宋体" w:cs="宋体"/>
          <w:sz w:val="24"/>
        </w:rPr>
      </w:pPr>
      <w:r>
        <w:rPr>
          <w:rFonts w:hint="eastAsia" w:ascii="宋体" w:hAnsi="宋体" w:cs="宋体"/>
          <w:sz w:val="24"/>
        </w:rPr>
        <w:t>法定代表人或授权代表（签字或盖章）：</w:t>
      </w:r>
    </w:p>
    <w:p>
      <w:pPr>
        <w:spacing w:line="360" w:lineRule="auto"/>
        <w:ind w:left="-357" w:leftChars="-170" w:firstLine="360" w:firstLineChars="150"/>
        <w:rPr>
          <w:rFonts w:ascii="宋体" w:hAnsi="宋体" w:cs="宋体"/>
          <w:sz w:val="24"/>
        </w:rPr>
      </w:pPr>
      <w:r>
        <w:rPr>
          <w:rFonts w:hint="eastAsia" w:ascii="宋体" w:hAnsi="宋体" w:cs="宋体"/>
          <w:sz w:val="24"/>
        </w:rPr>
        <w:t>日期：  年   月  日</w:t>
      </w:r>
    </w:p>
    <w:p>
      <w:pPr>
        <w:spacing w:line="360" w:lineRule="auto"/>
        <w:jc w:val="center"/>
        <w:rPr>
          <w:rFonts w:ascii="宋体" w:hAnsi="宋体" w:cs="宋体"/>
          <w:b/>
          <w:bCs/>
          <w:sz w:val="36"/>
          <w:szCs w:val="36"/>
        </w:rPr>
      </w:pPr>
    </w:p>
    <w:p>
      <w:pPr>
        <w:spacing w:line="360" w:lineRule="auto"/>
        <w:jc w:val="center"/>
        <w:rPr>
          <w:rFonts w:ascii="宋体" w:hAnsi="宋体" w:cs="宋体"/>
          <w:b/>
          <w:bCs/>
          <w:sz w:val="36"/>
          <w:szCs w:val="36"/>
        </w:rPr>
      </w:pPr>
    </w:p>
    <w:p>
      <w:pPr>
        <w:spacing w:line="360" w:lineRule="auto"/>
        <w:jc w:val="center"/>
        <w:rPr>
          <w:rFonts w:ascii="宋体" w:hAnsi="宋体" w:cs="宋体"/>
          <w:b/>
          <w:bCs/>
          <w:sz w:val="36"/>
          <w:szCs w:val="36"/>
        </w:rPr>
      </w:pPr>
    </w:p>
    <w:p>
      <w:pPr>
        <w:spacing w:line="360" w:lineRule="auto"/>
        <w:jc w:val="center"/>
        <w:rPr>
          <w:rFonts w:ascii="宋体" w:hAnsi="宋体" w:cs="宋体"/>
          <w:b/>
          <w:bCs/>
          <w:sz w:val="36"/>
          <w:szCs w:val="36"/>
        </w:rPr>
      </w:pPr>
      <w:r>
        <w:rPr>
          <w:rFonts w:hint="eastAsia" w:ascii="宋体" w:hAnsi="宋体" w:cs="宋体"/>
          <w:b/>
          <w:bCs/>
          <w:sz w:val="36"/>
          <w:szCs w:val="36"/>
        </w:rPr>
        <w:t>（2）投标分项报价表</w:t>
      </w:r>
    </w:p>
    <w:p>
      <w:pPr>
        <w:spacing w:line="360" w:lineRule="auto"/>
        <w:rPr>
          <w:rFonts w:ascii="宋体" w:hAnsi="宋体" w:cs="宋体"/>
        </w:rPr>
      </w:pPr>
    </w:p>
    <w:p>
      <w:pPr>
        <w:widowControl/>
        <w:jc w:val="left"/>
        <w:rPr>
          <w:rFonts w:ascii="宋体" w:hAnsi="宋体" w:cs="宋体"/>
          <w:color w:val="000000"/>
          <w:kern w:val="0"/>
          <w:sz w:val="24"/>
        </w:rPr>
      </w:pPr>
      <w:r>
        <w:rPr>
          <w:rFonts w:hint="eastAsia" w:ascii="宋体" w:hAnsi="宋体" w:cs="宋体"/>
          <w:color w:val="000000"/>
          <w:kern w:val="0"/>
          <w:sz w:val="24"/>
        </w:rPr>
        <w:t xml:space="preserve">项目名称： </w:t>
      </w:r>
    </w:p>
    <w:p>
      <w:pPr>
        <w:widowControl/>
        <w:jc w:val="left"/>
        <w:rPr>
          <w:rFonts w:ascii="宋体" w:hAnsi="宋体" w:cs="宋体"/>
          <w:color w:val="000000"/>
          <w:kern w:val="0"/>
          <w:sz w:val="24"/>
        </w:rPr>
      </w:pPr>
      <w:r>
        <w:rPr>
          <w:rFonts w:hint="eastAsia" w:ascii="宋体" w:hAnsi="宋体" w:cs="宋体"/>
          <w:color w:val="000000"/>
          <w:kern w:val="0"/>
          <w:sz w:val="24"/>
        </w:rPr>
        <w:t>项目编号：</w:t>
      </w:r>
    </w:p>
    <w:p>
      <w:pPr>
        <w:widowControl/>
        <w:jc w:val="left"/>
        <w:rPr>
          <w:rFonts w:ascii="宋体" w:hAnsi="宋体" w:cs="宋体"/>
          <w:color w:val="000000"/>
          <w:kern w:val="0"/>
          <w:sz w:val="24"/>
        </w:rPr>
      </w:pPr>
      <w:r>
        <w:rPr>
          <w:rFonts w:hint="eastAsia" w:ascii="宋体" w:hAnsi="宋体" w:cs="宋体"/>
          <w:color w:val="000000"/>
          <w:kern w:val="0"/>
          <w:sz w:val="24"/>
        </w:rPr>
        <w:t>标二：</w:t>
      </w:r>
    </w:p>
    <w:p>
      <w:pPr>
        <w:widowControl/>
        <w:jc w:val="right"/>
        <w:rPr>
          <w:rFonts w:ascii="宋体" w:hAnsi="宋体" w:cs="宋体"/>
          <w:color w:val="000000"/>
          <w:kern w:val="0"/>
          <w:sz w:val="24"/>
        </w:rPr>
      </w:pPr>
      <w:r>
        <w:rPr>
          <w:rFonts w:hint="eastAsia" w:ascii="宋体" w:hAnsi="宋体" w:cs="宋体"/>
          <w:color w:val="000000"/>
          <w:kern w:val="0"/>
          <w:sz w:val="24"/>
        </w:rPr>
        <w:t>报价金额单位：人民币元</w:t>
      </w:r>
    </w:p>
    <w:tbl>
      <w:tblPr>
        <w:tblStyle w:val="20"/>
        <w:tblW w:w="5156" w:type="pct"/>
        <w:tblInd w:w="-223" w:type="dxa"/>
        <w:tblLayout w:type="fixed"/>
        <w:tblCellMar>
          <w:top w:w="0" w:type="dxa"/>
          <w:left w:w="108" w:type="dxa"/>
          <w:bottom w:w="0" w:type="dxa"/>
          <w:right w:w="108" w:type="dxa"/>
        </w:tblCellMar>
      </w:tblPr>
      <w:tblGrid>
        <w:gridCol w:w="1035"/>
        <w:gridCol w:w="1899"/>
        <w:gridCol w:w="4351"/>
        <w:gridCol w:w="1562"/>
        <w:gridCol w:w="986"/>
        <w:gridCol w:w="1322"/>
        <w:gridCol w:w="1731"/>
        <w:gridCol w:w="1731"/>
      </w:tblGrid>
      <w:tr>
        <w:tblPrEx>
          <w:tblCellMar>
            <w:top w:w="0" w:type="dxa"/>
            <w:left w:w="108" w:type="dxa"/>
            <w:bottom w:w="0" w:type="dxa"/>
            <w:right w:w="108" w:type="dxa"/>
          </w:tblCellMar>
        </w:tblPrEx>
        <w:trPr>
          <w:trHeight w:val="1404" w:hRule="atLeast"/>
        </w:trPr>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序号</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名称</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规格配置</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单位</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数量</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最高限价单价（元）</w:t>
            </w: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top"/>
          </w:tcPr>
          <w:p>
            <w:pPr>
              <w:widowControl/>
              <w:spacing w:line="360" w:lineRule="auto"/>
              <w:jc w:val="center"/>
              <w:textAlignment w:val="center"/>
              <w:rPr>
                <w:rFonts w:hint="eastAsia" w:ascii="宋体" w:hAnsi="宋体" w:eastAsia="宋体" w:cs="宋体"/>
                <w:color w:val="000000"/>
                <w:kern w:val="0"/>
                <w:sz w:val="24"/>
                <w:lang w:eastAsia="zh-CN"/>
              </w:rPr>
            </w:pPr>
            <w:r>
              <w:rPr>
                <w:rFonts w:hint="eastAsia" w:ascii="宋体" w:hAnsi="宋体" w:eastAsia="宋体" w:cs="宋体"/>
                <w:color w:val="000000"/>
                <w:kern w:val="0"/>
                <w:sz w:val="24"/>
                <w:lang w:eastAsia="zh-CN"/>
              </w:rPr>
              <w:t>各项单价统一折扣率</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w:t>
            </w:r>
            <w:r>
              <w:rPr>
                <w:rFonts w:hint="eastAsia" w:ascii="宋体" w:hAnsi="宋体" w:cs="宋体"/>
                <w:color w:val="000000"/>
                <w:kern w:val="0"/>
                <w:sz w:val="24"/>
                <w:lang w:eastAsia="zh-CN"/>
              </w:rPr>
              <w:t>）</w:t>
            </w: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top"/>
          </w:tcPr>
          <w:p>
            <w:pPr>
              <w:widowControl/>
              <w:spacing w:line="360" w:lineRule="auto"/>
              <w:jc w:val="center"/>
              <w:textAlignment w:val="center"/>
              <w:rPr>
                <w:rFonts w:hint="eastAsia" w:ascii="宋体" w:hAnsi="宋体" w:eastAsia="宋体" w:cs="宋体"/>
                <w:color w:val="000000"/>
                <w:kern w:val="0"/>
                <w:sz w:val="24"/>
                <w:lang w:eastAsia="zh-CN"/>
              </w:rPr>
            </w:pPr>
            <w:r>
              <w:rPr>
                <w:rFonts w:hint="eastAsia" w:ascii="宋体" w:hAnsi="宋体" w:cs="宋体"/>
                <w:color w:val="000000"/>
                <w:kern w:val="0"/>
                <w:sz w:val="24"/>
                <w:lang w:eastAsia="zh-CN"/>
              </w:rPr>
              <w:t>投标单价报价（元）</w:t>
            </w:r>
          </w:p>
        </w:tc>
      </w:tr>
      <w:tr>
        <w:tblPrEx>
          <w:tblCellMar>
            <w:top w:w="0" w:type="dxa"/>
            <w:left w:w="108" w:type="dxa"/>
            <w:bottom w:w="0" w:type="dxa"/>
            <w:right w:w="108" w:type="dxa"/>
          </w:tblCellMar>
        </w:tblPrEx>
        <w:trPr>
          <w:trHeight w:val="270" w:hRule="atLeast"/>
        </w:trPr>
        <w:tc>
          <w:tcPr>
            <w:tcW w:w="3437" w:type="pct"/>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left"/>
              <w:rPr>
                <w:rFonts w:ascii="宋体" w:hAnsi="宋体" w:cs="宋体"/>
                <w:color w:val="000000"/>
                <w:kern w:val="0"/>
                <w:sz w:val="24"/>
              </w:rPr>
            </w:pPr>
            <w:r>
              <w:rPr>
                <w:rFonts w:hint="eastAsia" w:ascii="宋体" w:hAnsi="宋体" w:cs="宋体"/>
                <w:color w:val="000000"/>
                <w:kern w:val="0"/>
                <w:sz w:val="24"/>
              </w:rPr>
              <w:t>一、标线类</w:t>
            </w: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left"/>
              <w:rPr>
                <w:rFonts w:hint="eastAsia" w:ascii="宋体" w:hAnsi="宋体" w:cs="宋体"/>
                <w:color w:val="000000"/>
                <w:kern w:val="0"/>
                <w:sz w:val="24"/>
              </w:rPr>
            </w:pPr>
          </w:p>
        </w:tc>
      </w:tr>
      <w:tr>
        <w:tblPrEx>
          <w:tblCellMar>
            <w:top w:w="0" w:type="dxa"/>
            <w:left w:w="108" w:type="dxa"/>
            <w:bottom w:w="0" w:type="dxa"/>
            <w:right w:w="108" w:type="dxa"/>
          </w:tblCellMar>
        </w:tblPrEx>
        <w:trPr>
          <w:trHeight w:val="3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预成型反光标带</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彩色防滑标线，厚度1.5-2.5mm</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120</w:t>
            </w:r>
          </w:p>
        </w:tc>
        <w:tc>
          <w:tcPr>
            <w:tcW w:w="461" w:type="pct"/>
            <w:vMerge w:val="restart"/>
            <w:tcBorders>
              <w:top w:val="single" w:color="000000" w:sz="4" w:space="0"/>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6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彩色防滑路面标线</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厚度≥3.0mm,彩色公交专用道(含黄色专用道)</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138</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30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绿色泊位标线</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厚度≥3.0mm</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138</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4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常温标线</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厚度：0.3mm～0.5mm</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普通热熔标线、地面标识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热熔反光型标线厚度≥1.8mm，均匀撒布反光珠</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3"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Ⅱ级反光热熔标线</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热熔反光型标线厚度≥1.8mm，均匀撒布反光珠，符合F80-2017(公路工程质量检验评定标准）标线施划后检测逆反射亮度系数≥250，一年内任意一次检测时数值均需≥150。</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53</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7</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普通热熔振荡标线</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基线厚度≥1.5mm，突起部分高度≥5mm，均匀撒布反光珠</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70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142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8</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Ⅱ级振荡反光热熔标线</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基线厚度≥1.5mm，突起部分高度≥5mm，均匀撒布反光珠，符合F80-2017(公路工程质量检验评定标准）标线施划后检测逆反射亮度系数≥250，一年内任意一次检测时数值均需≥150。</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adjustRightInd/>
              <w:spacing w:line="360" w:lineRule="auto"/>
              <w:ind w:firstLine="0"/>
              <w:jc w:val="center"/>
              <w:textAlignment w:val="auto"/>
              <w:rPr>
                <w:rFonts w:cs="宋体" w:asciiTheme="minorEastAsia" w:hAnsiTheme="minorEastAsia" w:eastAsiaTheme="minorEastAsia"/>
                <w:color w:val="000000"/>
                <w:sz w:val="24"/>
              </w:rPr>
            </w:pPr>
            <w:r>
              <w:rPr>
                <w:rFonts w:asciiTheme="minorEastAsia" w:hAnsiTheme="minorEastAsia" w:eastAsiaTheme="minorEastAsia"/>
                <w:sz w:val="24"/>
                <w:szCs w:val="24"/>
              </w:rPr>
              <w:t>93</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120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9</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双组份结构型反光标线</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1、MMA材质；2、不粘胎干结时间：≤15分钟；3、耐磨性：≤40mg；4、符合F80-2017(公路工程质量检验评定标准）标线施划后检测逆反射亮度系数≥350，一年内任意一次检测时数值均需≥150。</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123</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120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雨夜标线</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标线施划表面撒播白色或黄色雨夜反光珠和玻璃珠，雨夜珠播量≥200g/m2，玻璃珠撒播量≥200g/m2。雨夜珠应为全天候高亮雨夜珠，外观为不规则形状，表层</w:t>
            </w:r>
          </w:p>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为微晶陶瓷珠涂层结构。</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161</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绿化带端头刷漆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按照GB5768要求施划立面标记，黄黑反光漆</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34</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双组份标线（甩涂型）</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含地面、夯平、图形制作、底胶浸倒、陶珠散布、余珠清除</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87</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13</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双组份标线（喷涂型）</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含地面、夯平、图形制作、底胶浸倒、陶珠散布、余珠清除</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30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高亮反光热熔标线（刮涂型）</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厚度≥0.7mm，逆反射亮度系数≥350。</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30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高亮反光热熔标线（喷涂型）</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厚度≥0.7mm，逆反射亮度系数≥350。</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110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高压水除线（带回收）</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超高压水磨清洗法，清除老标线，无明显痕迹（回收残渣）</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16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17</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高压水除线</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超高压水磨清洗法，清除老标线，无明显痕迹，</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r>
              <w:rPr>
                <w:rStyle w:val="29"/>
                <w:rFonts w:hint="default"/>
                <w:sz w:val="24"/>
                <w:szCs w:val="24"/>
              </w:rPr>
              <w:t>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40</w:t>
            </w:r>
          </w:p>
        </w:tc>
        <w:tc>
          <w:tcPr>
            <w:tcW w:w="461" w:type="pct"/>
            <w:vMerge w:val="continue"/>
            <w:tcBorders>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437"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left"/>
              <w:rPr>
                <w:rFonts w:cs="宋体" w:asciiTheme="minorEastAsia" w:hAnsiTheme="minorEastAsia" w:eastAsiaTheme="minorEastAsia"/>
                <w:color w:val="000000"/>
                <w:sz w:val="24"/>
              </w:rPr>
            </w:pPr>
            <w:r>
              <w:rPr>
                <w:rFonts w:hint="eastAsia" w:cs="宋体" w:asciiTheme="minorEastAsia" w:hAnsiTheme="minorEastAsia" w:eastAsiaTheme="minorEastAsia"/>
                <w:color w:val="000000"/>
                <w:kern w:val="0"/>
                <w:sz w:val="24"/>
              </w:rPr>
              <w:t>二、标志类</w:t>
            </w:r>
          </w:p>
        </w:tc>
        <w:tc>
          <w:tcPr>
            <w:tcW w:w="4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left"/>
              <w:rPr>
                <w:rFonts w:hint="eastAsia" w:cs="宋体" w:asciiTheme="minorEastAsia" w:hAnsiTheme="minorEastAsia" w:eastAsiaTheme="minorEastAsia"/>
                <w:color w:val="000000"/>
                <w:kern w:val="0"/>
                <w:sz w:val="24"/>
              </w:rPr>
            </w:pPr>
          </w:p>
        </w:tc>
      </w:tr>
      <w:tr>
        <w:tblPrEx>
          <w:tblCellMar>
            <w:top w:w="0" w:type="dxa"/>
            <w:left w:w="108" w:type="dxa"/>
            <w:bottom w:w="0" w:type="dxa"/>
            <w:right w:w="108" w:type="dxa"/>
          </w:tblCellMar>
        </w:tblPrEx>
        <w:trPr>
          <w:trHeight w:val="70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道路标志牌三角形（单位：cm)△70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标志膜采用第IV类反光膜,并安装于指定位置，采用2.0mm厚度铝合金板。详见项目技术规范</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cs="宋体" w:asciiTheme="minorEastAsia" w:hAnsiTheme="minorEastAsia" w:eastAsiaTheme="minorEastAsia"/>
                <w:color w:val="000000"/>
                <w:sz w:val="24"/>
              </w:rPr>
            </w:pPr>
            <w:r>
              <w:rPr>
                <w:rFonts w:asciiTheme="minorEastAsia" w:hAnsiTheme="minorEastAsia" w:eastAsiaTheme="minorEastAsia"/>
                <w:sz w:val="24"/>
                <w:szCs w:val="24"/>
              </w:rPr>
              <w:t>150</w:t>
            </w:r>
          </w:p>
        </w:tc>
        <w:tc>
          <w:tcPr>
            <w:tcW w:w="461" w:type="pct"/>
            <w:vMerge w:val="restar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p>
        </w:tc>
      </w:tr>
      <w:tr>
        <w:trPr>
          <w:trHeight w:val="66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道路标志牌三角形（单位：cm)△90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180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道路标志牌三角形（单位：cm)△110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道路标志牌圆形（单位：cm）Φ60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170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道路标志牌圆形（单位：cm）Φ80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240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道路标志牌圆形（单位：cm）Φ100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390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7</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道路标志牌正方形（单位:cm）60×60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196</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8</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道路标志牌正方形（单位:cm）80×80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320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9</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道路标志牌正方形（单位:cm）100×100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485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道路标志牌长方形（单位：cm）60×30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道路标志牌长方形（单位：cm）80×40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180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道路标志牌长方形（单位：cm）100×50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250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13</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道路标志牌长方形（单位：cm）120×60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360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道路标志牌三角形（单位：cm)△130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标志膜采用第IV类反光膜,并安装于指定位置，采用3.0mm厚度铝合金板。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72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道路标志牌圆形（单位：cm）Φ120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标志膜采用第IV类反光膜,并安装于指定位置，采用3.0mm厚度铝合金板。详见项目技术规范</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750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道路标志牌正方形（单位:cm）120×120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标志膜采用第IV类反光膜,并安装于指定位置，采用3.0mm厚度铝合金板。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color w:val="000000"/>
                <w:sz w:val="24"/>
                <w:szCs w:val="24"/>
              </w:rPr>
              <w:t>853</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17</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道路标志牌长方形（单位：cm）140×100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标志膜采用第IV类反光膜,并安装于指定位置，采用3.0mm厚度铝合金板。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color w:val="000000"/>
                <w:sz w:val="24"/>
                <w:szCs w:val="24"/>
              </w:rPr>
              <w:t>814</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18</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道路标志牌三角形（单位：cm)△70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cs="宋体" w:asciiTheme="minorEastAsia" w:hAnsiTheme="minorEastAsia" w:eastAsiaTheme="minorEastAsia"/>
                <w:color w:val="000000"/>
                <w:sz w:val="24"/>
              </w:rPr>
            </w:pPr>
            <w:r>
              <w:rPr>
                <w:rFonts w:asciiTheme="minorEastAsia" w:hAnsiTheme="minorEastAsia" w:eastAsiaTheme="minorEastAsia"/>
                <w:sz w:val="24"/>
                <w:szCs w:val="24"/>
              </w:rPr>
              <w:t>250</w:t>
            </w:r>
          </w:p>
        </w:tc>
        <w:tc>
          <w:tcPr>
            <w:tcW w:w="461" w:type="pct"/>
            <w:vMerge w:val="continue"/>
            <w:tcBorders>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19</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道路标志牌三角形（单位：cm)△90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450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道路标志牌三角形（单位：cm)△110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道路标志牌圆形（单位：cm）Φ60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320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道路标志牌圆形（单位：cm）Φ80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420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23</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道路标志牌圆形（单位：cm）Φ100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791</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道路标志牌正方形（单位:cm）60×60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道路标志牌正方形（单位:cm）80×80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520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道路标志牌正方形（单位:cm）100×100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810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27</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道路标志牌长方形（单位：cm）60×30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170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28</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道路标志牌长方形（单位：cm）80×40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270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29</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道路标志牌长方形（单位：cm）100×50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420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道路标志牌长方形（单位：cm）120×60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标志膜采用第V类反光膜,并安装于指定位置，采用2.0mm厚度铝合金板。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590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道路标志牌三角形（单位：cm)△130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标志膜采用第V类反光膜,并安装于指定位置，采用3.0mm厚度铝合金板。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610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道路标志牌圆形（单位：cm）Φ120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标志膜采用第V类反光膜,并安装于指定位置，采用3.0mm厚度铝合金板。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1100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33</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道路标志牌正方形（单位:cm）120×120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标志膜采用第V类反光膜,并安装于指定位置，采用3.0mm厚度铝合金板。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1200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道路标志牌长方形（单位：cm）140×100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标志膜采用第V类反光膜,并安装于指定位置，采用3.0mm厚度铝合金板。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1150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道路标志牌1.2至3m²（按2.1 m²板计）</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标志膜采用第V类反光膜,并安装于指定位置，采用3.0mm厚度铝合金板。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1900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道路标志牌3至5m²（按4 m²板计）</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标志膜采用第V类反光膜,并安装于指定位置，采用3.0mm厚度铝合金板。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3300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37</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道路标志牌5至7m²（按6 m²板计）</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标志膜采用第V类反光膜,并安装于指定位置，采用3.0mm厚度铝合金板。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4600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38</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道路标志牌7至9m²（按8 m²板计）</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标志膜采用第V类反光膜,并安装于指定位置，采用3.0mm厚度铝合金板。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5800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39</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道路标志牌9至12m²（按10.5 m²板计）</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标志膜采用第V类反光膜,并安装于指定位置，采用3.0mm厚度铝合金板。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8400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道路标志牌12至15m²（按13.5 m²板计）</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标志膜采用第V类反光膜,并安装于指定位置，采用3.0mm厚度铝合金板。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11000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道路标志牌15m²以上（按18 m²板计）</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标志膜采用第V类反光膜,并安装于指定位置，采用3.0mm厚度铝合金板。</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15000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标志牌去膜改版（字按热熔字考虑，字体面积按版面的1/3计算）</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贴第IV类反光膜(单块标牌面积1m²起算)</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216</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43</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标志牌去膜改版</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贴第V类反光膜(单块标牌面积1m²起算)</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441</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52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贴膜</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杆件、警示桩、护栏边柱、岗亭等设施贴第IV类反光膜</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119</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标志牌清洗</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仅限大于5m²的，小于等于5m²的包含于年度维护费中</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0.79</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钢支架</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钢制活动支架，用以直接设置在路上，并安装于指定位置</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t</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5340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47</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设备支架制作安装</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设备支架制作安装每组重量0.2t以内</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t</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8540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48</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设备支架制作安装</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设备支架制作安装每组重量0.2-0.5t</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t</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8413</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49</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设备支架制作安装</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设备支架制作安装每组重量0.5-1t</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t</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8144</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设备支架制作安装</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设备支架制作安装每组重量1-3t</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t</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7866</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设备支架制作安装</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设备支架制作安装每组重量3-5t</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t</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7607</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KT板（广告牌）</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按1*1.2m亚克力板计算</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110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53</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三角形（单位：cm)△70标志版拆除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95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三角形（单位：cm)△90标志版拆除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103</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三角形（单位：cm)△110标志版拆除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110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三角形（单位：cm)△130标志版拆除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118</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57</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圆形（单位：cm）Φ60标志版拆除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103</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58</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圆形（单位：cm）Φ80标志版拆除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110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59</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圆形（单位：cm）Φ100标志版拆除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118</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60</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圆形（单位：cm）Φ120标志版拆除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145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61</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正方形（单位:cm）60×60标志版拆除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103</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62</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正方形（单位:cm）80×80标志版拆除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110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63</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正方形（单位:cm）100×100标志版拆除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118</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64</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正方形（单位:cm）120×120标志版拆除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145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65</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长方形（单位：cm）60×30标志版拆除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95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66</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长方形（单位：cm）80×40标志版拆除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103</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67</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长方形（单位：cm）100×50标志版拆除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110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68</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长方形（单位：cm）120×60标志版拆除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118</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69</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长方形（单位：cm）140×100标志版拆除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126</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70</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面积1.5-3m2以内标志版拆除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280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71</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面积3-5m2以内标志版拆除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446</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72</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面积5-7m2以内标志版拆除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646</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73</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面积7-9m2以内标志版拆除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859</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74</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面积9-12m2以内标志版拆除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1045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75</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面积12-15m2以内标志版拆除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1214</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76</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面积15m2以上标志版拆除</w:t>
            </w:r>
          </w:p>
        </w:tc>
        <w:tc>
          <w:tcPr>
            <w:tcW w:w="11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1343</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77</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发光标志</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标志板面发光设计，全（半）透型面板显示</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m²</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4000</w:t>
            </w:r>
          </w:p>
        </w:tc>
        <w:tc>
          <w:tcPr>
            <w:tcW w:w="461" w:type="pct"/>
            <w:vMerge w:val="continue"/>
            <w:tcBorders>
              <w:left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78</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LED分体式可变车道标志板</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V类反光膜</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6500</w:t>
            </w:r>
          </w:p>
        </w:tc>
        <w:tc>
          <w:tcPr>
            <w:tcW w:w="461" w:type="pct"/>
            <w:vMerge w:val="continue"/>
            <w:tcBorders>
              <w:left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sz w:val="24"/>
              </w:rPr>
              <w:t>79</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可变车道诱导屏</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0.8*1.2m，含控制箱，匹配现有工程</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12000</w:t>
            </w:r>
          </w:p>
        </w:tc>
        <w:tc>
          <w:tcPr>
            <w:tcW w:w="461" w:type="pct"/>
            <w:vMerge w:val="continue"/>
            <w:tcBorders>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437" w:type="pct"/>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left"/>
              <w:rPr>
                <w:rFonts w:cs="宋体" w:asciiTheme="minorEastAsia" w:hAnsiTheme="minorEastAsia" w:eastAsiaTheme="minorEastAsia"/>
                <w:color w:val="000000"/>
                <w:sz w:val="24"/>
              </w:rPr>
            </w:pPr>
            <w:r>
              <w:rPr>
                <w:rFonts w:hint="eastAsia" w:cs="宋体" w:asciiTheme="minorEastAsia" w:hAnsiTheme="minorEastAsia" w:eastAsiaTheme="minorEastAsia"/>
                <w:color w:val="000000"/>
                <w:kern w:val="0"/>
                <w:sz w:val="24"/>
              </w:rPr>
              <w:t>三、立杆</w:t>
            </w: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left"/>
              <w:rPr>
                <w:rFonts w:hint="eastAsia" w:cs="宋体" w:asciiTheme="minorEastAsia" w:hAnsiTheme="minorEastAsia" w:eastAsiaTheme="minorEastAsia"/>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Ф60H3米立杆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201</w:t>
            </w:r>
          </w:p>
        </w:tc>
        <w:tc>
          <w:tcPr>
            <w:tcW w:w="461" w:type="pct"/>
            <w:vMerge w:val="restart"/>
            <w:tcBorders>
              <w:top w:val="single" w:color="000000" w:sz="4" w:space="0"/>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Ф89H2米立杆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210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Ф89H3米立杆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270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Ф89H3.5米立杆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Ф89H4米立杆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330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Ф114H0.85米反光柱</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176</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7</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Ф114H1米立杆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8</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Ф114H3米立杆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330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9</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Ф114H3.3米立杆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365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Ф114H3.5米立杆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Ф114H4米立杆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420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Ф114H4.5米立杆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450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13</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Ф114H4.7米立杆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465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Ф114H4.8米立杆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Ф114H5米立杆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557</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Ф114H5.5米立杆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601</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17</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Ф114H6米立杆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644</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85"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18</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165*5.5米</w:t>
            </w:r>
            <w:r>
              <w:rPr>
                <w:rStyle w:val="30"/>
                <w:rFonts w:hint="eastAsia" w:ascii="宋体" w:hAnsi="宋体" w:cs="宋体"/>
                <w:sz w:val="24"/>
                <w:szCs w:val="24"/>
              </w:rPr>
              <w:t>F</w:t>
            </w:r>
            <w:r>
              <w:rPr>
                <w:rFonts w:hint="eastAsia" w:ascii="宋体" w:hAnsi="宋体" w:cs="宋体"/>
                <w:color w:val="000000"/>
                <w:kern w:val="0"/>
                <w:sz w:val="24"/>
              </w:rPr>
              <w:t>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1、立柱：165*10*6500镀锌钢管</w:t>
            </w:r>
            <w:r>
              <w:rPr>
                <w:rFonts w:hint="eastAsia" w:ascii="宋体" w:hAnsi="宋体" w:cs="宋体"/>
                <w:color w:val="000000"/>
                <w:kern w:val="0"/>
                <w:sz w:val="24"/>
              </w:rPr>
              <w:cr/>
            </w:r>
            <w:r>
              <w:rPr>
                <w:rFonts w:hint="eastAsia" w:ascii="宋体" w:hAnsi="宋体" w:cs="宋体"/>
                <w:color w:val="000000"/>
                <w:kern w:val="0"/>
                <w:sz w:val="24"/>
              </w:rPr>
              <w:t>2、横梁：89*8*5500镀锌钢管</w:t>
            </w:r>
            <w:r>
              <w:rPr>
                <w:rFonts w:hint="eastAsia" w:ascii="宋体" w:hAnsi="宋体" w:cs="宋体"/>
                <w:color w:val="000000"/>
                <w:kern w:val="0"/>
                <w:sz w:val="24"/>
              </w:rPr>
              <w:cr/>
            </w:r>
            <w:r>
              <w:rPr>
                <w:rFonts w:hint="eastAsia" w:ascii="宋体" w:hAnsi="宋体" w:cs="宋体"/>
                <w:color w:val="000000"/>
                <w:kern w:val="0"/>
                <w:sz w:val="24"/>
              </w:rPr>
              <w:t>3、滑动槽钢、抱箍及加劲肋等，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9000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85"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19</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165*4.5米</w:t>
            </w:r>
            <w:r>
              <w:rPr>
                <w:rStyle w:val="30"/>
                <w:rFonts w:hint="eastAsia" w:ascii="宋体" w:hAnsi="宋体" w:cs="宋体"/>
                <w:sz w:val="24"/>
                <w:szCs w:val="24"/>
              </w:rPr>
              <w:t>F</w:t>
            </w:r>
            <w:r>
              <w:rPr>
                <w:rFonts w:hint="eastAsia" w:ascii="宋体" w:hAnsi="宋体" w:cs="宋体"/>
                <w:color w:val="000000"/>
                <w:kern w:val="0"/>
                <w:sz w:val="24"/>
              </w:rPr>
              <w:t>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1、立柱：165*10*6500镀锌钢管</w:t>
            </w:r>
            <w:r>
              <w:rPr>
                <w:rFonts w:hint="eastAsia" w:ascii="宋体" w:hAnsi="宋体" w:cs="宋体"/>
                <w:color w:val="000000"/>
                <w:kern w:val="0"/>
                <w:sz w:val="24"/>
              </w:rPr>
              <w:cr/>
            </w:r>
            <w:r>
              <w:rPr>
                <w:rFonts w:hint="eastAsia" w:ascii="宋体" w:hAnsi="宋体" w:cs="宋体"/>
                <w:color w:val="000000"/>
                <w:kern w:val="0"/>
                <w:sz w:val="24"/>
              </w:rPr>
              <w:t>2、横梁：89*8*5500镀锌钢管</w:t>
            </w:r>
            <w:r>
              <w:rPr>
                <w:rFonts w:hint="eastAsia" w:ascii="宋体" w:hAnsi="宋体" w:cs="宋体"/>
                <w:color w:val="000000"/>
                <w:kern w:val="0"/>
                <w:sz w:val="24"/>
              </w:rPr>
              <w:cr/>
            </w:r>
            <w:r>
              <w:rPr>
                <w:rFonts w:hint="eastAsia" w:ascii="宋体" w:hAnsi="宋体" w:cs="宋体"/>
                <w:color w:val="000000"/>
                <w:kern w:val="0"/>
                <w:sz w:val="24"/>
              </w:rPr>
              <w:t>3、滑动槽钢、抱箍及加劲肋等，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8900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6.8*5米悬臂八棱杆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1、立柱：八角φ（300~500）*10*6.9m镀锌钢管</w:t>
            </w:r>
            <w:r>
              <w:rPr>
                <w:rFonts w:hint="eastAsia" w:ascii="宋体" w:hAnsi="宋体" w:cs="宋体"/>
                <w:color w:val="000000"/>
                <w:kern w:val="0"/>
                <w:sz w:val="24"/>
              </w:rPr>
              <w:cr/>
            </w:r>
            <w:r>
              <w:rPr>
                <w:rFonts w:hint="eastAsia" w:ascii="宋体" w:hAnsi="宋体" w:cs="宋体"/>
                <w:color w:val="000000"/>
                <w:kern w:val="0"/>
                <w:sz w:val="24"/>
              </w:rPr>
              <w:t>2、横梁：八角φ（110~250）*8*5.0m镀锌钢管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26994</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6.8*6米悬臂八棱杆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1、立柱：八角φ（300~500）*10*6.9m镀锌钢管</w:t>
            </w:r>
            <w:r>
              <w:rPr>
                <w:rFonts w:hint="eastAsia" w:ascii="宋体" w:hAnsi="宋体" w:cs="宋体"/>
                <w:color w:val="000000"/>
                <w:kern w:val="0"/>
                <w:sz w:val="24"/>
              </w:rPr>
              <w:cr/>
            </w:r>
            <w:r>
              <w:rPr>
                <w:rFonts w:hint="eastAsia" w:ascii="宋体" w:hAnsi="宋体" w:cs="宋体"/>
                <w:color w:val="000000"/>
                <w:kern w:val="0"/>
                <w:sz w:val="24"/>
              </w:rPr>
              <w:t>2、横梁：八角φ（110~250）*8*6.0m镀锌钢管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27228</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6.8*7米悬臂八棱杆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1、立柱：八角φ（300~500）*10*6.9m镀锌钢管</w:t>
            </w:r>
            <w:r>
              <w:rPr>
                <w:rFonts w:hint="eastAsia" w:ascii="宋体" w:hAnsi="宋体" w:cs="宋体"/>
                <w:color w:val="000000"/>
                <w:kern w:val="0"/>
                <w:sz w:val="24"/>
              </w:rPr>
              <w:cr/>
            </w:r>
            <w:r>
              <w:rPr>
                <w:rFonts w:hint="eastAsia" w:ascii="宋体" w:hAnsi="宋体" w:cs="宋体"/>
                <w:color w:val="000000"/>
                <w:kern w:val="0"/>
                <w:sz w:val="24"/>
              </w:rPr>
              <w:t>2、横梁：八角φ（110~250）*8*7.0m镀锌钢管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27461</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23</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6.8*8米悬臂八棱杆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1、立柱：八角φ（300~500）*10*6.9m镀锌钢管</w:t>
            </w:r>
            <w:r>
              <w:rPr>
                <w:rFonts w:hint="eastAsia" w:ascii="宋体" w:hAnsi="宋体" w:cs="宋体"/>
                <w:color w:val="000000"/>
                <w:kern w:val="0"/>
                <w:sz w:val="24"/>
              </w:rPr>
              <w:cr/>
            </w:r>
            <w:r>
              <w:rPr>
                <w:rFonts w:hint="eastAsia" w:ascii="宋体" w:hAnsi="宋体" w:cs="宋体"/>
                <w:color w:val="000000"/>
                <w:kern w:val="0"/>
                <w:sz w:val="24"/>
              </w:rPr>
              <w:t>2、横梁：八角φ（110~250）*8*8.0m镀锌钢管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27688</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24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6.8*9米悬臂八棱杆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1、立柱：八角φ（300~500）*10*6.9m镀锌钢管</w:t>
            </w:r>
            <w:r>
              <w:rPr>
                <w:rFonts w:hint="eastAsia" w:ascii="宋体" w:hAnsi="宋体" w:cs="宋体"/>
                <w:color w:val="000000"/>
                <w:kern w:val="0"/>
                <w:sz w:val="24"/>
              </w:rPr>
              <w:cr/>
            </w:r>
            <w:r>
              <w:rPr>
                <w:rFonts w:hint="eastAsia" w:ascii="宋体" w:hAnsi="宋体" w:cs="宋体"/>
                <w:color w:val="000000"/>
                <w:kern w:val="0"/>
                <w:sz w:val="24"/>
              </w:rPr>
              <w:t>2、横梁：八角φ（110~250）*8*9.0m镀锌钢管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27922</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6.8*9米*7米双挑悬臂八棱杆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1、立柱：八角φ（300~500）*10*6.9m镀锌钢管</w:t>
            </w:r>
            <w:r>
              <w:rPr>
                <w:rFonts w:hint="eastAsia" w:ascii="宋体" w:hAnsi="宋体" w:cs="宋体"/>
                <w:color w:val="000000"/>
                <w:kern w:val="0"/>
                <w:sz w:val="24"/>
              </w:rPr>
              <w:cr/>
            </w:r>
            <w:r>
              <w:rPr>
                <w:rFonts w:hint="eastAsia" w:ascii="宋体" w:hAnsi="宋体" w:cs="宋体"/>
                <w:color w:val="000000"/>
                <w:kern w:val="0"/>
                <w:sz w:val="24"/>
              </w:rPr>
              <w:t>2、横梁：八角φ（110~250）*8*(9+7)m镀锌钢管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29556</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6.8*9米双挑悬臂八棱杆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1、立柱：八角φ（300~500）*10*6.9m镀锌钢管</w:t>
            </w:r>
            <w:r>
              <w:rPr>
                <w:rFonts w:hint="eastAsia" w:ascii="宋体" w:hAnsi="宋体" w:cs="宋体"/>
                <w:color w:val="000000"/>
                <w:kern w:val="0"/>
                <w:sz w:val="24"/>
              </w:rPr>
              <w:cr/>
            </w:r>
            <w:r>
              <w:rPr>
                <w:rFonts w:hint="eastAsia" w:ascii="宋体" w:hAnsi="宋体" w:cs="宋体"/>
                <w:color w:val="000000"/>
                <w:kern w:val="0"/>
                <w:sz w:val="24"/>
              </w:rPr>
              <w:t>2、横梁：八角φ（110~250）*8*(9+9)m镀锌钢管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30023</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27</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6.8*11米悬臂八棱杆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1、立柱：八角φ（300~500）*10*6.9m镀锌钢管</w:t>
            </w:r>
            <w:r>
              <w:rPr>
                <w:rFonts w:hint="eastAsia" w:ascii="宋体" w:hAnsi="宋体" w:cs="宋体"/>
                <w:color w:val="000000"/>
                <w:kern w:val="0"/>
                <w:sz w:val="24"/>
              </w:rPr>
              <w:cr/>
            </w:r>
            <w:r>
              <w:rPr>
                <w:rFonts w:hint="eastAsia" w:ascii="宋体" w:hAnsi="宋体" w:cs="宋体"/>
                <w:color w:val="000000"/>
                <w:kern w:val="0"/>
                <w:sz w:val="24"/>
              </w:rPr>
              <w:t>2、横梁：八角φ（110~250）*8*11m镀锌钢管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28389</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28</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6.8*15米悬臂八棱杆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1、立柱：八角φ（300~500）*10*6.9m镀锌钢管</w:t>
            </w:r>
            <w:r>
              <w:rPr>
                <w:rFonts w:hint="eastAsia" w:ascii="宋体" w:hAnsi="宋体" w:cs="宋体"/>
                <w:color w:val="000000"/>
                <w:kern w:val="0"/>
                <w:sz w:val="24"/>
              </w:rPr>
              <w:cr/>
            </w:r>
            <w:r>
              <w:rPr>
                <w:rFonts w:hint="eastAsia" w:ascii="宋体" w:hAnsi="宋体" w:cs="宋体"/>
                <w:color w:val="000000"/>
                <w:kern w:val="0"/>
                <w:sz w:val="24"/>
              </w:rPr>
              <w:t>2、横梁：八角φ（110~250）*8*15m镀锌钢管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29323</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29</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219杆4*5.5悬臂杆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w:t>
            </w:r>
            <w:r>
              <w:rPr>
                <w:rFonts w:hint="eastAsia" w:ascii="宋体" w:hAnsi="宋体" w:cs="宋体"/>
                <w:color w:val="FF0000"/>
                <w:kern w:val="0"/>
                <w:sz w:val="24"/>
              </w:rPr>
              <w:t>立柱：φ219*10*6500镀锌钢管</w:t>
            </w:r>
            <w:r>
              <w:rPr>
                <w:rFonts w:hint="eastAsia" w:ascii="宋体" w:hAnsi="宋体" w:cs="宋体"/>
                <w:color w:val="FF0000"/>
                <w:kern w:val="0"/>
                <w:sz w:val="24"/>
              </w:rPr>
              <w:cr/>
            </w:r>
            <w:r>
              <w:rPr>
                <w:rFonts w:hint="eastAsia" w:ascii="宋体" w:hAnsi="宋体" w:cs="宋体"/>
                <w:color w:val="000000"/>
                <w:kern w:val="0"/>
                <w:sz w:val="24"/>
              </w:rPr>
              <w:t>2、横梁：φ168*8*5000(543)镀锌钢管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w:t>
            </w:r>
            <w:r>
              <w:rPr>
                <w:rFonts w:hint="eastAsia" w:ascii="宋体" w:hAnsi="宋体" w:cs="宋体"/>
                <w:color w:val="000000"/>
                <w:kern w:val="0"/>
                <w:sz w:val="24"/>
                <w:highlight w:val="none"/>
              </w:rPr>
              <w:t>石砼垫层+200厚片石垫层</w:t>
            </w:r>
            <w:r>
              <w:rPr>
                <w:rFonts w:hint="eastAsia" w:ascii="宋体" w:hAnsi="宋体" w:cs="宋体"/>
                <w:color w:val="000000"/>
                <w:kern w:val="0"/>
                <w:sz w:val="24"/>
                <w:highlight w:val="none"/>
              </w:rPr>
              <w:cr/>
            </w:r>
            <w:r>
              <w:rPr>
                <w:rFonts w:hint="eastAsia" w:ascii="宋体" w:hAnsi="宋体" w:cs="宋体"/>
                <w:color w:val="000000"/>
                <w:kern w:val="0"/>
                <w:sz w:val="24"/>
                <w:highlight w:val="none"/>
              </w:rPr>
              <w:t>详见8.附件：图纸，如参数与图纸不一致，以图纸为准。</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9600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273型×4.5"×5.5m(Ф800)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1、立柱：φ273*14*7900镀锌钢管</w:t>
            </w:r>
            <w:r>
              <w:rPr>
                <w:rFonts w:hint="eastAsia" w:ascii="宋体" w:hAnsi="宋体" w:cs="宋体"/>
                <w:color w:val="000000"/>
                <w:kern w:val="0"/>
                <w:sz w:val="24"/>
              </w:rPr>
              <w:cr/>
            </w:r>
            <w:r>
              <w:rPr>
                <w:rFonts w:hint="eastAsia" w:ascii="宋体" w:hAnsi="宋体" w:cs="宋体"/>
                <w:color w:val="000000"/>
                <w:kern w:val="0"/>
                <w:sz w:val="24"/>
              </w:rPr>
              <w:t>2、横梁：φ150*8*5500(543)镀锌钢管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18000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273型*5"*5米悬臂杆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1、立柱：φ273*14*7900镀锌钢管</w:t>
            </w:r>
            <w:r>
              <w:rPr>
                <w:rFonts w:hint="eastAsia" w:ascii="宋体" w:hAnsi="宋体" w:cs="宋体"/>
                <w:color w:val="000000"/>
                <w:kern w:val="0"/>
                <w:sz w:val="24"/>
              </w:rPr>
              <w:cr/>
            </w:r>
            <w:r>
              <w:rPr>
                <w:rFonts w:hint="eastAsia" w:ascii="宋体" w:hAnsi="宋体" w:cs="宋体"/>
                <w:color w:val="000000"/>
                <w:kern w:val="0"/>
                <w:sz w:val="24"/>
              </w:rPr>
              <w:t>2、横梁：φ168*8*5000(543)镀锌钢管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18800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32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273型*5"*5.5米悬臂杆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1、立柱：φ273*14*7900镀锌钢管</w:t>
            </w:r>
            <w:r>
              <w:rPr>
                <w:rFonts w:hint="eastAsia" w:ascii="宋体" w:hAnsi="宋体" w:cs="宋体"/>
                <w:color w:val="000000"/>
                <w:kern w:val="0"/>
                <w:sz w:val="24"/>
              </w:rPr>
              <w:cr/>
            </w:r>
            <w:r>
              <w:rPr>
                <w:rFonts w:hint="eastAsia" w:ascii="宋体" w:hAnsi="宋体" w:cs="宋体"/>
                <w:color w:val="000000"/>
                <w:kern w:val="0"/>
                <w:sz w:val="24"/>
              </w:rPr>
              <w:t>2、横梁：φ168*8*5500(543)镀锌钢管</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19200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33</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273型*7*7双挑悬臂杆（厚10cm）</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1、立柱：φ273*14*7900镀锌钢管</w:t>
            </w:r>
            <w:r>
              <w:rPr>
                <w:rFonts w:hint="eastAsia" w:ascii="宋体" w:hAnsi="宋体" w:cs="宋体"/>
                <w:color w:val="000000"/>
                <w:kern w:val="0"/>
                <w:sz w:val="24"/>
              </w:rPr>
              <w:cr/>
            </w:r>
            <w:r>
              <w:rPr>
                <w:rFonts w:hint="eastAsia" w:ascii="宋体" w:hAnsi="宋体" w:cs="宋体"/>
                <w:color w:val="000000"/>
                <w:kern w:val="0"/>
                <w:sz w:val="24"/>
              </w:rPr>
              <w:t>2、横梁：φ168*10*7000(543)镀锌钢管(双排）</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r>
              <w:rPr>
                <w:rFonts w:hint="eastAsia" w:ascii="宋体" w:hAnsi="宋体" w:cs="宋体"/>
                <w:color w:val="000000"/>
                <w:kern w:val="0"/>
                <w:sz w:val="24"/>
              </w:rPr>
              <w:cr/>
            </w: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24800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龙门架杆件</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1、立柱(mm)：Ф377×12×8000</w:t>
            </w:r>
            <w:r>
              <w:rPr>
                <w:rFonts w:hint="eastAsia" w:ascii="宋体" w:hAnsi="宋体" w:cs="宋体"/>
                <w:color w:val="000000"/>
                <w:kern w:val="0"/>
                <w:sz w:val="24"/>
              </w:rPr>
              <w:cr/>
            </w:r>
            <w:r>
              <w:rPr>
                <w:rFonts w:hint="eastAsia" w:ascii="宋体" w:hAnsi="宋体" w:cs="宋体"/>
                <w:color w:val="000000"/>
                <w:kern w:val="0"/>
                <w:sz w:val="24"/>
              </w:rPr>
              <w:t>2、横梁(mm)：Ф159×8×13220</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50177</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龙门架杆件</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1、立柱(mm)：立柱(mm)：Ф426×12×8000</w:t>
            </w:r>
            <w:r>
              <w:rPr>
                <w:rFonts w:hint="eastAsia" w:ascii="宋体" w:hAnsi="宋体" w:cs="宋体"/>
                <w:color w:val="000000"/>
                <w:kern w:val="0"/>
                <w:sz w:val="24"/>
              </w:rPr>
              <w:cr/>
            </w:r>
            <w:r>
              <w:rPr>
                <w:rFonts w:hint="eastAsia" w:ascii="宋体" w:hAnsi="宋体" w:cs="宋体"/>
                <w:color w:val="000000"/>
                <w:kern w:val="0"/>
                <w:sz w:val="24"/>
              </w:rPr>
              <w:t>2、横梁(mm)：Ф219×12×17170</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65321</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龙门架杆件</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1、立柱(mm)：杆(mm)：Ф273×10×7400</w:t>
            </w:r>
            <w:r>
              <w:rPr>
                <w:rFonts w:hint="eastAsia" w:ascii="宋体" w:hAnsi="宋体" w:cs="宋体"/>
                <w:color w:val="000000"/>
                <w:kern w:val="0"/>
                <w:sz w:val="24"/>
              </w:rPr>
              <w:cr/>
            </w:r>
            <w:r>
              <w:rPr>
                <w:rFonts w:hint="eastAsia" w:ascii="宋体" w:hAnsi="宋体" w:cs="宋体"/>
                <w:color w:val="000000"/>
                <w:kern w:val="0"/>
                <w:sz w:val="24"/>
              </w:rPr>
              <w:t>2、臂(mm)：Ф152×8×（≥17米）</w:t>
            </w:r>
            <w:r>
              <w:rPr>
                <w:rFonts w:hint="eastAsia" w:ascii="宋体" w:hAnsi="宋体" w:cs="宋体"/>
                <w:color w:val="000000"/>
                <w:kern w:val="0"/>
                <w:sz w:val="24"/>
              </w:rPr>
              <w:cr/>
            </w:r>
            <w:r>
              <w:rPr>
                <w:rFonts w:hint="eastAsia" w:ascii="宋体" w:hAnsi="宋体" w:cs="宋体"/>
                <w:color w:val="000000"/>
                <w:kern w:val="0"/>
                <w:sz w:val="24"/>
              </w:rPr>
              <w:t>3、法兰盘及加劲肋等</w:t>
            </w:r>
            <w:r>
              <w:rPr>
                <w:rFonts w:hint="eastAsia" w:ascii="宋体" w:hAnsi="宋体" w:cs="宋体"/>
                <w:color w:val="000000"/>
                <w:kern w:val="0"/>
                <w:sz w:val="24"/>
              </w:rPr>
              <w:cr/>
            </w:r>
            <w:r>
              <w:rPr>
                <w:rFonts w:hint="eastAsia" w:ascii="宋体" w:hAnsi="宋体" w:cs="宋体"/>
                <w:color w:val="000000"/>
                <w:kern w:val="0"/>
                <w:sz w:val="24"/>
              </w:rPr>
              <w:t>4、C25钢筋混凝土基础+C10细石砼垫层+200厚片石垫层</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46735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37</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Ф60 3米以内立柱立杆拆除</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69</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38</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Ф89 5米以内立柱拆除</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91</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39</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Ф114 5米以内立柱拆除</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125</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Ф140 4.5米以内立柱拆除，</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139</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Ф140 8米以内立柱拆除</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200</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165*5.5米F杆拆除</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adjustRightInd/>
              <w:spacing w:line="360" w:lineRule="auto"/>
              <w:ind w:firstLine="0"/>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670</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43</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165*4.5米F杆拆除</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592</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6.8*5米悬臂八棱杆拆除</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630</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6.8*6米悬臂八棱杆拆除</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709</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6.8*7米悬臂八棱杆拆除</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787</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47</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6.8*8米悬臂八棱杆拆除</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865</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48</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6.8*9米悬臂八棱杆拆除</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943</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49</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6.8*11米悬臂八棱杆拆除</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1100</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50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6.8*15米悬臂八棱杆拆除</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1411</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51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219杆悬臂杆拆除</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277</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52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273型立杆拆除</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554</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53</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龙门架杆件拆除</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拆除后的材料运至备品仓库由投标人暂时保存</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2422</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标杆（仅计底盘）</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Ф89 立杆底盘，法兰盘、加劲肋及地脚螺栓等，详见项目技术规范</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386</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55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标杆（仅计底盘）</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Ф114 立杆底盘，法兰盘、加劲肋及地脚螺栓等，详见项目技术规范</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441</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混凝土基础</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Ф89 米立杆C25混凝土基础，详见项目技术规范</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530</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57</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混凝土基础</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Ф114 米立杆C25混凝土基础，详见项目技术规范</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943</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54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58</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混凝土基础</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C25砼（含C10素砼垫层及砂砾石底层），含挖土方、运土、基础笼、清理现场等</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m3</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1200</w:t>
            </w:r>
          </w:p>
        </w:tc>
        <w:tc>
          <w:tcPr>
            <w:tcW w:w="461" w:type="pct"/>
            <w:vMerge w:val="continue"/>
            <w:tcBorders>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3437" w:type="pct"/>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left"/>
              <w:rPr>
                <w:rFonts w:cs="宋体" w:asciiTheme="minorEastAsia" w:hAnsiTheme="minorEastAsia" w:eastAsiaTheme="minorEastAsia"/>
                <w:color w:val="000000"/>
                <w:sz w:val="24"/>
              </w:rPr>
            </w:pPr>
            <w:r>
              <w:rPr>
                <w:rFonts w:hint="eastAsia" w:cs="宋体" w:asciiTheme="minorEastAsia" w:hAnsiTheme="minorEastAsia" w:eastAsiaTheme="minorEastAsia"/>
                <w:color w:val="000000"/>
                <w:kern w:val="0"/>
                <w:sz w:val="24"/>
              </w:rPr>
              <w:t>四、护栏类</w:t>
            </w: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left"/>
              <w:rPr>
                <w:rFonts w:hint="eastAsia" w:cs="宋体" w:asciiTheme="minorEastAsia" w:hAnsiTheme="minorEastAsia" w:eastAsiaTheme="minorEastAsia"/>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A型立柱</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100</w:t>
            </w:r>
          </w:p>
        </w:tc>
        <w:tc>
          <w:tcPr>
            <w:tcW w:w="461" w:type="pct"/>
            <w:vMerge w:val="restart"/>
            <w:tcBorders>
              <w:top w:val="single" w:color="000000" w:sz="4" w:space="0"/>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A型护栏</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90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A型护栏(含立柱)</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145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B型立柱</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110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B型护栏</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B型护栏(含立柱)</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155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7</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新款塑钢立柱</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8</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新款塑钢护栏（导向牌）</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90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9</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导向牌面板</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155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新款塑钢立柱顶帽</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交通导向牌(含护栏)</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320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新款塑钢立柱</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110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13</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新款塑钢护栏（导向牌）</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导向牌面板</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170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新款塑钢立柱顶帽</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85"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交通导向牌(含护栏)</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350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3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17</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端头反光柱(右侧通行、机动车通行)</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325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18</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太阳能自发光端头导向牌(中心护栏)</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470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19</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120型太阳能自发光护栏立杆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218</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20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N型中心护栏</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M</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135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21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N型机非护栏</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详见8.附件：图纸</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m</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120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22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A级波形护栏</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4320*310*85*3mm</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M</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87</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23</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护栏立柱</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打桩型立柱，长1.8米</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163</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24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护栏立柱</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预埋型立柱，长1.2米</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根</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109</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25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隔离护栏防撞头</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路侧端头R160mm</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cs="宋体" w:asciiTheme="minorEastAsia" w:hAnsiTheme="minorEastAsia" w:eastAsiaTheme="minorEastAsia"/>
                <w:color w:val="000000"/>
                <w:kern w:val="0"/>
                <w:sz w:val="24"/>
              </w:rPr>
            </w:pPr>
            <w:r>
              <w:rPr>
                <w:rFonts w:asciiTheme="minorEastAsia" w:hAnsiTheme="minorEastAsia" w:eastAsiaTheme="minorEastAsia"/>
                <w:sz w:val="24"/>
                <w:szCs w:val="24"/>
              </w:rPr>
              <w:t>65</w:t>
            </w:r>
          </w:p>
        </w:tc>
        <w:tc>
          <w:tcPr>
            <w:tcW w:w="461" w:type="pct"/>
            <w:vMerge w:val="continue"/>
            <w:tcBorders>
              <w:left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sz w:val="24"/>
              </w:rPr>
              <w:t>26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钢索护栏</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kern w:val="0"/>
                <w:sz w:val="24"/>
              </w:rPr>
            </w:pPr>
            <w:r>
              <w:rPr>
                <w:rFonts w:hint="eastAsia" w:ascii="宋体" w:hAnsi="宋体" w:cs="宋体"/>
                <w:color w:val="000000"/>
                <w:kern w:val="0"/>
                <w:sz w:val="24"/>
              </w:rPr>
              <w:t>镀锌钢管、钢丝绳</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kern w:val="0"/>
                <w:sz w:val="24"/>
              </w:rPr>
            </w:pPr>
            <w:r>
              <w:rPr>
                <w:rFonts w:hint="eastAsia" w:ascii="宋体" w:hAnsi="宋体" w:cs="宋体"/>
                <w:color w:val="000000"/>
                <w:kern w:val="0"/>
                <w:sz w:val="24"/>
              </w:rPr>
              <w:t>M</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100</w:t>
            </w:r>
          </w:p>
        </w:tc>
        <w:tc>
          <w:tcPr>
            <w:tcW w:w="461" w:type="pct"/>
            <w:vMerge w:val="continue"/>
            <w:tcBorders>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3437"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left"/>
              <w:rPr>
                <w:rFonts w:cs="宋体" w:asciiTheme="minorEastAsia" w:hAnsiTheme="minorEastAsia" w:eastAsiaTheme="minorEastAsia"/>
                <w:color w:val="000000"/>
                <w:sz w:val="24"/>
              </w:rPr>
            </w:pPr>
            <w:r>
              <w:rPr>
                <w:rFonts w:hint="eastAsia" w:cs="宋体" w:asciiTheme="minorEastAsia" w:hAnsiTheme="minorEastAsia" w:eastAsiaTheme="minorEastAsia"/>
                <w:color w:val="000000"/>
                <w:kern w:val="0"/>
                <w:sz w:val="24"/>
              </w:rPr>
              <w:t>五、其他</w:t>
            </w:r>
          </w:p>
        </w:tc>
        <w:tc>
          <w:tcPr>
            <w:tcW w:w="4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left"/>
              <w:rPr>
                <w:rFonts w:hint="eastAsia" w:cs="宋体" w:asciiTheme="minorEastAsia" w:hAnsiTheme="minorEastAsia" w:eastAsiaTheme="minorEastAsia"/>
                <w:color w:val="000000"/>
                <w:kern w:val="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锁具</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3米链条+防剪锁加粗8mm+锁具</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adjustRightInd/>
              <w:spacing w:line="360" w:lineRule="auto"/>
              <w:ind w:firstLine="0"/>
              <w:jc w:val="center"/>
              <w:textAlignment w:val="auto"/>
              <w:rPr>
                <w:rFonts w:cs="宋体" w:asciiTheme="minorEastAsia" w:hAnsiTheme="minorEastAsia" w:eastAsiaTheme="minorEastAsia"/>
                <w:color w:val="000000"/>
                <w:sz w:val="24"/>
              </w:rPr>
            </w:pPr>
            <w:r>
              <w:rPr>
                <w:rFonts w:asciiTheme="minorEastAsia" w:hAnsiTheme="minorEastAsia" w:eastAsiaTheme="minorEastAsia"/>
                <w:sz w:val="24"/>
                <w:szCs w:val="24"/>
              </w:rPr>
              <w:t>46</w:t>
            </w:r>
          </w:p>
        </w:tc>
        <w:tc>
          <w:tcPr>
            <w:tcW w:w="461" w:type="pct"/>
            <w:vMerge w:val="restart"/>
            <w:tcBorders>
              <w:top w:val="single" w:color="000000" w:sz="4" w:space="0"/>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抽屉锁</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A级锁，岗亭衣柜及办公抽屉锁等</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岗亭门锁</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B级锁即可</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120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岗亭玻璃</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更换岗亭玻璃</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271</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岗亭灯管</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更换岗亭日光灯管</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根</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岗亭（空调加氟利昂）</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老旧空调加氟利昂</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次</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180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7</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岗亭（空调遥控器）</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适配岗亭空调</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8</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岗亭空调</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（≥1.5P，适用面积9-18平方米，尺寸≥285*770*223cm）</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台</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2400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6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9</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岗亭内的扫把、拖把、水桶、垃圾畚斗、抹布</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满足岗亭日常清洁需求</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件</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岗亭玻璃(曲面)</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更换岗亭玻璃</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m2</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294</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岗亭（空调铜管）</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更换岗亭空调铜管</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岗亭（空调插座）</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更换岗亭空调插座</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13</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岗亭（空调清洗，漏水）</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岗亭空调清洗，漏水修复</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处</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岗亭清洗</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对岗亭进行整体清洗</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501</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PVC管6分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6.5</w:t>
            </w:r>
          </w:p>
        </w:tc>
        <w:tc>
          <w:tcPr>
            <w:tcW w:w="461" w:type="pct"/>
            <w:vMerge w:val="continue"/>
            <w:tcBorders>
              <w:left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32PE管</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17</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60PE管2寸</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18</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50PE管1.5寸</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11</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19</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75PE管2.5寸</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110PE管</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34</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镀锌扁铁</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49</w:t>
            </w:r>
          </w:p>
        </w:tc>
        <w:tc>
          <w:tcPr>
            <w:tcW w:w="461" w:type="pct"/>
            <w:vMerge w:val="continue"/>
            <w:tcBorders>
              <w:left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镀锌管</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SC89</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71</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23</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镀锌管</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SC114</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镀锌管接头</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kern w:val="0"/>
                <w:sz w:val="24"/>
              </w:rPr>
              <w:t>匹配SC89镀锌管</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镀锌管接头</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rPr>
            </w:pPr>
            <w:r>
              <w:rPr>
                <w:rFonts w:hint="eastAsia" w:ascii="宋体" w:hAnsi="宋体" w:cs="宋体"/>
                <w:color w:val="000000"/>
                <w:kern w:val="0"/>
                <w:sz w:val="24"/>
              </w:rPr>
              <w:t>匹配SC114镀锌管</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60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顶管DN110</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PE管￠110</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220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27</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水泥工井</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带砌口40cm*65cm</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627</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28</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大水泥工井</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带砌口76cm*85cm</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套</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753</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29</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绿化带开挖.恢复</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30cm*50cm</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109</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透水砖面人行道开挖、恢复</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30cm*50cm</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395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沥青混凝土(板块)过街开挖.恢复</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50cm宽，70cm深，C25砼修复</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199</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水泥混凝土(板块)过街开挖.恢复</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50cm宽，70cm深，C25砼修复</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300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33</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圆形防撞桶</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600mm×800mm，PE，含黄沙（1/3高）</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186</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防撞桶</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90CM*90CM*90CM，新款防撞桶，贴红白反光膜，桶内装入适当沙石，并放置指定位置</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465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路锥</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71cmpvc，30*30*71cm</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47</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路锥</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H=700mm,底36*36mm</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38</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37</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路锥</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H=500mm，底28*28mm</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38</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路锥连接杆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∮33.5×2000mm</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21</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39</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荧光轮廓标</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单侧反光、双侧反光14.05*4.05公分</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22</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72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道钉（单面）</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left"/>
              <w:textAlignment w:val="center"/>
              <w:rPr>
                <w:rFonts w:ascii="宋体" w:hAnsi="宋体" w:cs="宋体"/>
                <w:color w:val="000000"/>
                <w:sz w:val="24"/>
              </w:rPr>
            </w:pPr>
            <w:r>
              <w:rPr>
                <w:rFonts w:hint="eastAsia" w:ascii="宋体" w:hAnsi="宋体" w:cs="宋体"/>
                <w:color w:val="000000"/>
                <w:kern w:val="0"/>
                <w:sz w:val="24"/>
              </w:rPr>
              <w:t xml:space="preserve"> 采用GB/T24725-2009《突起路标》中A1类突起路标的性能要求。</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72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41</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道钉（双面）</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left"/>
              <w:textAlignment w:val="center"/>
              <w:rPr>
                <w:rFonts w:ascii="宋体" w:hAnsi="宋体" w:cs="宋体"/>
                <w:color w:val="000000"/>
                <w:sz w:val="24"/>
              </w:rPr>
            </w:pPr>
            <w:r>
              <w:rPr>
                <w:rFonts w:hint="eastAsia" w:ascii="宋体" w:hAnsi="宋体" w:cs="宋体"/>
                <w:color w:val="000000"/>
                <w:kern w:val="0"/>
                <w:sz w:val="24"/>
              </w:rPr>
              <w:t>采用GB/T24725-2009《突起路标》对A2类突起路标的性能要求。</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34</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80cmpu磁铁潮汐车道弹性柱</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符合GBT24972-2010弹性交通柱标准</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条</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160</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9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43</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磁铁</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auto"/>
                <w:sz w:val="24"/>
              </w:rPr>
            </w:pPr>
            <w:r>
              <w:rPr>
                <w:rFonts w:hint="eastAsia" w:ascii="宋体" w:hAnsi="宋体" w:cs="宋体"/>
                <w:b w:val="0"/>
                <w:bCs/>
                <w:color w:val="auto"/>
                <w:sz w:val="24"/>
              </w:rPr>
              <w:t>适配磁吸警示柱</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auto"/>
                <w:sz w:val="24"/>
              </w:rPr>
            </w:pPr>
            <w:r>
              <w:rPr>
                <w:rFonts w:hint="eastAsia" w:ascii="宋体" w:hAnsi="宋体" w:cs="宋体"/>
                <w:color w:val="auto"/>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FF0000"/>
                <w:sz w:val="24"/>
              </w:rPr>
            </w:pPr>
            <w:r>
              <w:rPr>
                <w:rFonts w:asciiTheme="minorEastAsia" w:hAnsiTheme="minorEastAsia" w:eastAsiaTheme="minorEastAsia"/>
                <w:sz w:val="24"/>
                <w:szCs w:val="24"/>
              </w:rPr>
              <w:t>54</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FF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FF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橡胶减速带</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380×50mm</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auto"/>
                <w:sz w:val="24"/>
              </w:rPr>
            </w:pPr>
            <w:r>
              <w:rPr>
                <w:rFonts w:hint="eastAsia" w:ascii="宋体" w:hAnsi="宋体" w:cs="宋体"/>
                <w:color w:val="auto"/>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85</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000000"/>
                <w:sz w:val="24"/>
              </w:rPr>
            </w:pPr>
          </w:p>
        </w:tc>
      </w:tr>
      <w:tr>
        <w:tblPrEx>
          <w:tblCellMar>
            <w:top w:w="0" w:type="dxa"/>
            <w:left w:w="108" w:type="dxa"/>
            <w:bottom w:w="0" w:type="dxa"/>
            <w:right w:w="108" w:type="dxa"/>
          </w:tblCellMar>
        </w:tblPrEx>
        <w:trPr>
          <w:trHeight w:val="24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铸铁减速带</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350×45mm</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auto"/>
                <w:sz w:val="24"/>
              </w:rPr>
            </w:pPr>
            <w:r>
              <w:rPr>
                <w:rFonts w:hint="eastAsia" w:ascii="宋体" w:hAnsi="宋体" w:cs="宋体"/>
                <w:color w:val="auto"/>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104</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left"/>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left"/>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Ф80广角镜</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Φ800（镜面PC+铝合金包边，镜背ABS塑料）</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ascii="宋体" w:hAnsi="宋体" w:cs="宋体"/>
                <w:color w:val="auto"/>
                <w:sz w:val="24"/>
              </w:rPr>
            </w:pPr>
            <w:r>
              <w:rPr>
                <w:rFonts w:hint="eastAsia" w:ascii="宋体" w:hAnsi="宋体" w:cs="宋体"/>
                <w:color w:val="auto"/>
                <w:sz w:val="24"/>
              </w:rPr>
              <w:t>1</w:t>
            </w:r>
          </w:p>
        </w:tc>
        <w:tc>
          <w:tcPr>
            <w:tcW w:w="3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center"/>
              <w:rPr>
                <w:rFonts w:cs="宋体" w:asciiTheme="minorEastAsia" w:hAnsiTheme="minorEastAsia" w:eastAsiaTheme="minorEastAsia"/>
                <w:color w:val="FF0000"/>
                <w:sz w:val="24"/>
              </w:rPr>
            </w:pPr>
            <w:r>
              <w:rPr>
                <w:rFonts w:asciiTheme="minorEastAsia" w:hAnsiTheme="minorEastAsia" w:eastAsiaTheme="minorEastAsia"/>
                <w:sz w:val="24"/>
                <w:szCs w:val="24"/>
              </w:rPr>
              <w:t>148</w:t>
            </w:r>
          </w:p>
        </w:tc>
        <w:tc>
          <w:tcPr>
            <w:tcW w:w="461" w:type="pct"/>
            <w:vMerge w:val="continue"/>
            <w:tcBorders>
              <w:left w:val="single" w:color="000000" w:sz="4" w:space="0"/>
              <w:right w:val="single" w:color="000000" w:sz="4" w:space="0"/>
            </w:tcBorders>
            <w:shd w:val="clear" w:color="auto" w:fill="FFFFFF"/>
            <w:noWrap/>
            <w:vAlign w:val="center"/>
          </w:tcPr>
          <w:p>
            <w:pPr>
              <w:spacing w:line="360" w:lineRule="auto"/>
              <w:jc w:val="left"/>
              <w:rPr>
                <w:rFonts w:ascii="宋体" w:hAnsi="宋体" w:cs="宋体"/>
                <w:color w:val="FF0000"/>
                <w:sz w:val="24"/>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spacing w:line="360" w:lineRule="auto"/>
              <w:jc w:val="left"/>
              <w:rPr>
                <w:rFonts w:ascii="宋体" w:hAnsi="宋体" w:cs="宋体"/>
                <w:color w:val="FF0000"/>
                <w:sz w:val="24"/>
              </w:rPr>
            </w:pPr>
          </w:p>
        </w:tc>
      </w:tr>
      <w:tr>
        <w:tblPrEx>
          <w:tblCellMar>
            <w:top w:w="0" w:type="dxa"/>
            <w:left w:w="108" w:type="dxa"/>
            <w:bottom w:w="0" w:type="dxa"/>
            <w:right w:w="108" w:type="dxa"/>
          </w:tblCellMar>
        </w:tblPrEx>
        <w:trPr>
          <w:trHeight w:val="480" w:hRule="atLeast"/>
        </w:trPr>
        <w:tc>
          <w:tcPr>
            <w:tcW w:w="27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47</w:t>
            </w:r>
          </w:p>
        </w:tc>
        <w:tc>
          <w:tcPr>
            <w:tcW w:w="50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Ф100广角镜</w:t>
            </w:r>
          </w:p>
        </w:tc>
        <w:tc>
          <w:tcPr>
            <w:tcW w:w="11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Φ1000（镜面PC+铝合金包边，镜背ABS塑料）</w:t>
            </w:r>
          </w:p>
        </w:tc>
        <w:tc>
          <w:tcPr>
            <w:tcW w:w="41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231</w:t>
            </w:r>
          </w:p>
        </w:tc>
        <w:tc>
          <w:tcPr>
            <w:tcW w:w="461"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48</w:t>
            </w:r>
          </w:p>
        </w:tc>
        <w:tc>
          <w:tcPr>
            <w:tcW w:w="50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四联爆闪灯</w:t>
            </w:r>
          </w:p>
        </w:tc>
        <w:tc>
          <w:tcPr>
            <w:tcW w:w="11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双面四片爆闪灯（550mm×150mm太阳能）</w:t>
            </w:r>
          </w:p>
        </w:tc>
        <w:tc>
          <w:tcPr>
            <w:tcW w:w="41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组</w:t>
            </w:r>
          </w:p>
        </w:tc>
        <w:tc>
          <w:tcPr>
            <w:tcW w:w="26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794</w:t>
            </w:r>
          </w:p>
        </w:tc>
        <w:tc>
          <w:tcPr>
            <w:tcW w:w="461"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49</w:t>
            </w:r>
          </w:p>
        </w:tc>
        <w:tc>
          <w:tcPr>
            <w:tcW w:w="50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警戒带</w:t>
            </w:r>
          </w:p>
        </w:tc>
        <w:tc>
          <w:tcPr>
            <w:tcW w:w="11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宽6cm*长100m</w:t>
            </w:r>
          </w:p>
        </w:tc>
        <w:tc>
          <w:tcPr>
            <w:tcW w:w="41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卷</w:t>
            </w:r>
          </w:p>
        </w:tc>
        <w:tc>
          <w:tcPr>
            <w:tcW w:w="26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w:t>
            </w:r>
          </w:p>
        </w:tc>
        <w:tc>
          <w:tcPr>
            <w:tcW w:w="461"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85" w:hRule="atLeast"/>
        </w:trPr>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塑胶水马</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1500mm×800mm×480mm，PE</w:t>
            </w:r>
          </w:p>
        </w:tc>
        <w:tc>
          <w:tcPr>
            <w:tcW w:w="416" w:type="pct"/>
            <w:tcBorders>
              <w:top w:val="nil"/>
              <w:left w:val="nil"/>
              <w:bottom w:val="single" w:color="000000" w:sz="8" w:space="0"/>
              <w:right w:val="single" w:color="000000" w:sz="8" w:space="0"/>
            </w:tcBorders>
            <w:shd w:val="clear" w:color="auto" w:fill="FFFFFF"/>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只</w:t>
            </w:r>
          </w:p>
        </w:tc>
        <w:tc>
          <w:tcPr>
            <w:tcW w:w="26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106</w:t>
            </w:r>
          </w:p>
        </w:tc>
        <w:tc>
          <w:tcPr>
            <w:tcW w:w="461"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51</w:t>
            </w:r>
          </w:p>
        </w:tc>
        <w:tc>
          <w:tcPr>
            <w:tcW w:w="50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铁马</w:t>
            </w:r>
          </w:p>
        </w:tc>
        <w:tc>
          <w:tcPr>
            <w:tcW w:w="11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铁质，高0.8米，长1.2米</w:t>
            </w:r>
          </w:p>
        </w:tc>
        <w:tc>
          <w:tcPr>
            <w:tcW w:w="41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w:t>
            </w:r>
          </w:p>
        </w:tc>
        <w:tc>
          <w:tcPr>
            <w:tcW w:w="26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44</w:t>
            </w:r>
          </w:p>
        </w:tc>
        <w:tc>
          <w:tcPr>
            <w:tcW w:w="461"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52</w:t>
            </w:r>
          </w:p>
        </w:tc>
        <w:tc>
          <w:tcPr>
            <w:tcW w:w="50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铁马</w:t>
            </w:r>
          </w:p>
        </w:tc>
        <w:tc>
          <w:tcPr>
            <w:tcW w:w="1160"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 xml:space="preserve">304不锈钢，1*1.5m, </w:t>
            </w:r>
          </w:p>
        </w:tc>
        <w:tc>
          <w:tcPr>
            <w:tcW w:w="41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m</w:t>
            </w:r>
          </w:p>
        </w:tc>
        <w:tc>
          <w:tcPr>
            <w:tcW w:w="26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205</w:t>
            </w:r>
          </w:p>
        </w:tc>
        <w:tc>
          <w:tcPr>
            <w:tcW w:w="461"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53</w:t>
            </w:r>
          </w:p>
        </w:tc>
        <w:tc>
          <w:tcPr>
            <w:tcW w:w="50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灯杆后盖</w:t>
            </w:r>
          </w:p>
        </w:tc>
        <w:tc>
          <w:tcPr>
            <w:tcW w:w="1160"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ascii="宋体" w:hAnsi="宋体" w:cs="宋体"/>
                <w:color w:val="000000"/>
                <w:sz w:val="24"/>
              </w:rPr>
            </w:pPr>
          </w:p>
        </w:tc>
        <w:tc>
          <w:tcPr>
            <w:tcW w:w="41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54</w:t>
            </w:r>
          </w:p>
        </w:tc>
        <w:tc>
          <w:tcPr>
            <w:tcW w:w="461"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500" w:hRule="atLeast"/>
        </w:trPr>
        <w:tc>
          <w:tcPr>
            <w:tcW w:w="27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54</w:t>
            </w:r>
          </w:p>
        </w:tc>
        <w:tc>
          <w:tcPr>
            <w:tcW w:w="50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人行护栏</w:t>
            </w:r>
          </w:p>
        </w:tc>
        <w:tc>
          <w:tcPr>
            <w:tcW w:w="11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黑色，高100公分或110公分</w:t>
            </w:r>
          </w:p>
        </w:tc>
        <w:tc>
          <w:tcPr>
            <w:tcW w:w="41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米</w:t>
            </w:r>
          </w:p>
        </w:tc>
        <w:tc>
          <w:tcPr>
            <w:tcW w:w="26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132</w:t>
            </w:r>
          </w:p>
        </w:tc>
        <w:tc>
          <w:tcPr>
            <w:tcW w:w="461"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55</w:t>
            </w:r>
          </w:p>
        </w:tc>
        <w:tc>
          <w:tcPr>
            <w:tcW w:w="50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路口遮阳棚</w:t>
            </w:r>
          </w:p>
        </w:tc>
        <w:tc>
          <w:tcPr>
            <w:tcW w:w="11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匹配现有类型</w:t>
            </w:r>
          </w:p>
        </w:tc>
        <w:tc>
          <w:tcPr>
            <w:tcW w:w="41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M²</w:t>
            </w:r>
          </w:p>
        </w:tc>
        <w:tc>
          <w:tcPr>
            <w:tcW w:w="26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81</w:t>
            </w:r>
          </w:p>
        </w:tc>
        <w:tc>
          <w:tcPr>
            <w:tcW w:w="461"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56</w:t>
            </w:r>
          </w:p>
        </w:tc>
        <w:tc>
          <w:tcPr>
            <w:tcW w:w="50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工井盖更换</w:t>
            </w:r>
          </w:p>
        </w:tc>
        <w:tc>
          <w:tcPr>
            <w:tcW w:w="11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匹配现有工程</w:t>
            </w:r>
          </w:p>
        </w:tc>
        <w:tc>
          <w:tcPr>
            <w:tcW w:w="41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410</w:t>
            </w:r>
          </w:p>
        </w:tc>
        <w:tc>
          <w:tcPr>
            <w:tcW w:w="461"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57</w:t>
            </w:r>
          </w:p>
        </w:tc>
        <w:tc>
          <w:tcPr>
            <w:tcW w:w="50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磁吸警示柱</w:t>
            </w:r>
          </w:p>
        </w:tc>
        <w:tc>
          <w:tcPr>
            <w:tcW w:w="11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∮80×750</w:t>
            </w:r>
          </w:p>
        </w:tc>
        <w:tc>
          <w:tcPr>
            <w:tcW w:w="41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只</w:t>
            </w:r>
          </w:p>
        </w:tc>
        <w:tc>
          <w:tcPr>
            <w:tcW w:w="26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84</w:t>
            </w:r>
          </w:p>
        </w:tc>
        <w:tc>
          <w:tcPr>
            <w:tcW w:w="461"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58</w:t>
            </w:r>
          </w:p>
        </w:tc>
        <w:tc>
          <w:tcPr>
            <w:tcW w:w="50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磁吸式突起路标</w:t>
            </w:r>
          </w:p>
        </w:tc>
        <w:tc>
          <w:tcPr>
            <w:tcW w:w="11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100×100×19</w:t>
            </w:r>
          </w:p>
        </w:tc>
        <w:tc>
          <w:tcPr>
            <w:tcW w:w="41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只</w:t>
            </w:r>
          </w:p>
        </w:tc>
        <w:tc>
          <w:tcPr>
            <w:tcW w:w="26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31</w:t>
            </w:r>
          </w:p>
        </w:tc>
        <w:tc>
          <w:tcPr>
            <w:tcW w:w="461"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59</w:t>
            </w:r>
          </w:p>
        </w:tc>
        <w:tc>
          <w:tcPr>
            <w:tcW w:w="50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示警桩</w:t>
            </w:r>
          </w:p>
        </w:tc>
        <w:tc>
          <w:tcPr>
            <w:tcW w:w="11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∮114×（800+400）</w:t>
            </w:r>
          </w:p>
        </w:tc>
        <w:tc>
          <w:tcPr>
            <w:tcW w:w="41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只</w:t>
            </w:r>
          </w:p>
        </w:tc>
        <w:tc>
          <w:tcPr>
            <w:tcW w:w="26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119</w:t>
            </w:r>
          </w:p>
        </w:tc>
        <w:tc>
          <w:tcPr>
            <w:tcW w:w="461"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270" w:hRule="atLeast"/>
        </w:trPr>
        <w:tc>
          <w:tcPr>
            <w:tcW w:w="27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60</w:t>
            </w:r>
          </w:p>
        </w:tc>
        <w:tc>
          <w:tcPr>
            <w:tcW w:w="50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示警桩</w:t>
            </w:r>
          </w:p>
        </w:tc>
        <w:tc>
          <w:tcPr>
            <w:tcW w:w="11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∮89×（800+400）</w:t>
            </w:r>
          </w:p>
        </w:tc>
        <w:tc>
          <w:tcPr>
            <w:tcW w:w="41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只</w:t>
            </w:r>
          </w:p>
        </w:tc>
        <w:tc>
          <w:tcPr>
            <w:tcW w:w="26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90</w:t>
            </w:r>
          </w:p>
        </w:tc>
        <w:tc>
          <w:tcPr>
            <w:tcW w:w="461"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1092" w:hRule="atLeast"/>
        </w:trPr>
        <w:tc>
          <w:tcPr>
            <w:tcW w:w="27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61</w:t>
            </w:r>
          </w:p>
        </w:tc>
        <w:tc>
          <w:tcPr>
            <w:tcW w:w="506"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右转隔离墩短端头</w:t>
            </w:r>
          </w:p>
        </w:tc>
        <w:tc>
          <w:tcPr>
            <w:tcW w:w="1160"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232*250*190mm</w:t>
            </w:r>
          </w:p>
        </w:tc>
        <w:tc>
          <w:tcPr>
            <w:tcW w:w="416"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40</w:t>
            </w:r>
          </w:p>
        </w:tc>
        <w:tc>
          <w:tcPr>
            <w:tcW w:w="461" w:type="pct"/>
            <w:vMerge w:val="continue"/>
            <w:tcBorders>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1092" w:hRule="atLeast"/>
        </w:trPr>
        <w:tc>
          <w:tcPr>
            <w:tcW w:w="27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62</w:t>
            </w:r>
          </w:p>
        </w:tc>
        <w:tc>
          <w:tcPr>
            <w:tcW w:w="506"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右转隔离墩长端头</w:t>
            </w:r>
          </w:p>
        </w:tc>
        <w:tc>
          <w:tcPr>
            <w:tcW w:w="1160"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502*250*200mm</w:t>
            </w:r>
          </w:p>
        </w:tc>
        <w:tc>
          <w:tcPr>
            <w:tcW w:w="416"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个</w:t>
            </w:r>
          </w:p>
        </w:tc>
        <w:tc>
          <w:tcPr>
            <w:tcW w:w="263" w:type="pct"/>
            <w:tcBorders>
              <w:top w:val="single" w:color="000000" w:sz="4" w:space="0"/>
              <w:left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50</w:t>
            </w:r>
          </w:p>
        </w:tc>
        <w:tc>
          <w:tcPr>
            <w:tcW w:w="461" w:type="pct"/>
            <w:vMerge w:val="continue"/>
            <w:tcBorders>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p>
        </w:tc>
        <w:tc>
          <w:tcPr>
            <w:tcW w:w="461"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968" w:hRule="atLeast"/>
        </w:trPr>
        <w:tc>
          <w:tcPr>
            <w:tcW w:w="27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63</w:t>
            </w:r>
          </w:p>
        </w:tc>
        <w:tc>
          <w:tcPr>
            <w:tcW w:w="506" w:type="pct"/>
            <w:tcBorders>
              <w:top w:val="single" w:color="000000" w:sz="4" w:space="0"/>
              <w:left w:val="single" w:color="000000" w:sz="4" w:space="0"/>
              <w:right w:val="single" w:color="000000" w:sz="4" w:space="0"/>
            </w:tcBorders>
            <w:noWrap/>
            <w:vAlign w:val="center"/>
          </w:tcPr>
          <w:p>
            <w:pPr>
              <w:spacing w:line="360" w:lineRule="auto"/>
              <w:jc w:val="center"/>
              <w:rPr>
                <w:rFonts w:ascii="宋体" w:hAnsi="宋体" w:cs="宋体"/>
                <w:color w:val="000000"/>
                <w:kern w:val="0"/>
                <w:sz w:val="24"/>
              </w:rPr>
            </w:pPr>
            <w:r>
              <w:rPr>
                <w:rFonts w:hint="eastAsia" w:ascii="宋体" w:hAnsi="宋体" w:cs="宋体"/>
                <w:color w:val="000000"/>
                <w:kern w:val="0"/>
                <w:sz w:val="24"/>
              </w:rPr>
              <w:t>弹性分道标</w:t>
            </w:r>
          </w:p>
        </w:tc>
        <w:tc>
          <w:tcPr>
            <w:tcW w:w="1160"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详见附件8图纸</w:t>
            </w:r>
          </w:p>
        </w:tc>
        <w:tc>
          <w:tcPr>
            <w:tcW w:w="416"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个</w:t>
            </w:r>
          </w:p>
        </w:tc>
        <w:tc>
          <w:tcPr>
            <w:tcW w:w="263" w:type="pct"/>
            <w:tcBorders>
              <w:top w:val="single" w:color="000000" w:sz="4" w:space="0"/>
              <w:left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asciiTheme="minorEastAsia" w:hAnsiTheme="minorEastAsia" w:eastAsiaTheme="minorEastAsia"/>
                <w:sz w:val="24"/>
                <w:szCs w:val="24"/>
              </w:rPr>
              <w:t>50</w:t>
            </w:r>
          </w:p>
        </w:tc>
        <w:tc>
          <w:tcPr>
            <w:tcW w:w="461" w:type="pct"/>
            <w:vMerge w:val="continue"/>
            <w:tcBorders>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p>
        </w:tc>
        <w:tc>
          <w:tcPr>
            <w:tcW w:w="461"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p>
        </w:tc>
      </w:tr>
      <w:tr>
        <w:tblPrEx>
          <w:tblCellMar>
            <w:top w:w="0" w:type="dxa"/>
            <w:left w:w="108" w:type="dxa"/>
            <w:bottom w:w="0" w:type="dxa"/>
            <w:right w:w="108" w:type="dxa"/>
          </w:tblCellMar>
        </w:tblPrEx>
        <w:trPr>
          <w:trHeight w:val="1092" w:hRule="atLeast"/>
        </w:trPr>
        <w:tc>
          <w:tcPr>
            <w:tcW w:w="27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64</w:t>
            </w:r>
          </w:p>
        </w:tc>
        <w:tc>
          <w:tcPr>
            <w:tcW w:w="506"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右转隔离墩主体</w:t>
            </w:r>
          </w:p>
        </w:tc>
        <w:tc>
          <w:tcPr>
            <w:tcW w:w="1160"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238.5*250*190mm</w:t>
            </w:r>
          </w:p>
        </w:tc>
        <w:tc>
          <w:tcPr>
            <w:tcW w:w="416"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个</w:t>
            </w:r>
          </w:p>
        </w:tc>
        <w:tc>
          <w:tcPr>
            <w:tcW w:w="263" w:type="pct"/>
            <w:tcBorders>
              <w:top w:val="single" w:color="000000" w:sz="4" w:space="0"/>
              <w:left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cs="宋体" w:asciiTheme="minorEastAsia" w:hAnsiTheme="minorEastAsia" w:eastAsiaTheme="minorEastAsia"/>
                <w:color w:val="000000"/>
                <w:sz w:val="24"/>
              </w:rPr>
              <w:t>90</w:t>
            </w:r>
          </w:p>
        </w:tc>
        <w:tc>
          <w:tcPr>
            <w:tcW w:w="461" w:type="pct"/>
            <w:vMerge w:val="continue"/>
            <w:tcBorders>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p>
        </w:tc>
        <w:tc>
          <w:tcPr>
            <w:tcW w:w="461"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p>
        </w:tc>
      </w:tr>
      <w:tr>
        <w:tblPrEx>
          <w:tblCellMar>
            <w:top w:w="0" w:type="dxa"/>
            <w:left w:w="108" w:type="dxa"/>
            <w:bottom w:w="0" w:type="dxa"/>
            <w:right w:w="108" w:type="dxa"/>
          </w:tblCellMar>
        </w:tblPrEx>
        <w:trPr>
          <w:trHeight w:val="1092" w:hRule="atLeast"/>
        </w:trPr>
        <w:tc>
          <w:tcPr>
            <w:tcW w:w="27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65</w:t>
            </w:r>
          </w:p>
        </w:tc>
        <w:tc>
          <w:tcPr>
            <w:tcW w:w="506"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一体式弹性交通柱</w:t>
            </w:r>
          </w:p>
        </w:tc>
        <w:tc>
          <w:tcPr>
            <w:tcW w:w="1160"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∮80×750</w:t>
            </w:r>
          </w:p>
        </w:tc>
        <w:tc>
          <w:tcPr>
            <w:tcW w:w="416"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只</w:t>
            </w:r>
          </w:p>
        </w:tc>
        <w:tc>
          <w:tcPr>
            <w:tcW w:w="263" w:type="pct"/>
            <w:tcBorders>
              <w:top w:val="single" w:color="000000" w:sz="4" w:space="0"/>
              <w:left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cs="宋体" w:asciiTheme="minorEastAsia" w:hAnsiTheme="minorEastAsia" w:eastAsiaTheme="minorEastAsia"/>
                <w:color w:val="000000"/>
                <w:sz w:val="24"/>
              </w:rPr>
              <w:t>54</w:t>
            </w:r>
          </w:p>
        </w:tc>
        <w:tc>
          <w:tcPr>
            <w:tcW w:w="461" w:type="pct"/>
            <w:vMerge w:val="continue"/>
            <w:tcBorders>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p>
        </w:tc>
        <w:tc>
          <w:tcPr>
            <w:tcW w:w="461"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p>
        </w:tc>
      </w:tr>
      <w:tr>
        <w:tblPrEx>
          <w:tblCellMar>
            <w:top w:w="0" w:type="dxa"/>
            <w:left w:w="108" w:type="dxa"/>
            <w:bottom w:w="0" w:type="dxa"/>
            <w:right w:w="108" w:type="dxa"/>
          </w:tblCellMar>
        </w:tblPrEx>
        <w:trPr>
          <w:trHeight w:val="1092" w:hRule="atLeast"/>
        </w:trPr>
        <w:tc>
          <w:tcPr>
            <w:tcW w:w="27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65</w:t>
            </w:r>
          </w:p>
        </w:tc>
        <w:tc>
          <w:tcPr>
            <w:tcW w:w="506"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临时车辆</w:t>
            </w:r>
          </w:p>
        </w:tc>
        <w:tc>
          <w:tcPr>
            <w:tcW w:w="1160"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sz w:val="24"/>
              </w:rPr>
              <w:t>采购人临时任务通知所需车辆，按每小时结算</w:t>
            </w:r>
          </w:p>
        </w:tc>
        <w:tc>
          <w:tcPr>
            <w:tcW w:w="416" w:type="pct"/>
            <w:tcBorders>
              <w:top w:val="single" w:color="000000" w:sz="4" w:space="0"/>
              <w:left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辆</w:t>
            </w:r>
          </w:p>
        </w:tc>
        <w:tc>
          <w:tcPr>
            <w:tcW w:w="263" w:type="pct"/>
            <w:tcBorders>
              <w:top w:val="single" w:color="000000" w:sz="4" w:space="0"/>
              <w:left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cs="宋体" w:asciiTheme="minorEastAsia" w:hAnsiTheme="minorEastAsia" w:eastAsiaTheme="minorEastAsia"/>
                <w:color w:val="000000"/>
                <w:sz w:val="24"/>
              </w:rPr>
              <w:t>218</w:t>
            </w:r>
          </w:p>
        </w:tc>
        <w:tc>
          <w:tcPr>
            <w:tcW w:w="461" w:type="pct"/>
            <w:vMerge w:val="continue"/>
            <w:tcBorders>
              <w:left w:val="single" w:color="000000" w:sz="4" w:space="0"/>
              <w:right w:val="single" w:color="000000" w:sz="4" w:space="0"/>
            </w:tcBorders>
            <w:noWrap/>
            <w:vAlign w:val="center"/>
          </w:tcPr>
          <w:p>
            <w:pPr>
              <w:spacing w:line="360" w:lineRule="auto"/>
              <w:rPr>
                <w:rFonts w:ascii="宋体" w:hAnsi="宋体" w:cs="宋体"/>
                <w:color w:val="000000"/>
                <w:sz w:val="24"/>
              </w:rPr>
            </w:pPr>
          </w:p>
        </w:tc>
        <w:tc>
          <w:tcPr>
            <w:tcW w:w="461" w:type="pct"/>
            <w:tcBorders>
              <w:top w:val="single" w:color="000000" w:sz="4" w:space="0"/>
              <w:left w:val="single" w:color="000000" w:sz="4" w:space="0"/>
              <w:right w:val="single" w:color="000000" w:sz="4" w:space="0"/>
            </w:tcBorders>
            <w:noWrap/>
            <w:vAlign w:val="center"/>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trHeight w:val="720" w:hRule="atLeast"/>
        </w:trPr>
        <w:tc>
          <w:tcPr>
            <w:tcW w:w="276"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ascii="宋体" w:hAnsi="宋体" w:cs="宋体"/>
                <w:color w:val="000000"/>
                <w:sz w:val="24"/>
              </w:rPr>
            </w:pPr>
            <w:r>
              <w:rPr>
                <w:rFonts w:hint="eastAsia" w:ascii="宋体" w:hAnsi="宋体" w:cs="宋体"/>
                <w:color w:val="000000"/>
                <w:sz w:val="24"/>
              </w:rPr>
              <w:t>66</w:t>
            </w:r>
          </w:p>
        </w:tc>
        <w:tc>
          <w:tcPr>
            <w:tcW w:w="50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sz w:val="24"/>
              </w:rPr>
              <w:t>临时人员费用</w:t>
            </w:r>
          </w:p>
        </w:tc>
        <w:tc>
          <w:tcPr>
            <w:tcW w:w="11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sz w:val="24"/>
              </w:rPr>
              <w:t>采购人临时任务通知所需人员，按每小时结算</w:t>
            </w:r>
          </w:p>
        </w:tc>
        <w:tc>
          <w:tcPr>
            <w:tcW w:w="41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宋体" w:hAnsi="宋体" w:cs="宋体"/>
                <w:color w:val="000000"/>
                <w:sz w:val="24"/>
              </w:rPr>
            </w:pPr>
            <w:r>
              <w:rPr>
                <w:rFonts w:hint="eastAsia" w:ascii="宋体" w:hAnsi="宋体" w:cs="宋体"/>
                <w:color w:val="000000"/>
                <w:kern w:val="0"/>
                <w:sz w:val="24"/>
              </w:rPr>
              <w:t>人</w:t>
            </w:r>
          </w:p>
        </w:tc>
        <w:tc>
          <w:tcPr>
            <w:tcW w:w="26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r>
              <w:rPr>
                <w:rFonts w:hint="eastAsia" w:ascii="宋体" w:hAnsi="宋体" w:cs="宋体"/>
                <w:color w:val="000000"/>
                <w:sz w:val="24"/>
              </w:rPr>
              <w:t>1</w:t>
            </w:r>
          </w:p>
        </w:tc>
        <w:tc>
          <w:tcPr>
            <w:tcW w:w="352"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cs="宋体" w:asciiTheme="minorEastAsia" w:hAnsiTheme="minorEastAsia" w:eastAsiaTheme="minorEastAsia"/>
                <w:color w:val="000000"/>
                <w:sz w:val="24"/>
              </w:rPr>
            </w:pPr>
            <w:r>
              <w:rPr>
                <w:rFonts w:cs="宋体" w:asciiTheme="minorEastAsia" w:hAnsiTheme="minorEastAsia" w:eastAsiaTheme="minorEastAsia"/>
                <w:color w:val="000000"/>
                <w:sz w:val="24"/>
              </w:rPr>
              <w:t>35</w:t>
            </w:r>
          </w:p>
        </w:tc>
        <w:tc>
          <w:tcPr>
            <w:tcW w:w="461" w:type="pct"/>
            <w:vMerge w:val="continue"/>
            <w:tcBorders>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c>
          <w:tcPr>
            <w:tcW w:w="461"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ascii="宋体" w:hAnsi="宋体" w:cs="宋体"/>
                <w:color w:val="000000"/>
                <w:sz w:val="24"/>
              </w:rPr>
            </w:pPr>
          </w:p>
        </w:tc>
      </w:tr>
    </w:tbl>
    <w:p>
      <w:pPr>
        <w:spacing w:line="360" w:lineRule="auto"/>
        <w:rPr>
          <w:rFonts w:ascii="宋体" w:hAnsi="宋体" w:cs="宋体"/>
          <w:bCs/>
          <w:color w:val="000000"/>
          <w:sz w:val="24"/>
        </w:rPr>
      </w:pPr>
      <w:r>
        <w:rPr>
          <w:rFonts w:hint="eastAsia" w:ascii="宋体" w:hAnsi="宋体" w:cs="宋体"/>
          <w:bCs/>
          <w:color w:val="000000"/>
          <w:sz w:val="24"/>
        </w:rPr>
        <w:t>附注：</w:t>
      </w:r>
    </w:p>
    <w:p>
      <w:pPr>
        <w:spacing w:line="360" w:lineRule="auto"/>
        <w:ind w:firstLine="720" w:firstLineChars="300"/>
        <w:rPr>
          <w:rFonts w:ascii="宋体" w:hAnsi="宋体" w:cs="宋体"/>
          <w:color w:val="000000"/>
          <w:sz w:val="24"/>
        </w:rPr>
      </w:pPr>
      <w:r>
        <w:rPr>
          <w:rFonts w:hint="eastAsia" w:ascii="宋体" w:hAnsi="宋体" w:cs="宋体"/>
          <w:color w:val="000000"/>
          <w:sz w:val="24"/>
        </w:rPr>
        <w:t>1. 不提供详细分项报价表将视为没有明确响应招标文件。</w:t>
      </w:r>
    </w:p>
    <w:p>
      <w:pPr>
        <w:widowControl/>
        <w:ind w:firstLine="720" w:firstLineChars="300"/>
        <w:jc w:val="left"/>
      </w:pPr>
      <w:r>
        <w:rPr>
          <w:rFonts w:hint="eastAsia" w:ascii="宋体" w:hAnsi="宋体" w:cs="宋体"/>
          <w:color w:val="000000"/>
          <w:sz w:val="24"/>
        </w:rPr>
        <w:t>2.</w:t>
      </w:r>
      <w:r>
        <w:rPr>
          <w:rFonts w:hint="eastAsia" w:ascii="宋体" w:hAnsi="宋体" w:cs="宋体"/>
          <w:color w:val="000000"/>
          <w:kern w:val="0"/>
          <w:sz w:val="24"/>
        </w:rPr>
        <w:t>供应商需按“开标一览表”的</w:t>
      </w:r>
      <w:r>
        <w:rPr>
          <w:rFonts w:hint="eastAsia" w:ascii="宋体" w:hAnsi="宋体" w:cs="宋体"/>
          <w:color w:val="000000"/>
          <w:kern w:val="0"/>
          <w:sz w:val="24"/>
          <w:lang w:eastAsia="zh-CN"/>
        </w:rPr>
        <w:t>统一折扣率</w:t>
      </w:r>
      <w:r>
        <w:rPr>
          <w:rFonts w:hint="eastAsia" w:ascii="宋体" w:hAnsi="宋体" w:cs="宋体"/>
          <w:color w:val="000000"/>
          <w:kern w:val="0"/>
          <w:sz w:val="24"/>
        </w:rPr>
        <w:t>，对</w:t>
      </w:r>
      <w:r>
        <w:rPr>
          <w:rFonts w:hint="eastAsia" w:ascii="宋体" w:hAnsi="宋体" w:cs="宋体"/>
          <w:b/>
          <w:bCs/>
          <w:color w:val="000000"/>
          <w:kern w:val="0"/>
          <w:sz w:val="24"/>
        </w:rPr>
        <w:t>分项报价进行详细列表说明</w:t>
      </w:r>
    </w:p>
    <w:p>
      <w:pPr>
        <w:tabs>
          <w:tab w:val="left" w:pos="1905"/>
        </w:tabs>
        <w:spacing w:line="360" w:lineRule="auto"/>
        <w:ind w:right="-11"/>
        <w:jc w:val="left"/>
        <w:rPr>
          <w:rFonts w:ascii="宋体" w:hAnsi="宋体" w:cs="宋体"/>
          <w:sz w:val="24"/>
        </w:rPr>
      </w:pPr>
    </w:p>
    <w:p>
      <w:pPr>
        <w:tabs>
          <w:tab w:val="left" w:pos="1905"/>
        </w:tabs>
        <w:spacing w:line="360" w:lineRule="auto"/>
        <w:ind w:right="-11"/>
        <w:jc w:val="left"/>
        <w:rPr>
          <w:rFonts w:ascii="宋体" w:hAnsi="宋体" w:cs="宋体"/>
          <w:sz w:val="24"/>
        </w:rPr>
      </w:pPr>
      <w:r>
        <w:rPr>
          <w:rFonts w:hint="eastAsia" w:ascii="宋体" w:hAnsi="宋体" w:cs="宋体"/>
          <w:sz w:val="24"/>
        </w:rPr>
        <w:t>投标人全称（</w:t>
      </w:r>
      <w:r>
        <w:rPr>
          <w:rFonts w:hint="eastAsia" w:ascii="宋体" w:hAnsi="宋体" w:cs="宋体"/>
          <w:bCs/>
          <w:sz w:val="24"/>
        </w:rPr>
        <w:t>公章或CA章</w:t>
      </w:r>
      <w:r>
        <w:rPr>
          <w:rFonts w:hint="eastAsia" w:ascii="宋体" w:hAnsi="宋体" w:cs="宋体"/>
          <w:sz w:val="24"/>
        </w:rPr>
        <w:t>）：</w:t>
      </w:r>
    </w:p>
    <w:p>
      <w:pPr>
        <w:spacing w:line="360" w:lineRule="auto"/>
        <w:ind w:right="-10"/>
        <w:jc w:val="left"/>
        <w:rPr>
          <w:rFonts w:ascii="宋体" w:hAnsi="宋体" w:cs="宋体"/>
          <w:sz w:val="24"/>
        </w:rPr>
      </w:pPr>
      <w:r>
        <w:rPr>
          <w:rFonts w:hint="eastAsia" w:ascii="宋体" w:hAnsi="宋体" w:cs="宋体"/>
          <w:sz w:val="24"/>
        </w:rPr>
        <w:t>法定代表人或授权代表（签字或盖章）：</w:t>
      </w:r>
    </w:p>
    <w:p>
      <w:pPr>
        <w:spacing w:line="360" w:lineRule="auto"/>
        <w:ind w:left="-357" w:leftChars="-170" w:firstLine="360" w:firstLineChars="150"/>
        <w:rPr>
          <w:rFonts w:ascii="宋体" w:hAnsi="宋体" w:cs="宋体"/>
          <w:sz w:val="24"/>
        </w:rPr>
      </w:pPr>
      <w:r>
        <w:rPr>
          <w:rFonts w:hint="eastAsia" w:ascii="宋体" w:hAnsi="宋体" w:cs="宋体"/>
          <w:sz w:val="24"/>
        </w:rPr>
        <w:t>日期：  年   月  日</w:t>
      </w:r>
    </w:p>
    <w:p>
      <w:pPr>
        <w:adjustRightInd w:val="0"/>
        <w:snapToGrid w:val="0"/>
        <w:spacing w:line="360" w:lineRule="auto"/>
        <w:jc w:val="center"/>
        <w:rPr>
          <w:rFonts w:ascii="宋体" w:hAnsi="宋体" w:cs="宋体"/>
          <w:b/>
          <w:bCs/>
          <w:sz w:val="36"/>
          <w:szCs w:val="36"/>
        </w:rPr>
        <w:sectPr>
          <w:pgSz w:w="16838" w:h="11906" w:orient="landscape"/>
          <w:pgMar w:top="1531" w:right="1440" w:bottom="1304" w:left="1440" w:header="851" w:footer="992" w:gutter="0"/>
          <w:cols w:space="720" w:num="1"/>
          <w:docGrid w:linePitch="312" w:charSpace="0"/>
        </w:sectPr>
      </w:pPr>
    </w:p>
    <w:p>
      <w:pPr>
        <w:adjustRightInd w:val="0"/>
        <w:snapToGrid w:val="0"/>
        <w:spacing w:line="360" w:lineRule="auto"/>
        <w:jc w:val="center"/>
        <w:rPr>
          <w:rFonts w:ascii="宋体" w:hAnsi="宋体" w:cs="宋体"/>
          <w:b/>
          <w:bCs/>
          <w:sz w:val="36"/>
          <w:szCs w:val="36"/>
        </w:rPr>
      </w:pPr>
      <w:r>
        <w:rPr>
          <w:rFonts w:hint="eastAsia" w:ascii="宋体" w:hAnsi="宋体" w:cs="宋体"/>
          <w:b/>
          <w:bCs/>
          <w:sz w:val="36"/>
          <w:szCs w:val="36"/>
        </w:rPr>
        <w:t>（3）中小企业声明函</w:t>
      </w:r>
    </w:p>
    <w:p>
      <w:pPr>
        <w:spacing w:line="360" w:lineRule="auto"/>
        <w:jc w:val="center"/>
        <w:rPr>
          <w:rFonts w:ascii="宋体" w:hAnsi="宋体" w:cs="宋体"/>
          <w:b/>
          <w:sz w:val="32"/>
          <w:szCs w:val="32"/>
        </w:rPr>
      </w:pPr>
      <w:r>
        <w:rPr>
          <w:rFonts w:hint="eastAsia" w:ascii="宋体" w:hAnsi="宋体" w:cs="宋体"/>
          <w:b/>
          <w:sz w:val="32"/>
          <w:szCs w:val="32"/>
        </w:rPr>
        <w:t>中小企业声明函（服务）</w:t>
      </w:r>
    </w:p>
    <w:p>
      <w:pPr>
        <w:spacing w:line="360" w:lineRule="auto"/>
        <w:ind w:firstLine="360" w:firstLineChars="150"/>
        <w:jc w:val="left"/>
        <w:rPr>
          <w:rFonts w:ascii="宋体" w:hAnsi="宋体" w:cs="宋体"/>
          <w:sz w:val="24"/>
        </w:rPr>
      </w:pPr>
      <w:r>
        <w:rPr>
          <w:rFonts w:hint="eastAsia" w:ascii="宋体" w:hAnsi="宋体" w:cs="宋体"/>
          <w:sz w:val="24"/>
        </w:rPr>
        <w:t>本公司（联合体）郑重声明，根据《政府采购促进中小企业发展管理办法》（财库﹝2020﹞46 号）的规定，本公司（联合体）参加</w:t>
      </w:r>
      <w:r>
        <w:rPr>
          <w:rFonts w:hint="eastAsia" w:ascii="宋体" w:hAnsi="宋体" w:cs="宋体"/>
          <w:sz w:val="24"/>
          <w:u w:val="single"/>
        </w:rPr>
        <w:t>温州市公安局交通管理局</w:t>
      </w:r>
      <w:r>
        <w:rPr>
          <w:rFonts w:hint="eastAsia" w:ascii="宋体" w:hAnsi="宋体" w:cs="宋体"/>
          <w:sz w:val="24"/>
        </w:rPr>
        <w:t>的2023年温州市区（三、五大队）道路标志、标线、隔离护栏及其他设施建设维护项目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ascii="宋体" w:hAnsi="宋体" w:cs="宋体"/>
          <w:sz w:val="24"/>
        </w:rPr>
      </w:pPr>
      <w:r>
        <w:rPr>
          <w:rFonts w:hint="eastAsia" w:ascii="宋体" w:hAnsi="宋体" w:cs="宋体"/>
          <w:sz w:val="24"/>
        </w:rPr>
        <w:t xml:space="preserve">1. </w:t>
      </w:r>
      <w:r>
        <w:rPr>
          <w:rFonts w:hint="eastAsia" w:ascii="宋体" w:hAnsi="宋体" w:cs="宋体"/>
          <w:sz w:val="24"/>
          <w:u w:val="single"/>
        </w:rPr>
        <w:t>（标的名称）</w:t>
      </w:r>
      <w:r>
        <w:rPr>
          <w:rFonts w:hint="eastAsia" w:ascii="宋体" w:hAnsi="宋体" w:cs="宋体"/>
          <w:sz w:val="24"/>
        </w:rPr>
        <w:t>，属于</w:t>
      </w:r>
      <w:r>
        <w:rPr>
          <w:rFonts w:hint="eastAsia" w:ascii="宋体" w:hAnsi="宋体" w:cs="宋体"/>
          <w:sz w:val="24"/>
          <w:u w:val="single"/>
        </w:rPr>
        <w:t>（采购文件中明确的所属行业）</w:t>
      </w:r>
      <w:r>
        <w:rPr>
          <w:rFonts w:hint="eastAsia" w:ascii="宋体" w:hAnsi="宋体" w:cs="宋体"/>
          <w:sz w:val="24"/>
        </w:rPr>
        <w:t xml:space="preserve">  ；承建（承接）企业为 </w:t>
      </w:r>
      <w:r>
        <w:rPr>
          <w:rFonts w:hint="eastAsia" w:ascii="宋体" w:hAnsi="宋体" w:cs="宋体"/>
          <w:sz w:val="24"/>
          <w:u w:val="single"/>
        </w:rPr>
        <w:t>（企业名称）</w:t>
      </w:r>
      <w:r>
        <w:rPr>
          <w:rFonts w:hint="eastAsia" w:ascii="宋体" w:hAnsi="宋体" w:cs="宋体"/>
          <w:sz w:val="24"/>
        </w:rPr>
        <w:t xml:space="preserve"> ，从业人员人，营业收入为万元，资产总额为万元属于</w:t>
      </w:r>
      <w:r>
        <w:rPr>
          <w:rFonts w:hint="eastAsia" w:ascii="宋体" w:hAnsi="宋体" w:cs="宋体"/>
          <w:sz w:val="24"/>
          <w:u w:val="single"/>
        </w:rPr>
        <w:t xml:space="preserve"> （中型企业、小型企业、微型企业） </w:t>
      </w:r>
      <w:r>
        <w:rPr>
          <w:rFonts w:hint="eastAsia" w:ascii="宋体" w:hAnsi="宋体" w:cs="宋体"/>
          <w:sz w:val="24"/>
        </w:rPr>
        <w:t>；</w:t>
      </w:r>
    </w:p>
    <w:p>
      <w:pPr>
        <w:spacing w:line="360" w:lineRule="auto"/>
        <w:ind w:firstLine="480" w:firstLineChars="200"/>
        <w:jc w:val="left"/>
        <w:rPr>
          <w:rFonts w:ascii="宋体" w:hAnsi="宋体" w:cs="宋体"/>
          <w:sz w:val="24"/>
        </w:rPr>
      </w:pPr>
      <w:r>
        <w:rPr>
          <w:rFonts w:hint="eastAsia" w:ascii="宋体" w:hAnsi="宋体" w:cs="宋体"/>
          <w:sz w:val="24"/>
        </w:rPr>
        <w:t>2.</w:t>
      </w:r>
      <w:r>
        <w:rPr>
          <w:rFonts w:hint="eastAsia" w:ascii="宋体" w:hAnsi="宋体" w:cs="宋体"/>
          <w:sz w:val="24"/>
          <w:u w:val="single"/>
        </w:rPr>
        <w:t>（标的名称）</w:t>
      </w:r>
      <w:r>
        <w:rPr>
          <w:rFonts w:hint="eastAsia" w:ascii="宋体" w:hAnsi="宋体" w:cs="宋体"/>
          <w:sz w:val="24"/>
        </w:rPr>
        <w:t xml:space="preserve">，属于 </w:t>
      </w:r>
      <w:r>
        <w:rPr>
          <w:rFonts w:hint="eastAsia" w:ascii="宋体" w:hAnsi="宋体" w:cs="宋体"/>
          <w:sz w:val="24"/>
          <w:u w:val="single"/>
        </w:rPr>
        <w:t>（采购文件中明确的所属行业）</w:t>
      </w:r>
      <w:r>
        <w:rPr>
          <w:rFonts w:hint="eastAsia" w:ascii="宋体" w:hAnsi="宋体" w:cs="宋体"/>
          <w:sz w:val="24"/>
        </w:rPr>
        <w:t xml:space="preserve">  ；承建（承接）企业为 </w:t>
      </w:r>
      <w:r>
        <w:rPr>
          <w:rFonts w:hint="eastAsia" w:ascii="宋体" w:hAnsi="宋体" w:cs="宋体"/>
          <w:sz w:val="24"/>
          <w:u w:val="single"/>
        </w:rPr>
        <w:t>（企业名称）</w:t>
      </w:r>
      <w:r>
        <w:rPr>
          <w:rFonts w:hint="eastAsia" w:ascii="宋体" w:hAnsi="宋体" w:cs="宋体"/>
          <w:sz w:val="24"/>
        </w:rPr>
        <w:t xml:space="preserve"> ，从业人员人，营业收入为万元，资产总额为万元属于</w:t>
      </w:r>
      <w:r>
        <w:rPr>
          <w:rFonts w:hint="eastAsia" w:ascii="宋体" w:hAnsi="宋体" w:cs="宋体"/>
          <w:sz w:val="24"/>
          <w:u w:val="single"/>
        </w:rPr>
        <w:t xml:space="preserve"> （中型企业、小型企业、微型企业） </w:t>
      </w:r>
      <w:r>
        <w:rPr>
          <w:rFonts w:hint="eastAsia" w:ascii="宋体" w:hAnsi="宋体" w:cs="宋体"/>
          <w:sz w:val="24"/>
        </w:rPr>
        <w:t>；</w:t>
      </w:r>
    </w:p>
    <w:p>
      <w:pPr>
        <w:spacing w:line="360" w:lineRule="auto"/>
        <w:ind w:firstLine="480" w:firstLineChars="200"/>
        <w:jc w:val="left"/>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宋体" w:hAnsi="宋体" w:cs="宋体"/>
          <w:sz w:val="24"/>
        </w:rPr>
      </w:pPr>
      <w:r>
        <w:rPr>
          <w:rFonts w:hint="eastAsia" w:ascii="宋体" w:hAnsi="宋体" w:cs="宋体"/>
          <w:sz w:val="24"/>
        </w:rPr>
        <w:t>本企业对上述声明内容的真实性负责。如有虚假，将依法承担相应责任。</w:t>
      </w:r>
    </w:p>
    <w:p>
      <w:pPr>
        <w:spacing w:line="360" w:lineRule="auto"/>
        <w:ind w:right="1760"/>
        <w:jc w:val="right"/>
        <w:rPr>
          <w:rFonts w:ascii="宋体" w:hAnsi="宋体" w:cs="宋体"/>
          <w:sz w:val="24"/>
        </w:rPr>
      </w:pPr>
      <w:r>
        <w:rPr>
          <w:rFonts w:hint="eastAsia" w:ascii="宋体" w:hAnsi="宋体" w:cs="宋体"/>
          <w:sz w:val="24"/>
        </w:rPr>
        <w:t>投标人名称（电子签名）：</w:t>
      </w:r>
    </w:p>
    <w:p>
      <w:pPr>
        <w:spacing w:line="360" w:lineRule="auto"/>
        <w:ind w:right="1120" w:firstLine="4680" w:firstLineChars="1950"/>
        <w:rPr>
          <w:rFonts w:ascii="宋体" w:hAnsi="宋体" w:cs="宋体"/>
          <w:sz w:val="24"/>
        </w:rPr>
      </w:pPr>
      <w:r>
        <w:rPr>
          <w:rFonts w:hint="eastAsia" w:ascii="宋体" w:hAnsi="宋体" w:cs="宋体"/>
          <w:sz w:val="24"/>
        </w:rPr>
        <w:t>日 期：</w:t>
      </w:r>
    </w:p>
    <w:p>
      <w:pPr>
        <w:spacing w:line="360" w:lineRule="auto"/>
        <w:ind w:firstLine="310" w:firstLineChars="147"/>
        <w:jc w:val="left"/>
        <w:rPr>
          <w:rFonts w:ascii="宋体" w:hAnsi="宋体" w:cs="宋体"/>
          <w:b/>
          <w:szCs w:val="21"/>
        </w:rPr>
      </w:pPr>
      <w:r>
        <w:rPr>
          <w:rFonts w:hint="eastAsia" w:ascii="宋体" w:hAnsi="宋体" w:cs="宋体"/>
          <w:b/>
          <w:szCs w:val="21"/>
        </w:rPr>
        <w:t>从业人员、营业收入、资产总额填报上一年度数据，无上一年度数据的新成立企业可不填报。</w:t>
      </w:r>
    </w:p>
    <w:p>
      <w:pPr>
        <w:spacing w:line="360" w:lineRule="auto"/>
        <w:ind w:right="420"/>
        <w:rPr>
          <w:rFonts w:ascii="宋体" w:hAnsi="宋体" w:cs="宋体"/>
          <w:sz w:val="24"/>
        </w:rPr>
      </w:pPr>
    </w:p>
    <w:p>
      <w:pPr>
        <w:spacing w:line="360" w:lineRule="auto"/>
        <w:ind w:right="420"/>
        <w:rPr>
          <w:rFonts w:ascii="宋体" w:hAnsi="宋体" w:cs="宋体"/>
          <w:sz w:val="24"/>
        </w:rPr>
      </w:pPr>
      <w:r>
        <w:rPr>
          <w:rFonts w:hint="eastAsia" w:ascii="宋体" w:hAnsi="宋体" w:cs="宋体"/>
          <w:sz w:val="24"/>
        </w:rPr>
        <w:t xml:space="preserve">   注：</w:t>
      </w:r>
    </w:p>
    <w:p>
      <w:pPr>
        <w:spacing w:line="360" w:lineRule="auto"/>
        <w:ind w:right="420" w:firstLine="480" w:firstLineChars="200"/>
        <w:rPr>
          <w:rFonts w:ascii="宋体" w:hAnsi="宋体" w:cs="宋体"/>
          <w:sz w:val="24"/>
        </w:rPr>
      </w:pPr>
      <w:r>
        <w:rPr>
          <w:rFonts w:hint="eastAsia" w:ascii="宋体" w:hAnsi="宋体" w:cs="宋体"/>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宋体" w:hAnsi="宋体" w:cs="宋体"/>
          <w:sz w:val="24"/>
        </w:rPr>
      </w:pPr>
      <w:r>
        <w:rPr>
          <w:rFonts w:hint="eastAsia" w:ascii="宋体" w:hAnsi="宋体" w:cs="宋体"/>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ind w:firstLine="420" w:firstLineChars="200"/>
        <w:jc w:val="left"/>
        <w:rPr>
          <w:rFonts w:ascii="宋体" w:hAnsi="宋体" w:cs="宋体"/>
        </w:rPr>
      </w:pPr>
    </w:p>
    <w:p>
      <w:pPr>
        <w:spacing w:line="360" w:lineRule="auto"/>
        <w:ind w:firstLine="723" w:firstLineChars="200"/>
        <w:jc w:val="center"/>
        <w:rPr>
          <w:rFonts w:ascii="宋体" w:hAnsi="宋体" w:cs="宋体"/>
          <w:b/>
          <w:bCs/>
          <w:sz w:val="36"/>
          <w:szCs w:val="36"/>
        </w:rPr>
      </w:pPr>
      <w:r>
        <w:rPr>
          <w:rFonts w:hint="eastAsia" w:ascii="宋体" w:hAnsi="宋体" w:cs="宋体"/>
          <w:b/>
          <w:bCs/>
          <w:sz w:val="36"/>
          <w:szCs w:val="36"/>
        </w:rPr>
        <w:br w:type="page"/>
      </w:r>
      <w:r>
        <w:rPr>
          <w:rFonts w:hint="eastAsia" w:ascii="宋体" w:hAnsi="宋体" w:cs="宋体"/>
          <w:b/>
          <w:bCs/>
          <w:sz w:val="36"/>
          <w:szCs w:val="36"/>
        </w:rPr>
        <w:t>（4）残疾人福利性单位声明函（如有）</w:t>
      </w:r>
    </w:p>
    <w:p>
      <w:pPr>
        <w:spacing w:line="360" w:lineRule="auto"/>
        <w:jc w:val="center"/>
        <w:rPr>
          <w:rFonts w:ascii="宋体" w:hAnsi="宋体" w:cs="宋体"/>
          <w:b/>
          <w:spacing w:val="6"/>
          <w:sz w:val="30"/>
          <w:szCs w:val="30"/>
        </w:rPr>
      </w:pPr>
    </w:p>
    <w:p>
      <w:pPr>
        <w:spacing w:line="360" w:lineRule="auto"/>
        <w:ind w:firstLine="560" w:firstLineChars="200"/>
        <w:rPr>
          <w:rFonts w:ascii="宋体" w:hAnsi="宋体" w:cs="宋体"/>
          <w:sz w:val="28"/>
          <w:szCs w:val="28"/>
        </w:rPr>
      </w:pPr>
      <w:r>
        <w:rPr>
          <w:rFonts w:hint="eastAsia" w:ascii="宋体" w:hAnsi="宋体" w:cs="宋体"/>
          <w:sz w:val="28"/>
          <w:szCs w:val="28"/>
        </w:rPr>
        <w:t>本单位郑重声明，根据《财政部民政部中国残疾人联合会关于促进残疾人就业政府采购政策的通知》（财库〔2017〕141号）的规定，本单位为符合条件的残疾人福利性单位，且本单位参加（项目名称、编号）项目的采购活动提供本单位制造的货物（由本单位承担工程/提供服务），或者提供其他残疾人福利性单位制造的货物（不包括使用非残疾人福利性单位注册商标的货物）。</w:t>
      </w:r>
    </w:p>
    <w:p>
      <w:pPr>
        <w:spacing w:line="360" w:lineRule="auto"/>
        <w:ind w:firstLine="560" w:firstLineChars="200"/>
        <w:rPr>
          <w:rFonts w:ascii="宋体" w:hAnsi="宋体" w:cs="宋体"/>
          <w:sz w:val="28"/>
          <w:szCs w:val="28"/>
        </w:rPr>
      </w:pPr>
      <w:r>
        <w:rPr>
          <w:rFonts w:hint="eastAsia" w:ascii="宋体" w:hAnsi="宋体" w:cs="宋体"/>
          <w:sz w:val="28"/>
          <w:szCs w:val="28"/>
        </w:rPr>
        <w:t>本单位对上述声明的真实性负责。如有虚假，将依法承担相应责任。</w:t>
      </w:r>
    </w:p>
    <w:p>
      <w:pPr>
        <w:spacing w:line="360" w:lineRule="auto"/>
        <w:ind w:firstLine="560" w:firstLineChars="200"/>
        <w:rPr>
          <w:rFonts w:ascii="宋体" w:hAnsi="宋体" w:cs="宋体"/>
          <w:sz w:val="28"/>
          <w:szCs w:val="28"/>
        </w:rPr>
      </w:pPr>
    </w:p>
    <w:p>
      <w:pPr>
        <w:tabs>
          <w:tab w:val="left" w:pos="4860"/>
        </w:tabs>
        <w:spacing w:line="360" w:lineRule="auto"/>
        <w:ind w:right="1560" w:firstLine="560" w:firstLineChars="200"/>
        <w:jc w:val="center"/>
        <w:rPr>
          <w:rFonts w:ascii="宋体" w:hAnsi="宋体" w:cs="宋体"/>
          <w:sz w:val="28"/>
          <w:szCs w:val="28"/>
        </w:rPr>
      </w:pPr>
      <w:r>
        <w:rPr>
          <w:rFonts w:hint="eastAsia" w:ascii="宋体" w:hAnsi="宋体" w:cs="宋体"/>
          <w:sz w:val="28"/>
          <w:szCs w:val="28"/>
        </w:rPr>
        <w:t>投标人全称（</w:t>
      </w:r>
      <w:r>
        <w:rPr>
          <w:rFonts w:hint="eastAsia" w:ascii="宋体" w:hAnsi="宋体" w:cs="宋体"/>
          <w:bCs/>
          <w:sz w:val="24"/>
        </w:rPr>
        <w:t>公章或CA章</w:t>
      </w:r>
      <w:r>
        <w:rPr>
          <w:rFonts w:hint="eastAsia" w:ascii="宋体" w:hAnsi="宋体" w:cs="宋体"/>
          <w:sz w:val="28"/>
          <w:szCs w:val="28"/>
        </w:rPr>
        <w:t>）：</w:t>
      </w:r>
    </w:p>
    <w:p>
      <w:pPr>
        <w:tabs>
          <w:tab w:val="left" w:pos="4860"/>
        </w:tabs>
        <w:spacing w:line="360" w:lineRule="auto"/>
        <w:ind w:right="1560" w:firstLine="560" w:firstLineChars="200"/>
        <w:jc w:val="center"/>
        <w:rPr>
          <w:rFonts w:ascii="宋体" w:hAnsi="宋体" w:cs="宋体"/>
          <w:sz w:val="28"/>
          <w:szCs w:val="28"/>
        </w:rPr>
      </w:pPr>
      <w:r>
        <w:rPr>
          <w:rFonts w:hint="eastAsia" w:ascii="宋体" w:hAnsi="宋体" w:cs="宋体"/>
          <w:sz w:val="28"/>
          <w:szCs w:val="28"/>
        </w:rPr>
        <w:t>日期：年月日</w:t>
      </w:r>
    </w:p>
    <w:p>
      <w:pPr>
        <w:spacing w:line="360" w:lineRule="auto"/>
        <w:rPr>
          <w:rFonts w:ascii="宋体" w:hAnsi="宋体" w:cs="宋体"/>
        </w:rPr>
      </w:pPr>
    </w:p>
    <w:p>
      <w:pPr>
        <w:spacing w:line="360" w:lineRule="auto"/>
        <w:rPr>
          <w:rFonts w:ascii="宋体" w:hAnsi="宋体" w:cs="宋体"/>
        </w:rPr>
      </w:pPr>
      <w:r>
        <w:rPr>
          <w:rFonts w:hint="eastAsia" w:ascii="宋体" w:hAnsi="宋体" w:cs="宋体"/>
          <w:szCs w:val="21"/>
        </w:rPr>
        <w:t>附注：投标人提</w:t>
      </w:r>
      <w:r>
        <w:rPr>
          <w:rFonts w:hint="eastAsia" w:ascii="宋体" w:hAnsi="宋体" w:cs="宋体"/>
        </w:rPr>
        <w:t>供的声明函与事实不符的，依据《政府采购法》第七十七条第一款的规定追究法律责任，</w:t>
      </w:r>
      <w:r>
        <w:rPr>
          <w:rFonts w:hint="eastAsia" w:ascii="宋体" w:hAnsi="宋体" w:cs="宋体"/>
          <w:b/>
          <w:szCs w:val="21"/>
        </w:rPr>
        <w:t>如若中标本声明函将予以外网公示。</w:t>
      </w:r>
    </w:p>
    <w:p>
      <w:pPr>
        <w:widowControl/>
        <w:spacing w:line="360" w:lineRule="auto"/>
        <w:jc w:val="left"/>
        <w:rPr>
          <w:rFonts w:ascii="宋体" w:hAnsi="宋体" w:cs="宋体"/>
        </w:rPr>
      </w:pPr>
    </w:p>
    <w:p>
      <w:pPr>
        <w:widowControl/>
        <w:spacing w:line="360" w:lineRule="auto"/>
        <w:jc w:val="left"/>
        <w:rPr>
          <w:rFonts w:ascii="宋体" w:hAnsi="宋体" w:cs="宋体"/>
        </w:rPr>
      </w:pPr>
    </w:p>
    <w:p>
      <w:pPr>
        <w:widowControl/>
        <w:spacing w:line="360" w:lineRule="auto"/>
        <w:jc w:val="left"/>
        <w:rPr>
          <w:rFonts w:ascii="宋体" w:hAnsi="宋体" w:cs="宋体"/>
        </w:rPr>
      </w:pPr>
    </w:p>
    <w:p>
      <w:pPr>
        <w:widowControl/>
        <w:spacing w:line="360" w:lineRule="auto"/>
        <w:jc w:val="left"/>
        <w:rPr>
          <w:rFonts w:ascii="宋体" w:hAnsi="宋体" w:cs="宋体"/>
        </w:rPr>
      </w:pPr>
    </w:p>
    <w:p>
      <w:pPr>
        <w:widowControl/>
        <w:spacing w:line="360" w:lineRule="auto"/>
        <w:jc w:val="center"/>
        <w:rPr>
          <w:rFonts w:ascii="宋体" w:hAnsi="宋体" w:cs="宋体"/>
          <w:b/>
          <w:bCs/>
          <w:sz w:val="36"/>
          <w:szCs w:val="36"/>
        </w:rPr>
      </w:pPr>
      <w:r>
        <w:rPr>
          <w:rFonts w:hint="eastAsia" w:ascii="宋体" w:hAnsi="宋体" w:cs="宋体"/>
          <w:b/>
          <w:bCs/>
          <w:sz w:val="36"/>
          <w:szCs w:val="36"/>
        </w:rPr>
        <w:t>（5）监狱企业的证明文件（如有）</w:t>
      </w:r>
    </w:p>
    <w:p>
      <w:pPr>
        <w:widowControl/>
        <w:spacing w:line="360" w:lineRule="auto"/>
        <w:jc w:val="center"/>
        <w:rPr>
          <w:rFonts w:ascii="宋体" w:hAnsi="宋体" w:cs="宋体"/>
          <w:b/>
          <w:bCs/>
          <w:sz w:val="36"/>
          <w:szCs w:val="36"/>
        </w:rPr>
      </w:pPr>
    </w:p>
    <w:p>
      <w:pPr>
        <w:spacing w:line="360" w:lineRule="auto"/>
        <w:ind w:firstLine="560" w:firstLineChars="200"/>
        <w:rPr>
          <w:rFonts w:ascii="宋体" w:hAnsi="宋体" w:cs="宋体"/>
          <w:sz w:val="28"/>
          <w:szCs w:val="28"/>
        </w:rPr>
      </w:pPr>
      <w:r>
        <w:rPr>
          <w:rFonts w:hint="eastAsia" w:ascii="宋体" w:hAnsi="宋体" w:cs="宋体"/>
          <w:sz w:val="28"/>
          <w:szCs w:val="28"/>
        </w:rPr>
        <w:t>依据《财政部司法部关于政府采购支持监狱企业发展有关问题的通知》（财库[2014]68号）文件，提供由省级以上监狱管理局、戒毒管理局（含新疆生产建设兵团）出具的属于监狱企业证明文件。</w:t>
      </w:r>
    </w:p>
    <w:p>
      <w:pPr>
        <w:snapToGrid w:val="0"/>
        <w:spacing w:line="360" w:lineRule="auto"/>
        <w:ind w:firstLine="422" w:firstLineChars="200"/>
        <w:rPr>
          <w:rFonts w:ascii="宋体" w:hAnsi="宋体" w:cs="宋体"/>
          <w:b/>
          <w:szCs w:val="21"/>
        </w:rPr>
      </w:pPr>
    </w:p>
    <w:p>
      <w:pPr>
        <w:snapToGrid w:val="0"/>
        <w:spacing w:line="360" w:lineRule="auto"/>
        <w:ind w:firstLine="413" w:firstLineChars="196"/>
        <w:jc w:val="left"/>
        <w:rPr>
          <w:rFonts w:ascii="宋体" w:hAnsi="宋体" w:cs="宋体"/>
        </w:rPr>
      </w:pPr>
      <w:r>
        <w:rPr>
          <w:rFonts w:hint="eastAsia" w:ascii="宋体" w:hAnsi="宋体" w:cs="宋体"/>
          <w:b/>
          <w:szCs w:val="21"/>
        </w:rPr>
        <w:t>附注：如若中标本证明文件将予以外网公示。</w:t>
      </w:r>
    </w:p>
    <w:p>
      <w:pPr>
        <w:spacing w:line="360" w:lineRule="auto"/>
        <w:rPr>
          <w:rFonts w:ascii="宋体" w:hAnsi="宋体" w:cs="宋体"/>
        </w:rPr>
      </w:pPr>
    </w:p>
    <w:sectPr>
      <w:pgSz w:w="11906" w:h="16838"/>
      <w:pgMar w:top="1440" w:right="1304" w:bottom="1440" w:left="1531"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Lucida Sans">
    <w:panose1 w:val="020B0602030504020204"/>
    <w:charset w:val="00"/>
    <w:family w:val="swiss"/>
    <w:pitch w:val="default"/>
    <w:sig w:usb0="00000003" w:usb1="00000000" w:usb2="00000000" w:usb3="00000000" w:csb0="20000001" w:csb1="00000000"/>
  </w:font>
  <w:font w:name="Times">
    <w:altName w:val="Times New Roman"/>
    <w:panose1 w:val="02020603050405020304"/>
    <w:charset w:val="00"/>
    <w:family w:val="roman"/>
    <w:pitch w:val="default"/>
    <w:sig w:usb0="00000000" w:usb1="00000000" w:usb2="00000009" w:usb3="00000000" w:csb0="000001FF" w:csb1="0000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10006FF" w:usb1="4000205B" w:usb2="00000010"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PMingLiU">
    <w:panose1 w:val="02020500000000000000"/>
    <w:charset w:val="88"/>
    <w:family w:val="auto"/>
    <w:pitch w:val="default"/>
    <w:sig w:usb0="A00002FF" w:usb1="28CFFCFA" w:usb2="00000016" w:usb3="00000000" w:csb0="001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4"/>
                          </w:pPr>
                          <w:r>
                            <w:fldChar w:fldCharType="begin"/>
                          </w:r>
                          <w:r>
                            <w:instrText xml:space="preserve"> PAGE  \* MERGEFORMAT </w:instrText>
                          </w:r>
                          <w:r>
                            <w:fldChar w:fldCharType="separate"/>
                          </w:r>
                          <w:r>
                            <w:t>69</w:t>
                          </w:r>
                          <w:r>
                            <w:fldChar w:fldCharType="end"/>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MXE6uTOAQAAqQMAAA4AAAAAAAAAAQAgAAAAHgEAAGRycy9l&#10;Mm9Eb2MueG1sUEsFBgAAAAAGAAYAWQEAAF4FA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124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126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158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4"/>
                          </w:pPr>
                          <w:r>
                            <w:fldChar w:fldCharType="begin"/>
                          </w:r>
                          <w:r>
                            <w:instrText xml:space="preserve"> PAGE  \* MERGEFORMAT </w:instrText>
                          </w:r>
                          <w:r>
                            <w:fldChar w:fldCharType="separate"/>
                          </w:r>
                          <w:r>
                            <w:t>155</w:t>
                          </w:r>
                          <w:r>
                            <w:fldChar w:fldCharType="end"/>
                          </w:r>
                        </w:p>
                      </w:txbxContent>
                    </wps:txbx>
                    <wps:bodyPr wrap="none" lIns="0" tIns="0" rIns="0" bIns="0" upright="0">
                      <a:spAutoFit/>
                    </wps:bodyPr>
                  </wps:wsp>
                </a:graphicData>
              </a:graphic>
            </wp:anchor>
          </w:drawing>
        </mc:Choice>
        <mc:Fallback>
          <w:pict>
            <v:shape id="文本框 2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AolUcozwEAAKkDAAAOAAAAAAAAAAEAIAAAAB4BAABkcnMv&#10;ZTJvRG9jLnhtbFBLBQYAAAAABgAGAFkBAABfBQ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155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4500" w:firstLineChars="250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4"/>
                            <w:rPr>
                              <w:rStyle w:val="22"/>
                            </w:rPr>
                          </w:pPr>
                          <w:r>
                            <w:fldChar w:fldCharType="begin"/>
                          </w:r>
                          <w:r>
                            <w:rPr>
                              <w:rStyle w:val="22"/>
                            </w:rPr>
                            <w:instrText xml:space="preserve">PAGE  </w:instrText>
                          </w:r>
                          <w:r>
                            <w:fldChar w:fldCharType="separate"/>
                          </w:r>
                          <w:r>
                            <w:rPr>
                              <w:rStyle w:val="22"/>
                            </w:rPr>
                            <w:t>159</w:t>
                          </w:r>
                          <w:r>
                            <w:fldChar w:fldCharType="end"/>
                          </w:r>
                        </w:p>
                      </w:txbxContent>
                    </wps:txbx>
                    <wps:bodyPr wrap="none" lIns="0" tIns="0" rIns="0" bIns="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DYwSDbzwEAAKkDAAAOAAAAAAAAAAEAIAAAAB4BAABkcnMv&#10;ZTJvRG9jLnhtbFBLBQYAAAAABgAGAFkBAABfBQAAAAA=&#10;">
              <v:fill on="f" focussize="0,0"/>
              <v:stroke on="f"/>
              <v:imagedata o:title=""/>
              <o:lock v:ext="edit" aspectratio="f"/>
              <v:textbox inset="0mm,0mm,0mm,0mm" style="mso-fit-shape-to-text:t;">
                <w:txbxContent>
                  <w:p>
                    <w:pPr>
                      <w:pStyle w:val="14"/>
                      <w:rPr>
                        <w:rStyle w:val="22"/>
                      </w:rPr>
                    </w:pPr>
                    <w:r>
                      <w:fldChar w:fldCharType="begin"/>
                    </w:r>
                    <w:r>
                      <w:rPr>
                        <w:rStyle w:val="22"/>
                      </w:rPr>
                      <w:instrText xml:space="preserve">PAGE  </w:instrText>
                    </w:r>
                    <w:r>
                      <w:fldChar w:fldCharType="separate"/>
                    </w:r>
                    <w:r>
                      <w:rPr>
                        <w:rStyle w:val="22"/>
                      </w:rPr>
                      <w:t>159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59" w:rightChars="171" w:firstLine="4410" w:firstLineChars="245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4"/>
                            <w:rPr>
                              <w:rStyle w:val="22"/>
                            </w:rPr>
                          </w:pPr>
                          <w:r>
                            <w:fldChar w:fldCharType="begin"/>
                          </w:r>
                          <w:r>
                            <w:rPr>
                              <w:rStyle w:val="22"/>
                            </w:rPr>
                            <w:instrText xml:space="preserve">PAGE  </w:instrText>
                          </w:r>
                          <w:r>
                            <w:fldChar w:fldCharType="separate"/>
                          </w:r>
                          <w:r>
                            <w:rPr>
                              <w:rStyle w:val="22"/>
                            </w:rPr>
                            <w:t>173</w:t>
                          </w:r>
                          <w:r>
                            <w:fldChar w:fldCharType="end"/>
                          </w:r>
                        </w:p>
                      </w:txbxContent>
                    </wps:txbx>
                    <wps:bodyPr wrap="none" lIns="0" tIns="0" rIns="0" bIns="0" upright="0">
                      <a:spAutoFit/>
                    </wps:bodyPr>
                  </wps:wsp>
                </a:graphicData>
              </a:graphic>
            </wp:anchor>
          </w:drawing>
        </mc:Choice>
        <mc:Fallback>
          <w:pict>
            <v:shape id="文本框 2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zZ+ZBM0BAACpAwAADgAAAAAAAAABACAAAAAeAQAAZHJzL2Uy&#10;b0RvYy54bWxQSwUGAAAAAAYABgBZAQAAXQUAAAAA&#10;">
              <v:fill on="f" focussize="0,0"/>
              <v:stroke on="f"/>
              <v:imagedata o:title=""/>
              <o:lock v:ext="edit" aspectratio="f"/>
              <v:textbox inset="0mm,0mm,0mm,0mm" style="mso-fit-shape-to-text:t;">
                <w:txbxContent>
                  <w:p>
                    <w:pPr>
                      <w:pStyle w:val="14"/>
                      <w:rPr>
                        <w:rStyle w:val="22"/>
                      </w:rPr>
                    </w:pPr>
                    <w:r>
                      <w:fldChar w:fldCharType="begin"/>
                    </w:r>
                    <w:r>
                      <w:rPr>
                        <w:rStyle w:val="22"/>
                      </w:rPr>
                      <w:instrText xml:space="preserve">PAGE  </w:instrText>
                    </w:r>
                    <w:r>
                      <w:fldChar w:fldCharType="separate"/>
                    </w:r>
                    <w:r>
                      <w:rPr>
                        <w:rStyle w:val="22"/>
                      </w:rPr>
                      <w:t>173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59" w:rightChars="171" w:firstLine="4410" w:firstLineChars="245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4"/>
                            <w:rPr>
                              <w:rStyle w:val="22"/>
                            </w:rPr>
                          </w:pPr>
                          <w:r>
                            <w:fldChar w:fldCharType="begin"/>
                          </w:r>
                          <w:r>
                            <w:rPr>
                              <w:rStyle w:val="22"/>
                            </w:rPr>
                            <w:instrText xml:space="preserve">PAGE  </w:instrText>
                          </w:r>
                          <w:r>
                            <w:fldChar w:fldCharType="separate"/>
                          </w:r>
                          <w:r>
                            <w:rPr>
                              <w:rStyle w:val="22"/>
                            </w:rPr>
                            <w:t>240</w:t>
                          </w:r>
                          <w:r>
                            <w:fldChar w:fldCharType="end"/>
                          </w:r>
                        </w:p>
                      </w:txbxContent>
                    </wps:txbx>
                    <wps:bodyPr wrap="none" lIns="0" tIns="0" rIns="0" bIns="0" upright="0">
                      <a:spAutoFit/>
                    </wps:bodyPr>
                  </wps:wsp>
                </a:graphicData>
              </a:graphic>
            </wp:anchor>
          </w:drawing>
        </mc:Choice>
        <mc:Fallback>
          <w:pict>
            <v:shape id="文本框 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A2VUryzwEAAKkDAAAOAAAAAAAAAAEAIAAAAB4BAABkcnMv&#10;ZTJvRG9jLnhtbFBLBQYAAAAABgAGAFkBAABfBQAAAAA=&#10;">
              <v:fill on="f" focussize="0,0"/>
              <v:stroke on="f"/>
              <v:imagedata o:title=""/>
              <o:lock v:ext="edit" aspectratio="f"/>
              <v:textbox inset="0mm,0mm,0mm,0mm" style="mso-fit-shape-to-text:t;">
                <w:txbxContent>
                  <w:p>
                    <w:pPr>
                      <w:pStyle w:val="14"/>
                      <w:rPr>
                        <w:rStyle w:val="22"/>
                      </w:rPr>
                    </w:pPr>
                    <w:r>
                      <w:fldChar w:fldCharType="begin"/>
                    </w:r>
                    <w:r>
                      <w:rPr>
                        <w:rStyle w:val="22"/>
                      </w:rPr>
                      <w:instrText xml:space="preserve">PAGE  </w:instrText>
                    </w:r>
                    <w:r>
                      <w:fldChar w:fldCharType="separate"/>
                    </w:r>
                    <w:r>
                      <w:rPr>
                        <w:rStyle w:val="22"/>
                      </w:rPr>
                      <w:t>240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left="3" w:leftChars="1" w:right="-82" w:rightChars="-39" w:hanging="1" w:hangingChars="1"/>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ascii="仿宋_GB2312" w:eastAsia="仿宋_GB2312"/>
        <w:b/>
        <w:i/>
        <w:u w:val="single"/>
      </w:rPr>
    </w:pPr>
    <w:r>
      <w:t></w:t>
    </w:r>
    <w:r>
      <w:rPr>
        <w:rFonts w:hint="eastAsia"/>
      </w:rPr>
      <w:t>温州</w:t>
    </w:r>
    <w:r>
      <w:t>市政府采购公开招标文件</w:t>
    </w:r>
  </w:p>
  <w:p>
    <w:pPr>
      <w:rPr>
        <w:rFonts w:ascii="仿宋_GB2312" w:eastAsia="仿宋_GB2312"/>
        <w:b/>
        <w:i/>
        <w:sz w:val="18"/>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t></w:t>
    </w:r>
  </w:p>
  <w:p>
    <w:pPr>
      <w:pStyle w:val="15"/>
    </w:pPr>
    <w:r>
      <w:rPr>
        <w:rFonts w:hint="eastAsia"/>
      </w:rPr>
      <w:t>温州市</w:t>
    </w:r>
    <w:r>
      <w:t>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ascii="仿宋_GB2312" w:eastAsia="仿宋_GB2312"/>
        <w:b/>
        <w:i/>
        <w:u w:val="single"/>
      </w:rPr>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604D21"/>
    <w:multiLevelType w:val="singleLevel"/>
    <w:tmpl w:val="DA604D21"/>
    <w:lvl w:ilvl="0" w:tentative="0">
      <w:start w:val="1"/>
      <w:numFmt w:val="decimal"/>
      <w:suff w:val="nothing"/>
      <w:lvlText w:val="%1）"/>
      <w:lvlJc w:val="left"/>
    </w:lvl>
  </w:abstractNum>
  <w:abstractNum w:abstractNumId="1">
    <w:nsid w:val="F79998F6"/>
    <w:multiLevelType w:val="singleLevel"/>
    <w:tmpl w:val="F79998F6"/>
    <w:lvl w:ilvl="0" w:tentative="0">
      <w:start w:val="4"/>
      <w:numFmt w:val="decimal"/>
      <w:suff w:val="nothing"/>
      <w:lvlText w:val="%1、"/>
      <w:lvlJc w:val="left"/>
    </w:lvl>
  </w:abstractNum>
  <w:abstractNum w:abstractNumId="2">
    <w:nsid w:val="2EEDEA92"/>
    <w:multiLevelType w:val="singleLevel"/>
    <w:tmpl w:val="2EEDEA92"/>
    <w:lvl w:ilvl="0" w:tentative="0">
      <w:start w:val="1"/>
      <w:numFmt w:val="decimal"/>
      <w:suff w:val="space"/>
      <w:lvlText w:val="%1."/>
      <w:lvlJc w:val="left"/>
    </w:lvl>
  </w:abstractNum>
  <w:abstractNum w:abstractNumId="3">
    <w:nsid w:val="39D88FE9"/>
    <w:multiLevelType w:val="singleLevel"/>
    <w:tmpl w:val="39D88FE9"/>
    <w:lvl w:ilvl="0" w:tentative="0">
      <w:start w:val="1"/>
      <w:numFmt w:val="decimal"/>
      <w:pStyle w:val="5"/>
      <w:lvlText w:val="%1."/>
      <w:lvlJc w:val="left"/>
      <w:pPr>
        <w:tabs>
          <w:tab w:val="left" w:pos="360"/>
        </w:tabs>
        <w:ind w:left="360" w:hanging="360"/>
      </w:pPr>
    </w:lvl>
  </w:abstractNum>
  <w:abstractNum w:abstractNumId="4">
    <w:nsid w:val="7B0730A4"/>
    <w:multiLevelType w:val="singleLevel"/>
    <w:tmpl w:val="7B0730A4"/>
    <w:lvl w:ilvl="0" w:tentative="0">
      <w:start w:val="3"/>
      <w:numFmt w:val="decimal"/>
      <w:suff w:val="nothing"/>
      <w:lvlText w:val="（%1）"/>
      <w:lvlJc w:val="left"/>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hideSpellingError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wZDA0NTk2NTYzODU5NzZkYWI5YzQyODkzOTI1MDUifQ=="/>
  </w:docVars>
  <w:rsids>
    <w:rsidRoot w:val="009453F9"/>
    <w:rsid w:val="00064804"/>
    <w:rsid w:val="00133744"/>
    <w:rsid w:val="00196653"/>
    <w:rsid w:val="001B585C"/>
    <w:rsid w:val="001F6405"/>
    <w:rsid w:val="00201B20"/>
    <w:rsid w:val="00237630"/>
    <w:rsid w:val="002C553C"/>
    <w:rsid w:val="002E5D04"/>
    <w:rsid w:val="003016A7"/>
    <w:rsid w:val="003147FD"/>
    <w:rsid w:val="003322CE"/>
    <w:rsid w:val="00342780"/>
    <w:rsid w:val="003D6489"/>
    <w:rsid w:val="003E537B"/>
    <w:rsid w:val="0042203A"/>
    <w:rsid w:val="00425BC2"/>
    <w:rsid w:val="00431575"/>
    <w:rsid w:val="00440FD3"/>
    <w:rsid w:val="00441AB6"/>
    <w:rsid w:val="00443164"/>
    <w:rsid w:val="004533EA"/>
    <w:rsid w:val="004609E8"/>
    <w:rsid w:val="0051600A"/>
    <w:rsid w:val="00531B1C"/>
    <w:rsid w:val="00556E4E"/>
    <w:rsid w:val="005B0F97"/>
    <w:rsid w:val="0064085B"/>
    <w:rsid w:val="00641942"/>
    <w:rsid w:val="00644434"/>
    <w:rsid w:val="00661362"/>
    <w:rsid w:val="00673633"/>
    <w:rsid w:val="006B0B16"/>
    <w:rsid w:val="006C4C7F"/>
    <w:rsid w:val="00700B39"/>
    <w:rsid w:val="00705219"/>
    <w:rsid w:val="0071284C"/>
    <w:rsid w:val="007B5C12"/>
    <w:rsid w:val="007B6898"/>
    <w:rsid w:val="007C072A"/>
    <w:rsid w:val="007D2C66"/>
    <w:rsid w:val="007D3FBE"/>
    <w:rsid w:val="007E244A"/>
    <w:rsid w:val="00816EBF"/>
    <w:rsid w:val="0085396A"/>
    <w:rsid w:val="008549FF"/>
    <w:rsid w:val="008A5910"/>
    <w:rsid w:val="008F2E3D"/>
    <w:rsid w:val="0090125F"/>
    <w:rsid w:val="009140AF"/>
    <w:rsid w:val="009144B5"/>
    <w:rsid w:val="009453F9"/>
    <w:rsid w:val="00A27BEA"/>
    <w:rsid w:val="00A80802"/>
    <w:rsid w:val="00AA7357"/>
    <w:rsid w:val="00AC39C7"/>
    <w:rsid w:val="00AD3554"/>
    <w:rsid w:val="00AE4228"/>
    <w:rsid w:val="00AF06A9"/>
    <w:rsid w:val="00B02824"/>
    <w:rsid w:val="00B04D09"/>
    <w:rsid w:val="00B15947"/>
    <w:rsid w:val="00B16EE3"/>
    <w:rsid w:val="00B418E8"/>
    <w:rsid w:val="00BA2710"/>
    <w:rsid w:val="00C27A45"/>
    <w:rsid w:val="00C95791"/>
    <w:rsid w:val="00CE2822"/>
    <w:rsid w:val="00D65689"/>
    <w:rsid w:val="00D7103B"/>
    <w:rsid w:val="00DD27BF"/>
    <w:rsid w:val="00DF7B34"/>
    <w:rsid w:val="00E019AF"/>
    <w:rsid w:val="00E4187C"/>
    <w:rsid w:val="00EA6F6D"/>
    <w:rsid w:val="00ED7426"/>
    <w:rsid w:val="00F41B12"/>
    <w:rsid w:val="00FA035D"/>
    <w:rsid w:val="00FA13E2"/>
    <w:rsid w:val="00FD19E3"/>
    <w:rsid w:val="00FD6C51"/>
    <w:rsid w:val="01073A8F"/>
    <w:rsid w:val="01675739"/>
    <w:rsid w:val="02701A84"/>
    <w:rsid w:val="02785724"/>
    <w:rsid w:val="02A46519"/>
    <w:rsid w:val="036A659A"/>
    <w:rsid w:val="038E16D6"/>
    <w:rsid w:val="03960557"/>
    <w:rsid w:val="04223B99"/>
    <w:rsid w:val="04391E6C"/>
    <w:rsid w:val="04936845"/>
    <w:rsid w:val="06825E1C"/>
    <w:rsid w:val="071C6FC5"/>
    <w:rsid w:val="072B545A"/>
    <w:rsid w:val="07FD6DF7"/>
    <w:rsid w:val="09FA7E9A"/>
    <w:rsid w:val="0A224E49"/>
    <w:rsid w:val="0A570314"/>
    <w:rsid w:val="0B3E080B"/>
    <w:rsid w:val="0BFB189F"/>
    <w:rsid w:val="0C211C03"/>
    <w:rsid w:val="0E794CF7"/>
    <w:rsid w:val="0EC911C9"/>
    <w:rsid w:val="0EF645A0"/>
    <w:rsid w:val="0F205179"/>
    <w:rsid w:val="0FA364D6"/>
    <w:rsid w:val="0FA67D74"/>
    <w:rsid w:val="0FFC5C95"/>
    <w:rsid w:val="10806817"/>
    <w:rsid w:val="11052878"/>
    <w:rsid w:val="12816225"/>
    <w:rsid w:val="12F233EC"/>
    <w:rsid w:val="13781459"/>
    <w:rsid w:val="138A1EF1"/>
    <w:rsid w:val="13E56991"/>
    <w:rsid w:val="148B578A"/>
    <w:rsid w:val="14B720DC"/>
    <w:rsid w:val="14C667C2"/>
    <w:rsid w:val="14F96B98"/>
    <w:rsid w:val="15C727F2"/>
    <w:rsid w:val="15FB70B2"/>
    <w:rsid w:val="1624292F"/>
    <w:rsid w:val="16AB2114"/>
    <w:rsid w:val="1753771A"/>
    <w:rsid w:val="17AD07BE"/>
    <w:rsid w:val="180513B0"/>
    <w:rsid w:val="19CB57A7"/>
    <w:rsid w:val="1AD21FC6"/>
    <w:rsid w:val="1B3426D8"/>
    <w:rsid w:val="1B7C7BDB"/>
    <w:rsid w:val="1BC45FBB"/>
    <w:rsid w:val="1E427183"/>
    <w:rsid w:val="1E562CFB"/>
    <w:rsid w:val="1E9D2342"/>
    <w:rsid w:val="1F176928"/>
    <w:rsid w:val="1FF93EF0"/>
    <w:rsid w:val="215644DC"/>
    <w:rsid w:val="22AB6150"/>
    <w:rsid w:val="23485F72"/>
    <w:rsid w:val="23BA3996"/>
    <w:rsid w:val="24410250"/>
    <w:rsid w:val="24CF3471"/>
    <w:rsid w:val="254128D7"/>
    <w:rsid w:val="2560231B"/>
    <w:rsid w:val="25724F1E"/>
    <w:rsid w:val="28013942"/>
    <w:rsid w:val="28033B5E"/>
    <w:rsid w:val="2874680A"/>
    <w:rsid w:val="28BC5ABB"/>
    <w:rsid w:val="295606C6"/>
    <w:rsid w:val="29F64FFC"/>
    <w:rsid w:val="2A9767DF"/>
    <w:rsid w:val="2B451AE7"/>
    <w:rsid w:val="2B46302F"/>
    <w:rsid w:val="2B694BB6"/>
    <w:rsid w:val="2BB4516F"/>
    <w:rsid w:val="2C8B2374"/>
    <w:rsid w:val="2DE7182C"/>
    <w:rsid w:val="2E975000"/>
    <w:rsid w:val="2EA65243"/>
    <w:rsid w:val="303D5987"/>
    <w:rsid w:val="30AA3A4B"/>
    <w:rsid w:val="31175F84"/>
    <w:rsid w:val="31717D8A"/>
    <w:rsid w:val="31A6555A"/>
    <w:rsid w:val="31B77F20"/>
    <w:rsid w:val="322E7A29"/>
    <w:rsid w:val="339C09C3"/>
    <w:rsid w:val="33C148CD"/>
    <w:rsid w:val="33C5616B"/>
    <w:rsid w:val="33EA5BD2"/>
    <w:rsid w:val="34E6283D"/>
    <w:rsid w:val="359A2231"/>
    <w:rsid w:val="364D41F6"/>
    <w:rsid w:val="377063EE"/>
    <w:rsid w:val="38651CCB"/>
    <w:rsid w:val="389760D1"/>
    <w:rsid w:val="38A85BA7"/>
    <w:rsid w:val="39653C7D"/>
    <w:rsid w:val="397321C6"/>
    <w:rsid w:val="3A6D30B9"/>
    <w:rsid w:val="3A976388"/>
    <w:rsid w:val="3AB962FE"/>
    <w:rsid w:val="3DDF42CD"/>
    <w:rsid w:val="3EBB2A37"/>
    <w:rsid w:val="3F1C6E5B"/>
    <w:rsid w:val="41B63597"/>
    <w:rsid w:val="42DF75D8"/>
    <w:rsid w:val="43A538C3"/>
    <w:rsid w:val="44D75CFE"/>
    <w:rsid w:val="452B429C"/>
    <w:rsid w:val="46081EE8"/>
    <w:rsid w:val="4767672A"/>
    <w:rsid w:val="47CC0E41"/>
    <w:rsid w:val="49511008"/>
    <w:rsid w:val="49861AA1"/>
    <w:rsid w:val="4A031344"/>
    <w:rsid w:val="4A0475BF"/>
    <w:rsid w:val="4A6A3171"/>
    <w:rsid w:val="4B15132F"/>
    <w:rsid w:val="4B5F6A4E"/>
    <w:rsid w:val="4B62209A"/>
    <w:rsid w:val="4BA3084D"/>
    <w:rsid w:val="4BC93045"/>
    <w:rsid w:val="4BE34F89"/>
    <w:rsid w:val="4C115F9A"/>
    <w:rsid w:val="4C26756B"/>
    <w:rsid w:val="4C9646F1"/>
    <w:rsid w:val="4CB86415"/>
    <w:rsid w:val="4E5E123E"/>
    <w:rsid w:val="4F0E67C1"/>
    <w:rsid w:val="4F1F09CE"/>
    <w:rsid w:val="51AB479B"/>
    <w:rsid w:val="51BD002A"/>
    <w:rsid w:val="51F70669"/>
    <w:rsid w:val="526350BD"/>
    <w:rsid w:val="52C673B2"/>
    <w:rsid w:val="53394028"/>
    <w:rsid w:val="53EC4BF7"/>
    <w:rsid w:val="54C05443"/>
    <w:rsid w:val="56BA0FDC"/>
    <w:rsid w:val="572C12E3"/>
    <w:rsid w:val="576A2A02"/>
    <w:rsid w:val="58097711"/>
    <w:rsid w:val="58642083"/>
    <w:rsid w:val="58DA1AF9"/>
    <w:rsid w:val="5C9724B9"/>
    <w:rsid w:val="5CC26E3C"/>
    <w:rsid w:val="5D8D2120"/>
    <w:rsid w:val="5DA51749"/>
    <w:rsid w:val="5DC10EA2"/>
    <w:rsid w:val="5EA54CE9"/>
    <w:rsid w:val="5EB57CE1"/>
    <w:rsid w:val="5F8E1258"/>
    <w:rsid w:val="62A3501A"/>
    <w:rsid w:val="639D7CBB"/>
    <w:rsid w:val="63BC2837"/>
    <w:rsid w:val="63F21DB5"/>
    <w:rsid w:val="64A7419D"/>
    <w:rsid w:val="64C42099"/>
    <w:rsid w:val="64E060B2"/>
    <w:rsid w:val="65705687"/>
    <w:rsid w:val="662841B4"/>
    <w:rsid w:val="66A33B6F"/>
    <w:rsid w:val="67130935"/>
    <w:rsid w:val="67D22629"/>
    <w:rsid w:val="685F5E37"/>
    <w:rsid w:val="691B0000"/>
    <w:rsid w:val="6A9C0CCD"/>
    <w:rsid w:val="6B8C727D"/>
    <w:rsid w:val="6BE24E05"/>
    <w:rsid w:val="6C0552A5"/>
    <w:rsid w:val="6C553829"/>
    <w:rsid w:val="6C9D0D2C"/>
    <w:rsid w:val="6CA16A6E"/>
    <w:rsid w:val="6CA976D1"/>
    <w:rsid w:val="6D464F20"/>
    <w:rsid w:val="6E602011"/>
    <w:rsid w:val="6E6164B5"/>
    <w:rsid w:val="6EAE5472"/>
    <w:rsid w:val="6ECB7DD2"/>
    <w:rsid w:val="701D59CC"/>
    <w:rsid w:val="70241EE0"/>
    <w:rsid w:val="72671940"/>
    <w:rsid w:val="72855F71"/>
    <w:rsid w:val="731711B9"/>
    <w:rsid w:val="732160E7"/>
    <w:rsid w:val="73960252"/>
    <w:rsid w:val="741B5358"/>
    <w:rsid w:val="745D771F"/>
    <w:rsid w:val="746960C4"/>
    <w:rsid w:val="753C5586"/>
    <w:rsid w:val="76255110"/>
    <w:rsid w:val="770F2826"/>
    <w:rsid w:val="771B11CB"/>
    <w:rsid w:val="772616CC"/>
    <w:rsid w:val="77383B2B"/>
    <w:rsid w:val="77521091"/>
    <w:rsid w:val="776A61FA"/>
    <w:rsid w:val="79295E21"/>
    <w:rsid w:val="79D81087"/>
    <w:rsid w:val="79FF4DD4"/>
    <w:rsid w:val="7A262361"/>
    <w:rsid w:val="7A6730A5"/>
    <w:rsid w:val="7B2A4F92"/>
    <w:rsid w:val="7C5A4544"/>
    <w:rsid w:val="7E505BFE"/>
    <w:rsid w:val="7EB443DF"/>
    <w:rsid w:val="7EE60311"/>
    <w:rsid w:val="7F402117"/>
    <w:rsid w:val="7F930F0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iPriority="35"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tabs>
        <w:tab w:val="left" w:pos="840"/>
      </w:tabs>
      <w:adjustRightInd w:val="0"/>
      <w:snapToGrid w:val="0"/>
      <w:spacing w:line="360" w:lineRule="auto"/>
      <w:outlineLvl w:val="0"/>
    </w:pPr>
    <w:rPr>
      <w:rFonts w:ascii="宋体"/>
      <w:b/>
      <w:kern w:val="44"/>
      <w:sz w:val="24"/>
      <w:szCs w:val="20"/>
    </w:rPr>
  </w:style>
  <w:style w:type="paragraph" w:styleId="2">
    <w:name w:val="heading 2"/>
    <w:basedOn w:val="1"/>
    <w:next w:val="1"/>
    <w:qFormat/>
    <w:uiPriority w:val="0"/>
    <w:pPr>
      <w:keepNext/>
      <w:keepLines/>
      <w:tabs>
        <w:tab w:val="left" w:pos="432"/>
      </w:tabs>
      <w:spacing w:line="360" w:lineRule="auto"/>
      <w:ind w:left="432" w:hanging="432"/>
      <w:jc w:val="left"/>
      <w:outlineLvl w:val="1"/>
    </w:pPr>
    <w:rPr>
      <w:rFonts w:ascii="仿宋_GB2312" w:hAnsi="仿宋" w:eastAsia="仿宋_GB2312"/>
      <w:b/>
      <w:bCs/>
      <w:sz w:val="32"/>
      <w:szCs w:val="32"/>
      <w:lang w:val="zh-CN"/>
    </w:rPr>
  </w:style>
  <w:style w:type="paragraph" w:styleId="4">
    <w:name w:val="heading 8"/>
    <w:basedOn w:val="1"/>
    <w:next w:val="1"/>
    <w:qFormat/>
    <w:uiPriority w:val="0"/>
    <w:pPr>
      <w:keepNext/>
      <w:keepLines/>
      <w:spacing w:before="240" w:after="64" w:line="317" w:lineRule="auto"/>
      <w:outlineLvl w:val="7"/>
    </w:pPr>
    <w:rPr>
      <w:rFonts w:ascii="Arial" w:hAnsi="Arial" w:eastAsia="黑体"/>
      <w:sz w:val="24"/>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List Number"/>
    <w:basedOn w:val="1"/>
    <w:next w:val="6"/>
    <w:qFormat/>
    <w:uiPriority w:val="0"/>
    <w:pPr>
      <w:numPr>
        <w:ilvl w:val="0"/>
        <w:numId w:val="1"/>
      </w:numPr>
    </w:pPr>
  </w:style>
  <w:style w:type="paragraph" w:styleId="6">
    <w:name w:val="Balloon Text"/>
    <w:basedOn w:val="1"/>
    <w:next w:val="7"/>
    <w:qFormat/>
    <w:uiPriority w:val="99"/>
    <w:rPr>
      <w:rFonts w:ascii="Calibri" w:hAnsi="Calibri"/>
      <w:sz w:val="18"/>
      <w:szCs w:val="18"/>
    </w:rPr>
  </w:style>
  <w:style w:type="paragraph" w:styleId="7">
    <w:name w:val="toc 8"/>
    <w:basedOn w:val="1"/>
    <w:next w:val="1"/>
    <w:unhideWhenUsed/>
    <w:qFormat/>
    <w:uiPriority w:val="35"/>
    <w:pPr>
      <w:ind w:left="2975"/>
    </w:pPr>
    <w:rPr>
      <w:szCs w:val="21"/>
    </w:rPr>
  </w:style>
  <w:style w:type="paragraph" w:styleId="8">
    <w:name w:val="Normal Indent"/>
    <w:basedOn w:val="1"/>
    <w:next w:val="4"/>
    <w:qFormat/>
    <w:uiPriority w:val="0"/>
    <w:pPr>
      <w:adjustRightInd w:val="0"/>
      <w:spacing w:line="312" w:lineRule="atLeast"/>
      <w:ind w:firstLine="420"/>
      <w:textAlignment w:val="baseline"/>
    </w:pPr>
    <w:rPr>
      <w:rFonts w:ascii="Calibri" w:hAnsi="Calibri"/>
      <w:kern w:val="0"/>
      <w:szCs w:val="20"/>
    </w:rPr>
  </w:style>
  <w:style w:type="paragraph" w:styleId="9">
    <w:name w:val="annotation text"/>
    <w:basedOn w:val="1"/>
    <w:qFormat/>
    <w:uiPriority w:val="99"/>
    <w:pPr>
      <w:jc w:val="left"/>
    </w:pPr>
    <w:rPr>
      <w:rFonts w:ascii="Calibri" w:hAnsi="Calibri"/>
    </w:rPr>
  </w:style>
  <w:style w:type="paragraph" w:styleId="10">
    <w:name w:val="Body Text"/>
    <w:basedOn w:val="1"/>
    <w:next w:val="1"/>
    <w:qFormat/>
    <w:uiPriority w:val="0"/>
    <w:rPr>
      <w:rFonts w:ascii="Calibri" w:hAnsi="Calibri"/>
    </w:rPr>
  </w:style>
  <w:style w:type="paragraph" w:styleId="11">
    <w:name w:val="Body Text Indent"/>
    <w:basedOn w:val="1"/>
    <w:next w:val="1"/>
    <w:qFormat/>
    <w:uiPriority w:val="0"/>
    <w:pPr>
      <w:spacing w:line="200" w:lineRule="exact"/>
      <w:ind w:firstLine="301"/>
    </w:pPr>
    <w:rPr>
      <w:rFonts w:ascii="宋体" w:hAnsi="Courier New"/>
      <w:spacing w:val="-4"/>
      <w:sz w:val="18"/>
      <w:szCs w:val="20"/>
    </w:rPr>
  </w:style>
  <w:style w:type="paragraph" w:styleId="12">
    <w:name w:val="Plain Text"/>
    <w:basedOn w:val="1"/>
    <w:qFormat/>
    <w:uiPriority w:val="0"/>
    <w:rPr>
      <w:rFonts w:ascii="宋体" w:hAnsi="Courier New"/>
      <w:szCs w:val="20"/>
    </w:rPr>
  </w:style>
  <w:style w:type="paragraph" w:styleId="13">
    <w:name w:val="Date"/>
    <w:basedOn w:val="1"/>
    <w:next w:val="1"/>
    <w:qFormat/>
    <w:uiPriority w:val="0"/>
    <w:pPr>
      <w:spacing w:line="440" w:lineRule="exact"/>
    </w:pPr>
    <w:rPr>
      <w:rFonts w:ascii="Calibri" w:hAnsi="Calibri"/>
      <w:spacing w:val="12"/>
      <w:sz w:val="24"/>
      <w:szCs w:val="20"/>
    </w:rPr>
  </w:style>
  <w:style w:type="paragraph" w:styleId="14">
    <w:name w:val="footer"/>
    <w:basedOn w:val="1"/>
    <w:qFormat/>
    <w:uiPriority w:val="0"/>
    <w:pPr>
      <w:tabs>
        <w:tab w:val="center" w:pos="4153"/>
        <w:tab w:val="right" w:pos="8306"/>
      </w:tabs>
      <w:snapToGrid w:val="0"/>
      <w:jc w:val="left"/>
    </w:pPr>
    <w:rPr>
      <w:rFonts w:ascii="Calibri" w:hAnsi="Calibri"/>
      <w:sz w:val="18"/>
      <w:szCs w:val="18"/>
    </w:rPr>
  </w:style>
  <w:style w:type="paragraph" w:styleId="15">
    <w:name w:val="header"/>
    <w:basedOn w:val="1"/>
    <w:qFormat/>
    <w:uiPriority w:val="0"/>
    <w:pPr>
      <w:pBdr>
        <w:bottom w:val="single" w:color="auto" w:sz="2" w:space="1"/>
      </w:pBdr>
      <w:tabs>
        <w:tab w:val="center" w:pos="4153"/>
        <w:tab w:val="right" w:pos="8306"/>
      </w:tabs>
      <w:snapToGrid w:val="0"/>
      <w:jc w:val="center"/>
    </w:pPr>
    <w:rPr>
      <w:rFonts w:ascii="Calibri" w:hAnsi="Calibri"/>
      <w:sz w:val="18"/>
      <w:szCs w:val="18"/>
    </w:rPr>
  </w:style>
  <w:style w:type="paragraph" w:styleId="16">
    <w:name w:val="toc 1"/>
    <w:basedOn w:val="1"/>
    <w:next w:val="1"/>
    <w:qFormat/>
    <w:uiPriority w:val="39"/>
    <w:pPr>
      <w:spacing w:line="360" w:lineRule="exact"/>
      <w:ind w:left="718" w:hanging="718" w:hangingChars="342"/>
    </w:pPr>
    <w:rPr>
      <w:rFonts w:ascii="Arial" w:hAnsi="Arial" w:eastAsia="楷体_GB2312" w:cs="Arial"/>
    </w:rPr>
  </w:style>
  <w:style w:type="paragraph" w:styleId="17">
    <w:name w:val="Body Text 2"/>
    <w:basedOn w:val="1"/>
    <w:qFormat/>
    <w:uiPriority w:val="0"/>
    <w:pPr>
      <w:spacing w:after="120" w:line="480" w:lineRule="auto"/>
    </w:pPr>
    <w:rPr>
      <w:rFonts w:ascii="Calibri" w:hAnsi="Calibri"/>
    </w:rPr>
  </w:style>
  <w:style w:type="paragraph" w:styleId="18">
    <w:name w:val="Normal (Web)"/>
    <w:basedOn w:val="1"/>
    <w:qFormat/>
    <w:uiPriority w:val="0"/>
    <w:pPr>
      <w:widowControl/>
      <w:spacing w:beforeAutospacing="1" w:afterAutospacing="1"/>
      <w:jc w:val="left"/>
    </w:pPr>
    <w:rPr>
      <w:rFonts w:ascii="宋体" w:hAnsi="宋体" w:cs="宋体"/>
      <w:kern w:val="0"/>
      <w:sz w:val="24"/>
    </w:rPr>
  </w:style>
  <w:style w:type="paragraph" w:styleId="19">
    <w:name w:val="Body Text First Indent 2"/>
    <w:basedOn w:val="11"/>
    <w:qFormat/>
    <w:uiPriority w:val="0"/>
    <w:pPr>
      <w:ind w:firstLine="420"/>
    </w:pPr>
    <w:rPr>
      <w:rFonts w:cs="宋体"/>
      <w:szCs w:val="21"/>
    </w:rPr>
  </w:style>
  <w:style w:type="character" w:styleId="22">
    <w:name w:val="page number"/>
    <w:qFormat/>
    <w:uiPriority w:val="0"/>
    <w:rPr>
      <w:rFonts w:ascii="Calibri" w:hAnsi="Calibri" w:eastAsia="宋体" w:cs="Times New Roman"/>
    </w:rPr>
  </w:style>
  <w:style w:type="character" w:styleId="23">
    <w:name w:val="Hyperlink"/>
    <w:qFormat/>
    <w:uiPriority w:val="99"/>
    <w:rPr>
      <w:rFonts w:ascii="Calibri" w:hAnsi="Calibri" w:eastAsia="宋体" w:cs="Times New Roman"/>
      <w:color w:val="000000"/>
      <w:u w:val="none"/>
    </w:rPr>
  </w:style>
  <w:style w:type="character" w:styleId="24">
    <w:name w:val="annotation reference"/>
    <w:basedOn w:val="21"/>
    <w:qFormat/>
    <w:uiPriority w:val="0"/>
    <w:rPr>
      <w:sz w:val="21"/>
      <w:szCs w:val="21"/>
    </w:rPr>
  </w:style>
  <w:style w:type="paragraph" w:customStyle="1" w:styleId="25">
    <w:name w:val="样式1"/>
    <w:basedOn w:val="1"/>
    <w:qFormat/>
    <w:uiPriority w:val="0"/>
    <w:pPr>
      <w:pageBreakBefore/>
    </w:pPr>
    <w:rPr>
      <w:rFonts w:cs="宋体"/>
      <w:color w:val="FF0000"/>
      <w:szCs w:val="22"/>
    </w:rPr>
  </w:style>
  <w:style w:type="paragraph" w:customStyle="1" w:styleId="26">
    <w:name w:val="正文1"/>
    <w:basedOn w:val="1"/>
    <w:qFormat/>
    <w:uiPriority w:val="0"/>
    <w:pPr>
      <w:spacing w:line="360" w:lineRule="auto"/>
      <w:ind w:firstLine="158" w:firstLineChars="75"/>
    </w:pPr>
    <w:rPr>
      <w:rFonts w:ascii="宋体" w:hAnsi="宋体"/>
      <w:b/>
      <w:color w:val="000000"/>
      <w:szCs w:val="21"/>
    </w:rPr>
  </w:style>
  <w:style w:type="paragraph" w:customStyle="1" w:styleId="27">
    <w:name w:val="List Paragraph1"/>
    <w:basedOn w:val="1"/>
    <w:qFormat/>
    <w:uiPriority w:val="0"/>
    <w:pPr>
      <w:spacing w:line="360" w:lineRule="auto"/>
      <w:ind w:firstLine="200" w:firstLineChars="200"/>
    </w:pPr>
    <w:rPr>
      <w:rFonts w:eastAsia="楷体_GB2312" w:cs="Lucida Sans"/>
      <w:sz w:val="24"/>
    </w:rPr>
  </w:style>
  <w:style w:type="paragraph" w:customStyle="1" w:styleId="28">
    <w:name w:val="Table Paragraph"/>
    <w:basedOn w:val="1"/>
    <w:qFormat/>
    <w:uiPriority w:val="1"/>
    <w:pPr>
      <w:autoSpaceDE w:val="0"/>
      <w:autoSpaceDN w:val="0"/>
      <w:adjustRightInd w:val="0"/>
      <w:jc w:val="left"/>
    </w:pPr>
    <w:rPr>
      <w:rFonts w:ascii="Times" w:hAnsi="Times"/>
      <w:sz w:val="24"/>
    </w:rPr>
  </w:style>
  <w:style w:type="character" w:customStyle="1" w:styleId="29">
    <w:name w:val="font181"/>
    <w:basedOn w:val="21"/>
    <w:qFormat/>
    <w:uiPriority w:val="0"/>
    <w:rPr>
      <w:rFonts w:hint="eastAsia" w:ascii="宋体" w:hAnsi="宋体" w:eastAsia="宋体" w:cs="宋体"/>
      <w:color w:val="000000"/>
      <w:sz w:val="22"/>
      <w:szCs w:val="22"/>
      <w:u w:val="none"/>
      <w:vertAlign w:val="superscript"/>
    </w:rPr>
  </w:style>
  <w:style w:type="character" w:customStyle="1" w:styleId="30">
    <w:name w:val="font212"/>
    <w:basedOn w:val="21"/>
    <w:qFormat/>
    <w:uiPriority w:val="0"/>
    <w:rPr>
      <w:rFonts w:ascii="Arial" w:hAnsi="Arial" w:cs="Arial"/>
      <w:color w:val="000000"/>
      <w:sz w:val="22"/>
      <w:szCs w:val="22"/>
      <w:u w:val="none"/>
    </w:rPr>
  </w:style>
  <w:style w:type="paragraph" w:customStyle="1" w:styleId="31">
    <w:name w:val="正文缩进1"/>
    <w:basedOn w:val="1"/>
    <w:next w:val="11"/>
    <w:qFormat/>
    <w:uiPriority w:val="0"/>
    <w:pPr>
      <w:spacing w:line="360" w:lineRule="auto"/>
      <w:ind w:firstLine="200" w:firstLineChars="200"/>
    </w:pPr>
  </w:style>
  <w:style w:type="paragraph" w:customStyle="1" w:styleId="32">
    <w:name w:val="索引 11"/>
    <w:basedOn w:val="1"/>
    <w:next w:val="1"/>
    <w:qFormat/>
    <w:uiPriority w:val="99"/>
    <w:pPr>
      <w:spacing w:line="360" w:lineRule="auto"/>
    </w:pPr>
    <w:rPr>
      <w:rFonts w:ascii="仿宋_GB2312" w:eastAsia="仿宋_GB2312"/>
      <w:sz w:val="24"/>
      <w:szCs w:val="20"/>
    </w:rPr>
  </w:style>
  <w:style w:type="paragraph" w:customStyle="1" w:styleId="33">
    <w:name w:val="text-tag"/>
    <w:basedOn w:val="1"/>
    <w:semiHidden/>
    <w:qFormat/>
    <w:uiPriority w:val="99"/>
    <w:pPr>
      <w:widowControl/>
      <w:spacing w:before="100" w:beforeAutospacing="1" w:after="100" w:afterAutospacing="1"/>
      <w:jc w:val="left"/>
    </w:pPr>
    <w:rPr>
      <w:rFonts w:ascii="宋体" w:hAnsi="宋体" w:cs="宋体"/>
      <w:kern w:val="0"/>
      <w:sz w:val="24"/>
    </w:rPr>
  </w:style>
  <w:style w:type="paragraph" w:customStyle="1" w:styleId="34">
    <w:name w:val="正文2"/>
    <w:basedOn w:val="1"/>
    <w:qFormat/>
    <w:uiPriority w:val="0"/>
    <w:pPr>
      <w:adjustRightInd w:val="0"/>
      <w:spacing w:before="156" w:line="360" w:lineRule="auto"/>
      <w:ind w:firstLine="510" w:firstLineChars="200"/>
    </w:pPr>
    <w:rPr>
      <w:rFonts w:ascii="Calibri" w:hAnsi="Calibri"/>
      <w:kern w:val="0"/>
      <w:sz w:val="24"/>
      <w:szCs w:val="20"/>
    </w:rPr>
  </w:style>
  <w:style w:type="character" w:customStyle="1" w:styleId="35">
    <w:name w:val="font31"/>
    <w:qFormat/>
    <w:uiPriority w:val="0"/>
    <w:rPr>
      <w:rFonts w:hint="eastAsia" w:ascii="宋体" w:hAnsi="宋体" w:eastAsia="宋体" w:cs="宋体"/>
      <w:color w:val="000000"/>
      <w:sz w:val="24"/>
      <w:szCs w:val="24"/>
      <w:u w:val="none"/>
    </w:rPr>
  </w:style>
  <w:style w:type="paragraph" w:customStyle="1" w:styleId="36">
    <w:name w:val="表内文字"/>
    <w:basedOn w:val="1"/>
    <w:qFormat/>
    <w:uiPriority w:val="0"/>
    <w:pPr>
      <w:adjustRightInd w:val="0"/>
      <w:snapToGrid w:val="0"/>
      <w:spacing w:line="500" w:lineRule="atLeast"/>
      <w:jc w:val="center"/>
    </w:pPr>
    <w:rPr>
      <w:rFonts w:ascii="Arial" w:hAnsi="Arial" w:eastAsia="楷体_GB2312" w:cs="Arial"/>
      <w:sz w:val="24"/>
    </w:rPr>
  </w:style>
  <w:style w:type="paragraph" w:customStyle="1" w:styleId="37">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38">
    <w:name w:val="标题3 附件1"/>
    <w:basedOn w:val="1"/>
    <w:qFormat/>
    <w:uiPriority w:val="0"/>
    <w:pPr>
      <w:keepNext/>
      <w:keepLines/>
      <w:spacing w:before="340" w:after="330" w:line="360" w:lineRule="exact"/>
      <w:jc w:val="left"/>
      <w:outlineLvl w:val="2"/>
    </w:pPr>
    <w:rPr>
      <w:b/>
      <w:bCs/>
      <w:kern w:val="44"/>
      <w:szCs w:val="21"/>
    </w:rPr>
  </w:style>
  <w:style w:type="paragraph" w:customStyle="1" w:styleId="39">
    <w:name w:val="纯文本1"/>
    <w:basedOn w:val="1"/>
    <w:qFormat/>
    <w:uiPriority w:val="0"/>
    <w:rPr>
      <w:rFonts w:ascii="宋体" w:hAnsi="Courier New"/>
      <w:kern w:val="0"/>
      <w:sz w:val="20"/>
      <w:szCs w:val="20"/>
    </w:rPr>
  </w:style>
  <w:style w:type="paragraph" w:customStyle="1" w:styleId="40">
    <w:name w:val="正文_0_0"/>
    <w:qFormat/>
    <w:uiPriority w:val="0"/>
    <w:rPr>
      <w:rFonts w:ascii="Verdana" w:hAnsi="Verdana" w:eastAsia="等线" w:cs="Verdana"/>
      <w:lang w:val="en-US" w:eastAsia="zh-CN" w:bidi="ar-SA"/>
    </w:rPr>
  </w:style>
  <w:style w:type="paragraph" w:styleId="41">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36.jpeg"/><Relationship Id="rId50" Type="http://schemas.openxmlformats.org/officeDocument/2006/relationships/image" Target="media/image35.png"/><Relationship Id="rId5" Type="http://schemas.openxmlformats.org/officeDocument/2006/relationships/header" Target="header2.xml"/><Relationship Id="rId4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jpe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footer" Target="footer1.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jpeg"/><Relationship Id="rId36" Type="http://schemas.openxmlformats.org/officeDocument/2006/relationships/image" Target="media/image21.jpeg"/><Relationship Id="rId35" Type="http://schemas.openxmlformats.org/officeDocument/2006/relationships/image" Target="media/image20.jpeg"/><Relationship Id="rId34" Type="http://schemas.openxmlformats.org/officeDocument/2006/relationships/image" Target="media/image19.jpeg"/><Relationship Id="rId33" Type="http://schemas.openxmlformats.org/officeDocument/2006/relationships/image" Target="media/image18.jpeg"/><Relationship Id="rId32" Type="http://schemas.openxmlformats.org/officeDocument/2006/relationships/image" Target="media/image17.jpe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header" Target="header1.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xt.xysystem.cn</Company>
  <Pages>263</Pages>
  <Words>90988</Words>
  <Characters>105562</Characters>
  <Lines>711</Lines>
  <Paragraphs>200</Paragraphs>
  <TotalTime>31</TotalTime>
  <ScaleCrop>false</ScaleCrop>
  <LinksUpToDate>false</LinksUpToDate>
  <CharactersWithSpaces>106383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2021-12-03T07:06:00Z</dcterms:created>
  <dc:creator>DELL</dc:creator>
  <cp:lastModifiedBy>王剑强</cp:lastModifiedBy>
  <dcterms:modified xsi:type="dcterms:W3CDTF">2023-01-17T09:13:24Z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577E42835CBF44DF9507825EEC48C87F</vt:lpwstr>
  </property>
</Properties>
</file>