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b/>
          <w:sz w:val="44"/>
          <w:szCs w:val="44"/>
        </w:rPr>
      </w:pPr>
      <w:r>
        <w:rPr>
          <w:rFonts w:hint="eastAsia" w:ascii="仿宋" w:hAnsi="仿宋" w:eastAsia="仿宋" w:cs="仿宋_GB2312"/>
          <w:sz w:val="48"/>
          <w:szCs w:val="48"/>
        </w:rPr>
        <w:t>杭州市公安局地铁公安分局食堂外包服务项目招标文件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ZJWS2022-DTFJ01</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杭州市公安局地铁公安分局</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浙江五石中正工程咨询有限公司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二二年</w:t>
      </w:r>
      <w:r>
        <w:rPr>
          <w:rFonts w:hint="eastAsia" w:ascii="仿宋_GB2312" w:hAnsi="仿宋_GB2312" w:eastAsia="仿宋_GB2312" w:cs="仿宋_GB2312"/>
          <w:bCs/>
          <w:sz w:val="32"/>
          <w:szCs w:val="32"/>
          <w:lang w:eastAsia="zh-CN"/>
        </w:rPr>
        <w:t>六</w:t>
      </w:r>
      <w:r>
        <w:rPr>
          <w:rFonts w:hint="eastAsia" w:ascii="仿宋_GB2312" w:hAnsi="仿宋_GB2312" w:eastAsia="仿宋_GB2312" w:cs="仿宋_GB2312"/>
          <w:bCs/>
          <w:sz w:val="32"/>
          <w:szCs w:val="32"/>
        </w:rPr>
        <w:t>月一日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rPr>
          <w:rFonts w:ascii="仿宋" w:hAnsi="仿宋" w:eastAsia="仿宋" w:cs="仿宋_GB2312"/>
          <w:sz w:val="24"/>
        </w:rPr>
      </w:pPr>
      <w:bookmarkStart w:id="1" w:name="_Hlt91233176"/>
      <w:bookmarkEnd w:id="1"/>
      <w:bookmarkStart w:id="2" w:name="_Toc91899869"/>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杭州市公安局地铁公安分局食堂外包服务项目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21</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 xml:space="preserve"> 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p>
    <w:p>
      <w:pPr>
        <w:spacing w:line="360" w:lineRule="auto"/>
        <w:rPr>
          <w:rFonts w:ascii="仿宋_GB2312" w:hAnsi="仿宋" w:eastAsia="仿宋_GB2312"/>
          <w:sz w:val="24"/>
        </w:rPr>
      </w:pPr>
      <w:r>
        <w:rPr>
          <w:rFonts w:hint="eastAsia" w:ascii="仿宋_GB2312" w:hAnsi="仿宋" w:eastAsia="仿宋_GB2312"/>
          <w:b/>
          <w:sz w:val="24"/>
        </w:rPr>
        <w:t>项目编号：</w:t>
      </w:r>
      <w:r>
        <w:rPr>
          <w:rFonts w:hint="eastAsia" w:ascii="仿宋_GB2312" w:hAnsi="仿宋" w:eastAsia="仿宋_GB2312"/>
          <w:sz w:val="24"/>
        </w:rPr>
        <w:t>ZJWS2022-DTFJ01</w:t>
      </w:r>
    </w:p>
    <w:p>
      <w:pPr>
        <w:spacing w:line="360" w:lineRule="auto"/>
        <w:rPr>
          <w:rFonts w:ascii="仿宋_GB2312" w:hAnsi="仿宋" w:eastAsia="仿宋_GB2312"/>
          <w:sz w:val="24"/>
        </w:rPr>
      </w:pPr>
      <w:r>
        <w:rPr>
          <w:rFonts w:ascii="仿宋_GB2312" w:hAnsi="仿宋" w:eastAsia="仿宋_GB2312"/>
          <w:b/>
          <w:sz w:val="24"/>
        </w:rPr>
        <w:t>项目名称：</w:t>
      </w:r>
      <w:r>
        <w:rPr>
          <w:rFonts w:hint="eastAsia" w:ascii="仿宋_GB2312" w:hAnsi="仿宋" w:eastAsia="仿宋_GB2312" w:cs="仿宋_GB2312"/>
          <w:sz w:val="24"/>
        </w:rPr>
        <w:t>杭州市公安局地铁公安分局食堂外包服务项目</w:t>
      </w:r>
    </w:p>
    <w:p>
      <w:pPr>
        <w:spacing w:line="360" w:lineRule="auto"/>
        <w:rPr>
          <w:rFonts w:ascii="仿宋_GB2312" w:hAnsi="仿宋" w:eastAsia="仿宋_GB2312"/>
          <w:bCs/>
          <w:sz w:val="24"/>
        </w:rPr>
      </w:pPr>
      <w:r>
        <w:rPr>
          <w:rFonts w:ascii="仿宋_GB2312" w:hAnsi="仿宋" w:eastAsia="仿宋_GB2312"/>
          <w:b/>
          <w:sz w:val="24"/>
        </w:rPr>
        <w:t>预算金额（</w:t>
      </w:r>
      <w:r>
        <w:rPr>
          <w:rFonts w:hint="eastAsia" w:ascii="仿宋_GB2312" w:hAnsi="仿宋" w:eastAsia="仿宋_GB2312"/>
          <w:b/>
          <w:sz w:val="24"/>
        </w:rPr>
        <w:t>万</w:t>
      </w:r>
      <w:r>
        <w:rPr>
          <w:rFonts w:ascii="仿宋_GB2312" w:hAnsi="仿宋" w:eastAsia="仿宋_GB2312"/>
          <w:b/>
          <w:sz w:val="24"/>
        </w:rPr>
        <w:t>元）：</w:t>
      </w:r>
      <w:r>
        <w:rPr>
          <w:rFonts w:hint="eastAsia" w:ascii="仿宋_GB2312" w:hAnsi="仿宋" w:eastAsia="仿宋_GB2312"/>
          <w:bCs/>
          <w:sz w:val="24"/>
        </w:rPr>
        <w:t>213万元（其中2022年安排85.2万元。）</w:t>
      </w:r>
    </w:p>
    <w:p>
      <w:pPr>
        <w:spacing w:line="360" w:lineRule="auto"/>
        <w:rPr>
          <w:rFonts w:ascii="仿宋_GB2312" w:hAnsi="仿宋" w:eastAsia="仿宋_GB2312"/>
          <w:sz w:val="24"/>
        </w:rPr>
      </w:pPr>
      <w:r>
        <w:rPr>
          <w:rFonts w:hint="eastAsia" w:ascii="仿宋_GB2312" w:hAnsi="仿宋" w:eastAsia="仿宋_GB2312"/>
          <w:b/>
          <w:sz w:val="24"/>
        </w:rPr>
        <w:t>最高限价（万元）：</w:t>
      </w:r>
      <w:r>
        <w:rPr>
          <w:rFonts w:hint="eastAsia" w:ascii="仿宋_GB2312" w:hAnsi="仿宋" w:eastAsia="仿宋_GB2312"/>
          <w:bCs/>
          <w:sz w:val="24"/>
        </w:rPr>
        <w:t>213万元</w:t>
      </w:r>
    </w:p>
    <w:p>
      <w:pPr>
        <w:pStyle w:val="5"/>
        <w:spacing w:line="360" w:lineRule="auto"/>
        <w:ind w:firstLine="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sz w:val="24"/>
        </w:rPr>
        <w:t>杭州市公安局地铁公安分局食堂外包服务项目主要内容：杭州市公安局地铁公安分局食堂外包服务项目，拟择优选取一家具有优质服务团队和服务能力的单位进行食堂劳务外包服务，服务地点为翁梅站***、打铁关站***、特警大队、湘湖站***、市民中心站***、下沙江滨站***、杜甫村站***、双浦站***、姑娘桥站***、九州街站***食堂，提供早、中、晚餐。另需具备应急保障能力，完成服务点临时性保障任务（含停水停电停气、不良气候等情况）。提供民俗节日特色食品，提供防暑降温饮品（自制为主）等。详见招标文件第三部分采购需求。</w:t>
      </w:r>
    </w:p>
    <w:p>
      <w:pPr>
        <w:pStyle w:val="128"/>
        <w:ind w:firstLine="482"/>
        <w:outlineLvl w:val="2"/>
        <w:rPr>
          <w:rFonts w:ascii="仿宋_GB2312" w:hAnsi="仿宋" w:eastAsia="仿宋_GB2312"/>
        </w:rPr>
      </w:pPr>
      <w:r>
        <w:rPr>
          <w:rFonts w:hint="eastAsia" w:ascii="仿宋_GB2312" w:hAnsi="仿宋" w:eastAsia="仿宋_GB2312"/>
          <w:b/>
        </w:rPr>
        <w:t>合同履约期限：自2022年7月1日至2023年6月30日。</w:t>
      </w:r>
    </w:p>
    <w:p>
      <w:pPr>
        <w:pStyle w:val="5"/>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00A8"/>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00A8"/>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sdt>
        <w:sdtPr>
          <w:rPr>
            <w:rFonts w:hint="eastAsia" w:ascii="仿宋_GB2312" w:hAnsi="仿宋" w:eastAsia="仿宋_GB2312" w:cs="Arial"/>
            <w:kern w:val="0"/>
            <w:sz w:val="24"/>
          </w:rPr>
          <w:id w:val="-333685401"/>
        </w:sdtPr>
        <w:sdtEndPr>
          <w:rPr>
            <w:rFonts w:hint="eastAsia" w:ascii="仿宋_GB2312" w:hAnsi="仿宋" w:eastAsia="仿宋_GB2312" w:cs="Arial"/>
            <w:kern w:val="0"/>
            <w:sz w:val="24"/>
          </w:rPr>
        </w:sdtEndP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024704304"/>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00FE"/>
              </w:r>
            </w:sdtContent>
          </w:sdt>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ascii="仿宋_GB2312" w:hAnsi="仿宋" w:eastAsia="仿宋_GB2312"/>
          <w:sz w:val="24"/>
          <w:u w:val="single"/>
        </w:rPr>
        <w:t>月</w:t>
      </w:r>
      <w:r>
        <w:rPr>
          <w:rFonts w:hint="eastAsia" w:ascii="仿宋_GB2312" w:hAnsi="仿宋" w:eastAsia="仿宋_GB2312"/>
          <w:sz w:val="24"/>
          <w:u w:val="single"/>
          <w:lang w:val="en-US" w:eastAsia="zh-CN"/>
        </w:rPr>
        <w:t>21</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0</w:t>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21</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https://www.zcygov.cn/）</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21</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w:t>
      </w:r>
      <w:r>
        <w:rPr>
          <w:rFonts w:hint="eastAsia" w:ascii="仿宋_GB2312" w:hAnsi="仿宋" w:eastAsia="仿宋_GB2312"/>
          <w:sz w:val="24"/>
        </w:rPr>
        <w:t>采购代理机构</w:t>
      </w:r>
      <w:r>
        <w:rPr>
          <w:rFonts w:ascii="仿宋_GB2312" w:hAnsi="仿宋" w:eastAsia="仿宋_GB2312"/>
          <w:sz w:val="24"/>
        </w:rPr>
        <w:t>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1.采购人信息</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名    称：杭州市公安局地铁公安分局</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地    址：杭州市江干区德胜东路5277号</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传    真：/</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项目联系人（询问）：余警官</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项目联系方式（询问）：0571-87289515</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质疑联系人：戴警官</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质疑联系方式：0571-87289520</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2.采购代理机构信息</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名    称：浙江五石中正工程咨询有限公司</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地    址：杭州市拱墅区白石巷318号中国人力资源产业园北楼512</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传    真：/</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项目联系人（询问）：王剑强、高琳</w:t>
      </w:r>
    </w:p>
    <w:p>
      <w:pPr>
        <w:pStyle w:val="32"/>
        <w:spacing w:line="360" w:lineRule="auto"/>
        <w:ind w:firstLine="480" w:firstLineChars="200"/>
        <w:rPr>
          <w:rFonts w:hint="default" w:ascii="仿宋_GB2312" w:hAnsi="仿宋" w:eastAsia="仿宋_GB2312"/>
          <w:sz w:val="24"/>
          <w:lang w:val="en-US" w:eastAsia="zh-CN"/>
        </w:rPr>
      </w:pPr>
      <w:r>
        <w:rPr>
          <w:rFonts w:hint="eastAsia" w:ascii="仿宋_GB2312" w:hAnsi="仿宋" w:eastAsia="仿宋_GB2312"/>
          <w:sz w:val="24"/>
        </w:rPr>
        <w:t>项目联系方式（询问）：0571-</w:t>
      </w:r>
      <w:r>
        <w:rPr>
          <w:rFonts w:hint="eastAsia" w:ascii="仿宋_GB2312" w:hAnsi="仿宋" w:eastAsia="仿宋_GB2312"/>
          <w:sz w:val="24"/>
          <w:lang w:val="en-US" w:eastAsia="zh-CN"/>
        </w:rPr>
        <w:t>56017212</w:t>
      </w:r>
    </w:p>
    <w:p>
      <w:pPr>
        <w:pStyle w:val="32"/>
        <w:spacing w:line="360" w:lineRule="auto"/>
        <w:ind w:firstLine="480" w:firstLineChars="200"/>
        <w:rPr>
          <w:rFonts w:hint="eastAsia" w:ascii="仿宋_GB2312" w:hAnsi="仿宋" w:eastAsia="仿宋_GB2312"/>
          <w:sz w:val="24"/>
          <w:lang w:eastAsia="zh-CN"/>
        </w:rPr>
      </w:pPr>
      <w:r>
        <w:rPr>
          <w:rFonts w:hint="eastAsia" w:ascii="仿宋_GB2312" w:hAnsi="仿宋" w:eastAsia="仿宋_GB2312"/>
          <w:sz w:val="24"/>
        </w:rPr>
        <w:t>质疑联系人：</w:t>
      </w:r>
      <w:r>
        <w:rPr>
          <w:rFonts w:hint="eastAsia" w:ascii="仿宋_GB2312" w:hAnsi="仿宋" w:eastAsia="仿宋_GB2312"/>
          <w:sz w:val="24"/>
          <w:lang w:eastAsia="zh-CN"/>
        </w:rPr>
        <w:t>罗秦</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质疑联系方式：0571-85340710</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3.同级政府采购监督管理部门</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名    称：杭州市财政局政府采购监管处</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地    址：杭州市中河中路152号617办公室</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传    真：/</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联系人：厉侃侃</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监督投诉电话：0571-87233323</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若对项目采购电子交易系统操作有疑问，可登录政采云（https://www.zcygov.cn/），点击右侧咨询小采，获取采小蜜智能服务管家帮助，或拨打政采云服务热线400-881-7190获取热线服务帮助。</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CA问题联系电话（人工）：汇信CA 400-888-4636；天谷CA 400-087-8198。</w:t>
      </w:r>
    </w:p>
    <w:p>
      <w:pPr>
        <w:pStyle w:val="32"/>
        <w:spacing w:line="360" w:lineRule="auto"/>
        <w:ind w:firstLine="480" w:firstLineChars="200"/>
        <w:rPr>
          <w:rFonts w:ascii="仿宋" w:hAnsi="仿宋" w:eastAsia="仿宋" w:cs="仿宋_GB2312"/>
          <w:sz w:val="24"/>
          <w:szCs w:val="24"/>
        </w:rPr>
      </w:pP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0" w:type="auto"/>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 w:hRule="atLeast"/>
        </w:trPr>
        <w:tc>
          <w:tcPr>
            <w:tcW w:w="629" w:type="dxa"/>
            <w:tcBorders>
              <w:tl2br w:val="nil"/>
              <w:tr2bl w:val="nil"/>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442" w:hRule="atLeast"/>
        </w:trPr>
        <w:tc>
          <w:tcPr>
            <w:tcW w:w="629" w:type="dxa"/>
            <w:tcBorders>
              <w:tl2br w:val="nil"/>
              <w:tr2bl w:val="nil"/>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l2br w:val="nil"/>
              <w:tr2bl w:val="nil"/>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投标报价应包含所有人员在服务期内的工资（员工工资不得低于杭州市对于最低工资标准、工作时间按照劳动法的相关规定，所有工作人员必须交纳包括养老、工伤、失业、医疗等在内的社会保险，依法支付加班费、高温费、福利等）、管理、劳务、服装、培训、体检、保险、通讯、食宿、风险及政策性文件规定等各项应有费用，还应包括为完成本项目服务可能发生的全部费用及投标人的利润、应交纳的税金等一切相关费用。</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342" w:hRule="atLeast"/>
        </w:trPr>
        <w:tc>
          <w:tcPr>
            <w:tcW w:w="629" w:type="dxa"/>
            <w:tcBorders>
              <w:tl2br w:val="nil"/>
              <w:tr2bl w:val="nil"/>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l2br w:val="nil"/>
              <w:tr2bl w:val="nil"/>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l2br w:val="nil"/>
              <w:tr2bl w:val="nil"/>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477286927"/>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同意将非主体、非关键性的工作分包。</w:t>
            </w:r>
          </w:p>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276331357"/>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B</w:t>
            </w:r>
            <w:r>
              <w:rPr>
                <w:rFonts w:hint="eastAsia" w:ascii="仿宋_GB2312" w:hAnsi="仿宋" w:eastAsia="仿宋_GB2312"/>
                <w:sz w:val="24"/>
              </w:rPr>
              <w:t>不同意分包。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l2br w:val="nil"/>
              <w:tr2bl w:val="nil"/>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26" w:hRule="atLeast"/>
        </w:trPr>
        <w:tc>
          <w:tcPr>
            <w:tcW w:w="629" w:type="dxa"/>
            <w:vMerge w:val="continue"/>
            <w:tcBorders>
              <w:tl2br w:val="nil"/>
              <w:tr2bl w:val="nil"/>
            </w:tcBorders>
          </w:tcPr>
          <w:p>
            <w:pPr>
              <w:snapToGrid w:val="0"/>
              <w:spacing w:line="360" w:lineRule="auto"/>
              <w:jc w:val="center"/>
              <w:rPr>
                <w:rFonts w:ascii="仿宋_GB2312" w:hAnsi="仿宋" w:eastAsia="仿宋_GB2312" w:cs="仿宋_GB2312"/>
                <w:sz w:val="24"/>
              </w:rPr>
            </w:pPr>
          </w:p>
        </w:tc>
        <w:tc>
          <w:tcPr>
            <w:tcW w:w="1843" w:type="dxa"/>
            <w:vMerge w:val="continue"/>
            <w:tcBorders>
              <w:tl2br w:val="nil"/>
              <w:tr2bl w:val="nil"/>
            </w:tcBorders>
            <w:vAlign w:val="center"/>
          </w:tcPr>
          <w:p>
            <w:pPr>
              <w:snapToGrid w:val="0"/>
              <w:spacing w:line="360" w:lineRule="auto"/>
              <w:jc w:val="center"/>
              <w:rPr>
                <w:rFonts w:ascii="仿宋_GB2312" w:hAnsi="仿宋" w:eastAsia="仿宋_GB2312" w:cs="仿宋_GB2312"/>
                <w:b/>
                <w:sz w:val="24"/>
              </w:rPr>
            </w:pPr>
          </w:p>
        </w:tc>
        <w:tc>
          <w:tcPr>
            <w:tcW w:w="6095" w:type="dxa"/>
            <w:tcBorders>
              <w:tl2br w:val="nil"/>
              <w:tr2bl w:val="nil"/>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7" w:hRule="atLeast"/>
        </w:trPr>
        <w:tc>
          <w:tcPr>
            <w:tcW w:w="629" w:type="dxa"/>
            <w:tcBorders>
              <w:tl2br w:val="nil"/>
              <w:tr2bl w:val="nil"/>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l2br w:val="nil"/>
              <w:tr2bl w:val="nil"/>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91" w:hRule="atLeast"/>
        </w:trPr>
        <w:tc>
          <w:tcPr>
            <w:tcW w:w="629" w:type="dxa"/>
            <w:tcBorders>
              <w:tl2br w:val="nil"/>
              <w:tr2bl w:val="nil"/>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l2br w:val="nil"/>
              <w:tr2bl w:val="nil"/>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00FE"/>
                </w:r>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00A8"/>
                </w:r>
              </w:sdtContent>
            </w:sdt>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sdtPr>
              <w:sdtEndPr>
                <w:rPr>
                  <w:rFonts w:hint="eastAsia" w:ascii="仿宋_GB2312" w:hAnsi="仿宋" w:eastAsia="仿宋_GB2312" w:cs="Arial"/>
                  <w:kern w:val="0"/>
                  <w:sz w:val="24"/>
                </w:rPr>
              </w:sdtEndPr>
              <w:sdtContent>
                <w:r>
                  <w:rPr>
                    <w:rFonts w:ascii="MS Gothic" w:hAnsi="MS Gothic" w:eastAsia="仿宋_GB2312" w:cs="Arial"/>
                    <w:kern w:val="0"/>
                    <w:sz w:val="24"/>
                  </w:rPr>
                  <w:sym w:font="Wingdings" w:char="00A8"/>
                </w:r>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kern w:val="0"/>
                <w:sz w:val="24"/>
              </w:rPr>
              <w:t>；地点：；联系人</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(6)采购活动结束后，对于未中标人提供的样品，</w:t>
            </w:r>
            <w:r>
              <w:rPr>
                <w:rFonts w:hint="eastAsia" w:ascii="仿宋_GB2312" w:hAnsi="仿宋" w:eastAsia="仿宋_GB2312"/>
                <w:sz w:val="24"/>
              </w:rPr>
              <w:t>采购人、采购代理机构将通知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在规定的时间内取回，逾期未取回的，采购人、采购代理机构不负保管义务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 w:hRule="atLeast"/>
        </w:trPr>
        <w:tc>
          <w:tcPr>
            <w:tcW w:w="629" w:type="dxa"/>
            <w:tcBorders>
              <w:tl2br w:val="nil"/>
              <w:tr2bl w:val="nil"/>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l2br w:val="nil"/>
              <w:tr2bl w:val="nil"/>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6" w:hRule="atLeast"/>
        </w:trPr>
        <w:tc>
          <w:tcPr>
            <w:tcW w:w="629" w:type="dxa"/>
            <w:tcBorders>
              <w:tl2br w:val="nil"/>
              <w:tr2bl w:val="nil"/>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l2br w:val="nil"/>
              <w:tr2bl w:val="nil"/>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00A8"/>
            </w:r>
            <w:r>
              <w:rPr>
                <w:rFonts w:hint="eastAsia" w:ascii="仿宋_GB2312" w:hAnsi="仿宋" w:eastAsia="仿宋_GB2312" w:cs="Arial"/>
                <w:kern w:val="0"/>
                <w:sz w:val="24"/>
              </w:rPr>
              <w:t>本项目不允许采购进口产品。</w:t>
            </w:r>
          </w:p>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52852824"/>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828425707"/>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00A8"/>
                    </w:r>
                  </w:sdtContent>
                </w:sdt>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p>
            <w:pPr>
              <w:spacing w:line="360" w:lineRule="auto"/>
              <w:rPr>
                <w:rFonts w:eastAsia="仿宋_GB2312"/>
              </w:rPr>
            </w:pPr>
            <w:r>
              <w:rPr>
                <w:rFonts w:hint="eastAsia" w:ascii="仿宋_GB2312" w:hAnsi="仿宋" w:eastAsia="仿宋_GB2312" w:cs="Arial"/>
                <w:kern w:val="0"/>
                <w:sz w:val="24"/>
              </w:rPr>
              <w:t>本项目为服务类项目。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6" w:hRule="atLeast"/>
        </w:trPr>
        <w:tc>
          <w:tcPr>
            <w:tcW w:w="629" w:type="dxa"/>
            <w:tcBorders>
              <w:tl2br w:val="nil"/>
              <w:tr2bl w:val="nil"/>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l2br w:val="nil"/>
              <w:tr2bl w:val="nil"/>
            </w:tcBorders>
            <w:vAlign w:val="center"/>
          </w:tcPr>
          <w:p>
            <w:pPr>
              <w:spacing w:line="360" w:lineRule="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18727868"/>
                  </w:sdtPr>
                  <w:sdtEndPr>
                    <w:rPr>
                      <w:rFonts w:hint="eastAsia" w:ascii="仿宋_GB2312" w:hAnsi="仿宋" w:eastAsia="仿宋_GB2312" w:cs="Arial"/>
                      <w:kern w:val="0"/>
                      <w:sz w:val="24"/>
                    </w:rPr>
                  </w:sdtEndPr>
                  <w:sdtContent>
                    <w:r>
                      <w:rPr>
                        <w:rFonts w:ascii="Wingdings" w:hAnsi="Wingdings" w:eastAsia="仿宋_GB2312" w:cs="Arial"/>
                        <w:kern w:val="0"/>
                        <w:sz w:val="24"/>
                      </w:rPr>
                      <w:sym w:font="Wingdings" w:char="00FE"/>
                    </w:r>
                  </w:sdtContent>
                </w:sdt>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6" w:hRule="atLeast"/>
        </w:trPr>
        <w:tc>
          <w:tcPr>
            <w:tcW w:w="629" w:type="dxa"/>
            <w:tcBorders>
              <w:tl2br w:val="nil"/>
              <w:tr2bl w:val="nil"/>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l2br w:val="nil"/>
              <w:tr2bl w:val="nil"/>
            </w:tcBorders>
            <w:vAlign w:val="center"/>
          </w:tcPr>
          <w:p>
            <w:pPr>
              <w:snapToGrid w:val="0"/>
              <w:spacing w:line="360" w:lineRule="auto"/>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cs="Arial"/>
                <w:kern w:val="0"/>
                <w:sz w:val="24"/>
                <w:u w:val="single"/>
              </w:rPr>
              <w:t>食堂外包服务</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其他未列明</w:t>
            </w:r>
            <w:r>
              <w:rPr>
                <w:rFonts w:hint="eastAsia" w:ascii="仿宋_GB2312" w:hAnsi="仿宋" w:eastAsia="仿宋_GB2312" w:cs="Arial"/>
                <w:kern w:val="0"/>
                <w:sz w:val="24"/>
              </w:rPr>
              <w:t>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6" w:hRule="atLeast"/>
        </w:trPr>
        <w:tc>
          <w:tcPr>
            <w:tcW w:w="629" w:type="dxa"/>
            <w:tcBorders>
              <w:tl2br w:val="nil"/>
              <w:tr2bl w:val="nil"/>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l2br w:val="nil"/>
              <w:tr2bl w:val="nil"/>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4" w:hRule="atLeast"/>
        </w:trPr>
        <w:tc>
          <w:tcPr>
            <w:tcW w:w="629" w:type="dxa"/>
            <w:vMerge w:val="restart"/>
            <w:tcBorders>
              <w:tl2br w:val="nil"/>
              <w:tr2bl w:val="nil"/>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l2br w:val="nil"/>
              <w:tr2bl w:val="nil"/>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44" w:hRule="atLeast"/>
        </w:trPr>
        <w:tc>
          <w:tcPr>
            <w:tcW w:w="629" w:type="dxa"/>
            <w:vMerge w:val="continue"/>
            <w:tcBorders>
              <w:tl2br w:val="nil"/>
              <w:tr2bl w:val="nil"/>
            </w:tcBorders>
          </w:tcPr>
          <w:p>
            <w:pPr>
              <w:spacing w:line="360" w:lineRule="auto"/>
              <w:ind w:firstLine="420" w:firstLineChars="200"/>
            </w:pPr>
          </w:p>
        </w:tc>
        <w:tc>
          <w:tcPr>
            <w:tcW w:w="1843" w:type="dxa"/>
            <w:vMerge w:val="continue"/>
            <w:tcBorders>
              <w:tl2br w:val="nil"/>
              <w:tr2bl w:val="nil"/>
            </w:tcBorders>
            <w:vAlign w:val="center"/>
          </w:tcPr>
          <w:p>
            <w:pPr>
              <w:spacing w:line="360" w:lineRule="auto"/>
              <w:ind w:firstLine="420" w:firstLineChars="200"/>
            </w:pPr>
          </w:p>
        </w:tc>
        <w:tc>
          <w:tcPr>
            <w:tcW w:w="6095" w:type="dxa"/>
            <w:tcBorders>
              <w:tl2br w:val="nil"/>
              <w:tr2bl w:val="nil"/>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34" w:hRule="atLeast"/>
        </w:trPr>
        <w:tc>
          <w:tcPr>
            <w:tcW w:w="629" w:type="dxa"/>
            <w:tcBorders>
              <w:tl2br w:val="nil"/>
              <w:tr2bl w:val="nil"/>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l2br w:val="nil"/>
              <w:tr2bl w:val="nil"/>
            </w:tcBorders>
            <w:vAlign w:val="center"/>
          </w:tcPr>
          <w:p>
            <w:pPr>
              <w:pStyle w:val="32"/>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rPr>
              <w:t>杭州市拱墅区白石巷318号中国人力资源产业园北楼512</w:t>
            </w:r>
            <w:r>
              <w:rPr>
                <w:rFonts w:hint="eastAsia" w:ascii="仿宋_GB2312" w:hAnsi="仿宋" w:eastAsia="仿宋_GB2312" w:cs="Times New Roman"/>
                <w:kern w:val="28"/>
                <w:sz w:val="24"/>
                <w:szCs w:val="24"/>
              </w:rPr>
              <w:t>；备份投标文件签收人员联系电话：高琳，0571-85334203</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采购人、采购代理机构不强制或变相强制投标人提交备份投标文件。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6" w:hRule="atLeast"/>
        </w:trPr>
        <w:tc>
          <w:tcPr>
            <w:tcW w:w="629" w:type="dxa"/>
            <w:tcBorders>
              <w:tl2br w:val="nil"/>
              <w:tr2bl w:val="nil"/>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l2br w:val="nil"/>
              <w:tr2bl w:val="nil"/>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采购代理服务费：中标人需在收到中标通知书5个工作日内，向浙江五石中正工程咨询有限公司支付采购代理服务费，收费标准为：以中标通知书中确定的中标总金额作为收费的计算基数，按照《关于杭州市招标代理服务收费管理有关问题的通知》(杭价费[2003]148号)文件规定的相应项目收费标准下浮33%收取费用。</w:t>
            </w:r>
          </w:p>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以上费用由中标人在领取中标通知书时一次性向采购代理机构付清。(开 户 名：浙江五石中正工程咨询有限公司,开户银行：中国工商银行高新支行杭州学院路分理处</w:t>
            </w:r>
            <w:r>
              <w:rPr>
                <w:rFonts w:hint="eastAsia" w:ascii="仿宋_GB2312" w:hAnsi="仿宋" w:eastAsia="仿宋_GB2312"/>
                <w:snapToGrid w:val="0"/>
                <w:kern w:val="28"/>
                <w:sz w:val="24"/>
                <w:lang w:val="zh-CN"/>
              </w:rPr>
              <w:t>,</w:t>
            </w:r>
            <w:r>
              <w:rPr>
                <w:rFonts w:hint="eastAsia" w:ascii="仿宋_GB2312" w:hAnsi="仿宋" w:eastAsia="仿宋_GB2312"/>
                <w:snapToGrid w:val="0"/>
                <w:kern w:val="28"/>
                <w:sz w:val="24"/>
              </w:rPr>
              <w:t xml:space="preserve"> 帐  号：1202003209900014176</w:t>
            </w:r>
            <w:r>
              <w:rPr>
                <w:rFonts w:hint="eastAsia" w:ascii="仿宋_GB2312" w:hAnsi="仿宋" w:eastAsia="仿宋_GB2312"/>
                <w:snapToGrid w:val="0"/>
                <w:kern w:val="28"/>
                <w:sz w:val="24"/>
                <w:lang w:val="zh-CN"/>
              </w:rPr>
              <w:t>)</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1.</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p>
    <w:p>
      <w:pPr>
        <w:spacing w:line="360" w:lineRule="auto"/>
        <w:rPr>
          <w:rFonts w:ascii="仿宋_GB2312" w:hAnsi="仿宋" w:eastAsia="仿宋_GB2312"/>
          <w:b/>
          <w:sz w:val="24"/>
        </w:rPr>
      </w:pPr>
      <w:r>
        <w:rPr>
          <w:rFonts w:hint="eastAsia" w:ascii="仿宋_GB2312" w:hAnsi="仿宋" w:eastAsia="仿宋_GB2312"/>
          <w:sz w:val="24"/>
        </w:rPr>
        <w:t>3.6平等对待内外资企业和符合条件的破产重整企业</w:t>
      </w:r>
      <w:r>
        <w:rPr>
          <w:rFonts w:ascii="仿宋_GB2312" w:hAnsi="仿宋" w:eastAsia="仿宋_GB2312"/>
          <w:sz w:val="24"/>
        </w:rPr>
        <w:t>。</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w:t>
      </w:r>
      <w:r>
        <w:rPr>
          <w:rFonts w:hint="eastAsia" w:ascii="仿宋_GB2312" w:hAnsi="仿宋" w:eastAsia="仿宋_GB2312"/>
          <w:sz w:val="24"/>
        </w:rPr>
        <w:t>采购代理机构</w:t>
      </w:r>
      <w:r>
        <w:rPr>
          <w:rFonts w:ascii="仿宋_GB2312" w:hAnsi="仿宋" w:eastAsia="仿宋_GB2312"/>
          <w:sz w:val="24"/>
        </w:rPr>
        <w:t>提出质疑，否则，采购人或者</w:t>
      </w:r>
      <w:r>
        <w:rPr>
          <w:rFonts w:hint="eastAsia" w:ascii="仿宋_GB2312" w:hAnsi="仿宋" w:eastAsia="仿宋_GB2312"/>
          <w:sz w:val="24"/>
        </w:rPr>
        <w:t>采购代理机构</w:t>
      </w:r>
      <w:r>
        <w:rPr>
          <w:rFonts w:ascii="仿宋_GB2312" w:hAnsi="仿宋" w:eastAsia="仿宋_GB2312"/>
          <w:sz w:val="24"/>
        </w:rPr>
        <w:t>不予受理：</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2"/>
        <w:spacing w:line="360" w:lineRule="auto"/>
        <w:ind w:left="479" w:leftChars="228"/>
        <w:rPr>
          <w:rFonts w:ascii="仿宋_GB2312" w:hAnsi="仿宋" w:eastAsia="仿宋_GB2312"/>
          <w:sz w:val="24"/>
        </w:rPr>
      </w:pPr>
      <w:r>
        <w:rPr>
          <w:rFonts w:ascii="仿宋_GB2312" w:hAnsi="仿宋" w:eastAsia="仿宋_GB2312"/>
          <w:sz w:val="24"/>
        </w:rPr>
        <w:t>4.2.2.2对采购过程提出质疑的，质疑期限为各采购程序环节结束之日起计算。4.2.2.3对采购结果提出质疑的，质疑期限自采购结果公告期限届满之日起计算。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采购人或者采购代理机构在质疑回复后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对同一采购程序环节的质疑，供应商须一次性提出；</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w:t>
      </w:r>
      <w:r>
        <w:rPr>
          <w:rFonts w:hint="eastAsia" w:ascii="仿宋_GB2312" w:hAnsi="仿宋" w:eastAsia="仿宋_GB2312"/>
        </w:rPr>
        <w:t>采购代理机构</w:t>
      </w:r>
      <w:r>
        <w:rPr>
          <w:rFonts w:ascii="仿宋_GB2312" w:hAnsi="仿宋" w:eastAsia="仿宋_GB2312"/>
        </w:rPr>
        <w:t>的答复不满意或者采购人、</w:t>
      </w:r>
      <w:r>
        <w:rPr>
          <w:rFonts w:hint="eastAsia" w:ascii="仿宋_GB2312" w:hAnsi="仿宋" w:eastAsia="仿宋_GB2312"/>
        </w:rPr>
        <w:t>采购代理机构</w:t>
      </w:r>
      <w:r>
        <w:rPr>
          <w:rFonts w:ascii="仿宋_GB2312" w:hAnsi="仿宋" w:eastAsia="仿宋_GB2312"/>
        </w:rPr>
        <w:t>未在规定的时间内</w:t>
      </w:r>
      <w:r>
        <w:rPr>
          <w:rFonts w:hint="eastAsia" w:ascii="仿宋_GB2312" w:hAnsi="仿宋" w:eastAsia="仿宋_GB2312"/>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8"/>
        <w:snapToGrid w:val="0"/>
        <w:spacing w:before="0"/>
        <w:ind w:firstLine="480"/>
        <w:rPr>
          <w:rFonts w:ascii="仿宋_GB2312" w:hAnsi="仿宋" w:eastAsia="仿宋_GB2312" w:cs="仿宋_GB2312"/>
          <w:szCs w:val="24"/>
        </w:rPr>
      </w:pPr>
      <w:r>
        <w:rPr>
          <w:rFonts w:hint="eastAsia" w:ascii="仿宋_GB2312" w:hAnsi="仿宋" w:eastAsia="仿宋_GB2312" w:cs="仿宋_GB2312"/>
          <w:szCs w:val="24"/>
        </w:rPr>
        <w:t>4.4在线质疑、投诉。</w:t>
      </w:r>
    </w:p>
    <w:p>
      <w:pPr>
        <w:pStyle w:val="128"/>
        <w:snapToGrid w:val="0"/>
        <w:spacing w:before="0"/>
        <w:ind w:firstLine="480"/>
        <w:rPr>
          <w:rFonts w:ascii="仿宋_GB2312" w:hAnsi="仿宋" w:eastAsia="仿宋_GB2312" w:cs="仿宋_GB2312"/>
          <w:szCs w:val="24"/>
        </w:rPr>
      </w:pPr>
      <w:r>
        <w:rPr>
          <w:rFonts w:hint="eastAsia" w:ascii="仿宋_GB2312" w:hAnsi="仿宋" w:eastAsia="仿宋_GB2312" w:cs="仿宋_GB2312"/>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二、招标文件的构成、澄清、修改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6.</w:t>
      </w:r>
      <w:r>
        <w:rPr>
          <w:rFonts w:hint="eastAsia" w:ascii="仿宋_GB2312" w:hAnsi="仿宋" w:eastAsia="仿宋_GB2312" w:cs="仿宋_GB2312"/>
          <w:b/>
          <w:sz w:val="24"/>
          <w:szCs w:val="24"/>
        </w:rPr>
        <w:t>招标文件的澄清、修改</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w:t>
      </w:r>
      <w:r>
        <w:rPr>
          <w:rFonts w:hint="eastAsia" w:ascii="仿宋_GB2312" w:hAnsi="仿宋" w:eastAsia="仿宋_GB2312" w:cs="仿宋_GB2312"/>
        </w:rPr>
        <w:t>采购代理机构</w:t>
      </w:r>
      <w:r>
        <w:rPr>
          <w:rFonts w:ascii="仿宋_GB2312" w:hAnsi="仿宋" w:eastAsia="仿宋_GB2312" w:cs="仿宋_GB2312"/>
        </w:rPr>
        <w:t>提出。</w:t>
      </w:r>
    </w:p>
    <w:p>
      <w:pPr>
        <w:pStyle w:val="12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7.</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10.</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11.</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w:t>
      </w:r>
      <w:r>
        <w:rPr>
          <w:rFonts w:ascii="仿宋_GB2312" w:hAnsi="仿宋" w:eastAsia="仿宋_GB2312" w:cs="仿宋_GB2312"/>
          <w:sz w:val="24"/>
        </w:rPr>
        <w:t>中小企业声明函；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14.</w:t>
      </w:r>
      <w:r>
        <w:rPr>
          <w:rFonts w:hint="eastAsia" w:ascii="仿宋_GB2312" w:hAnsi="仿宋" w:eastAsia="仿宋_GB2312" w:cs="仿宋_GB2312"/>
          <w:b/>
          <w:szCs w:val="24"/>
        </w:rPr>
        <w:t>投标文件的提交、补充、修改、撤回</w:t>
      </w:r>
    </w:p>
    <w:p>
      <w:pPr>
        <w:pStyle w:val="128"/>
        <w:ind w:firstLine="480"/>
        <w:rPr>
          <w:rFonts w:ascii="仿宋_GB2312" w:hAnsi="仿宋" w:eastAsia="仿宋_GB2312" w:cs="仿宋_GB2312"/>
          <w:szCs w:val="24"/>
        </w:rPr>
      </w:pPr>
      <w:r>
        <w:rPr>
          <w:rFonts w:ascii="仿宋_GB2312" w:hAnsi="仿宋" w:eastAsia="仿宋_GB2312" w:cs="仿宋_GB2312"/>
          <w:szCs w:val="24"/>
        </w:rPr>
        <w:t>14.1</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14.3采购人、</w:t>
      </w:r>
      <w:r>
        <w:rPr>
          <w:rFonts w:hint="eastAsia" w:ascii="仿宋_GB2312" w:hAnsi="仿宋" w:eastAsia="仿宋_GB2312" w:cs="仿宋_GB2312"/>
          <w:szCs w:val="24"/>
        </w:rPr>
        <w:t>采购代理机构</w:t>
      </w:r>
      <w:r>
        <w:rPr>
          <w:rFonts w:ascii="仿宋_GB2312" w:hAnsi="仿宋" w:eastAsia="仿宋_GB2312" w:cs="仿宋_GB2312"/>
          <w:szCs w:val="24"/>
        </w:rPr>
        <w:t>可以视情况延长投标文件提交的截止时间。在上述情况下，</w:t>
      </w:r>
      <w:r>
        <w:rPr>
          <w:rFonts w:hint="eastAsia" w:ascii="仿宋_GB2312" w:hAnsi="仿宋" w:eastAsia="仿宋_GB2312" w:cs="仿宋_GB2312"/>
          <w:szCs w:val="24"/>
        </w:rPr>
        <w:t>采购代理机构</w:t>
      </w:r>
      <w:r>
        <w:rPr>
          <w:rFonts w:ascii="仿宋_GB2312" w:hAnsi="仿宋" w:eastAsia="仿宋_GB2312" w:cs="仿宋_GB2312"/>
          <w:szCs w:val="24"/>
        </w:rPr>
        <w:t>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15.1投标人在电子交易平台传输递交投标文件后，还可以在投标截止时间前直接提交或者以快递方式递交备份投标文件1份，</w:t>
      </w:r>
      <w:r>
        <w:rPr>
          <w:rFonts w:hint="eastAsia" w:ascii="仿宋_GB2312" w:hAnsi="仿宋" w:eastAsia="仿宋_GB2312" w:cs="仿宋_GB2312"/>
          <w:b/>
          <w:sz w:val="24"/>
          <w:szCs w:val="24"/>
        </w:rPr>
        <w:t>但采购人、采购代理机构不强制或变相强制投标人提交备份投标文件。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sz w:val="24"/>
        </w:rPr>
        <w:t>或U盘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w:t>
      </w:r>
      <w:r>
        <w:rPr>
          <w:rFonts w:hint="eastAsia" w:ascii="仿宋_GB2312" w:hAnsi="仿宋" w:eastAsia="仿宋_GB2312" w:cs="仿宋_GB2312"/>
          <w:sz w:val="24"/>
          <w:szCs w:val="24"/>
        </w:rPr>
        <w:t>采购代理机构</w:t>
      </w:r>
      <w:r>
        <w:rPr>
          <w:rFonts w:ascii="仿宋_GB2312" w:hAnsi="仿宋" w:eastAsia="仿宋_GB2312" w:cs="仿宋_GB2312"/>
          <w:sz w:val="24"/>
          <w:szCs w:val="24"/>
        </w:rPr>
        <w:t>，</w:t>
      </w:r>
      <w:r>
        <w:rPr>
          <w:rFonts w:hint="eastAsia" w:ascii="仿宋_GB2312" w:hAnsi="仿宋" w:eastAsia="仿宋_GB2312" w:cs="仿宋_GB2312"/>
          <w:sz w:val="24"/>
          <w:szCs w:val="24"/>
        </w:rPr>
        <w:t>采购代理机构</w:t>
      </w:r>
      <w:r>
        <w:rPr>
          <w:rFonts w:ascii="仿宋_GB2312" w:hAnsi="仿宋" w:eastAsia="仿宋_GB2312" w:cs="仿宋_GB2312"/>
          <w:sz w:val="24"/>
          <w:szCs w:val="24"/>
        </w:rPr>
        <w:t>将拒绝接受逾期送达的备份投标文件。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15.4以快递方式递交备份投标文件的，投标人应先将备份投标文件按要求密封和标记，再进行快递包装后邮寄。备份投标文件须在投标截止时间之前送达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w:t>
      </w:r>
      <w:r>
        <w:rPr>
          <w:rFonts w:hint="eastAsia" w:ascii="仿宋_GB2312" w:hAnsi="仿宋" w:eastAsia="仿宋_GB2312" w:cs="仿宋_GB2312"/>
        </w:rPr>
        <w:t>采购代理机构</w:t>
      </w:r>
      <w:r>
        <w:rPr>
          <w:rFonts w:ascii="仿宋_GB2312" w:hAnsi="仿宋" w:eastAsia="仿宋_GB2312" w:cs="仿宋_GB2312"/>
        </w:rPr>
        <w:t>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sz w:val="32"/>
        </w:rPr>
      </w:pPr>
    </w:p>
    <w:p>
      <w:pPr>
        <w:pStyle w:val="12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w:t>
      </w:r>
      <w:r>
        <w:rPr>
          <w:rFonts w:hint="eastAsia" w:ascii="仿宋_GB2312" w:hAnsi="仿宋" w:eastAsia="仿宋_GB2312" w:cs="仿宋_GB2312"/>
          <w:sz w:val="24"/>
        </w:rPr>
        <w:t>采购代理机构</w:t>
      </w:r>
      <w:r>
        <w:rPr>
          <w:rFonts w:ascii="仿宋_GB2312" w:hAnsi="仿宋" w:eastAsia="仿宋_GB2312" w:cs="仿宋_GB2312"/>
          <w:sz w:val="24"/>
        </w:rPr>
        <w:t>按照招标文件规定的时间通过电子交易平台组织开标，所有投标人均应当准时在线参加。投标人不足3家的，不得开标。</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18.2开标时，电子交易平台按开标时间自动提取所有投标文件。</w:t>
      </w:r>
      <w:r>
        <w:rPr>
          <w:rFonts w:hint="eastAsia" w:ascii="仿宋_GB2312" w:hAnsi="仿宋" w:eastAsia="仿宋_GB2312" w:cs="仿宋_GB2312"/>
          <w:sz w:val="24"/>
        </w:rPr>
        <w:t>采购代理机构</w:t>
      </w:r>
      <w:r>
        <w:rPr>
          <w:rFonts w:ascii="仿宋_GB2312" w:hAnsi="仿宋" w:eastAsia="仿宋_GB2312" w:cs="仿宋_GB2312"/>
          <w:sz w:val="24"/>
        </w:rPr>
        <w:t>依托电子交易平台发起开始解密指令，投标人按照平台提示和招标文件的规定在半小时内完成在线解密。</w:t>
      </w:r>
    </w:p>
    <w:p>
      <w:pPr>
        <w:pStyle w:val="554"/>
        <w:spacing w:before="0" w:line="360" w:lineRule="auto"/>
        <w:ind w:left="0" w:firstLine="480" w:firstLineChars="200"/>
        <w:contextualSpacing/>
        <w:rPr>
          <w:rFonts w:ascii="仿宋_GB2312" w:hAnsi="仿宋" w:eastAsia="仿宋_GB2312" w:cs="仿宋_GB2312"/>
          <w:b/>
          <w:sz w:val="24"/>
        </w:rPr>
      </w:pP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ascii="仿宋_GB2312" w:hAnsi="仿宋" w:eastAsia="仿宋_GB2312" w:cs="仿宋_GB2312"/>
          <w:b/>
          <w:sz w:val="24"/>
          <w:szCs w:val="20"/>
        </w:rPr>
        <w:t>19</w:t>
      </w:r>
      <w:r>
        <w:rPr>
          <w:rFonts w:ascii="仿宋_GB2312" w:hAnsi="仿宋" w:eastAsia="仿宋_GB2312" w:cs="仿宋_GB2312"/>
          <w:sz w:val="24"/>
        </w:rPr>
        <w:t>.</w:t>
      </w:r>
      <w:r>
        <w:rPr>
          <w:rFonts w:ascii="仿宋_GB2312" w:hAnsi="仿宋" w:eastAsia="仿宋_GB2312" w:cs="仿宋_GB2312"/>
          <w:b/>
          <w:sz w:val="24"/>
          <w:szCs w:val="20"/>
        </w:rPr>
        <w:t>资格审查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w:t>
      </w:r>
      <w:r>
        <w:rPr>
          <w:rFonts w:hint="eastAsia" w:ascii="仿宋_GB2312" w:hAnsi="仿宋" w:eastAsia="仿宋_GB2312" w:cs="Arial"/>
          <w:kern w:val="0"/>
          <w:szCs w:val="24"/>
        </w:rPr>
        <w:t>采购代理机构</w:t>
      </w:r>
      <w:r>
        <w:rPr>
          <w:rFonts w:ascii="仿宋_GB2312" w:hAnsi="仿宋" w:eastAsia="仿宋_GB2312" w:cs="Arial"/>
          <w:kern w:val="0"/>
          <w:szCs w:val="24"/>
        </w:rPr>
        <w:t>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w:t>
      </w:r>
      <w:r>
        <w:rPr>
          <w:rFonts w:hint="eastAsia" w:ascii="仿宋_GB2312" w:hAnsi="仿宋" w:eastAsia="仿宋_GB2312" w:cs="仿宋_GB2312"/>
        </w:rPr>
        <w:t>采购代理机构</w:t>
      </w:r>
      <w:r>
        <w:rPr>
          <w:rFonts w:ascii="仿宋_GB2312" w:hAnsi="仿宋" w:eastAsia="仿宋_GB2312" w:cs="仿宋_GB2312"/>
        </w:rPr>
        <w:t>告知其未通过的原因。</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w:t>
      </w:r>
      <w:r>
        <w:rPr>
          <w:rFonts w:hint="eastAsia" w:ascii="仿宋_GB2312" w:hAnsi="仿宋" w:eastAsia="仿宋_GB2312" w:cs="Arial"/>
          <w:kern w:val="0"/>
          <w:szCs w:val="24"/>
        </w:rPr>
        <w:t>采购代理机构</w:t>
      </w:r>
      <w:r>
        <w:rPr>
          <w:rFonts w:ascii="仿宋_GB2312" w:hAnsi="仿宋" w:eastAsia="仿宋_GB2312" w:cs="Arial"/>
          <w:kern w:val="0"/>
          <w:szCs w:val="24"/>
        </w:rPr>
        <w:t>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8"/>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22.</w:t>
      </w:r>
      <w:r>
        <w:rPr>
          <w:rFonts w:hint="eastAsia" w:ascii="仿宋_GB2312" w:hAnsi="仿宋" w:eastAsia="仿宋_GB2312" w:cs="仿宋_GB2312"/>
          <w:b/>
        </w:rPr>
        <w:t>确定中标供应商</w:t>
      </w:r>
    </w:p>
    <w:p>
      <w:pPr>
        <w:pStyle w:val="12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采购人将自收到评审报告之日起2</w:t>
      </w:r>
      <w:r>
        <w:rPr>
          <w:rFonts w:ascii="仿宋_GB2312" w:hAnsi="仿宋" w:eastAsia="仿宋_GB2312" w:cs="仿宋_GB2312"/>
          <w:szCs w:val="24"/>
        </w:rPr>
        <w:t>个工作日内通过电子交易平台在</w:t>
      </w:r>
      <w:r>
        <w:rPr>
          <w:rFonts w:hint="eastAsia" w:ascii="仿宋_GB2312" w:hAnsi="仿宋" w:eastAsia="仿宋_GB2312" w:cs="仿宋_GB2312"/>
          <w:szCs w:val="24"/>
        </w:rPr>
        <w:t>线确定中标供应商</w:t>
      </w:r>
      <w:r>
        <w:rPr>
          <w:rFonts w:ascii="仿宋_GB2312" w:hAnsi="仿宋" w:eastAsia="仿宋_GB2312" w:cs="仿宋_GB2312"/>
          <w:szCs w:val="24"/>
        </w:rPr>
        <w:t>。</w:t>
      </w:r>
    </w:p>
    <w:p>
      <w:pPr>
        <w:pStyle w:val="12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23.</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23.1采购人将自收到评审报告之日起</w:t>
      </w:r>
      <w:r>
        <w:rPr>
          <w:rFonts w:hint="eastAsia" w:ascii="仿宋_GB2312" w:hAnsi="仿宋" w:eastAsia="仿宋_GB2312" w:cs="仿宋_GB2312"/>
          <w:sz w:val="24"/>
        </w:rPr>
        <w:t>2个工作日内，采购人通过电子交易平台向中标人发出中标通知书，同时发布采购结果公告。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w:t>
      </w:r>
      <w:r>
        <w:rPr>
          <w:rFonts w:hint="eastAsia" w:ascii="仿宋_GB2312" w:hAnsi="仿宋" w:eastAsia="仿宋_GB2312" w:cs="仿宋_GB2312"/>
          <w:sz w:val="24"/>
        </w:rPr>
        <w:t>采购代理机构</w:t>
      </w:r>
      <w:r>
        <w:rPr>
          <w:rFonts w:ascii="仿宋_GB2312" w:hAnsi="仿宋" w:eastAsia="仿宋_GB2312" w:cs="仿宋_GB2312"/>
          <w:sz w:val="24"/>
        </w:rPr>
        <w:t>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的名称、规格型号、数量、单价、服务要求，开标记录、资格审查情况、评审专家抽取规则、评审专家名单、符合性审查情况、评审专家评分汇总及明细、未中标情况说明、中标公告期限。</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24.</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25.</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除不可抗力等特殊情况外，原则上应当在中标、成交通知书发出之日起</w:t>
      </w:r>
      <w:r>
        <w:rPr>
          <w:rFonts w:hint="eastAsia" w:ascii="仿宋_GB2312" w:hAnsi="仿宋" w:eastAsia="仿宋_GB2312" w:cs="Arial"/>
          <w:kern w:val="0"/>
          <w:sz w:val="24"/>
        </w:rPr>
        <w:t>10个工作日内，与中标、成交供应商按采购文件确定的事项签订政府采购合同，并在签订之日起2个工作日将政府采购合同在政府采购网上公告。</w:t>
      </w:r>
    </w:p>
    <w:p>
      <w:pPr>
        <w:pStyle w:val="128"/>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26.</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。履约保证金的数额不得超过政府采购合同金额的2.</w:t>
      </w:r>
      <w:r>
        <w:rPr>
          <w:rFonts w:ascii="仿宋_GB2312" w:hAnsi="仿宋" w:eastAsia="仿宋_GB2312"/>
          <w:sz w:val="24"/>
        </w:rPr>
        <w:t>5%。</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2。不得高于合同金额2.5%。</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7.</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403820"/>
      <w:bookmarkEnd w:id="14"/>
      <w:bookmarkStart w:id="15" w:name="_Hlt68057669"/>
      <w:bookmarkEnd w:id="15"/>
      <w:bookmarkStart w:id="16" w:name="_Hlt74714665"/>
      <w:bookmarkEnd w:id="16"/>
      <w:bookmarkStart w:id="17" w:name="_Hlt74729768"/>
      <w:bookmarkEnd w:id="17"/>
      <w:bookmarkStart w:id="18" w:name="_Hlt75236101"/>
      <w:bookmarkEnd w:id="18"/>
      <w:bookmarkStart w:id="19" w:name="_Hlt74730295"/>
      <w:bookmarkEnd w:id="19"/>
      <w:bookmarkStart w:id="20" w:name="_Hlt74707468"/>
      <w:bookmarkEnd w:id="20"/>
      <w:bookmarkStart w:id="21" w:name="_Hlt68072990"/>
      <w:bookmarkEnd w:id="21"/>
      <w:bookmarkStart w:id="22" w:name="_Hlt75236011"/>
      <w:bookmarkEnd w:id="22"/>
      <w:bookmarkStart w:id="23" w:name="_Hlt68073093"/>
      <w:bookmarkEnd w:id="23"/>
      <w:bookmarkStart w:id="24" w:name="_Hlt68072998"/>
      <w:bookmarkEnd w:id="24"/>
      <w:bookmarkStart w:id="25" w:name="_Hlt75236290"/>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第三部分采购需求</w:t>
      </w:r>
    </w:p>
    <w:p>
      <w:pPr>
        <w:spacing w:line="360" w:lineRule="auto"/>
        <w:jc w:val="left"/>
        <w:rPr>
          <w:rFonts w:ascii="仿宋" w:hAnsi="仿宋" w:eastAsia="仿宋" w:cs="仿宋"/>
          <w:sz w:val="24"/>
        </w:rPr>
      </w:pPr>
      <w:r>
        <w:rPr>
          <w:rFonts w:hint="eastAsia" w:ascii="仿宋" w:hAnsi="仿宋" w:eastAsia="仿宋" w:cs="仿宋"/>
          <w:sz w:val="24"/>
        </w:rPr>
        <w:t>（一）项目概况</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杭州市公安局地铁公安分局食堂外包服务项目，拟择优选取一家具有优质服务团队和服务能力的单位进行食堂劳务外包服务，服务地点为翁梅站***、打铁关站***、特警大队、湘湖站***、市民中心站***、下沙江滨站***、杜甫村站***、双浦站***、姑娘桥站***、九州街站***食堂，提供早、中、晚餐。另需保障（含停水停电停气、不良气候等情况下）临时性用餐服务，提供民俗节日特色食品，提供防暑降温饮品（自制为主）等。</w:t>
      </w:r>
    </w:p>
    <w:p>
      <w:pPr>
        <w:spacing w:before="120" w:beforeLines="50" w:line="360" w:lineRule="auto"/>
        <w:outlineLvl w:val="3"/>
        <w:rPr>
          <w:rFonts w:ascii="仿宋" w:hAnsi="仿宋" w:eastAsia="仿宋" w:cs="仿宋"/>
          <w:sz w:val="24"/>
        </w:rPr>
      </w:pPr>
      <w:r>
        <w:rPr>
          <w:rFonts w:hint="eastAsia" w:ascii="仿宋" w:hAnsi="仿宋" w:eastAsia="仿宋" w:cs="仿宋"/>
          <w:sz w:val="24"/>
        </w:rPr>
        <w:t>（二）预算金额（万元）：213万元（其中2022年安排85.2万元。）</w:t>
      </w:r>
    </w:p>
    <w:p>
      <w:pPr>
        <w:spacing w:line="360" w:lineRule="auto"/>
        <w:jc w:val="left"/>
        <w:rPr>
          <w:rFonts w:ascii="仿宋" w:hAnsi="仿宋" w:eastAsia="仿宋" w:cs="仿宋"/>
          <w:sz w:val="24"/>
        </w:rPr>
      </w:pPr>
      <w:r>
        <w:rPr>
          <w:rFonts w:hint="eastAsia" w:ascii="仿宋" w:hAnsi="仿宋" w:eastAsia="仿宋" w:cs="仿宋"/>
          <w:sz w:val="24"/>
        </w:rPr>
        <w:t>（三）需满足的政府采购政策目标和具体支持对象</w:t>
      </w:r>
    </w:p>
    <w:p>
      <w:pPr>
        <w:spacing w:line="360" w:lineRule="auto"/>
        <w:ind w:firstLine="420"/>
        <w:jc w:val="left"/>
        <w:rPr>
          <w:rFonts w:ascii="仿宋" w:hAnsi="仿宋" w:eastAsia="仿宋" w:cs="仿宋"/>
          <w:sz w:val="24"/>
        </w:rPr>
      </w:pPr>
      <w:r>
        <w:rPr>
          <w:rFonts w:hint="eastAsia" w:ascii="仿宋" w:hAnsi="仿宋" w:eastAsia="仿宋" w:cs="仿宋"/>
          <w:sz w:val="24"/>
        </w:rPr>
        <w:sym w:font="Wingdings 2" w:char="0052"/>
      </w:r>
      <w:r>
        <w:rPr>
          <w:rFonts w:hint="eastAsia" w:ascii="仿宋" w:hAnsi="仿宋" w:eastAsia="仿宋" w:cs="仿宋"/>
          <w:sz w:val="24"/>
        </w:rPr>
        <w:t xml:space="preserve">扶持中小企业 </w:t>
      </w:r>
      <w:r>
        <w:rPr>
          <w:rFonts w:hint="eastAsia" w:ascii="仿宋" w:hAnsi="仿宋" w:eastAsia="仿宋" w:cs="仿宋"/>
          <w:sz w:val="24"/>
        </w:rPr>
        <w:sym w:font="Wingdings 2" w:char="00A3"/>
      </w:r>
      <w:r>
        <w:rPr>
          <w:rFonts w:hint="eastAsia" w:ascii="仿宋" w:hAnsi="仿宋" w:eastAsia="仿宋" w:cs="仿宋"/>
          <w:sz w:val="24"/>
        </w:rPr>
        <w:t xml:space="preserve">节能环保 </w:t>
      </w:r>
      <w:r>
        <w:rPr>
          <w:rFonts w:hint="eastAsia" w:ascii="仿宋" w:hAnsi="仿宋" w:eastAsia="仿宋" w:cs="仿宋"/>
          <w:sz w:val="24"/>
        </w:rPr>
        <w:sym w:font="Wingdings 2" w:char="00A3"/>
      </w:r>
      <w:r>
        <w:rPr>
          <w:rFonts w:hint="eastAsia" w:ascii="仿宋" w:hAnsi="仿宋" w:eastAsia="仿宋" w:cs="仿宋"/>
          <w:sz w:val="24"/>
        </w:rPr>
        <w:t>其他（本项目专门面向小微企业）</w:t>
      </w:r>
    </w:p>
    <w:p>
      <w:pPr>
        <w:spacing w:line="360" w:lineRule="auto"/>
        <w:jc w:val="left"/>
        <w:rPr>
          <w:rFonts w:ascii="仿宋" w:hAnsi="仿宋" w:eastAsia="仿宋" w:cs="仿宋"/>
          <w:sz w:val="24"/>
        </w:rPr>
      </w:pPr>
      <w:r>
        <w:rPr>
          <w:rFonts w:hint="eastAsia" w:ascii="仿宋" w:hAnsi="仿宋" w:eastAsia="仿宋" w:cs="仿宋"/>
          <w:sz w:val="24"/>
        </w:rPr>
        <w:t xml:space="preserve">（四）采购标的是否进口产品： </w:t>
      </w:r>
      <w:r>
        <w:rPr>
          <w:rFonts w:hint="eastAsia" w:ascii="仿宋" w:hAnsi="仿宋" w:eastAsia="仿宋" w:cs="仿宋"/>
          <w:sz w:val="24"/>
        </w:rPr>
        <w:sym w:font="Wingdings 2" w:char="00A3"/>
      </w:r>
      <w:r>
        <w:rPr>
          <w:rFonts w:hint="eastAsia" w:ascii="仿宋" w:hAnsi="仿宋" w:eastAsia="仿宋" w:cs="仿宋"/>
          <w:sz w:val="24"/>
        </w:rPr>
        <w:t xml:space="preserve">进口 </w:t>
      </w:r>
      <w:r>
        <w:rPr>
          <w:rFonts w:hint="eastAsia" w:ascii="仿宋" w:hAnsi="仿宋" w:eastAsia="仿宋" w:cs="仿宋"/>
          <w:sz w:val="24"/>
        </w:rPr>
        <w:sym w:font="Wingdings 2" w:char="00A3"/>
      </w:r>
      <w:r>
        <w:rPr>
          <w:rFonts w:hint="eastAsia" w:ascii="仿宋" w:hAnsi="仿宋" w:eastAsia="仿宋" w:cs="仿宋"/>
          <w:sz w:val="24"/>
        </w:rPr>
        <w:t>国产，本项目为服务采购。</w:t>
      </w:r>
    </w:p>
    <w:p>
      <w:pPr>
        <w:spacing w:line="360" w:lineRule="auto"/>
        <w:jc w:val="left"/>
        <w:rPr>
          <w:rFonts w:ascii="仿宋" w:hAnsi="仿宋" w:eastAsia="仿宋" w:cs="仿宋"/>
          <w:sz w:val="24"/>
        </w:rPr>
      </w:pPr>
      <w:r>
        <w:rPr>
          <w:rFonts w:hint="eastAsia" w:ascii="仿宋" w:hAnsi="仿宋" w:eastAsia="仿宋" w:cs="仿宋"/>
          <w:sz w:val="24"/>
        </w:rPr>
        <w:t>（五）拟采购标的的服务要求</w:t>
      </w:r>
    </w:p>
    <w:p>
      <w:pPr>
        <w:spacing w:line="360" w:lineRule="auto"/>
        <w:jc w:val="left"/>
        <w:rPr>
          <w:rFonts w:ascii="仿宋" w:hAnsi="仿宋" w:eastAsia="仿宋" w:cs="仿宋"/>
          <w:sz w:val="24"/>
        </w:rPr>
      </w:pPr>
      <w:r>
        <w:rPr>
          <w:rFonts w:hint="eastAsia" w:ascii="仿宋" w:hAnsi="仿宋" w:eastAsia="仿宋" w:cs="仿宋"/>
          <w:sz w:val="24"/>
        </w:rPr>
        <w:t>1、餐品要求：</w:t>
      </w:r>
    </w:p>
    <w:p>
      <w:pPr>
        <w:pStyle w:val="961"/>
        <w:spacing w:line="360" w:lineRule="auto"/>
        <w:rPr>
          <w:rFonts w:ascii="仿宋" w:hAnsi="仿宋" w:eastAsia="仿宋" w:cs="仿宋"/>
          <w:kern w:val="2"/>
          <w:szCs w:val="24"/>
          <w:lang w:val="en-US"/>
        </w:rPr>
      </w:pPr>
      <w:r>
        <w:rPr>
          <w:rFonts w:hint="eastAsia" w:ascii="仿宋" w:hAnsi="仿宋" w:eastAsia="仿宋" w:cs="仿宋"/>
          <w:kern w:val="2"/>
          <w:szCs w:val="24"/>
          <w:lang w:val="en-US"/>
        </w:rPr>
        <w:t>（1）投标人必须严格按照有关规定，供应量足、美味、安全的菜肴：早餐以本地常规早点为主，配以现有厨具可制作的其他可口花色早点。如：稀饭、面条、馄饨、鸡蛋、包子、馒头、豆浆、粗粮等；其中稀饭每日配以若干种小菜；中餐供应菜肴品种不得少于6个菜（二荤二半荤二素）、1个汤；晚餐供应菜肴品种不得少于4个菜（二荤二素）、1个汤。</w:t>
      </w:r>
    </w:p>
    <w:p>
      <w:pPr>
        <w:spacing w:line="360" w:lineRule="auto"/>
        <w:jc w:val="left"/>
        <w:rPr>
          <w:rFonts w:ascii="仿宋" w:hAnsi="仿宋" w:eastAsia="仿宋" w:cs="仿宋"/>
          <w:sz w:val="24"/>
        </w:rPr>
      </w:pPr>
      <w:r>
        <w:rPr>
          <w:rFonts w:hint="eastAsia" w:ascii="仿宋" w:hAnsi="仿宋" w:eastAsia="仿宋" w:cs="仿宋"/>
          <w:sz w:val="24"/>
        </w:rPr>
        <w:t>（2）采购人用餐以本地菜系为主。投标人应根据季节不同提供适时菜品，每季度推出特色菜或新菜，在投标时提供四季菜谱方案，每季度至少一份周菜单。按采购人经济目标要求核算并帮助采购人控制好用餐成本。</w:t>
      </w:r>
    </w:p>
    <w:p>
      <w:pPr>
        <w:spacing w:line="360" w:lineRule="auto"/>
        <w:jc w:val="left"/>
        <w:rPr>
          <w:rFonts w:ascii="仿宋" w:hAnsi="仿宋" w:eastAsia="仿宋" w:cs="仿宋"/>
          <w:sz w:val="24"/>
        </w:rPr>
      </w:pPr>
      <w:r>
        <w:rPr>
          <w:rFonts w:hint="eastAsia" w:ascii="仿宋" w:hAnsi="仿宋" w:eastAsia="仿宋" w:cs="仿宋"/>
          <w:sz w:val="24"/>
        </w:rPr>
        <w:t>（3）投标人需具备保障资源，达到如下应急保障能力：在服务点遇到临时性保障任务（含停水停电停气、不良气候等情况下），接到通知2个小时以内，保障100人的应急水平。以上临时性保障任务，相关费用包含在投标报价中。</w:t>
      </w:r>
    </w:p>
    <w:p>
      <w:pPr>
        <w:spacing w:line="360" w:lineRule="auto"/>
        <w:jc w:val="left"/>
        <w:rPr>
          <w:rFonts w:ascii="仿宋" w:hAnsi="仿宋" w:eastAsia="仿宋" w:cs="仿宋"/>
          <w:sz w:val="24"/>
        </w:rPr>
      </w:pPr>
      <w:r>
        <w:rPr>
          <w:rFonts w:hint="eastAsia" w:ascii="仿宋" w:hAnsi="仿宋" w:eastAsia="仿宋" w:cs="仿宋"/>
          <w:sz w:val="24"/>
        </w:rPr>
        <w:t>（4）投标人需按采购人要求准时开餐、质量保证、卫生安全。</w:t>
      </w:r>
    </w:p>
    <w:p>
      <w:pPr>
        <w:spacing w:line="360" w:lineRule="auto"/>
        <w:jc w:val="left"/>
        <w:rPr>
          <w:rFonts w:ascii="仿宋" w:hAnsi="仿宋" w:eastAsia="仿宋" w:cs="仿宋"/>
          <w:sz w:val="24"/>
        </w:rPr>
      </w:pPr>
      <w:r>
        <w:rPr>
          <w:rFonts w:hint="eastAsia" w:ascii="仿宋" w:hAnsi="仿宋" w:eastAsia="仿宋" w:cs="仿宋"/>
          <w:sz w:val="24"/>
        </w:rPr>
        <w:t>2、服务人员配置及要求</w:t>
      </w:r>
    </w:p>
    <w:p>
      <w:pPr>
        <w:spacing w:line="360" w:lineRule="auto"/>
        <w:jc w:val="left"/>
        <w:rPr>
          <w:rFonts w:ascii="仿宋" w:hAnsi="仿宋" w:eastAsia="仿宋" w:cs="仿宋"/>
          <w:sz w:val="24"/>
        </w:rPr>
      </w:pPr>
      <w:r>
        <w:rPr>
          <w:rFonts w:hint="eastAsia" w:ascii="仿宋" w:hAnsi="仿宋" w:eastAsia="仿宋" w:cs="仿宋"/>
          <w:sz w:val="24"/>
        </w:rPr>
        <w:t>▲（1）按采购人服务要求合理配置专业厨师10人、洗切帮工20人等服务队伍。</w:t>
      </w:r>
    </w:p>
    <w:p>
      <w:pPr>
        <w:spacing w:line="360" w:lineRule="auto"/>
        <w:jc w:val="left"/>
        <w:rPr>
          <w:rFonts w:ascii="仿宋" w:hAnsi="仿宋" w:eastAsia="仿宋" w:cs="仿宋"/>
          <w:sz w:val="24"/>
        </w:rPr>
      </w:pPr>
      <w:r>
        <w:rPr>
          <w:rFonts w:hint="eastAsia" w:ascii="仿宋" w:hAnsi="仿宋" w:eastAsia="仿宋" w:cs="仿宋"/>
          <w:sz w:val="24"/>
        </w:rPr>
        <w:t>（2）服务队伍配置人数不少于下表。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559"/>
        <w:gridCol w:w="1134"/>
        <w:gridCol w:w="2271"/>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76" w:type="dxa"/>
            <w:vAlign w:val="center"/>
          </w:tcPr>
          <w:p>
            <w:pPr>
              <w:spacing w:before="120" w:beforeLines="50" w:line="360" w:lineRule="auto"/>
              <w:jc w:val="center"/>
              <w:outlineLvl w:val="3"/>
              <w:rPr>
                <w:rFonts w:ascii="仿宋" w:hAnsi="仿宋" w:eastAsia="仿宋" w:cs="仿宋"/>
                <w:b/>
                <w:sz w:val="24"/>
              </w:rPr>
            </w:pPr>
            <w:bookmarkStart w:id="27" w:name="_Toc19865"/>
            <w:r>
              <w:rPr>
                <w:rFonts w:hint="eastAsia" w:ascii="仿宋" w:hAnsi="仿宋" w:eastAsia="仿宋" w:cs="仿宋"/>
                <w:b/>
                <w:sz w:val="24"/>
              </w:rPr>
              <w:t>食堂分布</w:t>
            </w:r>
          </w:p>
        </w:tc>
        <w:tc>
          <w:tcPr>
            <w:tcW w:w="1559" w:type="dxa"/>
            <w:vAlign w:val="center"/>
          </w:tcPr>
          <w:p>
            <w:pPr>
              <w:spacing w:before="120" w:beforeLines="50" w:line="360" w:lineRule="auto"/>
              <w:jc w:val="center"/>
              <w:outlineLvl w:val="3"/>
              <w:rPr>
                <w:rFonts w:ascii="仿宋" w:hAnsi="仿宋" w:eastAsia="仿宋" w:cs="仿宋"/>
                <w:b/>
                <w:sz w:val="24"/>
              </w:rPr>
            </w:pPr>
            <w:r>
              <w:rPr>
                <w:rFonts w:hint="eastAsia" w:ascii="仿宋" w:hAnsi="仿宋" w:eastAsia="仿宋" w:cs="仿宋"/>
                <w:b/>
                <w:sz w:val="24"/>
              </w:rPr>
              <w:t>地址</w:t>
            </w:r>
          </w:p>
        </w:tc>
        <w:tc>
          <w:tcPr>
            <w:tcW w:w="1134" w:type="dxa"/>
            <w:vAlign w:val="center"/>
          </w:tcPr>
          <w:p>
            <w:pPr>
              <w:spacing w:before="120" w:beforeLines="50" w:line="360" w:lineRule="auto"/>
              <w:jc w:val="center"/>
              <w:outlineLvl w:val="3"/>
              <w:rPr>
                <w:rFonts w:ascii="仿宋" w:hAnsi="仿宋" w:eastAsia="仿宋" w:cs="仿宋"/>
                <w:b/>
                <w:sz w:val="24"/>
              </w:rPr>
            </w:pPr>
            <w:r>
              <w:rPr>
                <w:rFonts w:hint="eastAsia" w:ascii="仿宋" w:hAnsi="仿宋" w:eastAsia="仿宋" w:cs="仿宋"/>
                <w:b/>
                <w:sz w:val="24"/>
              </w:rPr>
              <w:t>餐数</w:t>
            </w:r>
          </w:p>
        </w:tc>
        <w:tc>
          <w:tcPr>
            <w:tcW w:w="2271" w:type="dxa"/>
            <w:vAlign w:val="center"/>
          </w:tcPr>
          <w:p>
            <w:pPr>
              <w:spacing w:before="120" w:beforeLines="50" w:line="360" w:lineRule="auto"/>
              <w:jc w:val="center"/>
              <w:outlineLvl w:val="3"/>
              <w:rPr>
                <w:rFonts w:ascii="仿宋" w:hAnsi="仿宋" w:eastAsia="仿宋" w:cs="仿宋"/>
                <w:b/>
                <w:sz w:val="24"/>
              </w:rPr>
            </w:pPr>
            <w:r>
              <w:rPr>
                <w:rFonts w:hint="eastAsia" w:ascii="仿宋" w:hAnsi="仿宋" w:eastAsia="仿宋" w:cs="仿宋"/>
                <w:b/>
                <w:sz w:val="24"/>
              </w:rPr>
              <w:t>服务人数（岗位分配）</w:t>
            </w:r>
          </w:p>
        </w:tc>
        <w:tc>
          <w:tcPr>
            <w:tcW w:w="1474" w:type="dxa"/>
            <w:vAlign w:val="center"/>
          </w:tcPr>
          <w:p>
            <w:pPr>
              <w:spacing w:before="120" w:beforeLines="50" w:line="360" w:lineRule="auto"/>
              <w:jc w:val="center"/>
              <w:outlineLvl w:val="3"/>
              <w:rPr>
                <w:rFonts w:ascii="仿宋" w:hAnsi="仿宋" w:eastAsia="仿宋" w:cs="仿宋"/>
                <w:b/>
                <w:sz w:val="24"/>
              </w:rPr>
            </w:pPr>
            <w:r>
              <w:rPr>
                <w:rFonts w:hint="eastAsia" w:ascii="仿宋" w:hAnsi="仿宋" w:eastAsia="仿宋" w:cs="仿宋"/>
                <w:b/>
                <w:sz w:val="24"/>
              </w:rPr>
              <w:t>每餐就餐人数（预计）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76"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翁梅站***</w:t>
            </w:r>
          </w:p>
        </w:tc>
        <w:tc>
          <w:tcPr>
            <w:tcW w:w="1559"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余杭区天万街240号</w:t>
            </w:r>
          </w:p>
        </w:tc>
        <w:tc>
          <w:tcPr>
            <w:tcW w:w="113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早、中、晚3餐</w:t>
            </w:r>
          </w:p>
        </w:tc>
        <w:tc>
          <w:tcPr>
            <w:tcW w:w="2271"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3人（厨师1人，帮工2人。）</w:t>
            </w:r>
          </w:p>
        </w:tc>
        <w:tc>
          <w:tcPr>
            <w:tcW w:w="147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20-50人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276"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打铁关站***</w:t>
            </w:r>
          </w:p>
        </w:tc>
        <w:tc>
          <w:tcPr>
            <w:tcW w:w="1559"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打铁关新村13-4-102</w:t>
            </w:r>
          </w:p>
        </w:tc>
        <w:tc>
          <w:tcPr>
            <w:tcW w:w="113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早、中、晚3餐</w:t>
            </w:r>
          </w:p>
        </w:tc>
        <w:tc>
          <w:tcPr>
            <w:tcW w:w="2271"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3人（厨师1人，帮工2人。）</w:t>
            </w:r>
          </w:p>
        </w:tc>
        <w:tc>
          <w:tcPr>
            <w:tcW w:w="147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25-50人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76"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特警大队</w:t>
            </w:r>
          </w:p>
        </w:tc>
        <w:tc>
          <w:tcPr>
            <w:tcW w:w="1559"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萧山湘西路湘湖地铁基地旁</w:t>
            </w:r>
          </w:p>
        </w:tc>
        <w:tc>
          <w:tcPr>
            <w:tcW w:w="113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早、中、晚3餐</w:t>
            </w:r>
          </w:p>
        </w:tc>
        <w:tc>
          <w:tcPr>
            <w:tcW w:w="2271"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3人（厨师1人，帮工2人。）</w:t>
            </w:r>
          </w:p>
        </w:tc>
        <w:tc>
          <w:tcPr>
            <w:tcW w:w="147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30-50人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276"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湘湖站***</w:t>
            </w:r>
          </w:p>
        </w:tc>
        <w:tc>
          <w:tcPr>
            <w:tcW w:w="1559"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萧山风情大道湘湖地铁基地旁</w:t>
            </w:r>
          </w:p>
        </w:tc>
        <w:tc>
          <w:tcPr>
            <w:tcW w:w="113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早、中、晚3餐</w:t>
            </w:r>
          </w:p>
        </w:tc>
        <w:tc>
          <w:tcPr>
            <w:tcW w:w="2271"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3人（厨师1人，帮工2人。）</w:t>
            </w:r>
          </w:p>
        </w:tc>
        <w:tc>
          <w:tcPr>
            <w:tcW w:w="147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25-30人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76"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市民中心站***</w:t>
            </w:r>
          </w:p>
        </w:tc>
        <w:tc>
          <w:tcPr>
            <w:tcW w:w="1559"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新业路366号</w:t>
            </w:r>
          </w:p>
        </w:tc>
        <w:tc>
          <w:tcPr>
            <w:tcW w:w="113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早、中、晚3餐</w:t>
            </w:r>
          </w:p>
        </w:tc>
        <w:tc>
          <w:tcPr>
            <w:tcW w:w="2271"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3人（厨师1人，帮工2人。）</w:t>
            </w:r>
          </w:p>
        </w:tc>
        <w:tc>
          <w:tcPr>
            <w:tcW w:w="147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20-50人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276"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下沙江滨站***</w:t>
            </w:r>
          </w:p>
        </w:tc>
        <w:tc>
          <w:tcPr>
            <w:tcW w:w="1559"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下沙开发区25号大街与14号大街交叉口</w:t>
            </w:r>
          </w:p>
        </w:tc>
        <w:tc>
          <w:tcPr>
            <w:tcW w:w="113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早、中、晚3餐</w:t>
            </w:r>
          </w:p>
        </w:tc>
        <w:tc>
          <w:tcPr>
            <w:tcW w:w="2271"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3人（厨师1人，帮工2人。）</w:t>
            </w:r>
          </w:p>
        </w:tc>
        <w:tc>
          <w:tcPr>
            <w:tcW w:w="147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20-50人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276"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杜甫村站***</w:t>
            </w:r>
          </w:p>
        </w:tc>
        <w:tc>
          <w:tcPr>
            <w:tcW w:w="1559"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余杭区双桥停车场</w:t>
            </w:r>
          </w:p>
        </w:tc>
        <w:tc>
          <w:tcPr>
            <w:tcW w:w="113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早、中、晚3餐</w:t>
            </w:r>
          </w:p>
        </w:tc>
        <w:tc>
          <w:tcPr>
            <w:tcW w:w="2271"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3人（厨师1人，帮工2人。）</w:t>
            </w:r>
          </w:p>
        </w:tc>
        <w:tc>
          <w:tcPr>
            <w:tcW w:w="147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20-40人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276"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双浦站***</w:t>
            </w:r>
          </w:p>
        </w:tc>
        <w:tc>
          <w:tcPr>
            <w:tcW w:w="1559"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西湖区科海南路双浦车辆段内</w:t>
            </w:r>
          </w:p>
        </w:tc>
        <w:tc>
          <w:tcPr>
            <w:tcW w:w="113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早、中、晚3餐</w:t>
            </w:r>
          </w:p>
        </w:tc>
        <w:tc>
          <w:tcPr>
            <w:tcW w:w="2271"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3人（厨师1人，帮工2人。）</w:t>
            </w:r>
          </w:p>
        </w:tc>
        <w:tc>
          <w:tcPr>
            <w:tcW w:w="147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20-30人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276"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姑娘桥站***</w:t>
            </w:r>
          </w:p>
        </w:tc>
        <w:tc>
          <w:tcPr>
            <w:tcW w:w="1559"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萧山区新塘街道和平桥村</w:t>
            </w:r>
          </w:p>
        </w:tc>
        <w:tc>
          <w:tcPr>
            <w:tcW w:w="113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早、中、晚3餐</w:t>
            </w:r>
          </w:p>
        </w:tc>
        <w:tc>
          <w:tcPr>
            <w:tcW w:w="2271"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3人（厨师1人，帮工2人。）</w:t>
            </w:r>
          </w:p>
        </w:tc>
        <w:tc>
          <w:tcPr>
            <w:tcW w:w="147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10-20人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276"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九州街站***</w:t>
            </w:r>
          </w:p>
        </w:tc>
        <w:tc>
          <w:tcPr>
            <w:tcW w:w="1559"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临安区上泉村上泉车辆段内</w:t>
            </w:r>
          </w:p>
        </w:tc>
        <w:tc>
          <w:tcPr>
            <w:tcW w:w="113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早、中、晚3餐</w:t>
            </w:r>
          </w:p>
        </w:tc>
        <w:tc>
          <w:tcPr>
            <w:tcW w:w="2271"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3人（厨师1人，帮工2人。）</w:t>
            </w:r>
          </w:p>
        </w:tc>
        <w:tc>
          <w:tcPr>
            <w:tcW w:w="147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20-30人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276"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合计</w:t>
            </w:r>
          </w:p>
        </w:tc>
        <w:tc>
          <w:tcPr>
            <w:tcW w:w="1559" w:type="dxa"/>
            <w:vAlign w:val="center"/>
          </w:tcPr>
          <w:p>
            <w:pPr>
              <w:spacing w:before="120" w:beforeLines="50" w:line="360" w:lineRule="auto"/>
              <w:jc w:val="center"/>
              <w:outlineLvl w:val="3"/>
              <w:rPr>
                <w:rFonts w:ascii="仿宋" w:hAnsi="仿宋" w:eastAsia="仿宋" w:cs="仿宋"/>
                <w:bCs/>
                <w:sz w:val="24"/>
              </w:rPr>
            </w:pPr>
          </w:p>
        </w:tc>
        <w:tc>
          <w:tcPr>
            <w:tcW w:w="113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w:t>
            </w:r>
          </w:p>
        </w:tc>
        <w:tc>
          <w:tcPr>
            <w:tcW w:w="2271"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30人</w:t>
            </w:r>
          </w:p>
        </w:tc>
        <w:tc>
          <w:tcPr>
            <w:tcW w:w="147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w:t>
            </w:r>
          </w:p>
        </w:tc>
      </w:tr>
    </w:tbl>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sz w:val="24"/>
        </w:rPr>
        <w:t>（3）以上所有岗位年龄要求55周岁（含）以下，男女不限，若有特殊技能，年龄可适当放宽；厨师具备初级中式烹调师职业技能等级证书，并有3年以上工作经验；提供365天（含法定节假日）食堂服务，全年无休，由投标人按照采购人用餐需求、用餐时间明确分工、合理排班、合理安排各岗位工作时间等，确保食堂顺畅运行；</w:t>
      </w:r>
    </w:p>
    <w:p>
      <w:pPr>
        <w:spacing w:line="360" w:lineRule="auto"/>
        <w:jc w:val="left"/>
        <w:rPr>
          <w:rFonts w:ascii="仿宋" w:hAnsi="仿宋" w:eastAsia="仿宋" w:cs="仿宋"/>
          <w:sz w:val="24"/>
        </w:rPr>
      </w:pPr>
      <w:r>
        <w:rPr>
          <w:rFonts w:hint="eastAsia" w:ascii="仿宋" w:hAnsi="仿宋" w:eastAsia="仿宋" w:cs="仿宋"/>
          <w:sz w:val="24"/>
        </w:rPr>
        <w:t>▲（4）</w:t>
      </w:r>
      <w:bookmarkEnd w:id="27"/>
      <w:r>
        <w:rPr>
          <w:rFonts w:hint="eastAsia" w:ascii="仿宋" w:hAnsi="仿宋" w:eastAsia="仿宋" w:cs="仿宋"/>
          <w:sz w:val="24"/>
        </w:rPr>
        <w:t>所有工作人员上岗前必须通过卫生部门指定医院（或防疫站）的体检，并领取饮食行业健康证。费用包含在投标报价中；外来务工人员必须具有公安部门核发的临时居住证，并确保无违法犯罪纪录。</w:t>
      </w:r>
    </w:p>
    <w:p>
      <w:pPr>
        <w:spacing w:line="360" w:lineRule="auto"/>
        <w:jc w:val="left"/>
        <w:rPr>
          <w:rFonts w:ascii="仿宋" w:hAnsi="仿宋" w:eastAsia="仿宋" w:cs="仿宋"/>
          <w:sz w:val="24"/>
        </w:rPr>
      </w:pPr>
      <w:r>
        <w:rPr>
          <w:rFonts w:hint="eastAsia" w:ascii="仿宋" w:hAnsi="仿宋" w:eastAsia="仿宋" w:cs="仿宋"/>
          <w:sz w:val="24"/>
        </w:rPr>
        <w:t>（5）投标人必须按照劳动合同法的规定合法规范用工，并全面承担服务人员涉及劳动关系的所有事宜。</w:t>
      </w:r>
    </w:p>
    <w:p>
      <w:pPr>
        <w:spacing w:line="360" w:lineRule="auto"/>
        <w:jc w:val="left"/>
        <w:rPr>
          <w:rFonts w:ascii="仿宋" w:hAnsi="仿宋" w:eastAsia="仿宋" w:cs="仿宋"/>
          <w:sz w:val="24"/>
        </w:rPr>
      </w:pPr>
      <w:r>
        <w:rPr>
          <w:rFonts w:hint="eastAsia" w:ascii="仿宋" w:hAnsi="仿宋" w:eastAsia="仿宋" w:cs="仿宋"/>
          <w:sz w:val="24"/>
        </w:rPr>
        <w:t>（6）投标人应了解服务人员的思想动态、工作表现、遵纪情况以及采购人其他合理要求，提供最佳服务。</w:t>
      </w:r>
    </w:p>
    <w:p>
      <w:pPr>
        <w:spacing w:line="360" w:lineRule="auto"/>
        <w:jc w:val="left"/>
        <w:rPr>
          <w:rFonts w:ascii="仿宋" w:hAnsi="仿宋" w:eastAsia="仿宋" w:cs="仿宋"/>
          <w:sz w:val="24"/>
        </w:rPr>
      </w:pPr>
      <w:r>
        <w:rPr>
          <w:rFonts w:hint="eastAsia" w:ascii="仿宋" w:hAnsi="仿宋" w:eastAsia="仿宋" w:cs="仿宋"/>
          <w:sz w:val="24"/>
        </w:rPr>
        <w:t>（7）根据采购人的服务要求设定工作岗位，分配工作任务，对服务人员的工作情况实行监督、检查，并有合理的员工绩效考核方案，调动员工的工作热情和服务精神。</w:t>
      </w:r>
    </w:p>
    <w:p>
      <w:pPr>
        <w:spacing w:line="360" w:lineRule="auto"/>
        <w:jc w:val="left"/>
        <w:rPr>
          <w:rFonts w:ascii="仿宋" w:hAnsi="仿宋" w:eastAsia="仿宋" w:cs="仿宋"/>
          <w:sz w:val="24"/>
        </w:rPr>
      </w:pPr>
      <w:r>
        <w:rPr>
          <w:rFonts w:hint="eastAsia" w:ascii="仿宋" w:hAnsi="仿宋" w:eastAsia="仿宋" w:cs="仿宋"/>
          <w:sz w:val="24"/>
        </w:rPr>
        <w:t>（8）投标人服务人员应遵守采购人的规章制度及疫情防控制度。</w:t>
      </w:r>
    </w:p>
    <w:p>
      <w:pPr>
        <w:spacing w:line="360" w:lineRule="auto"/>
        <w:jc w:val="left"/>
        <w:rPr>
          <w:rFonts w:ascii="仿宋" w:hAnsi="仿宋" w:eastAsia="仿宋" w:cs="仿宋"/>
          <w:sz w:val="24"/>
        </w:rPr>
      </w:pPr>
      <w:r>
        <w:rPr>
          <w:rFonts w:hint="eastAsia" w:ascii="仿宋" w:hAnsi="仿宋" w:eastAsia="仿宋" w:cs="仿宋"/>
          <w:sz w:val="24"/>
        </w:rPr>
        <w:t>（9）投标人工作人员应相对稳定，服务人员的年流动率不能超过10%（如某个岗位有人员更换调动，须提前通知采购人书面认可，并且在2个工作日内补充该岗位工作人员，其中项目负责人、厨师等主要管理岗位人员变动需提前1个月征求采购人意见。）</w:t>
      </w:r>
    </w:p>
    <w:p>
      <w:pPr>
        <w:spacing w:line="360" w:lineRule="auto"/>
        <w:jc w:val="left"/>
        <w:rPr>
          <w:rFonts w:ascii="仿宋" w:hAnsi="仿宋" w:eastAsia="仿宋" w:cs="仿宋"/>
          <w:sz w:val="24"/>
        </w:rPr>
      </w:pPr>
      <w:r>
        <w:rPr>
          <w:rFonts w:hint="eastAsia" w:ascii="仿宋" w:hAnsi="仿宋" w:eastAsia="仿宋" w:cs="仿宋"/>
          <w:sz w:val="24"/>
        </w:rPr>
        <w:t>（10）投标报价应包含</w:t>
      </w:r>
      <w:r>
        <w:rPr>
          <w:rFonts w:hint="eastAsia" w:ascii="仿宋" w:hAnsi="仿宋" w:eastAsia="仿宋" w:cs="仿宋"/>
          <w:bCs/>
          <w:sz w:val="24"/>
        </w:rPr>
        <w:t>所有人员在服务期内的工资（员工工资不得低于杭州市对于最低工资标准、工作时间按照劳动法的相关规定，所有工作人员必须交纳包括养老、工伤、失业、医疗等在内的社会保险，依法支付加班费、高温费、福利等）、管理、劳务、服装、培训、体检、保险、通讯、食宿、风险及政策性文件规定等各项应有费用，还应包括为完成本项目服务可能发生的全部费用及投标人的利润、应交纳的税金等一切相关费用。</w:t>
      </w:r>
    </w:p>
    <w:p>
      <w:pPr>
        <w:spacing w:line="360" w:lineRule="auto"/>
        <w:jc w:val="left"/>
        <w:rPr>
          <w:rFonts w:ascii="仿宋" w:hAnsi="仿宋" w:eastAsia="仿宋" w:cs="仿宋"/>
          <w:sz w:val="24"/>
        </w:rPr>
      </w:pPr>
      <w:r>
        <w:rPr>
          <w:rFonts w:hint="eastAsia" w:ascii="仿宋" w:hAnsi="仿宋" w:eastAsia="仿宋" w:cs="仿宋"/>
          <w:sz w:val="24"/>
        </w:rPr>
        <w:t>（11）投标人所有人员的事故由投标人自行全权负责(如投标人应对其员工投保人身意外险等)，以保证采购人在投标人工作人员索赔时不受任何责任的约束。</w:t>
      </w:r>
    </w:p>
    <w:p>
      <w:pPr>
        <w:spacing w:line="360" w:lineRule="auto"/>
        <w:jc w:val="left"/>
        <w:rPr>
          <w:rFonts w:ascii="仿宋" w:hAnsi="仿宋" w:eastAsia="仿宋" w:cs="仿宋"/>
          <w:sz w:val="24"/>
        </w:rPr>
      </w:pPr>
      <w:r>
        <w:rPr>
          <w:rFonts w:hint="eastAsia" w:ascii="仿宋" w:hAnsi="仿宋" w:eastAsia="仿宋" w:cs="仿宋"/>
          <w:sz w:val="24"/>
        </w:rPr>
        <w:t>（12）投标人的项目负责人需与采购人保持密切联系，每个月至少一次</w:t>
      </w:r>
      <w:r>
        <w:rPr>
          <w:rFonts w:hint="eastAsia" w:ascii="仿宋" w:hAnsi="仿宋" w:eastAsia="仿宋" w:cs="仿宋"/>
          <w:bCs/>
          <w:sz w:val="24"/>
        </w:rPr>
        <w:t>到现场与各服务点</w:t>
      </w:r>
      <w:r>
        <w:rPr>
          <w:rFonts w:hint="eastAsia" w:ascii="仿宋" w:hAnsi="仿宋" w:eastAsia="仿宋" w:cs="仿宋"/>
          <w:sz w:val="24"/>
        </w:rPr>
        <w:t>的采购人食堂管理员对接，对接内容包括服务人员到位、工作落实及采购人有无投诉情况等，以保证服务工作的质量与水平。</w:t>
      </w:r>
      <w:r>
        <w:rPr>
          <w:rFonts w:hint="eastAsia" w:ascii="仿宋" w:hAnsi="仿宋" w:eastAsia="仿宋" w:cs="仿宋"/>
          <w:bCs/>
          <w:sz w:val="24"/>
        </w:rPr>
        <w:t>其中项目负责人、厨师等主要管理岗位人员变动需提前1个月书面经采购人确认。</w:t>
      </w:r>
    </w:p>
    <w:p>
      <w:pPr>
        <w:spacing w:line="360" w:lineRule="auto"/>
        <w:jc w:val="left"/>
        <w:rPr>
          <w:rFonts w:ascii="仿宋" w:hAnsi="仿宋" w:eastAsia="仿宋" w:cs="仿宋"/>
          <w:sz w:val="24"/>
        </w:rPr>
      </w:pPr>
      <w:r>
        <w:rPr>
          <w:rFonts w:hint="eastAsia" w:ascii="仿宋" w:hAnsi="仿宋" w:eastAsia="仿宋" w:cs="仿宋"/>
          <w:sz w:val="24"/>
        </w:rPr>
        <w:t>（13）人员培训：</w:t>
      </w:r>
    </w:p>
    <w:p>
      <w:pPr>
        <w:spacing w:line="360" w:lineRule="auto"/>
        <w:jc w:val="left"/>
        <w:rPr>
          <w:rFonts w:ascii="仿宋" w:hAnsi="仿宋" w:eastAsia="仿宋" w:cs="仿宋"/>
          <w:sz w:val="24"/>
        </w:rPr>
      </w:pPr>
      <w:r>
        <w:rPr>
          <w:rFonts w:hint="eastAsia" w:ascii="仿宋" w:hAnsi="仿宋" w:eastAsia="仿宋" w:cs="仿宋"/>
          <w:sz w:val="24"/>
        </w:rPr>
        <w:t>培训目的：根据项目的目标和现实情况，对相关人员进行培训，通过培训使食堂工作人员熟悉相关法律法规、操作流程、专业知识、餐饮保障等，提高餐饮服务保障水平。</w:t>
      </w:r>
    </w:p>
    <w:p>
      <w:pPr>
        <w:snapToGrid w:val="0"/>
        <w:spacing w:line="360" w:lineRule="auto"/>
        <w:rPr>
          <w:rFonts w:ascii="仿宋" w:hAnsi="仿宋" w:eastAsia="仿宋" w:cs="仿宋"/>
          <w:sz w:val="24"/>
        </w:rPr>
      </w:pPr>
      <w:r>
        <w:rPr>
          <w:rFonts w:hint="eastAsia" w:ascii="仿宋" w:hAnsi="仿宋" w:eastAsia="仿宋" w:cs="仿宋"/>
          <w:sz w:val="24"/>
        </w:rPr>
        <w:t>培训内容：投标人要对所有服务人员每人每年不少于2次培训。培训时间、地点、方式由投标人自行组织，培训内容包括：餐饮相关法律法规、劳动纪律、工作流程、工作标准、考核标准、业务技能等。培训费用包含在投标报价中。</w:t>
      </w:r>
    </w:p>
    <w:p>
      <w:pPr>
        <w:pStyle w:val="961"/>
        <w:spacing w:line="360" w:lineRule="auto"/>
        <w:rPr>
          <w:rFonts w:ascii="仿宋" w:hAnsi="仿宋" w:eastAsia="仿宋" w:cs="仿宋"/>
        </w:rPr>
      </w:pPr>
    </w:p>
    <w:p>
      <w:pPr>
        <w:spacing w:line="360" w:lineRule="auto"/>
        <w:jc w:val="left"/>
        <w:rPr>
          <w:rFonts w:ascii="仿宋" w:hAnsi="仿宋" w:eastAsia="仿宋" w:cs="仿宋"/>
          <w:sz w:val="24"/>
        </w:rPr>
      </w:pPr>
      <w:r>
        <w:rPr>
          <w:rFonts w:hint="eastAsia" w:ascii="仿宋" w:hAnsi="仿宋" w:eastAsia="仿宋" w:cs="仿宋"/>
          <w:sz w:val="24"/>
        </w:rPr>
        <w:t>3、其他服务要求</w:t>
      </w:r>
    </w:p>
    <w:p>
      <w:pPr>
        <w:spacing w:line="360" w:lineRule="auto"/>
        <w:jc w:val="left"/>
        <w:rPr>
          <w:rFonts w:ascii="仿宋" w:hAnsi="仿宋" w:eastAsia="仿宋" w:cs="仿宋"/>
          <w:sz w:val="24"/>
        </w:rPr>
      </w:pPr>
      <w:r>
        <w:rPr>
          <w:rFonts w:hint="eastAsia" w:ascii="仿宋" w:hAnsi="仿宋" w:eastAsia="仿宋" w:cs="仿宋"/>
          <w:sz w:val="24"/>
        </w:rPr>
        <w:t>（1）投标人应做好食品卫生、食堂消防安全等管理工作，规范物品摆放，落实烟道除垢、地沟油污清理工作，包括烟罩烟道保洁、擦拭、清洗及管道内清理等，烟道清理一年不少于2次，费用由投标人承担包含在本次投标报价中。</w:t>
      </w:r>
    </w:p>
    <w:p>
      <w:pPr>
        <w:spacing w:line="360" w:lineRule="auto"/>
        <w:jc w:val="left"/>
        <w:rPr>
          <w:rFonts w:ascii="仿宋" w:hAnsi="仿宋" w:eastAsia="仿宋" w:cs="仿宋"/>
          <w:sz w:val="24"/>
        </w:rPr>
      </w:pPr>
      <w:r>
        <w:rPr>
          <w:rFonts w:hint="eastAsia" w:ascii="仿宋" w:hAnsi="仿宋" w:eastAsia="仿宋" w:cs="仿宋"/>
          <w:sz w:val="24"/>
        </w:rPr>
        <w:t>（2）采购人提供厨房、餐厅等用餐场所及用具，投标人在服务期内应妥善使用并保管，如有遗失、损坏，投标人负责赔偿（属自然损耗、采购人原因损坏等情况，投标人应在三天内对上述损坏物品如实向采购人申请报废或新购）。</w:t>
      </w:r>
    </w:p>
    <w:p>
      <w:pPr>
        <w:spacing w:line="360" w:lineRule="auto"/>
        <w:jc w:val="left"/>
        <w:rPr>
          <w:rFonts w:ascii="仿宋" w:hAnsi="仿宋" w:eastAsia="仿宋" w:cs="仿宋"/>
          <w:sz w:val="24"/>
        </w:rPr>
      </w:pPr>
      <w:r>
        <w:rPr>
          <w:rFonts w:hint="eastAsia" w:ascii="仿宋" w:hAnsi="仿宋" w:eastAsia="仿宋" w:cs="仿宋"/>
          <w:sz w:val="24"/>
        </w:rPr>
        <w:t>（3）投标人负责管理与服务所需的各种设备、设施、维修材料、工具、低值易耗品、一次性用品以及餐饮原材料的采购（除另有规定的以外），由投标人编制计划、预算和采购清单，经采购人审核同意后，由采购人负责采购提供。投标人与采购人共同验收后由投标人妥善保管，避免食品过期及浪费的情况。</w:t>
      </w:r>
    </w:p>
    <w:p>
      <w:pPr>
        <w:spacing w:line="360" w:lineRule="auto"/>
        <w:jc w:val="left"/>
        <w:rPr>
          <w:rFonts w:ascii="仿宋" w:hAnsi="仿宋" w:eastAsia="仿宋" w:cs="仿宋"/>
          <w:sz w:val="24"/>
        </w:rPr>
      </w:pPr>
      <w:r>
        <w:rPr>
          <w:rFonts w:hint="eastAsia" w:ascii="仿宋" w:hAnsi="仿宋" w:eastAsia="仿宋" w:cs="仿宋"/>
          <w:sz w:val="24"/>
        </w:rPr>
        <w:t>（4）投标人应针对本项目建立健全各项规章制度、岗位责任制、操作规程和各项台账。</w:t>
      </w:r>
    </w:p>
    <w:p>
      <w:pPr>
        <w:pStyle w:val="2"/>
        <w:rPr>
          <w:rFonts w:ascii="仿宋" w:eastAsia="仿宋" w:cs="仿宋"/>
          <w:b w:val="0"/>
          <w:bCs w:val="0"/>
          <w:sz w:val="24"/>
          <w:szCs w:val="24"/>
          <w:lang w:val="en-US"/>
        </w:rPr>
      </w:pPr>
      <w:r>
        <w:rPr>
          <w:rFonts w:hint="eastAsia" w:ascii="仿宋" w:eastAsia="仿宋" w:cs="仿宋"/>
          <w:b w:val="0"/>
          <w:bCs w:val="0"/>
          <w:sz w:val="24"/>
          <w:szCs w:val="24"/>
          <w:lang w:val="en-US"/>
        </w:rPr>
        <w:t>（5）投标人需按照采购人提供的就餐人数、标准严格制订加工制作方案。</w:t>
      </w:r>
    </w:p>
    <w:p>
      <w:pPr>
        <w:spacing w:line="360" w:lineRule="auto"/>
        <w:jc w:val="left"/>
        <w:rPr>
          <w:rFonts w:ascii="仿宋" w:hAnsi="仿宋" w:eastAsia="仿宋" w:cs="仿宋"/>
          <w:sz w:val="24"/>
        </w:rPr>
      </w:pPr>
      <w:r>
        <w:rPr>
          <w:rFonts w:hint="eastAsia" w:ascii="仿宋" w:hAnsi="仿宋" w:eastAsia="仿宋" w:cs="仿宋"/>
          <w:sz w:val="24"/>
        </w:rPr>
        <w:t>（6）投标人须自行配备员工工作所需的劳保用品和工作制服（每人一套），包括服装、帽子、工作牌、口罩、手套、围裙、雨鞋等。所有工作人员上岗必须统一着装。无论中标人是否变更需为全新。</w:t>
      </w:r>
    </w:p>
    <w:p>
      <w:pPr>
        <w:spacing w:line="360" w:lineRule="auto"/>
        <w:jc w:val="left"/>
        <w:rPr>
          <w:rFonts w:ascii="仿宋" w:hAnsi="仿宋" w:eastAsia="仿宋" w:cs="仿宋"/>
          <w:sz w:val="24"/>
        </w:rPr>
      </w:pPr>
      <w:r>
        <w:rPr>
          <w:rFonts w:hint="eastAsia" w:ascii="仿宋" w:hAnsi="仿宋" w:eastAsia="仿宋" w:cs="仿宋"/>
          <w:sz w:val="24"/>
        </w:rPr>
        <w:t>（7）监督配合物业公司做好食堂区域内的四害消杀工作（蟑螂、老鼠、苍蝇、蚂蚁等）。</w:t>
      </w:r>
    </w:p>
    <w:p>
      <w:pPr>
        <w:spacing w:line="360" w:lineRule="auto"/>
        <w:jc w:val="left"/>
        <w:rPr>
          <w:rFonts w:ascii="仿宋" w:hAnsi="仿宋" w:eastAsia="仿宋" w:cs="仿宋"/>
          <w:sz w:val="24"/>
        </w:rPr>
      </w:pPr>
      <w:r>
        <w:rPr>
          <w:rFonts w:hint="eastAsia" w:ascii="仿宋" w:hAnsi="仿宋" w:eastAsia="仿宋" w:cs="仿宋"/>
          <w:sz w:val="24"/>
        </w:rPr>
        <w:t>（8）保密规定：①采购人应当对投标人的服务人员开展常态化安全保密教育，组织签订安全保密承诺书，明确具体安全管理内容、安全保密义务和责任；</w:t>
      </w:r>
    </w:p>
    <w:p>
      <w:pPr>
        <w:spacing w:line="360" w:lineRule="auto"/>
        <w:jc w:val="left"/>
        <w:rPr>
          <w:rFonts w:ascii="仿宋" w:hAnsi="仿宋" w:eastAsia="仿宋" w:cs="仿宋"/>
          <w:sz w:val="24"/>
        </w:rPr>
      </w:pPr>
      <w:r>
        <w:rPr>
          <w:rFonts w:hint="eastAsia" w:ascii="仿宋" w:hAnsi="仿宋" w:eastAsia="仿宋" w:cs="仿宋"/>
          <w:sz w:val="24"/>
        </w:rPr>
        <w:t>②投标人的服务人员违反安全管理要求，构成违法犯罪的，采购人应当及时报送本级政府采购和市场监督管理部门，提请列入政府采购严重违法失信行为记录名单、市场监督管理严重失信名单，并追究相关责任。</w:t>
      </w:r>
    </w:p>
    <w:p>
      <w:pPr>
        <w:spacing w:line="360" w:lineRule="auto"/>
        <w:jc w:val="left"/>
        <w:rPr>
          <w:rFonts w:ascii="仿宋" w:hAnsi="仿宋" w:eastAsia="仿宋" w:cs="仿宋"/>
          <w:sz w:val="24"/>
        </w:rPr>
      </w:pPr>
      <w:r>
        <w:rPr>
          <w:rFonts w:hint="eastAsia" w:ascii="仿宋" w:hAnsi="仿宋" w:eastAsia="仿宋" w:cs="仿宋"/>
          <w:sz w:val="24"/>
        </w:rPr>
        <w:t>（9）卫生管理要求：</w:t>
      </w:r>
    </w:p>
    <w:p>
      <w:pPr>
        <w:spacing w:line="360" w:lineRule="auto"/>
        <w:jc w:val="left"/>
        <w:rPr>
          <w:rFonts w:ascii="仿宋" w:hAnsi="仿宋" w:eastAsia="仿宋" w:cs="仿宋"/>
          <w:sz w:val="24"/>
        </w:rPr>
      </w:pPr>
      <w:r>
        <w:rPr>
          <w:rFonts w:hint="eastAsia" w:ascii="仿宋" w:hAnsi="仿宋" w:eastAsia="仿宋" w:cs="仿宋"/>
          <w:sz w:val="24"/>
        </w:rPr>
        <w:t>①严格按照《中华人民共和国食品安全法》验收、清洗、加工要求制作食品，食品与非食品、生食与熟食应当有适当的分隔措施，固定的存放位置；厨房用品用具严格实行一洗二清三过四消毒的规程。</w:t>
      </w:r>
    </w:p>
    <w:p>
      <w:pPr>
        <w:spacing w:line="360" w:lineRule="auto"/>
        <w:jc w:val="left"/>
        <w:rPr>
          <w:rFonts w:ascii="仿宋" w:hAnsi="仿宋" w:eastAsia="仿宋" w:cs="仿宋"/>
          <w:sz w:val="24"/>
        </w:rPr>
      </w:pPr>
      <w:r>
        <w:rPr>
          <w:rFonts w:hint="eastAsia" w:ascii="仿宋" w:hAnsi="仿宋" w:eastAsia="仿宋" w:cs="仿宋"/>
          <w:sz w:val="24"/>
        </w:rPr>
        <w:t>②对食堂的厨房、餐厅等所有区域的卫生应按《五常法》管理模式，实行分层负责，定置、定量、定位、定进出、定标识、责任到人。</w:t>
      </w:r>
    </w:p>
    <w:p>
      <w:pPr>
        <w:spacing w:line="360" w:lineRule="auto"/>
        <w:jc w:val="left"/>
        <w:rPr>
          <w:rFonts w:ascii="仿宋" w:hAnsi="仿宋" w:eastAsia="仿宋" w:cs="仿宋"/>
          <w:sz w:val="24"/>
        </w:rPr>
      </w:pPr>
      <w:r>
        <w:rPr>
          <w:rFonts w:hint="eastAsia" w:ascii="仿宋" w:hAnsi="仿宋" w:eastAsia="仿宋" w:cs="仿宋"/>
          <w:sz w:val="24"/>
        </w:rPr>
        <w:t>③自觉接受卫生管理部门和采购人管理人员对食堂内工作检查、监督。</w:t>
      </w:r>
    </w:p>
    <w:p>
      <w:pPr>
        <w:spacing w:line="360" w:lineRule="auto"/>
        <w:jc w:val="left"/>
        <w:rPr>
          <w:rFonts w:ascii="仿宋" w:hAnsi="仿宋" w:eastAsia="仿宋" w:cs="仿宋"/>
          <w:sz w:val="24"/>
        </w:rPr>
      </w:pPr>
      <w:r>
        <w:rPr>
          <w:rFonts w:hint="eastAsia" w:ascii="仿宋" w:hAnsi="仿宋" w:eastAsia="仿宋" w:cs="仿宋"/>
          <w:sz w:val="24"/>
        </w:rPr>
        <w:t>④餐厅、厨房用品摆放规范、环境整洁，垃圾污物应按指定地点放置，并及时清理，不得随意弃放。</w:t>
      </w:r>
    </w:p>
    <w:p>
      <w:pPr>
        <w:spacing w:line="360" w:lineRule="auto"/>
        <w:jc w:val="left"/>
        <w:rPr>
          <w:rFonts w:ascii="仿宋" w:hAnsi="仿宋" w:eastAsia="仿宋" w:cs="仿宋"/>
          <w:sz w:val="24"/>
        </w:rPr>
      </w:pPr>
      <w:r>
        <w:rPr>
          <w:rFonts w:hint="eastAsia" w:ascii="仿宋" w:hAnsi="仿宋" w:eastAsia="仿宋" w:cs="仿宋"/>
          <w:sz w:val="24"/>
        </w:rPr>
        <w:t>（10）安全管理要求：</w:t>
      </w:r>
    </w:p>
    <w:p>
      <w:pPr>
        <w:spacing w:line="360" w:lineRule="auto"/>
        <w:jc w:val="left"/>
        <w:rPr>
          <w:rFonts w:ascii="仿宋" w:hAnsi="仿宋" w:eastAsia="仿宋" w:cs="仿宋"/>
          <w:sz w:val="24"/>
        </w:rPr>
      </w:pPr>
      <w:r>
        <w:rPr>
          <w:rFonts w:hint="eastAsia" w:ascii="仿宋" w:hAnsi="仿宋" w:eastAsia="仿宋" w:cs="仿宋"/>
          <w:sz w:val="24"/>
        </w:rPr>
        <w:t>①严禁使用任何变质或受污染的原料制作食品，防止食物中毒事件发生，因投标人过错造成食堂就餐人员中毒，经医院确认，投标人承担一切法律与经济责任，采购人可以单方面终止合同，且履约保证金不予退还。</w:t>
      </w:r>
    </w:p>
    <w:p>
      <w:pPr>
        <w:spacing w:line="360" w:lineRule="auto"/>
        <w:jc w:val="left"/>
        <w:rPr>
          <w:rFonts w:ascii="仿宋" w:hAnsi="仿宋" w:eastAsia="仿宋" w:cs="仿宋"/>
          <w:sz w:val="24"/>
        </w:rPr>
      </w:pPr>
      <w:r>
        <w:rPr>
          <w:rFonts w:hint="eastAsia" w:ascii="仿宋" w:hAnsi="仿宋" w:eastAsia="仿宋" w:cs="仿宋"/>
          <w:sz w:val="24"/>
        </w:rPr>
        <w:t>②严格控制使用食品添加剂，注重食品卫生，防止食物中毒事件发生。</w:t>
      </w:r>
    </w:p>
    <w:p>
      <w:pPr>
        <w:spacing w:line="360" w:lineRule="auto"/>
        <w:jc w:val="left"/>
        <w:rPr>
          <w:rFonts w:ascii="仿宋" w:hAnsi="仿宋" w:eastAsia="仿宋" w:cs="仿宋"/>
          <w:sz w:val="24"/>
        </w:rPr>
      </w:pPr>
      <w:r>
        <w:rPr>
          <w:rFonts w:hint="eastAsia" w:ascii="仿宋" w:hAnsi="仿宋" w:eastAsia="仿宋" w:cs="仿宋"/>
          <w:sz w:val="24"/>
        </w:rPr>
        <w:t>③严格执行索证制度、农药测试制度，预防食物中毒事件发生。</w:t>
      </w:r>
    </w:p>
    <w:p>
      <w:pPr>
        <w:spacing w:line="360" w:lineRule="auto"/>
        <w:jc w:val="left"/>
        <w:rPr>
          <w:rFonts w:ascii="仿宋" w:hAnsi="仿宋" w:eastAsia="仿宋" w:cs="仿宋"/>
          <w:sz w:val="24"/>
        </w:rPr>
      </w:pPr>
      <w:r>
        <w:rPr>
          <w:rFonts w:hint="eastAsia" w:ascii="仿宋" w:hAnsi="仿宋" w:eastAsia="仿宋" w:cs="仿宋"/>
          <w:sz w:val="24"/>
        </w:rPr>
        <w:t>④下班后和设备使用完后落实关气、关电、关水、关门检查制度，预防火灾、偷盗事件发生。</w:t>
      </w:r>
    </w:p>
    <w:p>
      <w:pPr>
        <w:spacing w:line="360" w:lineRule="auto"/>
        <w:jc w:val="left"/>
        <w:rPr>
          <w:rFonts w:ascii="仿宋" w:hAnsi="仿宋" w:eastAsia="仿宋" w:cs="仿宋"/>
          <w:sz w:val="24"/>
        </w:rPr>
      </w:pPr>
      <w:r>
        <w:rPr>
          <w:rFonts w:hint="eastAsia" w:ascii="仿宋" w:hAnsi="仿宋" w:eastAsia="仿宋" w:cs="仿宋"/>
          <w:sz w:val="24"/>
        </w:rPr>
        <w:t>⑤制定并严格执行《食堂食品留样制度》，提供的每餐、每样食品都必须由专人负责留样，并做好记录，妥善保存，留样食品至少保留48小时。</w:t>
      </w:r>
    </w:p>
    <w:p>
      <w:pPr>
        <w:spacing w:line="360" w:lineRule="auto"/>
        <w:jc w:val="left"/>
        <w:rPr>
          <w:rFonts w:ascii="仿宋" w:hAnsi="仿宋" w:eastAsia="仿宋" w:cs="仿宋"/>
          <w:sz w:val="24"/>
        </w:rPr>
      </w:pPr>
      <w:r>
        <w:rPr>
          <w:rFonts w:hint="eastAsia" w:ascii="仿宋" w:hAnsi="仿宋" w:eastAsia="仿宋" w:cs="仿宋"/>
          <w:sz w:val="24"/>
        </w:rPr>
        <w:t>⑥因投标人工作过错造成的安全管理事故，投标人负全部责任。</w:t>
      </w:r>
    </w:p>
    <w:p>
      <w:pPr>
        <w:spacing w:line="360" w:lineRule="auto"/>
        <w:jc w:val="left"/>
        <w:rPr>
          <w:rFonts w:ascii="仿宋" w:hAnsi="仿宋" w:eastAsia="仿宋" w:cs="仿宋"/>
          <w:sz w:val="24"/>
        </w:rPr>
      </w:pPr>
      <w:r>
        <w:rPr>
          <w:rFonts w:hint="eastAsia" w:ascii="仿宋" w:hAnsi="仿宋" w:eastAsia="仿宋" w:cs="仿宋"/>
          <w:sz w:val="24"/>
        </w:rPr>
        <w:t>（11）节能管理要求：</w:t>
      </w:r>
    </w:p>
    <w:p>
      <w:pPr>
        <w:spacing w:line="360" w:lineRule="auto"/>
        <w:jc w:val="left"/>
        <w:rPr>
          <w:rFonts w:ascii="仿宋" w:hAnsi="仿宋" w:eastAsia="仿宋" w:cs="仿宋"/>
          <w:sz w:val="24"/>
        </w:rPr>
      </w:pPr>
      <w:r>
        <w:rPr>
          <w:rFonts w:hint="eastAsia" w:ascii="仿宋" w:hAnsi="仿宋" w:eastAsia="仿宋" w:cs="仿宋"/>
          <w:sz w:val="24"/>
        </w:rPr>
        <w:t>①投标人要配合采购人做好水电气的节能管理工作，开关有度。</w:t>
      </w:r>
    </w:p>
    <w:p>
      <w:pPr>
        <w:spacing w:line="360" w:lineRule="auto"/>
        <w:jc w:val="left"/>
        <w:rPr>
          <w:rFonts w:ascii="仿宋" w:hAnsi="仿宋" w:eastAsia="仿宋" w:cs="仿宋"/>
        </w:rPr>
      </w:pPr>
      <w:r>
        <w:rPr>
          <w:rFonts w:hint="eastAsia" w:ascii="仿宋" w:hAnsi="仿宋" w:eastAsia="仿宋" w:cs="仿宋"/>
          <w:sz w:val="24"/>
        </w:rPr>
        <w:t>②对原料、食材的使用也要有节约意识，杜绝浪费。</w:t>
      </w:r>
    </w:p>
    <w:p>
      <w:pPr>
        <w:spacing w:line="360" w:lineRule="auto"/>
        <w:jc w:val="left"/>
        <w:rPr>
          <w:rFonts w:ascii="仿宋" w:hAnsi="仿宋" w:eastAsia="仿宋" w:cs="仿宋"/>
          <w:sz w:val="24"/>
        </w:rPr>
      </w:pPr>
      <w:r>
        <w:rPr>
          <w:rFonts w:hint="eastAsia" w:ascii="仿宋" w:hAnsi="仿宋" w:eastAsia="仿宋" w:cs="仿宋"/>
          <w:sz w:val="24"/>
        </w:rPr>
        <w:t>（12）投标人须出具“所有服务人员在中标通知书发出后10天内备齐，在此期间办理完成交接手续并保证用餐条件”的承诺。</w:t>
      </w:r>
    </w:p>
    <w:p>
      <w:pPr>
        <w:spacing w:line="360" w:lineRule="auto"/>
        <w:jc w:val="left"/>
        <w:rPr>
          <w:rFonts w:ascii="仿宋" w:hAnsi="仿宋" w:eastAsia="仿宋" w:cs="仿宋"/>
          <w:sz w:val="24"/>
        </w:rPr>
      </w:pPr>
      <w:r>
        <w:rPr>
          <w:rFonts w:hint="eastAsia" w:ascii="仿宋" w:hAnsi="仿宋" w:eastAsia="仿宋" w:cs="仿宋"/>
          <w:sz w:val="24"/>
        </w:rPr>
        <w:t>（13）投标人须出具“如食堂有特殊任务，投标单位务必配备相应数量及专业的服务人员以满足食堂运行的正常需要”的承诺。</w:t>
      </w:r>
    </w:p>
    <w:p>
      <w:pPr>
        <w:spacing w:line="360" w:lineRule="auto"/>
        <w:jc w:val="left"/>
        <w:rPr>
          <w:rFonts w:ascii="仿宋" w:hAnsi="仿宋" w:eastAsia="仿宋" w:cs="仿宋"/>
          <w:sz w:val="24"/>
        </w:rPr>
      </w:pPr>
      <w:r>
        <w:rPr>
          <w:rFonts w:hint="eastAsia" w:ascii="仿宋" w:hAnsi="仿宋" w:eastAsia="仿宋" w:cs="仿宋"/>
          <w:sz w:val="24"/>
        </w:rPr>
        <w:t>（14）未经采购人同意，投标人无权在承包区域中从事任何广告活动或类似宣传。</w:t>
      </w:r>
    </w:p>
    <w:p>
      <w:pPr>
        <w:spacing w:line="360" w:lineRule="auto"/>
        <w:jc w:val="left"/>
        <w:rPr>
          <w:rFonts w:ascii="仿宋" w:hAnsi="仿宋" w:eastAsia="仿宋" w:cs="仿宋"/>
          <w:sz w:val="24"/>
        </w:rPr>
      </w:pPr>
      <w:r>
        <w:rPr>
          <w:rFonts w:hint="eastAsia" w:ascii="仿宋" w:hAnsi="仿宋" w:eastAsia="仿宋" w:cs="仿宋"/>
          <w:sz w:val="24"/>
        </w:rPr>
        <w:t>（15）投标人不得以采购人的名义从事任何经济活动。</w:t>
      </w:r>
    </w:p>
    <w:p>
      <w:pPr>
        <w:spacing w:line="360" w:lineRule="auto"/>
        <w:jc w:val="left"/>
        <w:rPr>
          <w:rFonts w:ascii="仿宋" w:hAnsi="仿宋" w:eastAsia="仿宋" w:cs="仿宋"/>
          <w:sz w:val="24"/>
        </w:rPr>
      </w:pPr>
      <w:r>
        <w:rPr>
          <w:rFonts w:hint="eastAsia" w:ascii="仿宋" w:hAnsi="仿宋" w:eastAsia="仿宋" w:cs="仿宋"/>
          <w:sz w:val="24"/>
        </w:rPr>
        <w:t>（16）投标人应</w:t>
      </w:r>
      <w:r>
        <w:rPr>
          <w:rFonts w:hint="eastAsia" w:ascii="仿宋" w:hAnsi="仿宋" w:eastAsia="仿宋" w:cs="仿宋"/>
          <w:bCs/>
          <w:sz w:val="24"/>
        </w:rPr>
        <w:t>服从采购人管理；及时落实采购人合理安排的临时工作任务，并于每月开展意见征求活动，及时整改存在的问题。</w:t>
      </w:r>
    </w:p>
    <w:p>
      <w:pPr>
        <w:snapToGrid w:val="0"/>
        <w:spacing w:line="360" w:lineRule="auto"/>
        <w:jc w:val="left"/>
        <w:rPr>
          <w:rFonts w:ascii="仿宋" w:hAnsi="仿宋" w:eastAsia="仿宋" w:cs="仿宋"/>
          <w:sz w:val="24"/>
        </w:rPr>
      </w:pPr>
      <w:r>
        <w:rPr>
          <w:rFonts w:hint="eastAsia" w:ascii="仿宋" w:hAnsi="仿宋" w:eastAsia="仿宋" w:cs="仿宋"/>
          <w:sz w:val="24"/>
        </w:rPr>
        <w:t>（17）投标人服务人员食宿自理。</w:t>
      </w:r>
    </w:p>
    <w:p>
      <w:pPr>
        <w:spacing w:line="360" w:lineRule="auto"/>
        <w:jc w:val="left"/>
        <w:rPr>
          <w:rFonts w:ascii="仿宋" w:hAnsi="仿宋" w:eastAsia="仿宋" w:cs="仿宋"/>
          <w:b/>
          <w:sz w:val="24"/>
        </w:rPr>
      </w:pPr>
      <w:r>
        <w:rPr>
          <w:rFonts w:hint="eastAsia" w:ascii="仿宋" w:hAnsi="仿宋" w:eastAsia="仿宋" w:cs="仿宋"/>
          <w:b/>
          <w:sz w:val="24"/>
        </w:rPr>
        <w:t>商务要求</w:t>
      </w:r>
    </w:p>
    <w:p>
      <w:pPr>
        <w:spacing w:line="360" w:lineRule="auto"/>
        <w:ind w:left="210" w:leftChars="100"/>
        <w:jc w:val="left"/>
        <w:rPr>
          <w:rFonts w:ascii="仿宋" w:hAnsi="仿宋" w:eastAsia="仿宋" w:cs="仿宋"/>
          <w:sz w:val="24"/>
        </w:rPr>
      </w:pPr>
      <w:r>
        <w:rPr>
          <w:rFonts w:hint="eastAsia" w:ascii="仿宋" w:hAnsi="仿宋" w:eastAsia="仿宋" w:cs="仿宋"/>
          <w:sz w:val="24"/>
        </w:rPr>
        <w:t>1.交付（实施）的时间（期限）：</w:t>
      </w:r>
      <w:bookmarkStart w:id="28" w:name="_Hlk80707338"/>
      <w:r>
        <w:rPr>
          <w:rFonts w:hint="eastAsia" w:ascii="仿宋" w:hAnsi="仿宋" w:eastAsia="仿宋" w:cs="仿宋"/>
          <w:sz w:val="24"/>
        </w:rPr>
        <w:t>自2022年7月1日至2023年6月30日</w:t>
      </w:r>
      <w:bookmarkEnd w:id="28"/>
      <w:r>
        <w:rPr>
          <w:rFonts w:hint="eastAsia" w:ascii="仿宋" w:hAnsi="仿宋" w:eastAsia="仿宋" w:cs="仿宋"/>
          <w:sz w:val="24"/>
        </w:rPr>
        <w:t>。</w:t>
      </w:r>
    </w:p>
    <w:p>
      <w:pPr>
        <w:spacing w:line="360" w:lineRule="auto"/>
        <w:ind w:left="210" w:leftChars="100"/>
        <w:jc w:val="left"/>
        <w:rPr>
          <w:rFonts w:ascii="仿宋" w:hAnsi="仿宋" w:eastAsia="仿宋" w:cs="仿宋"/>
          <w:sz w:val="24"/>
        </w:rPr>
      </w:pPr>
      <w:r>
        <w:rPr>
          <w:rFonts w:hint="eastAsia" w:ascii="仿宋" w:hAnsi="仿宋" w:eastAsia="仿宋" w:cs="仿宋"/>
          <w:sz w:val="24"/>
        </w:rPr>
        <w:t>2.交付（实施）的地点（范围）：杭州市公安局地铁公安分局辖区翁梅站***、打铁关站***、特警大队、湘湖站***、市民中心站***、下沙江滨站***、杜甫村站***、双浦站***、姑娘桥站***、九州街站***民警食堂。</w:t>
      </w:r>
    </w:p>
    <w:p>
      <w:pPr>
        <w:spacing w:line="360" w:lineRule="auto"/>
        <w:ind w:left="210" w:leftChars="100"/>
        <w:jc w:val="left"/>
        <w:rPr>
          <w:rFonts w:ascii="仿宋" w:hAnsi="仿宋" w:eastAsia="仿宋" w:cs="仿宋"/>
          <w:sz w:val="24"/>
        </w:rPr>
      </w:pPr>
      <w:r>
        <w:rPr>
          <w:rFonts w:hint="eastAsia" w:ascii="仿宋" w:hAnsi="仿宋" w:eastAsia="仿宋" w:cs="仿宋"/>
          <w:sz w:val="24"/>
        </w:rPr>
        <w:t>3.付款条件（进度和方式）</w:t>
      </w:r>
    </w:p>
    <w:p>
      <w:pPr>
        <w:spacing w:line="360" w:lineRule="auto"/>
        <w:ind w:left="210" w:leftChars="100" w:firstLine="480" w:firstLineChars="200"/>
        <w:jc w:val="left"/>
        <w:rPr>
          <w:rFonts w:ascii="仿宋" w:hAnsi="仿宋" w:eastAsia="仿宋" w:cs="仿宋"/>
          <w:sz w:val="24"/>
        </w:rPr>
      </w:pPr>
      <w:r>
        <w:rPr>
          <w:rFonts w:hint="eastAsia" w:ascii="仿宋" w:hAnsi="仿宋" w:eastAsia="仿宋" w:cs="仿宋"/>
          <w:sz w:val="24"/>
        </w:rPr>
        <w:t>合同签订后5个工作日内，投标人按杭州市政府采购网公布的供应商履约评价情况（供应商履约验收评价总分为100分的，采购单位应当免收履约保证金；评价总分在90分（含）以上的，收取履约保证金为合同金额2%；评价总分在90分以下或者暂无评分的，收取履约保证金为合同金额2.5%）缴纳履约保证金，采购人凭投标人开具的正规发票支付2022年安排预算的70%；</w:t>
      </w:r>
    </w:p>
    <w:p>
      <w:pPr>
        <w:spacing w:line="360" w:lineRule="auto"/>
        <w:ind w:left="210" w:leftChars="100" w:firstLine="480" w:firstLineChars="200"/>
        <w:jc w:val="left"/>
        <w:rPr>
          <w:rFonts w:ascii="仿宋" w:hAnsi="仿宋" w:eastAsia="仿宋" w:cs="仿宋"/>
          <w:sz w:val="24"/>
        </w:rPr>
      </w:pPr>
      <w:r>
        <w:rPr>
          <w:rFonts w:hint="eastAsia" w:ascii="仿宋" w:hAnsi="仿宋" w:eastAsia="仿宋" w:cs="仿宋"/>
          <w:sz w:val="24"/>
        </w:rPr>
        <w:t>服务至2022年11月30日，采购人委托采购代理机构组织验收，通过验收后，凭双方签字盖章的验收意见、验收小组签字的验收报告、每月考核表（采购人经办人、审核人、投标人签字盖章）、人员清单、每日人员考勤表（采购人经办人、审核人、投标人签字盖章）、每月人员社保缴纳清单等相关资料，按合同单价、实际服务人数及服务时间进行结算，最多支付至85.2万元（85.2万元已含采购人向投标人支付的第一期合同价款）；</w:t>
      </w:r>
    </w:p>
    <w:p>
      <w:pPr>
        <w:spacing w:line="360" w:lineRule="auto"/>
        <w:ind w:left="210" w:leftChars="100" w:firstLine="480" w:firstLineChars="200"/>
        <w:jc w:val="left"/>
        <w:rPr>
          <w:rFonts w:ascii="仿宋" w:hAnsi="仿宋" w:eastAsia="仿宋" w:cs="仿宋"/>
          <w:sz w:val="24"/>
        </w:rPr>
      </w:pPr>
      <w:r>
        <w:rPr>
          <w:rFonts w:hint="eastAsia" w:ascii="仿宋" w:hAnsi="仿宋" w:eastAsia="仿宋" w:cs="仿宋"/>
          <w:sz w:val="24"/>
        </w:rPr>
        <w:t>服务至2023年3月31日，采购人委托采购代理机构组织验收，通过验收后，凭双方签字盖章的验收意见、验收小组签字的验收报告、每月考核表（采购人经办人、审核人、投标人签字盖章）、人员清单、每日人员考勤表（采购人经办人、审核人、投标人签字盖章）、每月人员社保缴纳清单等相关资料，按合同单价、实际服务人数及服务时间进行结算。</w:t>
      </w:r>
    </w:p>
    <w:p>
      <w:pPr>
        <w:spacing w:line="360" w:lineRule="auto"/>
        <w:ind w:left="210" w:leftChars="100" w:firstLine="480" w:firstLineChars="200"/>
        <w:jc w:val="left"/>
        <w:rPr>
          <w:rFonts w:ascii="仿宋" w:hAnsi="仿宋" w:eastAsia="仿宋" w:cs="仿宋"/>
          <w:sz w:val="24"/>
        </w:rPr>
      </w:pPr>
      <w:r>
        <w:rPr>
          <w:rFonts w:hint="eastAsia" w:ascii="仿宋" w:hAnsi="仿宋" w:eastAsia="仿宋" w:cs="仿宋"/>
          <w:sz w:val="24"/>
        </w:rPr>
        <w:t>服务期结束，通过验收后，凭双方签字盖章的验收意见、验收小组签字的验收报告、每月考核表（采购人经办人、审核人、投标人签字盖章）、人员清单及每日人员考勤表（采购人经办人、审核人、投标人签字盖章）、每月人员社保缴纳清单及公示截图等相关资料，按合同单价、实际服务人数及服务时间，按实结算，同时扣除投标人应向采购人支付的违约金。服务期满，通过验收，采购人无息归还履约保证金。</w:t>
      </w:r>
    </w:p>
    <w:p>
      <w:pPr>
        <w:spacing w:line="360" w:lineRule="auto"/>
        <w:ind w:left="210" w:leftChars="100"/>
        <w:jc w:val="left"/>
        <w:rPr>
          <w:rFonts w:ascii="仿宋" w:hAnsi="仿宋" w:eastAsia="仿宋" w:cs="仿宋"/>
          <w:sz w:val="24"/>
          <w:lang w:val="zh-CN"/>
        </w:rPr>
      </w:pPr>
      <w:r>
        <w:rPr>
          <w:rFonts w:hint="eastAsia" w:ascii="仿宋" w:hAnsi="仿宋" w:eastAsia="仿宋" w:cs="仿宋"/>
          <w:sz w:val="24"/>
          <w:lang w:val="zh-CN"/>
        </w:rPr>
        <w:t>双方确认，</w:t>
      </w:r>
      <w:r>
        <w:rPr>
          <w:rFonts w:hint="eastAsia" w:ascii="仿宋" w:hAnsi="仿宋" w:eastAsia="仿宋" w:cs="仿宋"/>
          <w:sz w:val="24"/>
        </w:rPr>
        <w:t>采购人</w:t>
      </w:r>
      <w:r>
        <w:rPr>
          <w:rFonts w:hint="eastAsia" w:ascii="仿宋" w:hAnsi="仿宋" w:eastAsia="仿宋" w:cs="仿宋"/>
          <w:sz w:val="24"/>
          <w:lang w:val="zh-CN"/>
        </w:rPr>
        <w:t>按前款结算并向</w:t>
      </w:r>
      <w:r>
        <w:rPr>
          <w:rFonts w:hint="eastAsia" w:ascii="仿宋" w:hAnsi="仿宋" w:eastAsia="仿宋" w:cs="仿宋"/>
          <w:sz w:val="24"/>
        </w:rPr>
        <w:t>投标人</w:t>
      </w:r>
      <w:r>
        <w:rPr>
          <w:rFonts w:hint="eastAsia" w:ascii="仿宋" w:hAnsi="仿宋" w:eastAsia="仿宋" w:cs="仿宋"/>
          <w:sz w:val="24"/>
          <w:lang w:val="zh-CN"/>
        </w:rPr>
        <w:t>支付的款项总额不超过合同总价。前述采购人按投标人实际履行情况结算付款的方式不影响采购人向投标人再行收取因投标人未全面按照合同约定履行而产生的违约金。</w:t>
      </w:r>
    </w:p>
    <w:p>
      <w:pPr>
        <w:spacing w:line="360" w:lineRule="auto"/>
        <w:ind w:left="210" w:leftChars="100"/>
        <w:jc w:val="left"/>
        <w:rPr>
          <w:rFonts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除满足前述约定的付款条件外，以上款项的支付均需在采购人收到投标人正规发票后，按财政及采购人规定办理完成相关手续后5个工作日内采购人方有义务予以支付。）</w:t>
      </w:r>
    </w:p>
    <w:p>
      <w:pPr>
        <w:spacing w:line="360" w:lineRule="auto"/>
        <w:jc w:val="left"/>
        <w:rPr>
          <w:rFonts w:ascii="仿宋" w:hAnsi="仿宋" w:eastAsia="仿宋" w:cs="仿宋"/>
          <w:sz w:val="24"/>
        </w:rPr>
      </w:pPr>
      <w:r>
        <w:rPr>
          <w:rFonts w:hint="eastAsia" w:ascii="仿宋" w:hAnsi="仿宋" w:eastAsia="仿宋" w:cs="仿宋"/>
          <w:sz w:val="24"/>
        </w:rPr>
        <w:t>4.考核</w:t>
      </w:r>
    </w:p>
    <w:p>
      <w:pPr>
        <w:spacing w:line="360" w:lineRule="auto"/>
        <w:ind w:left="210" w:leftChars="100" w:firstLine="480" w:firstLineChars="200"/>
        <w:jc w:val="left"/>
        <w:rPr>
          <w:rFonts w:ascii="仿宋" w:hAnsi="仿宋" w:eastAsia="仿宋" w:cs="仿宋"/>
          <w:sz w:val="24"/>
        </w:rPr>
      </w:pPr>
      <w:r>
        <w:rPr>
          <w:rFonts w:hint="eastAsia" w:ascii="仿宋" w:hAnsi="仿宋" w:eastAsia="仿宋" w:cs="仿宋"/>
          <w:sz w:val="24"/>
        </w:rPr>
        <w:t>投标人履行对服务内容及其相关的服务，采购人负责投标人的管理指导、验收考核等职责，督促其履行合同。</w:t>
      </w:r>
    </w:p>
    <w:p>
      <w:pPr>
        <w:spacing w:line="360" w:lineRule="auto"/>
        <w:ind w:left="210" w:leftChars="100" w:firstLine="480" w:firstLineChars="200"/>
        <w:jc w:val="left"/>
        <w:rPr>
          <w:rFonts w:ascii="仿宋" w:hAnsi="仿宋" w:eastAsia="仿宋" w:cs="仿宋"/>
          <w:sz w:val="24"/>
        </w:rPr>
      </w:pPr>
      <w:r>
        <w:rPr>
          <w:rFonts w:hint="eastAsia" w:ascii="仿宋" w:hAnsi="仿宋" w:eastAsia="仿宋" w:cs="仿宋"/>
          <w:bCs/>
          <w:sz w:val="24"/>
        </w:rPr>
        <w:t>采购人在服务期内将按照下表对投标人进行考核。</w:t>
      </w:r>
      <w:r>
        <w:rPr>
          <w:rFonts w:hint="eastAsia" w:ascii="仿宋" w:hAnsi="仿宋" w:eastAsia="仿宋" w:cs="仿宋"/>
          <w:sz w:val="24"/>
        </w:rPr>
        <w:t>考核以百分制的方式进行，时间为合同期每月进行考核。每扣除1分，扣除违约金300元，违约金在结算合同尾款时予以扣除。考核分若低于75分(不含)视为不合格，如在考核中</w:t>
      </w:r>
      <w:r>
        <w:rPr>
          <w:rFonts w:hint="eastAsia" w:ascii="仿宋" w:hAnsi="仿宋" w:eastAsia="仿宋" w:cs="仿宋"/>
          <w:bCs/>
          <w:sz w:val="24"/>
        </w:rPr>
        <w:t>投标人</w:t>
      </w:r>
      <w:r>
        <w:rPr>
          <w:rFonts w:hint="eastAsia" w:ascii="仿宋" w:hAnsi="仿宋" w:eastAsia="仿宋" w:cs="仿宋"/>
          <w:sz w:val="24"/>
        </w:rPr>
        <w:t>连续两次考核分数低于75分(不含)，采购人将扣除全部履约保证金，并通知</w:t>
      </w:r>
      <w:r>
        <w:rPr>
          <w:rFonts w:hint="eastAsia" w:ascii="仿宋" w:hAnsi="仿宋" w:eastAsia="仿宋" w:cs="仿宋"/>
          <w:bCs/>
          <w:sz w:val="24"/>
        </w:rPr>
        <w:t>投标人</w:t>
      </w:r>
      <w:r>
        <w:rPr>
          <w:rFonts w:hint="eastAsia" w:ascii="仿宋" w:hAnsi="仿宋" w:eastAsia="仿宋" w:cs="仿宋"/>
          <w:sz w:val="24"/>
        </w:rPr>
        <w:t>解除服务合同。如给采购人造成损失的，采购人有权限向投标人提出索赔。如考核周期内重复出现相同扣分情形，累计计算扣除分值。</w:t>
      </w:r>
    </w:p>
    <w:p>
      <w:pPr>
        <w:spacing w:before="120" w:beforeLines="50" w:line="360" w:lineRule="auto"/>
        <w:jc w:val="center"/>
        <w:outlineLvl w:val="3"/>
        <w:rPr>
          <w:rFonts w:ascii="仿宋" w:hAnsi="仿宋" w:eastAsia="仿宋" w:cs="仿宋"/>
          <w:sz w:val="24"/>
        </w:rPr>
      </w:pPr>
    </w:p>
    <w:p>
      <w:pPr>
        <w:spacing w:before="120" w:beforeLines="50" w:line="360" w:lineRule="auto"/>
        <w:jc w:val="center"/>
        <w:outlineLvl w:val="3"/>
        <w:rPr>
          <w:rFonts w:ascii="仿宋" w:hAnsi="仿宋" w:eastAsia="仿宋" w:cs="仿宋"/>
          <w:sz w:val="24"/>
        </w:rPr>
      </w:pPr>
      <w:r>
        <w:rPr>
          <w:rFonts w:hint="eastAsia" w:ascii="仿宋" w:hAnsi="仿宋" w:eastAsia="仿宋" w:cs="仿宋"/>
          <w:sz w:val="24"/>
        </w:rPr>
        <w:t>每月考核表（   年   月）</w:t>
      </w:r>
    </w:p>
    <w:p>
      <w:pPr>
        <w:pStyle w:val="961"/>
        <w:spacing w:line="360" w:lineRule="auto"/>
        <w:rPr>
          <w:rFonts w:ascii="仿宋" w:hAnsi="仿宋" w:eastAsia="仿宋" w:cs="仿宋"/>
          <w:b/>
          <w:sz w:val="28"/>
          <w:szCs w:val="28"/>
        </w:rPr>
      </w:pPr>
    </w:p>
    <w:tbl>
      <w:tblPr>
        <w:tblStyle w:val="62"/>
        <w:tblW w:w="8379" w:type="dxa"/>
        <w:tblInd w:w="0" w:type="dxa"/>
        <w:tblLayout w:type="fixed"/>
        <w:tblCellMar>
          <w:top w:w="0" w:type="dxa"/>
          <w:left w:w="0" w:type="dxa"/>
          <w:bottom w:w="0" w:type="dxa"/>
          <w:right w:w="0" w:type="dxa"/>
        </w:tblCellMar>
      </w:tblPr>
      <w:tblGrid>
        <w:gridCol w:w="1149"/>
        <w:gridCol w:w="5103"/>
        <w:gridCol w:w="1134"/>
        <w:gridCol w:w="993"/>
      </w:tblGrid>
      <w:tr>
        <w:tblPrEx>
          <w:tblCellMar>
            <w:top w:w="0" w:type="dxa"/>
            <w:left w:w="0" w:type="dxa"/>
            <w:bottom w:w="0" w:type="dxa"/>
            <w:right w:w="0" w:type="dxa"/>
          </w:tblCellMar>
        </w:tblPrEx>
        <w:trPr>
          <w:trHeight w:val="690"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考核单位</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考核时间</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right"/>
              <w:rPr>
                <w:rFonts w:ascii="仿宋" w:hAnsi="仿宋" w:eastAsia="仿宋" w:cs="仿宋"/>
                <w:sz w:val="24"/>
              </w:rPr>
            </w:pPr>
            <w:r>
              <w:rPr>
                <w:rFonts w:hint="eastAsia" w:ascii="仿宋" w:hAnsi="仿宋" w:eastAsia="仿宋" w:cs="仿宋"/>
                <w:sz w:val="24"/>
              </w:rPr>
              <w:t>月</w:t>
            </w:r>
          </w:p>
        </w:tc>
      </w:tr>
      <w:tr>
        <w:tblPrEx>
          <w:tblCellMar>
            <w:top w:w="0" w:type="dxa"/>
            <w:left w:w="0" w:type="dxa"/>
            <w:bottom w:w="0" w:type="dxa"/>
            <w:right w:w="0" w:type="dxa"/>
          </w:tblCellMar>
        </w:tblPrEx>
        <w:trPr>
          <w:trHeight w:val="675"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考核内容及标准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考核扣分</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备注</w:t>
            </w:r>
          </w:p>
        </w:tc>
      </w:tr>
      <w:tr>
        <w:tblPrEx>
          <w:tblCellMar>
            <w:top w:w="0" w:type="dxa"/>
            <w:left w:w="0" w:type="dxa"/>
            <w:bottom w:w="0" w:type="dxa"/>
            <w:right w:w="0" w:type="dxa"/>
          </w:tblCellMar>
        </w:tblPrEx>
        <w:trPr>
          <w:trHeight w:val="675"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未根据就餐时间要求合理安排工作，准时开餐的，扣2分，每延迟15分钟扣1分，最高扣5分。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每餐做好留样，未完成一次性扣1分。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未按规定着装，发现一起扣1分。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食品不卫生，发现一起扣2分，产生严重后果的扣6分。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生熟不分、食品存放不合理，严重影响工作的，发现一起，视情扣2-6分。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6</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服务被投诉，造成不良影响的，发现一起，视情扣2-6分。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7</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食品加工不规范、操作不合理，每发生一起，扣1分。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8</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厨房用品摆放不规范、环境不整洁，每次扣1分。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9</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私拿私带私用各类物品、食材、成品及半成品，每次发现扣5分。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厨房垃圾未按规定及时处理，每发现一次扣1分，造成严重后果的扣5分。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909" w:hRule="atLeast"/>
        </w:trPr>
        <w:tc>
          <w:tcPr>
            <w:tcW w:w="11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11</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735"/>
              </w:tabs>
              <w:spacing w:line="360" w:lineRule="auto"/>
              <w:jc w:val="left"/>
              <w:rPr>
                <w:rFonts w:ascii="仿宋" w:hAnsi="仿宋" w:eastAsia="仿宋" w:cs="仿宋"/>
              </w:rPr>
            </w:pPr>
            <w:r>
              <w:rPr>
                <w:rFonts w:hint="eastAsia" w:ascii="仿宋" w:hAnsi="仿宋" w:eastAsia="仿宋" w:cs="仿宋"/>
                <w:sz w:val="24"/>
              </w:rPr>
              <w:t>厨房、餐厅等用餐场所内用具由于未妥善使用、造成遗失、损坏的，每发生一次，扣1分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909" w:hRule="atLeast"/>
        </w:trPr>
        <w:tc>
          <w:tcPr>
            <w:tcW w:w="11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12</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735"/>
              </w:tabs>
              <w:spacing w:line="360" w:lineRule="auto"/>
              <w:jc w:val="left"/>
              <w:rPr>
                <w:rFonts w:ascii="仿宋" w:hAnsi="仿宋" w:eastAsia="仿宋" w:cs="仿宋"/>
                <w:sz w:val="24"/>
              </w:rPr>
            </w:pPr>
            <w:r>
              <w:rPr>
                <w:rFonts w:hint="eastAsia" w:ascii="仿宋" w:hAnsi="仿宋" w:eastAsia="仿宋" w:cs="仿宋"/>
                <w:bCs/>
                <w:sz w:val="24"/>
              </w:rPr>
              <w:t>未配合物业公司做好食堂区域内的四害消杀工作（蟑郎、老鼠、苍蝇、蚂蚁等），</w:t>
            </w:r>
            <w:r>
              <w:rPr>
                <w:rFonts w:hint="eastAsia" w:ascii="仿宋" w:hAnsi="仿宋" w:eastAsia="仿宋" w:cs="仿宋"/>
                <w:sz w:val="24"/>
              </w:rPr>
              <w:t>每发生一次，扣1分</w:t>
            </w:r>
            <w:r>
              <w:rPr>
                <w:rFonts w:hint="eastAsia" w:ascii="仿宋" w:hAnsi="仿宋" w:eastAsia="仿宋" w:cs="仿宋"/>
                <w:bCs/>
                <w:sz w:val="24"/>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909" w:hRule="atLeast"/>
        </w:trPr>
        <w:tc>
          <w:tcPr>
            <w:tcW w:w="11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13</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735"/>
              </w:tabs>
              <w:spacing w:line="360" w:lineRule="auto"/>
              <w:jc w:val="left"/>
              <w:rPr>
                <w:rFonts w:ascii="仿宋" w:hAnsi="仿宋" w:eastAsia="仿宋" w:cs="仿宋"/>
                <w:bCs/>
                <w:sz w:val="24"/>
              </w:rPr>
            </w:pPr>
            <w:r>
              <w:rPr>
                <w:rFonts w:hint="eastAsia" w:ascii="仿宋" w:hAnsi="仿宋" w:eastAsia="仿宋" w:cs="仿宋"/>
                <w:bCs/>
                <w:sz w:val="24"/>
              </w:rPr>
              <w:t>未落实烟道除垢、地沟油污清理工作，包括烟罩烟道保洁、擦拭、清洗及管道内清理等，烟道清理一年不少于2次，</w:t>
            </w:r>
            <w:r>
              <w:rPr>
                <w:rFonts w:hint="eastAsia" w:ascii="仿宋" w:hAnsi="仿宋" w:eastAsia="仿宋" w:cs="仿宋"/>
                <w:sz w:val="24"/>
              </w:rPr>
              <w:t>每发生一次，扣5分</w:t>
            </w:r>
            <w:r>
              <w:rPr>
                <w:rFonts w:hint="eastAsia" w:ascii="仿宋" w:hAnsi="仿宋" w:eastAsia="仿宋" w:cs="仿宋"/>
                <w:bCs/>
                <w:sz w:val="24"/>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791" w:hRule="atLeast"/>
        </w:trPr>
        <w:tc>
          <w:tcPr>
            <w:tcW w:w="11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14</w:t>
            </w:r>
          </w:p>
        </w:tc>
        <w:tc>
          <w:tcPr>
            <w:tcW w:w="510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人员未及时补充到位，严重影响工作的，每发生一次，扣5分。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540" w:hRule="atLeast"/>
        </w:trPr>
        <w:tc>
          <w:tcPr>
            <w:tcW w:w="11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tabs>
                <w:tab w:val="left" w:pos="735"/>
              </w:tabs>
              <w:spacing w:line="360" w:lineRule="auto"/>
              <w:jc w:val="center"/>
              <w:rPr>
                <w:rFonts w:ascii="仿宋" w:hAnsi="仿宋" w:eastAsia="仿宋" w:cs="仿宋"/>
                <w:sz w:val="24"/>
              </w:rPr>
            </w:pPr>
            <w:r>
              <w:rPr>
                <w:rFonts w:hint="eastAsia" w:ascii="仿宋" w:hAnsi="仿宋" w:eastAsia="仿宋" w:cs="仿宋"/>
                <w:sz w:val="24"/>
              </w:rPr>
              <w:t>15</w:t>
            </w:r>
          </w:p>
        </w:tc>
        <w:tc>
          <w:tcPr>
            <w:tcW w:w="510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tabs>
                <w:tab w:val="left" w:pos="735"/>
              </w:tabs>
              <w:spacing w:line="360" w:lineRule="auto"/>
              <w:jc w:val="left"/>
              <w:rPr>
                <w:rFonts w:ascii="仿宋" w:hAnsi="仿宋" w:eastAsia="仿宋" w:cs="仿宋"/>
                <w:sz w:val="24"/>
              </w:rPr>
            </w:pPr>
            <w:r>
              <w:rPr>
                <w:rFonts w:hint="eastAsia" w:ascii="仿宋" w:hAnsi="仿宋" w:eastAsia="仿宋" w:cs="仿宋"/>
                <w:sz w:val="24"/>
              </w:rPr>
              <w:t>不定期抽查投入的人员数量，如果抽查时发现投入的人员数量少于合同约定的数量，每缺少1人扣10分。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540" w:hRule="atLeast"/>
        </w:trPr>
        <w:tc>
          <w:tcPr>
            <w:tcW w:w="11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16</w:t>
            </w:r>
          </w:p>
        </w:tc>
        <w:tc>
          <w:tcPr>
            <w:tcW w:w="510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所有人员均持健康证上岗，无证上岗的扣10分/人。</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540" w:hRule="atLeast"/>
        </w:trPr>
        <w:tc>
          <w:tcPr>
            <w:tcW w:w="11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17</w:t>
            </w:r>
          </w:p>
        </w:tc>
        <w:tc>
          <w:tcPr>
            <w:tcW w:w="510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未及时发放员工工资的，有效投诉扣5分/次，投标人应及时整改。</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540" w:hRule="atLeast"/>
        </w:trPr>
        <w:tc>
          <w:tcPr>
            <w:tcW w:w="11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18</w:t>
            </w:r>
          </w:p>
        </w:tc>
        <w:tc>
          <w:tcPr>
            <w:tcW w:w="510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未完成采购人交办的临时工作任务，无故拒不完成的扣5分/次。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540" w:hRule="atLeast"/>
        </w:trPr>
        <w:tc>
          <w:tcPr>
            <w:tcW w:w="11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19</w:t>
            </w:r>
          </w:p>
        </w:tc>
        <w:tc>
          <w:tcPr>
            <w:tcW w:w="510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项目负责人每月未到各服务点现场进行工作对接的扣5分/次。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540" w:hRule="atLeast"/>
        </w:trPr>
        <w:tc>
          <w:tcPr>
            <w:tcW w:w="11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20</w:t>
            </w:r>
          </w:p>
        </w:tc>
        <w:tc>
          <w:tcPr>
            <w:tcW w:w="510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不符合采购人其他工作要求的，严重违反采购人劳动纪律、规章制度的，严重工作失职，营私舞弊，给采购人造成重大经济损失，或未发其他法律法规被依法追究刑事责任的的扣10分/次。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540" w:hRule="atLeast"/>
        </w:trPr>
        <w:tc>
          <w:tcPr>
            <w:tcW w:w="625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小计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540" w:hRule="atLeast"/>
        </w:trPr>
        <w:tc>
          <w:tcPr>
            <w:tcW w:w="8379" w:type="dxa"/>
            <w:gridSpan w:val="4"/>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 xml:space="preserve">采购人（盖章）：                          投标人（盖章）： </w:t>
            </w:r>
          </w:p>
          <w:p>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项目经办人（签字）：</w:t>
            </w:r>
          </w:p>
          <w:p>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项目审核人（签字）：                      项目负责人（签字）：</w:t>
            </w:r>
          </w:p>
          <w:p>
            <w:pPr>
              <w:spacing w:line="360" w:lineRule="auto"/>
              <w:rPr>
                <w:rFonts w:ascii="仿宋" w:hAnsi="仿宋" w:eastAsia="仿宋" w:cs="仿宋"/>
                <w:sz w:val="24"/>
              </w:rPr>
            </w:pPr>
            <w:r>
              <w:rPr>
                <w:rFonts w:hint="eastAsia" w:ascii="仿宋" w:hAnsi="仿宋" w:eastAsia="仿宋" w:cs="仿宋"/>
                <w:kern w:val="0"/>
                <w:sz w:val="24"/>
              </w:rPr>
              <w:t>日  期：                                  日  期：</w:t>
            </w:r>
          </w:p>
        </w:tc>
      </w:tr>
    </w:tbl>
    <w:p>
      <w:pPr>
        <w:pStyle w:val="24"/>
      </w:pPr>
    </w:p>
    <w:p>
      <w:pPr>
        <w:spacing w:line="360" w:lineRule="auto"/>
        <w:ind w:firstLine="480" w:firstLineChars="200"/>
        <w:jc w:val="left"/>
        <w:rPr>
          <w:rFonts w:ascii="仿宋" w:hAnsi="仿宋" w:eastAsia="仿宋" w:cs="仿宋"/>
          <w:iCs/>
          <w:sz w:val="24"/>
        </w:rPr>
      </w:pPr>
      <w:r>
        <w:rPr>
          <w:rFonts w:hint="eastAsia" w:ascii="仿宋" w:hAnsi="仿宋" w:eastAsia="仿宋" w:cs="仿宋"/>
          <w:iCs/>
          <w:sz w:val="24"/>
        </w:rPr>
        <w:t>验收、交付标准和方法</w:t>
      </w:r>
    </w:p>
    <w:p>
      <w:pPr>
        <w:pStyle w:val="859"/>
        <w:widowControl/>
        <w:snapToGrid w:val="0"/>
        <w:spacing w:line="360" w:lineRule="auto"/>
        <w:ind w:firstLine="482"/>
        <w:rPr>
          <w:rFonts w:ascii="仿宋" w:hAnsi="仿宋" w:eastAsia="仿宋" w:cs="仿宋"/>
          <w:iCs/>
        </w:rPr>
      </w:pPr>
      <w:r>
        <w:rPr>
          <w:rFonts w:hint="eastAsia" w:ascii="仿宋" w:hAnsi="仿宋" w:eastAsia="仿宋" w:cs="仿宋"/>
          <w:iCs/>
        </w:rPr>
        <w:t>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pPr>
        <w:pStyle w:val="859"/>
        <w:widowControl/>
        <w:spacing w:line="360" w:lineRule="auto"/>
        <w:ind w:firstLine="482"/>
        <w:rPr>
          <w:rFonts w:ascii="仿宋" w:hAnsi="仿宋" w:eastAsia="仿宋" w:cs="仿宋"/>
          <w:iCs/>
        </w:rPr>
      </w:pPr>
      <w:r>
        <w:rPr>
          <w:rFonts w:hint="eastAsia" w:ascii="仿宋" w:hAnsi="仿宋" w:eastAsia="仿宋" w:cs="仿宋"/>
          <w:iCs/>
        </w:rPr>
        <w:t>严格按照采购合同开展履约验收。采购人委托第三方成立验收小组，验收小组共5人，由采购人1人、专家4人（第三方抽取）组成。按照采购合同的约定对投标人履约情况进行验收，验收时，按照采购合同的约定对每一项技术、服务、安全标准的履约情况进行确认，出具验收报告并经验收小组全体成员签字。采购人根据验收报告形成验收意见并经采购人与采购合同约定的资金支付及履约保证金返还条件挂钩。履约验收的各项资料应当存档备查。</w:t>
      </w:r>
    </w:p>
    <w:p>
      <w:pPr>
        <w:pStyle w:val="859"/>
        <w:widowControl/>
        <w:snapToGrid w:val="0"/>
        <w:spacing w:line="360" w:lineRule="auto"/>
        <w:ind w:firstLine="482"/>
        <w:rPr>
          <w:rFonts w:ascii="仿宋" w:hAnsi="仿宋" w:eastAsia="仿宋" w:cs="仿宋"/>
        </w:rPr>
      </w:pPr>
      <w:r>
        <w:rPr>
          <w:rFonts w:hint="eastAsia" w:ascii="仿宋" w:hAnsi="仿宋" w:eastAsia="仿宋" w:cs="仿宋"/>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pPr>
        <w:pStyle w:val="859"/>
        <w:widowControl/>
        <w:snapToGrid w:val="0"/>
        <w:spacing w:line="360" w:lineRule="auto"/>
        <w:ind w:firstLine="482"/>
        <w:rPr>
          <w:rFonts w:ascii="仿宋" w:hAnsi="仿宋" w:eastAsia="仿宋" w:cs="仿宋"/>
        </w:rPr>
      </w:pPr>
      <w:r>
        <w:rPr>
          <w:rFonts w:hint="eastAsia" w:ascii="仿宋" w:hAnsi="仿宋" w:eastAsia="仿宋" w:cs="仿宋"/>
        </w:rPr>
        <w:t>验收产生的费用首次验收费用由采购人承担，如首次验收不合格，后续验收费用由投标人支付。</w:t>
      </w:r>
    </w:p>
    <w:p>
      <w:pPr>
        <w:spacing w:line="360" w:lineRule="auto"/>
        <w:jc w:val="left"/>
        <w:rPr>
          <w:rFonts w:ascii="仿宋" w:hAnsi="仿宋" w:eastAsia="仿宋" w:cs="仿宋"/>
          <w:sz w:val="24"/>
        </w:rPr>
      </w:pPr>
      <w:r>
        <w:rPr>
          <w:rFonts w:hint="eastAsia" w:ascii="仿宋" w:hAnsi="仿宋" w:eastAsia="仿宋" w:cs="仿宋"/>
          <w:sz w:val="24"/>
        </w:rPr>
        <w:t>履约验收内容</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51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序号</w:t>
            </w:r>
          </w:p>
        </w:tc>
        <w:tc>
          <w:tcPr>
            <w:tcW w:w="1515" w:type="dxa"/>
            <w:noWrap/>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验收内容</w:t>
            </w:r>
          </w:p>
        </w:tc>
        <w:tc>
          <w:tcPr>
            <w:tcW w:w="6804" w:type="dxa"/>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1</w:t>
            </w:r>
          </w:p>
        </w:tc>
        <w:tc>
          <w:tcPr>
            <w:tcW w:w="1515" w:type="dxa"/>
            <w:noWrap/>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响应程度</w:t>
            </w:r>
          </w:p>
        </w:tc>
        <w:tc>
          <w:tcPr>
            <w:tcW w:w="6804"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bCs/>
                <w:sz w:val="24"/>
              </w:rPr>
              <w:t>服从采购人管理；及时落实采购人合理工作安排；及时整改存在的问题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noWrap/>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2</w:t>
            </w:r>
          </w:p>
        </w:tc>
        <w:tc>
          <w:tcPr>
            <w:tcW w:w="1515" w:type="dxa"/>
            <w:vMerge w:val="restart"/>
            <w:noWrap/>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人员管理</w:t>
            </w:r>
          </w:p>
        </w:tc>
        <w:tc>
          <w:tcPr>
            <w:tcW w:w="6804"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bCs/>
                <w:sz w:val="24"/>
              </w:rPr>
              <w:t>按合同要求配备服务人员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51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6804"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bCs/>
                <w:sz w:val="24"/>
              </w:rPr>
              <w:t>工作人员相对稳定，人员变动需按采购人规定办理相关手续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51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6804"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bCs/>
                <w:sz w:val="24"/>
              </w:rPr>
              <w:t>所有服务人员要按规定统一着装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51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6804"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bCs/>
                <w:sz w:val="24"/>
              </w:rPr>
              <w:t>所有人员必须持有健康证上岗，外来务工人员办理临时居住证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1" w:type="dxa"/>
            <w:vMerge w:val="restart"/>
            <w:noWrap/>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w:t>
            </w:r>
          </w:p>
        </w:tc>
        <w:tc>
          <w:tcPr>
            <w:tcW w:w="1515" w:type="dxa"/>
            <w:vMerge w:val="restart"/>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服务质量管理</w:t>
            </w:r>
          </w:p>
        </w:tc>
        <w:tc>
          <w:tcPr>
            <w:tcW w:w="6804" w:type="dxa"/>
            <w:vMerge w:val="restart"/>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bCs/>
                <w:sz w:val="24"/>
              </w:rPr>
              <w:t>在规定的就餐时间内提供膳食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1"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51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6804" w:type="dxa"/>
            <w:vMerge w:val="continue"/>
            <w:vAlign w:val="center"/>
          </w:tcPr>
          <w:p>
            <w:pPr>
              <w:widowControl/>
              <w:spacing w:before="120" w:beforeLines="50" w:line="360" w:lineRule="auto"/>
              <w:ind w:firstLine="480" w:firstLineChars="200"/>
              <w:jc w:val="left"/>
              <w:outlineLvl w:val="3"/>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51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6804"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bCs/>
                <w:sz w:val="24"/>
              </w:rPr>
              <w:t>按照采购人提供的就餐人数、标准严格制订加工制作方案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51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6804"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bCs/>
                <w:sz w:val="24"/>
              </w:rPr>
              <w:t>按批次分锅烹饪出餐，做到少量多出，保证菜肴的新鲜度和口味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51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6804"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bCs/>
                <w:sz w:val="24"/>
              </w:rPr>
              <w:t>总体满意度较高，每月开展意见征求活动,努力实现零投诉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noWrap/>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4</w:t>
            </w:r>
          </w:p>
        </w:tc>
        <w:tc>
          <w:tcPr>
            <w:tcW w:w="1515" w:type="dxa"/>
            <w:vMerge w:val="restart"/>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菜肴品质管理</w:t>
            </w:r>
          </w:p>
        </w:tc>
        <w:tc>
          <w:tcPr>
            <w:tcW w:w="6804"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bCs/>
                <w:sz w:val="24"/>
              </w:rPr>
              <w:t>菜谱荤素搭配合理，菜品品种符合采购需求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51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6804"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sz w:val="24"/>
              </w:rPr>
              <w:t>民俗节日提供特色食品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noWrap/>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5</w:t>
            </w:r>
          </w:p>
        </w:tc>
        <w:tc>
          <w:tcPr>
            <w:tcW w:w="1515" w:type="dxa"/>
            <w:vMerge w:val="restart"/>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食品安全和环境卫生</w:t>
            </w:r>
          </w:p>
        </w:tc>
        <w:tc>
          <w:tcPr>
            <w:tcW w:w="6804"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sz w:val="24"/>
              </w:rPr>
              <w:t>监督配合物业公司做好食堂区域内的四害消杀工作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noWrap/>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51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6804"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sz w:val="24"/>
              </w:rPr>
              <w:t>厨房、餐厅等所有区域的卫生应按《五常法》管理模式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51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6804"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sz w:val="24"/>
              </w:rPr>
              <w:t>严格控制使用食品添加剂，注重食品卫生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51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6804"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sz w:val="24"/>
              </w:rPr>
              <w:t>厨房用品用具严格实行一洗二清三过四消毒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51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6804" w:type="dxa"/>
            <w:vAlign w:val="center"/>
          </w:tcPr>
          <w:p>
            <w:pPr>
              <w:widowControl/>
              <w:spacing w:before="120" w:beforeLines="50" w:line="360" w:lineRule="auto"/>
              <w:jc w:val="left"/>
              <w:outlineLvl w:val="3"/>
              <w:rPr>
                <w:rFonts w:ascii="仿宋" w:hAnsi="仿宋" w:eastAsia="仿宋" w:cs="仿宋"/>
                <w:sz w:val="24"/>
              </w:rPr>
            </w:pPr>
            <w:r>
              <w:rPr>
                <w:rFonts w:hint="eastAsia" w:ascii="仿宋" w:hAnsi="仿宋" w:eastAsia="仿宋" w:cs="仿宋"/>
                <w:sz w:val="24"/>
              </w:rPr>
              <w:t>严格执行《食堂食品留样制度》，做好留样记录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noWrap/>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6</w:t>
            </w:r>
          </w:p>
        </w:tc>
        <w:tc>
          <w:tcPr>
            <w:tcW w:w="1515" w:type="dxa"/>
            <w:vMerge w:val="restart"/>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节能管理</w:t>
            </w:r>
          </w:p>
        </w:tc>
        <w:tc>
          <w:tcPr>
            <w:tcW w:w="6804"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sz w:val="24"/>
              </w:rPr>
              <w:t>做好水电气的节能管理工作，开关有度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51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6804"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sz w:val="24"/>
              </w:rPr>
              <w:t>对原料、食材的使用有节约意识，杜绝浪费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861" w:type="dxa"/>
            <w:noWrap/>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7</w:t>
            </w:r>
          </w:p>
        </w:tc>
        <w:tc>
          <w:tcPr>
            <w:tcW w:w="1515" w:type="dxa"/>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其他工作</w:t>
            </w:r>
          </w:p>
        </w:tc>
        <w:tc>
          <w:tcPr>
            <w:tcW w:w="6804"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bCs/>
                <w:sz w:val="24"/>
              </w:rPr>
              <w:t>履行项目采购文件、投标文件、合同条款中涉及的其他承诺的情况</w:t>
            </w:r>
          </w:p>
        </w:tc>
      </w:tr>
    </w:tbl>
    <w:p>
      <w:pPr>
        <w:pStyle w:val="32"/>
        <w:snapToGrid w:val="0"/>
        <w:spacing w:line="360" w:lineRule="auto"/>
        <w:ind w:right="-512" w:firstLine="540" w:firstLineChars="225"/>
        <w:rPr>
          <w:rFonts w:ascii="仿宋" w:hAnsi="仿宋" w:eastAsia="仿宋" w:cs="仿宋"/>
          <w:sz w:val="24"/>
          <w:szCs w:val="24"/>
        </w:rPr>
      </w:pPr>
    </w:p>
    <w:p>
      <w:pPr>
        <w:pStyle w:val="32"/>
        <w:spacing w:line="360" w:lineRule="auto"/>
        <w:ind w:right="-512" w:firstLine="540" w:firstLineChars="225"/>
        <w:rPr>
          <w:rFonts w:ascii="仿宋" w:hAnsi="仿宋" w:eastAsia="仿宋" w:cs="仿宋"/>
          <w:sz w:val="24"/>
          <w:szCs w:val="24"/>
        </w:rPr>
      </w:pPr>
      <w:r>
        <w:rPr>
          <w:rFonts w:hint="eastAsia" w:ascii="仿宋" w:hAnsi="仿宋" w:eastAsia="仿宋" w:cs="仿宋"/>
          <w:sz w:val="24"/>
          <w:szCs w:val="24"/>
        </w:rPr>
        <w:t>验收资料：</w:t>
      </w:r>
    </w:p>
    <w:p>
      <w:pPr>
        <w:spacing w:line="360" w:lineRule="auto"/>
        <w:ind w:firstLine="480" w:firstLineChars="200"/>
        <w:rPr>
          <w:rFonts w:ascii="仿宋" w:hAnsi="仿宋" w:eastAsia="仿宋" w:cs="仿宋"/>
          <w:sz w:val="24"/>
        </w:rPr>
      </w:pPr>
      <w:r>
        <w:rPr>
          <w:rFonts w:hint="eastAsia" w:ascii="仿宋" w:hAnsi="仿宋" w:eastAsia="仿宋" w:cs="仿宋"/>
          <w:sz w:val="24"/>
        </w:rPr>
        <w:t>验收资料和文件是项目验收的重要依据，投标人从项目实施开始就应完整地积累和保管，验收时在职能部门的指导、配合下按照采购人有关要求编目建档。</w:t>
      </w:r>
    </w:p>
    <w:p>
      <w:pPr>
        <w:pStyle w:val="32"/>
        <w:spacing w:line="360" w:lineRule="auto"/>
        <w:ind w:right="-512" w:firstLine="540" w:firstLineChars="225"/>
        <w:rPr>
          <w:rFonts w:ascii="仿宋" w:hAnsi="仿宋" w:eastAsia="仿宋" w:cs="仿宋"/>
          <w:sz w:val="24"/>
          <w:szCs w:val="24"/>
        </w:rPr>
      </w:pPr>
      <w:r>
        <w:rPr>
          <w:rFonts w:hint="eastAsia" w:ascii="仿宋" w:hAnsi="仿宋" w:eastAsia="仿宋" w:cs="仿宋"/>
          <w:sz w:val="24"/>
          <w:szCs w:val="24"/>
        </w:rPr>
        <w:t>验收资料要求包括（不限于）以下内容：</w:t>
      </w:r>
    </w:p>
    <w:p>
      <w:pPr>
        <w:pStyle w:val="32"/>
        <w:spacing w:line="360" w:lineRule="auto"/>
        <w:ind w:right="-512" w:firstLine="540" w:firstLineChars="225"/>
        <w:rPr>
          <w:rFonts w:ascii="仿宋" w:hAnsi="仿宋" w:eastAsia="仿宋" w:cs="仿宋"/>
          <w:sz w:val="24"/>
          <w:szCs w:val="24"/>
        </w:rPr>
      </w:pPr>
      <w:r>
        <w:rPr>
          <w:rFonts w:hint="eastAsia" w:ascii="仿宋" w:hAnsi="仿宋" w:eastAsia="仿宋" w:cs="仿宋"/>
          <w:sz w:val="24"/>
          <w:szCs w:val="24"/>
        </w:rPr>
        <w:t>（1）采购文件</w:t>
      </w:r>
    </w:p>
    <w:p>
      <w:pPr>
        <w:pStyle w:val="32"/>
        <w:spacing w:line="360" w:lineRule="auto"/>
        <w:ind w:right="-512" w:firstLine="540" w:firstLineChars="225"/>
        <w:rPr>
          <w:rFonts w:ascii="仿宋" w:hAnsi="仿宋" w:eastAsia="仿宋" w:cs="仿宋"/>
          <w:sz w:val="24"/>
          <w:szCs w:val="24"/>
        </w:rPr>
      </w:pPr>
      <w:r>
        <w:rPr>
          <w:rFonts w:hint="eastAsia" w:ascii="仿宋" w:hAnsi="仿宋" w:eastAsia="仿宋" w:cs="仿宋"/>
          <w:sz w:val="24"/>
          <w:szCs w:val="24"/>
        </w:rPr>
        <w:t>（2）投标文件</w:t>
      </w:r>
    </w:p>
    <w:p>
      <w:pPr>
        <w:pStyle w:val="32"/>
        <w:spacing w:line="360" w:lineRule="auto"/>
        <w:ind w:right="-512" w:firstLine="540" w:firstLineChars="225"/>
        <w:rPr>
          <w:rFonts w:ascii="仿宋" w:hAnsi="仿宋" w:eastAsia="仿宋" w:cs="仿宋"/>
          <w:sz w:val="24"/>
          <w:szCs w:val="24"/>
        </w:rPr>
      </w:pPr>
      <w:r>
        <w:rPr>
          <w:rFonts w:hint="eastAsia" w:ascii="仿宋" w:hAnsi="仿宋" w:eastAsia="仿宋" w:cs="仿宋"/>
          <w:sz w:val="24"/>
          <w:szCs w:val="24"/>
        </w:rPr>
        <w:t>（3）采购合同</w:t>
      </w:r>
    </w:p>
    <w:p>
      <w:pPr>
        <w:pStyle w:val="32"/>
        <w:spacing w:line="360" w:lineRule="auto"/>
        <w:ind w:right="-512" w:firstLine="540" w:firstLineChars="225"/>
        <w:rPr>
          <w:rFonts w:ascii="仿宋" w:hAnsi="仿宋" w:eastAsia="仿宋" w:cs="仿宋"/>
          <w:sz w:val="24"/>
          <w:szCs w:val="24"/>
        </w:rPr>
      </w:pPr>
      <w:r>
        <w:rPr>
          <w:rFonts w:hint="eastAsia" w:ascii="仿宋" w:hAnsi="仿宋" w:eastAsia="仿宋" w:cs="仿宋"/>
          <w:sz w:val="24"/>
          <w:szCs w:val="24"/>
        </w:rPr>
        <w:t>（4）考核表：每月考核表（采购人经办人、审核人、投标人签字盖章）</w:t>
      </w:r>
    </w:p>
    <w:p>
      <w:pPr>
        <w:pStyle w:val="32"/>
        <w:spacing w:line="360" w:lineRule="auto"/>
        <w:ind w:right="-512" w:firstLine="540" w:firstLineChars="225"/>
        <w:rPr>
          <w:rFonts w:ascii="仿宋" w:hAnsi="仿宋" w:eastAsia="仿宋" w:cs="仿宋"/>
          <w:sz w:val="24"/>
          <w:szCs w:val="24"/>
        </w:rPr>
      </w:pPr>
      <w:r>
        <w:rPr>
          <w:rFonts w:hint="eastAsia" w:ascii="仿宋" w:hAnsi="仿宋" w:eastAsia="仿宋" w:cs="仿宋"/>
          <w:sz w:val="24"/>
          <w:szCs w:val="24"/>
        </w:rPr>
        <w:t>（5）人员清单：项目实施人员明细清单。</w:t>
      </w:r>
    </w:p>
    <w:p>
      <w:pPr>
        <w:pStyle w:val="32"/>
        <w:spacing w:line="360" w:lineRule="auto"/>
        <w:ind w:right="-512" w:firstLine="540" w:firstLineChars="225"/>
        <w:rPr>
          <w:rFonts w:ascii="仿宋" w:hAnsi="仿宋" w:eastAsia="仿宋" w:cs="仿宋"/>
          <w:sz w:val="24"/>
          <w:szCs w:val="24"/>
        </w:rPr>
      </w:pPr>
      <w:r>
        <w:rPr>
          <w:rFonts w:hint="eastAsia" w:ascii="仿宋" w:hAnsi="仿宋" w:eastAsia="仿宋" w:cs="仿宋"/>
          <w:sz w:val="24"/>
          <w:szCs w:val="24"/>
        </w:rPr>
        <w:t>（6）人员每日考勤签到表：需采购人经办人、复核人、投标人签字并盖章。</w:t>
      </w:r>
    </w:p>
    <w:p>
      <w:pPr>
        <w:pStyle w:val="32"/>
        <w:spacing w:line="360" w:lineRule="auto"/>
        <w:ind w:right="-512" w:firstLine="540" w:firstLineChars="225"/>
        <w:rPr>
          <w:rFonts w:ascii="仿宋" w:hAnsi="仿宋" w:eastAsia="仿宋" w:cs="仿宋"/>
          <w:sz w:val="24"/>
          <w:szCs w:val="24"/>
        </w:rPr>
      </w:pPr>
      <w:r>
        <w:rPr>
          <w:rFonts w:hint="eastAsia" w:ascii="仿宋" w:hAnsi="仿宋" w:eastAsia="仿宋" w:cs="仿宋"/>
          <w:sz w:val="24"/>
          <w:szCs w:val="24"/>
        </w:rPr>
        <w:t>（7）每月人员社保缴纳清单：提供所有人员每月的社保缴纳清单。</w:t>
      </w:r>
    </w:p>
    <w:p>
      <w:pPr>
        <w:pStyle w:val="32"/>
        <w:spacing w:line="360" w:lineRule="auto"/>
        <w:ind w:right="-512" w:firstLine="540" w:firstLineChars="225"/>
        <w:rPr>
          <w:rFonts w:ascii="仿宋" w:hAnsi="仿宋" w:eastAsia="仿宋" w:cs="仿宋"/>
          <w:sz w:val="24"/>
          <w:szCs w:val="24"/>
        </w:rPr>
      </w:pPr>
      <w:r>
        <w:rPr>
          <w:rFonts w:hint="eastAsia" w:ascii="仿宋" w:hAnsi="仿宋" w:eastAsia="仿宋" w:cs="仿宋"/>
          <w:sz w:val="24"/>
          <w:szCs w:val="24"/>
        </w:rPr>
        <w:t>（8）人员变更审批表（如有）</w:t>
      </w:r>
    </w:p>
    <w:p>
      <w:pPr>
        <w:pStyle w:val="32"/>
        <w:spacing w:line="360" w:lineRule="auto"/>
        <w:ind w:right="-512" w:firstLine="540" w:firstLineChars="225"/>
        <w:rPr>
          <w:rFonts w:ascii="仿宋" w:hAnsi="仿宋" w:eastAsia="仿宋" w:cs="仿宋"/>
          <w:sz w:val="24"/>
          <w:szCs w:val="24"/>
        </w:rPr>
      </w:pPr>
      <w:r>
        <w:rPr>
          <w:rFonts w:hint="eastAsia" w:ascii="仿宋" w:hAnsi="仿宋" w:eastAsia="仿宋" w:cs="仿宋"/>
          <w:sz w:val="24"/>
          <w:szCs w:val="24"/>
        </w:rPr>
        <w:t>（9）培训资料</w:t>
      </w:r>
    </w:p>
    <w:p>
      <w:pPr>
        <w:pStyle w:val="32"/>
        <w:spacing w:line="360" w:lineRule="auto"/>
        <w:ind w:right="-512" w:firstLine="540" w:firstLineChars="225"/>
        <w:rPr>
          <w:rFonts w:ascii="仿宋" w:hAnsi="仿宋" w:eastAsia="仿宋"/>
          <w:sz w:val="24"/>
        </w:rPr>
      </w:pPr>
      <w:r>
        <w:rPr>
          <w:rFonts w:hint="eastAsia" w:ascii="仿宋" w:hAnsi="仿宋" w:eastAsia="仿宋" w:cs="仿宋"/>
          <w:sz w:val="24"/>
          <w:szCs w:val="24"/>
        </w:rPr>
        <w:t>（10）其他需提供的相关材料如问题整改处理的回复、每月的意见征询。</w:t>
      </w: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bookmarkStart w:id="29" w:name="_Toc184310324"/>
      <w:bookmarkEnd w:id="29"/>
      <w:bookmarkStart w:id="30" w:name="_Toc184308088"/>
      <w:bookmarkEnd w:id="30"/>
      <w:bookmarkStart w:id="31" w:name="_Toc184314481"/>
      <w:bookmarkEnd w:id="31"/>
      <w:bookmarkStart w:id="32" w:name="_Toc184308039"/>
      <w:bookmarkEnd w:id="32"/>
      <w:bookmarkStart w:id="33" w:name="_Toc184312112"/>
      <w:bookmarkEnd w:id="33"/>
      <w:bookmarkStart w:id="34" w:name="_Toc184312068"/>
      <w:bookmarkEnd w:id="34"/>
      <w:bookmarkStart w:id="35" w:name="_Toc184313292"/>
      <w:bookmarkEnd w:id="35"/>
      <w:bookmarkStart w:id="36" w:name="_Toc184310273"/>
      <w:bookmarkEnd w:id="36"/>
      <w:bookmarkStart w:id="37" w:name="_Toc184314459"/>
      <w:bookmarkEnd w:id="37"/>
      <w:bookmarkStart w:id="38" w:name="_Toc184308055"/>
      <w:bookmarkEnd w:id="38"/>
      <w:bookmarkStart w:id="39" w:name="_Toc184312069"/>
      <w:bookmarkEnd w:id="39"/>
      <w:bookmarkStart w:id="40" w:name="_Toc184310297"/>
      <w:bookmarkEnd w:id="40"/>
      <w:bookmarkStart w:id="41" w:name="_Toc184313256"/>
      <w:bookmarkEnd w:id="41"/>
      <w:bookmarkStart w:id="42" w:name="_Toc184308054"/>
      <w:bookmarkEnd w:id="42"/>
      <w:bookmarkStart w:id="43" w:name="_Toc184308081"/>
      <w:bookmarkEnd w:id="43"/>
      <w:bookmarkStart w:id="44" w:name="_Toc184310275"/>
      <w:bookmarkEnd w:id="44"/>
      <w:bookmarkStart w:id="45" w:name="_Toc184313262"/>
      <w:bookmarkEnd w:id="45"/>
      <w:bookmarkStart w:id="46" w:name="_Toc184314429"/>
      <w:bookmarkEnd w:id="46"/>
      <w:bookmarkStart w:id="47" w:name="_Toc184314450"/>
      <w:bookmarkEnd w:id="47"/>
      <w:bookmarkStart w:id="48" w:name="_Toc184314413"/>
      <w:bookmarkEnd w:id="48"/>
      <w:bookmarkStart w:id="49" w:name="_Toc184313253"/>
      <w:bookmarkEnd w:id="49"/>
      <w:bookmarkStart w:id="50" w:name="_Toc184310288"/>
      <w:bookmarkEnd w:id="50"/>
      <w:bookmarkStart w:id="51" w:name="_Toc184314432"/>
      <w:bookmarkEnd w:id="51"/>
      <w:bookmarkStart w:id="52" w:name="_Toc184313280"/>
      <w:bookmarkEnd w:id="52"/>
      <w:bookmarkStart w:id="53" w:name="_Toc184314428"/>
      <w:bookmarkEnd w:id="53"/>
      <w:bookmarkStart w:id="54" w:name="_Toc184313277"/>
      <w:bookmarkEnd w:id="54"/>
      <w:bookmarkStart w:id="55" w:name="_Toc184312117"/>
      <w:bookmarkEnd w:id="55"/>
      <w:bookmarkStart w:id="56" w:name="_Toc184314455"/>
      <w:bookmarkEnd w:id="56"/>
      <w:bookmarkStart w:id="57" w:name="_Toc184312075"/>
      <w:bookmarkEnd w:id="57"/>
      <w:bookmarkStart w:id="58" w:name="_Toc184314414"/>
      <w:bookmarkEnd w:id="58"/>
      <w:bookmarkStart w:id="59" w:name="_Toc184310335"/>
      <w:bookmarkEnd w:id="59"/>
      <w:bookmarkStart w:id="60" w:name="_Toc184310274"/>
      <w:bookmarkEnd w:id="60"/>
      <w:bookmarkStart w:id="61" w:name="_Toc184314415"/>
      <w:bookmarkEnd w:id="61"/>
      <w:bookmarkStart w:id="62" w:name="_Toc184314416"/>
      <w:bookmarkEnd w:id="62"/>
      <w:bookmarkStart w:id="63" w:name="_Toc184310339"/>
      <w:bookmarkEnd w:id="63"/>
      <w:bookmarkStart w:id="64" w:name="_Toc184314433"/>
      <w:bookmarkEnd w:id="64"/>
      <w:bookmarkStart w:id="65" w:name="_Toc184312110"/>
      <w:bookmarkEnd w:id="65"/>
      <w:bookmarkStart w:id="66" w:name="_Toc184312073"/>
      <w:bookmarkEnd w:id="66"/>
      <w:bookmarkStart w:id="67" w:name="_Toc184314418"/>
      <w:bookmarkEnd w:id="67"/>
      <w:bookmarkStart w:id="68" w:name="_Toc184313246"/>
      <w:bookmarkEnd w:id="68"/>
      <w:bookmarkStart w:id="69" w:name="_Toc184310312"/>
      <w:bookmarkEnd w:id="69"/>
      <w:bookmarkStart w:id="70" w:name="_Toc184312077"/>
      <w:bookmarkEnd w:id="70"/>
      <w:bookmarkStart w:id="71" w:name="_Toc184314472"/>
      <w:bookmarkEnd w:id="71"/>
      <w:bookmarkStart w:id="72" w:name="_Toc184310277"/>
      <w:bookmarkEnd w:id="72"/>
      <w:bookmarkStart w:id="73" w:name="_Toc184310272"/>
      <w:bookmarkEnd w:id="73"/>
      <w:bookmarkStart w:id="74" w:name="_Toc184308105"/>
      <w:bookmarkEnd w:id="74"/>
      <w:bookmarkStart w:id="75" w:name="_Toc184310342"/>
      <w:bookmarkEnd w:id="75"/>
      <w:bookmarkStart w:id="76" w:name="_Toc184310318"/>
      <w:bookmarkEnd w:id="76"/>
      <w:bookmarkStart w:id="77" w:name="_Toc184314411"/>
      <w:bookmarkEnd w:id="77"/>
      <w:bookmarkStart w:id="78" w:name="_Toc184313265"/>
      <w:bookmarkEnd w:id="78"/>
      <w:bookmarkStart w:id="79" w:name="_Toc184310290"/>
      <w:bookmarkEnd w:id="79"/>
      <w:bookmarkStart w:id="80" w:name="_Toc184310316"/>
      <w:bookmarkEnd w:id="80"/>
      <w:bookmarkStart w:id="81" w:name="_Toc184310280"/>
      <w:bookmarkEnd w:id="81"/>
      <w:bookmarkStart w:id="82" w:name="_Toc184310279"/>
      <w:bookmarkEnd w:id="82"/>
      <w:bookmarkStart w:id="83" w:name="_Toc184314417"/>
      <w:bookmarkEnd w:id="83"/>
      <w:bookmarkStart w:id="84" w:name="_Toc184313282"/>
      <w:bookmarkEnd w:id="84"/>
      <w:bookmarkStart w:id="85" w:name="_Toc184312072"/>
      <w:bookmarkEnd w:id="85"/>
      <w:bookmarkStart w:id="86" w:name="_Toc184314474"/>
      <w:bookmarkEnd w:id="86"/>
      <w:bookmarkStart w:id="87" w:name="_Toc184308080"/>
      <w:bookmarkEnd w:id="87"/>
      <w:bookmarkStart w:id="88" w:name="_Toc184310276"/>
      <w:bookmarkEnd w:id="88"/>
      <w:bookmarkStart w:id="89" w:name="_Toc184312074"/>
      <w:bookmarkEnd w:id="89"/>
      <w:bookmarkStart w:id="90" w:name="_Toc184308043"/>
      <w:bookmarkEnd w:id="90"/>
      <w:bookmarkStart w:id="91" w:name="_Toc184314437"/>
      <w:bookmarkEnd w:id="91"/>
      <w:bookmarkStart w:id="92" w:name="_Toc184310294"/>
      <w:bookmarkEnd w:id="92"/>
      <w:bookmarkStart w:id="93" w:name="_Toc184308104"/>
      <w:bookmarkEnd w:id="93"/>
      <w:bookmarkStart w:id="94" w:name="_Toc184314448"/>
      <w:bookmarkEnd w:id="94"/>
      <w:bookmarkStart w:id="95" w:name="_Toc184308041"/>
      <w:bookmarkEnd w:id="95"/>
      <w:bookmarkStart w:id="96" w:name="_Toc184313244"/>
      <w:bookmarkEnd w:id="96"/>
      <w:bookmarkStart w:id="97" w:name="_Toc184313261"/>
      <w:bookmarkEnd w:id="97"/>
      <w:bookmarkStart w:id="98" w:name="_Toc184308045"/>
      <w:bookmarkEnd w:id="98"/>
      <w:bookmarkStart w:id="99" w:name="_Toc184313260"/>
      <w:bookmarkEnd w:id="99"/>
      <w:bookmarkStart w:id="100" w:name="_Toc184313245"/>
      <w:bookmarkEnd w:id="100"/>
      <w:bookmarkStart w:id="101" w:name="_Toc184310332"/>
      <w:bookmarkEnd w:id="101"/>
      <w:bookmarkStart w:id="102" w:name="_Toc184312092"/>
      <w:bookmarkEnd w:id="102"/>
      <w:bookmarkStart w:id="103" w:name="_Toc184313284"/>
      <w:bookmarkEnd w:id="103"/>
      <w:bookmarkStart w:id="104" w:name="_Toc184310320"/>
      <w:bookmarkEnd w:id="104"/>
      <w:bookmarkStart w:id="105" w:name="_Toc184310287"/>
      <w:bookmarkEnd w:id="105"/>
      <w:bookmarkStart w:id="106" w:name="_Toc184312111"/>
      <w:bookmarkEnd w:id="106"/>
      <w:bookmarkStart w:id="107" w:name="_Toc184313304"/>
      <w:bookmarkEnd w:id="107"/>
      <w:bookmarkStart w:id="108" w:name="_Toc184313309"/>
      <w:bookmarkEnd w:id="108"/>
      <w:bookmarkStart w:id="109" w:name="_Toc184308038"/>
      <w:bookmarkEnd w:id="109"/>
      <w:bookmarkStart w:id="110" w:name="_Toc184313243"/>
      <w:bookmarkEnd w:id="110"/>
      <w:bookmarkStart w:id="111" w:name="_Toc184312076"/>
      <w:bookmarkEnd w:id="111"/>
      <w:bookmarkStart w:id="112" w:name="_Toc184308075"/>
      <w:bookmarkEnd w:id="112"/>
      <w:bookmarkStart w:id="113" w:name="_Toc184308096"/>
      <w:bookmarkEnd w:id="113"/>
      <w:bookmarkStart w:id="114" w:name="_Toc184314477"/>
      <w:bookmarkEnd w:id="114"/>
      <w:bookmarkStart w:id="115" w:name="_Toc184312132"/>
      <w:bookmarkEnd w:id="115"/>
      <w:bookmarkStart w:id="116" w:name="_Toc184308106"/>
      <w:bookmarkEnd w:id="116"/>
      <w:bookmarkStart w:id="117" w:name="_Toc184313305"/>
      <w:bookmarkEnd w:id="117"/>
      <w:bookmarkStart w:id="118" w:name="_Toc184308036"/>
      <w:bookmarkEnd w:id="118"/>
      <w:bookmarkStart w:id="119" w:name="_Toc184313278"/>
      <w:bookmarkEnd w:id="119"/>
      <w:bookmarkStart w:id="120" w:name="_Toc184314469"/>
      <w:bookmarkEnd w:id="120"/>
      <w:bookmarkStart w:id="121" w:name="_Toc184308044"/>
      <w:bookmarkEnd w:id="121"/>
      <w:bookmarkStart w:id="122" w:name="_Toc184313298"/>
      <w:bookmarkEnd w:id="122"/>
      <w:bookmarkStart w:id="123" w:name="_Toc184310344"/>
      <w:bookmarkEnd w:id="123"/>
      <w:bookmarkStart w:id="124" w:name="_Toc184312130"/>
      <w:bookmarkEnd w:id="124"/>
      <w:bookmarkStart w:id="125" w:name="_Toc184310333"/>
      <w:bookmarkEnd w:id="125"/>
      <w:bookmarkStart w:id="126" w:name="_Toc184310321"/>
      <w:bookmarkEnd w:id="126"/>
      <w:bookmarkStart w:id="127" w:name="_Toc184314435"/>
      <w:bookmarkEnd w:id="127"/>
      <w:bookmarkStart w:id="128" w:name="_Toc184312082"/>
      <w:bookmarkEnd w:id="128"/>
      <w:bookmarkStart w:id="129" w:name="_Toc184313299"/>
      <w:bookmarkEnd w:id="129"/>
      <w:bookmarkStart w:id="130" w:name="_Toc184314468"/>
      <w:bookmarkEnd w:id="130"/>
      <w:bookmarkStart w:id="131" w:name="_Toc184312122"/>
      <w:bookmarkEnd w:id="131"/>
      <w:bookmarkStart w:id="132" w:name="_Toc184313290"/>
      <w:bookmarkEnd w:id="132"/>
      <w:bookmarkStart w:id="133" w:name="_Toc184308073"/>
      <w:bookmarkEnd w:id="133"/>
      <w:bookmarkStart w:id="134" w:name="_Toc184313300"/>
      <w:bookmarkEnd w:id="134"/>
      <w:bookmarkStart w:id="135" w:name="_Toc184308059"/>
      <w:bookmarkEnd w:id="135"/>
      <w:bookmarkStart w:id="136" w:name="_Toc184308042"/>
      <w:bookmarkEnd w:id="136"/>
      <w:bookmarkStart w:id="137" w:name="_Toc184310278"/>
      <w:bookmarkEnd w:id="137"/>
      <w:bookmarkStart w:id="138" w:name="_Toc184308060"/>
      <w:bookmarkEnd w:id="138"/>
      <w:bookmarkStart w:id="139" w:name="_Toc184310304"/>
      <w:bookmarkEnd w:id="139"/>
      <w:bookmarkStart w:id="140" w:name="_Toc184312091"/>
      <w:bookmarkEnd w:id="140"/>
      <w:bookmarkStart w:id="141" w:name="_Toc184308062"/>
      <w:bookmarkEnd w:id="141"/>
      <w:bookmarkStart w:id="142" w:name="_Toc184312109"/>
      <w:bookmarkEnd w:id="142"/>
      <w:bookmarkStart w:id="143" w:name="_Toc184312125"/>
      <w:bookmarkEnd w:id="143"/>
      <w:bookmarkStart w:id="144" w:name="_Toc184310295"/>
      <w:bookmarkEnd w:id="144"/>
      <w:bookmarkStart w:id="145" w:name="_Toc184308050"/>
      <w:bookmarkEnd w:id="145"/>
      <w:bookmarkStart w:id="146" w:name="_Toc184314425"/>
      <w:bookmarkEnd w:id="146"/>
      <w:bookmarkStart w:id="147" w:name="_Toc184314463"/>
      <w:bookmarkEnd w:id="147"/>
      <w:bookmarkStart w:id="148" w:name="_Toc184314471"/>
      <w:bookmarkEnd w:id="148"/>
      <w:bookmarkStart w:id="149" w:name="_Toc184314470"/>
      <w:bookmarkEnd w:id="149"/>
      <w:bookmarkStart w:id="150" w:name="_Toc184312133"/>
      <w:bookmarkEnd w:id="150"/>
      <w:bookmarkStart w:id="151" w:name="_Toc184314412"/>
      <w:bookmarkEnd w:id="151"/>
      <w:bookmarkStart w:id="152" w:name="_Toc184308097"/>
      <w:bookmarkEnd w:id="152"/>
      <w:bookmarkStart w:id="153" w:name="_Toc184312107"/>
      <w:bookmarkEnd w:id="153"/>
      <w:bookmarkStart w:id="154" w:name="_Toc184313285"/>
      <w:bookmarkEnd w:id="154"/>
      <w:bookmarkStart w:id="155" w:name="_Toc184310338"/>
      <w:bookmarkEnd w:id="155"/>
      <w:bookmarkStart w:id="156" w:name="_Toc184308089"/>
      <w:bookmarkEnd w:id="156"/>
      <w:bookmarkStart w:id="157" w:name="_Toc184313297"/>
      <w:bookmarkEnd w:id="157"/>
      <w:bookmarkStart w:id="158" w:name="_Toc184308068"/>
      <w:bookmarkEnd w:id="158"/>
      <w:bookmarkStart w:id="159" w:name="_Toc184308046"/>
      <w:bookmarkEnd w:id="159"/>
      <w:bookmarkStart w:id="160" w:name="_Toc184308092"/>
      <w:bookmarkEnd w:id="160"/>
      <w:bookmarkStart w:id="161" w:name="_Toc184313276"/>
      <w:bookmarkEnd w:id="161"/>
      <w:bookmarkStart w:id="162" w:name="_Toc184312108"/>
      <w:bookmarkEnd w:id="162"/>
      <w:bookmarkStart w:id="163" w:name="_Toc184314424"/>
      <w:bookmarkEnd w:id="163"/>
      <w:bookmarkStart w:id="164" w:name="_Toc184312129"/>
      <w:bookmarkEnd w:id="164"/>
      <w:bookmarkStart w:id="165" w:name="_Toc184312134"/>
      <w:bookmarkEnd w:id="165"/>
      <w:bookmarkStart w:id="166" w:name="_Toc184308090"/>
      <w:bookmarkEnd w:id="166"/>
      <w:bookmarkStart w:id="167" w:name="_Toc184314452"/>
      <w:bookmarkEnd w:id="167"/>
      <w:bookmarkStart w:id="168" w:name="_Toc184308103"/>
      <w:bookmarkEnd w:id="168"/>
      <w:bookmarkStart w:id="169" w:name="_Toc184310331"/>
      <w:bookmarkEnd w:id="169"/>
      <w:bookmarkStart w:id="170" w:name="_Toc184312089"/>
      <w:bookmarkEnd w:id="170"/>
      <w:bookmarkStart w:id="171" w:name="_Toc184314457"/>
      <w:bookmarkEnd w:id="171"/>
      <w:bookmarkStart w:id="172" w:name="_Toc184312120"/>
      <w:bookmarkEnd w:id="172"/>
      <w:bookmarkStart w:id="173" w:name="_Toc184310334"/>
      <w:bookmarkEnd w:id="173"/>
      <w:bookmarkStart w:id="174" w:name="_Toc184313294"/>
      <w:bookmarkEnd w:id="174"/>
      <w:bookmarkStart w:id="175" w:name="_Toc184308094"/>
      <w:bookmarkEnd w:id="175"/>
      <w:bookmarkStart w:id="176" w:name="_Toc184314427"/>
      <w:bookmarkEnd w:id="176"/>
      <w:bookmarkStart w:id="177" w:name="_Toc184312090"/>
      <w:bookmarkEnd w:id="177"/>
      <w:bookmarkStart w:id="178" w:name="_Toc184312123"/>
      <w:bookmarkEnd w:id="178"/>
      <w:bookmarkStart w:id="179" w:name="_Toc184314422"/>
      <w:bookmarkEnd w:id="179"/>
      <w:bookmarkStart w:id="180" w:name="_Toc184310330"/>
      <w:bookmarkEnd w:id="180"/>
      <w:bookmarkStart w:id="181" w:name="_Toc184308037"/>
      <w:bookmarkEnd w:id="181"/>
      <w:bookmarkStart w:id="182" w:name="_Toc184314451"/>
      <w:bookmarkEnd w:id="182"/>
      <w:bookmarkStart w:id="183" w:name="_Toc184314464"/>
      <w:bookmarkEnd w:id="183"/>
      <w:bookmarkStart w:id="184" w:name="_Toc184313286"/>
      <w:bookmarkEnd w:id="184"/>
      <w:bookmarkStart w:id="185" w:name="_Toc184310284"/>
      <w:bookmarkEnd w:id="185"/>
      <w:bookmarkStart w:id="186" w:name="_Toc184314480"/>
      <w:bookmarkEnd w:id="186"/>
      <w:bookmarkStart w:id="187" w:name="_Toc184314467"/>
      <w:bookmarkEnd w:id="187"/>
      <w:bookmarkStart w:id="188" w:name="_Toc184312124"/>
      <w:bookmarkEnd w:id="188"/>
      <w:bookmarkStart w:id="189" w:name="_Toc184312121"/>
      <w:bookmarkEnd w:id="189"/>
      <w:bookmarkStart w:id="190" w:name="_Toc184314462"/>
      <w:bookmarkEnd w:id="190"/>
      <w:bookmarkStart w:id="191" w:name="_Toc184314476"/>
      <w:bookmarkEnd w:id="191"/>
      <w:bookmarkStart w:id="192" w:name="_Toc184312105"/>
      <w:bookmarkEnd w:id="192"/>
      <w:bookmarkStart w:id="193" w:name="_Toc184308087"/>
      <w:bookmarkEnd w:id="193"/>
      <w:bookmarkStart w:id="194" w:name="_Toc184308085"/>
      <w:bookmarkEnd w:id="194"/>
      <w:bookmarkStart w:id="195" w:name="_Toc184313289"/>
      <w:bookmarkEnd w:id="195"/>
      <w:bookmarkStart w:id="196" w:name="_Toc184310329"/>
      <w:bookmarkEnd w:id="196"/>
      <w:bookmarkStart w:id="197" w:name="_Toc184313288"/>
      <w:bookmarkEnd w:id="197"/>
      <w:bookmarkStart w:id="198" w:name="_Toc184308093"/>
      <w:bookmarkEnd w:id="198"/>
      <w:bookmarkStart w:id="199" w:name="_Toc184314479"/>
      <w:bookmarkEnd w:id="199"/>
      <w:bookmarkStart w:id="200" w:name="_Toc184312071"/>
      <w:bookmarkEnd w:id="200"/>
      <w:bookmarkStart w:id="201" w:name="_Toc184310326"/>
      <w:bookmarkEnd w:id="201"/>
      <w:bookmarkStart w:id="202" w:name="_Toc184313248"/>
      <w:bookmarkEnd w:id="202"/>
      <w:bookmarkStart w:id="203" w:name="_Toc184308095"/>
      <w:bookmarkEnd w:id="203"/>
      <w:bookmarkStart w:id="204" w:name="_Toc184310340"/>
      <w:bookmarkEnd w:id="204"/>
      <w:bookmarkStart w:id="205" w:name="_Toc184313301"/>
      <w:bookmarkEnd w:id="205"/>
      <w:bookmarkStart w:id="206" w:name="_Toc184308063"/>
      <w:bookmarkEnd w:id="206"/>
      <w:bookmarkStart w:id="207" w:name="_Toc184308099"/>
      <w:bookmarkEnd w:id="207"/>
      <w:bookmarkStart w:id="208" w:name="_Toc184313250"/>
      <w:bookmarkEnd w:id="208"/>
      <w:bookmarkStart w:id="209" w:name="_Toc184308076"/>
      <w:bookmarkEnd w:id="209"/>
      <w:bookmarkStart w:id="210" w:name="_Toc184308098"/>
      <w:bookmarkEnd w:id="210"/>
      <w:bookmarkStart w:id="211" w:name="_Toc184312128"/>
      <w:bookmarkEnd w:id="211"/>
      <w:bookmarkStart w:id="212" w:name="_Toc184313296"/>
      <w:bookmarkEnd w:id="212"/>
      <w:bookmarkStart w:id="213" w:name="_Toc184312126"/>
      <w:bookmarkEnd w:id="213"/>
      <w:bookmarkStart w:id="214" w:name="_Toc184314445"/>
      <w:bookmarkEnd w:id="214"/>
      <w:bookmarkStart w:id="215" w:name="_Toc184308107"/>
      <w:bookmarkEnd w:id="215"/>
      <w:bookmarkStart w:id="216" w:name="_Toc184312114"/>
      <w:bookmarkEnd w:id="216"/>
      <w:bookmarkStart w:id="217" w:name="_Toc184314482"/>
      <w:bookmarkEnd w:id="217"/>
      <w:bookmarkStart w:id="218" w:name="_Toc184313252"/>
      <w:bookmarkEnd w:id="218"/>
      <w:bookmarkStart w:id="219" w:name="_Toc184313274"/>
      <w:bookmarkEnd w:id="219"/>
      <w:bookmarkStart w:id="220" w:name="_Toc184314465"/>
      <w:bookmarkEnd w:id="220"/>
      <w:bookmarkStart w:id="221" w:name="_Toc184313242"/>
      <w:bookmarkEnd w:id="221"/>
      <w:bookmarkStart w:id="222" w:name="_Toc184312119"/>
      <w:bookmarkEnd w:id="222"/>
      <w:bookmarkStart w:id="223" w:name="_Toc184310313"/>
      <w:bookmarkEnd w:id="223"/>
      <w:bookmarkStart w:id="224" w:name="_Toc184310286"/>
      <w:bookmarkEnd w:id="224"/>
      <w:bookmarkStart w:id="225" w:name="_Toc184312080"/>
      <w:bookmarkEnd w:id="225"/>
      <w:bookmarkStart w:id="226" w:name="_Toc184312118"/>
      <w:bookmarkEnd w:id="226"/>
      <w:bookmarkStart w:id="227" w:name="_Toc184310327"/>
      <w:bookmarkEnd w:id="227"/>
      <w:bookmarkStart w:id="228" w:name="_Toc184308077"/>
      <w:bookmarkEnd w:id="228"/>
      <w:bookmarkStart w:id="229" w:name="_Toc184314461"/>
      <w:bookmarkEnd w:id="229"/>
      <w:bookmarkStart w:id="230" w:name="_Toc184312127"/>
      <w:bookmarkEnd w:id="230"/>
      <w:bookmarkStart w:id="231" w:name="_Toc184313241"/>
      <w:bookmarkEnd w:id="231"/>
      <w:bookmarkStart w:id="232" w:name="_Toc184312113"/>
      <w:bookmarkEnd w:id="232"/>
      <w:bookmarkStart w:id="233" w:name="_Toc184312096"/>
      <w:bookmarkEnd w:id="233"/>
      <w:bookmarkStart w:id="234" w:name="_Toc184314456"/>
      <w:bookmarkEnd w:id="234"/>
      <w:bookmarkStart w:id="235" w:name="_Toc184312137"/>
      <w:bookmarkEnd w:id="235"/>
      <w:bookmarkStart w:id="236" w:name="_Toc184310309"/>
      <w:bookmarkEnd w:id="236"/>
      <w:bookmarkStart w:id="237" w:name="_Toc184308079"/>
      <w:bookmarkEnd w:id="237"/>
      <w:bookmarkStart w:id="238" w:name="_Toc184308091"/>
      <w:bookmarkEnd w:id="238"/>
      <w:bookmarkStart w:id="239" w:name="_Toc184314421"/>
      <w:bookmarkEnd w:id="239"/>
      <w:bookmarkStart w:id="240" w:name="_Toc184312093"/>
      <w:bookmarkEnd w:id="240"/>
      <w:bookmarkStart w:id="241" w:name="_Toc184314423"/>
      <w:bookmarkEnd w:id="241"/>
      <w:bookmarkStart w:id="242" w:name="_Toc184314466"/>
      <w:bookmarkEnd w:id="242"/>
      <w:bookmarkStart w:id="243" w:name="_Toc184310319"/>
      <w:bookmarkEnd w:id="243"/>
      <w:bookmarkStart w:id="244" w:name="_Toc184308102"/>
      <w:bookmarkEnd w:id="244"/>
      <w:bookmarkStart w:id="245" w:name="_Toc184313310"/>
      <w:bookmarkEnd w:id="245"/>
      <w:bookmarkStart w:id="246" w:name="_Toc184310328"/>
      <w:bookmarkEnd w:id="246"/>
      <w:bookmarkStart w:id="247" w:name="_Toc184308086"/>
      <w:bookmarkEnd w:id="247"/>
      <w:bookmarkStart w:id="248" w:name="_Toc184313247"/>
      <w:bookmarkEnd w:id="248"/>
      <w:bookmarkStart w:id="249" w:name="_Toc184308082"/>
      <w:bookmarkEnd w:id="249"/>
      <w:bookmarkStart w:id="250" w:name="_Toc184313295"/>
      <w:bookmarkEnd w:id="250"/>
      <w:bookmarkStart w:id="251" w:name="_Toc184308100"/>
      <w:bookmarkEnd w:id="251"/>
      <w:bookmarkStart w:id="252" w:name="_Toc184313272"/>
      <w:bookmarkEnd w:id="252"/>
      <w:bookmarkStart w:id="253" w:name="_Toc184314460"/>
      <w:bookmarkEnd w:id="253"/>
      <w:bookmarkStart w:id="254" w:name="_Toc184313302"/>
      <w:bookmarkEnd w:id="254"/>
      <w:bookmarkStart w:id="255" w:name="_Toc184313281"/>
      <w:bookmarkEnd w:id="255"/>
      <w:bookmarkStart w:id="256" w:name="_Toc184308084"/>
      <w:bookmarkEnd w:id="256"/>
      <w:bookmarkStart w:id="257" w:name="_Toc184312099"/>
      <w:bookmarkEnd w:id="257"/>
      <w:bookmarkStart w:id="258" w:name="_Toc184312138"/>
      <w:bookmarkEnd w:id="258"/>
      <w:bookmarkStart w:id="259" w:name="_Toc184314436"/>
      <w:bookmarkEnd w:id="259"/>
      <w:bookmarkStart w:id="260" w:name="_Toc184313293"/>
      <w:bookmarkEnd w:id="260"/>
      <w:bookmarkStart w:id="261" w:name="_Toc184310283"/>
      <w:bookmarkEnd w:id="261"/>
      <w:bookmarkStart w:id="262" w:name="_Toc184314442"/>
      <w:bookmarkEnd w:id="262"/>
      <w:bookmarkStart w:id="263" w:name="_Toc184314444"/>
      <w:bookmarkEnd w:id="263"/>
      <w:bookmarkStart w:id="264" w:name="_Toc184313308"/>
      <w:bookmarkEnd w:id="264"/>
      <w:bookmarkStart w:id="265" w:name="_Toc184308108"/>
      <w:bookmarkEnd w:id="265"/>
      <w:bookmarkStart w:id="266" w:name="_Toc184313238"/>
      <w:bookmarkEnd w:id="266"/>
      <w:bookmarkStart w:id="267" w:name="_Toc184312131"/>
      <w:bookmarkEnd w:id="267"/>
      <w:bookmarkStart w:id="268" w:name="_Toc184313258"/>
      <w:bookmarkEnd w:id="268"/>
      <w:bookmarkStart w:id="269" w:name="_Toc184313239"/>
      <w:bookmarkEnd w:id="269"/>
      <w:bookmarkStart w:id="270" w:name="_Toc184313271"/>
      <w:bookmarkEnd w:id="270"/>
      <w:bookmarkStart w:id="271" w:name="_Toc184310325"/>
      <w:bookmarkEnd w:id="271"/>
      <w:bookmarkStart w:id="272" w:name="_Toc184308051"/>
      <w:bookmarkEnd w:id="272"/>
      <w:bookmarkStart w:id="273" w:name="_Toc184312079"/>
      <w:bookmarkEnd w:id="273"/>
      <w:bookmarkStart w:id="274" w:name="_Toc184308072"/>
      <w:bookmarkEnd w:id="274"/>
      <w:bookmarkStart w:id="275" w:name="_Toc184310323"/>
      <w:bookmarkEnd w:id="275"/>
      <w:bookmarkStart w:id="276" w:name="_Toc184313269"/>
      <w:bookmarkEnd w:id="276"/>
      <w:bookmarkStart w:id="277" w:name="_Toc184310306"/>
      <w:bookmarkEnd w:id="277"/>
      <w:bookmarkStart w:id="278" w:name="_Toc184313283"/>
      <w:bookmarkEnd w:id="278"/>
      <w:bookmarkStart w:id="279" w:name="_Toc184314420"/>
      <w:bookmarkEnd w:id="279"/>
      <w:bookmarkStart w:id="280" w:name="_Toc184308071"/>
      <w:bookmarkEnd w:id="280"/>
      <w:bookmarkStart w:id="281" w:name="_Toc184313291"/>
      <w:bookmarkEnd w:id="281"/>
      <w:bookmarkStart w:id="282" w:name="_Toc184313279"/>
      <w:bookmarkEnd w:id="282"/>
      <w:bookmarkStart w:id="283" w:name="_Toc184314440"/>
      <w:bookmarkEnd w:id="283"/>
      <w:bookmarkStart w:id="284" w:name="_Toc184312102"/>
      <w:bookmarkEnd w:id="284"/>
      <w:bookmarkStart w:id="285" w:name="_Toc184312139"/>
      <w:bookmarkEnd w:id="285"/>
      <w:bookmarkStart w:id="286" w:name="_Toc184310308"/>
      <w:bookmarkEnd w:id="286"/>
      <w:bookmarkStart w:id="287" w:name="_Toc184312136"/>
      <w:bookmarkEnd w:id="287"/>
      <w:bookmarkStart w:id="288" w:name="_Toc184308070"/>
      <w:bookmarkEnd w:id="288"/>
      <w:bookmarkStart w:id="289" w:name="_Toc184310303"/>
      <w:bookmarkEnd w:id="289"/>
      <w:bookmarkStart w:id="290" w:name="_Toc184313240"/>
      <w:bookmarkEnd w:id="290"/>
      <w:bookmarkStart w:id="291" w:name="_Toc184308069"/>
      <w:bookmarkEnd w:id="291"/>
      <w:bookmarkStart w:id="292" w:name="_Toc184310300"/>
      <w:bookmarkEnd w:id="292"/>
      <w:bookmarkStart w:id="293" w:name="_Toc184310311"/>
      <w:bookmarkEnd w:id="293"/>
      <w:bookmarkStart w:id="294" w:name="_Toc184312081"/>
      <w:bookmarkEnd w:id="294"/>
      <w:bookmarkStart w:id="295" w:name="_Toc184314473"/>
      <w:bookmarkEnd w:id="295"/>
      <w:bookmarkStart w:id="296" w:name="_Toc184308083"/>
      <w:bookmarkEnd w:id="296"/>
      <w:bookmarkStart w:id="297" w:name="_Toc184310337"/>
      <w:bookmarkEnd w:id="297"/>
      <w:bookmarkStart w:id="298" w:name="_Toc184313257"/>
      <w:bookmarkEnd w:id="298"/>
      <w:bookmarkStart w:id="299" w:name="_Toc184313270"/>
      <w:bookmarkEnd w:id="299"/>
      <w:bookmarkStart w:id="300" w:name="_Toc184310307"/>
      <w:bookmarkEnd w:id="300"/>
      <w:bookmarkStart w:id="301" w:name="_Toc184313249"/>
      <w:bookmarkEnd w:id="301"/>
      <w:bookmarkStart w:id="302" w:name="_Toc184314410"/>
      <w:bookmarkEnd w:id="302"/>
      <w:bookmarkStart w:id="303" w:name="_Toc184308057"/>
      <w:bookmarkEnd w:id="303"/>
      <w:bookmarkStart w:id="304" w:name="_Toc184312101"/>
      <w:bookmarkEnd w:id="304"/>
      <w:bookmarkStart w:id="305" w:name="_Toc184312104"/>
      <w:bookmarkEnd w:id="305"/>
      <w:bookmarkStart w:id="306" w:name="_Toc184314419"/>
      <w:bookmarkEnd w:id="306"/>
      <w:bookmarkStart w:id="307" w:name="_Toc184310305"/>
      <w:bookmarkEnd w:id="307"/>
      <w:bookmarkStart w:id="308" w:name="_Toc184314447"/>
      <w:bookmarkEnd w:id="308"/>
      <w:bookmarkStart w:id="309" w:name="_Toc184312106"/>
      <w:bookmarkEnd w:id="309"/>
      <w:bookmarkStart w:id="310" w:name="_Toc184313259"/>
      <w:bookmarkEnd w:id="310"/>
      <w:bookmarkStart w:id="311" w:name="_Toc184314441"/>
      <w:bookmarkEnd w:id="311"/>
      <w:bookmarkStart w:id="312" w:name="_Toc184310302"/>
      <w:bookmarkEnd w:id="312"/>
      <w:bookmarkStart w:id="313" w:name="_Toc184314446"/>
      <w:bookmarkEnd w:id="313"/>
      <w:bookmarkStart w:id="314" w:name="_Toc184310322"/>
      <w:bookmarkEnd w:id="314"/>
      <w:bookmarkStart w:id="315" w:name="_Toc184310293"/>
      <w:bookmarkEnd w:id="315"/>
      <w:bookmarkStart w:id="316" w:name="_Toc184312095"/>
      <w:bookmarkEnd w:id="316"/>
      <w:bookmarkStart w:id="317" w:name="_Toc184312100"/>
      <w:bookmarkEnd w:id="317"/>
      <w:bookmarkStart w:id="318" w:name="_Toc184308047"/>
      <w:bookmarkEnd w:id="318"/>
      <w:bookmarkStart w:id="319" w:name="_Toc184312135"/>
      <w:bookmarkEnd w:id="319"/>
      <w:bookmarkStart w:id="320" w:name="_Toc184313307"/>
      <w:bookmarkEnd w:id="320"/>
      <w:bookmarkStart w:id="321" w:name="_Toc184308078"/>
      <w:bookmarkEnd w:id="321"/>
      <w:bookmarkStart w:id="322" w:name="_Toc184310285"/>
      <w:bookmarkEnd w:id="322"/>
      <w:bookmarkStart w:id="323" w:name="_Toc184314443"/>
      <w:bookmarkEnd w:id="323"/>
      <w:bookmarkStart w:id="324" w:name="_Toc184310291"/>
      <w:bookmarkEnd w:id="324"/>
      <w:bookmarkStart w:id="325" w:name="_Toc184312088"/>
      <w:bookmarkEnd w:id="325"/>
      <w:bookmarkStart w:id="326" w:name="_Toc184313264"/>
      <w:bookmarkEnd w:id="326"/>
      <w:bookmarkStart w:id="327" w:name="_Toc184308058"/>
      <w:bookmarkEnd w:id="327"/>
      <w:bookmarkStart w:id="328" w:name="_Toc184313268"/>
      <w:bookmarkEnd w:id="328"/>
      <w:bookmarkStart w:id="329" w:name="_Toc184310282"/>
      <w:bookmarkEnd w:id="329"/>
      <w:bookmarkStart w:id="330" w:name="_Toc184314426"/>
      <w:bookmarkEnd w:id="330"/>
      <w:bookmarkStart w:id="331" w:name="_Toc184310343"/>
      <w:bookmarkEnd w:id="331"/>
      <w:bookmarkStart w:id="332" w:name="_Toc184308065"/>
      <w:bookmarkEnd w:id="332"/>
      <w:bookmarkStart w:id="333" w:name="_Toc184313255"/>
      <w:bookmarkEnd w:id="333"/>
      <w:bookmarkStart w:id="334" w:name="_Toc184314439"/>
      <w:bookmarkEnd w:id="334"/>
      <w:bookmarkStart w:id="335" w:name="_Toc184308048"/>
      <w:bookmarkEnd w:id="335"/>
      <w:bookmarkStart w:id="336" w:name="_Toc184312084"/>
      <w:bookmarkEnd w:id="336"/>
      <w:bookmarkStart w:id="337" w:name="_Toc184314475"/>
      <w:bookmarkEnd w:id="337"/>
      <w:bookmarkStart w:id="338" w:name="_Toc184310315"/>
      <w:bookmarkEnd w:id="338"/>
      <w:bookmarkStart w:id="339" w:name="_Toc184308066"/>
      <w:bookmarkEnd w:id="339"/>
      <w:bookmarkStart w:id="340" w:name="_Toc184313267"/>
      <w:bookmarkEnd w:id="340"/>
      <w:bookmarkStart w:id="341" w:name="_Toc184313303"/>
      <w:bookmarkEnd w:id="341"/>
      <w:bookmarkStart w:id="342" w:name="_Toc184308064"/>
      <w:bookmarkEnd w:id="342"/>
      <w:bookmarkStart w:id="343" w:name="_Toc184308061"/>
      <w:bookmarkEnd w:id="343"/>
      <w:bookmarkStart w:id="344" w:name="_Toc184314438"/>
      <w:bookmarkEnd w:id="344"/>
      <w:bookmarkStart w:id="345" w:name="_Toc184313251"/>
      <w:bookmarkEnd w:id="345"/>
      <w:bookmarkStart w:id="346" w:name="_Toc184314453"/>
      <w:bookmarkEnd w:id="346"/>
      <w:bookmarkStart w:id="347" w:name="_Toc184312103"/>
      <w:bookmarkEnd w:id="347"/>
      <w:bookmarkStart w:id="348" w:name="_Toc184308074"/>
      <w:bookmarkEnd w:id="348"/>
      <w:bookmarkStart w:id="349" w:name="_Toc184314454"/>
      <w:bookmarkEnd w:id="349"/>
      <w:bookmarkStart w:id="350" w:name="_Toc184310301"/>
      <w:bookmarkEnd w:id="350"/>
      <w:bookmarkStart w:id="351" w:name="_Toc184313263"/>
      <w:bookmarkEnd w:id="351"/>
      <w:bookmarkStart w:id="352" w:name="_Toc184314434"/>
      <w:bookmarkEnd w:id="352"/>
      <w:bookmarkStart w:id="353" w:name="_Toc184310299"/>
      <w:bookmarkEnd w:id="353"/>
      <w:bookmarkStart w:id="354" w:name="_Toc184312097"/>
      <w:bookmarkEnd w:id="354"/>
      <w:bookmarkStart w:id="355" w:name="_Toc184308049"/>
      <w:bookmarkEnd w:id="355"/>
      <w:bookmarkStart w:id="356" w:name="_Toc184313254"/>
      <w:bookmarkEnd w:id="356"/>
      <w:bookmarkStart w:id="357" w:name="_Toc184312078"/>
      <w:bookmarkEnd w:id="357"/>
      <w:bookmarkStart w:id="358" w:name="_Toc184314431"/>
      <w:bookmarkEnd w:id="358"/>
      <w:bookmarkStart w:id="359" w:name="_Toc184312070"/>
      <w:bookmarkEnd w:id="359"/>
      <w:bookmarkStart w:id="360" w:name="_Toc184312094"/>
      <w:bookmarkEnd w:id="360"/>
      <w:bookmarkStart w:id="361" w:name="_Toc184312115"/>
      <w:bookmarkEnd w:id="361"/>
      <w:bookmarkStart w:id="362" w:name="_Toc184312098"/>
      <w:bookmarkEnd w:id="362"/>
      <w:bookmarkStart w:id="363" w:name="_Toc184313273"/>
      <w:bookmarkEnd w:id="363"/>
      <w:bookmarkStart w:id="364" w:name="_Toc184312087"/>
      <w:bookmarkEnd w:id="364"/>
      <w:bookmarkStart w:id="365" w:name="_Toc184308053"/>
      <w:bookmarkEnd w:id="365"/>
      <w:bookmarkStart w:id="366" w:name="_Toc184312086"/>
      <w:bookmarkEnd w:id="366"/>
      <w:bookmarkStart w:id="367" w:name="_Toc184310281"/>
      <w:bookmarkEnd w:id="367"/>
      <w:bookmarkStart w:id="368" w:name="_Toc184310341"/>
      <w:bookmarkEnd w:id="368"/>
      <w:bookmarkStart w:id="369" w:name="_Toc184314430"/>
      <w:bookmarkEnd w:id="369"/>
      <w:bookmarkStart w:id="370" w:name="_Toc184310292"/>
      <w:bookmarkEnd w:id="370"/>
      <w:bookmarkStart w:id="371" w:name="_Toc184310317"/>
      <w:bookmarkEnd w:id="371"/>
      <w:bookmarkStart w:id="372" w:name="_Toc184310289"/>
      <w:bookmarkEnd w:id="372"/>
      <w:bookmarkStart w:id="373" w:name="_Toc184312083"/>
      <w:bookmarkEnd w:id="373"/>
      <w:bookmarkStart w:id="374" w:name="_Toc184313287"/>
      <w:bookmarkEnd w:id="374"/>
      <w:bookmarkStart w:id="375" w:name="_Toc184313306"/>
      <w:bookmarkEnd w:id="375"/>
      <w:bookmarkStart w:id="376" w:name="_Toc184312116"/>
      <w:bookmarkEnd w:id="376"/>
      <w:bookmarkStart w:id="377" w:name="_Toc184313275"/>
      <w:bookmarkEnd w:id="377"/>
      <w:bookmarkStart w:id="378" w:name="_Toc184310314"/>
      <w:bookmarkEnd w:id="378"/>
      <w:bookmarkStart w:id="379" w:name="_Toc184310296"/>
      <w:bookmarkEnd w:id="379"/>
      <w:bookmarkStart w:id="380" w:name="_Toc184314458"/>
      <w:bookmarkEnd w:id="380"/>
      <w:bookmarkStart w:id="381" w:name="_Toc184312067"/>
      <w:bookmarkEnd w:id="381"/>
      <w:bookmarkStart w:id="382" w:name="_Toc184308067"/>
      <w:bookmarkEnd w:id="382"/>
      <w:bookmarkStart w:id="383" w:name="_Toc184308101"/>
      <w:bookmarkEnd w:id="383"/>
      <w:bookmarkStart w:id="384" w:name="_Toc184314449"/>
      <w:bookmarkEnd w:id="384"/>
      <w:bookmarkStart w:id="385" w:name="_Toc184310310"/>
      <w:bookmarkEnd w:id="385"/>
      <w:bookmarkStart w:id="386" w:name="_Toc184314478"/>
      <w:bookmarkEnd w:id="386"/>
      <w:bookmarkStart w:id="387" w:name="_Toc184308056"/>
      <w:bookmarkEnd w:id="387"/>
      <w:bookmarkStart w:id="388" w:name="_Toc184310298"/>
      <w:bookmarkEnd w:id="388"/>
      <w:bookmarkStart w:id="389" w:name="_Toc184310336"/>
      <w:bookmarkEnd w:id="389"/>
      <w:bookmarkStart w:id="390" w:name="_Toc184312085"/>
      <w:bookmarkEnd w:id="390"/>
      <w:bookmarkStart w:id="391" w:name="_Toc184308052"/>
      <w:bookmarkEnd w:id="391"/>
      <w:bookmarkStart w:id="392" w:name="_Toc184313266"/>
      <w:bookmarkEnd w:id="392"/>
      <w:bookmarkStart w:id="393" w:name="_Toc184308040"/>
      <w:bookmarkEnd w:id="393"/>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2"/>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72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68" w:type="pct"/>
            <w:vAlign w:val="center"/>
          </w:tcPr>
          <w:p>
            <w:pPr>
              <w:spacing w:line="360" w:lineRule="auto"/>
              <w:jc w:val="center"/>
              <w:outlineLvl w:val="0"/>
              <w:rPr>
                <w:rFonts w:ascii="仿宋" w:hAnsi="仿宋" w:eastAsia="仿宋" w:cs="仿宋"/>
                <w:bCs/>
                <w:sz w:val="24"/>
              </w:rPr>
            </w:pPr>
            <w:r>
              <w:rPr>
                <w:rFonts w:hint="eastAsia" w:ascii="仿宋" w:hAnsi="仿宋" w:eastAsia="仿宋" w:cs="仿宋"/>
                <w:bCs/>
                <w:sz w:val="24"/>
              </w:rPr>
              <w:t>序号</w:t>
            </w:r>
          </w:p>
        </w:tc>
        <w:tc>
          <w:tcPr>
            <w:tcW w:w="3028" w:type="pct"/>
            <w:vAlign w:val="center"/>
          </w:tcPr>
          <w:p>
            <w:pPr>
              <w:spacing w:line="360" w:lineRule="auto"/>
              <w:ind w:firstLine="1560" w:firstLineChars="650"/>
              <w:outlineLvl w:val="0"/>
              <w:rPr>
                <w:rFonts w:ascii="仿宋" w:hAnsi="仿宋" w:eastAsia="仿宋" w:cs="仿宋"/>
                <w:bCs/>
                <w:sz w:val="24"/>
              </w:rPr>
            </w:pPr>
            <w:r>
              <w:rPr>
                <w:rFonts w:hint="eastAsia" w:ascii="仿宋" w:hAnsi="仿宋" w:eastAsia="仿宋" w:cs="仿宋"/>
                <w:bCs/>
                <w:sz w:val="24"/>
              </w:rPr>
              <w:t>评标标准</w:t>
            </w:r>
          </w:p>
        </w:tc>
        <w:tc>
          <w:tcPr>
            <w:tcW w:w="408" w:type="pct"/>
            <w:vAlign w:val="center"/>
          </w:tcPr>
          <w:p>
            <w:pPr>
              <w:spacing w:line="360" w:lineRule="auto"/>
              <w:outlineLvl w:val="0"/>
              <w:rPr>
                <w:rFonts w:ascii="仿宋" w:hAnsi="仿宋" w:eastAsia="仿宋" w:cs="仿宋"/>
                <w:bCs/>
                <w:sz w:val="24"/>
              </w:rPr>
            </w:pPr>
            <w:r>
              <w:rPr>
                <w:rFonts w:hint="eastAsia" w:ascii="仿宋" w:hAnsi="仿宋" w:eastAsia="仿宋" w:cs="仿宋"/>
                <w:bCs/>
                <w:sz w:val="24"/>
              </w:rPr>
              <w:t>权重</w:t>
            </w:r>
          </w:p>
        </w:tc>
        <w:tc>
          <w:tcPr>
            <w:tcW w:w="1096" w:type="pct"/>
          </w:tcPr>
          <w:p>
            <w:pPr>
              <w:spacing w:line="360" w:lineRule="auto"/>
              <w:outlineLvl w:val="0"/>
              <w:rPr>
                <w:rFonts w:ascii="仿宋" w:hAnsi="仿宋" w:eastAsia="仿宋" w:cs="仿宋"/>
                <w:bCs/>
                <w:sz w:val="24"/>
              </w:rPr>
            </w:pPr>
            <w:r>
              <w:rPr>
                <w:rFonts w:hint="eastAsia" w:ascii="仿宋" w:hAnsi="仿宋" w:eastAsia="仿宋" w:cs="仿宋"/>
                <w:bCs/>
                <w:sz w:val="24"/>
              </w:rPr>
              <w:t>投标文件中评标标准相应的商务技术资料目录</w:t>
            </w:r>
            <w:r>
              <w:rPr>
                <w:rFonts w:hint="eastAsia" w:ascii="仿宋" w:hAnsi="仿宋" w:eastAsia="仿宋" w:cs="仿宋"/>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68" w:type="pct"/>
            <w:vAlign w:val="center"/>
          </w:tcPr>
          <w:p>
            <w:pPr>
              <w:spacing w:line="360" w:lineRule="auto"/>
              <w:jc w:val="center"/>
              <w:outlineLvl w:val="0"/>
              <w:rPr>
                <w:rFonts w:ascii="仿宋" w:hAnsi="仿宋" w:eastAsia="仿宋" w:cs="仿宋"/>
                <w:sz w:val="24"/>
              </w:rPr>
            </w:pPr>
            <w:bookmarkStart w:id="394" w:name="_Toc94096609"/>
            <w:r>
              <w:rPr>
                <w:rFonts w:hint="eastAsia" w:ascii="仿宋" w:hAnsi="仿宋" w:eastAsia="仿宋" w:cs="仿宋"/>
                <w:sz w:val="24"/>
              </w:rPr>
              <w:t>一</w:t>
            </w:r>
            <w:bookmarkEnd w:id="394"/>
          </w:p>
        </w:tc>
        <w:tc>
          <w:tcPr>
            <w:tcW w:w="3028" w:type="pct"/>
            <w:vAlign w:val="center"/>
          </w:tcPr>
          <w:p>
            <w:pPr>
              <w:widowControl/>
              <w:shd w:val="clear" w:color="auto" w:fill="FFFFFF"/>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技术和服务方案</w:t>
            </w:r>
          </w:p>
        </w:tc>
        <w:tc>
          <w:tcPr>
            <w:tcW w:w="408" w:type="pct"/>
            <w:vAlign w:val="center"/>
          </w:tcPr>
          <w:p>
            <w:pPr>
              <w:spacing w:line="360" w:lineRule="auto"/>
              <w:jc w:val="center"/>
              <w:outlineLvl w:val="0"/>
              <w:rPr>
                <w:rFonts w:ascii="仿宋" w:hAnsi="仿宋" w:eastAsia="仿宋" w:cs="仿宋"/>
                <w:b/>
                <w:sz w:val="24"/>
              </w:rPr>
            </w:pPr>
            <w:r>
              <w:rPr>
                <w:rFonts w:hint="eastAsia" w:ascii="仿宋" w:hAnsi="仿宋" w:eastAsia="仿宋" w:cs="仿宋"/>
                <w:b/>
                <w:sz w:val="24"/>
              </w:rPr>
              <w:t>78</w:t>
            </w:r>
          </w:p>
        </w:tc>
        <w:tc>
          <w:tcPr>
            <w:tcW w:w="1096" w:type="pct"/>
          </w:tcPr>
          <w:p>
            <w:pPr>
              <w:spacing w:line="360" w:lineRule="auto"/>
              <w:outlineLvl w:val="0"/>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Align w:val="center"/>
          </w:tcPr>
          <w:p>
            <w:pPr>
              <w:spacing w:line="360" w:lineRule="auto"/>
              <w:jc w:val="center"/>
              <w:outlineLvl w:val="0"/>
              <w:rPr>
                <w:rFonts w:ascii="仿宋" w:hAnsi="仿宋" w:eastAsia="仿宋" w:cs="仿宋"/>
                <w:sz w:val="24"/>
              </w:rPr>
            </w:pPr>
            <w:bookmarkStart w:id="395" w:name="_Toc94096611"/>
            <w:r>
              <w:rPr>
                <w:rFonts w:hint="eastAsia" w:ascii="仿宋" w:hAnsi="仿宋" w:eastAsia="仿宋" w:cs="仿宋"/>
                <w:sz w:val="24"/>
              </w:rPr>
              <w:t>1</w:t>
            </w:r>
            <w:bookmarkEnd w:id="395"/>
          </w:p>
        </w:tc>
        <w:tc>
          <w:tcPr>
            <w:tcW w:w="3028" w:type="pct"/>
            <w:vAlign w:val="center"/>
          </w:tcPr>
          <w:p>
            <w:pPr>
              <w:widowControl/>
              <w:shd w:val="clear" w:color="auto" w:fill="FFFFFF"/>
              <w:snapToGrid w:val="0"/>
              <w:spacing w:line="360" w:lineRule="auto"/>
              <w:rPr>
                <w:rFonts w:ascii="仿宋" w:hAnsi="仿宋" w:eastAsia="仿宋" w:cs="仿宋"/>
                <w:bCs/>
                <w:sz w:val="24"/>
              </w:rPr>
            </w:pPr>
            <w:r>
              <w:rPr>
                <w:rFonts w:hint="eastAsia" w:ascii="仿宋" w:hAnsi="仿宋" w:eastAsia="仿宋" w:cs="仿宋"/>
                <w:bCs/>
                <w:sz w:val="24"/>
              </w:rPr>
              <w:t>服务方案（36分）：</w:t>
            </w:r>
          </w:p>
          <w:p>
            <w:pPr>
              <w:widowControl/>
              <w:shd w:val="clear" w:color="auto" w:fill="FFFFFF"/>
              <w:snapToGrid w:val="0"/>
              <w:spacing w:line="360" w:lineRule="auto"/>
              <w:rPr>
                <w:rFonts w:ascii="仿宋" w:hAnsi="仿宋" w:eastAsia="仿宋" w:cs="仿宋"/>
                <w:bCs/>
                <w:sz w:val="24"/>
              </w:rPr>
            </w:pPr>
            <w:r>
              <w:rPr>
                <w:rFonts w:hint="eastAsia" w:ascii="仿宋" w:hAnsi="仿宋" w:eastAsia="仿宋" w:cs="仿宋"/>
                <w:bCs/>
                <w:sz w:val="24"/>
              </w:rPr>
              <w:t>1）用餐及时性的保障措施：①用餐服务的流程，②用餐保障服务措施。根据提供的保障措施进行评分，每项方案合理、可行的得3分，每项内容有所欠缺需完善的得1.5分，不合理或偏差较大的不得分，最高得6分。（6分）</w:t>
            </w:r>
          </w:p>
          <w:p>
            <w:pPr>
              <w:widowControl/>
              <w:shd w:val="clear" w:color="auto" w:fill="FFFFFF"/>
              <w:snapToGrid w:val="0"/>
              <w:spacing w:line="360" w:lineRule="auto"/>
              <w:rPr>
                <w:rFonts w:ascii="仿宋" w:hAnsi="仿宋" w:eastAsia="仿宋" w:cs="仿宋"/>
                <w:bCs/>
                <w:sz w:val="24"/>
              </w:rPr>
            </w:pPr>
            <w:r>
              <w:rPr>
                <w:rFonts w:hint="eastAsia" w:ascii="仿宋" w:hAnsi="仿宋" w:eastAsia="仿宋" w:cs="仿宋"/>
                <w:bCs/>
                <w:sz w:val="24"/>
              </w:rPr>
              <w:t>2）用餐菜谱的选配方案：①拟定四季菜谱的周菜单，菜单菜品品种丰富，数量齐全、体现当季菜品，②民俗节日特色食品提供方案。每项方案合理、可行的得3分，每项内容有所欠缺需完善的得1.5分，不合理或偏差较大的不得分。（6分）</w:t>
            </w:r>
          </w:p>
          <w:p>
            <w:pPr>
              <w:widowControl/>
              <w:shd w:val="clear" w:color="auto" w:fill="FFFFFF"/>
              <w:snapToGrid w:val="0"/>
              <w:spacing w:line="360" w:lineRule="auto"/>
              <w:rPr>
                <w:rFonts w:ascii="仿宋" w:hAnsi="仿宋" w:eastAsia="仿宋" w:cs="仿宋"/>
                <w:bCs/>
                <w:sz w:val="24"/>
              </w:rPr>
            </w:pPr>
            <w:r>
              <w:rPr>
                <w:rFonts w:hint="eastAsia" w:ascii="仿宋" w:hAnsi="仿宋" w:eastAsia="仿宋" w:cs="仿宋"/>
                <w:bCs/>
                <w:sz w:val="24"/>
              </w:rPr>
              <w:t>3）食品安全保障措施：①严格的食品安全管理制度，②完善的食品原料管理方案，③食品加工操作、菜品制作与保存的详细措施。根据提供的保障措施进行评分，每项方案合理、可行的得3分，每项内容有所欠缺需完善的得1.5分，不合理或偏差较大的不得分，最高得9分。（9分）</w:t>
            </w:r>
          </w:p>
          <w:p>
            <w:pPr>
              <w:widowControl/>
              <w:shd w:val="clear" w:color="auto" w:fill="FFFFFF"/>
              <w:snapToGrid w:val="0"/>
              <w:spacing w:line="360" w:lineRule="auto"/>
              <w:rPr>
                <w:rFonts w:ascii="仿宋" w:hAnsi="仿宋" w:eastAsia="仿宋" w:cs="仿宋"/>
                <w:bCs/>
                <w:sz w:val="24"/>
              </w:rPr>
            </w:pPr>
            <w:r>
              <w:rPr>
                <w:rFonts w:hint="eastAsia" w:ascii="仿宋" w:hAnsi="仿宋" w:eastAsia="仿宋" w:cs="仿宋"/>
                <w:bCs/>
                <w:sz w:val="24"/>
              </w:rPr>
              <w:t>4）卫生保障措施：①食品卫生管理，②餐饮具清洗消毒保洁管理，③从业人员个人卫生管理，④环境卫生管理，</w:t>
            </w:r>
            <w:r>
              <w:rPr>
                <w:rFonts w:hint="eastAsia" w:ascii="仿宋" w:hAnsi="仿宋" w:eastAsia="仿宋" w:cs="仿宋"/>
                <w:bCs/>
                <w:sz w:val="24"/>
              </w:rPr>
              <w:fldChar w:fldCharType="begin"/>
            </w:r>
            <w:r>
              <w:rPr>
                <w:rFonts w:hint="eastAsia" w:ascii="仿宋" w:hAnsi="仿宋" w:eastAsia="仿宋" w:cs="仿宋"/>
                <w:bCs/>
                <w:sz w:val="24"/>
              </w:rPr>
              <w:instrText xml:space="preserve"> = 5 \* GB3 \* MERGEFORMAT </w:instrText>
            </w:r>
            <w:r>
              <w:rPr>
                <w:rFonts w:hint="eastAsia" w:ascii="仿宋" w:hAnsi="仿宋" w:eastAsia="仿宋" w:cs="仿宋"/>
                <w:bCs/>
                <w:sz w:val="24"/>
              </w:rPr>
              <w:fldChar w:fldCharType="separate"/>
            </w:r>
            <w:r>
              <w:rPr>
                <w:rFonts w:hint="eastAsia" w:ascii="仿宋" w:hAnsi="仿宋" w:eastAsia="仿宋" w:cs="仿宋"/>
                <w:bCs/>
                <w:sz w:val="24"/>
              </w:rPr>
              <w:t>⑤</w:t>
            </w:r>
            <w:r>
              <w:rPr>
                <w:rFonts w:hint="eastAsia" w:ascii="仿宋" w:hAnsi="仿宋" w:eastAsia="仿宋" w:cs="仿宋"/>
                <w:bCs/>
                <w:sz w:val="24"/>
              </w:rPr>
              <w:fldChar w:fldCharType="end"/>
            </w:r>
            <w:r>
              <w:rPr>
                <w:rFonts w:hint="eastAsia" w:ascii="仿宋" w:hAnsi="仿宋" w:eastAsia="仿宋" w:cs="仿宋"/>
                <w:bCs/>
                <w:sz w:val="24"/>
              </w:rPr>
              <w:t>厨余垃圾处置管理。根据提供的保障措施进行评分，每项方案合理、可行的得1分，每项内容有所欠缺需完善的得0.5分，不合理或偏差较大的不得分，最高得5分。（5分）</w:t>
            </w:r>
          </w:p>
          <w:p>
            <w:pPr>
              <w:widowControl/>
              <w:shd w:val="clear" w:color="auto" w:fill="FFFFFF"/>
              <w:snapToGrid w:val="0"/>
              <w:spacing w:line="360" w:lineRule="auto"/>
              <w:rPr>
                <w:rFonts w:ascii="仿宋" w:hAnsi="仿宋" w:eastAsia="仿宋" w:cs="仿宋"/>
                <w:bCs/>
                <w:sz w:val="24"/>
              </w:rPr>
            </w:pPr>
            <w:r>
              <w:rPr>
                <w:rFonts w:hint="eastAsia" w:ascii="仿宋" w:hAnsi="仿宋" w:eastAsia="仿宋" w:cs="仿宋"/>
                <w:bCs/>
                <w:sz w:val="24"/>
              </w:rPr>
              <w:t>5）成本管理措施：①原料、食材的成本控制，②水、电、气的节能管理。根据提供的方案内容进行评分，每项方案合理、可行的得3分，每项内容有所欠缺需完善的得1.5分，不合理或偏差较大的不得分，最高得6分。（6分）</w:t>
            </w:r>
          </w:p>
          <w:p>
            <w:pPr>
              <w:widowControl/>
              <w:shd w:val="clear" w:color="auto" w:fill="FFFFFF"/>
              <w:snapToGrid w:val="0"/>
              <w:spacing w:line="360" w:lineRule="auto"/>
              <w:rPr>
                <w:rFonts w:ascii="仿宋" w:hAnsi="仿宋" w:eastAsia="仿宋" w:cs="仿宋"/>
                <w:bCs/>
                <w:sz w:val="24"/>
              </w:rPr>
            </w:pPr>
            <w:r>
              <w:rPr>
                <w:rFonts w:hint="eastAsia" w:ascii="仿宋" w:hAnsi="仿宋" w:eastAsia="仿宋" w:cs="仿宋"/>
                <w:bCs/>
                <w:sz w:val="24"/>
              </w:rPr>
              <w:t>6）应急用餐服务的保障措施：具备保障资源及应急保障能力，在服务点遇到临时性保障任务（含停水停电停气、不良气候等情况下），接到通知2个小时以内，保障100人的应急水平。根据提供的方案内容进行评分，方案合理、可行的得4分，内容有所欠缺需完善的得2分，不合理或偏差较大的不得分，最高得4分。（4分）</w:t>
            </w:r>
          </w:p>
        </w:tc>
        <w:tc>
          <w:tcPr>
            <w:tcW w:w="408"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36</w:t>
            </w:r>
          </w:p>
        </w:tc>
        <w:tc>
          <w:tcPr>
            <w:tcW w:w="1096" w:type="pct"/>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jc w:val="center"/>
              <w:outlineLvl w:val="0"/>
              <w:rPr>
                <w:rFonts w:ascii="仿宋" w:hAnsi="仿宋" w:eastAsia="仿宋" w:cs="仿宋"/>
                <w:sz w:val="24"/>
              </w:rPr>
            </w:pPr>
            <w:bookmarkStart w:id="396" w:name="_Toc94096613"/>
            <w:r>
              <w:rPr>
                <w:rFonts w:hint="eastAsia" w:ascii="仿宋" w:hAnsi="仿宋" w:eastAsia="仿宋" w:cs="仿宋"/>
                <w:sz w:val="24"/>
              </w:rPr>
              <w:t>2</w:t>
            </w:r>
            <w:bookmarkEnd w:id="396"/>
          </w:p>
        </w:tc>
        <w:tc>
          <w:tcPr>
            <w:tcW w:w="3028" w:type="pct"/>
            <w:vAlign w:val="center"/>
          </w:tcPr>
          <w:p>
            <w:pPr>
              <w:snapToGrid w:val="0"/>
              <w:spacing w:line="360" w:lineRule="auto"/>
              <w:rPr>
                <w:rFonts w:ascii="仿宋" w:hAnsi="仿宋" w:eastAsia="仿宋" w:cs="仿宋"/>
                <w:b/>
                <w:sz w:val="24"/>
              </w:rPr>
            </w:pPr>
            <w:r>
              <w:rPr>
                <w:rFonts w:hint="eastAsia" w:ascii="仿宋" w:hAnsi="仿宋" w:eastAsia="仿宋" w:cs="仿宋"/>
                <w:b/>
                <w:sz w:val="24"/>
              </w:rPr>
              <w:t>服务承诺（3分）：</w:t>
            </w:r>
          </w:p>
          <w:p>
            <w:pPr>
              <w:spacing w:before="120" w:beforeLines="50" w:line="360" w:lineRule="auto"/>
              <w:outlineLvl w:val="3"/>
              <w:rPr>
                <w:rFonts w:ascii="仿宋" w:hAnsi="仿宋" w:eastAsia="仿宋" w:cs="仿宋"/>
                <w:bCs/>
                <w:sz w:val="24"/>
              </w:rPr>
            </w:pPr>
            <w:r>
              <w:rPr>
                <w:rFonts w:hint="eastAsia" w:ascii="仿宋" w:hAnsi="仿宋" w:eastAsia="仿宋" w:cs="仿宋"/>
                <w:bCs/>
                <w:sz w:val="24"/>
              </w:rPr>
              <w:t>投标人承诺①如中标，</w:t>
            </w:r>
            <w:r>
              <w:rPr>
                <w:rFonts w:hint="eastAsia" w:ascii="仿宋" w:hAnsi="仿宋" w:eastAsia="仿宋" w:cs="仿宋"/>
                <w:sz w:val="24"/>
              </w:rPr>
              <w:t>所有服务人员在中标通知书发出后10天内备齐，在此期间办理完成交接手续并保证用餐条件</w:t>
            </w:r>
            <w:r>
              <w:rPr>
                <w:rFonts w:hint="eastAsia" w:ascii="仿宋" w:hAnsi="仿宋" w:eastAsia="仿宋" w:cs="仿宋"/>
                <w:bCs/>
                <w:sz w:val="24"/>
              </w:rPr>
              <w:t>，②如食堂有特殊就餐任务，投标人务必配备相应数量及专业的服务人员以满足食堂运行的正常需要。③服务人员的年流动率不能超过10%（如某个岗位有人员更换调动，须提前通知采购人书面认可，并且在2个工作日内补充该岗位工作人员，其中项目负责人、厨师等主要管理岗位人员变动需提前1个月书面征求采购人意见</w:t>
            </w:r>
            <w:r>
              <w:rPr>
                <w:rFonts w:hint="eastAsia" w:ascii="仿宋" w:hAnsi="仿宋" w:eastAsia="仿宋" w:cs="仿宋"/>
                <w:sz w:val="24"/>
                <w:lang w:val="zh-CN"/>
              </w:rPr>
              <w:t>。）</w:t>
            </w:r>
          </w:p>
          <w:p>
            <w:pPr>
              <w:snapToGrid w:val="0"/>
              <w:spacing w:line="360" w:lineRule="auto"/>
              <w:rPr>
                <w:rFonts w:ascii="仿宋" w:hAnsi="仿宋" w:eastAsia="仿宋" w:cs="仿宋"/>
                <w:sz w:val="24"/>
              </w:rPr>
            </w:pPr>
            <w:r>
              <w:rPr>
                <w:rFonts w:hint="eastAsia" w:ascii="仿宋" w:hAnsi="仿宋" w:eastAsia="仿宋" w:cs="仿宋"/>
                <w:bCs/>
                <w:sz w:val="24"/>
              </w:rPr>
              <w:t>每提供一项得1分，未提供的不得分，最高得3分。</w:t>
            </w:r>
            <w:r>
              <w:rPr>
                <w:rFonts w:hint="eastAsia" w:ascii="仿宋" w:hAnsi="仿宋" w:eastAsia="仿宋" w:cs="仿宋"/>
                <w:sz w:val="24"/>
              </w:rPr>
              <w:t>（3分）</w:t>
            </w:r>
          </w:p>
        </w:tc>
        <w:tc>
          <w:tcPr>
            <w:tcW w:w="408"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3</w:t>
            </w:r>
          </w:p>
        </w:tc>
        <w:tc>
          <w:tcPr>
            <w:tcW w:w="1096" w:type="pct"/>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spacing w:line="360" w:lineRule="auto"/>
              <w:jc w:val="center"/>
              <w:outlineLvl w:val="0"/>
              <w:rPr>
                <w:rFonts w:ascii="仿宋" w:hAnsi="仿宋" w:eastAsia="仿宋" w:cs="仿宋"/>
                <w:sz w:val="24"/>
              </w:rPr>
            </w:pPr>
            <w:bookmarkStart w:id="397" w:name="_Toc94096615"/>
            <w:r>
              <w:rPr>
                <w:rFonts w:hint="eastAsia" w:ascii="仿宋" w:hAnsi="仿宋" w:eastAsia="仿宋" w:cs="仿宋"/>
                <w:sz w:val="24"/>
              </w:rPr>
              <w:t>3</w:t>
            </w:r>
            <w:bookmarkEnd w:id="397"/>
          </w:p>
        </w:tc>
        <w:tc>
          <w:tcPr>
            <w:tcW w:w="3028" w:type="pct"/>
            <w:vAlign w:val="center"/>
          </w:tcPr>
          <w:p>
            <w:pPr>
              <w:snapToGrid w:val="0"/>
              <w:spacing w:line="360" w:lineRule="auto"/>
              <w:rPr>
                <w:rFonts w:ascii="仿宋" w:hAnsi="仿宋" w:eastAsia="仿宋" w:cs="仿宋"/>
                <w:sz w:val="24"/>
              </w:rPr>
            </w:pPr>
            <w:r>
              <w:rPr>
                <w:rFonts w:hint="eastAsia" w:ascii="仿宋" w:hAnsi="仿宋" w:eastAsia="仿宋" w:cs="仿宋"/>
                <w:b/>
                <w:bCs w:val="0"/>
                <w:sz w:val="24"/>
              </w:rPr>
              <w:t>服务质量保障（14分）：</w:t>
            </w:r>
          </w:p>
          <w:p>
            <w:pPr>
              <w:snapToGrid w:val="0"/>
              <w:spacing w:line="360" w:lineRule="auto"/>
              <w:rPr>
                <w:rFonts w:ascii="仿宋" w:hAnsi="仿宋" w:eastAsia="仿宋" w:cs="仿宋"/>
                <w:sz w:val="24"/>
              </w:rPr>
            </w:pPr>
            <w:r>
              <w:rPr>
                <w:rFonts w:hint="eastAsia" w:ascii="仿宋" w:hAnsi="仿宋" w:eastAsia="仿宋" w:cs="仿宋"/>
                <w:sz w:val="24"/>
              </w:rPr>
              <w:t>1）投标人具有针对本项目的①根据采购需求制定的365天服务的具体方案（包括合理编制排班及作休计划），②疫情期间特殊要求的服务方案，③合理的员工绩效考核方案。根据提供的方案内容进行评分，每项方案合理、可行的得4分，每项内容有所欠缺需完善的得2分，不合理或偏差较大的不得分，最高得12分。（12分）</w:t>
            </w:r>
          </w:p>
          <w:p>
            <w:pPr>
              <w:spacing w:line="360" w:lineRule="auto"/>
              <w:rPr>
                <w:rFonts w:ascii="仿宋" w:hAnsi="仿宋" w:eastAsia="仿宋" w:cs="仿宋"/>
                <w:sz w:val="24"/>
              </w:rPr>
            </w:pPr>
            <w:r>
              <w:rPr>
                <w:rFonts w:hint="eastAsia" w:ascii="仿宋" w:hAnsi="仿宋" w:eastAsia="仿宋" w:cs="仿宋"/>
                <w:sz w:val="24"/>
              </w:rPr>
              <w:t>2）针对本项目各食堂点位较分散的情况提出应对方案。方案合理、可行的得2分，不合理或偏差较大的不得分，最高得2分。（2分）</w:t>
            </w:r>
          </w:p>
        </w:tc>
        <w:tc>
          <w:tcPr>
            <w:tcW w:w="408"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14</w:t>
            </w:r>
          </w:p>
        </w:tc>
        <w:tc>
          <w:tcPr>
            <w:tcW w:w="1096" w:type="pct"/>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spacing w:line="360" w:lineRule="auto"/>
              <w:jc w:val="center"/>
              <w:outlineLvl w:val="0"/>
              <w:rPr>
                <w:rFonts w:ascii="仿宋" w:hAnsi="仿宋" w:eastAsia="仿宋" w:cs="仿宋"/>
                <w:sz w:val="24"/>
              </w:rPr>
            </w:pPr>
            <w:bookmarkStart w:id="398" w:name="_Toc94096617"/>
            <w:r>
              <w:rPr>
                <w:rFonts w:hint="eastAsia" w:ascii="仿宋" w:hAnsi="仿宋" w:eastAsia="仿宋" w:cs="仿宋"/>
                <w:sz w:val="24"/>
              </w:rPr>
              <w:t>4</w:t>
            </w:r>
            <w:bookmarkEnd w:id="398"/>
          </w:p>
        </w:tc>
        <w:tc>
          <w:tcPr>
            <w:tcW w:w="3028" w:type="pct"/>
            <w:vAlign w:val="center"/>
          </w:tcPr>
          <w:p>
            <w:pPr>
              <w:snapToGrid w:val="0"/>
              <w:spacing w:line="360" w:lineRule="auto"/>
              <w:rPr>
                <w:rFonts w:ascii="仿宋" w:hAnsi="仿宋" w:eastAsia="仿宋" w:cs="仿宋"/>
                <w:sz w:val="24"/>
              </w:rPr>
            </w:pPr>
            <w:r>
              <w:rPr>
                <w:rFonts w:hint="eastAsia" w:ascii="仿宋" w:hAnsi="仿宋" w:eastAsia="仿宋" w:cs="仿宋"/>
                <w:b/>
                <w:sz w:val="24"/>
              </w:rPr>
              <w:t>食堂餐饮服务过程中风险防范措施方案（5分）：</w:t>
            </w:r>
          </w:p>
          <w:p>
            <w:pPr>
              <w:widowControl/>
              <w:snapToGrid w:val="0"/>
              <w:spacing w:line="360" w:lineRule="auto"/>
              <w:rPr>
                <w:rFonts w:ascii="仿宋" w:hAnsi="仿宋" w:eastAsia="仿宋" w:cs="仿宋"/>
                <w:sz w:val="24"/>
              </w:rPr>
            </w:pPr>
            <w:r>
              <w:rPr>
                <w:rFonts w:hint="eastAsia" w:ascii="仿宋" w:hAnsi="仿宋" w:eastAsia="仿宋" w:cs="仿宋"/>
                <w:sz w:val="24"/>
              </w:rPr>
              <w:t>投标人①对食堂餐饮服务过程中可能存在的风险情况分析，②根据风险情况制定有相应的食堂突发事件应急处置预案及保障措施情况。根据提供的方案内容进行评分，每项方案合理、可行的得2.5分，每项内容有所欠缺需完善的得1分，不合理或偏差较大的不得分，最高得5分。（5分）</w:t>
            </w:r>
          </w:p>
        </w:tc>
        <w:tc>
          <w:tcPr>
            <w:tcW w:w="408" w:type="pct"/>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096" w:type="pct"/>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spacing w:line="360" w:lineRule="auto"/>
              <w:jc w:val="center"/>
              <w:outlineLvl w:val="0"/>
              <w:rPr>
                <w:rFonts w:ascii="仿宋" w:hAnsi="仿宋" w:eastAsia="仿宋" w:cs="仿宋"/>
                <w:sz w:val="24"/>
              </w:rPr>
            </w:pPr>
            <w:bookmarkStart w:id="399" w:name="_Toc94096618"/>
            <w:r>
              <w:rPr>
                <w:rFonts w:hint="eastAsia" w:ascii="仿宋" w:hAnsi="仿宋" w:eastAsia="仿宋" w:cs="仿宋"/>
                <w:sz w:val="24"/>
              </w:rPr>
              <w:t>5</w:t>
            </w:r>
            <w:bookmarkEnd w:id="399"/>
          </w:p>
        </w:tc>
        <w:tc>
          <w:tcPr>
            <w:tcW w:w="3028" w:type="pct"/>
            <w:vAlign w:val="center"/>
          </w:tcPr>
          <w:p>
            <w:pPr>
              <w:numPr>
                <w:ilvl w:val="255"/>
                <w:numId w:val="0"/>
              </w:numPr>
              <w:spacing w:line="360" w:lineRule="auto"/>
              <w:rPr>
                <w:rFonts w:ascii="仿宋" w:hAnsi="仿宋" w:eastAsia="仿宋" w:cs="仿宋"/>
                <w:b/>
                <w:sz w:val="24"/>
              </w:rPr>
            </w:pPr>
            <w:r>
              <w:rPr>
                <w:rFonts w:hint="eastAsia" w:ascii="仿宋" w:hAnsi="仿宋" w:eastAsia="仿宋" w:cs="仿宋"/>
                <w:b/>
                <w:sz w:val="24"/>
              </w:rPr>
              <w:t>项目服务人员情况（18分）：</w:t>
            </w:r>
          </w:p>
          <w:p>
            <w:pPr>
              <w:pStyle w:val="24"/>
              <w:spacing w:line="360" w:lineRule="auto"/>
              <w:jc w:val="left"/>
              <w:rPr>
                <w:rFonts w:ascii="仿宋" w:hAnsi="仿宋" w:eastAsia="仿宋" w:cs="仿宋"/>
                <w:lang w:val="zh-CN"/>
              </w:rPr>
            </w:pPr>
            <w:r>
              <w:rPr>
                <w:rFonts w:hint="eastAsia" w:ascii="仿宋" w:hAnsi="仿宋" w:eastAsia="仿宋" w:cs="仿宋"/>
                <w:lang w:val="zh-CN"/>
              </w:rPr>
              <w:t>●项目服务人员情况：①服务人员组织分工明确，②服务人员配备合理。满足采购人需求的，每一项得</w:t>
            </w:r>
            <w:r>
              <w:rPr>
                <w:rFonts w:hint="eastAsia" w:ascii="仿宋" w:hAnsi="仿宋" w:eastAsia="仿宋" w:cs="仿宋"/>
              </w:rPr>
              <w:t>4</w:t>
            </w:r>
            <w:r>
              <w:rPr>
                <w:rFonts w:hint="eastAsia" w:ascii="仿宋" w:hAnsi="仿宋" w:eastAsia="仿宋" w:cs="仿宋"/>
                <w:lang w:val="zh-CN"/>
              </w:rPr>
              <w:t>分，</w:t>
            </w:r>
            <w:r>
              <w:rPr>
                <w:rFonts w:hint="eastAsia" w:ascii="仿宋" w:hAnsi="仿宋" w:eastAsia="仿宋" w:cs="仿宋"/>
              </w:rPr>
              <w:t>内容欠缺得2分，</w:t>
            </w:r>
            <w:r>
              <w:rPr>
                <w:rFonts w:hint="eastAsia" w:ascii="仿宋" w:hAnsi="仿宋" w:eastAsia="仿宋" w:cs="仿宋"/>
                <w:lang w:val="zh-CN"/>
              </w:rPr>
              <w:t>不满足不得分，总计</w:t>
            </w:r>
            <w:r>
              <w:rPr>
                <w:rFonts w:hint="eastAsia" w:ascii="仿宋" w:hAnsi="仿宋" w:eastAsia="仿宋" w:cs="仿宋"/>
              </w:rPr>
              <w:t>8</w:t>
            </w:r>
            <w:r>
              <w:rPr>
                <w:rFonts w:hint="eastAsia" w:ascii="仿宋" w:hAnsi="仿宋" w:eastAsia="仿宋" w:cs="仿宋"/>
                <w:lang w:val="zh-CN"/>
              </w:rPr>
              <w:t>分。（提供项目服务人员社保缴纳证明材料及投标人和拟派人员共同出具的保证在本项目服务期间为本项目</w:t>
            </w:r>
            <w:r>
              <w:rPr>
                <w:rFonts w:hint="eastAsia" w:ascii="仿宋" w:hAnsi="仿宋" w:eastAsia="仿宋" w:cs="仿宋"/>
              </w:rPr>
              <w:t>提供</w:t>
            </w:r>
            <w:r>
              <w:rPr>
                <w:rFonts w:hint="eastAsia" w:ascii="仿宋" w:hAnsi="仿宋" w:eastAsia="仿宋" w:cs="仿宋"/>
                <w:lang w:val="zh-CN"/>
              </w:rPr>
              <w:t>服务的承诺函”，不提供不得分）（</w:t>
            </w:r>
            <w:r>
              <w:rPr>
                <w:rFonts w:hint="eastAsia" w:ascii="仿宋" w:hAnsi="仿宋" w:eastAsia="仿宋" w:cs="仿宋"/>
              </w:rPr>
              <w:t>8</w:t>
            </w:r>
            <w:r>
              <w:rPr>
                <w:rFonts w:hint="eastAsia" w:ascii="仿宋" w:hAnsi="仿宋" w:eastAsia="仿宋" w:cs="仿宋"/>
                <w:lang w:val="zh-CN"/>
              </w:rPr>
              <w:t>分）</w:t>
            </w:r>
          </w:p>
          <w:p>
            <w:pPr>
              <w:spacing w:before="120" w:beforeLines="50" w:line="360" w:lineRule="auto"/>
              <w:outlineLvl w:val="3"/>
              <w:rPr>
                <w:rFonts w:ascii="仿宋" w:hAnsi="仿宋" w:eastAsia="仿宋" w:cs="仿宋"/>
                <w:bCs/>
                <w:sz w:val="24"/>
              </w:rPr>
            </w:pPr>
            <w:r>
              <w:rPr>
                <w:rFonts w:hint="eastAsia" w:ascii="仿宋" w:hAnsi="仿宋" w:eastAsia="仿宋" w:cs="仿宋"/>
                <w:sz w:val="24"/>
                <w:lang w:val="zh-CN"/>
              </w:rPr>
              <w:t>●</w:t>
            </w:r>
            <w:r>
              <w:rPr>
                <w:rFonts w:hint="eastAsia" w:ascii="仿宋" w:hAnsi="仿宋" w:eastAsia="仿宋" w:cs="仿宋"/>
                <w:bCs/>
                <w:sz w:val="24"/>
              </w:rPr>
              <w:t>投标人须指派一名项目负责人与采购人保持密切联系，承诺每个月到现场与各服务点至少对接一次；</w:t>
            </w:r>
            <w:r>
              <w:rPr>
                <w:rFonts w:hint="eastAsia" w:ascii="仿宋" w:hAnsi="仿宋" w:eastAsia="仿宋" w:cs="仿宋"/>
                <w:sz w:val="24"/>
                <w:lang w:val="zh-CN"/>
              </w:rPr>
              <w:t>拟担任本项目负责人的专业素质、服务能力、经验等情况，是否具有类似项目服务经验（合同及业主证明等）。（提供社保缴纳证明材料及投标人和拟派</w:t>
            </w:r>
            <w:r>
              <w:rPr>
                <w:rFonts w:hint="eastAsia" w:ascii="仿宋" w:hAnsi="仿宋" w:eastAsia="仿宋" w:cs="仿宋"/>
                <w:bCs/>
                <w:sz w:val="24"/>
              </w:rPr>
              <w:t>项目负责人</w:t>
            </w:r>
            <w:r>
              <w:rPr>
                <w:rFonts w:hint="eastAsia" w:ascii="仿宋" w:hAnsi="仿宋" w:eastAsia="仿宋" w:cs="仿宋"/>
                <w:sz w:val="24"/>
                <w:lang w:val="zh-CN"/>
              </w:rPr>
              <w:t>共同出具的保证能在本项目服务期间为本项目服务的承诺函”，不提供不得分）满足得</w:t>
            </w:r>
            <w:r>
              <w:rPr>
                <w:rFonts w:hint="eastAsia" w:ascii="仿宋" w:hAnsi="仿宋" w:eastAsia="仿宋" w:cs="仿宋"/>
                <w:sz w:val="24"/>
              </w:rPr>
              <w:t>4</w:t>
            </w:r>
            <w:r>
              <w:rPr>
                <w:rFonts w:hint="eastAsia" w:ascii="仿宋" w:hAnsi="仿宋" w:eastAsia="仿宋" w:cs="仿宋"/>
                <w:sz w:val="24"/>
                <w:lang w:val="zh-CN"/>
              </w:rPr>
              <w:t>分，不满足不得分。（</w:t>
            </w:r>
            <w:r>
              <w:rPr>
                <w:rFonts w:hint="eastAsia" w:ascii="仿宋" w:hAnsi="仿宋" w:eastAsia="仿宋" w:cs="仿宋"/>
                <w:sz w:val="24"/>
              </w:rPr>
              <w:t>4</w:t>
            </w:r>
            <w:r>
              <w:rPr>
                <w:rFonts w:hint="eastAsia" w:ascii="仿宋" w:hAnsi="仿宋" w:eastAsia="仿宋" w:cs="仿宋"/>
                <w:sz w:val="24"/>
                <w:lang w:val="zh-CN"/>
              </w:rPr>
              <w:t>分）</w:t>
            </w:r>
          </w:p>
          <w:p>
            <w:pPr>
              <w:spacing w:line="360" w:lineRule="auto"/>
              <w:rPr>
                <w:rFonts w:ascii="仿宋" w:hAnsi="仿宋" w:eastAsia="仿宋" w:cs="仿宋"/>
                <w:sz w:val="24"/>
              </w:rPr>
            </w:pPr>
            <w:r>
              <w:rPr>
                <w:rFonts w:hint="eastAsia" w:ascii="仿宋" w:hAnsi="仿宋" w:eastAsia="仿宋" w:cs="仿宋"/>
                <w:sz w:val="24"/>
              </w:rPr>
              <w:t>2）厨师岗位人员具有初级中式烹调师职业技能等级证书并有3年以上工作经验的，每有一个得1分，最多得6分。（提供</w:t>
            </w:r>
            <w:r>
              <w:rPr>
                <w:rFonts w:hint="eastAsia" w:ascii="仿宋" w:hAnsi="仿宋" w:eastAsia="仿宋" w:cs="仿宋"/>
                <w:sz w:val="24"/>
                <w:lang w:val="zh-CN"/>
              </w:rPr>
              <w:t>合同及业主证明、</w:t>
            </w:r>
            <w:r>
              <w:rPr>
                <w:rFonts w:hint="eastAsia" w:ascii="仿宋" w:hAnsi="仿宋" w:eastAsia="仿宋" w:cs="仿宋"/>
                <w:sz w:val="24"/>
              </w:rPr>
              <w:t>职业技能等级证书及共同出具的保证能在本项目服务期间为本项目服务的承诺函）（6分）</w:t>
            </w:r>
          </w:p>
        </w:tc>
        <w:tc>
          <w:tcPr>
            <w:tcW w:w="408" w:type="pct"/>
            <w:vAlign w:val="center"/>
          </w:tcPr>
          <w:p>
            <w:pPr>
              <w:spacing w:line="360" w:lineRule="auto"/>
              <w:jc w:val="center"/>
              <w:rPr>
                <w:rFonts w:ascii="仿宋" w:hAnsi="仿宋" w:eastAsia="仿宋" w:cs="仿宋"/>
                <w:sz w:val="24"/>
              </w:rPr>
            </w:pPr>
            <w:r>
              <w:rPr>
                <w:rFonts w:hint="eastAsia" w:ascii="仿宋" w:hAnsi="仿宋" w:eastAsia="仿宋" w:cs="仿宋"/>
                <w:sz w:val="24"/>
              </w:rPr>
              <w:t>18</w:t>
            </w:r>
          </w:p>
        </w:tc>
        <w:tc>
          <w:tcPr>
            <w:tcW w:w="1096" w:type="pct"/>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6</w:t>
            </w:r>
          </w:p>
        </w:tc>
        <w:tc>
          <w:tcPr>
            <w:tcW w:w="3028" w:type="pct"/>
            <w:vAlign w:val="center"/>
          </w:tcPr>
          <w:p>
            <w:pPr>
              <w:pStyle w:val="961"/>
              <w:spacing w:line="360" w:lineRule="auto"/>
              <w:rPr>
                <w:rFonts w:ascii="仿宋" w:hAnsi="仿宋" w:eastAsia="仿宋" w:cs="仿宋"/>
                <w:b/>
                <w:szCs w:val="24"/>
              </w:rPr>
            </w:pPr>
            <w:r>
              <w:rPr>
                <w:rFonts w:hint="eastAsia" w:ascii="仿宋" w:hAnsi="仿宋" w:eastAsia="仿宋" w:cs="仿宋"/>
                <w:b/>
                <w:szCs w:val="24"/>
              </w:rPr>
              <w:t>培训方案（</w:t>
            </w:r>
            <w:r>
              <w:rPr>
                <w:rFonts w:hint="eastAsia" w:ascii="仿宋" w:hAnsi="仿宋" w:eastAsia="仿宋" w:cs="仿宋"/>
                <w:b/>
                <w:szCs w:val="24"/>
                <w:lang w:val="en-US"/>
              </w:rPr>
              <w:t>2</w:t>
            </w:r>
            <w:r>
              <w:rPr>
                <w:rFonts w:hint="eastAsia" w:ascii="仿宋" w:hAnsi="仿宋" w:eastAsia="仿宋" w:cs="仿宋"/>
                <w:b/>
                <w:szCs w:val="24"/>
              </w:rPr>
              <w:t>分）：</w:t>
            </w:r>
          </w:p>
          <w:p>
            <w:pPr>
              <w:spacing w:line="360" w:lineRule="auto"/>
              <w:rPr>
                <w:rFonts w:ascii="仿宋" w:hAnsi="仿宋" w:eastAsia="仿宋" w:cs="仿宋"/>
                <w:sz w:val="24"/>
              </w:rPr>
            </w:pPr>
            <w:r>
              <w:rPr>
                <w:rFonts w:hint="eastAsia" w:ascii="仿宋" w:hAnsi="仿宋" w:eastAsia="仿宋" w:cs="仿宋"/>
                <w:sz w:val="24"/>
              </w:rPr>
              <w:t>投标人对于服务人员的岗位培训计划的完整性，培训的内容包括法律法规、操作流程、服务标准、岗位技能等，方案合理可行得2分，内容有所欠缺需完善的得1分，不合理或偏差较大的不得分。（2分）</w:t>
            </w:r>
          </w:p>
        </w:tc>
        <w:tc>
          <w:tcPr>
            <w:tcW w:w="408" w:type="pct"/>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096" w:type="pct"/>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二</w:t>
            </w:r>
          </w:p>
        </w:tc>
        <w:tc>
          <w:tcPr>
            <w:tcW w:w="3028" w:type="pct"/>
            <w:vAlign w:val="center"/>
          </w:tcPr>
          <w:p>
            <w:pPr>
              <w:spacing w:line="360" w:lineRule="auto"/>
              <w:rPr>
                <w:rFonts w:ascii="仿宋" w:hAnsi="仿宋" w:eastAsia="仿宋" w:cs="仿宋"/>
                <w:b/>
                <w:bCs/>
                <w:sz w:val="24"/>
              </w:rPr>
            </w:pPr>
            <w:r>
              <w:rPr>
                <w:rFonts w:hint="eastAsia" w:ascii="仿宋" w:hAnsi="仿宋" w:eastAsia="仿宋" w:cs="仿宋"/>
                <w:b/>
                <w:bCs/>
                <w:sz w:val="24"/>
              </w:rPr>
              <w:t>资质和业绩分</w:t>
            </w:r>
          </w:p>
        </w:tc>
        <w:tc>
          <w:tcPr>
            <w:tcW w:w="408" w:type="pct"/>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2</w:t>
            </w:r>
          </w:p>
        </w:tc>
        <w:tc>
          <w:tcPr>
            <w:tcW w:w="1096" w:type="pct"/>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spacing w:line="360" w:lineRule="auto"/>
              <w:ind w:firstLine="240" w:firstLineChars="100"/>
              <w:jc w:val="center"/>
              <w:outlineLvl w:val="0"/>
              <w:rPr>
                <w:rFonts w:ascii="仿宋" w:hAnsi="仿宋" w:eastAsia="仿宋" w:cs="仿宋"/>
                <w:sz w:val="24"/>
              </w:rPr>
            </w:pPr>
            <w:r>
              <w:rPr>
                <w:rFonts w:hint="eastAsia" w:ascii="仿宋" w:hAnsi="仿宋" w:eastAsia="仿宋" w:cs="仿宋"/>
                <w:sz w:val="24"/>
              </w:rPr>
              <w:t>1</w:t>
            </w:r>
          </w:p>
        </w:tc>
        <w:tc>
          <w:tcPr>
            <w:tcW w:w="3028" w:type="pct"/>
            <w:vAlign w:val="center"/>
          </w:tcPr>
          <w:p>
            <w:pPr>
              <w:snapToGrid w:val="0"/>
              <w:spacing w:line="360" w:lineRule="auto"/>
              <w:rPr>
                <w:rFonts w:ascii="仿宋" w:hAnsi="仿宋" w:eastAsia="仿宋" w:cs="仿宋"/>
                <w:sz w:val="24"/>
              </w:rPr>
            </w:pPr>
            <w:bookmarkStart w:id="603" w:name="_GoBack"/>
            <w:r>
              <w:rPr>
                <w:rFonts w:hint="eastAsia" w:ascii="仿宋" w:hAnsi="仿宋" w:eastAsia="仿宋" w:cs="仿宋"/>
                <w:b/>
                <w:sz w:val="24"/>
              </w:rPr>
              <w:t>商务资质（2分）</w:t>
            </w:r>
            <w:r>
              <w:rPr>
                <w:rFonts w:hint="eastAsia" w:ascii="仿宋" w:hAnsi="仿宋" w:eastAsia="仿宋" w:cs="仿宋"/>
                <w:sz w:val="24"/>
              </w:rPr>
              <w:t>：至投标截止时间前三年以来，投标人承担类似食堂运行、管理实施的成功经验情况，结合已完成的项目案例和用户反应情况，依照投标人同时提供的合同和用户验收报告，每个案例（以用户验收报告为准）得1分，最高得2分。如投标人提供的合同复印件等实施项目证明材料与投标主体无关或违规转包分包的，评标委员会将进行扣分直至认定投标无效。（2分）</w:t>
            </w:r>
          </w:p>
          <w:bookmarkEnd w:id="603"/>
          <w:p>
            <w:pPr>
              <w:spacing w:line="360" w:lineRule="auto"/>
              <w:jc w:val="center"/>
              <w:outlineLvl w:val="0"/>
              <w:rPr>
                <w:rFonts w:ascii="仿宋" w:hAnsi="仿宋" w:eastAsia="仿宋" w:cs="仿宋"/>
                <w:sz w:val="24"/>
              </w:rPr>
            </w:pPr>
          </w:p>
        </w:tc>
        <w:tc>
          <w:tcPr>
            <w:tcW w:w="408" w:type="pct"/>
            <w:vAlign w:val="center"/>
          </w:tcPr>
          <w:p>
            <w:pPr>
              <w:spacing w:line="360" w:lineRule="auto"/>
              <w:ind w:firstLine="120" w:firstLineChars="50"/>
              <w:jc w:val="center"/>
              <w:outlineLvl w:val="0"/>
              <w:rPr>
                <w:rFonts w:ascii="仿宋" w:hAnsi="仿宋" w:eastAsia="仿宋" w:cs="仿宋"/>
                <w:sz w:val="24"/>
              </w:rPr>
            </w:pPr>
            <w:r>
              <w:rPr>
                <w:rFonts w:hint="eastAsia" w:ascii="仿宋" w:hAnsi="仿宋" w:eastAsia="仿宋" w:cs="仿宋"/>
                <w:sz w:val="24"/>
              </w:rPr>
              <w:t>2</w:t>
            </w:r>
          </w:p>
        </w:tc>
        <w:tc>
          <w:tcPr>
            <w:tcW w:w="1096" w:type="pct"/>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468" w:type="pct"/>
            <w:vAlign w:val="center"/>
          </w:tcPr>
          <w:p>
            <w:pPr>
              <w:spacing w:line="360" w:lineRule="auto"/>
              <w:ind w:firstLine="240" w:firstLineChars="100"/>
              <w:outlineLvl w:val="0"/>
              <w:rPr>
                <w:rFonts w:ascii="仿宋" w:hAnsi="仿宋" w:eastAsia="仿宋" w:cs="仿宋"/>
                <w:sz w:val="24"/>
              </w:rPr>
            </w:pPr>
          </w:p>
        </w:tc>
        <w:tc>
          <w:tcPr>
            <w:tcW w:w="3028" w:type="pct"/>
          </w:tcPr>
          <w:p>
            <w:pPr>
              <w:spacing w:line="360" w:lineRule="auto"/>
              <w:outlineLvl w:val="0"/>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有效投标报价的最低价作为评标基准价，其最低报价为满分；按［投标报价得分=（评标基准价/投标报价）*20］的计算公式计算。</w:t>
            </w:r>
          </w:p>
          <w:p>
            <w:pPr>
              <w:widowControl/>
              <w:shd w:val="clear" w:color="auto" w:fill="FFFFFF"/>
              <w:spacing w:after="225" w:line="315" w:lineRule="atLeast"/>
              <w:jc w:val="left"/>
              <w:rPr>
                <w:rFonts w:ascii="仿宋" w:hAnsi="仿宋" w:eastAsia="仿宋" w:cs="仿宋"/>
                <w:sz w:val="24"/>
              </w:rPr>
            </w:pPr>
            <w:r>
              <w:rPr>
                <w:rFonts w:hint="eastAsia" w:ascii="仿宋" w:hAnsi="仿宋" w:eastAsia="仿宋" w:cs="仿宋"/>
                <w:sz w:val="24"/>
              </w:rPr>
              <w:t>评标过程中，不得去掉报价中的最高报价和最低报价。</w:t>
            </w:r>
          </w:p>
          <w:p>
            <w:pPr>
              <w:widowControl/>
              <w:shd w:val="clear" w:color="auto" w:fill="FFFFFF"/>
              <w:spacing w:after="225" w:line="315" w:lineRule="atLeast"/>
              <w:jc w:val="left"/>
              <w:rPr>
                <w:rFonts w:ascii="仿宋" w:hAnsi="仿宋" w:eastAsia="仿宋" w:cs="仿宋"/>
                <w:sz w:val="24"/>
              </w:rPr>
            </w:pPr>
            <w:r>
              <w:rPr>
                <w:rFonts w:hint="eastAsia" w:ascii="仿宋" w:hAnsi="仿宋" w:eastAsia="仿宋" w:cs="仿宋"/>
                <w:sz w:val="24"/>
              </w:rPr>
              <w:t>因落实政府采购政策需要进行价格调整的，以调整后的价格计算评标基准价和投标报价。</w:t>
            </w:r>
          </w:p>
        </w:tc>
        <w:tc>
          <w:tcPr>
            <w:tcW w:w="408" w:type="pct"/>
            <w:vAlign w:val="center"/>
          </w:tcPr>
          <w:p>
            <w:pPr>
              <w:spacing w:line="360" w:lineRule="auto"/>
              <w:ind w:firstLine="120" w:firstLineChars="50"/>
              <w:outlineLvl w:val="0"/>
              <w:rPr>
                <w:rFonts w:ascii="仿宋" w:hAnsi="仿宋" w:eastAsia="仿宋" w:cs="仿宋"/>
                <w:sz w:val="24"/>
              </w:rPr>
            </w:pPr>
            <w:r>
              <w:rPr>
                <w:rFonts w:hint="eastAsia" w:ascii="仿宋" w:hAnsi="仿宋" w:eastAsia="仿宋" w:cs="仿宋"/>
                <w:sz w:val="24"/>
              </w:rPr>
              <w:t>20</w:t>
            </w:r>
          </w:p>
        </w:tc>
        <w:tc>
          <w:tcPr>
            <w:tcW w:w="1096"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468" w:type="pct"/>
            <w:vAlign w:val="center"/>
          </w:tcPr>
          <w:p>
            <w:pPr>
              <w:spacing w:line="360" w:lineRule="auto"/>
              <w:ind w:firstLine="240" w:firstLineChars="100"/>
              <w:outlineLvl w:val="0"/>
              <w:rPr>
                <w:rFonts w:ascii="仿宋" w:hAnsi="仿宋" w:eastAsia="仿宋" w:cs="仿宋"/>
                <w:sz w:val="24"/>
              </w:rPr>
            </w:pPr>
          </w:p>
        </w:tc>
        <w:tc>
          <w:tcPr>
            <w:tcW w:w="3028" w:type="pct"/>
          </w:tcPr>
          <w:p>
            <w:pPr>
              <w:widowControl/>
              <w:shd w:val="clear" w:color="auto" w:fill="FFFFFF"/>
              <w:adjustRightInd/>
              <w:spacing w:after="225" w:line="315" w:lineRule="atLeast"/>
              <w:jc w:val="left"/>
              <w:rPr>
                <w:rFonts w:ascii="仿宋" w:hAnsi="仿宋" w:eastAsia="仿宋" w:cs="仿宋"/>
                <w:sz w:val="24"/>
              </w:rPr>
            </w:pPr>
            <w:r>
              <w:rPr>
                <w:rFonts w:hint="eastAsia" w:ascii="仿宋" w:hAnsi="仿宋" w:eastAsia="仿宋" w:cs="仿宋"/>
                <w:sz w:val="24"/>
              </w:rPr>
              <w:t>注意：不得以特定金额的业绩作为评审因素，政府采购货物和服务项目业绩分不得高于价格分的10%。</w:t>
            </w:r>
          </w:p>
        </w:tc>
        <w:tc>
          <w:tcPr>
            <w:tcW w:w="408" w:type="pct"/>
            <w:vAlign w:val="center"/>
          </w:tcPr>
          <w:p>
            <w:pPr>
              <w:spacing w:line="360" w:lineRule="auto"/>
              <w:ind w:firstLine="120" w:firstLineChars="50"/>
              <w:outlineLvl w:val="0"/>
              <w:rPr>
                <w:rFonts w:ascii="仿宋" w:hAnsi="仿宋" w:eastAsia="仿宋" w:cs="仿宋"/>
                <w:sz w:val="24"/>
              </w:rPr>
            </w:pPr>
          </w:p>
        </w:tc>
        <w:tc>
          <w:tcPr>
            <w:tcW w:w="1096" w:type="pct"/>
            <w:vAlign w:val="center"/>
          </w:tcPr>
          <w:p>
            <w:pPr>
              <w:spacing w:line="360" w:lineRule="auto"/>
              <w:jc w:val="center"/>
              <w:outlineLvl w:val="0"/>
              <w:rPr>
                <w:rFonts w:ascii="仿宋" w:hAnsi="仿宋" w:eastAsia="仿宋" w:cs="仿宋"/>
                <w:sz w:val="24"/>
              </w:rPr>
            </w:pPr>
          </w:p>
        </w:tc>
      </w:tr>
    </w:tbl>
    <w:p>
      <w:pPr>
        <w:snapToGrid w:val="0"/>
        <w:spacing w:line="360" w:lineRule="auto"/>
        <w:rPr>
          <w:rFonts w:ascii="Arial" w:hAnsi="Arial" w:cs="Arial"/>
          <w:sz w:val="20"/>
          <w:szCs w:val="20"/>
          <w:shd w:val="clear" w:color="auto" w:fill="FFFFFF"/>
        </w:rPr>
      </w:pPr>
    </w:p>
    <w:p>
      <w:pPr>
        <w:snapToGrid w:val="0"/>
        <w:spacing w:line="360" w:lineRule="auto"/>
        <w:rPr>
          <w:rFonts w:ascii="仿宋" w:hAnsi="仿宋" w:eastAsia="仿宋" w:cs="仿宋_GB2312"/>
          <w:b/>
          <w:sz w:val="24"/>
        </w:rPr>
      </w:pPr>
      <w:r>
        <w:rPr>
          <w:rFonts w:ascii="Arial" w:hAnsi="Arial" w:cs="Arial"/>
          <w:sz w:val="20"/>
          <w:szCs w:val="20"/>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8"/>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 xml:space="preserve">4.2.13 </w:t>
      </w:r>
      <w:r>
        <w:rPr>
          <w:rFonts w:hint="eastAsia" w:ascii="仿宋_GB2312" w:hAnsi="仿宋" w:eastAsia="仿宋_GB2312" w:cs="Arial"/>
          <w:kern w:val="0"/>
          <w:sz w:val="24"/>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4"/>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bookmarkEnd w:id="26"/>
    <w:p>
      <w:pPr>
        <w:rPr>
          <w:rFonts w:ascii="仿宋_GB2312" w:hAnsi="仿宋" w:eastAsia="仿宋_GB2312" w:cs="仿宋_GB2312"/>
          <w:b/>
          <w:sz w:val="36"/>
          <w:szCs w:val="36"/>
        </w:rPr>
      </w:pPr>
      <w:bookmarkStart w:id="400" w:name="_Toc86217003"/>
      <w:bookmarkStart w:id="401" w:name="第五部分"/>
      <w:r>
        <w:rPr>
          <w:rFonts w:hint="eastAsia" w:ascii="仿宋_GB2312" w:hAnsi="仿宋" w:eastAsia="仿宋_GB2312" w:cs="仿宋_GB2312"/>
          <w:b/>
          <w:sz w:val="36"/>
          <w:szCs w:val="36"/>
        </w:rPr>
        <w:br w:type="page"/>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rPr>
          <w:rFonts w:ascii="楷体" w:hAnsi="楷体" w:eastAsia="楷体"/>
          <w:sz w:val="24"/>
          <w:u w:val="single"/>
        </w:rPr>
      </w:pPr>
      <w:r>
        <w:rPr>
          <w:rFonts w:hint="eastAsia" w:ascii="楷体" w:hAnsi="楷体" w:eastAsia="楷体"/>
          <w:sz w:val="24"/>
        </w:rPr>
        <w:t>合同编号：</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pStyle w:val="699"/>
        <w:rPr>
          <w:rFonts w:ascii="仿宋" w:hAnsi="仿宋" w:eastAsia="仿宋"/>
          <w:szCs w:val="24"/>
        </w:rPr>
      </w:pPr>
    </w:p>
    <w:p>
      <w:pPr>
        <w:pStyle w:val="699"/>
        <w:rPr>
          <w:rFonts w:ascii="仿宋" w:hAnsi="仿宋" w:eastAsia="仿宋"/>
          <w:szCs w:val="24"/>
        </w:rPr>
      </w:pPr>
    </w:p>
    <w:p>
      <w:pPr>
        <w:pStyle w:val="699"/>
        <w:jc w:val="center"/>
        <w:rPr>
          <w:rFonts w:ascii="仿宋" w:hAnsi="仿宋" w:eastAsia="仿宋"/>
          <w:szCs w:val="24"/>
        </w:rPr>
      </w:pPr>
    </w:p>
    <w:p>
      <w:pPr>
        <w:pStyle w:val="699"/>
        <w:ind w:firstLine="2843" w:firstLineChars="1180"/>
        <w:rPr>
          <w:rFonts w:ascii="仿宋" w:hAnsi="仿宋" w:eastAsia="仿宋"/>
          <w:b/>
          <w:szCs w:val="24"/>
        </w:rPr>
      </w:pPr>
      <w:r>
        <w:rPr>
          <w:rFonts w:hint="eastAsia" w:ascii="仿宋" w:hAnsi="仿宋" w:eastAsia="仿宋"/>
          <w:b/>
          <w:szCs w:val="24"/>
        </w:rPr>
        <w:t>第一部分合同书</w:t>
      </w:r>
    </w:p>
    <w:p>
      <w:pPr>
        <w:pStyle w:val="699"/>
        <w:rPr>
          <w:rFonts w:ascii="仿宋" w:hAnsi="仿宋" w:eastAsia="仿宋"/>
          <w:szCs w:val="24"/>
        </w:rPr>
      </w:pPr>
    </w:p>
    <w:p>
      <w:pPr>
        <w:pStyle w:val="699"/>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项目名称：杭州市公安局地铁公安分局食堂外包服务项目</w:t>
      </w:r>
    </w:p>
    <w:p>
      <w:pPr>
        <w:pStyle w:val="596"/>
        <w:spacing w:before="120" w:line="22" w:lineRule="atLeast"/>
        <w:rPr>
          <w:rFonts w:ascii="仿宋" w:hAnsi="仿宋" w:eastAsia="仿宋"/>
          <w:szCs w:val="24"/>
        </w:rPr>
      </w:pPr>
    </w:p>
    <w:p>
      <w:pPr>
        <w:pStyle w:val="596"/>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  年  月  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杭州市公安局</w:t>
      </w:r>
      <w:r>
        <w:rPr>
          <w:rFonts w:hint="eastAsia" w:ascii="仿宋" w:hAnsi="仿宋" w:eastAsia="仿宋"/>
          <w:sz w:val="24"/>
        </w:rPr>
        <w:t>以</w:t>
      </w:r>
      <w:r>
        <w:rPr>
          <w:rFonts w:ascii="仿宋" w:hAnsi="仿宋" w:eastAsia="仿宋"/>
          <w:sz w:val="24"/>
          <w:u w:val="single"/>
        </w:rPr>
        <w:t>（</w:t>
      </w:r>
      <w:r>
        <w:rPr>
          <w:rFonts w:hint="eastAsia" w:ascii="仿宋" w:hAnsi="仿宋" w:eastAsia="仿宋"/>
          <w:sz w:val="24"/>
          <w:u w:val="single"/>
        </w:rPr>
        <w:t>公开招标方式</w:t>
      </w:r>
      <w:r>
        <w:rPr>
          <w:rFonts w:ascii="仿宋" w:hAnsi="仿宋" w:eastAsia="仿宋"/>
          <w:sz w:val="24"/>
          <w:u w:val="single"/>
        </w:rPr>
        <w:t>）</w:t>
      </w:r>
      <w:r>
        <w:rPr>
          <w:rFonts w:hint="eastAsia" w:ascii="仿宋" w:hAnsi="仿宋" w:eastAsia="仿宋"/>
          <w:sz w:val="24"/>
        </w:rPr>
        <w:t>对</w:t>
      </w:r>
      <w:r>
        <w:rPr>
          <w:rFonts w:hint="eastAsia" w:ascii="仿宋" w:hAnsi="仿宋" w:eastAsia="仿宋"/>
          <w:sz w:val="24"/>
          <w:u w:val="single"/>
        </w:rPr>
        <w:t>杭州市公安局地铁公安分局食堂外包服务项目</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为该项目中标供应商。现于中标通知书发出之日起十个工作日内，按照采购文件确定的事项签订本合同。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（采购人）</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402" w:name="_Toc2232"/>
      <w:bookmarkStart w:id="403" w:name="_Toc3029"/>
      <w:bookmarkStart w:id="404" w:name="_Toc24059"/>
      <w:r>
        <w:rPr>
          <w:rFonts w:ascii="仿宋" w:hAnsi="仿宋" w:eastAsia="仿宋"/>
          <w:b/>
          <w:sz w:val="24"/>
        </w:rPr>
        <w:t xml:space="preserve">1.1 </w:t>
      </w:r>
      <w:r>
        <w:rPr>
          <w:rFonts w:hint="eastAsia" w:ascii="仿宋" w:hAnsi="仿宋" w:eastAsia="仿宋"/>
          <w:b/>
          <w:sz w:val="24"/>
        </w:rPr>
        <w:t>合同组成部分</w:t>
      </w:r>
      <w:bookmarkEnd w:id="402"/>
      <w:bookmarkEnd w:id="403"/>
      <w:bookmarkEnd w:id="404"/>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405" w:name="_Toc21295"/>
      <w:bookmarkStart w:id="406" w:name="_Toc27126"/>
      <w:bookmarkStart w:id="407" w:name="_Toc24300"/>
      <w:r>
        <w:rPr>
          <w:rFonts w:ascii="仿宋" w:hAnsi="仿宋" w:eastAsia="仿宋"/>
          <w:b/>
          <w:sz w:val="24"/>
        </w:rPr>
        <w:t xml:space="preserve">1.2 </w:t>
      </w:r>
      <w:bookmarkEnd w:id="405"/>
      <w:bookmarkEnd w:id="406"/>
      <w:bookmarkEnd w:id="407"/>
      <w:r>
        <w:rPr>
          <w:rFonts w:hint="eastAsia" w:ascii="仿宋" w:hAnsi="仿宋" w:eastAsia="仿宋"/>
          <w:b/>
          <w:sz w:val="24"/>
        </w:rPr>
        <w:t>杭州市公安局地铁公安分局交通设施维护监理服务</w:t>
      </w:r>
    </w:p>
    <w:p>
      <w:pPr>
        <w:spacing w:line="560" w:lineRule="exact"/>
        <w:ind w:firstLine="480" w:firstLineChars="200"/>
        <w:rPr>
          <w:rFonts w:ascii="仿宋" w:hAnsi="仿宋" w:eastAsia="仿宋"/>
          <w:sz w:val="24"/>
        </w:rPr>
      </w:pPr>
      <w:r>
        <w:rPr>
          <w:rFonts w:hint="eastAsia" w:ascii="仿宋" w:hAnsi="仿宋" w:eastAsia="仿宋"/>
          <w:sz w:val="24"/>
        </w:rPr>
        <w:t>1.2.1 项目名称：</w:t>
      </w:r>
      <w:r>
        <w:rPr>
          <w:rFonts w:hint="eastAsia" w:ascii="仿宋" w:hAnsi="仿宋" w:eastAsia="仿宋"/>
          <w:sz w:val="24"/>
          <w:u w:val="single"/>
        </w:rPr>
        <w:t>杭州市公安局地铁公安分局食堂外包服务项目</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hint="eastAsia" w:ascii="仿宋" w:hAnsi="仿宋" w:eastAsia="仿宋"/>
          <w:sz w:val="24"/>
        </w:rPr>
        <w:t>1.2.2 服务内容：</w:t>
      </w:r>
      <w:r>
        <w:rPr>
          <w:rFonts w:hint="eastAsia" w:ascii="仿宋" w:hAnsi="仿宋" w:eastAsia="仿宋"/>
          <w:sz w:val="24"/>
          <w:u w:val="single"/>
        </w:rPr>
        <w:t>杭州市公安局地铁公安分局食堂外包服务项目，拟择优选取一家具有优质服务团队和服务能力的单位进行食堂劳务外包服务，服务地点为翁梅站***、打铁关站***、特警大队、湘湖站***、市民中心站***、下沙江滨站***、杜甫村站***、双浦站***、姑娘桥站***、九州街站***食堂，提供早、中、晚餐。另需保障（含停水停电停气、不良气候等情况下）临时性用餐服务，提供民俗节日特色食品，提供防暑降温饮品（自制为主）等。；</w:t>
      </w:r>
    </w:p>
    <w:p>
      <w:pPr>
        <w:spacing w:line="560" w:lineRule="exact"/>
        <w:ind w:firstLine="480" w:firstLineChars="200"/>
        <w:rPr>
          <w:rFonts w:ascii="仿宋" w:hAnsi="仿宋" w:eastAsia="仿宋"/>
          <w:sz w:val="24"/>
        </w:rPr>
      </w:pPr>
      <w:r>
        <w:rPr>
          <w:rFonts w:hint="eastAsia" w:ascii="仿宋" w:hAnsi="仿宋" w:eastAsia="仿宋"/>
          <w:sz w:val="24"/>
        </w:rPr>
        <w:t>1.2.3 服务质量：</w:t>
      </w:r>
      <w:r>
        <w:rPr>
          <w:rFonts w:hint="eastAsia" w:ascii="仿宋" w:hAnsi="仿宋" w:eastAsia="仿宋" w:cs="宋体"/>
          <w:sz w:val="24"/>
          <w:u w:val="single"/>
        </w:rPr>
        <w:t>根据采购文件确定的技术指标或者服务要求确定验收指标和标准。未进行相应约定的，应当符合国家强制性规定、政策要求、安全标准、行业或企业有关标准等</w:t>
      </w:r>
      <w:r>
        <w:rPr>
          <w:rFonts w:hint="eastAsia" w:ascii="仿宋" w:hAnsi="仿宋" w:eastAsia="仿宋"/>
          <w:sz w:val="24"/>
        </w:rPr>
        <w:t>。。</w:t>
      </w:r>
    </w:p>
    <w:p>
      <w:pPr>
        <w:spacing w:line="560" w:lineRule="exact"/>
        <w:rPr>
          <w:rFonts w:ascii="仿宋" w:hAnsi="仿宋" w:eastAsia="仿宋"/>
          <w:sz w:val="24"/>
        </w:rPr>
      </w:pPr>
    </w:p>
    <w:p>
      <w:pPr>
        <w:spacing w:line="560" w:lineRule="exact"/>
        <w:ind w:firstLine="482" w:firstLineChars="200"/>
        <w:outlineLvl w:val="0"/>
        <w:rPr>
          <w:rFonts w:ascii="仿宋" w:hAnsi="仿宋" w:eastAsia="仿宋"/>
          <w:b/>
          <w:sz w:val="24"/>
        </w:rPr>
      </w:pPr>
      <w:bookmarkStart w:id="408" w:name="_Toc23292"/>
      <w:bookmarkStart w:id="409" w:name="_Toc21631"/>
      <w:bookmarkStart w:id="410" w:name="_Toc21551"/>
      <w:r>
        <w:rPr>
          <w:rFonts w:ascii="仿宋" w:hAnsi="仿宋" w:eastAsia="仿宋"/>
          <w:b/>
          <w:sz w:val="24"/>
        </w:rPr>
        <w:t xml:space="preserve">1.3 </w:t>
      </w:r>
      <w:r>
        <w:rPr>
          <w:rFonts w:hint="eastAsia" w:ascii="仿宋" w:hAnsi="仿宋" w:eastAsia="仿宋"/>
          <w:b/>
          <w:sz w:val="24"/>
        </w:rPr>
        <w:t>价款</w:t>
      </w:r>
      <w:bookmarkEnd w:id="408"/>
      <w:bookmarkEnd w:id="409"/>
      <w:bookmarkEnd w:id="410"/>
    </w:p>
    <w:p>
      <w:pPr>
        <w:spacing w:line="560" w:lineRule="exact"/>
        <w:ind w:firstLine="480" w:firstLineChars="200"/>
        <w:outlineLvl w:val="0"/>
        <w:rPr>
          <w:rFonts w:ascii="仿宋" w:hAnsi="仿宋" w:eastAsia="仿宋"/>
          <w:sz w:val="24"/>
        </w:rPr>
      </w:pPr>
      <w:bookmarkStart w:id="411" w:name="_Toc22618"/>
      <w:bookmarkStart w:id="412" w:name="_Toc10340"/>
      <w:bookmarkStart w:id="413" w:name="_Toc1814"/>
      <w:r>
        <w:rPr>
          <w:rFonts w:hint="eastAsia" w:ascii="仿宋" w:hAnsi="仿宋" w:eastAsia="仿宋"/>
          <w:sz w:val="24"/>
        </w:rPr>
        <w:t>本合同总价按人民币          元（大写：              元人民币）。最终按合同单价、实际服务人数及服务时间结算支付且不超过合同总价。</w:t>
      </w:r>
    </w:p>
    <w:p>
      <w:pPr>
        <w:spacing w:line="560" w:lineRule="exact"/>
        <w:ind w:firstLine="480" w:firstLineChars="200"/>
        <w:outlineLvl w:val="0"/>
        <w:rPr>
          <w:rFonts w:ascii="仿宋" w:hAnsi="仿宋" w:eastAsia="仿宋"/>
          <w:sz w:val="24"/>
        </w:rPr>
      </w:pPr>
      <w:r>
        <w:rPr>
          <w:rFonts w:hint="eastAsia" w:ascii="仿宋" w:hAnsi="仿宋" w:eastAsia="仿宋"/>
          <w:sz w:val="24"/>
        </w:rPr>
        <w:t>合同价格清单：详见附件1</w:t>
      </w:r>
    </w:p>
    <w:p>
      <w:pPr>
        <w:spacing w:line="560" w:lineRule="exact"/>
        <w:ind w:firstLine="482" w:firstLineChars="200"/>
        <w:outlineLvl w:val="0"/>
        <w:rPr>
          <w:rFonts w:ascii="仿宋" w:hAnsi="仿宋" w:eastAsia="仿宋"/>
          <w:b/>
          <w:sz w:val="24"/>
        </w:rPr>
      </w:pPr>
      <w:r>
        <w:rPr>
          <w:rFonts w:ascii="仿宋" w:hAnsi="仿宋" w:eastAsia="仿宋"/>
          <w:b/>
          <w:sz w:val="24"/>
        </w:rPr>
        <w:t xml:space="preserve">1.4 </w:t>
      </w:r>
      <w:r>
        <w:rPr>
          <w:rFonts w:hint="eastAsia" w:ascii="仿宋" w:hAnsi="仿宋" w:eastAsia="仿宋"/>
          <w:b/>
          <w:sz w:val="24"/>
        </w:rPr>
        <w:t>付款</w:t>
      </w:r>
      <w:bookmarkEnd w:id="411"/>
      <w:bookmarkEnd w:id="412"/>
      <w:bookmarkEnd w:id="413"/>
      <w:r>
        <w:rPr>
          <w:rFonts w:hint="eastAsia" w:ascii="仿宋" w:hAnsi="仿宋" w:eastAsia="仿宋"/>
          <w:b/>
          <w:sz w:val="24"/>
        </w:rPr>
        <w:t>方式、时间和条件</w:t>
      </w:r>
    </w:p>
    <w:p>
      <w:pPr>
        <w:pStyle w:val="957"/>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1.4.2甲方在政府采购合同中约定预付款，预付款比例</w:t>
      </w:r>
      <w:r>
        <w:rPr>
          <w:rFonts w:hint="eastAsia" w:ascii="仿宋" w:hAnsi="仿宋" w:eastAsia="仿宋"/>
          <w:sz w:val="24"/>
        </w:rPr>
        <w:t>为当年安排预算金额</w:t>
      </w:r>
      <w:r>
        <w:rPr>
          <w:rFonts w:ascii="仿宋" w:hAnsi="仿宋" w:eastAsia="仿宋"/>
          <w:sz w:val="24"/>
        </w:rPr>
        <w:t>的</w:t>
      </w:r>
      <w:r>
        <w:rPr>
          <w:rFonts w:hint="eastAsia" w:ascii="仿宋" w:hAnsi="仿宋" w:eastAsia="仿宋"/>
          <w:sz w:val="24"/>
        </w:rPr>
        <w:t>7</w:t>
      </w:r>
      <w:r>
        <w:rPr>
          <w:rFonts w:ascii="仿宋" w:hAnsi="仿宋" w:eastAsia="仿宋"/>
          <w:sz w:val="24"/>
        </w:rPr>
        <w:t>0％；</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414" w:name="_Toc32071"/>
      <w:bookmarkStart w:id="415" w:name="_Toc2846"/>
      <w:bookmarkStart w:id="416" w:name="_Toc19304"/>
      <w:r>
        <w:rPr>
          <w:rFonts w:ascii="仿宋" w:hAnsi="仿宋" w:eastAsia="仿宋"/>
          <w:b/>
          <w:sz w:val="24"/>
        </w:rPr>
        <w:t xml:space="preserve">1.5 </w:t>
      </w:r>
      <w:r>
        <w:rPr>
          <w:rFonts w:hint="eastAsia" w:ascii="仿宋" w:hAnsi="仿宋" w:eastAsia="仿宋"/>
          <w:b/>
          <w:sz w:val="24"/>
        </w:rPr>
        <w:t>服务期限、地点和方式</w:t>
      </w:r>
      <w:bookmarkEnd w:id="414"/>
      <w:bookmarkEnd w:id="415"/>
      <w:bookmarkEnd w:id="416"/>
    </w:p>
    <w:p>
      <w:pPr>
        <w:spacing w:line="560" w:lineRule="exact"/>
        <w:ind w:firstLine="480" w:firstLineChars="200"/>
        <w:rPr>
          <w:rFonts w:ascii="仿宋" w:hAnsi="仿宋" w:eastAsia="仿宋"/>
          <w:sz w:val="24"/>
          <w:u w:val="single"/>
        </w:rPr>
      </w:pPr>
      <w:r>
        <w:rPr>
          <w:rFonts w:ascii="仿宋" w:hAnsi="仿宋" w:eastAsia="仿宋"/>
          <w:sz w:val="24"/>
        </w:rPr>
        <w:t>1.5.1</w:t>
      </w:r>
      <w:r>
        <w:rPr>
          <w:rFonts w:hint="eastAsia" w:ascii="仿宋" w:hAnsi="仿宋" w:eastAsia="仿宋"/>
          <w:sz w:val="24"/>
        </w:rPr>
        <w:t>服务期限：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服务地点：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17" w:name="_Toc27250"/>
      <w:bookmarkStart w:id="418" w:name="_Toc19554"/>
      <w:bookmarkStart w:id="419" w:name="_Toc21423"/>
      <w:r>
        <w:rPr>
          <w:rFonts w:ascii="仿宋" w:hAnsi="仿宋" w:eastAsia="仿宋"/>
          <w:b/>
          <w:sz w:val="24"/>
        </w:rPr>
        <w:t xml:space="preserve">1.6 </w:t>
      </w:r>
      <w:r>
        <w:rPr>
          <w:rFonts w:hint="eastAsia" w:ascii="仿宋" w:hAnsi="仿宋" w:eastAsia="仿宋"/>
          <w:b/>
          <w:sz w:val="24"/>
        </w:rPr>
        <w:t>违约责任</w:t>
      </w:r>
      <w:bookmarkEnd w:id="417"/>
      <w:bookmarkEnd w:id="418"/>
      <w:bookmarkEnd w:id="419"/>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除不可抗力外，如果乙方没有按照本合同约定的期限、地点和方式提供服务，那么甲方可要求乙方支付违约金，违约金按每迟延提供服务一日的应提供而未提供服务价格的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w:t>
      </w:r>
      <w:r>
        <w:rPr>
          <w:rFonts w:hint="eastAsia" w:ascii="仿宋" w:hAnsi="仿宋" w:eastAsia="仿宋"/>
          <w:sz w:val="24"/>
        </w:rPr>
        <w:t>提供服务</w:t>
      </w:r>
      <w:r>
        <w:rPr>
          <w:rFonts w:ascii="仿宋" w:hAnsi="仿宋" w:eastAsia="仿宋"/>
          <w:sz w:val="24"/>
        </w:rPr>
        <w:t>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20" w:name="_Toc15583"/>
      <w:bookmarkStart w:id="421" w:name="_Toc16021"/>
      <w:bookmarkStart w:id="422" w:name="_Toc28375"/>
      <w:r>
        <w:rPr>
          <w:rFonts w:ascii="仿宋" w:hAnsi="仿宋" w:eastAsia="仿宋"/>
          <w:b/>
          <w:sz w:val="24"/>
        </w:rPr>
        <w:t xml:space="preserve">1.7 </w:t>
      </w:r>
      <w:r>
        <w:rPr>
          <w:rFonts w:hint="eastAsia" w:ascii="仿宋" w:hAnsi="仿宋" w:eastAsia="仿宋"/>
          <w:b/>
          <w:sz w:val="24"/>
        </w:rPr>
        <w:t>合同争议的解决</w:t>
      </w:r>
      <w:bookmarkEnd w:id="420"/>
      <w:bookmarkEnd w:id="421"/>
      <w:bookmarkEnd w:id="422"/>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23" w:name="_Toc11173"/>
      <w:bookmarkStart w:id="424" w:name="_Toc15322"/>
      <w:bookmarkStart w:id="425" w:name="_Toc7245"/>
      <w:r>
        <w:rPr>
          <w:rFonts w:ascii="仿宋" w:hAnsi="仿宋" w:eastAsia="仿宋"/>
          <w:b/>
          <w:sz w:val="24"/>
        </w:rPr>
        <w:t xml:space="preserve">1.8 </w:t>
      </w:r>
      <w:r>
        <w:rPr>
          <w:rFonts w:hint="eastAsia" w:ascii="仿宋" w:hAnsi="仿宋" w:eastAsia="仿宋"/>
          <w:b/>
          <w:sz w:val="24"/>
        </w:rPr>
        <w:t>合同生效</w:t>
      </w:r>
      <w:bookmarkEnd w:id="423"/>
      <w:bookmarkEnd w:id="424"/>
      <w:bookmarkEnd w:id="425"/>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或授权代表（签字）：</w:t>
      </w:r>
      <w:r>
        <w:rPr>
          <w:rFonts w:ascii="仿宋" w:hAnsi="仿宋" w:eastAsia="仿宋"/>
          <w:sz w:val="24"/>
          <w:lang w:val="zh-CN"/>
        </w:rPr>
        <w:t xml:space="preserve">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开户账号：开户账号：</w:t>
      </w:r>
    </w:p>
    <w:p>
      <w:pPr>
        <w:widowControl/>
        <w:spacing w:line="560" w:lineRule="exact"/>
        <w:jc w:val="left"/>
        <w:rPr>
          <w:rFonts w:ascii="仿宋" w:hAnsi="仿宋" w:eastAsia="仿宋"/>
          <w:b/>
          <w:sz w:val="24"/>
        </w:rPr>
      </w:pPr>
      <w:bookmarkStart w:id="426" w:name="_Toc331685783"/>
    </w:p>
    <w:p>
      <w:pPr>
        <w:pStyle w:val="699"/>
        <w:spacing w:line="560" w:lineRule="exact"/>
        <w:ind w:firstLine="482"/>
        <w:jc w:val="center"/>
        <w:rPr>
          <w:rFonts w:ascii="仿宋" w:hAnsi="仿宋" w:eastAsia="仿宋"/>
          <w:b/>
          <w:szCs w:val="24"/>
        </w:rPr>
      </w:pPr>
      <w:r>
        <w:rPr>
          <w:rFonts w:hint="eastAsia" w:ascii="仿宋" w:hAnsi="仿宋" w:eastAsia="仿宋"/>
          <w:b/>
          <w:szCs w:val="24"/>
        </w:rPr>
        <w:t>第二部分合同一般条款</w:t>
      </w:r>
      <w:bookmarkEnd w:id="426"/>
    </w:p>
    <w:p>
      <w:pPr>
        <w:spacing w:line="560" w:lineRule="exact"/>
        <w:ind w:firstLine="482" w:firstLineChars="200"/>
        <w:outlineLvl w:val="0"/>
        <w:rPr>
          <w:rFonts w:ascii="仿宋" w:hAnsi="仿宋" w:eastAsia="仿宋"/>
          <w:b/>
          <w:sz w:val="24"/>
        </w:rPr>
      </w:pPr>
      <w:bookmarkStart w:id="427" w:name="_Toc259093669"/>
      <w:bookmarkStart w:id="428" w:name="_Ref467379214"/>
      <w:bookmarkStart w:id="429" w:name="_Ref467379109"/>
      <w:bookmarkStart w:id="430" w:name="_Ref467379205"/>
      <w:bookmarkStart w:id="431" w:name="_Ref467378499"/>
      <w:bookmarkStart w:id="432" w:name="_Ref467378404"/>
      <w:bookmarkStart w:id="433" w:name="_Toc16917"/>
      <w:bookmarkStart w:id="434" w:name="_Toc279701240"/>
      <w:bookmarkStart w:id="435" w:name="_Ref467378463"/>
      <w:bookmarkStart w:id="436" w:name="_Toc28763"/>
      <w:bookmarkStart w:id="437" w:name="_Ref467379195"/>
      <w:bookmarkStart w:id="438" w:name="_Toc487900349"/>
      <w:bookmarkStart w:id="439" w:name="_Ref467379101"/>
      <w:bookmarkStart w:id="440" w:name="_Toc19614"/>
      <w:bookmarkStart w:id="441" w:name="_Ref467379225"/>
      <w:bookmarkStart w:id="442" w:name="_Ref467379094"/>
      <w:r>
        <w:rPr>
          <w:rFonts w:ascii="仿宋" w:hAnsi="仿宋" w:eastAsia="仿宋"/>
          <w:b/>
          <w:sz w:val="24"/>
        </w:rPr>
        <w:t xml:space="preserve">2.1 </w:t>
      </w:r>
      <w:r>
        <w:rPr>
          <w:rFonts w:hint="eastAsia" w:ascii="仿宋" w:hAnsi="仿宋" w:eastAsia="仿宋"/>
          <w:b/>
          <w:sz w:val="24"/>
        </w:rPr>
        <w:t>定义</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“服务”系指中标供应商根据合同约定应向采购人交付的一切服务内容、质量等其他相关资料。</w:t>
      </w:r>
    </w:p>
    <w:p>
      <w:pPr>
        <w:spacing w:line="560" w:lineRule="exact"/>
        <w:ind w:firstLine="480" w:firstLineChars="200"/>
        <w:rPr>
          <w:rFonts w:ascii="仿宋" w:hAnsi="仿宋" w:eastAsia="仿宋"/>
          <w:sz w:val="24"/>
        </w:rPr>
      </w:pPr>
      <w:bookmarkStart w:id="443"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43"/>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44" w:name="_Ref467379400"/>
      <w:r>
        <w:rPr>
          <w:rFonts w:ascii="仿宋" w:hAnsi="仿宋" w:eastAsia="仿宋"/>
          <w:sz w:val="24"/>
        </w:rPr>
        <w:t xml:space="preserve">2.1.5 </w:t>
      </w:r>
      <w:r>
        <w:rPr>
          <w:rFonts w:hint="eastAsia" w:ascii="仿宋" w:hAnsi="仿宋" w:eastAsia="仿宋"/>
          <w:sz w:val="24"/>
        </w:rPr>
        <w:t>“乙方”系指根据合同约定提供服务的中标供应商</w:t>
      </w:r>
      <w:bookmarkEnd w:id="444"/>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45" w:name="_Ref467379436"/>
      <w:r>
        <w:rPr>
          <w:rFonts w:ascii="仿宋" w:hAnsi="仿宋" w:eastAsia="仿宋"/>
          <w:sz w:val="24"/>
        </w:rPr>
        <w:t xml:space="preserve">2.1.6 </w:t>
      </w:r>
      <w:r>
        <w:rPr>
          <w:rFonts w:hint="eastAsia" w:ascii="仿宋" w:hAnsi="仿宋" w:eastAsia="仿宋"/>
          <w:sz w:val="24"/>
        </w:rPr>
        <w:t>“现场”系指合同约定的服务实施地点。</w:t>
      </w:r>
      <w:bookmarkEnd w:id="445"/>
    </w:p>
    <w:p>
      <w:pPr>
        <w:spacing w:line="560" w:lineRule="exact"/>
        <w:ind w:firstLine="482" w:firstLineChars="200"/>
        <w:outlineLvl w:val="0"/>
        <w:rPr>
          <w:rFonts w:ascii="仿宋" w:hAnsi="仿宋" w:eastAsia="仿宋"/>
          <w:b/>
          <w:sz w:val="24"/>
        </w:rPr>
      </w:pPr>
      <w:bookmarkStart w:id="446" w:name="_Toc32504"/>
      <w:bookmarkStart w:id="447" w:name="_Toc259093670"/>
      <w:bookmarkStart w:id="448" w:name="_Toc13336"/>
      <w:bookmarkStart w:id="449" w:name="_Toc279701241"/>
      <w:bookmarkStart w:id="450" w:name="_Toc487900350"/>
      <w:bookmarkStart w:id="451" w:name="_Toc27635"/>
      <w:r>
        <w:rPr>
          <w:rFonts w:ascii="仿宋" w:hAnsi="仿宋" w:eastAsia="仿宋"/>
          <w:b/>
          <w:sz w:val="24"/>
        </w:rPr>
        <w:t xml:space="preserve">2.2 </w:t>
      </w:r>
      <w:r>
        <w:rPr>
          <w:rFonts w:hint="eastAsia" w:ascii="仿宋" w:hAnsi="仿宋" w:eastAsia="仿宋"/>
          <w:b/>
          <w:sz w:val="24"/>
        </w:rPr>
        <w:t>技术规范</w:t>
      </w:r>
      <w:bookmarkEnd w:id="446"/>
      <w:bookmarkEnd w:id="447"/>
      <w:bookmarkEnd w:id="448"/>
      <w:bookmarkEnd w:id="449"/>
      <w:bookmarkEnd w:id="450"/>
      <w:bookmarkEnd w:id="451"/>
    </w:p>
    <w:p>
      <w:pPr>
        <w:spacing w:line="560" w:lineRule="exact"/>
        <w:ind w:firstLine="480" w:firstLineChars="200"/>
        <w:rPr>
          <w:rFonts w:ascii="仿宋" w:hAnsi="仿宋" w:eastAsia="仿宋"/>
          <w:sz w:val="24"/>
        </w:rPr>
      </w:pPr>
      <w:r>
        <w:rPr>
          <w:rFonts w:hint="eastAsia" w:ascii="仿宋" w:hAnsi="仿宋" w:eastAsia="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52" w:name="_Toc27853"/>
      <w:bookmarkStart w:id="453" w:name="_Toc259093671"/>
      <w:bookmarkStart w:id="454" w:name="_Toc31634"/>
      <w:bookmarkStart w:id="455" w:name="_Toc279701242"/>
      <w:bookmarkStart w:id="456" w:name="_Toc487900351"/>
      <w:bookmarkStart w:id="457" w:name="_Toc9829"/>
      <w:r>
        <w:rPr>
          <w:rFonts w:ascii="仿宋" w:hAnsi="仿宋" w:eastAsia="仿宋"/>
          <w:b/>
          <w:sz w:val="24"/>
        </w:rPr>
        <w:t xml:space="preserve">2.3 </w:t>
      </w:r>
      <w:r>
        <w:rPr>
          <w:rFonts w:hint="eastAsia" w:ascii="仿宋" w:hAnsi="仿宋" w:eastAsia="仿宋"/>
          <w:b/>
          <w:sz w:val="24"/>
        </w:rPr>
        <w:t>知识产权</w:t>
      </w:r>
      <w:bookmarkEnd w:id="452"/>
      <w:bookmarkEnd w:id="453"/>
      <w:bookmarkEnd w:id="454"/>
      <w:bookmarkEnd w:id="455"/>
      <w:bookmarkEnd w:id="456"/>
      <w:bookmarkEnd w:id="457"/>
    </w:p>
    <w:p>
      <w:pPr>
        <w:spacing w:line="560" w:lineRule="exact"/>
        <w:ind w:firstLine="480" w:firstLineChars="200"/>
        <w:rPr>
          <w:rFonts w:ascii="仿宋" w:hAnsi="仿宋" w:eastAsia="仿宋"/>
          <w:sz w:val="24"/>
        </w:rPr>
      </w:pPr>
      <w:r>
        <w:rPr>
          <w:rFonts w:hint="eastAsia" w:ascii="仿宋" w:hAnsi="仿宋" w:eastAsia="仿宋"/>
          <w:sz w:val="24"/>
        </w:rPr>
        <w:t>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8" w:name="_Ref467379542"/>
      <w:bookmarkStart w:id="459" w:name="_Ref467378591"/>
      <w:bookmarkStart w:id="460" w:name="_Toc279701245"/>
      <w:bookmarkStart w:id="461" w:name="_Ref467379536"/>
      <w:bookmarkStart w:id="462" w:name="_Toc259093674"/>
      <w:bookmarkStart w:id="463" w:name="_Ref467378541"/>
      <w:bookmarkStart w:id="464" w:name="_Ref467379527"/>
      <w:bookmarkStart w:id="465" w:name="_Toc487900354"/>
      <w:bookmarkStart w:id="466" w:name="_Toc26182"/>
      <w:bookmarkStart w:id="467" w:name="_Toc30272"/>
      <w:bookmarkStart w:id="468" w:name="_Toc19074"/>
      <w:r>
        <w:rPr>
          <w:rFonts w:ascii="仿宋" w:hAnsi="仿宋" w:eastAsia="仿宋"/>
          <w:b/>
          <w:sz w:val="24"/>
        </w:rPr>
        <w:t>2.</w:t>
      </w:r>
      <w:bookmarkEnd w:id="458"/>
      <w:bookmarkEnd w:id="459"/>
      <w:bookmarkEnd w:id="460"/>
      <w:bookmarkEnd w:id="461"/>
      <w:bookmarkEnd w:id="462"/>
      <w:bookmarkEnd w:id="463"/>
      <w:bookmarkEnd w:id="464"/>
      <w:bookmarkEnd w:id="465"/>
      <w:r>
        <w:rPr>
          <w:rFonts w:hint="eastAsia" w:ascii="仿宋" w:hAnsi="仿宋" w:eastAsia="仿宋"/>
          <w:b/>
          <w:sz w:val="24"/>
        </w:rPr>
        <w:t>4履约检查和问题反馈</w:t>
      </w:r>
      <w:bookmarkEnd w:id="466"/>
      <w:bookmarkEnd w:id="467"/>
      <w:bookmarkEnd w:id="468"/>
    </w:p>
    <w:p>
      <w:pPr>
        <w:spacing w:line="560" w:lineRule="exact"/>
        <w:ind w:firstLine="480" w:firstLineChars="200"/>
        <w:rPr>
          <w:rFonts w:ascii="仿宋" w:hAnsi="仿宋" w:eastAsia="仿宋"/>
          <w:sz w:val="24"/>
        </w:rPr>
      </w:pPr>
      <w:bookmarkStart w:id="469" w:name="_Ref467379657"/>
      <w:r>
        <w:rPr>
          <w:rFonts w:ascii="仿宋" w:hAnsi="仿宋" w:eastAsia="仿宋"/>
          <w:sz w:val="24"/>
        </w:rPr>
        <w:t>2.</w:t>
      </w:r>
      <w:r>
        <w:rPr>
          <w:rFonts w:hint="eastAsia" w:ascii="仿宋" w:hAnsi="仿宋" w:eastAsia="仿宋"/>
          <w:sz w:val="24"/>
        </w:rPr>
        <w:t>4</w:t>
      </w:r>
      <w:r>
        <w:rPr>
          <w:rFonts w:ascii="仿宋" w:hAnsi="仿宋" w:eastAsia="仿宋"/>
          <w:sz w:val="24"/>
        </w:rPr>
        <w:t>.1</w:t>
      </w:r>
      <w:bookmarkEnd w:id="469"/>
      <w:bookmarkStart w:id="470" w:name="_Toc186431854"/>
      <w:bookmarkStart w:id="471" w:name="_Ref467379793"/>
      <w:bookmarkStart w:id="472" w:name="_Toc259093676"/>
      <w:bookmarkStart w:id="473" w:name="_Toc279701247"/>
      <w:bookmarkStart w:id="474" w:name="_Toc487900357"/>
      <w:bookmarkStart w:id="475" w:name="_Ref46737980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4</w:t>
      </w:r>
      <w:r>
        <w:rPr>
          <w:rFonts w:ascii="仿宋" w:hAnsi="仿宋" w:eastAsia="仿宋"/>
          <w:sz w:val="24"/>
        </w:rPr>
        <w:t xml:space="preserve">.2 </w:t>
      </w:r>
      <w:r>
        <w:rPr>
          <w:rFonts w:hint="eastAsia" w:ascii="仿宋" w:hAnsi="仿宋" w:eastAsia="仿宋"/>
          <w:sz w:val="24"/>
        </w:rPr>
        <w:t>合同履行期间，甲方有权将履行过程中出现的问题反馈给乙方，双方当事人应以书面形式约定需要完善和改进的内容</w:t>
      </w:r>
      <w:bookmarkEnd w:id="470"/>
      <w:bookmarkStart w:id="476" w:name="_Toc186431855"/>
      <w:r>
        <w:rPr>
          <w:rFonts w:hint="eastAsia" w:ascii="仿宋" w:hAnsi="仿宋" w:eastAsia="仿宋"/>
          <w:sz w:val="24"/>
        </w:rPr>
        <w:t>。</w:t>
      </w:r>
    </w:p>
    <w:bookmarkEnd w:id="471"/>
    <w:bookmarkEnd w:id="472"/>
    <w:bookmarkEnd w:id="473"/>
    <w:bookmarkEnd w:id="474"/>
    <w:bookmarkEnd w:id="475"/>
    <w:bookmarkEnd w:id="476"/>
    <w:p>
      <w:pPr>
        <w:spacing w:line="560" w:lineRule="exact"/>
        <w:ind w:firstLine="482" w:firstLineChars="200"/>
        <w:outlineLvl w:val="0"/>
        <w:rPr>
          <w:rFonts w:ascii="仿宋" w:hAnsi="仿宋" w:eastAsia="仿宋"/>
          <w:b/>
          <w:sz w:val="24"/>
        </w:rPr>
      </w:pPr>
      <w:bookmarkStart w:id="477" w:name="_Toc279701248"/>
      <w:bookmarkStart w:id="478" w:name="_Toc487900358"/>
      <w:bookmarkStart w:id="479" w:name="_Toc259093677"/>
      <w:bookmarkStart w:id="480" w:name="_Ref467379923"/>
      <w:bookmarkStart w:id="481" w:name="_Ref467379852"/>
      <w:bookmarkStart w:id="482" w:name="_Ref467379863"/>
      <w:bookmarkStart w:id="483" w:name="_Toc3225"/>
      <w:bookmarkStart w:id="484" w:name="_Toc774"/>
      <w:bookmarkStart w:id="485" w:name="_Toc16110"/>
      <w:r>
        <w:rPr>
          <w:rFonts w:ascii="仿宋" w:hAnsi="仿宋" w:eastAsia="仿宋"/>
          <w:b/>
          <w:sz w:val="24"/>
        </w:rPr>
        <w:t>2.</w:t>
      </w:r>
      <w:r>
        <w:rPr>
          <w:rFonts w:hint="eastAsia" w:ascii="仿宋" w:hAnsi="仿宋" w:eastAsia="仿宋"/>
          <w:b/>
          <w:sz w:val="24"/>
        </w:rPr>
        <w:t>5技术资料</w:t>
      </w:r>
      <w:bookmarkEnd w:id="477"/>
      <w:bookmarkEnd w:id="478"/>
      <w:bookmarkEnd w:id="479"/>
      <w:bookmarkEnd w:id="480"/>
      <w:bookmarkEnd w:id="481"/>
      <w:bookmarkEnd w:id="482"/>
      <w:r>
        <w:rPr>
          <w:rFonts w:hint="eastAsia" w:ascii="仿宋" w:hAnsi="仿宋" w:eastAsia="仿宋"/>
          <w:b/>
          <w:sz w:val="24"/>
        </w:rPr>
        <w:t>和保密义务</w:t>
      </w:r>
      <w:bookmarkEnd w:id="483"/>
      <w:bookmarkEnd w:id="484"/>
      <w:bookmarkEnd w:id="485"/>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5</w:t>
      </w:r>
      <w:r>
        <w:rPr>
          <w:rFonts w:ascii="仿宋" w:hAnsi="仿宋" w:eastAsia="仿宋"/>
          <w:sz w:val="24"/>
        </w:rPr>
        <w:t xml:space="preserve">.1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5</w:t>
      </w:r>
      <w:r>
        <w:rPr>
          <w:rFonts w:ascii="仿宋" w:hAnsi="仿宋" w:eastAsia="仿宋"/>
          <w:sz w:val="24"/>
        </w:rPr>
        <w:t xml:space="preserve">.2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5</w:t>
      </w:r>
      <w:r>
        <w:rPr>
          <w:rFonts w:ascii="仿宋" w:hAnsi="仿宋" w:eastAsia="仿宋"/>
          <w:sz w:val="24"/>
        </w:rPr>
        <w:t xml:space="preserve">.3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486" w:name="_Toc7860"/>
      <w:r>
        <w:rPr>
          <w:rFonts w:ascii="仿宋" w:hAnsi="仿宋" w:eastAsia="仿宋"/>
          <w:b/>
          <w:sz w:val="24"/>
        </w:rPr>
        <w:t>2.</w:t>
      </w:r>
      <w:r>
        <w:rPr>
          <w:rFonts w:hint="eastAsia" w:ascii="仿宋" w:hAnsi="仿宋" w:eastAsia="仿宋"/>
          <w:b/>
          <w:sz w:val="24"/>
        </w:rPr>
        <w:t>6质量保证</w:t>
      </w:r>
      <w:bookmarkEnd w:id="486"/>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6</w:t>
      </w:r>
      <w:r>
        <w:rPr>
          <w:rFonts w:ascii="仿宋" w:hAnsi="仿宋" w:eastAsia="仿宋"/>
          <w:sz w:val="24"/>
        </w:rPr>
        <w:t xml:space="preserve">.1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6</w:t>
      </w:r>
      <w:r>
        <w:rPr>
          <w:rFonts w:ascii="仿宋" w:hAnsi="仿宋" w:eastAsia="仿宋"/>
          <w:sz w:val="24"/>
        </w:rPr>
        <w:t xml:space="preserve">.2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487" w:name="_Toc259093681"/>
      <w:bookmarkStart w:id="488" w:name="_Toc487900362"/>
      <w:bookmarkStart w:id="489" w:name="_Toc14055"/>
      <w:bookmarkStart w:id="490" w:name="_Toc279701252"/>
      <w:r>
        <w:rPr>
          <w:rFonts w:ascii="仿宋" w:hAnsi="仿宋" w:eastAsia="仿宋"/>
          <w:b/>
          <w:sz w:val="24"/>
        </w:rPr>
        <w:t>2.</w:t>
      </w:r>
      <w:r>
        <w:rPr>
          <w:rFonts w:hint="eastAsia" w:ascii="仿宋" w:hAnsi="仿宋" w:eastAsia="仿宋"/>
          <w:b/>
          <w:sz w:val="24"/>
        </w:rPr>
        <w:t>7延迟</w:t>
      </w:r>
      <w:bookmarkEnd w:id="487"/>
      <w:bookmarkEnd w:id="488"/>
      <w:bookmarkEnd w:id="489"/>
      <w:bookmarkEnd w:id="490"/>
      <w:r>
        <w:rPr>
          <w:rFonts w:hint="eastAsia" w:ascii="仿宋" w:hAnsi="仿宋" w:eastAsia="仿宋"/>
          <w:b/>
          <w:sz w:val="24"/>
        </w:rPr>
        <w:t>服务</w:t>
      </w:r>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服务的具体时间。</w:t>
      </w:r>
    </w:p>
    <w:p>
      <w:pPr>
        <w:spacing w:line="560" w:lineRule="exact"/>
        <w:ind w:firstLine="482" w:firstLineChars="200"/>
        <w:outlineLvl w:val="0"/>
        <w:rPr>
          <w:rFonts w:ascii="仿宋" w:hAnsi="仿宋" w:eastAsia="仿宋"/>
          <w:b/>
          <w:sz w:val="24"/>
        </w:rPr>
      </w:pPr>
      <w:bookmarkStart w:id="491" w:name="_Toc7502"/>
      <w:bookmarkStart w:id="492" w:name="_Toc279701254"/>
      <w:bookmarkStart w:id="493" w:name="_Ref467378121"/>
      <w:bookmarkStart w:id="494" w:name="_Toc259093683"/>
      <w:bookmarkStart w:id="495" w:name="_Toc487900364"/>
      <w:r>
        <w:rPr>
          <w:rFonts w:ascii="仿宋" w:hAnsi="仿宋" w:eastAsia="仿宋"/>
          <w:b/>
          <w:sz w:val="24"/>
        </w:rPr>
        <w:t>2.</w:t>
      </w:r>
      <w:r>
        <w:rPr>
          <w:rFonts w:hint="eastAsia" w:ascii="仿宋" w:hAnsi="仿宋" w:eastAsia="仿宋"/>
          <w:b/>
          <w:sz w:val="24"/>
        </w:rPr>
        <w:t>8合同变更</w:t>
      </w:r>
      <w:bookmarkEnd w:id="491"/>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487900369"/>
      <w:bookmarkStart w:id="498" w:name="_Toc259093688"/>
    </w:p>
    <w:p>
      <w:pPr>
        <w:spacing w:line="560" w:lineRule="exact"/>
        <w:ind w:firstLine="482" w:firstLineChars="200"/>
        <w:outlineLvl w:val="0"/>
        <w:rPr>
          <w:rFonts w:ascii="仿宋" w:hAnsi="仿宋" w:eastAsia="仿宋"/>
          <w:b/>
          <w:sz w:val="24"/>
        </w:rPr>
      </w:pPr>
      <w:bookmarkStart w:id="499" w:name="_Toc10366"/>
      <w:bookmarkStart w:id="500" w:name="_Toc15237"/>
      <w:bookmarkStart w:id="501" w:name="_Toc22955"/>
      <w:r>
        <w:rPr>
          <w:rFonts w:ascii="仿宋" w:hAnsi="仿宋" w:eastAsia="仿宋"/>
          <w:b/>
          <w:sz w:val="24"/>
        </w:rPr>
        <w:t>2.</w:t>
      </w:r>
      <w:r>
        <w:rPr>
          <w:rFonts w:hint="eastAsia" w:ascii="仿宋" w:hAnsi="仿宋" w:eastAsia="仿宋"/>
          <w:b/>
          <w:sz w:val="24"/>
        </w:rPr>
        <w:t>9合同转让</w:t>
      </w:r>
      <w:bookmarkEnd w:id="496"/>
      <w:bookmarkEnd w:id="497"/>
      <w:bookmarkEnd w:id="498"/>
      <w:r>
        <w:rPr>
          <w:rFonts w:hint="eastAsia" w:ascii="仿宋" w:hAnsi="仿宋" w:eastAsia="仿宋"/>
          <w:b/>
          <w:sz w:val="24"/>
        </w:rPr>
        <w:t>和分包</w:t>
      </w:r>
      <w:bookmarkEnd w:id="499"/>
      <w:bookmarkEnd w:id="500"/>
      <w:bookmarkEnd w:id="501"/>
    </w:p>
    <w:p>
      <w:pPr>
        <w:spacing w:line="560" w:lineRule="exact"/>
        <w:ind w:firstLine="480" w:firstLineChars="200"/>
        <w:outlineLvl w:val="0"/>
        <w:rPr>
          <w:rFonts w:ascii="仿宋" w:hAnsi="仿宋" w:eastAsia="仿宋"/>
          <w:bCs/>
          <w:sz w:val="24"/>
        </w:rPr>
      </w:pPr>
      <w:bookmarkStart w:id="502" w:name="_Toc13566"/>
      <w:bookmarkStart w:id="503" w:name="_Toc16508"/>
      <w:bookmarkStart w:id="504" w:name="_Toc14066"/>
      <w:r>
        <w:rPr>
          <w:rFonts w:ascii="仿宋" w:hAnsi="仿宋" w:eastAsia="仿宋"/>
          <w:bCs/>
          <w:sz w:val="24"/>
        </w:rPr>
        <w:t>2.9.1</w:t>
      </w:r>
      <w:r>
        <w:rPr>
          <w:rFonts w:hint="eastAsia" w:ascii="仿宋" w:hAnsi="仿宋" w:eastAsia="仿宋"/>
          <w:bCs/>
          <w:sz w:val="24"/>
        </w:rPr>
        <w:t>乙方不得将合同分包或转包。</w:t>
      </w:r>
    </w:p>
    <w:p>
      <w:pPr>
        <w:spacing w:line="560" w:lineRule="exact"/>
        <w:ind w:firstLine="480" w:firstLineChars="200"/>
        <w:outlineLvl w:val="0"/>
        <w:rPr>
          <w:rFonts w:ascii="仿宋" w:hAnsi="仿宋" w:eastAsia="仿宋"/>
          <w:bCs/>
          <w:sz w:val="24"/>
        </w:rPr>
      </w:pPr>
      <w:bookmarkStart w:id="505" w:name="_Toc94869427"/>
      <w:r>
        <w:rPr>
          <w:rFonts w:ascii="仿宋" w:hAnsi="仿宋" w:eastAsia="仿宋"/>
          <w:bCs/>
          <w:sz w:val="24"/>
        </w:rPr>
        <w:t>2.9.2</w:t>
      </w:r>
      <w:r>
        <w:rPr>
          <w:rFonts w:hint="eastAsia" w:ascii="仿宋" w:hAnsi="仿宋" w:eastAsia="仿宋"/>
          <w:bCs/>
          <w:sz w:val="24"/>
        </w:rPr>
        <w:t>如</w:t>
      </w:r>
      <w:r>
        <w:rPr>
          <w:rFonts w:ascii="仿宋" w:hAnsi="仿宋" w:eastAsia="仿宋"/>
          <w:bCs/>
          <w:sz w:val="24"/>
        </w:rPr>
        <w:t>乙方将合同</w:t>
      </w:r>
      <w:r>
        <w:rPr>
          <w:rFonts w:hint="eastAsia" w:ascii="仿宋" w:hAnsi="仿宋" w:eastAsia="仿宋"/>
          <w:bCs/>
          <w:sz w:val="24"/>
        </w:rPr>
        <w:t>分包或转包，甲方将追回已支付的合同款，因此造成的一切损失由乙方负责赔偿。</w:t>
      </w:r>
      <w:bookmarkEnd w:id="505"/>
    </w:p>
    <w:p>
      <w:pPr>
        <w:spacing w:line="560" w:lineRule="exact"/>
        <w:ind w:firstLine="482" w:firstLineChars="200"/>
        <w:outlineLvl w:val="0"/>
        <w:rPr>
          <w:rFonts w:ascii="仿宋" w:hAnsi="仿宋" w:eastAsia="仿宋"/>
          <w:b/>
          <w:sz w:val="24"/>
        </w:rPr>
      </w:pPr>
      <w:r>
        <w:rPr>
          <w:rFonts w:ascii="仿宋" w:hAnsi="仿宋" w:eastAsia="仿宋"/>
          <w:b/>
          <w:sz w:val="24"/>
        </w:rPr>
        <w:t>2.1</w:t>
      </w:r>
      <w:r>
        <w:rPr>
          <w:rFonts w:hint="eastAsia" w:ascii="仿宋" w:hAnsi="仿宋" w:eastAsia="仿宋"/>
          <w:b/>
          <w:sz w:val="24"/>
        </w:rPr>
        <w:t>0不可抗力</w:t>
      </w:r>
      <w:bookmarkEnd w:id="502"/>
      <w:bookmarkEnd w:id="503"/>
      <w:bookmarkEnd w:id="504"/>
    </w:p>
    <w:p>
      <w:pPr>
        <w:spacing w:line="560" w:lineRule="exact"/>
        <w:ind w:firstLine="480" w:firstLineChars="200"/>
        <w:outlineLvl w:val="0"/>
        <w:rPr>
          <w:rFonts w:ascii="仿宋" w:hAnsi="仿宋" w:eastAsia="仿宋"/>
          <w:bCs/>
          <w:sz w:val="24"/>
        </w:rPr>
      </w:pPr>
      <w:bookmarkStart w:id="506" w:name="_Toc279701255"/>
      <w:bookmarkStart w:id="507" w:name="_Toc487900365"/>
      <w:bookmarkStart w:id="508" w:name="_Toc30676"/>
      <w:bookmarkStart w:id="509" w:name="_Toc6969"/>
      <w:bookmarkStart w:id="510" w:name="_Toc689"/>
      <w:bookmarkStart w:id="511" w:name="_Toc259093684"/>
      <w:r>
        <w:rPr>
          <w:rFonts w:hint="eastAsia" w:ascii="仿宋" w:hAnsi="仿宋" w:eastAsia="仿宋"/>
          <w:bCs/>
          <w:sz w:val="24"/>
        </w:rPr>
        <w:t>2.10.1如果任何一方遭遇法律规定的不可抗力，致使合同履行受阻时，履行合同的期限应予延长，延长的期限应相当于不可抗力所影响的时间；</w:t>
      </w:r>
    </w:p>
    <w:p>
      <w:pPr>
        <w:spacing w:line="560" w:lineRule="exact"/>
        <w:ind w:firstLine="480" w:firstLineChars="200"/>
        <w:outlineLvl w:val="0"/>
        <w:rPr>
          <w:rFonts w:ascii="仿宋" w:hAnsi="仿宋" w:eastAsia="仿宋"/>
          <w:bCs/>
          <w:sz w:val="24"/>
        </w:rPr>
      </w:pPr>
      <w:r>
        <w:rPr>
          <w:rFonts w:hint="eastAsia" w:ascii="仿宋" w:hAnsi="仿宋" w:eastAsia="仿宋"/>
          <w:bCs/>
          <w:sz w:val="24"/>
        </w:rPr>
        <w:t>2.10.2因不可抗力致使不能实现合同目的的，当事人可以解除合同；</w:t>
      </w:r>
    </w:p>
    <w:p>
      <w:pPr>
        <w:spacing w:line="560" w:lineRule="exact"/>
        <w:ind w:firstLine="480" w:firstLineChars="200"/>
        <w:outlineLvl w:val="0"/>
        <w:rPr>
          <w:rFonts w:ascii="仿宋" w:hAnsi="仿宋" w:eastAsia="仿宋"/>
          <w:bCs/>
          <w:sz w:val="24"/>
        </w:rPr>
      </w:pPr>
      <w:r>
        <w:rPr>
          <w:rFonts w:hint="eastAsia" w:ascii="仿宋" w:hAnsi="仿宋" w:eastAsia="仿宋"/>
          <w:bCs/>
          <w:sz w:val="24"/>
        </w:rPr>
        <w:t>2.10.3因不可抗力致使合同有变更必要的，双方当事人应在</w:t>
      </w:r>
      <w:r>
        <w:rPr>
          <w:rFonts w:hint="eastAsia" w:ascii="仿宋" w:hAnsi="仿宋" w:eastAsia="仿宋"/>
          <w:b/>
          <w:i/>
          <w:sz w:val="24"/>
          <w:u w:val="single"/>
        </w:rPr>
        <w:t>合同专用条款</w:t>
      </w:r>
      <w:r>
        <w:rPr>
          <w:rFonts w:hint="eastAsia" w:ascii="仿宋" w:hAnsi="仿宋" w:eastAsia="仿宋"/>
          <w:bCs/>
          <w:sz w:val="24"/>
        </w:rPr>
        <w:t>内以书面形式变更合同；</w:t>
      </w:r>
    </w:p>
    <w:p>
      <w:pPr>
        <w:snapToGrid w:val="0"/>
        <w:spacing w:line="360" w:lineRule="auto"/>
        <w:ind w:firstLine="480" w:firstLineChars="200"/>
        <w:outlineLvl w:val="0"/>
        <w:rPr>
          <w:rFonts w:ascii="仿宋" w:hAnsi="仿宋" w:eastAsia="仿宋" w:cs="仿宋"/>
          <w:b/>
          <w:sz w:val="24"/>
        </w:rPr>
      </w:pPr>
      <w:r>
        <w:rPr>
          <w:rFonts w:hint="eastAsia" w:ascii="仿宋" w:hAnsi="仿宋" w:eastAsia="仿宋"/>
          <w:bCs/>
          <w:sz w:val="24"/>
        </w:rPr>
        <w:t>2.10.4受不可抗力影响的一方在不可抗力发生后，应在合同专用条款内以书面形式通知对方当事人，并在</w:t>
      </w:r>
      <w:r>
        <w:rPr>
          <w:rFonts w:hint="eastAsia" w:ascii="仿宋" w:hAnsi="仿宋" w:eastAsia="仿宋"/>
          <w:b/>
          <w:i/>
          <w:sz w:val="24"/>
          <w:u w:val="single"/>
        </w:rPr>
        <w:t>合同专用条款</w:t>
      </w:r>
      <w:r>
        <w:rPr>
          <w:rFonts w:hint="eastAsia" w:ascii="仿宋" w:hAnsi="仿宋" w:eastAsia="仿宋"/>
          <w:bCs/>
          <w:sz w:val="24"/>
        </w:rPr>
        <w:t>内，将有关部门出具的证明文件送达对方当事人。</w:t>
      </w:r>
      <w:bookmarkEnd w:id="492"/>
      <w:bookmarkEnd w:id="493"/>
      <w:bookmarkEnd w:id="494"/>
      <w:bookmarkEnd w:id="495"/>
      <w:bookmarkEnd w:id="506"/>
      <w:bookmarkEnd w:id="507"/>
      <w:bookmarkEnd w:id="508"/>
      <w:bookmarkEnd w:id="509"/>
      <w:bookmarkEnd w:id="510"/>
      <w:bookmarkEnd w:id="511"/>
      <w:bookmarkStart w:id="512" w:name="_Toc94869429"/>
      <w:bookmarkStart w:id="513" w:name="_Toc94189306"/>
      <w:bookmarkStart w:id="514" w:name="_Toc94189549"/>
      <w:r>
        <w:rPr>
          <w:rFonts w:hint="eastAsia" w:ascii="仿宋" w:hAnsi="仿宋" w:eastAsia="仿宋" w:cs="仿宋"/>
          <w:b/>
          <w:sz w:val="24"/>
        </w:rPr>
        <w:t>2.11税费</w:t>
      </w:r>
      <w:bookmarkEnd w:id="512"/>
      <w:bookmarkEnd w:id="513"/>
      <w:bookmarkEnd w:id="514"/>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pPr>
        <w:snapToGrid w:val="0"/>
        <w:spacing w:line="360" w:lineRule="auto"/>
        <w:ind w:firstLine="482" w:firstLineChars="200"/>
        <w:outlineLvl w:val="0"/>
        <w:rPr>
          <w:rFonts w:ascii="仿宋" w:hAnsi="仿宋" w:eastAsia="仿宋" w:cs="仿宋"/>
          <w:b/>
          <w:sz w:val="24"/>
        </w:rPr>
      </w:pPr>
      <w:bookmarkStart w:id="515" w:name="_Toc279701258"/>
      <w:bookmarkStart w:id="516" w:name="_Toc16959"/>
      <w:bookmarkStart w:id="517" w:name="_Toc94189550"/>
      <w:bookmarkStart w:id="518" w:name="_Toc94869430"/>
      <w:bookmarkStart w:id="519" w:name="_Toc8298"/>
      <w:bookmarkStart w:id="520" w:name="_Toc7102"/>
      <w:bookmarkStart w:id="521" w:name="_Toc259093687"/>
      <w:bookmarkStart w:id="522" w:name="_Toc94189307"/>
      <w:bookmarkStart w:id="523" w:name="_Toc487900368"/>
      <w:r>
        <w:rPr>
          <w:rFonts w:hint="eastAsia" w:ascii="仿宋" w:hAnsi="仿宋" w:eastAsia="仿宋" w:cs="仿宋"/>
          <w:b/>
          <w:sz w:val="24"/>
        </w:rPr>
        <w:t>2.12乙方破产</w:t>
      </w:r>
      <w:bookmarkEnd w:id="515"/>
      <w:bookmarkEnd w:id="516"/>
      <w:bookmarkEnd w:id="517"/>
      <w:bookmarkEnd w:id="518"/>
      <w:bookmarkEnd w:id="519"/>
      <w:bookmarkEnd w:id="520"/>
      <w:bookmarkEnd w:id="521"/>
      <w:bookmarkEnd w:id="522"/>
      <w:bookmarkEnd w:id="523"/>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360" w:lineRule="auto"/>
        <w:ind w:firstLine="482" w:firstLineChars="200"/>
        <w:outlineLvl w:val="0"/>
        <w:rPr>
          <w:rFonts w:ascii="仿宋" w:hAnsi="仿宋" w:eastAsia="仿宋" w:cs="仿宋"/>
          <w:b/>
          <w:sz w:val="24"/>
        </w:rPr>
      </w:pPr>
      <w:bookmarkStart w:id="524" w:name="_Toc94189308"/>
      <w:bookmarkStart w:id="525" w:name="_Toc15387"/>
      <w:bookmarkStart w:id="526" w:name="_Toc94189551"/>
      <w:bookmarkStart w:id="527" w:name="_Toc6134"/>
      <w:bookmarkStart w:id="528" w:name="_Toc94869431"/>
      <w:bookmarkStart w:id="529" w:name="_Toc29333"/>
      <w:r>
        <w:rPr>
          <w:rFonts w:hint="eastAsia" w:ascii="仿宋" w:hAnsi="仿宋" w:eastAsia="仿宋" w:cs="仿宋"/>
          <w:b/>
          <w:sz w:val="24"/>
        </w:rPr>
        <w:t>2.13合同中止、终止</w:t>
      </w:r>
      <w:bookmarkEnd w:id="524"/>
      <w:bookmarkEnd w:id="525"/>
      <w:bookmarkEnd w:id="526"/>
      <w:bookmarkEnd w:id="527"/>
      <w:bookmarkEnd w:id="528"/>
      <w:bookmarkEnd w:id="529"/>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2.13.1双方当事人不得擅自中止或者终止合同；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2.13.2合同继续履行将损害国家利益和社会公共利益的，双方当事人应当中止或者终止合同。有过错的一方应当承担赔偿责任，双方当事人都有过错的，各自承担相应的责任。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82" w:firstLineChars="200"/>
        <w:outlineLvl w:val="0"/>
        <w:rPr>
          <w:rFonts w:ascii="仿宋" w:hAnsi="仿宋" w:eastAsia="仿宋" w:cs="仿宋"/>
          <w:b/>
          <w:sz w:val="24"/>
        </w:rPr>
      </w:pPr>
      <w:bookmarkStart w:id="530" w:name="_Toc14563"/>
      <w:bookmarkStart w:id="531" w:name="_Toc1125"/>
      <w:bookmarkStart w:id="532" w:name="_Toc94869432"/>
      <w:bookmarkStart w:id="533" w:name="_Toc94189309"/>
      <w:bookmarkStart w:id="534" w:name="_Toc6596"/>
      <w:bookmarkStart w:id="535" w:name="_Toc94189552"/>
      <w:r>
        <w:rPr>
          <w:rFonts w:hint="eastAsia" w:ascii="仿宋" w:hAnsi="仿宋" w:eastAsia="仿宋" w:cs="仿宋"/>
          <w:b/>
          <w:sz w:val="24"/>
        </w:rPr>
        <w:t>2.14检验和验收</w:t>
      </w:r>
      <w:bookmarkEnd w:id="530"/>
      <w:bookmarkEnd w:id="531"/>
      <w:bookmarkEnd w:id="532"/>
      <w:bookmarkEnd w:id="533"/>
      <w:bookmarkEnd w:id="534"/>
      <w:bookmarkEnd w:id="535"/>
    </w:p>
    <w:p>
      <w:pPr>
        <w:tabs>
          <w:tab w:val="left" w:pos="360"/>
          <w:tab w:val="left" w:pos="540"/>
          <w:tab w:val="left" w:pos="108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2.14.1服务期间，乙方在</w:t>
      </w:r>
      <w:r>
        <w:rPr>
          <w:rFonts w:hint="eastAsia" w:ascii="仿宋" w:hAnsi="仿宋" w:eastAsia="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仿宋" w:hAnsi="仿宋" w:eastAsia="仿宋" w:cs="仿宋"/>
          <w:sz w:val="24"/>
        </w:rPr>
      </w:pPr>
      <w:r>
        <w:rPr>
          <w:rFonts w:hint="eastAsia" w:ascii="仿宋" w:hAnsi="仿宋" w:eastAsia="仿宋" w:cs="仿宋"/>
          <w:sz w:val="24"/>
        </w:rPr>
        <w:t>2.14.3检验和验收标准、程序等具体内容以及前述验收书的效力</w:t>
      </w:r>
      <w:bookmarkStart w:id="536" w:name="_Toc487900371"/>
      <w:bookmarkStart w:id="537" w:name="_Toc259093690"/>
      <w:bookmarkStart w:id="538" w:name="_Toc279701261"/>
      <w:bookmarkStart w:id="539" w:name="_Toc94189310"/>
      <w:bookmarkStart w:id="540" w:name="_Toc25182"/>
      <w:bookmarkStart w:id="541" w:name="_Toc19604"/>
      <w:bookmarkStart w:id="542" w:name="_Toc94189553"/>
      <w:bookmarkStart w:id="543" w:name="_Toc11284"/>
      <w:r>
        <w:rPr>
          <w:rFonts w:hint="eastAsia"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i/>
          <w:sz w:val="24"/>
        </w:rPr>
        <w:t>。</w:t>
      </w:r>
    </w:p>
    <w:p>
      <w:pPr>
        <w:tabs>
          <w:tab w:val="left" w:pos="360"/>
          <w:tab w:val="left" w:pos="540"/>
          <w:tab w:val="left" w:pos="1080"/>
        </w:tabs>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2.15通知</w:t>
      </w:r>
      <w:bookmarkEnd w:id="536"/>
      <w:bookmarkEnd w:id="537"/>
      <w:bookmarkEnd w:id="538"/>
      <w:r>
        <w:rPr>
          <w:rFonts w:hint="eastAsia" w:ascii="仿宋" w:hAnsi="仿宋" w:eastAsia="仿宋" w:cs="仿宋"/>
          <w:b/>
          <w:sz w:val="24"/>
        </w:rPr>
        <w:t>和送达</w:t>
      </w:r>
      <w:bookmarkEnd w:id="539"/>
      <w:bookmarkEnd w:id="540"/>
      <w:bookmarkEnd w:id="541"/>
      <w:bookmarkEnd w:id="542"/>
      <w:bookmarkEnd w:id="543"/>
    </w:p>
    <w:p>
      <w:pPr>
        <w:snapToGrid w:val="0"/>
        <w:spacing w:line="360" w:lineRule="auto"/>
        <w:ind w:firstLine="480" w:firstLineChars="200"/>
        <w:rPr>
          <w:rFonts w:ascii="仿宋" w:hAnsi="仿宋" w:eastAsia="仿宋" w:cs="仿宋"/>
          <w:sz w:val="24"/>
        </w:rPr>
      </w:pPr>
      <w:bookmarkStart w:id="544" w:name="_Toc3135"/>
      <w:bookmarkStart w:id="545" w:name="_Toc6698"/>
      <w:bookmarkStart w:id="546" w:name="_Toc487900372"/>
      <w:bookmarkStart w:id="547" w:name="_Toc279701262"/>
      <w:bookmarkStart w:id="548" w:name="_Toc259093691"/>
      <w:r>
        <w:rPr>
          <w:rFonts w:hint="eastAsia" w:ascii="仿宋" w:hAnsi="仿宋" w:eastAsia="仿宋" w:cs="仿宋"/>
          <w:sz w:val="24"/>
        </w:rPr>
        <w:t>2.15.1任何一方因履行合同而以合同第一部分尾部所列明的传真或电子邮件发出的所有通知、文件、材料，均视为已向对方当事人送达；任何一方变更上述送达方式或者地址的，应于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44"/>
      <w:bookmarkEnd w:id="545"/>
    </w:p>
    <w:p>
      <w:pPr>
        <w:snapToGrid w:val="0"/>
        <w:spacing w:line="360" w:lineRule="auto"/>
        <w:ind w:firstLine="480" w:firstLineChars="200"/>
        <w:rPr>
          <w:rFonts w:ascii="仿宋" w:hAnsi="仿宋" w:eastAsia="仿宋" w:cs="仿宋"/>
          <w:sz w:val="24"/>
        </w:rPr>
      </w:pPr>
      <w:bookmarkStart w:id="549" w:name="_Toc23294"/>
      <w:bookmarkStart w:id="550" w:name="_Toc23128"/>
      <w:r>
        <w:rPr>
          <w:rFonts w:hint="eastAsia" w:ascii="仿宋" w:hAnsi="仿宋" w:eastAsia="仿宋" w:cs="仿宋"/>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9"/>
      <w:bookmarkEnd w:id="550"/>
    </w:p>
    <w:p>
      <w:pPr>
        <w:snapToGrid w:val="0"/>
        <w:spacing w:line="360" w:lineRule="auto"/>
        <w:ind w:firstLine="482" w:firstLineChars="200"/>
        <w:outlineLvl w:val="0"/>
        <w:rPr>
          <w:rFonts w:ascii="仿宋" w:hAnsi="仿宋" w:eastAsia="仿宋" w:cs="仿宋"/>
          <w:b/>
          <w:sz w:val="24"/>
        </w:rPr>
      </w:pPr>
      <w:bookmarkStart w:id="551" w:name="_Toc94189554"/>
      <w:bookmarkStart w:id="552" w:name="_Toc94189311"/>
      <w:bookmarkStart w:id="553" w:name="_Toc94869433"/>
      <w:bookmarkStart w:id="554" w:name="_Toc18540"/>
      <w:bookmarkStart w:id="555" w:name="_Toc30599"/>
      <w:bookmarkStart w:id="556" w:name="_Toc4355"/>
      <w:r>
        <w:rPr>
          <w:rFonts w:hint="eastAsia" w:ascii="仿宋" w:hAnsi="仿宋" w:eastAsia="仿宋" w:cs="仿宋"/>
          <w:b/>
          <w:sz w:val="24"/>
        </w:rPr>
        <w:t>2.16计量单位</w:t>
      </w:r>
      <w:bookmarkEnd w:id="546"/>
      <w:bookmarkEnd w:id="547"/>
      <w:bookmarkEnd w:id="548"/>
      <w:bookmarkEnd w:id="551"/>
      <w:bookmarkEnd w:id="552"/>
      <w:bookmarkEnd w:id="553"/>
      <w:bookmarkEnd w:id="554"/>
      <w:bookmarkEnd w:id="555"/>
      <w:bookmarkEnd w:id="556"/>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napToGrid w:val="0"/>
        <w:spacing w:line="360" w:lineRule="auto"/>
        <w:ind w:firstLine="482" w:firstLineChars="200"/>
        <w:outlineLvl w:val="0"/>
        <w:rPr>
          <w:rFonts w:ascii="仿宋" w:hAnsi="仿宋" w:eastAsia="仿宋" w:cs="仿宋"/>
          <w:b/>
          <w:sz w:val="24"/>
        </w:rPr>
      </w:pPr>
      <w:bookmarkStart w:id="557" w:name="_Toc94869434"/>
      <w:bookmarkStart w:id="558" w:name="_Toc12773"/>
      <w:bookmarkStart w:id="559" w:name="_Toc10330"/>
      <w:bookmarkStart w:id="560" w:name="_Toc259093692"/>
      <w:bookmarkStart w:id="561" w:name="_Toc487900373"/>
      <w:bookmarkStart w:id="562" w:name="_Toc94189555"/>
      <w:bookmarkStart w:id="563" w:name="_Toc18567"/>
      <w:bookmarkStart w:id="564" w:name="_Toc94189312"/>
      <w:bookmarkStart w:id="565" w:name="_Toc279701263"/>
      <w:r>
        <w:rPr>
          <w:rFonts w:hint="eastAsia" w:ascii="仿宋" w:hAnsi="仿宋" w:eastAsia="仿宋" w:cs="仿宋"/>
          <w:b/>
          <w:sz w:val="24"/>
        </w:rPr>
        <w:t>2.17合同使用的文字和适用的法律</w:t>
      </w:r>
      <w:bookmarkEnd w:id="557"/>
      <w:bookmarkEnd w:id="558"/>
      <w:bookmarkEnd w:id="559"/>
      <w:bookmarkEnd w:id="560"/>
      <w:bookmarkEnd w:id="561"/>
      <w:bookmarkEnd w:id="562"/>
      <w:bookmarkEnd w:id="563"/>
      <w:bookmarkEnd w:id="564"/>
      <w:bookmarkEnd w:id="565"/>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2.17.1合同使用汉语书就、变更和解释；</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2.17.2合同适用中华人民共和国法律。</w:t>
      </w:r>
    </w:p>
    <w:p>
      <w:pPr>
        <w:snapToGrid w:val="0"/>
        <w:spacing w:line="360" w:lineRule="auto"/>
        <w:ind w:firstLine="482" w:firstLineChars="200"/>
        <w:outlineLvl w:val="0"/>
        <w:rPr>
          <w:rFonts w:ascii="仿宋" w:hAnsi="仿宋" w:eastAsia="仿宋" w:cs="仿宋"/>
          <w:b/>
          <w:sz w:val="24"/>
        </w:rPr>
      </w:pPr>
      <w:bookmarkStart w:id="566" w:name="_Toc3148"/>
      <w:bookmarkStart w:id="567" w:name="_Toc12004"/>
      <w:bookmarkStart w:id="568" w:name="_Toc94869435"/>
      <w:bookmarkStart w:id="569" w:name="_Toc94189556"/>
      <w:bookmarkStart w:id="570" w:name="_Toc16673"/>
      <w:bookmarkStart w:id="571" w:name="_Toc259093693"/>
      <w:bookmarkStart w:id="572" w:name="_Toc94189313"/>
      <w:bookmarkStart w:id="573" w:name="_Toc279701264"/>
      <w:bookmarkStart w:id="574" w:name="_Toc487900374"/>
      <w:r>
        <w:rPr>
          <w:rFonts w:hint="eastAsia" w:ascii="仿宋" w:hAnsi="仿宋" w:eastAsia="仿宋" w:cs="仿宋"/>
          <w:b/>
          <w:sz w:val="24"/>
        </w:rPr>
        <w:t>2.18履约保证金</w:t>
      </w:r>
      <w:bookmarkEnd w:id="566"/>
      <w:bookmarkEnd w:id="567"/>
      <w:bookmarkEnd w:id="568"/>
      <w:bookmarkEnd w:id="569"/>
      <w:bookmarkEnd w:id="570"/>
      <w:bookmarkEnd w:id="571"/>
      <w:bookmarkEnd w:id="572"/>
      <w:bookmarkEnd w:id="573"/>
    </w:p>
    <w:p>
      <w:pPr>
        <w:widowControl/>
        <w:spacing w:line="360" w:lineRule="auto"/>
        <w:ind w:firstLine="420"/>
        <w:jc w:val="left"/>
        <w:rPr>
          <w:rFonts w:ascii="仿宋" w:hAnsi="仿宋" w:eastAsia="仿宋" w:cs="宋体"/>
          <w:kern w:val="0"/>
          <w:sz w:val="24"/>
        </w:rPr>
      </w:pPr>
      <w:r>
        <w:rPr>
          <w:rFonts w:hint="eastAsia" w:ascii="仿宋" w:hAnsi="仿宋" w:eastAsia="仿宋" w:cs="仿宋"/>
          <w:sz w:val="24"/>
        </w:rPr>
        <w:t xml:space="preserve">2.18.1 </w:t>
      </w:r>
      <w:r>
        <w:rPr>
          <w:rFonts w:hint="eastAsia" w:ascii="仿宋" w:hAnsi="仿宋" w:eastAsia="仿宋" w:cs="宋体"/>
          <w:kern w:val="0"/>
          <w:sz w:val="24"/>
        </w:rPr>
        <w:t>采购文件要求乙方提交履约保证金的，乙方应按</w:t>
      </w:r>
      <w:r>
        <w:rPr>
          <w:rFonts w:hint="eastAsia" w:ascii="仿宋" w:hAnsi="仿宋" w:eastAsia="仿宋" w:cs="宋体"/>
          <w:b/>
          <w:i/>
          <w:kern w:val="0"/>
          <w:sz w:val="24"/>
          <w:u w:val="single"/>
        </w:rPr>
        <w:t>合同专用条款</w:t>
      </w:r>
      <w:r>
        <w:rPr>
          <w:rFonts w:hint="eastAsia" w:ascii="仿宋" w:hAnsi="仿宋" w:eastAsia="仿宋" w:cs="宋体"/>
          <w:kern w:val="0"/>
          <w:sz w:val="24"/>
        </w:rPr>
        <w:t>约定的方式，以支票、汇票、本票或者金融机构、担保机构出具的保函等非现金形式，提交不超过合同金额</w:t>
      </w:r>
      <w:r>
        <w:rPr>
          <w:rFonts w:ascii="仿宋" w:hAnsi="仿宋" w:eastAsia="仿宋" w:cs="宋体"/>
          <w:kern w:val="0"/>
          <w:sz w:val="24"/>
        </w:rPr>
        <w:t>2.5%的履约保证金；鼓励和支持乙方以保函形式提供履约保证。</w:t>
      </w:r>
    </w:p>
    <w:p>
      <w:pPr>
        <w:widowControl/>
        <w:spacing w:line="360" w:lineRule="auto"/>
        <w:ind w:firstLine="420"/>
        <w:jc w:val="left"/>
        <w:rPr>
          <w:rFonts w:ascii="仿宋" w:hAnsi="仿宋" w:eastAsia="仿宋" w:cs="宋体"/>
          <w:kern w:val="0"/>
          <w:sz w:val="24"/>
        </w:rPr>
      </w:pPr>
      <w:r>
        <w:rPr>
          <w:rFonts w:hint="eastAsia" w:ascii="仿宋" w:hAnsi="仿宋" w:eastAsia="仿宋" w:cs="仿宋"/>
          <w:sz w:val="24"/>
        </w:rPr>
        <w:t>2.18.2</w:t>
      </w:r>
      <w:r>
        <w:rPr>
          <w:rFonts w:hint="eastAsia" w:ascii="仿宋" w:hAnsi="仿宋" w:eastAsia="仿宋" w:cs="宋体"/>
          <w:kern w:val="0"/>
          <w:sz w:val="24"/>
        </w:rPr>
        <w:t>履约保证金在</w:t>
      </w:r>
      <w:r>
        <w:rPr>
          <w:rFonts w:hint="eastAsia" w:ascii="仿宋" w:hAnsi="仿宋" w:eastAsia="仿宋" w:cs="宋体"/>
          <w:b/>
          <w:i/>
          <w:kern w:val="0"/>
          <w:sz w:val="24"/>
          <w:u w:val="single"/>
        </w:rPr>
        <w:t>合同专用条款</w:t>
      </w:r>
      <w:r>
        <w:rPr>
          <w:rFonts w:hint="eastAsia" w:ascii="仿宋" w:hAnsi="仿宋" w:eastAsia="仿宋" w:cs="宋体"/>
          <w:kern w:val="0"/>
          <w:sz w:val="24"/>
        </w:rPr>
        <w:t>约定期间内不予退还。乙方在前述约定期间届满前能履行完合同约定义务事项的，甲方在前述约定期间届满之日起</w:t>
      </w:r>
      <w:r>
        <w:rPr>
          <w:rFonts w:ascii="仿宋" w:hAnsi="仿宋" w:eastAsia="仿宋" w:cs="宋体"/>
          <w:kern w:val="0"/>
          <w:sz w:val="24"/>
        </w:rPr>
        <w:t>5</w:t>
      </w:r>
      <w:r>
        <w:rPr>
          <w:rFonts w:hint="eastAsia" w:ascii="仿宋" w:hAnsi="仿宋" w:eastAsia="仿宋" w:cs="宋体"/>
          <w:kern w:val="0"/>
          <w:sz w:val="24"/>
        </w:rPr>
        <w:t>个工作日内，按</w:t>
      </w:r>
      <w:r>
        <w:rPr>
          <w:rFonts w:hint="eastAsia" w:ascii="仿宋" w:hAnsi="仿宋" w:eastAsia="仿宋" w:cs="宋体"/>
          <w:b/>
          <w:i/>
          <w:kern w:val="0"/>
          <w:sz w:val="24"/>
          <w:u w:val="single"/>
        </w:rPr>
        <w:t>合同专用条款</w:t>
      </w:r>
      <w:r>
        <w:rPr>
          <w:rFonts w:hint="eastAsia" w:ascii="仿宋" w:hAnsi="仿宋" w:eastAsia="仿宋" w:cs="宋体"/>
          <w:kern w:val="0"/>
          <w:sz w:val="24"/>
        </w:rPr>
        <w:t>约定的方式将履约保证金退还乙方，逾期退还的，乙方可要求甲方支付违约金，违约金按每迟延退还一日的应退还而未退还金额的</w:t>
      </w:r>
      <w:r>
        <w:rPr>
          <w:rFonts w:ascii="仿宋" w:hAnsi="仿宋" w:eastAsia="仿宋" w:cs="宋体"/>
          <w:kern w:val="0"/>
          <w:sz w:val="24"/>
        </w:rPr>
        <w:t>0.05%计算，最高限额为本合同履约保证金的20%</w:t>
      </w:r>
      <w:r>
        <w:rPr>
          <w:rFonts w:hint="eastAsia" w:ascii="仿宋" w:hAnsi="仿宋" w:eastAsia="仿宋" w:cs="宋体"/>
          <w:kern w:val="0"/>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2.18.3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2.18.4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74"/>
    <w:p>
      <w:pPr>
        <w:snapToGrid w:val="0"/>
        <w:spacing w:line="360" w:lineRule="auto"/>
        <w:ind w:firstLine="480" w:firstLineChars="200"/>
        <w:outlineLvl w:val="0"/>
        <w:rPr>
          <w:rFonts w:ascii="仿宋" w:hAnsi="仿宋" w:eastAsia="仿宋" w:cs="仿宋"/>
          <w:sz w:val="24"/>
        </w:rPr>
      </w:pPr>
      <w:bookmarkStart w:id="575" w:name="_Toc94869436"/>
      <w:bookmarkStart w:id="576" w:name="_Toc94189314"/>
      <w:bookmarkStart w:id="577" w:name="_Toc19890"/>
      <w:bookmarkStart w:id="578" w:name="_Toc14001"/>
      <w:bookmarkStart w:id="579" w:name="_Toc94189557"/>
      <w:bookmarkStart w:id="580" w:name="_Toc6885"/>
      <w:r>
        <w:rPr>
          <w:rFonts w:hint="eastAsia" w:ascii="仿宋" w:hAnsi="仿宋" w:eastAsia="仿宋" w:cs="仿宋"/>
          <w:sz w:val="24"/>
        </w:rPr>
        <w:t>2.18.5 甲方根据杭州市政府采购网公布的供应商履约评价情况减免履约保证金。乙方履约验收评价总分为100分的，甲方免收履约保证金；评价总分在90分（含）以上的，收取履约保证金为合同金额2%；评价总分在不满90分或者暂无评分的，收取履约保证金为合同金额2.5%。</w:t>
      </w:r>
      <w:bookmarkEnd w:id="575"/>
    </w:p>
    <w:p>
      <w:pPr>
        <w:snapToGrid w:val="0"/>
        <w:spacing w:line="360" w:lineRule="auto"/>
        <w:ind w:firstLine="480" w:firstLineChars="200"/>
        <w:outlineLvl w:val="0"/>
        <w:rPr>
          <w:rFonts w:ascii="仿宋" w:hAnsi="仿宋" w:eastAsia="仿宋" w:cs="仿宋"/>
          <w:sz w:val="24"/>
        </w:rPr>
      </w:pPr>
      <w:bookmarkStart w:id="581" w:name="_Toc94869437"/>
      <w:r>
        <w:rPr>
          <w:rFonts w:hint="eastAsia" w:ascii="仿宋" w:hAnsi="仿宋" w:eastAsia="仿宋" w:cs="仿宋"/>
          <w:sz w:val="24"/>
        </w:rPr>
        <w:t>2.18.6甲方在乙方履行完合同约定义务事项后及时退还，延迟退还的，应当按照合同约定和法律规定承担相应的赔偿责任。</w:t>
      </w:r>
      <w:bookmarkEnd w:id="581"/>
    </w:p>
    <w:p>
      <w:pPr>
        <w:snapToGrid w:val="0"/>
        <w:spacing w:line="360" w:lineRule="auto"/>
        <w:ind w:firstLine="480" w:firstLineChars="200"/>
        <w:outlineLvl w:val="0"/>
        <w:rPr>
          <w:rFonts w:ascii="仿宋" w:hAnsi="仿宋" w:eastAsia="仿宋" w:cs="仿宋"/>
          <w:sz w:val="24"/>
        </w:rPr>
      </w:pPr>
      <w:bookmarkStart w:id="582" w:name="_Toc94869438"/>
      <w:r>
        <w:rPr>
          <w:rFonts w:hint="eastAsia" w:ascii="仿宋" w:hAnsi="仿宋" w:eastAsia="仿宋" w:cs="仿宋"/>
          <w:sz w:val="24"/>
        </w:rPr>
        <w:t>2.19对于因甲方原因导致变更、中止或者终止政府采购合同的，甲方应当依照合同约定对供应商受到的损失予以赔偿或者补偿。</w:t>
      </w:r>
      <w:bookmarkEnd w:id="582"/>
    </w:p>
    <w:p>
      <w:pPr>
        <w:spacing w:line="560" w:lineRule="exact"/>
        <w:ind w:firstLine="482" w:firstLineChars="200"/>
        <w:rPr>
          <w:rFonts w:ascii="仿宋" w:hAnsi="仿宋" w:eastAsia="仿宋" w:cs="仿宋"/>
          <w:b/>
          <w:sz w:val="24"/>
        </w:rPr>
      </w:pPr>
      <w:r>
        <w:rPr>
          <w:rFonts w:hint="eastAsia" w:ascii="仿宋" w:hAnsi="仿宋" w:eastAsia="仿宋" w:cs="仿宋"/>
          <w:b/>
          <w:sz w:val="24"/>
        </w:rPr>
        <w:t>2.20合同份数</w:t>
      </w:r>
      <w:bookmarkEnd w:id="576"/>
      <w:bookmarkEnd w:id="577"/>
      <w:bookmarkEnd w:id="578"/>
      <w:bookmarkEnd w:id="579"/>
      <w:bookmarkEnd w:id="580"/>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699"/>
        <w:spacing w:line="560" w:lineRule="exact"/>
        <w:jc w:val="center"/>
        <w:rPr>
          <w:rFonts w:ascii="仿宋" w:hAnsi="仿宋" w:eastAsia="仿宋"/>
          <w:b/>
          <w:szCs w:val="24"/>
        </w:rPr>
      </w:pPr>
      <w:r>
        <w:rPr>
          <w:rFonts w:ascii="仿宋" w:hAnsi="仿宋" w:eastAsia="仿宋" w:cstheme="minorBidi"/>
          <w:kern w:val="0"/>
          <w:szCs w:val="24"/>
        </w:rPr>
        <w:br w:type="page"/>
      </w:r>
      <w:bookmarkStart w:id="583" w:name="_Toc331685784"/>
      <w:bookmarkEnd w:id="583"/>
      <w:r>
        <w:rPr>
          <w:rFonts w:hint="eastAsia" w:ascii="仿宋" w:hAnsi="仿宋" w:eastAsia="仿宋"/>
          <w:b/>
          <w:szCs w:val="24"/>
        </w:rPr>
        <w:t>第三部分合同专用条款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napToGrid w:val="0"/>
        <w:spacing w:line="360" w:lineRule="auto"/>
        <w:ind w:left="-420" w:leftChars="-200" w:right="-420" w:rightChars="-200" w:firstLine="960" w:firstLineChars="400"/>
        <w:rPr>
          <w:rFonts w:ascii="仿宋" w:hAnsi="仿宋" w:eastAsia="仿宋" w:cs="仿宋"/>
          <w:sz w:val="24"/>
        </w:rPr>
      </w:pPr>
      <w:r>
        <w:rPr>
          <w:rFonts w:hint="eastAsia" w:ascii="仿宋" w:hAnsi="仿宋" w:eastAsia="仿宋" w:cs="仿宋"/>
          <w:sz w:val="24"/>
        </w:rPr>
        <w:t>1.4.</w:t>
      </w:r>
      <w:r>
        <w:rPr>
          <w:rFonts w:ascii="仿宋" w:hAnsi="仿宋" w:eastAsia="仿宋" w:cs="仿宋"/>
          <w:sz w:val="24"/>
        </w:rPr>
        <w:t>4</w:t>
      </w:r>
      <w:r>
        <w:rPr>
          <w:rFonts w:hint="eastAsia" w:ascii="仿宋" w:hAnsi="仿宋" w:eastAsia="仿宋" w:cs="仿宋"/>
          <w:sz w:val="24"/>
        </w:rPr>
        <w:t>资金支付的方式、时间和条件：</w:t>
      </w:r>
    </w:p>
    <w:p>
      <w:pPr>
        <w:spacing w:line="360" w:lineRule="auto"/>
        <w:ind w:left="210" w:leftChars="100" w:firstLine="480" w:firstLineChars="200"/>
        <w:jc w:val="left"/>
        <w:rPr>
          <w:rFonts w:ascii="仿宋" w:hAnsi="仿宋" w:eastAsia="仿宋" w:cs="仿宋"/>
          <w:sz w:val="24"/>
        </w:rPr>
      </w:pPr>
      <w:r>
        <w:rPr>
          <w:rFonts w:hint="eastAsia" w:ascii="仿宋" w:hAnsi="仿宋" w:eastAsia="仿宋" w:cs="仿宋"/>
          <w:sz w:val="24"/>
        </w:rPr>
        <w:t>合同签订后5个工作日内，甲方按杭州市政府采购网公布的乙方履约评价情况（乙方履约验收评价总分为100分的，甲方应当免收履约保证金；评价总分在90分（含）以上的，收取履约保证金为合同金额2%；评价总分在90分以下或者暂无评分的，收取履约保证金为合同金额2.5%）缴纳履约保证金，甲方凭乙方开具的正规发票支付2022年安排预算的70%；</w:t>
      </w:r>
    </w:p>
    <w:p>
      <w:pPr>
        <w:spacing w:line="360" w:lineRule="auto"/>
        <w:ind w:left="210" w:leftChars="100" w:firstLine="480" w:firstLineChars="200"/>
        <w:jc w:val="left"/>
        <w:rPr>
          <w:rFonts w:ascii="仿宋" w:hAnsi="仿宋" w:eastAsia="仿宋" w:cs="仿宋"/>
          <w:sz w:val="24"/>
        </w:rPr>
      </w:pPr>
      <w:r>
        <w:rPr>
          <w:rFonts w:hint="eastAsia" w:ascii="仿宋" w:hAnsi="仿宋" w:eastAsia="仿宋" w:cs="仿宋"/>
          <w:sz w:val="24"/>
        </w:rPr>
        <w:t>服务至2022年11月30日，甲方委托采购代理机构组织验收，通过验收后，凭双方签字盖章的验收意见、验收小组签字的验收报告、每月考核表（甲方经办人、审核人、乙方签字盖章）、人员清单、每日人员考勤表（甲方经办人、审核人、乙方签字盖章）、每月人员社保缴纳清单等相关资料，按合同单价、实际服务人数及服务时间进行结算，最多支付至85.2万元（85.2万元已含甲方向乙方支付的第一期合同价款）；</w:t>
      </w:r>
    </w:p>
    <w:p>
      <w:pPr>
        <w:spacing w:line="360" w:lineRule="auto"/>
        <w:ind w:left="210" w:leftChars="100" w:firstLine="480" w:firstLineChars="200"/>
        <w:jc w:val="left"/>
        <w:rPr>
          <w:rFonts w:ascii="仿宋" w:hAnsi="仿宋" w:eastAsia="仿宋" w:cs="仿宋"/>
          <w:sz w:val="24"/>
        </w:rPr>
      </w:pPr>
      <w:r>
        <w:rPr>
          <w:rFonts w:hint="eastAsia" w:ascii="仿宋" w:hAnsi="仿宋" w:eastAsia="仿宋" w:cs="仿宋"/>
          <w:sz w:val="24"/>
        </w:rPr>
        <w:t>服务至2023年3月31日，甲方委托采购代理机构组织验收，通过验收后，凭双方签字盖章的验收意见、验收小组签字的验收报告、每月考核表（甲方经办人、审核人、乙方签字盖章）、人员清单、每日人员考勤表（甲方经办人、审核人、乙方签字盖章）、每月人员社保缴纳清单等相关资料，按合同单价、实际服务人数及服务时间进行结算。</w:t>
      </w:r>
    </w:p>
    <w:p>
      <w:pPr>
        <w:spacing w:line="360" w:lineRule="auto"/>
        <w:ind w:left="210" w:leftChars="100" w:firstLine="480" w:firstLineChars="200"/>
        <w:jc w:val="left"/>
        <w:rPr>
          <w:rFonts w:ascii="仿宋" w:hAnsi="仿宋" w:eastAsia="仿宋" w:cs="仿宋"/>
          <w:sz w:val="24"/>
        </w:rPr>
      </w:pPr>
      <w:r>
        <w:rPr>
          <w:rFonts w:hint="eastAsia" w:ascii="仿宋" w:hAnsi="仿宋" w:eastAsia="仿宋" w:cs="仿宋"/>
          <w:sz w:val="24"/>
        </w:rPr>
        <w:t>服务期结束，通过验收后，凭双方签字盖章的验收意见、验收小组签字的验收报告、每月考核表（甲方经办人、审核人、乙方签字盖章）、人员清单及每日人员考勤表（甲方经办人、审核人、乙方签字盖章）、每月人员社保缴纳清单及公示截图等相关资料，按合同单价、实际服务人数及服务时间，按实结算，同时扣除乙方应向甲方支付的违约金。服务期满，通过验收，甲方无息归还履约保证金。</w:t>
      </w:r>
    </w:p>
    <w:p>
      <w:pPr>
        <w:spacing w:line="360" w:lineRule="auto"/>
        <w:ind w:left="210" w:leftChars="100"/>
        <w:jc w:val="left"/>
        <w:rPr>
          <w:rFonts w:ascii="仿宋" w:hAnsi="仿宋" w:eastAsia="仿宋" w:cs="仿宋"/>
          <w:sz w:val="24"/>
          <w:lang w:val="zh-CN"/>
        </w:rPr>
      </w:pPr>
      <w:r>
        <w:rPr>
          <w:rFonts w:hint="eastAsia" w:ascii="仿宋" w:hAnsi="仿宋" w:eastAsia="仿宋" w:cs="仿宋"/>
          <w:sz w:val="24"/>
          <w:lang w:val="zh-CN"/>
        </w:rPr>
        <w:t>双方确认，</w:t>
      </w:r>
      <w:r>
        <w:rPr>
          <w:rFonts w:hint="eastAsia" w:ascii="仿宋" w:hAnsi="仿宋" w:eastAsia="仿宋" w:cs="仿宋"/>
          <w:sz w:val="24"/>
        </w:rPr>
        <w:t>甲方</w:t>
      </w:r>
      <w:r>
        <w:rPr>
          <w:rFonts w:hint="eastAsia" w:ascii="仿宋" w:hAnsi="仿宋" w:eastAsia="仿宋" w:cs="仿宋"/>
          <w:sz w:val="24"/>
          <w:lang w:val="zh-CN"/>
        </w:rPr>
        <w:t>按前款结算并向</w:t>
      </w:r>
      <w:r>
        <w:rPr>
          <w:rFonts w:hint="eastAsia" w:ascii="仿宋" w:hAnsi="仿宋" w:eastAsia="仿宋" w:cs="仿宋"/>
          <w:sz w:val="24"/>
        </w:rPr>
        <w:t>乙方</w:t>
      </w:r>
      <w:r>
        <w:rPr>
          <w:rFonts w:hint="eastAsia" w:ascii="仿宋" w:hAnsi="仿宋" w:eastAsia="仿宋" w:cs="仿宋"/>
          <w:sz w:val="24"/>
          <w:lang w:val="zh-CN"/>
        </w:rPr>
        <w:t>支付的款项总额不超过合同总价。前述</w:t>
      </w:r>
      <w:r>
        <w:rPr>
          <w:rFonts w:hint="eastAsia" w:ascii="仿宋" w:hAnsi="仿宋" w:eastAsia="仿宋" w:cs="仿宋"/>
          <w:sz w:val="24"/>
        </w:rPr>
        <w:t>甲方</w:t>
      </w:r>
      <w:r>
        <w:rPr>
          <w:rFonts w:hint="eastAsia" w:ascii="仿宋" w:hAnsi="仿宋" w:eastAsia="仿宋" w:cs="仿宋"/>
          <w:sz w:val="24"/>
          <w:lang w:val="zh-CN"/>
        </w:rPr>
        <w:t>按乙方实际履行情况结算付款的方式不影响</w:t>
      </w:r>
      <w:r>
        <w:rPr>
          <w:rFonts w:hint="eastAsia" w:ascii="仿宋" w:hAnsi="仿宋" w:eastAsia="仿宋" w:cs="仿宋"/>
          <w:sz w:val="24"/>
        </w:rPr>
        <w:t>甲方</w:t>
      </w:r>
      <w:r>
        <w:rPr>
          <w:rFonts w:hint="eastAsia" w:ascii="仿宋" w:hAnsi="仿宋" w:eastAsia="仿宋" w:cs="仿宋"/>
          <w:sz w:val="24"/>
          <w:lang w:val="zh-CN"/>
        </w:rPr>
        <w:t>向</w:t>
      </w:r>
      <w:r>
        <w:rPr>
          <w:rFonts w:hint="eastAsia" w:ascii="仿宋" w:hAnsi="仿宋" w:eastAsia="仿宋" w:cs="仿宋"/>
          <w:sz w:val="24"/>
        </w:rPr>
        <w:t>乙方</w:t>
      </w:r>
      <w:r>
        <w:rPr>
          <w:rFonts w:hint="eastAsia" w:ascii="仿宋" w:hAnsi="仿宋" w:eastAsia="仿宋" w:cs="仿宋"/>
          <w:sz w:val="24"/>
          <w:lang w:val="zh-CN"/>
        </w:rPr>
        <w:t>再行收取因投标人未全面按照合同约定履行而产生的违约金。</w:t>
      </w:r>
    </w:p>
    <w:p>
      <w:pPr>
        <w:spacing w:line="360" w:lineRule="auto"/>
        <w:ind w:left="210" w:leftChars="100"/>
        <w:jc w:val="left"/>
        <w:rPr>
          <w:rFonts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除满足前述约定的付款条件外，以上款项的支付均需在甲方收到乙方正规发票后，按财政及甲方规定办理完成相关手续后5个工作日内甲方方有义务予以支付。）</w:t>
      </w:r>
    </w:p>
    <w:p>
      <w:pPr>
        <w:snapToGrid w:val="0"/>
        <w:spacing w:line="360" w:lineRule="auto"/>
        <w:outlineLvl w:val="0"/>
        <w:rPr>
          <w:rFonts w:ascii="仿宋" w:hAnsi="仿宋" w:eastAsia="仿宋"/>
          <w:sz w:val="24"/>
        </w:rPr>
      </w:pPr>
      <w:r>
        <w:rPr>
          <w:rFonts w:hint="eastAsia" w:ascii="仿宋" w:hAnsi="仿宋" w:eastAsia="仿宋"/>
          <w:sz w:val="24"/>
        </w:rPr>
        <w:t>1.5.1 服务期限：2022年7月1日至2023年6月30日。</w:t>
      </w:r>
    </w:p>
    <w:p>
      <w:pPr>
        <w:spacing w:line="360" w:lineRule="auto"/>
        <w:ind w:left="-420" w:leftChars="-200" w:right="-420" w:rightChars="-200" w:firstLine="480" w:firstLineChars="200"/>
        <w:jc w:val="left"/>
        <w:outlineLvl w:val="0"/>
        <w:rPr>
          <w:rFonts w:ascii="仿宋" w:hAnsi="仿宋" w:eastAsia="仿宋" w:cs="仿宋"/>
          <w:sz w:val="24"/>
        </w:rPr>
      </w:pPr>
      <w:bookmarkStart w:id="584" w:name="_Toc94869445"/>
      <w:r>
        <w:rPr>
          <w:rFonts w:ascii="仿宋" w:hAnsi="仿宋" w:eastAsia="仿宋" w:cs="仿宋"/>
          <w:sz w:val="24"/>
        </w:rPr>
        <w:t xml:space="preserve">1.5.2 </w:t>
      </w:r>
      <w:r>
        <w:rPr>
          <w:rFonts w:hint="eastAsia" w:ascii="仿宋" w:hAnsi="仿宋" w:eastAsia="仿宋" w:cs="仿宋"/>
          <w:sz w:val="24"/>
        </w:rPr>
        <w:t>服务地点：</w:t>
      </w:r>
      <w:bookmarkEnd w:id="584"/>
      <w:bookmarkStart w:id="585" w:name="_Toc94869446"/>
      <w:r>
        <w:rPr>
          <w:rFonts w:hint="eastAsia" w:ascii="仿宋" w:hAnsi="仿宋" w:eastAsia="仿宋" w:cs="仿宋"/>
          <w:sz w:val="24"/>
        </w:rPr>
        <w:t>杭州市公安局地铁公安分局辖区翁梅站***、打铁关站***、特警大队、湘湖站***、市民中心站***、下沙江滨站***、杜甫村站***、双浦站***、姑娘桥站***、九州街站***民警食堂。</w:t>
      </w:r>
    </w:p>
    <w:p>
      <w:pPr>
        <w:spacing w:line="360" w:lineRule="auto"/>
        <w:ind w:left="-420" w:leftChars="-200" w:right="-420" w:rightChars="-200" w:firstLine="480" w:firstLineChars="200"/>
        <w:jc w:val="left"/>
        <w:outlineLvl w:val="0"/>
        <w:rPr>
          <w:rFonts w:ascii="仿宋" w:hAnsi="仿宋" w:eastAsia="仿宋" w:cs="仿宋"/>
          <w:sz w:val="24"/>
        </w:rPr>
      </w:pPr>
      <w:r>
        <w:rPr>
          <w:rFonts w:ascii="仿宋" w:hAnsi="仿宋" w:eastAsia="仿宋" w:cs="仿宋"/>
          <w:sz w:val="24"/>
        </w:rPr>
        <w:t xml:space="preserve">1.5.3 </w:t>
      </w:r>
      <w:bookmarkEnd w:id="585"/>
      <w:r>
        <w:rPr>
          <w:rFonts w:hint="eastAsia" w:ascii="仿宋" w:hAnsi="仿宋" w:eastAsia="仿宋" w:cs="仿宋"/>
          <w:sz w:val="24"/>
        </w:rPr>
        <w:t>交付方式：现场交付</w:t>
      </w:r>
    </w:p>
    <w:p>
      <w:pPr>
        <w:snapToGrid w:val="0"/>
        <w:spacing w:line="360" w:lineRule="auto"/>
        <w:outlineLvl w:val="0"/>
        <w:rPr>
          <w:rFonts w:ascii="仿宋" w:hAnsi="仿宋" w:eastAsia="仿宋" w:cs="仿宋"/>
          <w:sz w:val="24"/>
        </w:rPr>
      </w:pPr>
      <w:bookmarkStart w:id="586" w:name="_Toc94869447"/>
      <w:r>
        <w:rPr>
          <w:rFonts w:ascii="仿宋" w:hAnsi="仿宋" w:eastAsia="仿宋" w:cs="仿宋"/>
          <w:sz w:val="24"/>
        </w:rPr>
        <w:t>1.6.7违约责任</w:t>
      </w:r>
      <w:r>
        <w:rPr>
          <w:rFonts w:hint="eastAsia" w:ascii="仿宋" w:hAnsi="仿宋" w:eastAsia="仿宋" w:cs="仿宋"/>
          <w:sz w:val="24"/>
        </w:rPr>
        <w:t>：</w:t>
      </w:r>
      <w:bookmarkEnd w:id="586"/>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1.6.7.1乙方应完全按照甲方招标文件的要求和乙方投标文件及相关文件承诺完成本项目，因乙方自身财务、技术、人力等原因导致项目风险的，应承担全部责任。</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1.6.7.2甲方有权依据有关法律法规、政府管理的相关职能规定，对本项目进行监督和检查，有权要求乙方按照监督检查情况制定相应措施并加以整改。甲方不因行使该监督和检查权而承担任何责任，也不因此减轻或免除乙方根据合同约定或相关法律法规规定应承担的任何义务或责任。</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1.6.7.3除不可抗力外，如果乙方没有按照本合同约定的期限、地点和方式提供服务，那么甲方可要求乙方支付违约金，违约金按每迟延提供服务一日的应提供而未提供服务价格的0.05%计算，最高限额为本合同总价的20%；迟延提供服务的违约金计算数额达到前述最高限额之日起，甲方有权在要求乙方支付违约金的同时，书面通知乙方解除本合同。</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1.6.7.4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1.6.7.5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服务期满，通过验收，甲方于收到乙方退还履约保证金申请之日起5个工作日内凭双方签字盖章的验收意见，退还乙方履约保证金。逾期退还的，乙方可要求甲方支付违约金，违约金按每迟延退还一日的应退还而未退还金额的0.05%计算，最高限额为本合同履约保证金的20%。</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1.6.7.6乙方擅自将本合同的全部或部分事务转由第三人承担，甲方可解除本合同，且乙方应按合同总价的30％向甲方支付违约金。如发生损失的，乙方还应赔偿甲方损失。</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1.6.7.7乙方派出人员不得在甲方从事非法活动，也不得从事有损甲方利益的活动。乙方派遣人员给甲方造成的经济损失，由乙方负责。乙方必须按实际损失予以赔偿。</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1.6.7.8乙方所有人员的事故和因乙方工作过错造成的安全管理事故，乙方自行负全部责任及相关费用。</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1.6.7.9服务期间，甲方每月对乙方实施考核，如有违约的，根据考核条款进行处置，直至解除合同。</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1.6.7.10违约金在结算合同尾款时一次性扣除。</w:t>
      </w:r>
    </w:p>
    <w:p>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1.7合同争议的解决</w:t>
      </w:r>
    </w:p>
    <w:p>
      <w:pPr>
        <w:spacing w:line="360" w:lineRule="auto"/>
        <w:ind w:firstLine="480" w:firstLineChars="200"/>
        <w:outlineLvl w:val="0"/>
        <w:rPr>
          <w:rFonts w:ascii="仿宋" w:hAnsi="仿宋" w:eastAsia="仿宋" w:cs="仿宋"/>
          <w:sz w:val="24"/>
        </w:rPr>
      </w:pPr>
      <w:bookmarkStart w:id="587" w:name="_Toc94869455"/>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sz w:val="24"/>
          <w:u w:val="single"/>
        </w:rPr>
        <w:t>1.7.2条</w:t>
      </w:r>
      <w:r>
        <w:rPr>
          <w:rFonts w:hint="eastAsia" w:ascii="仿宋" w:hAnsi="仿宋" w:eastAsia="仿宋" w:cs="仿宋"/>
          <w:sz w:val="24"/>
        </w:rPr>
        <w:t>款规定的方式解决：</w:t>
      </w:r>
      <w:bookmarkEnd w:id="587"/>
    </w:p>
    <w:p>
      <w:pPr>
        <w:spacing w:line="360" w:lineRule="auto"/>
        <w:ind w:firstLine="480" w:firstLineChars="200"/>
        <w:outlineLvl w:val="0"/>
        <w:rPr>
          <w:rFonts w:ascii="仿宋" w:hAnsi="仿宋" w:eastAsia="仿宋" w:cs="仿宋"/>
          <w:sz w:val="24"/>
        </w:rPr>
      </w:pPr>
      <w:bookmarkStart w:id="588" w:name="_Toc94869456"/>
      <w:r>
        <w:rPr>
          <w:rFonts w:hint="eastAsia" w:ascii="仿宋" w:hAnsi="仿宋" w:eastAsia="仿宋" w:cs="仿宋"/>
          <w:sz w:val="24"/>
        </w:rPr>
        <w:t>1.7.1 将争议提交/仲裁委员会依申请仲裁时其现行有效的仲裁规则裁决；</w:t>
      </w:r>
      <w:bookmarkEnd w:id="588"/>
    </w:p>
    <w:p>
      <w:pPr>
        <w:spacing w:line="360" w:lineRule="auto"/>
        <w:ind w:firstLine="480" w:firstLineChars="200"/>
        <w:outlineLvl w:val="0"/>
        <w:rPr>
          <w:rFonts w:ascii="仿宋" w:hAnsi="仿宋" w:eastAsia="仿宋" w:cs="仿宋"/>
          <w:sz w:val="24"/>
        </w:rPr>
      </w:pPr>
      <w:bookmarkStart w:id="589" w:name="_Toc94869457"/>
      <w:r>
        <w:rPr>
          <w:rFonts w:hint="eastAsia" w:ascii="仿宋" w:hAnsi="仿宋" w:eastAsia="仿宋" w:cs="仿宋"/>
          <w:sz w:val="24"/>
        </w:rPr>
        <w:t>1.7.2 向甲方所在地人民法院起诉。</w:t>
      </w:r>
      <w:bookmarkEnd w:id="589"/>
    </w:p>
    <w:p>
      <w:pPr>
        <w:snapToGrid w:val="0"/>
        <w:spacing w:line="360" w:lineRule="auto"/>
        <w:ind w:firstLine="480" w:firstLineChars="200"/>
        <w:outlineLvl w:val="0"/>
        <w:rPr>
          <w:rFonts w:ascii="仿宋" w:hAnsi="仿宋" w:eastAsia="仿宋" w:cs="仿宋"/>
          <w:sz w:val="24"/>
        </w:rPr>
      </w:pPr>
      <w:bookmarkStart w:id="590" w:name="_Toc94869458"/>
      <w:r>
        <w:rPr>
          <w:rFonts w:hint="eastAsia" w:ascii="仿宋" w:hAnsi="仿宋" w:eastAsia="仿宋" w:cs="仿宋"/>
          <w:sz w:val="24"/>
        </w:rPr>
        <w:t>2.3.2具有知识产权的计算机软件等货物的知识产权归属：本项目为服务项目，若服务中涉及计算机软件等货物的知识产权归属乙方所有，甲方享有服务期内和服务相关的使用权</w:t>
      </w:r>
      <w:r>
        <w:rPr>
          <w:rFonts w:hint="eastAsia" w:ascii="仿宋" w:hAnsi="仿宋" w:eastAsia="仿宋"/>
          <w:sz w:val="24"/>
        </w:rPr>
        <w:t>。</w:t>
      </w:r>
      <w:bookmarkEnd w:id="590"/>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2.10.3因不可抗力致使合同有变更必要的，双方当事人应在</w:t>
      </w:r>
      <w:r>
        <w:rPr>
          <w:rFonts w:ascii="仿宋" w:hAnsi="仿宋" w:eastAsia="仿宋"/>
          <w:b/>
          <w:i/>
          <w:sz w:val="24"/>
          <w:u w:val="single"/>
        </w:rPr>
        <w:t>15</w:t>
      </w:r>
      <w:r>
        <w:rPr>
          <w:rFonts w:hint="eastAsia" w:ascii="仿宋" w:hAnsi="仿宋" w:eastAsia="仿宋"/>
          <w:b/>
          <w:i/>
          <w:sz w:val="24"/>
          <w:u w:val="single"/>
        </w:rPr>
        <w:t>个工作日</w:t>
      </w:r>
      <w:r>
        <w:rPr>
          <w:rFonts w:hint="eastAsia" w:ascii="仿宋" w:hAnsi="仿宋" w:eastAsia="仿宋" w:cs="仿宋"/>
          <w:sz w:val="24"/>
        </w:rPr>
        <w:t>内以书面形式变更合同；</w:t>
      </w:r>
    </w:p>
    <w:p>
      <w:pPr>
        <w:snapToGrid w:val="0"/>
        <w:spacing w:line="360" w:lineRule="auto"/>
        <w:ind w:firstLine="480" w:firstLineChars="200"/>
      </w:pPr>
      <w:r>
        <w:rPr>
          <w:rFonts w:hint="eastAsia" w:ascii="仿宋" w:hAnsi="仿宋" w:eastAsia="仿宋" w:cs="仿宋"/>
          <w:sz w:val="24"/>
        </w:rPr>
        <w:t>2.10.4受不可抗力影响的一方在不可抗力发生后，应在7个工作日内以书面形式通知对方当事人，并在</w:t>
      </w:r>
      <w:r>
        <w:rPr>
          <w:rFonts w:hint="eastAsia" w:ascii="仿宋" w:hAnsi="仿宋" w:eastAsia="仿宋"/>
          <w:i/>
          <w:sz w:val="24"/>
          <w:u w:val="single"/>
        </w:rPr>
        <w:t>10个工作日</w:t>
      </w:r>
      <w:r>
        <w:rPr>
          <w:rFonts w:hint="eastAsia" w:ascii="仿宋" w:hAnsi="仿宋" w:eastAsia="仿宋" w:cs="仿宋"/>
          <w:sz w:val="24"/>
        </w:rPr>
        <w:t>内，将有关部门出具的证明文件送达对方当事人。</w:t>
      </w:r>
    </w:p>
    <w:p>
      <w:pPr>
        <w:snapToGrid w:val="0"/>
        <w:spacing w:line="360" w:lineRule="auto"/>
        <w:ind w:firstLine="480" w:firstLineChars="200"/>
        <w:rPr>
          <w:rFonts w:ascii="仿宋" w:hAnsi="仿宋" w:eastAsia="仿宋" w:cs="仿宋"/>
          <w:sz w:val="24"/>
        </w:rPr>
      </w:pPr>
      <w:bookmarkStart w:id="591" w:name="_Toc94869459"/>
      <w:r>
        <w:rPr>
          <w:rFonts w:hint="eastAsia" w:ascii="仿宋" w:hAnsi="仿宋" w:eastAsia="仿宋" w:cs="仿宋"/>
          <w:sz w:val="24"/>
        </w:rPr>
        <w:t>2.14.1履约验收时间：</w:t>
      </w:r>
      <w:bookmarkEnd w:id="591"/>
      <w:r>
        <w:rPr>
          <w:rFonts w:hint="eastAsia" w:ascii="仿宋" w:hAnsi="仿宋" w:eastAsia="仿宋" w:cs="仿宋"/>
          <w:sz w:val="24"/>
        </w:rPr>
        <w:t>服务至2022年11月30日后进行第一期验收；服务至2023年3月31日后进行第二期验收；服务期结束，进行终验。</w:t>
      </w:r>
    </w:p>
    <w:p>
      <w:pPr>
        <w:spacing w:line="360" w:lineRule="auto"/>
        <w:ind w:firstLine="480" w:firstLineChars="200"/>
        <w:outlineLvl w:val="0"/>
        <w:rPr>
          <w:rFonts w:ascii="仿宋" w:hAnsi="仿宋" w:eastAsia="仿宋" w:cs="仿宋"/>
          <w:sz w:val="24"/>
        </w:rPr>
      </w:pPr>
      <w:bookmarkStart w:id="592" w:name="_Toc94869460"/>
      <w:r>
        <w:rPr>
          <w:rFonts w:hint="eastAsia" w:ascii="仿宋" w:hAnsi="仿宋" w:eastAsia="仿宋" w:cs="仿宋"/>
          <w:sz w:val="24"/>
        </w:rPr>
        <w:t>2.14.3检验和验收标准、程序</w:t>
      </w:r>
      <w:bookmarkEnd w:id="592"/>
    </w:p>
    <w:p>
      <w:pPr>
        <w:pStyle w:val="857"/>
        <w:snapToGrid w:val="0"/>
        <w:spacing w:line="360" w:lineRule="auto"/>
        <w:ind w:firstLine="480"/>
        <w:rPr>
          <w:rFonts w:ascii="仿宋" w:hAnsi="仿宋" w:eastAsia="仿宋" w:cs="仿宋"/>
          <w:sz w:val="24"/>
        </w:rPr>
      </w:pPr>
      <w:r>
        <w:rPr>
          <w:rFonts w:hint="eastAsia" w:ascii="仿宋" w:hAnsi="仿宋" w:eastAsia="仿宋" w:cs="仿宋"/>
          <w:sz w:val="24"/>
        </w:rPr>
        <w:t>2.14.3.1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pPr>
        <w:pStyle w:val="859"/>
        <w:widowControl/>
        <w:spacing w:line="360" w:lineRule="auto"/>
        <w:ind w:firstLine="482"/>
        <w:rPr>
          <w:rFonts w:ascii="仿宋" w:hAnsi="仿宋" w:eastAsia="仿宋" w:cs="仿宋"/>
          <w:iCs/>
        </w:rPr>
      </w:pPr>
      <w:r>
        <w:rPr>
          <w:rFonts w:hint="eastAsia" w:ascii="仿宋" w:hAnsi="仿宋" w:eastAsia="仿宋" w:cs="仿宋"/>
          <w:iCs/>
        </w:rPr>
        <w:t>严格按照采购合同开展履约验收。甲方委托第三方成立验收小组，验收小组共5人，由甲方1人、专家4人（第三方抽取）组成。按照采购合同的约定对乙方履约情况进行验收，验收时，按照采购合同的约定对每一项技术、服务、安全标准的履约情况进行确认，出具验收报告并经验收小组全体成员签字。甲方根据验收报告形成验收意见并经甲方与采购合同约定的资金支付及履约保证金返还条件挂钩。履约验收的各项资料应当存档备查。</w:t>
      </w:r>
    </w:p>
    <w:p>
      <w:pPr>
        <w:pStyle w:val="857"/>
        <w:snapToGrid w:val="0"/>
        <w:spacing w:line="360" w:lineRule="auto"/>
        <w:ind w:firstLine="480"/>
        <w:rPr>
          <w:rFonts w:ascii="仿宋" w:hAnsi="仿宋" w:eastAsia="仿宋" w:cs="仿宋"/>
          <w:sz w:val="24"/>
        </w:rPr>
      </w:pPr>
      <w:r>
        <w:rPr>
          <w:rFonts w:hint="eastAsia" w:ascii="仿宋" w:hAnsi="仿宋" w:eastAsia="仿宋" w:cs="仿宋"/>
          <w:sz w:val="24"/>
        </w:rPr>
        <w:t>验收合格的项目，甲方将根据采购合同的约定及时向乙方支付采购资金、退还履约保证金。验收不合格的项目，甲方将依法及时处理。采购合同的履行、违约责任和解决争议的方式等适用《中华人民共和国民法典》。</w:t>
      </w:r>
    </w:p>
    <w:p>
      <w:pPr>
        <w:pStyle w:val="857"/>
        <w:snapToGrid w:val="0"/>
        <w:spacing w:line="360" w:lineRule="auto"/>
        <w:ind w:firstLine="480"/>
        <w:rPr>
          <w:rFonts w:ascii="仿宋" w:hAnsi="仿宋" w:eastAsia="仿宋" w:cs="仿宋"/>
          <w:sz w:val="24"/>
        </w:rPr>
      </w:pPr>
      <w:r>
        <w:rPr>
          <w:rFonts w:hint="eastAsia" w:ascii="仿宋" w:hAnsi="仿宋" w:eastAsia="仿宋" w:cs="仿宋"/>
          <w:sz w:val="24"/>
        </w:rPr>
        <w:t>验收产生的费用首次验收费用由甲方承担，如首次验收不合格，后续验收费用由乙方支付。</w:t>
      </w:r>
    </w:p>
    <w:p>
      <w:pPr>
        <w:pStyle w:val="857"/>
        <w:snapToGrid w:val="0"/>
        <w:spacing w:line="360" w:lineRule="auto"/>
        <w:ind w:firstLine="480"/>
        <w:rPr>
          <w:rFonts w:ascii="仿宋" w:hAnsi="仿宋" w:eastAsia="仿宋" w:cs="仿宋"/>
          <w:sz w:val="24"/>
        </w:rPr>
      </w:pPr>
      <w:r>
        <w:rPr>
          <w:rFonts w:hint="eastAsia" w:ascii="仿宋" w:hAnsi="仿宋" w:eastAsia="仿宋" w:cs="仿宋"/>
          <w:sz w:val="24"/>
        </w:rPr>
        <w:t>2.14.3.2</w:t>
      </w:r>
      <w:r>
        <w:rPr>
          <w:rFonts w:ascii="仿宋" w:hAnsi="仿宋" w:eastAsia="仿宋" w:cs="仿宋"/>
          <w:sz w:val="24"/>
        </w:rPr>
        <w:t>验收标准</w:t>
      </w:r>
      <w:r>
        <w:rPr>
          <w:rFonts w:hint="eastAsia" w:ascii="仿宋" w:hAnsi="仿宋" w:eastAsia="仿宋" w:cs="仿宋"/>
          <w:sz w:val="24"/>
        </w:rPr>
        <w:t>：根据采购文件确定的技术指标或者服务要求确定验收指标和标准。未进行相应约定的，应当符合国家强制性规定、政策要求、安全标准、行业或企业有关标准等。</w:t>
      </w:r>
    </w:p>
    <w:p>
      <w:pPr>
        <w:tabs>
          <w:tab w:val="left" w:pos="360"/>
          <w:tab w:val="left" w:pos="540"/>
          <w:tab w:val="left" w:pos="108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2.14.3.3</w:t>
      </w:r>
      <w:r>
        <w:rPr>
          <w:rFonts w:ascii="仿宋" w:hAnsi="仿宋" w:eastAsia="仿宋" w:cs="仿宋"/>
          <w:sz w:val="24"/>
        </w:rPr>
        <w:t>验收内容</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5"/>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序号</w:t>
            </w:r>
          </w:p>
        </w:tc>
        <w:tc>
          <w:tcPr>
            <w:tcW w:w="1275" w:type="dxa"/>
            <w:noWrap/>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验收内容</w:t>
            </w:r>
          </w:p>
        </w:tc>
        <w:tc>
          <w:tcPr>
            <w:tcW w:w="7201" w:type="dxa"/>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1</w:t>
            </w:r>
          </w:p>
        </w:tc>
        <w:tc>
          <w:tcPr>
            <w:tcW w:w="1275" w:type="dxa"/>
            <w:noWrap/>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响应程度</w:t>
            </w:r>
          </w:p>
        </w:tc>
        <w:tc>
          <w:tcPr>
            <w:tcW w:w="7201"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bCs/>
                <w:sz w:val="24"/>
              </w:rPr>
              <w:t>服从甲方管理；及时落实甲方合理工作安排；及时整改存在的问题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2</w:t>
            </w:r>
          </w:p>
        </w:tc>
        <w:tc>
          <w:tcPr>
            <w:tcW w:w="1275" w:type="dxa"/>
            <w:vMerge w:val="restart"/>
            <w:noWrap/>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人员管理</w:t>
            </w:r>
          </w:p>
        </w:tc>
        <w:tc>
          <w:tcPr>
            <w:tcW w:w="7201"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bCs/>
                <w:sz w:val="24"/>
              </w:rPr>
              <w:t>按合同要求配备服务人员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27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7201"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bCs/>
                <w:sz w:val="24"/>
              </w:rPr>
              <w:t>工作人员相对稳定，人员变动需按甲方规定办理相关手续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27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7201"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bCs/>
                <w:sz w:val="24"/>
              </w:rPr>
              <w:t>所有服务人员要按规定统一着装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27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7201"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bCs/>
                <w:sz w:val="24"/>
              </w:rPr>
              <w:t>所有人员必须持有健康证上岗，外来务工人员办理临时居住证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vMerge w:val="restart"/>
            <w:noWrap/>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w:t>
            </w:r>
          </w:p>
        </w:tc>
        <w:tc>
          <w:tcPr>
            <w:tcW w:w="1275" w:type="dxa"/>
            <w:vMerge w:val="restart"/>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服务质量管理</w:t>
            </w:r>
          </w:p>
        </w:tc>
        <w:tc>
          <w:tcPr>
            <w:tcW w:w="7201" w:type="dxa"/>
            <w:vMerge w:val="restart"/>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bCs/>
                <w:sz w:val="24"/>
              </w:rPr>
              <w:t>在规定的就餐时间内提供膳食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27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7201" w:type="dxa"/>
            <w:vMerge w:val="continue"/>
            <w:vAlign w:val="center"/>
          </w:tcPr>
          <w:p>
            <w:pPr>
              <w:widowControl/>
              <w:spacing w:before="120" w:beforeLines="50" w:line="360" w:lineRule="auto"/>
              <w:ind w:firstLine="480" w:firstLineChars="200"/>
              <w:jc w:val="left"/>
              <w:outlineLvl w:val="3"/>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27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7201"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bCs/>
                <w:sz w:val="24"/>
              </w:rPr>
              <w:t>按照甲方提供的就餐人数、标准严格制订工制作方案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27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7201"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bCs/>
                <w:sz w:val="24"/>
              </w:rPr>
              <w:t>按批次分锅烹饪出餐，做到少量多出，保证菜肴的新鲜度和口味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27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7201"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bCs/>
                <w:sz w:val="24"/>
              </w:rPr>
              <w:t>总体满意度较高，每月开展意见征求活动,努力实现零投诉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4</w:t>
            </w:r>
          </w:p>
        </w:tc>
        <w:tc>
          <w:tcPr>
            <w:tcW w:w="1275" w:type="dxa"/>
            <w:vMerge w:val="restart"/>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菜肴品质管理</w:t>
            </w:r>
          </w:p>
        </w:tc>
        <w:tc>
          <w:tcPr>
            <w:tcW w:w="7201"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bCs/>
                <w:sz w:val="24"/>
              </w:rPr>
              <w:t>菜谱荤素搭配合理，菜品品种符合采购需求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27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7201"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sz w:val="24"/>
              </w:rPr>
              <w:t>民俗节日提供特色食品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5</w:t>
            </w:r>
          </w:p>
        </w:tc>
        <w:tc>
          <w:tcPr>
            <w:tcW w:w="1275" w:type="dxa"/>
            <w:vMerge w:val="restart"/>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食品安全和环境卫生</w:t>
            </w:r>
          </w:p>
        </w:tc>
        <w:tc>
          <w:tcPr>
            <w:tcW w:w="7201"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sz w:val="24"/>
              </w:rPr>
              <w:t>监督配合物业公司做好食堂区域内的四害消杀工作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27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7201"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sz w:val="24"/>
              </w:rPr>
              <w:t>厨房、餐厅等所有区域的卫生应按《五常法》管理模式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27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7201"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sz w:val="24"/>
              </w:rPr>
              <w:t>严格控制使用食品添加剂，注重食品卫生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27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7201"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sz w:val="24"/>
              </w:rPr>
              <w:t>厨房用品用具严格实行一洗二清三过四消毒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27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7201" w:type="dxa"/>
            <w:vAlign w:val="center"/>
          </w:tcPr>
          <w:p>
            <w:pPr>
              <w:widowControl/>
              <w:spacing w:before="120" w:beforeLines="50" w:line="360" w:lineRule="auto"/>
              <w:jc w:val="left"/>
              <w:outlineLvl w:val="3"/>
              <w:rPr>
                <w:rFonts w:ascii="仿宋" w:hAnsi="仿宋" w:eastAsia="仿宋" w:cs="仿宋"/>
                <w:sz w:val="24"/>
              </w:rPr>
            </w:pPr>
            <w:r>
              <w:rPr>
                <w:rFonts w:hint="eastAsia" w:ascii="仿宋" w:hAnsi="仿宋" w:eastAsia="仿宋" w:cs="仿宋"/>
                <w:sz w:val="24"/>
              </w:rPr>
              <w:t>严格执行《食堂食品留样制度》，做好留样记录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6</w:t>
            </w:r>
          </w:p>
        </w:tc>
        <w:tc>
          <w:tcPr>
            <w:tcW w:w="1275" w:type="dxa"/>
            <w:vMerge w:val="restart"/>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节能管理</w:t>
            </w:r>
          </w:p>
        </w:tc>
        <w:tc>
          <w:tcPr>
            <w:tcW w:w="7201"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sz w:val="24"/>
              </w:rPr>
              <w:t>做好水电气的节能管理工作，开关有度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1275" w:type="dxa"/>
            <w:vMerge w:val="continue"/>
            <w:vAlign w:val="center"/>
          </w:tcPr>
          <w:p>
            <w:pPr>
              <w:widowControl/>
              <w:spacing w:before="120" w:beforeLines="50" w:line="360" w:lineRule="auto"/>
              <w:ind w:firstLine="480" w:firstLineChars="200"/>
              <w:jc w:val="center"/>
              <w:outlineLvl w:val="3"/>
              <w:rPr>
                <w:rFonts w:ascii="仿宋" w:hAnsi="仿宋" w:eastAsia="仿宋" w:cs="仿宋"/>
                <w:bCs/>
                <w:sz w:val="24"/>
              </w:rPr>
            </w:pPr>
          </w:p>
        </w:tc>
        <w:tc>
          <w:tcPr>
            <w:tcW w:w="7201"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sz w:val="24"/>
              </w:rPr>
              <w:t>对原料、食材的使用有节约意识，杜绝浪费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704" w:type="dxa"/>
            <w:noWrap/>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7</w:t>
            </w:r>
          </w:p>
        </w:tc>
        <w:tc>
          <w:tcPr>
            <w:tcW w:w="1275" w:type="dxa"/>
            <w:vAlign w:val="center"/>
          </w:tcPr>
          <w:p>
            <w:pPr>
              <w:widowControl/>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其他工作</w:t>
            </w:r>
          </w:p>
        </w:tc>
        <w:tc>
          <w:tcPr>
            <w:tcW w:w="7201" w:type="dxa"/>
            <w:vAlign w:val="center"/>
          </w:tcPr>
          <w:p>
            <w:pPr>
              <w:widowControl/>
              <w:spacing w:before="120" w:beforeLines="50" w:line="360" w:lineRule="auto"/>
              <w:jc w:val="left"/>
              <w:outlineLvl w:val="3"/>
              <w:rPr>
                <w:rFonts w:ascii="仿宋" w:hAnsi="仿宋" w:eastAsia="仿宋" w:cs="仿宋"/>
                <w:bCs/>
                <w:sz w:val="24"/>
              </w:rPr>
            </w:pPr>
            <w:r>
              <w:rPr>
                <w:rFonts w:hint="eastAsia" w:ascii="仿宋" w:hAnsi="仿宋" w:eastAsia="仿宋" w:cs="仿宋"/>
                <w:bCs/>
                <w:sz w:val="24"/>
              </w:rPr>
              <w:t>履行项目采购文件、投标文件、合同条款中涉及的其他承诺的情况</w:t>
            </w:r>
          </w:p>
        </w:tc>
      </w:tr>
    </w:tbl>
    <w:p>
      <w:pPr>
        <w:widowControl/>
        <w:spacing w:line="360" w:lineRule="auto"/>
        <w:jc w:val="left"/>
        <w:rPr>
          <w:rFonts w:ascii="仿宋" w:hAnsi="仿宋" w:eastAsia="仿宋" w:cs="仿宋"/>
          <w:sz w:val="24"/>
          <w:lang w:val="zh-CN"/>
        </w:rPr>
      </w:pPr>
      <w:r>
        <w:rPr>
          <w:rFonts w:hint="eastAsia" w:ascii="仿宋" w:hAnsi="仿宋" w:eastAsia="仿宋" w:cs="仿宋"/>
          <w:sz w:val="24"/>
          <w:lang w:val="zh-CN"/>
        </w:rPr>
        <w:t>验收资料要求</w:t>
      </w:r>
    </w:p>
    <w:p>
      <w:pPr>
        <w:widowControl/>
        <w:spacing w:line="360" w:lineRule="auto"/>
        <w:jc w:val="left"/>
        <w:rPr>
          <w:rFonts w:ascii="仿宋" w:hAnsi="仿宋" w:eastAsia="仿宋" w:cs="仿宋"/>
          <w:sz w:val="24"/>
          <w:lang w:val="zh-CN"/>
        </w:rPr>
      </w:pPr>
      <w:r>
        <w:rPr>
          <w:rFonts w:hint="eastAsia" w:ascii="仿宋" w:hAnsi="仿宋" w:eastAsia="仿宋" w:cs="仿宋"/>
          <w:sz w:val="24"/>
          <w:lang w:val="zh-CN"/>
        </w:rPr>
        <w:t>（1）采购文件</w:t>
      </w:r>
    </w:p>
    <w:p>
      <w:pPr>
        <w:widowControl/>
        <w:spacing w:line="360" w:lineRule="auto"/>
        <w:jc w:val="left"/>
        <w:rPr>
          <w:rFonts w:ascii="仿宋" w:hAnsi="仿宋" w:eastAsia="仿宋" w:cs="仿宋"/>
          <w:sz w:val="24"/>
          <w:lang w:val="zh-CN"/>
        </w:rPr>
      </w:pPr>
      <w:r>
        <w:rPr>
          <w:rFonts w:hint="eastAsia" w:ascii="仿宋" w:hAnsi="仿宋" w:eastAsia="仿宋" w:cs="仿宋"/>
          <w:sz w:val="24"/>
          <w:lang w:val="zh-CN"/>
        </w:rPr>
        <w:t>（2）投标文件</w:t>
      </w:r>
    </w:p>
    <w:p>
      <w:pPr>
        <w:widowControl/>
        <w:spacing w:line="360" w:lineRule="auto"/>
        <w:jc w:val="left"/>
        <w:rPr>
          <w:rFonts w:ascii="仿宋" w:hAnsi="仿宋" w:eastAsia="仿宋" w:cs="仿宋"/>
          <w:sz w:val="24"/>
          <w:lang w:val="zh-CN"/>
        </w:rPr>
      </w:pPr>
      <w:r>
        <w:rPr>
          <w:rFonts w:hint="eastAsia" w:ascii="仿宋" w:hAnsi="仿宋" w:eastAsia="仿宋" w:cs="仿宋"/>
          <w:sz w:val="24"/>
          <w:lang w:val="zh-CN"/>
        </w:rPr>
        <w:t>（3）采购合同</w:t>
      </w:r>
    </w:p>
    <w:p>
      <w:pPr>
        <w:widowControl/>
        <w:spacing w:line="360" w:lineRule="auto"/>
        <w:jc w:val="left"/>
        <w:rPr>
          <w:rFonts w:ascii="仿宋" w:hAnsi="仿宋" w:eastAsia="仿宋" w:cs="仿宋"/>
          <w:sz w:val="24"/>
          <w:lang w:val="zh-CN"/>
        </w:rPr>
      </w:pPr>
      <w:r>
        <w:rPr>
          <w:rFonts w:hint="eastAsia" w:ascii="仿宋" w:hAnsi="仿宋" w:eastAsia="仿宋" w:cs="仿宋"/>
          <w:sz w:val="24"/>
          <w:lang w:val="zh-CN"/>
        </w:rPr>
        <w:t>（4）考核表：每月考核表（甲方经办人、审核人、乙方签字盖章）</w:t>
      </w:r>
    </w:p>
    <w:p>
      <w:pPr>
        <w:widowControl/>
        <w:spacing w:line="360" w:lineRule="auto"/>
        <w:jc w:val="left"/>
        <w:rPr>
          <w:rFonts w:ascii="仿宋" w:hAnsi="仿宋" w:eastAsia="仿宋" w:cs="仿宋"/>
          <w:sz w:val="24"/>
          <w:lang w:val="zh-CN"/>
        </w:rPr>
      </w:pPr>
      <w:r>
        <w:rPr>
          <w:rFonts w:hint="eastAsia" w:ascii="仿宋" w:hAnsi="仿宋" w:eastAsia="仿宋" w:cs="仿宋"/>
          <w:sz w:val="24"/>
          <w:lang w:val="zh-CN"/>
        </w:rPr>
        <w:t>（5）人员清单：项目实施人员明细清单。</w:t>
      </w:r>
    </w:p>
    <w:p>
      <w:pPr>
        <w:widowControl/>
        <w:spacing w:line="360" w:lineRule="auto"/>
        <w:jc w:val="left"/>
        <w:rPr>
          <w:rFonts w:ascii="仿宋" w:hAnsi="仿宋" w:eastAsia="仿宋" w:cs="仿宋"/>
          <w:sz w:val="24"/>
          <w:lang w:val="zh-CN"/>
        </w:rPr>
      </w:pPr>
      <w:r>
        <w:rPr>
          <w:rFonts w:hint="eastAsia" w:ascii="仿宋" w:hAnsi="仿宋" w:eastAsia="仿宋" w:cs="仿宋"/>
          <w:sz w:val="24"/>
          <w:lang w:val="zh-CN"/>
        </w:rPr>
        <w:t>（6）人员每日考勤签到表：需甲方经办人、复核人、乙方签字并盖章。</w:t>
      </w:r>
    </w:p>
    <w:p>
      <w:pPr>
        <w:widowControl/>
        <w:spacing w:line="360" w:lineRule="auto"/>
        <w:jc w:val="left"/>
        <w:rPr>
          <w:rFonts w:ascii="仿宋" w:hAnsi="仿宋" w:eastAsia="仿宋" w:cs="仿宋"/>
          <w:sz w:val="24"/>
          <w:lang w:val="zh-CN"/>
        </w:rPr>
      </w:pPr>
      <w:r>
        <w:rPr>
          <w:rFonts w:hint="eastAsia" w:ascii="仿宋" w:hAnsi="仿宋" w:eastAsia="仿宋" w:cs="仿宋"/>
          <w:sz w:val="24"/>
          <w:lang w:val="zh-CN"/>
        </w:rPr>
        <w:t>（7）每月人员社保缴纳清单：提供所有人员每月的社保缴纳清单。</w:t>
      </w:r>
    </w:p>
    <w:p>
      <w:pPr>
        <w:widowControl/>
        <w:spacing w:line="360" w:lineRule="auto"/>
        <w:jc w:val="left"/>
        <w:rPr>
          <w:rFonts w:ascii="仿宋" w:hAnsi="仿宋" w:eastAsia="仿宋" w:cs="仿宋"/>
          <w:sz w:val="24"/>
          <w:lang w:val="zh-CN"/>
        </w:rPr>
      </w:pPr>
      <w:r>
        <w:rPr>
          <w:rFonts w:hint="eastAsia" w:ascii="仿宋" w:hAnsi="仿宋" w:eastAsia="仿宋" w:cs="仿宋"/>
          <w:sz w:val="24"/>
          <w:lang w:val="zh-CN"/>
        </w:rPr>
        <w:t>（8）人员变更审批表（如有）</w:t>
      </w:r>
    </w:p>
    <w:p>
      <w:pPr>
        <w:widowControl/>
        <w:spacing w:line="360" w:lineRule="auto"/>
        <w:jc w:val="left"/>
        <w:rPr>
          <w:rFonts w:ascii="仿宋" w:hAnsi="仿宋" w:eastAsia="仿宋" w:cs="仿宋"/>
          <w:sz w:val="24"/>
          <w:lang w:val="zh-CN"/>
        </w:rPr>
      </w:pPr>
      <w:r>
        <w:rPr>
          <w:rFonts w:hint="eastAsia" w:ascii="仿宋" w:hAnsi="仿宋" w:eastAsia="仿宋" w:cs="仿宋"/>
          <w:sz w:val="24"/>
          <w:lang w:val="zh-CN"/>
        </w:rPr>
        <w:t>（9）培训资料</w:t>
      </w:r>
    </w:p>
    <w:p>
      <w:pPr>
        <w:widowControl/>
        <w:spacing w:line="360" w:lineRule="auto"/>
        <w:jc w:val="left"/>
        <w:rPr>
          <w:rFonts w:ascii="仿宋" w:hAnsi="仿宋" w:eastAsia="仿宋" w:cs="仿宋"/>
          <w:sz w:val="24"/>
          <w:lang w:val="zh-CN"/>
        </w:rPr>
      </w:pPr>
      <w:r>
        <w:rPr>
          <w:rFonts w:hint="eastAsia" w:ascii="仿宋" w:hAnsi="仿宋" w:eastAsia="仿宋" w:cs="仿宋"/>
          <w:sz w:val="24"/>
          <w:lang w:val="zh-CN"/>
        </w:rPr>
        <w:t>（10）其他需提供的相关材料如问题整改处理的回复、每月的意见征询。</w:t>
      </w:r>
    </w:p>
    <w:p>
      <w:pPr>
        <w:widowControl/>
        <w:spacing w:line="360" w:lineRule="auto"/>
        <w:jc w:val="left"/>
        <w:rPr>
          <w:rFonts w:ascii="仿宋" w:hAnsi="仿宋" w:eastAsia="仿宋" w:cs="仿宋"/>
          <w:sz w:val="24"/>
        </w:rPr>
      </w:pPr>
      <w:r>
        <w:rPr>
          <w:rFonts w:ascii="仿宋" w:hAnsi="仿宋" w:eastAsia="仿宋" w:cs="仿宋"/>
          <w:sz w:val="24"/>
        </w:rPr>
        <w:t>2.18.1</w:t>
      </w:r>
      <w:r>
        <w:rPr>
          <w:rFonts w:hint="eastAsia" w:ascii="仿宋" w:hAnsi="仿宋" w:eastAsia="仿宋" w:cs="仿宋"/>
          <w:sz w:val="24"/>
        </w:rPr>
        <w:t>甲方根据杭州市政府采购网公布的乙方履约评价情况减免履约保证金。乙方履约验收评价总分为</w:t>
      </w:r>
      <w:r>
        <w:rPr>
          <w:rFonts w:ascii="仿宋" w:hAnsi="仿宋" w:eastAsia="仿宋" w:cs="仿宋"/>
          <w:sz w:val="24"/>
        </w:rPr>
        <w:t>100分的，</w:t>
      </w:r>
      <w:r>
        <w:rPr>
          <w:rFonts w:hint="eastAsia" w:ascii="仿宋" w:hAnsi="仿宋" w:eastAsia="仿宋" w:cs="仿宋"/>
          <w:sz w:val="24"/>
        </w:rPr>
        <w:t>甲方</w:t>
      </w:r>
      <w:r>
        <w:rPr>
          <w:rFonts w:ascii="仿宋" w:hAnsi="仿宋" w:eastAsia="仿宋" w:cs="仿宋"/>
          <w:sz w:val="24"/>
        </w:rPr>
        <w:t>应当免收履约保证金；评价总分在90分</w:t>
      </w:r>
      <w:r>
        <w:rPr>
          <w:rFonts w:hint="eastAsia" w:ascii="仿宋" w:hAnsi="仿宋" w:eastAsia="仿宋" w:cs="仿宋"/>
          <w:sz w:val="24"/>
        </w:rPr>
        <w:t>（含）</w:t>
      </w:r>
      <w:r>
        <w:rPr>
          <w:rFonts w:ascii="仿宋" w:hAnsi="仿宋" w:eastAsia="仿宋" w:cs="仿宋"/>
          <w:sz w:val="24"/>
        </w:rPr>
        <w:t>以上的，收取履约保证金</w:t>
      </w:r>
      <w:r>
        <w:rPr>
          <w:rFonts w:hint="eastAsia" w:ascii="仿宋" w:hAnsi="仿宋" w:eastAsia="仿宋" w:cs="仿宋"/>
          <w:sz w:val="24"/>
        </w:rPr>
        <w:t>为</w:t>
      </w:r>
      <w:r>
        <w:rPr>
          <w:rFonts w:ascii="仿宋" w:hAnsi="仿宋" w:eastAsia="仿宋" w:cs="仿宋"/>
          <w:sz w:val="24"/>
        </w:rPr>
        <w:t>合同金额2%；评价总分在90分以下或者暂无评分的，收取履约保证金</w:t>
      </w:r>
      <w:r>
        <w:rPr>
          <w:rFonts w:hint="eastAsia" w:ascii="仿宋" w:hAnsi="仿宋" w:eastAsia="仿宋" w:cs="仿宋"/>
          <w:sz w:val="24"/>
        </w:rPr>
        <w:t>为</w:t>
      </w:r>
      <w:r>
        <w:rPr>
          <w:rFonts w:ascii="仿宋" w:hAnsi="仿宋" w:eastAsia="仿宋" w:cs="仿宋"/>
          <w:sz w:val="24"/>
        </w:rPr>
        <w:t>合同金额2.5%</w:t>
      </w:r>
      <w:r>
        <w:rPr>
          <w:rFonts w:hint="eastAsia" w:ascii="仿宋" w:hAnsi="仿宋" w:eastAsia="仿宋" w:cs="仿宋"/>
          <w:sz w:val="24"/>
        </w:rPr>
        <w:t>。</w:t>
      </w:r>
    </w:p>
    <w:p>
      <w:pPr>
        <w:widowControl/>
        <w:spacing w:line="360" w:lineRule="auto"/>
        <w:jc w:val="left"/>
        <w:rPr>
          <w:rFonts w:ascii="仿宋" w:hAnsi="仿宋" w:eastAsia="仿宋" w:cs="仿宋"/>
          <w:sz w:val="24"/>
        </w:rPr>
      </w:pPr>
      <w:bookmarkStart w:id="593" w:name="_Toc94869462"/>
      <w:r>
        <w:rPr>
          <w:rFonts w:hint="eastAsia" w:ascii="仿宋" w:hAnsi="仿宋" w:eastAsia="仿宋" w:cs="仿宋"/>
          <w:sz w:val="24"/>
        </w:rPr>
        <w:t>乙方的履约验收评价分：      分 ；收取履约保证金为合同金额：      %。</w:t>
      </w:r>
      <w:bookmarkEnd w:id="593"/>
    </w:p>
    <w:p>
      <w:pPr>
        <w:widowControl/>
        <w:spacing w:line="360" w:lineRule="auto"/>
        <w:jc w:val="left"/>
        <w:rPr>
          <w:rFonts w:ascii="仿宋" w:hAnsi="仿宋" w:eastAsia="仿宋" w:cs="仿宋"/>
          <w:sz w:val="24"/>
        </w:rPr>
      </w:pPr>
      <w:bookmarkStart w:id="594" w:name="_Toc94869463"/>
      <w:r>
        <w:rPr>
          <w:rFonts w:hint="eastAsia" w:ascii="仿宋" w:hAnsi="仿宋" w:eastAsia="仿宋" w:cs="仿宋"/>
          <w:sz w:val="24"/>
        </w:rPr>
        <w:t>乙方应在合同签订后5个工作日内，以支票、汇票、本票或者金融机构、担保机构出具的保函等非现金形式提交履约保证金。鼓励和支持乙方以保函形式提供履约保证。</w:t>
      </w:r>
      <w:bookmarkEnd w:id="594"/>
    </w:p>
    <w:p>
      <w:pPr>
        <w:widowControl/>
        <w:spacing w:line="360" w:lineRule="auto"/>
        <w:jc w:val="left"/>
        <w:rPr>
          <w:rFonts w:ascii="仿宋" w:hAnsi="仿宋" w:eastAsia="仿宋" w:cs="仿宋"/>
          <w:sz w:val="24"/>
        </w:rPr>
      </w:pPr>
      <w:bookmarkStart w:id="595" w:name="_Toc94869464"/>
      <w:r>
        <w:rPr>
          <w:rFonts w:hint="eastAsia" w:ascii="仿宋" w:hAnsi="仿宋" w:eastAsia="仿宋" w:cs="仿宋"/>
          <w:sz w:val="24"/>
        </w:rPr>
        <w:t>2.18.2履约保证金在合同签订之日起至项目通过验收，乙方递交退还履约保证金申请前不予退还。</w:t>
      </w:r>
      <w:bookmarkEnd w:id="595"/>
    </w:p>
    <w:p>
      <w:pPr>
        <w:widowControl/>
        <w:spacing w:line="360" w:lineRule="auto"/>
        <w:jc w:val="left"/>
        <w:rPr>
          <w:rFonts w:ascii="仿宋" w:hAnsi="仿宋" w:eastAsia="仿宋" w:cs="仿宋"/>
          <w:sz w:val="24"/>
        </w:rPr>
      </w:pPr>
      <w:r>
        <w:rPr>
          <w:rFonts w:hint="eastAsia" w:ascii="仿宋" w:hAnsi="仿宋" w:eastAsia="仿宋" w:cs="仿宋"/>
          <w:sz w:val="24"/>
        </w:rPr>
        <w:t>2.20 本合同正本壹式陆份，具有同等法律效力，甲乙双方各执叁份。</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附件1</w:t>
      </w:r>
    </w:p>
    <w:p>
      <w:pPr>
        <w:jc w:val="center"/>
        <w:rPr>
          <w:rFonts w:ascii="仿宋" w:hAnsi="仿宋" w:eastAsia="仿宋" w:cs="宋体"/>
          <w:b/>
          <w:snapToGrid w:val="0"/>
          <w:kern w:val="0"/>
          <w:sz w:val="24"/>
        </w:rPr>
      </w:pPr>
      <w:r>
        <w:rPr>
          <w:rFonts w:hint="eastAsia" w:ascii="仿宋_GB2312" w:hAnsi="仿宋" w:eastAsia="仿宋_GB2312" w:cs="仿宋_GB2312"/>
          <w:b/>
          <w:kern w:val="0"/>
          <w:sz w:val="24"/>
        </w:rPr>
        <w:t>合同</w:t>
      </w:r>
      <w:r>
        <w:rPr>
          <w:rFonts w:hint="eastAsia" w:ascii="仿宋_GB2312" w:hAnsi="仿宋" w:eastAsia="仿宋_GB2312" w:cs="仿宋_GB2312"/>
          <w:b/>
          <w:kern w:val="0"/>
          <w:sz w:val="24"/>
          <w:lang w:val="zh-CN"/>
        </w:rPr>
        <w:t>价</w:t>
      </w:r>
      <w:r>
        <w:rPr>
          <w:rFonts w:hint="eastAsia" w:ascii="仿宋_GB2312" w:hAnsi="仿宋" w:eastAsia="仿宋_GB2312" w:cs="仿宋_GB2312"/>
          <w:b/>
          <w:kern w:val="0"/>
          <w:sz w:val="24"/>
        </w:rPr>
        <w:t>格清单</w:t>
      </w:r>
      <w:r>
        <w:rPr>
          <w:rFonts w:ascii="仿宋_GB2312" w:hAnsi="仿宋" w:eastAsia="仿宋_GB2312" w:cs="仿宋_GB2312"/>
          <w:b/>
          <w:kern w:val="0"/>
          <w:sz w:val="24"/>
          <w:lang w:val="zh-CN"/>
        </w:rPr>
        <w:t>(单位均为人民币元)</w:t>
      </w:r>
    </w:p>
    <w:tbl>
      <w:tblPr>
        <w:tblStyle w:val="62"/>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
        <w:gridCol w:w="926"/>
        <w:gridCol w:w="2037"/>
        <w:gridCol w:w="855"/>
        <w:gridCol w:w="811"/>
        <w:gridCol w:w="1296"/>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348"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926"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203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具体服务</w:t>
            </w:r>
          </w:p>
        </w:tc>
        <w:tc>
          <w:tcPr>
            <w:tcW w:w="855"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81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1296"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总价</w:t>
            </w:r>
          </w:p>
        </w:tc>
        <w:tc>
          <w:tcPr>
            <w:tcW w:w="2588" w:type="dxa"/>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服务要求（年限）</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48"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926" w:type="dxa"/>
            <w:vAlign w:val="center"/>
          </w:tcPr>
          <w:p>
            <w:pPr>
              <w:snapToGrid w:val="0"/>
              <w:spacing w:line="360" w:lineRule="auto"/>
              <w:jc w:val="center"/>
              <w:rPr>
                <w:rFonts w:ascii="仿宋" w:hAnsi="仿宋" w:eastAsia="仿宋" w:cs="仿宋"/>
                <w:sz w:val="24"/>
              </w:rPr>
            </w:pPr>
          </w:p>
        </w:tc>
        <w:tc>
          <w:tcPr>
            <w:tcW w:w="2037" w:type="dxa"/>
            <w:vAlign w:val="center"/>
          </w:tcPr>
          <w:p>
            <w:pPr>
              <w:snapToGrid w:val="0"/>
              <w:spacing w:line="360" w:lineRule="auto"/>
              <w:jc w:val="center"/>
              <w:rPr>
                <w:rFonts w:ascii="仿宋" w:hAnsi="仿宋" w:eastAsia="仿宋" w:cs="仿宋"/>
                <w:sz w:val="24"/>
              </w:rPr>
            </w:pPr>
          </w:p>
        </w:tc>
        <w:tc>
          <w:tcPr>
            <w:tcW w:w="855" w:type="dxa"/>
            <w:vAlign w:val="center"/>
          </w:tcPr>
          <w:p>
            <w:pPr>
              <w:snapToGrid w:val="0"/>
              <w:spacing w:line="360" w:lineRule="auto"/>
              <w:jc w:val="center"/>
              <w:rPr>
                <w:rFonts w:ascii="仿宋" w:hAnsi="仿宋" w:eastAsia="仿宋" w:cs="仿宋"/>
                <w:sz w:val="24"/>
              </w:rPr>
            </w:pPr>
          </w:p>
        </w:tc>
        <w:tc>
          <w:tcPr>
            <w:tcW w:w="811" w:type="dxa"/>
            <w:vAlign w:val="center"/>
          </w:tcPr>
          <w:p>
            <w:pPr>
              <w:spacing w:line="360" w:lineRule="auto"/>
              <w:jc w:val="center"/>
              <w:rPr>
                <w:rFonts w:ascii="仿宋" w:hAnsi="仿宋" w:eastAsia="仿宋" w:cs="仿宋"/>
                <w:sz w:val="24"/>
              </w:rPr>
            </w:pPr>
          </w:p>
        </w:tc>
        <w:tc>
          <w:tcPr>
            <w:tcW w:w="1296" w:type="dxa"/>
            <w:vAlign w:val="center"/>
          </w:tcPr>
          <w:p>
            <w:pPr>
              <w:spacing w:line="360" w:lineRule="auto"/>
              <w:jc w:val="center"/>
              <w:rPr>
                <w:rFonts w:ascii="仿宋" w:hAnsi="仿宋" w:eastAsia="仿宋" w:cs="仿宋"/>
                <w:sz w:val="24"/>
              </w:rPr>
            </w:pPr>
          </w:p>
        </w:tc>
        <w:tc>
          <w:tcPr>
            <w:tcW w:w="2588"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48"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926" w:type="dxa"/>
            <w:vAlign w:val="center"/>
          </w:tcPr>
          <w:p>
            <w:pPr>
              <w:snapToGrid w:val="0"/>
              <w:spacing w:line="360" w:lineRule="auto"/>
              <w:jc w:val="center"/>
              <w:rPr>
                <w:rFonts w:ascii="仿宋" w:hAnsi="仿宋" w:eastAsia="仿宋" w:cs="仿宋"/>
                <w:sz w:val="24"/>
              </w:rPr>
            </w:pPr>
          </w:p>
        </w:tc>
        <w:tc>
          <w:tcPr>
            <w:tcW w:w="2037" w:type="dxa"/>
            <w:vAlign w:val="center"/>
          </w:tcPr>
          <w:p>
            <w:pPr>
              <w:snapToGrid w:val="0"/>
              <w:spacing w:line="360" w:lineRule="auto"/>
              <w:jc w:val="center"/>
              <w:rPr>
                <w:rFonts w:ascii="仿宋" w:hAnsi="仿宋" w:eastAsia="仿宋" w:cs="仿宋"/>
                <w:sz w:val="24"/>
              </w:rPr>
            </w:pPr>
          </w:p>
        </w:tc>
        <w:tc>
          <w:tcPr>
            <w:tcW w:w="855" w:type="dxa"/>
            <w:vAlign w:val="center"/>
          </w:tcPr>
          <w:p>
            <w:pPr>
              <w:snapToGrid w:val="0"/>
              <w:spacing w:line="360" w:lineRule="auto"/>
              <w:jc w:val="center"/>
              <w:rPr>
                <w:rFonts w:ascii="仿宋" w:hAnsi="仿宋" w:eastAsia="仿宋" w:cs="仿宋"/>
                <w:sz w:val="24"/>
              </w:rPr>
            </w:pPr>
          </w:p>
        </w:tc>
        <w:tc>
          <w:tcPr>
            <w:tcW w:w="811" w:type="dxa"/>
            <w:vAlign w:val="center"/>
          </w:tcPr>
          <w:p>
            <w:pPr>
              <w:spacing w:line="360" w:lineRule="auto"/>
              <w:jc w:val="center"/>
              <w:rPr>
                <w:rFonts w:ascii="仿宋" w:hAnsi="仿宋" w:eastAsia="仿宋" w:cs="仿宋"/>
                <w:sz w:val="24"/>
              </w:rPr>
            </w:pPr>
          </w:p>
        </w:tc>
        <w:tc>
          <w:tcPr>
            <w:tcW w:w="1296" w:type="dxa"/>
            <w:vAlign w:val="center"/>
          </w:tcPr>
          <w:p>
            <w:pPr>
              <w:spacing w:line="360" w:lineRule="auto"/>
              <w:jc w:val="center"/>
              <w:rPr>
                <w:rFonts w:ascii="仿宋" w:hAnsi="仿宋" w:eastAsia="仿宋" w:cs="仿宋"/>
                <w:sz w:val="24"/>
              </w:rPr>
            </w:pPr>
          </w:p>
        </w:tc>
        <w:tc>
          <w:tcPr>
            <w:tcW w:w="2588"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48" w:type="dxa"/>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926" w:type="dxa"/>
            <w:vAlign w:val="center"/>
          </w:tcPr>
          <w:p>
            <w:pPr>
              <w:snapToGrid w:val="0"/>
              <w:spacing w:line="360" w:lineRule="auto"/>
              <w:jc w:val="center"/>
              <w:rPr>
                <w:rFonts w:ascii="仿宋" w:hAnsi="仿宋" w:eastAsia="仿宋" w:cs="仿宋"/>
                <w:sz w:val="24"/>
              </w:rPr>
            </w:pPr>
          </w:p>
        </w:tc>
        <w:tc>
          <w:tcPr>
            <w:tcW w:w="2037" w:type="dxa"/>
            <w:vAlign w:val="center"/>
          </w:tcPr>
          <w:p>
            <w:pPr>
              <w:snapToGrid w:val="0"/>
              <w:spacing w:line="360" w:lineRule="auto"/>
              <w:jc w:val="center"/>
              <w:rPr>
                <w:rFonts w:ascii="仿宋" w:hAnsi="仿宋" w:eastAsia="仿宋" w:cs="仿宋"/>
                <w:sz w:val="24"/>
              </w:rPr>
            </w:pPr>
          </w:p>
        </w:tc>
        <w:tc>
          <w:tcPr>
            <w:tcW w:w="855" w:type="dxa"/>
            <w:vAlign w:val="center"/>
          </w:tcPr>
          <w:p>
            <w:pPr>
              <w:snapToGrid w:val="0"/>
              <w:spacing w:line="360" w:lineRule="auto"/>
              <w:jc w:val="center"/>
              <w:rPr>
                <w:rFonts w:ascii="仿宋" w:hAnsi="仿宋" w:eastAsia="仿宋" w:cs="仿宋"/>
                <w:sz w:val="24"/>
              </w:rPr>
            </w:pPr>
          </w:p>
        </w:tc>
        <w:tc>
          <w:tcPr>
            <w:tcW w:w="811" w:type="dxa"/>
            <w:vAlign w:val="center"/>
          </w:tcPr>
          <w:p>
            <w:pPr>
              <w:spacing w:line="360" w:lineRule="auto"/>
              <w:jc w:val="center"/>
              <w:rPr>
                <w:rFonts w:ascii="仿宋" w:hAnsi="仿宋" w:eastAsia="仿宋" w:cs="仿宋"/>
                <w:sz w:val="24"/>
              </w:rPr>
            </w:pPr>
          </w:p>
        </w:tc>
        <w:tc>
          <w:tcPr>
            <w:tcW w:w="1296" w:type="dxa"/>
            <w:vAlign w:val="center"/>
          </w:tcPr>
          <w:p>
            <w:pPr>
              <w:spacing w:line="360" w:lineRule="auto"/>
              <w:jc w:val="center"/>
              <w:rPr>
                <w:rFonts w:ascii="仿宋" w:hAnsi="仿宋" w:eastAsia="仿宋" w:cs="仿宋"/>
                <w:sz w:val="24"/>
              </w:rPr>
            </w:pPr>
          </w:p>
        </w:tc>
        <w:tc>
          <w:tcPr>
            <w:tcW w:w="2588"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48" w:type="dxa"/>
            <w:vAlign w:val="center"/>
          </w:tcPr>
          <w:p>
            <w:pPr>
              <w:spacing w:line="360" w:lineRule="auto"/>
              <w:jc w:val="center"/>
              <w:rPr>
                <w:rFonts w:ascii="仿宋" w:hAnsi="仿宋" w:eastAsia="仿宋" w:cs="仿宋"/>
                <w:sz w:val="24"/>
              </w:rPr>
            </w:pPr>
          </w:p>
        </w:tc>
        <w:tc>
          <w:tcPr>
            <w:tcW w:w="926" w:type="dxa"/>
            <w:vAlign w:val="center"/>
          </w:tcPr>
          <w:p>
            <w:pPr>
              <w:snapToGrid w:val="0"/>
              <w:spacing w:line="360" w:lineRule="auto"/>
              <w:jc w:val="center"/>
              <w:rPr>
                <w:rFonts w:ascii="仿宋" w:hAnsi="仿宋" w:eastAsia="仿宋" w:cs="仿宋"/>
                <w:sz w:val="24"/>
              </w:rPr>
            </w:pPr>
          </w:p>
        </w:tc>
        <w:tc>
          <w:tcPr>
            <w:tcW w:w="2037" w:type="dxa"/>
            <w:vAlign w:val="center"/>
          </w:tcPr>
          <w:p>
            <w:pPr>
              <w:snapToGrid w:val="0"/>
              <w:spacing w:line="360" w:lineRule="auto"/>
              <w:jc w:val="center"/>
              <w:rPr>
                <w:rFonts w:ascii="仿宋" w:hAnsi="仿宋" w:eastAsia="仿宋" w:cs="仿宋"/>
                <w:sz w:val="24"/>
              </w:rPr>
            </w:pPr>
          </w:p>
        </w:tc>
        <w:tc>
          <w:tcPr>
            <w:tcW w:w="855" w:type="dxa"/>
            <w:vAlign w:val="center"/>
          </w:tcPr>
          <w:p>
            <w:pPr>
              <w:snapToGrid w:val="0"/>
              <w:spacing w:line="360" w:lineRule="auto"/>
              <w:jc w:val="center"/>
              <w:rPr>
                <w:rFonts w:ascii="仿宋" w:hAnsi="仿宋" w:eastAsia="仿宋" w:cs="仿宋"/>
                <w:sz w:val="24"/>
              </w:rPr>
            </w:pPr>
          </w:p>
        </w:tc>
        <w:tc>
          <w:tcPr>
            <w:tcW w:w="811" w:type="dxa"/>
            <w:vAlign w:val="center"/>
          </w:tcPr>
          <w:p>
            <w:pPr>
              <w:spacing w:line="360" w:lineRule="auto"/>
              <w:jc w:val="center"/>
              <w:rPr>
                <w:rFonts w:ascii="仿宋" w:hAnsi="仿宋" w:eastAsia="仿宋" w:cs="仿宋"/>
                <w:sz w:val="24"/>
              </w:rPr>
            </w:pPr>
          </w:p>
        </w:tc>
        <w:tc>
          <w:tcPr>
            <w:tcW w:w="1296" w:type="dxa"/>
            <w:vAlign w:val="center"/>
          </w:tcPr>
          <w:p>
            <w:pPr>
              <w:spacing w:line="360" w:lineRule="auto"/>
              <w:jc w:val="center"/>
              <w:rPr>
                <w:rFonts w:ascii="仿宋" w:hAnsi="仿宋" w:eastAsia="仿宋" w:cs="仿宋"/>
                <w:sz w:val="24"/>
              </w:rPr>
            </w:pPr>
          </w:p>
        </w:tc>
        <w:tc>
          <w:tcPr>
            <w:tcW w:w="2588"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48" w:type="dxa"/>
            <w:vAlign w:val="center"/>
          </w:tcPr>
          <w:p>
            <w:pPr>
              <w:spacing w:line="360" w:lineRule="auto"/>
              <w:jc w:val="center"/>
              <w:rPr>
                <w:rFonts w:ascii="仿宋" w:hAnsi="仿宋" w:eastAsia="仿宋" w:cs="仿宋"/>
                <w:sz w:val="24"/>
              </w:rPr>
            </w:pPr>
          </w:p>
        </w:tc>
        <w:tc>
          <w:tcPr>
            <w:tcW w:w="926" w:type="dxa"/>
            <w:vAlign w:val="center"/>
          </w:tcPr>
          <w:p>
            <w:pPr>
              <w:snapToGrid w:val="0"/>
              <w:spacing w:line="360" w:lineRule="auto"/>
              <w:jc w:val="center"/>
              <w:rPr>
                <w:rFonts w:ascii="仿宋" w:hAnsi="仿宋" w:eastAsia="仿宋" w:cs="仿宋"/>
                <w:sz w:val="24"/>
              </w:rPr>
            </w:pPr>
          </w:p>
        </w:tc>
        <w:tc>
          <w:tcPr>
            <w:tcW w:w="2037" w:type="dxa"/>
            <w:vAlign w:val="center"/>
          </w:tcPr>
          <w:p>
            <w:pPr>
              <w:snapToGrid w:val="0"/>
              <w:spacing w:line="360" w:lineRule="auto"/>
              <w:jc w:val="center"/>
              <w:rPr>
                <w:rFonts w:ascii="仿宋" w:hAnsi="仿宋" w:eastAsia="仿宋" w:cs="仿宋"/>
                <w:sz w:val="24"/>
              </w:rPr>
            </w:pPr>
          </w:p>
        </w:tc>
        <w:tc>
          <w:tcPr>
            <w:tcW w:w="855" w:type="dxa"/>
            <w:vAlign w:val="center"/>
          </w:tcPr>
          <w:p>
            <w:pPr>
              <w:snapToGrid w:val="0"/>
              <w:spacing w:line="360" w:lineRule="auto"/>
              <w:jc w:val="center"/>
              <w:rPr>
                <w:rFonts w:ascii="仿宋" w:hAnsi="仿宋" w:eastAsia="仿宋" w:cs="仿宋"/>
                <w:sz w:val="24"/>
              </w:rPr>
            </w:pPr>
          </w:p>
        </w:tc>
        <w:tc>
          <w:tcPr>
            <w:tcW w:w="811" w:type="dxa"/>
            <w:vAlign w:val="center"/>
          </w:tcPr>
          <w:p>
            <w:pPr>
              <w:spacing w:line="360" w:lineRule="auto"/>
              <w:jc w:val="center"/>
              <w:rPr>
                <w:rFonts w:ascii="仿宋" w:hAnsi="仿宋" w:eastAsia="仿宋" w:cs="仿宋"/>
                <w:sz w:val="24"/>
              </w:rPr>
            </w:pPr>
          </w:p>
        </w:tc>
        <w:tc>
          <w:tcPr>
            <w:tcW w:w="1296" w:type="dxa"/>
            <w:vAlign w:val="center"/>
          </w:tcPr>
          <w:p>
            <w:pPr>
              <w:spacing w:line="360" w:lineRule="auto"/>
              <w:jc w:val="center"/>
              <w:rPr>
                <w:rFonts w:ascii="仿宋" w:hAnsi="仿宋" w:eastAsia="仿宋" w:cs="仿宋"/>
                <w:sz w:val="24"/>
              </w:rPr>
            </w:pPr>
          </w:p>
        </w:tc>
        <w:tc>
          <w:tcPr>
            <w:tcW w:w="2588"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861" w:type="dxa"/>
            <w:gridSpan w:val="7"/>
            <w:vAlign w:val="center"/>
          </w:tcPr>
          <w:p>
            <w:pPr>
              <w:spacing w:line="360" w:lineRule="auto"/>
              <w:jc w:val="left"/>
              <w:rPr>
                <w:rFonts w:ascii="仿宋" w:hAnsi="仿宋" w:eastAsia="仿宋" w:cs="仿宋"/>
                <w:sz w:val="24"/>
              </w:rPr>
            </w:pPr>
            <w:r>
              <w:rPr>
                <w:rFonts w:hint="eastAsia" w:ascii="仿宋" w:hAnsi="仿宋" w:eastAsia="仿宋" w:cs="仿宋"/>
                <w:sz w:val="24"/>
              </w:rPr>
              <w:t>合同总价（小写）：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861" w:type="dxa"/>
            <w:gridSpan w:val="7"/>
            <w:vAlign w:val="center"/>
          </w:tcPr>
          <w:p>
            <w:pPr>
              <w:spacing w:line="360" w:lineRule="auto"/>
              <w:jc w:val="left"/>
              <w:rPr>
                <w:rFonts w:ascii="仿宋" w:hAnsi="仿宋" w:eastAsia="仿宋" w:cs="仿宋"/>
                <w:sz w:val="24"/>
              </w:rPr>
            </w:pPr>
            <w:r>
              <w:rPr>
                <w:rFonts w:hint="eastAsia" w:ascii="仿宋" w:hAnsi="仿宋" w:eastAsia="仿宋" w:cs="仿宋"/>
                <w:sz w:val="24"/>
              </w:rPr>
              <w:t>合同总价（大写）：</w:t>
            </w:r>
          </w:p>
        </w:tc>
      </w:tr>
    </w:tbl>
    <w:p>
      <w:pPr>
        <w:rPr>
          <w:rFonts w:ascii="仿宋" w:hAnsi="仿宋" w:eastAsia="仿宋" w:cs="宋体"/>
          <w:b/>
          <w:snapToGrid w:val="0"/>
          <w:kern w:val="0"/>
          <w:sz w:val="24"/>
        </w:rPr>
      </w:pPr>
    </w:p>
    <w:p>
      <w:pPr>
        <w:snapToGrid w:val="0"/>
        <w:spacing w:before="120" w:beforeLines="50" w:line="360" w:lineRule="auto"/>
        <w:jc w:val="left"/>
        <w:outlineLvl w:val="2"/>
        <w:rPr>
          <w:rFonts w:ascii="仿宋" w:hAnsi="仿宋" w:eastAsia="仿宋" w:cs="宋体"/>
          <w:b/>
          <w:snapToGrid w:val="0"/>
          <w:kern w:val="0"/>
          <w:sz w:val="24"/>
        </w:rPr>
      </w:pPr>
      <w:r>
        <w:rPr>
          <w:rFonts w:hint="eastAsia" w:ascii="仿宋" w:hAnsi="仿宋" w:eastAsia="仿宋" w:cs="宋体"/>
          <w:b/>
          <w:snapToGrid w:val="0"/>
          <w:kern w:val="0"/>
          <w:sz w:val="24"/>
        </w:rPr>
        <w:t>附件2：项目人员清单</w:t>
      </w:r>
    </w:p>
    <w:tbl>
      <w:tblPr>
        <w:tblStyle w:val="62"/>
        <w:tblW w:w="58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776"/>
        <w:gridCol w:w="1871"/>
        <w:gridCol w:w="1871"/>
        <w:gridCol w:w="2476"/>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65" w:type="pct"/>
            <w:noWrap/>
            <w:vAlign w:val="center"/>
          </w:tcPr>
          <w:p>
            <w:pPr>
              <w:snapToGrid w:val="0"/>
              <w:spacing w:line="360" w:lineRule="auto"/>
              <w:jc w:val="center"/>
              <w:rPr>
                <w:rFonts w:ascii="仿宋" w:hAnsi="仿宋" w:eastAsia="仿宋" w:cs="仿宋"/>
                <w:szCs w:val="21"/>
              </w:rPr>
            </w:pPr>
            <w:r>
              <w:rPr>
                <w:rFonts w:ascii="仿宋" w:hAnsi="仿宋" w:eastAsia="仿宋" w:cs="仿宋"/>
                <w:szCs w:val="21"/>
              </w:rPr>
              <w:t>序号</w:t>
            </w:r>
          </w:p>
        </w:tc>
        <w:tc>
          <w:tcPr>
            <w:tcW w:w="822" w:type="pct"/>
            <w:noWrap/>
            <w:vAlign w:val="center"/>
          </w:tcPr>
          <w:p>
            <w:pPr>
              <w:snapToGrid w:val="0"/>
              <w:spacing w:line="360" w:lineRule="auto"/>
              <w:jc w:val="center"/>
              <w:rPr>
                <w:rFonts w:ascii="仿宋" w:hAnsi="仿宋" w:eastAsia="仿宋" w:cs="仿宋"/>
                <w:szCs w:val="21"/>
              </w:rPr>
            </w:pPr>
            <w:r>
              <w:rPr>
                <w:rFonts w:ascii="仿宋" w:hAnsi="仿宋" w:eastAsia="仿宋" w:cs="仿宋"/>
                <w:szCs w:val="21"/>
              </w:rPr>
              <w:t>姓名</w:t>
            </w:r>
          </w:p>
        </w:tc>
        <w:tc>
          <w:tcPr>
            <w:tcW w:w="866" w:type="pct"/>
            <w:noWrap/>
          </w:tcPr>
          <w:p>
            <w:pPr>
              <w:snapToGrid w:val="0"/>
              <w:spacing w:line="360" w:lineRule="auto"/>
              <w:jc w:val="center"/>
              <w:rPr>
                <w:rFonts w:ascii="仿宋" w:hAnsi="仿宋" w:eastAsia="仿宋" w:cs="仿宋"/>
                <w:szCs w:val="21"/>
              </w:rPr>
            </w:pPr>
            <w:r>
              <w:rPr>
                <w:rFonts w:hint="eastAsia" w:ascii="仿宋" w:hAnsi="仿宋" w:eastAsia="仿宋" w:cs="仿宋"/>
                <w:szCs w:val="21"/>
              </w:rPr>
              <w:t>身份证号码</w:t>
            </w:r>
          </w:p>
        </w:tc>
        <w:tc>
          <w:tcPr>
            <w:tcW w:w="866" w:type="pct"/>
            <w:noWrap/>
            <w:vAlign w:val="center"/>
          </w:tcPr>
          <w:p>
            <w:pPr>
              <w:snapToGrid w:val="0"/>
              <w:spacing w:line="360" w:lineRule="auto"/>
              <w:jc w:val="center"/>
              <w:rPr>
                <w:rFonts w:ascii="仿宋" w:hAnsi="仿宋" w:eastAsia="仿宋" w:cs="仿宋"/>
                <w:szCs w:val="21"/>
              </w:rPr>
            </w:pPr>
            <w:r>
              <w:rPr>
                <w:rFonts w:ascii="仿宋" w:hAnsi="仿宋" w:eastAsia="仿宋" w:cs="仿宋"/>
                <w:szCs w:val="21"/>
              </w:rPr>
              <w:t>联系方式</w:t>
            </w:r>
          </w:p>
        </w:tc>
        <w:tc>
          <w:tcPr>
            <w:tcW w:w="1146" w:type="pct"/>
            <w:noWrap/>
            <w:vAlign w:val="center"/>
          </w:tcPr>
          <w:p>
            <w:pPr>
              <w:snapToGrid w:val="0"/>
              <w:spacing w:line="360" w:lineRule="auto"/>
              <w:jc w:val="center"/>
              <w:rPr>
                <w:rFonts w:ascii="仿宋" w:hAnsi="仿宋" w:eastAsia="仿宋" w:cs="仿宋"/>
                <w:szCs w:val="21"/>
              </w:rPr>
            </w:pPr>
            <w:r>
              <w:rPr>
                <w:rFonts w:ascii="仿宋" w:hAnsi="仿宋" w:eastAsia="仿宋" w:cs="仿宋"/>
                <w:szCs w:val="21"/>
              </w:rPr>
              <w:t>本项目承担的职责</w:t>
            </w:r>
          </w:p>
        </w:tc>
        <w:tc>
          <w:tcPr>
            <w:tcW w:w="935" w:type="pct"/>
            <w:noWrap/>
          </w:tcPr>
          <w:p>
            <w:pPr>
              <w:snapToGrid w:val="0"/>
              <w:spacing w:line="360" w:lineRule="auto"/>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65" w:type="pct"/>
            <w:noWrap/>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1</w:t>
            </w:r>
          </w:p>
        </w:tc>
        <w:tc>
          <w:tcPr>
            <w:tcW w:w="822" w:type="pct"/>
            <w:noWrap/>
            <w:vAlign w:val="center"/>
          </w:tcPr>
          <w:p>
            <w:pPr>
              <w:snapToGrid w:val="0"/>
              <w:spacing w:line="360" w:lineRule="auto"/>
              <w:jc w:val="center"/>
              <w:rPr>
                <w:rFonts w:ascii="仿宋" w:hAnsi="仿宋" w:eastAsia="仿宋" w:cs="仿宋"/>
                <w:szCs w:val="21"/>
              </w:rPr>
            </w:pPr>
          </w:p>
        </w:tc>
        <w:tc>
          <w:tcPr>
            <w:tcW w:w="866" w:type="pct"/>
            <w:noWrap/>
          </w:tcPr>
          <w:p>
            <w:pPr>
              <w:spacing w:line="360" w:lineRule="auto"/>
              <w:jc w:val="center"/>
              <w:rPr>
                <w:rFonts w:ascii="仿宋" w:hAnsi="仿宋" w:eastAsia="仿宋" w:cs="仿宋"/>
                <w:b/>
              </w:rPr>
            </w:pPr>
          </w:p>
        </w:tc>
        <w:tc>
          <w:tcPr>
            <w:tcW w:w="866" w:type="pct"/>
            <w:noWrap/>
            <w:vAlign w:val="center"/>
          </w:tcPr>
          <w:p>
            <w:pPr>
              <w:spacing w:line="360" w:lineRule="auto"/>
              <w:jc w:val="center"/>
              <w:rPr>
                <w:rFonts w:ascii="仿宋" w:hAnsi="仿宋" w:eastAsia="仿宋" w:cs="仿宋"/>
                <w:b/>
              </w:rPr>
            </w:pPr>
          </w:p>
        </w:tc>
        <w:tc>
          <w:tcPr>
            <w:tcW w:w="1146" w:type="pct"/>
            <w:noWrap/>
            <w:vAlign w:val="center"/>
          </w:tcPr>
          <w:p>
            <w:pPr>
              <w:spacing w:line="360" w:lineRule="auto"/>
              <w:jc w:val="center"/>
              <w:rPr>
                <w:rFonts w:ascii="仿宋" w:hAnsi="仿宋" w:eastAsia="仿宋" w:cs="仿宋"/>
              </w:rPr>
            </w:pPr>
          </w:p>
        </w:tc>
        <w:tc>
          <w:tcPr>
            <w:tcW w:w="935" w:type="pct"/>
            <w:noWrap/>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365" w:type="pct"/>
            <w:noWrap/>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2</w:t>
            </w:r>
          </w:p>
        </w:tc>
        <w:tc>
          <w:tcPr>
            <w:tcW w:w="822" w:type="pct"/>
            <w:noWrap/>
            <w:vAlign w:val="center"/>
          </w:tcPr>
          <w:p>
            <w:pPr>
              <w:snapToGrid w:val="0"/>
              <w:spacing w:line="360" w:lineRule="auto"/>
              <w:jc w:val="center"/>
              <w:rPr>
                <w:rFonts w:ascii="仿宋" w:hAnsi="仿宋" w:eastAsia="仿宋" w:cs="仿宋"/>
                <w:szCs w:val="21"/>
              </w:rPr>
            </w:pPr>
          </w:p>
        </w:tc>
        <w:tc>
          <w:tcPr>
            <w:tcW w:w="866" w:type="pct"/>
            <w:noWrap/>
          </w:tcPr>
          <w:p>
            <w:pPr>
              <w:spacing w:line="360" w:lineRule="auto"/>
              <w:jc w:val="center"/>
              <w:rPr>
                <w:rFonts w:ascii="仿宋" w:hAnsi="仿宋" w:eastAsia="仿宋" w:cs="仿宋"/>
                <w:b/>
              </w:rPr>
            </w:pPr>
          </w:p>
        </w:tc>
        <w:tc>
          <w:tcPr>
            <w:tcW w:w="866" w:type="pct"/>
            <w:noWrap/>
            <w:vAlign w:val="center"/>
          </w:tcPr>
          <w:p>
            <w:pPr>
              <w:spacing w:line="360" w:lineRule="auto"/>
              <w:jc w:val="center"/>
              <w:rPr>
                <w:rFonts w:ascii="仿宋" w:hAnsi="仿宋" w:eastAsia="仿宋" w:cs="仿宋"/>
                <w:b/>
              </w:rPr>
            </w:pPr>
          </w:p>
        </w:tc>
        <w:tc>
          <w:tcPr>
            <w:tcW w:w="1146" w:type="pct"/>
            <w:noWrap/>
            <w:vAlign w:val="center"/>
          </w:tcPr>
          <w:p>
            <w:pPr>
              <w:spacing w:line="360" w:lineRule="auto"/>
              <w:jc w:val="center"/>
              <w:rPr>
                <w:rFonts w:ascii="仿宋" w:hAnsi="仿宋" w:eastAsia="仿宋" w:cs="仿宋"/>
              </w:rPr>
            </w:pPr>
          </w:p>
        </w:tc>
        <w:tc>
          <w:tcPr>
            <w:tcW w:w="935" w:type="pct"/>
            <w:noWrap/>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65" w:type="pct"/>
            <w:noWrap/>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3</w:t>
            </w:r>
          </w:p>
        </w:tc>
        <w:tc>
          <w:tcPr>
            <w:tcW w:w="822" w:type="pct"/>
            <w:noWrap/>
            <w:vAlign w:val="center"/>
          </w:tcPr>
          <w:p>
            <w:pPr>
              <w:snapToGrid w:val="0"/>
              <w:spacing w:line="360" w:lineRule="auto"/>
              <w:jc w:val="center"/>
              <w:rPr>
                <w:rFonts w:ascii="仿宋" w:hAnsi="仿宋" w:eastAsia="仿宋" w:cs="仿宋"/>
                <w:szCs w:val="21"/>
              </w:rPr>
            </w:pPr>
          </w:p>
        </w:tc>
        <w:tc>
          <w:tcPr>
            <w:tcW w:w="866" w:type="pct"/>
            <w:noWrap/>
          </w:tcPr>
          <w:p>
            <w:pPr>
              <w:spacing w:line="360" w:lineRule="auto"/>
              <w:jc w:val="center"/>
              <w:rPr>
                <w:rFonts w:ascii="仿宋" w:hAnsi="仿宋" w:eastAsia="仿宋" w:cs="仿宋"/>
                <w:b/>
              </w:rPr>
            </w:pPr>
          </w:p>
        </w:tc>
        <w:tc>
          <w:tcPr>
            <w:tcW w:w="866" w:type="pct"/>
            <w:noWrap/>
            <w:vAlign w:val="center"/>
          </w:tcPr>
          <w:p>
            <w:pPr>
              <w:spacing w:line="360" w:lineRule="auto"/>
              <w:jc w:val="center"/>
              <w:rPr>
                <w:rFonts w:ascii="仿宋" w:hAnsi="仿宋" w:eastAsia="仿宋" w:cs="仿宋"/>
                <w:b/>
              </w:rPr>
            </w:pPr>
          </w:p>
        </w:tc>
        <w:tc>
          <w:tcPr>
            <w:tcW w:w="1146" w:type="pct"/>
            <w:noWrap/>
            <w:vAlign w:val="center"/>
          </w:tcPr>
          <w:p>
            <w:pPr>
              <w:spacing w:line="360" w:lineRule="auto"/>
              <w:jc w:val="center"/>
              <w:rPr>
                <w:rFonts w:ascii="仿宋" w:hAnsi="仿宋" w:eastAsia="仿宋" w:cs="仿宋"/>
              </w:rPr>
            </w:pPr>
          </w:p>
        </w:tc>
        <w:tc>
          <w:tcPr>
            <w:tcW w:w="935" w:type="pct"/>
            <w:noWrap/>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65" w:type="pct"/>
            <w:noWrap/>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4</w:t>
            </w:r>
          </w:p>
        </w:tc>
        <w:tc>
          <w:tcPr>
            <w:tcW w:w="822" w:type="pct"/>
            <w:noWrap/>
            <w:vAlign w:val="center"/>
          </w:tcPr>
          <w:p>
            <w:pPr>
              <w:snapToGrid w:val="0"/>
              <w:spacing w:line="360" w:lineRule="auto"/>
              <w:jc w:val="center"/>
              <w:rPr>
                <w:rFonts w:ascii="仿宋" w:hAnsi="仿宋" w:eastAsia="仿宋" w:cs="仿宋"/>
                <w:szCs w:val="21"/>
              </w:rPr>
            </w:pPr>
          </w:p>
        </w:tc>
        <w:tc>
          <w:tcPr>
            <w:tcW w:w="866" w:type="pct"/>
            <w:noWrap/>
          </w:tcPr>
          <w:p>
            <w:pPr>
              <w:spacing w:line="360" w:lineRule="auto"/>
              <w:jc w:val="center"/>
              <w:rPr>
                <w:rFonts w:ascii="仿宋" w:hAnsi="仿宋" w:eastAsia="仿宋" w:cs="仿宋"/>
                <w:b/>
              </w:rPr>
            </w:pPr>
          </w:p>
        </w:tc>
        <w:tc>
          <w:tcPr>
            <w:tcW w:w="866" w:type="pct"/>
            <w:noWrap/>
            <w:vAlign w:val="center"/>
          </w:tcPr>
          <w:p>
            <w:pPr>
              <w:spacing w:line="360" w:lineRule="auto"/>
              <w:jc w:val="center"/>
              <w:rPr>
                <w:rFonts w:ascii="仿宋" w:hAnsi="仿宋" w:eastAsia="仿宋" w:cs="仿宋"/>
                <w:b/>
              </w:rPr>
            </w:pPr>
          </w:p>
        </w:tc>
        <w:tc>
          <w:tcPr>
            <w:tcW w:w="1146" w:type="pct"/>
            <w:noWrap/>
            <w:vAlign w:val="center"/>
          </w:tcPr>
          <w:p>
            <w:pPr>
              <w:spacing w:line="360" w:lineRule="auto"/>
              <w:jc w:val="center"/>
              <w:rPr>
                <w:rFonts w:ascii="仿宋" w:hAnsi="仿宋" w:eastAsia="仿宋" w:cs="仿宋"/>
              </w:rPr>
            </w:pPr>
          </w:p>
        </w:tc>
        <w:tc>
          <w:tcPr>
            <w:tcW w:w="935" w:type="pct"/>
            <w:noWrap/>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65" w:type="pct"/>
            <w:noWrap/>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5</w:t>
            </w:r>
          </w:p>
        </w:tc>
        <w:tc>
          <w:tcPr>
            <w:tcW w:w="822" w:type="pct"/>
            <w:noWrap/>
            <w:vAlign w:val="center"/>
          </w:tcPr>
          <w:p>
            <w:pPr>
              <w:snapToGrid w:val="0"/>
              <w:spacing w:line="360" w:lineRule="auto"/>
              <w:jc w:val="center"/>
              <w:rPr>
                <w:rFonts w:ascii="仿宋" w:hAnsi="仿宋" w:eastAsia="仿宋" w:cs="仿宋"/>
                <w:szCs w:val="21"/>
              </w:rPr>
            </w:pPr>
          </w:p>
        </w:tc>
        <w:tc>
          <w:tcPr>
            <w:tcW w:w="866" w:type="pct"/>
            <w:noWrap/>
          </w:tcPr>
          <w:p>
            <w:pPr>
              <w:spacing w:line="360" w:lineRule="auto"/>
              <w:jc w:val="center"/>
              <w:rPr>
                <w:rFonts w:ascii="仿宋" w:hAnsi="仿宋" w:eastAsia="仿宋" w:cs="仿宋"/>
                <w:b/>
              </w:rPr>
            </w:pPr>
          </w:p>
        </w:tc>
        <w:tc>
          <w:tcPr>
            <w:tcW w:w="866" w:type="pct"/>
            <w:noWrap/>
            <w:vAlign w:val="center"/>
          </w:tcPr>
          <w:p>
            <w:pPr>
              <w:spacing w:line="360" w:lineRule="auto"/>
              <w:jc w:val="center"/>
              <w:rPr>
                <w:rFonts w:ascii="仿宋" w:hAnsi="仿宋" w:eastAsia="仿宋" w:cs="仿宋"/>
                <w:b/>
              </w:rPr>
            </w:pPr>
          </w:p>
        </w:tc>
        <w:tc>
          <w:tcPr>
            <w:tcW w:w="1146" w:type="pct"/>
            <w:noWrap/>
            <w:vAlign w:val="center"/>
          </w:tcPr>
          <w:p>
            <w:pPr>
              <w:spacing w:line="360" w:lineRule="auto"/>
              <w:jc w:val="center"/>
              <w:rPr>
                <w:rFonts w:ascii="仿宋" w:hAnsi="仿宋" w:eastAsia="仿宋" w:cs="仿宋"/>
              </w:rPr>
            </w:pPr>
          </w:p>
        </w:tc>
        <w:tc>
          <w:tcPr>
            <w:tcW w:w="935" w:type="pct"/>
            <w:noWrap/>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65" w:type="pct"/>
            <w:noWrap/>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6</w:t>
            </w:r>
          </w:p>
        </w:tc>
        <w:tc>
          <w:tcPr>
            <w:tcW w:w="822" w:type="pct"/>
            <w:noWrap/>
            <w:vAlign w:val="center"/>
          </w:tcPr>
          <w:p>
            <w:pPr>
              <w:snapToGrid w:val="0"/>
              <w:spacing w:line="360" w:lineRule="auto"/>
              <w:jc w:val="center"/>
              <w:rPr>
                <w:rFonts w:ascii="仿宋" w:hAnsi="仿宋" w:eastAsia="仿宋" w:cs="仿宋"/>
                <w:szCs w:val="21"/>
              </w:rPr>
            </w:pPr>
          </w:p>
        </w:tc>
        <w:tc>
          <w:tcPr>
            <w:tcW w:w="866" w:type="pct"/>
            <w:noWrap/>
          </w:tcPr>
          <w:p>
            <w:pPr>
              <w:snapToGrid w:val="0"/>
              <w:spacing w:line="360" w:lineRule="auto"/>
              <w:jc w:val="center"/>
              <w:rPr>
                <w:rFonts w:ascii="仿宋" w:hAnsi="仿宋" w:eastAsia="仿宋" w:cs="仿宋"/>
                <w:szCs w:val="21"/>
              </w:rPr>
            </w:pPr>
          </w:p>
        </w:tc>
        <w:tc>
          <w:tcPr>
            <w:tcW w:w="866" w:type="pct"/>
            <w:noWrap/>
            <w:vAlign w:val="center"/>
          </w:tcPr>
          <w:p>
            <w:pPr>
              <w:snapToGrid w:val="0"/>
              <w:spacing w:line="360" w:lineRule="auto"/>
              <w:jc w:val="center"/>
              <w:rPr>
                <w:rFonts w:ascii="仿宋" w:hAnsi="仿宋" w:eastAsia="仿宋" w:cs="仿宋"/>
                <w:szCs w:val="21"/>
              </w:rPr>
            </w:pPr>
          </w:p>
        </w:tc>
        <w:tc>
          <w:tcPr>
            <w:tcW w:w="1146" w:type="pct"/>
            <w:noWrap/>
            <w:vAlign w:val="center"/>
          </w:tcPr>
          <w:p>
            <w:pPr>
              <w:spacing w:line="360" w:lineRule="auto"/>
              <w:jc w:val="center"/>
              <w:rPr>
                <w:rFonts w:ascii="仿宋" w:hAnsi="仿宋" w:eastAsia="仿宋" w:cs="仿宋"/>
              </w:rPr>
            </w:pPr>
          </w:p>
        </w:tc>
        <w:tc>
          <w:tcPr>
            <w:tcW w:w="935" w:type="pct"/>
            <w:noWrap/>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65" w:type="pct"/>
            <w:noWrap/>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7</w:t>
            </w:r>
          </w:p>
        </w:tc>
        <w:tc>
          <w:tcPr>
            <w:tcW w:w="822" w:type="pct"/>
            <w:noWrap/>
            <w:vAlign w:val="center"/>
          </w:tcPr>
          <w:p>
            <w:pPr>
              <w:snapToGrid w:val="0"/>
              <w:spacing w:line="360" w:lineRule="auto"/>
              <w:jc w:val="center"/>
              <w:rPr>
                <w:rFonts w:ascii="仿宋" w:hAnsi="仿宋" w:eastAsia="仿宋" w:cs="仿宋"/>
                <w:szCs w:val="21"/>
              </w:rPr>
            </w:pPr>
          </w:p>
        </w:tc>
        <w:tc>
          <w:tcPr>
            <w:tcW w:w="866" w:type="pct"/>
            <w:noWrap/>
          </w:tcPr>
          <w:p>
            <w:pPr>
              <w:snapToGrid w:val="0"/>
              <w:spacing w:line="360" w:lineRule="auto"/>
              <w:jc w:val="center"/>
              <w:rPr>
                <w:rFonts w:ascii="仿宋" w:hAnsi="仿宋" w:eastAsia="仿宋" w:cs="仿宋"/>
                <w:szCs w:val="21"/>
              </w:rPr>
            </w:pPr>
          </w:p>
        </w:tc>
        <w:tc>
          <w:tcPr>
            <w:tcW w:w="866" w:type="pct"/>
            <w:noWrap/>
            <w:vAlign w:val="center"/>
          </w:tcPr>
          <w:p>
            <w:pPr>
              <w:snapToGrid w:val="0"/>
              <w:spacing w:line="360" w:lineRule="auto"/>
              <w:jc w:val="center"/>
              <w:rPr>
                <w:rFonts w:ascii="仿宋" w:hAnsi="仿宋" w:eastAsia="仿宋" w:cs="仿宋"/>
                <w:szCs w:val="21"/>
              </w:rPr>
            </w:pPr>
          </w:p>
        </w:tc>
        <w:tc>
          <w:tcPr>
            <w:tcW w:w="1146" w:type="pct"/>
            <w:noWrap/>
            <w:vAlign w:val="center"/>
          </w:tcPr>
          <w:p>
            <w:pPr>
              <w:spacing w:line="360" w:lineRule="auto"/>
              <w:jc w:val="center"/>
              <w:rPr>
                <w:rFonts w:ascii="仿宋" w:hAnsi="仿宋" w:eastAsia="仿宋" w:cs="仿宋"/>
              </w:rPr>
            </w:pPr>
          </w:p>
        </w:tc>
        <w:tc>
          <w:tcPr>
            <w:tcW w:w="935" w:type="pct"/>
            <w:noWrap/>
          </w:tcPr>
          <w:p>
            <w:pPr>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65" w:type="pct"/>
            <w:noWrap/>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8</w:t>
            </w:r>
          </w:p>
        </w:tc>
        <w:tc>
          <w:tcPr>
            <w:tcW w:w="822" w:type="pct"/>
            <w:noWrap/>
            <w:vAlign w:val="center"/>
          </w:tcPr>
          <w:p>
            <w:pPr>
              <w:snapToGrid w:val="0"/>
              <w:spacing w:line="360" w:lineRule="auto"/>
              <w:jc w:val="center"/>
              <w:rPr>
                <w:rFonts w:ascii="仿宋" w:hAnsi="仿宋" w:eastAsia="仿宋" w:cs="仿宋"/>
                <w:szCs w:val="21"/>
              </w:rPr>
            </w:pPr>
          </w:p>
        </w:tc>
        <w:tc>
          <w:tcPr>
            <w:tcW w:w="866" w:type="pct"/>
            <w:noWrap/>
          </w:tcPr>
          <w:p>
            <w:pPr>
              <w:snapToGrid w:val="0"/>
              <w:spacing w:line="360" w:lineRule="auto"/>
              <w:jc w:val="center"/>
              <w:rPr>
                <w:rFonts w:ascii="仿宋" w:hAnsi="仿宋" w:eastAsia="仿宋" w:cs="仿宋"/>
                <w:szCs w:val="21"/>
              </w:rPr>
            </w:pPr>
          </w:p>
        </w:tc>
        <w:tc>
          <w:tcPr>
            <w:tcW w:w="866" w:type="pct"/>
            <w:noWrap/>
            <w:vAlign w:val="center"/>
          </w:tcPr>
          <w:p>
            <w:pPr>
              <w:snapToGrid w:val="0"/>
              <w:spacing w:line="360" w:lineRule="auto"/>
              <w:jc w:val="center"/>
              <w:rPr>
                <w:rFonts w:ascii="仿宋" w:hAnsi="仿宋" w:eastAsia="仿宋" w:cs="仿宋"/>
                <w:szCs w:val="21"/>
              </w:rPr>
            </w:pPr>
          </w:p>
        </w:tc>
        <w:tc>
          <w:tcPr>
            <w:tcW w:w="1146" w:type="pct"/>
            <w:noWrap/>
            <w:vAlign w:val="center"/>
          </w:tcPr>
          <w:p>
            <w:pPr>
              <w:snapToGrid w:val="0"/>
              <w:spacing w:line="360" w:lineRule="auto"/>
              <w:jc w:val="center"/>
              <w:rPr>
                <w:rFonts w:ascii="仿宋" w:hAnsi="仿宋" w:eastAsia="仿宋" w:cs="仿宋"/>
                <w:szCs w:val="21"/>
              </w:rPr>
            </w:pPr>
          </w:p>
        </w:tc>
        <w:tc>
          <w:tcPr>
            <w:tcW w:w="935" w:type="pct"/>
            <w:noWrap/>
          </w:tcPr>
          <w:p>
            <w:pPr>
              <w:snapToGrid w:val="0"/>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65" w:type="pct"/>
            <w:noWrap/>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9</w:t>
            </w:r>
          </w:p>
        </w:tc>
        <w:tc>
          <w:tcPr>
            <w:tcW w:w="822" w:type="pct"/>
            <w:noWrap/>
            <w:vAlign w:val="center"/>
          </w:tcPr>
          <w:p>
            <w:pPr>
              <w:snapToGrid w:val="0"/>
              <w:spacing w:line="360" w:lineRule="auto"/>
              <w:jc w:val="center"/>
              <w:rPr>
                <w:rFonts w:ascii="仿宋" w:hAnsi="仿宋" w:eastAsia="仿宋" w:cs="仿宋"/>
                <w:szCs w:val="21"/>
              </w:rPr>
            </w:pPr>
          </w:p>
        </w:tc>
        <w:tc>
          <w:tcPr>
            <w:tcW w:w="866" w:type="pct"/>
            <w:noWrap/>
          </w:tcPr>
          <w:p>
            <w:pPr>
              <w:snapToGrid w:val="0"/>
              <w:spacing w:line="360" w:lineRule="auto"/>
              <w:jc w:val="center"/>
              <w:rPr>
                <w:rFonts w:ascii="仿宋" w:hAnsi="仿宋" w:eastAsia="仿宋" w:cs="仿宋"/>
                <w:szCs w:val="21"/>
              </w:rPr>
            </w:pPr>
          </w:p>
        </w:tc>
        <w:tc>
          <w:tcPr>
            <w:tcW w:w="866" w:type="pct"/>
            <w:noWrap/>
            <w:vAlign w:val="center"/>
          </w:tcPr>
          <w:p>
            <w:pPr>
              <w:snapToGrid w:val="0"/>
              <w:spacing w:line="360" w:lineRule="auto"/>
              <w:jc w:val="center"/>
              <w:rPr>
                <w:rFonts w:ascii="仿宋" w:hAnsi="仿宋" w:eastAsia="仿宋" w:cs="仿宋"/>
                <w:szCs w:val="21"/>
              </w:rPr>
            </w:pPr>
          </w:p>
        </w:tc>
        <w:tc>
          <w:tcPr>
            <w:tcW w:w="1146" w:type="pct"/>
            <w:noWrap/>
            <w:vAlign w:val="center"/>
          </w:tcPr>
          <w:p>
            <w:pPr>
              <w:snapToGrid w:val="0"/>
              <w:spacing w:line="360" w:lineRule="auto"/>
              <w:jc w:val="center"/>
              <w:rPr>
                <w:rFonts w:ascii="仿宋" w:hAnsi="仿宋" w:eastAsia="仿宋" w:cs="仿宋"/>
                <w:szCs w:val="21"/>
              </w:rPr>
            </w:pPr>
          </w:p>
        </w:tc>
        <w:tc>
          <w:tcPr>
            <w:tcW w:w="935" w:type="pct"/>
            <w:noWrap/>
          </w:tcPr>
          <w:p>
            <w:pPr>
              <w:snapToGrid w:val="0"/>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65" w:type="pct"/>
            <w:noWrap/>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10</w:t>
            </w:r>
          </w:p>
        </w:tc>
        <w:tc>
          <w:tcPr>
            <w:tcW w:w="822" w:type="pct"/>
            <w:noWrap/>
            <w:vAlign w:val="center"/>
          </w:tcPr>
          <w:p>
            <w:pPr>
              <w:snapToGrid w:val="0"/>
              <w:spacing w:line="360" w:lineRule="auto"/>
              <w:jc w:val="center"/>
              <w:rPr>
                <w:rFonts w:ascii="仿宋" w:hAnsi="仿宋" w:eastAsia="仿宋" w:cs="仿宋"/>
                <w:szCs w:val="21"/>
              </w:rPr>
            </w:pPr>
          </w:p>
        </w:tc>
        <w:tc>
          <w:tcPr>
            <w:tcW w:w="866" w:type="pct"/>
            <w:noWrap/>
          </w:tcPr>
          <w:p>
            <w:pPr>
              <w:snapToGrid w:val="0"/>
              <w:spacing w:line="360" w:lineRule="auto"/>
              <w:jc w:val="center"/>
              <w:rPr>
                <w:rFonts w:ascii="仿宋" w:hAnsi="仿宋" w:eastAsia="仿宋" w:cs="仿宋"/>
                <w:szCs w:val="21"/>
              </w:rPr>
            </w:pPr>
          </w:p>
        </w:tc>
        <w:tc>
          <w:tcPr>
            <w:tcW w:w="866" w:type="pct"/>
            <w:noWrap/>
            <w:vAlign w:val="center"/>
          </w:tcPr>
          <w:p>
            <w:pPr>
              <w:snapToGrid w:val="0"/>
              <w:spacing w:line="360" w:lineRule="auto"/>
              <w:jc w:val="center"/>
              <w:rPr>
                <w:rFonts w:ascii="仿宋" w:hAnsi="仿宋" w:eastAsia="仿宋" w:cs="仿宋"/>
                <w:szCs w:val="21"/>
              </w:rPr>
            </w:pPr>
          </w:p>
        </w:tc>
        <w:tc>
          <w:tcPr>
            <w:tcW w:w="1146" w:type="pct"/>
            <w:noWrap/>
            <w:vAlign w:val="center"/>
          </w:tcPr>
          <w:p>
            <w:pPr>
              <w:snapToGrid w:val="0"/>
              <w:spacing w:line="360" w:lineRule="auto"/>
              <w:jc w:val="center"/>
              <w:rPr>
                <w:rFonts w:ascii="仿宋" w:hAnsi="仿宋" w:eastAsia="仿宋" w:cs="仿宋"/>
                <w:szCs w:val="21"/>
              </w:rPr>
            </w:pPr>
          </w:p>
        </w:tc>
        <w:tc>
          <w:tcPr>
            <w:tcW w:w="935" w:type="pct"/>
            <w:noWrap/>
          </w:tcPr>
          <w:p>
            <w:pPr>
              <w:snapToGrid w:val="0"/>
              <w:spacing w:line="360" w:lineRule="auto"/>
              <w:jc w:val="center"/>
              <w:rPr>
                <w:rFonts w:ascii="仿宋" w:hAnsi="仿宋" w:eastAsia="仿宋" w:cs="仿宋"/>
                <w:szCs w:val="21"/>
              </w:rPr>
            </w:pPr>
          </w:p>
        </w:tc>
      </w:tr>
    </w:tbl>
    <w:p>
      <w:pPr>
        <w:spacing w:line="360" w:lineRule="auto"/>
        <w:ind w:left="-420" w:leftChars="-200" w:right="-420" w:rightChars="-200" w:firstLine="480" w:firstLineChars="200"/>
        <w:jc w:val="left"/>
        <w:outlineLvl w:val="0"/>
        <w:rPr>
          <w:rFonts w:ascii="仿宋" w:hAnsi="仿宋" w:eastAsia="仿宋"/>
          <w:sz w:val="24"/>
        </w:rPr>
      </w:pPr>
    </w:p>
    <w:p>
      <w:pPr>
        <w:widowControl/>
        <w:adjustRightInd/>
        <w:jc w:val="left"/>
        <w:rPr>
          <w:rFonts w:ascii="仿宋" w:hAnsi="仿宋" w:eastAsia="仿宋" w:cs="宋体"/>
          <w:b/>
          <w:snapToGrid w:val="0"/>
          <w:kern w:val="0"/>
          <w:sz w:val="24"/>
        </w:rPr>
      </w:pPr>
      <w:r>
        <w:rPr>
          <w:rFonts w:hint="eastAsia" w:ascii="仿宋" w:hAnsi="仿宋" w:eastAsia="仿宋" w:cs="宋体"/>
          <w:b/>
          <w:snapToGrid w:val="0"/>
          <w:kern w:val="0"/>
          <w:sz w:val="24"/>
        </w:rPr>
        <w:t>附件3：考核表</w:t>
      </w:r>
    </w:p>
    <w:p>
      <w:pPr>
        <w:pStyle w:val="2"/>
      </w:pPr>
    </w:p>
    <w:p>
      <w:pPr>
        <w:spacing w:line="360" w:lineRule="auto"/>
        <w:ind w:left="210" w:leftChars="100" w:firstLine="480" w:firstLineChars="200"/>
        <w:jc w:val="left"/>
        <w:rPr>
          <w:rFonts w:ascii="仿宋" w:hAnsi="仿宋" w:eastAsia="仿宋" w:cs="仿宋"/>
          <w:sz w:val="24"/>
        </w:rPr>
      </w:pPr>
      <w:r>
        <w:rPr>
          <w:rFonts w:hint="eastAsia" w:ascii="仿宋" w:hAnsi="仿宋" w:eastAsia="仿宋" w:cs="仿宋"/>
          <w:sz w:val="24"/>
        </w:rPr>
        <w:t>乙方履行对服务内容及其相关的服务，甲方负责投标人的管理指导、验收考核等职责，督促其履行合同。</w:t>
      </w:r>
    </w:p>
    <w:p>
      <w:pPr>
        <w:spacing w:line="360" w:lineRule="auto"/>
        <w:ind w:left="210" w:leftChars="100" w:firstLine="480" w:firstLineChars="200"/>
        <w:jc w:val="left"/>
        <w:rPr>
          <w:rFonts w:ascii="仿宋" w:hAnsi="仿宋" w:eastAsia="仿宋" w:cs="仿宋"/>
          <w:sz w:val="24"/>
        </w:rPr>
      </w:pPr>
      <w:r>
        <w:rPr>
          <w:rFonts w:hint="eastAsia" w:ascii="仿宋" w:hAnsi="仿宋" w:eastAsia="仿宋" w:cs="仿宋"/>
          <w:bCs/>
          <w:sz w:val="24"/>
        </w:rPr>
        <w:t>甲方在服务期内将按照下表对乙方进行考核。</w:t>
      </w:r>
      <w:r>
        <w:rPr>
          <w:rFonts w:hint="eastAsia" w:ascii="仿宋" w:hAnsi="仿宋" w:eastAsia="仿宋" w:cs="仿宋"/>
          <w:sz w:val="24"/>
        </w:rPr>
        <w:t>考核以百分制的方式进行，时间为合同期每月进行考核。每扣除1分，扣除违约金300元，违约金在结算合同尾款时予以扣除。考核分若低于75分(不含)视为不合格，如在考核中</w:t>
      </w:r>
      <w:r>
        <w:rPr>
          <w:rFonts w:hint="eastAsia" w:ascii="仿宋" w:hAnsi="仿宋" w:eastAsia="仿宋" w:cs="仿宋"/>
          <w:bCs/>
          <w:sz w:val="24"/>
        </w:rPr>
        <w:t>乙方</w:t>
      </w:r>
      <w:r>
        <w:rPr>
          <w:rFonts w:hint="eastAsia" w:ascii="仿宋" w:hAnsi="仿宋" w:eastAsia="仿宋" w:cs="仿宋"/>
          <w:sz w:val="24"/>
        </w:rPr>
        <w:t>连续两次考核分数低于75分(不含)，甲方将扣除全部履约保证金，并通知</w:t>
      </w:r>
      <w:r>
        <w:rPr>
          <w:rFonts w:hint="eastAsia" w:ascii="仿宋" w:hAnsi="仿宋" w:eastAsia="仿宋" w:cs="仿宋"/>
          <w:bCs/>
          <w:sz w:val="24"/>
        </w:rPr>
        <w:t>乙方</w:t>
      </w:r>
      <w:r>
        <w:rPr>
          <w:rFonts w:hint="eastAsia" w:ascii="仿宋" w:hAnsi="仿宋" w:eastAsia="仿宋" w:cs="仿宋"/>
          <w:sz w:val="24"/>
        </w:rPr>
        <w:t>解除服务合同。如给甲方造成损失的，甲方有权限向乙方提出索赔。如考核周期内重复出现相同扣分情形，累计计算扣除分值。</w:t>
      </w:r>
    </w:p>
    <w:p>
      <w:pPr>
        <w:pStyle w:val="2"/>
      </w:pPr>
    </w:p>
    <w:p>
      <w:pPr>
        <w:pStyle w:val="2"/>
      </w:pPr>
    </w:p>
    <w:p>
      <w:pPr>
        <w:spacing w:before="120" w:beforeLines="50" w:line="360" w:lineRule="auto"/>
        <w:jc w:val="center"/>
        <w:outlineLvl w:val="3"/>
        <w:rPr>
          <w:rFonts w:ascii="仿宋" w:hAnsi="仿宋" w:eastAsia="仿宋" w:cs="仿宋"/>
          <w:sz w:val="24"/>
        </w:rPr>
      </w:pPr>
      <w:r>
        <w:rPr>
          <w:rFonts w:hint="eastAsia" w:ascii="仿宋" w:hAnsi="仿宋" w:eastAsia="仿宋" w:cs="仿宋"/>
          <w:sz w:val="24"/>
        </w:rPr>
        <w:t>每月考核表（   年   月）</w:t>
      </w:r>
    </w:p>
    <w:p>
      <w:pPr>
        <w:pStyle w:val="961"/>
        <w:spacing w:line="360" w:lineRule="auto"/>
        <w:rPr>
          <w:rFonts w:ascii="仿宋" w:hAnsi="仿宋" w:eastAsia="仿宋" w:cs="仿宋"/>
          <w:b/>
          <w:sz w:val="28"/>
          <w:szCs w:val="28"/>
          <w:lang w:val="en-US"/>
        </w:rPr>
      </w:pPr>
    </w:p>
    <w:tbl>
      <w:tblPr>
        <w:tblStyle w:val="62"/>
        <w:tblW w:w="8379" w:type="dxa"/>
        <w:tblInd w:w="0" w:type="dxa"/>
        <w:tblLayout w:type="fixed"/>
        <w:tblCellMar>
          <w:top w:w="0" w:type="dxa"/>
          <w:left w:w="0" w:type="dxa"/>
          <w:bottom w:w="0" w:type="dxa"/>
          <w:right w:w="0" w:type="dxa"/>
        </w:tblCellMar>
      </w:tblPr>
      <w:tblGrid>
        <w:gridCol w:w="1149"/>
        <w:gridCol w:w="5103"/>
        <w:gridCol w:w="1134"/>
        <w:gridCol w:w="993"/>
      </w:tblGrid>
      <w:tr>
        <w:tblPrEx>
          <w:tblCellMar>
            <w:top w:w="0" w:type="dxa"/>
            <w:left w:w="0" w:type="dxa"/>
            <w:bottom w:w="0" w:type="dxa"/>
            <w:right w:w="0" w:type="dxa"/>
          </w:tblCellMar>
        </w:tblPrEx>
        <w:trPr>
          <w:trHeight w:val="690"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考核单位</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考核时间</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right"/>
              <w:rPr>
                <w:rFonts w:ascii="仿宋" w:hAnsi="仿宋" w:eastAsia="仿宋" w:cs="仿宋"/>
                <w:sz w:val="24"/>
              </w:rPr>
            </w:pPr>
            <w:r>
              <w:rPr>
                <w:rFonts w:hint="eastAsia" w:ascii="仿宋" w:hAnsi="仿宋" w:eastAsia="仿宋" w:cs="仿宋"/>
                <w:sz w:val="24"/>
              </w:rPr>
              <w:t>月</w:t>
            </w:r>
          </w:p>
        </w:tc>
      </w:tr>
      <w:tr>
        <w:tblPrEx>
          <w:tblCellMar>
            <w:top w:w="0" w:type="dxa"/>
            <w:left w:w="0" w:type="dxa"/>
            <w:bottom w:w="0" w:type="dxa"/>
            <w:right w:w="0" w:type="dxa"/>
          </w:tblCellMar>
        </w:tblPrEx>
        <w:trPr>
          <w:trHeight w:val="675"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考核内容及标准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考核扣分</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备注</w:t>
            </w:r>
          </w:p>
        </w:tc>
      </w:tr>
      <w:tr>
        <w:tblPrEx>
          <w:tblCellMar>
            <w:top w:w="0" w:type="dxa"/>
            <w:left w:w="0" w:type="dxa"/>
            <w:bottom w:w="0" w:type="dxa"/>
            <w:right w:w="0" w:type="dxa"/>
          </w:tblCellMar>
        </w:tblPrEx>
        <w:trPr>
          <w:trHeight w:val="675"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未根据就餐时间要求合理安排工作，准时开餐的，扣2分，每延迟15分钟扣1分，最高扣5分。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每餐做好留样，未完成一次性扣1分。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未按规定着装，发现一起扣1分。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食品不卫生，发现一起扣2分，产生严重后果的扣6分。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生熟不分、食品存放不合理，严重影响工作的，发现一起，视情扣2-6分。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6</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服务被投诉，造成不良影响的，发现一起，视情扣2-6分。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7</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食品加工不规范、操作不合理，每发生一起，扣1分。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8</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厨房用品摆放不规范、环境不整洁，每次扣1分。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9</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私拿私带私用各类物品、食材、成品及半成品，每次发现扣5分。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1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厨房垃圾未按规定及时处理，每发现一次扣1分，造成严重后果的扣5分。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909" w:hRule="atLeast"/>
        </w:trPr>
        <w:tc>
          <w:tcPr>
            <w:tcW w:w="11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11</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735"/>
              </w:tabs>
              <w:spacing w:line="360" w:lineRule="auto"/>
              <w:jc w:val="left"/>
              <w:rPr>
                <w:rFonts w:ascii="仿宋" w:hAnsi="仿宋" w:eastAsia="仿宋" w:cs="仿宋"/>
              </w:rPr>
            </w:pPr>
            <w:r>
              <w:rPr>
                <w:rFonts w:hint="eastAsia" w:ascii="仿宋" w:hAnsi="仿宋" w:eastAsia="仿宋" w:cs="仿宋"/>
                <w:sz w:val="24"/>
              </w:rPr>
              <w:t>厨房、餐厅等用餐场所内用具由于未妥善使用、造成遗失、损坏的，每发生一次，扣1分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909" w:hRule="atLeast"/>
        </w:trPr>
        <w:tc>
          <w:tcPr>
            <w:tcW w:w="11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12</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735"/>
              </w:tabs>
              <w:spacing w:line="360" w:lineRule="auto"/>
              <w:jc w:val="left"/>
              <w:rPr>
                <w:rFonts w:ascii="仿宋" w:hAnsi="仿宋" w:eastAsia="仿宋" w:cs="仿宋"/>
                <w:sz w:val="24"/>
              </w:rPr>
            </w:pPr>
            <w:r>
              <w:rPr>
                <w:rFonts w:hint="eastAsia" w:ascii="仿宋" w:hAnsi="仿宋" w:eastAsia="仿宋" w:cs="仿宋"/>
                <w:bCs/>
                <w:sz w:val="24"/>
              </w:rPr>
              <w:t>未配合物业公司做好食堂区域内的四害消杀工作（蟑郎、老鼠、苍蝇、蚂蚁等），</w:t>
            </w:r>
            <w:r>
              <w:rPr>
                <w:rFonts w:hint="eastAsia" w:ascii="仿宋" w:hAnsi="仿宋" w:eastAsia="仿宋" w:cs="仿宋"/>
                <w:sz w:val="24"/>
              </w:rPr>
              <w:t>每发生一次，扣1分</w:t>
            </w:r>
            <w:r>
              <w:rPr>
                <w:rFonts w:hint="eastAsia" w:ascii="仿宋" w:hAnsi="仿宋" w:eastAsia="仿宋" w:cs="仿宋"/>
                <w:bCs/>
                <w:sz w:val="24"/>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909" w:hRule="atLeast"/>
        </w:trPr>
        <w:tc>
          <w:tcPr>
            <w:tcW w:w="11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13</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735"/>
              </w:tabs>
              <w:spacing w:line="360" w:lineRule="auto"/>
              <w:jc w:val="left"/>
              <w:rPr>
                <w:rFonts w:ascii="仿宋" w:hAnsi="仿宋" w:eastAsia="仿宋" w:cs="仿宋"/>
                <w:bCs/>
                <w:sz w:val="24"/>
              </w:rPr>
            </w:pPr>
            <w:r>
              <w:rPr>
                <w:rFonts w:hint="eastAsia" w:ascii="仿宋" w:hAnsi="仿宋" w:eastAsia="仿宋" w:cs="仿宋"/>
                <w:bCs/>
                <w:sz w:val="24"/>
              </w:rPr>
              <w:t>未落实烟道除垢、地沟油污清理工作，包括烟罩烟道保洁、擦拭、清洗及管道内清理等，烟道清理一年不少于2次，</w:t>
            </w:r>
            <w:r>
              <w:rPr>
                <w:rFonts w:hint="eastAsia" w:ascii="仿宋" w:hAnsi="仿宋" w:eastAsia="仿宋" w:cs="仿宋"/>
                <w:sz w:val="24"/>
              </w:rPr>
              <w:t>每发生一次，扣5分</w:t>
            </w:r>
            <w:r>
              <w:rPr>
                <w:rFonts w:hint="eastAsia" w:ascii="仿宋" w:hAnsi="仿宋" w:eastAsia="仿宋" w:cs="仿宋"/>
                <w:bCs/>
                <w:sz w:val="24"/>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791" w:hRule="atLeast"/>
        </w:trPr>
        <w:tc>
          <w:tcPr>
            <w:tcW w:w="11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14</w:t>
            </w:r>
          </w:p>
        </w:tc>
        <w:tc>
          <w:tcPr>
            <w:tcW w:w="510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人员未及时补充到位，严重影响工作的，每发生一次，扣5分。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540" w:hRule="atLeast"/>
        </w:trPr>
        <w:tc>
          <w:tcPr>
            <w:tcW w:w="11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tabs>
                <w:tab w:val="left" w:pos="735"/>
              </w:tabs>
              <w:spacing w:line="360" w:lineRule="auto"/>
              <w:jc w:val="center"/>
              <w:rPr>
                <w:rFonts w:ascii="仿宋" w:hAnsi="仿宋" w:eastAsia="仿宋" w:cs="仿宋"/>
                <w:sz w:val="24"/>
              </w:rPr>
            </w:pPr>
            <w:r>
              <w:rPr>
                <w:rFonts w:hint="eastAsia" w:ascii="仿宋" w:hAnsi="仿宋" w:eastAsia="仿宋" w:cs="仿宋"/>
                <w:sz w:val="24"/>
              </w:rPr>
              <w:t>15</w:t>
            </w:r>
          </w:p>
        </w:tc>
        <w:tc>
          <w:tcPr>
            <w:tcW w:w="510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tabs>
                <w:tab w:val="left" w:pos="735"/>
              </w:tabs>
              <w:spacing w:line="360" w:lineRule="auto"/>
              <w:jc w:val="left"/>
              <w:rPr>
                <w:rFonts w:ascii="仿宋" w:hAnsi="仿宋" w:eastAsia="仿宋" w:cs="仿宋"/>
                <w:sz w:val="24"/>
              </w:rPr>
            </w:pPr>
            <w:r>
              <w:rPr>
                <w:rFonts w:hint="eastAsia" w:ascii="仿宋" w:hAnsi="仿宋" w:eastAsia="仿宋" w:cs="仿宋"/>
                <w:sz w:val="24"/>
              </w:rPr>
              <w:t>不定期抽查投入的人员数量，如果抽查时发现投入的人员数量少于合同约定的数量，每缺少1人扣10分。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540" w:hRule="atLeast"/>
        </w:trPr>
        <w:tc>
          <w:tcPr>
            <w:tcW w:w="11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16</w:t>
            </w:r>
          </w:p>
        </w:tc>
        <w:tc>
          <w:tcPr>
            <w:tcW w:w="510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所有人员均持健康证上岗，无证上岗的扣10分/人。</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540" w:hRule="atLeast"/>
        </w:trPr>
        <w:tc>
          <w:tcPr>
            <w:tcW w:w="11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17</w:t>
            </w:r>
          </w:p>
        </w:tc>
        <w:tc>
          <w:tcPr>
            <w:tcW w:w="510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未及时发放员工工资的，有效投诉扣5分/次，乙方应及时整改。</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540" w:hRule="atLeast"/>
        </w:trPr>
        <w:tc>
          <w:tcPr>
            <w:tcW w:w="11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18</w:t>
            </w:r>
          </w:p>
        </w:tc>
        <w:tc>
          <w:tcPr>
            <w:tcW w:w="510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未完成甲方交办的临时工作任务，无故拒不完成的扣5分/次。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540" w:hRule="atLeast"/>
        </w:trPr>
        <w:tc>
          <w:tcPr>
            <w:tcW w:w="11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19</w:t>
            </w:r>
          </w:p>
        </w:tc>
        <w:tc>
          <w:tcPr>
            <w:tcW w:w="510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项目负责人每月未到各服务点现场进行工作对接的扣5分/次。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540" w:hRule="atLeast"/>
        </w:trPr>
        <w:tc>
          <w:tcPr>
            <w:tcW w:w="114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20</w:t>
            </w:r>
          </w:p>
        </w:tc>
        <w:tc>
          <w:tcPr>
            <w:tcW w:w="510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left"/>
              <w:rPr>
                <w:rFonts w:ascii="仿宋" w:hAnsi="仿宋" w:eastAsia="仿宋" w:cs="仿宋"/>
                <w:sz w:val="24"/>
              </w:rPr>
            </w:pPr>
            <w:r>
              <w:rPr>
                <w:rFonts w:hint="eastAsia" w:ascii="仿宋" w:hAnsi="仿宋" w:eastAsia="仿宋" w:cs="仿宋"/>
                <w:sz w:val="24"/>
              </w:rPr>
              <w:t xml:space="preserve">不符合甲方其他工作要求的，严重违反甲方劳动纪律、规章制度的，严重工作失职，营私舞弊，给甲方造成重大经济损失，或未发其他法律法规被依法追究刑事责任的的扣10分/次。 </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540" w:hRule="atLeast"/>
        </w:trPr>
        <w:tc>
          <w:tcPr>
            <w:tcW w:w="625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小计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4"/>
              </w:rPr>
            </w:pPr>
          </w:p>
        </w:tc>
      </w:tr>
      <w:tr>
        <w:tblPrEx>
          <w:tblCellMar>
            <w:top w:w="0" w:type="dxa"/>
            <w:left w:w="0" w:type="dxa"/>
            <w:bottom w:w="0" w:type="dxa"/>
            <w:right w:w="0" w:type="dxa"/>
          </w:tblCellMar>
        </w:tblPrEx>
        <w:trPr>
          <w:trHeight w:val="540" w:hRule="atLeast"/>
        </w:trPr>
        <w:tc>
          <w:tcPr>
            <w:tcW w:w="8379" w:type="dxa"/>
            <w:gridSpan w:val="4"/>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 xml:space="preserve">甲方（盖章）：                         乙方（盖章）： </w:t>
            </w:r>
          </w:p>
          <w:p>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甲方经办人（签字）：</w:t>
            </w:r>
          </w:p>
          <w:p>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甲方审核人（签字）：                   乙方项目负责人（签字）：</w:t>
            </w:r>
          </w:p>
          <w:p>
            <w:pPr>
              <w:spacing w:line="360" w:lineRule="auto"/>
              <w:rPr>
                <w:rFonts w:ascii="仿宋" w:hAnsi="仿宋" w:eastAsia="仿宋" w:cs="仿宋"/>
                <w:sz w:val="24"/>
              </w:rPr>
            </w:pPr>
            <w:r>
              <w:rPr>
                <w:rFonts w:hint="eastAsia" w:ascii="仿宋" w:hAnsi="仿宋" w:eastAsia="仿宋" w:cs="仿宋"/>
                <w:kern w:val="0"/>
                <w:sz w:val="24"/>
              </w:rPr>
              <w:t>日  期：                               日  期：</w:t>
            </w:r>
          </w:p>
        </w:tc>
      </w:tr>
    </w:tbl>
    <w:p>
      <w:pPr>
        <w:pStyle w:val="2"/>
        <w:ind w:left="0" w:firstLine="0"/>
        <w:rPr>
          <w:rFonts w:ascii="仿宋" w:eastAsia="仿宋" w:cs="仿宋_GB2312"/>
          <w:bCs w:val="0"/>
          <w:sz w:val="36"/>
          <w:szCs w:val="20"/>
          <w:lang w:val="en-US"/>
        </w:rPr>
      </w:pPr>
    </w:p>
    <w:p>
      <w:pPr>
        <w:pStyle w:val="2"/>
        <w:rPr>
          <w:rFonts w:ascii="仿宋" w:eastAsia="仿宋" w:cs="宋体"/>
          <w:b w:val="0"/>
          <w:snapToGrid w:val="0"/>
          <w:kern w:val="0"/>
          <w:sz w:val="24"/>
        </w:rPr>
      </w:pPr>
      <w:r>
        <w:br w:type="page"/>
      </w:r>
      <w:r>
        <w:rPr>
          <w:rFonts w:hint="eastAsia" w:ascii="仿宋" w:eastAsia="仿宋" w:cs="宋体"/>
          <w:b w:val="0"/>
          <w:snapToGrid w:val="0"/>
          <w:kern w:val="0"/>
          <w:sz w:val="24"/>
        </w:rPr>
        <w:t>附件4：服务内容</w:t>
      </w:r>
    </w:p>
    <w:p>
      <w:pPr>
        <w:spacing w:line="360" w:lineRule="auto"/>
        <w:ind w:firstLine="352" w:firstLineChars="147"/>
        <w:jc w:val="left"/>
        <w:rPr>
          <w:rFonts w:ascii="仿宋" w:hAnsi="仿宋" w:eastAsia="仿宋" w:cs="仿宋"/>
          <w:sz w:val="24"/>
        </w:rPr>
      </w:pPr>
      <w:r>
        <w:rPr>
          <w:rFonts w:hint="eastAsia" w:ascii="仿宋" w:hAnsi="仿宋" w:eastAsia="仿宋" w:cs="仿宋"/>
          <w:sz w:val="24"/>
        </w:rPr>
        <w:t>杭州市公安局地铁公安分局食堂外包服务项目，服务地点为翁梅站***、打铁关站***、特警大队、湘湖站***、市民中心站***、下沙江滨站***、杜甫村站***、双浦站***、姑娘桥站***、九州街站***食堂，提供早、中、晚餐。另需保障（含停水停电停气、不良气候等情况下）临时性用餐服务，提供民俗节日特色食品，提供防暑降温饮品（自制为主）等。</w:t>
      </w:r>
    </w:p>
    <w:p>
      <w:pPr>
        <w:spacing w:line="360" w:lineRule="auto"/>
        <w:jc w:val="left"/>
        <w:rPr>
          <w:rFonts w:ascii="仿宋" w:hAnsi="仿宋" w:eastAsia="仿宋" w:cs="仿宋"/>
          <w:sz w:val="24"/>
        </w:rPr>
      </w:pPr>
      <w:r>
        <w:rPr>
          <w:rFonts w:hint="eastAsia" w:ascii="仿宋" w:hAnsi="仿宋" w:eastAsia="仿宋" w:cs="仿宋"/>
          <w:sz w:val="24"/>
        </w:rPr>
        <w:t>1、餐品要求：</w:t>
      </w:r>
    </w:p>
    <w:p>
      <w:pPr>
        <w:pStyle w:val="961"/>
        <w:spacing w:line="360" w:lineRule="auto"/>
        <w:rPr>
          <w:rFonts w:ascii="仿宋" w:hAnsi="仿宋" w:eastAsia="仿宋" w:cs="仿宋"/>
          <w:kern w:val="2"/>
          <w:szCs w:val="24"/>
          <w:lang w:val="en-US"/>
        </w:rPr>
      </w:pPr>
      <w:r>
        <w:rPr>
          <w:rFonts w:hint="eastAsia" w:ascii="仿宋" w:hAnsi="仿宋" w:eastAsia="仿宋" w:cs="仿宋"/>
          <w:kern w:val="2"/>
          <w:szCs w:val="24"/>
          <w:lang w:val="en-US"/>
        </w:rPr>
        <w:t>（1）乙方必须严格按照有关规定，供应量足、美味、安全的菜肴：早餐以本地常规早点为主，配以现有厨具可制作的其他可口花色早点。如：稀饭、面条、馄饨、鸡蛋、包子、馒头、豆浆、粗粮等；其中稀饭每日配以若干种小菜；中餐供应菜肴品种不得少于6个菜（二荤二半荤二素）、1个汤；晚餐供应菜肴品种不得少于4个菜（二荤二素）、1个汤。</w:t>
      </w:r>
    </w:p>
    <w:p>
      <w:pPr>
        <w:spacing w:line="360" w:lineRule="auto"/>
        <w:jc w:val="left"/>
        <w:rPr>
          <w:rFonts w:ascii="仿宋" w:hAnsi="仿宋" w:eastAsia="仿宋" w:cs="仿宋"/>
          <w:sz w:val="24"/>
        </w:rPr>
      </w:pPr>
      <w:r>
        <w:rPr>
          <w:rFonts w:hint="eastAsia" w:ascii="仿宋" w:hAnsi="仿宋" w:eastAsia="仿宋" w:cs="仿宋"/>
          <w:sz w:val="24"/>
        </w:rPr>
        <w:t>（2）甲方用餐以本地菜系为主。乙方应根据季节不同提供适时菜品，每季度推出特色菜或新菜，提供四季菜谱方案，每季度至少一份周菜单。按甲方经济目标要求核算并帮助甲方控制好用餐成本。</w:t>
      </w:r>
    </w:p>
    <w:p>
      <w:pPr>
        <w:spacing w:line="360" w:lineRule="auto"/>
        <w:jc w:val="left"/>
        <w:rPr>
          <w:rFonts w:ascii="仿宋" w:hAnsi="仿宋" w:eastAsia="仿宋" w:cs="仿宋"/>
          <w:sz w:val="24"/>
        </w:rPr>
      </w:pPr>
      <w:r>
        <w:rPr>
          <w:rFonts w:hint="eastAsia" w:ascii="仿宋" w:hAnsi="仿宋" w:eastAsia="仿宋" w:cs="仿宋"/>
          <w:sz w:val="24"/>
        </w:rPr>
        <w:t>（3）乙方需具备保障资源，达到如下应急保障能力：在服务点遇到临时性保障任务（含停水停电停气、不良气候等情况下），接到通知2个小时以内，保障100人的应急水平。</w:t>
      </w:r>
    </w:p>
    <w:p>
      <w:pPr>
        <w:spacing w:line="360" w:lineRule="auto"/>
        <w:jc w:val="left"/>
        <w:rPr>
          <w:rFonts w:ascii="仿宋" w:hAnsi="仿宋" w:eastAsia="仿宋" w:cs="仿宋"/>
          <w:sz w:val="24"/>
        </w:rPr>
      </w:pPr>
      <w:r>
        <w:rPr>
          <w:rFonts w:hint="eastAsia" w:ascii="仿宋" w:hAnsi="仿宋" w:eastAsia="仿宋" w:cs="仿宋"/>
          <w:sz w:val="24"/>
        </w:rPr>
        <w:t>（4）乙方需按甲方要求准时开餐、质量保证、卫生安全。</w:t>
      </w:r>
    </w:p>
    <w:p>
      <w:pPr>
        <w:spacing w:line="360" w:lineRule="auto"/>
        <w:jc w:val="left"/>
        <w:rPr>
          <w:rFonts w:ascii="仿宋" w:hAnsi="仿宋" w:eastAsia="仿宋" w:cs="仿宋"/>
          <w:sz w:val="24"/>
        </w:rPr>
      </w:pPr>
      <w:r>
        <w:rPr>
          <w:rFonts w:hint="eastAsia" w:ascii="仿宋" w:hAnsi="仿宋" w:eastAsia="仿宋" w:cs="仿宋"/>
          <w:sz w:val="24"/>
        </w:rPr>
        <w:t>2、服务人员配置及要求</w:t>
      </w:r>
    </w:p>
    <w:p>
      <w:pPr>
        <w:spacing w:line="360" w:lineRule="auto"/>
        <w:jc w:val="left"/>
        <w:rPr>
          <w:rFonts w:ascii="仿宋" w:hAnsi="仿宋" w:eastAsia="仿宋" w:cs="仿宋"/>
          <w:sz w:val="24"/>
        </w:rPr>
      </w:pPr>
      <w:r>
        <w:rPr>
          <w:rFonts w:hint="eastAsia" w:ascii="仿宋" w:hAnsi="仿宋" w:eastAsia="仿宋" w:cs="仿宋"/>
          <w:sz w:val="24"/>
        </w:rPr>
        <w:t>▲（1）按甲方服务要求合理配置专业厨师10人、洗切帮工20人等服务队伍。</w:t>
      </w:r>
    </w:p>
    <w:p>
      <w:pPr>
        <w:spacing w:line="360" w:lineRule="auto"/>
        <w:jc w:val="left"/>
        <w:rPr>
          <w:rFonts w:ascii="仿宋" w:hAnsi="仿宋" w:eastAsia="仿宋" w:cs="仿宋"/>
          <w:sz w:val="24"/>
        </w:rPr>
      </w:pPr>
      <w:r>
        <w:rPr>
          <w:rFonts w:hint="eastAsia" w:ascii="仿宋" w:hAnsi="仿宋" w:eastAsia="仿宋" w:cs="仿宋"/>
          <w:sz w:val="24"/>
        </w:rPr>
        <w:t>（2）服务队伍配置人数不少于下表。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559"/>
        <w:gridCol w:w="1134"/>
        <w:gridCol w:w="2271"/>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76" w:type="dxa"/>
            <w:vAlign w:val="center"/>
          </w:tcPr>
          <w:p>
            <w:pPr>
              <w:spacing w:before="120" w:beforeLines="50" w:line="360" w:lineRule="auto"/>
              <w:jc w:val="center"/>
              <w:outlineLvl w:val="3"/>
              <w:rPr>
                <w:rFonts w:ascii="仿宋" w:hAnsi="仿宋" w:eastAsia="仿宋" w:cs="仿宋"/>
                <w:b/>
                <w:sz w:val="24"/>
              </w:rPr>
            </w:pPr>
            <w:r>
              <w:rPr>
                <w:rFonts w:hint="eastAsia" w:ascii="仿宋" w:hAnsi="仿宋" w:eastAsia="仿宋" w:cs="仿宋"/>
                <w:b/>
                <w:sz w:val="24"/>
              </w:rPr>
              <w:t>食堂分布</w:t>
            </w:r>
          </w:p>
        </w:tc>
        <w:tc>
          <w:tcPr>
            <w:tcW w:w="1559" w:type="dxa"/>
            <w:vAlign w:val="center"/>
          </w:tcPr>
          <w:p>
            <w:pPr>
              <w:spacing w:before="120" w:beforeLines="50" w:line="360" w:lineRule="auto"/>
              <w:jc w:val="center"/>
              <w:outlineLvl w:val="3"/>
              <w:rPr>
                <w:rFonts w:ascii="仿宋" w:hAnsi="仿宋" w:eastAsia="仿宋" w:cs="仿宋"/>
                <w:b/>
                <w:sz w:val="24"/>
              </w:rPr>
            </w:pPr>
            <w:r>
              <w:rPr>
                <w:rFonts w:hint="eastAsia" w:ascii="仿宋" w:hAnsi="仿宋" w:eastAsia="仿宋" w:cs="仿宋"/>
                <w:b/>
                <w:sz w:val="24"/>
              </w:rPr>
              <w:t>地址</w:t>
            </w:r>
          </w:p>
        </w:tc>
        <w:tc>
          <w:tcPr>
            <w:tcW w:w="1134" w:type="dxa"/>
            <w:vAlign w:val="center"/>
          </w:tcPr>
          <w:p>
            <w:pPr>
              <w:spacing w:before="120" w:beforeLines="50" w:line="360" w:lineRule="auto"/>
              <w:jc w:val="center"/>
              <w:outlineLvl w:val="3"/>
              <w:rPr>
                <w:rFonts w:ascii="仿宋" w:hAnsi="仿宋" w:eastAsia="仿宋" w:cs="仿宋"/>
                <w:b/>
                <w:sz w:val="24"/>
              </w:rPr>
            </w:pPr>
            <w:r>
              <w:rPr>
                <w:rFonts w:hint="eastAsia" w:ascii="仿宋" w:hAnsi="仿宋" w:eastAsia="仿宋" w:cs="仿宋"/>
                <w:b/>
                <w:sz w:val="24"/>
              </w:rPr>
              <w:t>餐数</w:t>
            </w:r>
          </w:p>
        </w:tc>
        <w:tc>
          <w:tcPr>
            <w:tcW w:w="2271" w:type="dxa"/>
            <w:vAlign w:val="center"/>
          </w:tcPr>
          <w:p>
            <w:pPr>
              <w:spacing w:before="120" w:beforeLines="50" w:line="360" w:lineRule="auto"/>
              <w:jc w:val="center"/>
              <w:outlineLvl w:val="3"/>
              <w:rPr>
                <w:rFonts w:ascii="仿宋" w:hAnsi="仿宋" w:eastAsia="仿宋" w:cs="仿宋"/>
                <w:b/>
                <w:sz w:val="24"/>
              </w:rPr>
            </w:pPr>
            <w:r>
              <w:rPr>
                <w:rFonts w:hint="eastAsia" w:ascii="仿宋" w:hAnsi="仿宋" w:eastAsia="仿宋" w:cs="仿宋"/>
                <w:b/>
                <w:sz w:val="24"/>
              </w:rPr>
              <w:t>服务人数（岗位分配）</w:t>
            </w:r>
          </w:p>
        </w:tc>
        <w:tc>
          <w:tcPr>
            <w:tcW w:w="1474" w:type="dxa"/>
            <w:vAlign w:val="center"/>
          </w:tcPr>
          <w:p>
            <w:pPr>
              <w:spacing w:before="120" w:beforeLines="50" w:line="360" w:lineRule="auto"/>
              <w:jc w:val="center"/>
              <w:outlineLvl w:val="3"/>
              <w:rPr>
                <w:rFonts w:ascii="仿宋" w:hAnsi="仿宋" w:eastAsia="仿宋" w:cs="仿宋"/>
                <w:b/>
                <w:sz w:val="24"/>
              </w:rPr>
            </w:pPr>
            <w:r>
              <w:rPr>
                <w:rFonts w:hint="eastAsia" w:ascii="仿宋" w:hAnsi="仿宋" w:eastAsia="仿宋" w:cs="仿宋"/>
                <w:b/>
                <w:sz w:val="24"/>
              </w:rPr>
              <w:t>每餐就餐人数（预计）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76"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翁梅站***</w:t>
            </w:r>
          </w:p>
        </w:tc>
        <w:tc>
          <w:tcPr>
            <w:tcW w:w="1559"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余杭区天万街240号</w:t>
            </w:r>
          </w:p>
        </w:tc>
        <w:tc>
          <w:tcPr>
            <w:tcW w:w="113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早、中、晚3餐</w:t>
            </w:r>
          </w:p>
        </w:tc>
        <w:tc>
          <w:tcPr>
            <w:tcW w:w="2271"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3人（厨师1人，帮工2人。）</w:t>
            </w:r>
          </w:p>
        </w:tc>
        <w:tc>
          <w:tcPr>
            <w:tcW w:w="147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20-50人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276"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打铁关站***</w:t>
            </w:r>
          </w:p>
        </w:tc>
        <w:tc>
          <w:tcPr>
            <w:tcW w:w="1559"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打铁关新村13-4-102</w:t>
            </w:r>
          </w:p>
        </w:tc>
        <w:tc>
          <w:tcPr>
            <w:tcW w:w="113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早、中、晚3餐</w:t>
            </w:r>
          </w:p>
        </w:tc>
        <w:tc>
          <w:tcPr>
            <w:tcW w:w="2271"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3人（厨师1人，帮工2人。）</w:t>
            </w:r>
          </w:p>
        </w:tc>
        <w:tc>
          <w:tcPr>
            <w:tcW w:w="147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25-50人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76"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特警大队</w:t>
            </w:r>
          </w:p>
        </w:tc>
        <w:tc>
          <w:tcPr>
            <w:tcW w:w="1559"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萧山湘西路湘湖地铁基地旁</w:t>
            </w:r>
          </w:p>
        </w:tc>
        <w:tc>
          <w:tcPr>
            <w:tcW w:w="113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早、中、晚3餐</w:t>
            </w:r>
          </w:p>
        </w:tc>
        <w:tc>
          <w:tcPr>
            <w:tcW w:w="2271"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3人（厨师1人，帮工2人。）</w:t>
            </w:r>
          </w:p>
        </w:tc>
        <w:tc>
          <w:tcPr>
            <w:tcW w:w="147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30-50人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276"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湘湖站***</w:t>
            </w:r>
          </w:p>
        </w:tc>
        <w:tc>
          <w:tcPr>
            <w:tcW w:w="1559"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萧山风情大道湘湖地铁基地旁</w:t>
            </w:r>
          </w:p>
        </w:tc>
        <w:tc>
          <w:tcPr>
            <w:tcW w:w="113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早、中、晚3餐</w:t>
            </w:r>
          </w:p>
        </w:tc>
        <w:tc>
          <w:tcPr>
            <w:tcW w:w="2271"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3人（厨师1人，帮工2人。）</w:t>
            </w:r>
          </w:p>
        </w:tc>
        <w:tc>
          <w:tcPr>
            <w:tcW w:w="147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25-30人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76"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市民中心站***</w:t>
            </w:r>
          </w:p>
        </w:tc>
        <w:tc>
          <w:tcPr>
            <w:tcW w:w="1559"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新业路366号</w:t>
            </w:r>
          </w:p>
        </w:tc>
        <w:tc>
          <w:tcPr>
            <w:tcW w:w="113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早、中、晚3餐</w:t>
            </w:r>
          </w:p>
        </w:tc>
        <w:tc>
          <w:tcPr>
            <w:tcW w:w="2271"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3人（厨师1人，帮工2人。）</w:t>
            </w:r>
          </w:p>
        </w:tc>
        <w:tc>
          <w:tcPr>
            <w:tcW w:w="147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20-50人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276"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下沙江滨站***</w:t>
            </w:r>
          </w:p>
        </w:tc>
        <w:tc>
          <w:tcPr>
            <w:tcW w:w="1559"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下沙开发区25号大街与14号大街交叉口</w:t>
            </w:r>
          </w:p>
        </w:tc>
        <w:tc>
          <w:tcPr>
            <w:tcW w:w="113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早、中、晚3餐</w:t>
            </w:r>
          </w:p>
        </w:tc>
        <w:tc>
          <w:tcPr>
            <w:tcW w:w="2271"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3人（厨师1人，帮工2人。）</w:t>
            </w:r>
          </w:p>
        </w:tc>
        <w:tc>
          <w:tcPr>
            <w:tcW w:w="147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20-50人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276"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杜甫村站***</w:t>
            </w:r>
          </w:p>
        </w:tc>
        <w:tc>
          <w:tcPr>
            <w:tcW w:w="1559"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余杭区双桥停车场</w:t>
            </w:r>
          </w:p>
        </w:tc>
        <w:tc>
          <w:tcPr>
            <w:tcW w:w="113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早、中、晚3餐</w:t>
            </w:r>
          </w:p>
        </w:tc>
        <w:tc>
          <w:tcPr>
            <w:tcW w:w="2271"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3人（厨师1人，帮工2人。）</w:t>
            </w:r>
          </w:p>
        </w:tc>
        <w:tc>
          <w:tcPr>
            <w:tcW w:w="147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20-40人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276"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双浦站***</w:t>
            </w:r>
          </w:p>
        </w:tc>
        <w:tc>
          <w:tcPr>
            <w:tcW w:w="1559"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西湖区科海南路双浦车辆段内</w:t>
            </w:r>
          </w:p>
        </w:tc>
        <w:tc>
          <w:tcPr>
            <w:tcW w:w="113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早、中、晚3餐</w:t>
            </w:r>
          </w:p>
        </w:tc>
        <w:tc>
          <w:tcPr>
            <w:tcW w:w="2271"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3人（厨师1人，帮工2人。）</w:t>
            </w:r>
          </w:p>
        </w:tc>
        <w:tc>
          <w:tcPr>
            <w:tcW w:w="147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20-30人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276"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姑娘桥站***</w:t>
            </w:r>
          </w:p>
        </w:tc>
        <w:tc>
          <w:tcPr>
            <w:tcW w:w="1559"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萧山区新塘街道和平桥村</w:t>
            </w:r>
          </w:p>
        </w:tc>
        <w:tc>
          <w:tcPr>
            <w:tcW w:w="113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早、中、晚3餐</w:t>
            </w:r>
          </w:p>
        </w:tc>
        <w:tc>
          <w:tcPr>
            <w:tcW w:w="2271"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3人（厨师1人，帮工2人。）</w:t>
            </w:r>
          </w:p>
        </w:tc>
        <w:tc>
          <w:tcPr>
            <w:tcW w:w="147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10-20人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276"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九州街站***</w:t>
            </w:r>
          </w:p>
        </w:tc>
        <w:tc>
          <w:tcPr>
            <w:tcW w:w="1559"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临安区上泉村上泉车辆段内</w:t>
            </w:r>
          </w:p>
        </w:tc>
        <w:tc>
          <w:tcPr>
            <w:tcW w:w="113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早、中、晚3餐</w:t>
            </w:r>
          </w:p>
        </w:tc>
        <w:tc>
          <w:tcPr>
            <w:tcW w:w="2271"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3人（厨师1人，帮工2人。）</w:t>
            </w:r>
          </w:p>
        </w:tc>
        <w:tc>
          <w:tcPr>
            <w:tcW w:w="147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20-30人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276"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合计</w:t>
            </w:r>
          </w:p>
        </w:tc>
        <w:tc>
          <w:tcPr>
            <w:tcW w:w="1559" w:type="dxa"/>
            <w:vAlign w:val="center"/>
          </w:tcPr>
          <w:p>
            <w:pPr>
              <w:spacing w:before="120" w:beforeLines="50" w:line="360" w:lineRule="auto"/>
              <w:jc w:val="center"/>
              <w:outlineLvl w:val="3"/>
              <w:rPr>
                <w:rFonts w:ascii="仿宋" w:hAnsi="仿宋" w:eastAsia="仿宋" w:cs="仿宋"/>
                <w:bCs/>
                <w:sz w:val="24"/>
              </w:rPr>
            </w:pPr>
          </w:p>
        </w:tc>
        <w:tc>
          <w:tcPr>
            <w:tcW w:w="113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w:t>
            </w:r>
          </w:p>
        </w:tc>
        <w:tc>
          <w:tcPr>
            <w:tcW w:w="2271"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30人</w:t>
            </w:r>
          </w:p>
        </w:tc>
        <w:tc>
          <w:tcPr>
            <w:tcW w:w="1474" w:type="dxa"/>
            <w:vAlign w:val="center"/>
          </w:tcPr>
          <w:p>
            <w:pPr>
              <w:spacing w:before="120" w:beforeLines="50" w:line="360" w:lineRule="auto"/>
              <w:jc w:val="center"/>
              <w:outlineLvl w:val="3"/>
              <w:rPr>
                <w:rFonts w:ascii="仿宋" w:hAnsi="仿宋" w:eastAsia="仿宋" w:cs="仿宋"/>
                <w:bCs/>
                <w:sz w:val="24"/>
              </w:rPr>
            </w:pPr>
            <w:r>
              <w:rPr>
                <w:rFonts w:hint="eastAsia" w:ascii="仿宋" w:hAnsi="仿宋" w:eastAsia="仿宋" w:cs="仿宋"/>
                <w:bCs/>
                <w:sz w:val="24"/>
              </w:rPr>
              <w:t>/</w:t>
            </w:r>
          </w:p>
        </w:tc>
      </w:tr>
    </w:tbl>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sz w:val="24"/>
        </w:rPr>
        <w:t>（3）以上所有岗位年龄要求55周岁（含）以下，男女不限，若有特殊技能，年龄可适当放宽；厨师具备初级中式烹调师职业技能等级证书，并有3年以上工作经验；提供365天（含法定节假日）食堂服务，全年无休，由乙方按照甲方用餐需求、用餐时间明确分工、合理排班、合理安排各岗位工作时间等，确保食堂顺畅运行；</w:t>
      </w:r>
    </w:p>
    <w:p>
      <w:pPr>
        <w:spacing w:line="360" w:lineRule="auto"/>
        <w:jc w:val="left"/>
        <w:rPr>
          <w:rFonts w:ascii="仿宋" w:hAnsi="仿宋" w:eastAsia="仿宋" w:cs="仿宋"/>
          <w:sz w:val="24"/>
        </w:rPr>
      </w:pPr>
      <w:r>
        <w:rPr>
          <w:rFonts w:hint="eastAsia" w:ascii="仿宋" w:hAnsi="仿宋" w:eastAsia="仿宋" w:cs="仿宋"/>
          <w:sz w:val="24"/>
        </w:rPr>
        <w:t>▲（4）所有工作人员上岗前必须通过卫生部门指定医院（或防疫站）的体检，并领取饮食行业健康证。外来务工人员必须具有公安部门核发的临时居住证，并确保无违法犯罪纪录。</w:t>
      </w:r>
    </w:p>
    <w:p>
      <w:pPr>
        <w:spacing w:line="360" w:lineRule="auto"/>
        <w:jc w:val="left"/>
        <w:rPr>
          <w:rFonts w:ascii="仿宋" w:hAnsi="仿宋" w:eastAsia="仿宋" w:cs="仿宋"/>
          <w:sz w:val="24"/>
        </w:rPr>
      </w:pPr>
      <w:r>
        <w:rPr>
          <w:rFonts w:hint="eastAsia" w:ascii="仿宋" w:hAnsi="仿宋" w:eastAsia="仿宋" w:cs="仿宋"/>
          <w:sz w:val="24"/>
        </w:rPr>
        <w:t>（5）乙方必须按照劳动合同法的规定合法规范用工，并全面承担服务人员涉及劳动关系的所有事宜。</w:t>
      </w:r>
    </w:p>
    <w:p>
      <w:pPr>
        <w:spacing w:line="360" w:lineRule="auto"/>
        <w:jc w:val="left"/>
        <w:rPr>
          <w:rFonts w:ascii="仿宋" w:hAnsi="仿宋" w:eastAsia="仿宋" w:cs="仿宋"/>
          <w:sz w:val="24"/>
        </w:rPr>
      </w:pPr>
      <w:r>
        <w:rPr>
          <w:rFonts w:hint="eastAsia" w:ascii="仿宋" w:hAnsi="仿宋" w:eastAsia="仿宋" w:cs="仿宋"/>
          <w:sz w:val="24"/>
        </w:rPr>
        <w:t>（6）乙方应了解服务人员的思想动态、工作表现、遵纪情况以及甲方其他合理要求，提供最佳服务。</w:t>
      </w:r>
    </w:p>
    <w:p>
      <w:pPr>
        <w:spacing w:line="360" w:lineRule="auto"/>
        <w:jc w:val="left"/>
        <w:rPr>
          <w:rFonts w:ascii="仿宋" w:hAnsi="仿宋" w:eastAsia="仿宋" w:cs="仿宋"/>
          <w:sz w:val="24"/>
        </w:rPr>
      </w:pPr>
      <w:r>
        <w:rPr>
          <w:rFonts w:hint="eastAsia" w:ascii="仿宋" w:hAnsi="仿宋" w:eastAsia="仿宋" w:cs="仿宋"/>
          <w:sz w:val="24"/>
        </w:rPr>
        <w:t>（7）根据甲方的服务要求设定工作岗位，分配工作任务，对服务人员的工作情况实行监督、检查，并有合理的员工绩效考核方案，调动员工的工作热情和服务精神。</w:t>
      </w:r>
    </w:p>
    <w:p>
      <w:pPr>
        <w:spacing w:line="360" w:lineRule="auto"/>
        <w:jc w:val="left"/>
        <w:rPr>
          <w:rFonts w:ascii="仿宋" w:hAnsi="仿宋" w:eastAsia="仿宋" w:cs="仿宋"/>
          <w:sz w:val="24"/>
        </w:rPr>
      </w:pPr>
      <w:r>
        <w:rPr>
          <w:rFonts w:hint="eastAsia" w:ascii="仿宋" w:hAnsi="仿宋" w:eastAsia="仿宋" w:cs="仿宋"/>
          <w:sz w:val="24"/>
        </w:rPr>
        <w:t>（8）乙方服务人员应遵守甲方的规章制度及疫情防控制度。</w:t>
      </w:r>
    </w:p>
    <w:p>
      <w:pPr>
        <w:spacing w:line="360" w:lineRule="auto"/>
        <w:jc w:val="left"/>
        <w:rPr>
          <w:rFonts w:ascii="仿宋" w:hAnsi="仿宋" w:eastAsia="仿宋" w:cs="仿宋"/>
          <w:sz w:val="24"/>
        </w:rPr>
      </w:pPr>
      <w:r>
        <w:rPr>
          <w:rFonts w:hint="eastAsia" w:ascii="仿宋" w:hAnsi="仿宋" w:eastAsia="仿宋" w:cs="仿宋"/>
          <w:sz w:val="24"/>
        </w:rPr>
        <w:t>（9）乙方工作人员应相对稳定，服务人员的年流动率不能超过10%（如某个岗位有人员更换调动，须提前通知甲方书面认可，并且在2个工作日内补充该岗位工作人员，其中项目负责人、厨师等主要管理岗位人员变动需提前1个月征求甲方意见。）</w:t>
      </w:r>
    </w:p>
    <w:p>
      <w:pPr>
        <w:spacing w:line="360" w:lineRule="auto"/>
        <w:jc w:val="left"/>
        <w:rPr>
          <w:rFonts w:ascii="仿宋" w:hAnsi="仿宋" w:eastAsia="仿宋" w:cs="仿宋"/>
          <w:sz w:val="24"/>
        </w:rPr>
      </w:pPr>
      <w:r>
        <w:rPr>
          <w:rFonts w:hint="eastAsia" w:ascii="仿宋" w:hAnsi="仿宋" w:eastAsia="仿宋" w:cs="仿宋"/>
          <w:sz w:val="24"/>
        </w:rPr>
        <w:t>（10）</w:t>
      </w:r>
      <w:r>
        <w:rPr>
          <w:rFonts w:hint="eastAsia" w:ascii="仿宋" w:hAnsi="仿宋" w:eastAsia="仿宋" w:cs="仿宋"/>
          <w:bCs/>
          <w:sz w:val="24"/>
        </w:rPr>
        <w:t>所有人员在服务期内的工资（员工工资不得低于杭州市对于最低工资标准、工作时间按照劳动法的相关规定，所有工作人员必须交纳包括养老、工伤、失业、医疗等在内的社会保险，依法支付加班费、高温费、福利等）、管理、劳务、服装、培训、体检、保险、通讯、食宿、风险及政策性文件规定等各项应有费用，还应包括为完成本项目服务可能发生的全部费用及乙方的利润、应交纳的税金等一切相关费用。</w:t>
      </w:r>
    </w:p>
    <w:p>
      <w:pPr>
        <w:spacing w:line="360" w:lineRule="auto"/>
        <w:jc w:val="left"/>
        <w:rPr>
          <w:rFonts w:ascii="仿宋" w:hAnsi="仿宋" w:eastAsia="仿宋" w:cs="仿宋"/>
          <w:sz w:val="24"/>
        </w:rPr>
      </w:pPr>
      <w:r>
        <w:rPr>
          <w:rFonts w:hint="eastAsia" w:ascii="仿宋" w:hAnsi="仿宋" w:eastAsia="仿宋" w:cs="仿宋"/>
          <w:sz w:val="24"/>
        </w:rPr>
        <w:t>（11）乙方所有人员的事故由乙方自行全权负责(如乙方应对其员工投保人身意外险等)，以保证甲方在乙方工作人员索赔时不受任何责任的约束。</w:t>
      </w:r>
    </w:p>
    <w:p>
      <w:pPr>
        <w:spacing w:line="360" w:lineRule="auto"/>
        <w:jc w:val="left"/>
        <w:rPr>
          <w:rFonts w:ascii="仿宋" w:hAnsi="仿宋" w:eastAsia="仿宋" w:cs="仿宋"/>
          <w:sz w:val="24"/>
        </w:rPr>
      </w:pPr>
      <w:r>
        <w:rPr>
          <w:rFonts w:hint="eastAsia" w:ascii="仿宋" w:hAnsi="仿宋" w:eastAsia="仿宋" w:cs="仿宋"/>
          <w:sz w:val="24"/>
        </w:rPr>
        <w:t>（12）乙方的项目负责人需与甲方保持密切联系，每个月至少一次</w:t>
      </w:r>
      <w:r>
        <w:rPr>
          <w:rFonts w:hint="eastAsia" w:ascii="仿宋" w:hAnsi="仿宋" w:eastAsia="仿宋" w:cs="仿宋"/>
          <w:bCs/>
          <w:sz w:val="24"/>
        </w:rPr>
        <w:t>到现场与各服务点</w:t>
      </w:r>
      <w:r>
        <w:rPr>
          <w:rFonts w:hint="eastAsia" w:ascii="仿宋" w:hAnsi="仿宋" w:eastAsia="仿宋" w:cs="仿宋"/>
          <w:sz w:val="24"/>
        </w:rPr>
        <w:t>的甲方食堂管理员对接，对接内容包括服务人员到位、工作落实及甲方有无投诉情况等，以保证服务工作的质量与水平。</w:t>
      </w:r>
      <w:r>
        <w:rPr>
          <w:rFonts w:hint="eastAsia" w:ascii="仿宋" w:hAnsi="仿宋" w:eastAsia="仿宋" w:cs="仿宋"/>
          <w:bCs/>
          <w:sz w:val="24"/>
        </w:rPr>
        <w:t>其中项目负责人、厨师等主要管理岗位人员变动需提前1个月书面经甲方确认。</w:t>
      </w:r>
    </w:p>
    <w:p>
      <w:pPr>
        <w:spacing w:line="360" w:lineRule="auto"/>
        <w:jc w:val="left"/>
        <w:rPr>
          <w:rFonts w:ascii="仿宋" w:hAnsi="仿宋" w:eastAsia="仿宋" w:cs="仿宋"/>
          <w:sz w:val="24"/>
        </w:rPr>
      </w:pPr>
      <w:r>
        <w:rPr>
          <w:rFonts w:hint="eastAsia" w:ascii="仿宋" w:hAnsi="仿宋" w:eastAsia="仿宋" w:cs="仿宋"/>
          <w:sz w:val="24"/>
        </w:rPr>
        <w:t>（13）人员培训：</w:t>
      </w:r>
    </w:p>
    <w:p>
      <w:pPr>
        <w:spacing w:line="360" w:lineRule="auto"/>
        <w:jc w:val="left"/>
        <w:rPr>
          <w:rFonts w:ascii="仿宋" w:hAnsi="仿宋" w:eastAsia="仿宋" w:cs="仿宋"/>
          <w:sz w:val="24"/>
        </w:rPr>
      </w:pPr>
      <w:r>
        <w:rPr>
          <w:rFonts w:hint="eastAsia" w:ascii="仿宋" w:hAnsi="仿宋" w:eastAsia="仿宋" w:cs="仿宋"/>
          <w:sz w:val="24"/>
        </w:rPr>
        <w:t>培训目的：根据项目的目标和现实情况，对相关人员进行培训，通过培训使食堂工作人员熟悉相关法律法规、操作流程、专业知识、餐饮保障等，提高餐饮服务保障水平。</w:t>
      </w:r>
    </w:p>
    <w:p>
      <w:pPr>
        <w:snapToGrid w:val="0"/>
        <w:spacing w:line="360" w:lineRule="auto"/>
        <w:rPr>
          <w:rFonts w:ascii="仿宋" w:hAnsi="仿宋" w:eastAsia="仿宋" w:cs="仿宋"/>
          <w:sz w:val="24"/>
        </w:rPr>
      </w:pPr>
      <w:r>
        <w:rPr>
          <w:rFonts w:hint="eastAsia" w:ascii="仿宋" w:hAnsi="仿宋" w:eastAsia="仿宋" w:cs="仿宋"/>
          <w:sz w:val="24"/>
        </w:rPr>
        <w:t>培训内容：乙方要对所有服务人员每人每年不少于2次培训。培训时间、地点、方式由乙方自行组织，培训内容包括：餐饮相关法律法规、劳动纪律、工作流程、工作标准、考核标准、业务技能等。</w:t>
      </w:r>
    </w:p>
    <w:p>
      <w:pPr>
        <w:spacing w:line="360" w:lineRule="auto"/>
        <w:jc w:val="left"/>
        <w:rPr>
          <w:rFonts w:ascii="仿宋" w:hAnsi="仿宋" w:eastAsia="仿宋" w:cs="仿宋"/>
          <w:sz w:val="24"/>
        </w:rPr>
      </w:pPr>
      <w:r>
        <w:rPr>
          <w:rFonts w:hint="eastAsia" w:ascii="仿宋" w:hAnsi="仿宋" w:eastAsia="仿宋" w:cs="仿宋"/>
          <w:sz w:val="24"/>
        </w:rPr>
        <w:t>3、其他服务要求</w:t>
      </w:r>
    </w:p>
    <w:p>
      <w:pPr>
        <w:spacing w:line="360" w:lineRule="auto"/>
        <w:jc w:val="left"/>
        <w:rPr>
          <w:rFonts w:ascii="仿宋" w:hAnsi="仿宋" w:eastAsia="仿宋" w:cs="仿宋"/>
          <w:sz w:val="24"/>
        </w:rPr>
      </w:pPr>
      <w:r>
        <w:rPr>
          <w:rFonts w:hint="eastAsia" w:ascii="仿宋" w:hAnsi="仿宋" w:eastAsia="仿宋" w:cs="仿宋"/>
          <w:sz w:val="24"/>
        </w:rPr>
        <w:t>（1）乙方应做好食品卫生、食堂消防安全等管理工作，规范物品摆放，落实烟道除垢、地沟油污清理工作，包括烟罩烟道保洁、擦拭、清洗及管道内清理等，烟道清理一年不少于2次。</w:t>
      </w:r>
    </w:p>
    <w:p>
      <w:pPr>
        <w:spacing w:line="360" w:lineRule="auto"/>
        <w:jc w:val="left"/>
        <w:rPr>
          <w:rFonts w:ascii="仿宋" w:hAnsi="仿宋" w:eastAsia="仿宋" w:cs="仿宋"/>
          <w:sz w:val="24"/>
        </w:rPr>
      </w:pPr>
      <w:r>
        <w:rPr>
          <w:rFonts w:hint="eastAsia" w:ascii="仿宋" w:hAnsi="仿宋" w:eastAsia="仿宋" w:cs="仿宋"/>
          <w:sz w:val="24"/>
        </w:rPr>
        <w:t>（2）甲方提供厨房、餐厅等用餐场所及用具，乙方在服务期内应妥善使用并保管，如有遗失、损坏，乙方负责赔偿（属自然损耗、甲方原因损坏等情况，乙方应在三天内对上述损坏物品如实向甲方申请报废或新购）。</w:t>
      </w:r>
    </w:p>
    <w:p>
      <w:pPr>
        <w:spacing w:line="360" w:lineRule="auto"/>
        <w:jc w:val="left"/>
        <w:rPr>
          <w:rFonts w:ascii="仿宋" w:hAnsi="仿宋" w:eastAsia="仿宋" w:cs="仿宋"/>
          <w:sz w:val="24"/>
        </w:rPr>
      </w:pPr>
      <w:r>
        <w:rPr>
          <w:rFonts w:hint="eastAsia" w:ascii="仿宋" w:hAnsi="仿宋" w:eastAsia="仿宋" w:cs="仿宋"/>
          <w:sz w:val="24"/>
        </w:rPr>
        <w:t>（3）乙方负责管理与服务所需的各种设备、设施、维修材料、工具、低值易耗品、一次性用品以及餐饮原材料的采购（除另有规定的以外），由乙方编制计划、预算和采购清单，经甲方审核同意后，由甲方负责采购提供。乙方与甲方共同验收后由乙方妥善保管，避免食品过期及浪费的情况。</w:t>
      </w:r>
    </w:p>
    <w:p>
      <w:pPr>
        <w:spacing w:line="360" w:lineRule="auto"/>
        <w:jc w:val="left"/>
        <w:rPr>
          <w:rFonts w:ascii="仿宋" w:hAnsi="仿宋" w:eastAsia="仿宋" w:cs="仿宋"/>
          <w:sz w:val="24"/>
        </w:rPr>
      </w:pPr>
      <w:r>
        <w:rPr>
          <w:rFonts w:hint="eastAsia" w:ascii="仿宋" w:hAnsi="仿宋" w:eastAsia="仿宋" w:cs="仿宋"/>
          <w:sz w:val="24"/>
        </w:rPr>
        <w:t>（4）乙方应针对本项目建立健全各项规章制度、岗位责任制、操作规程和各项台账。</w:t>
      </w:r>
    </w:p>
    <w:p>
      <w:pPr>
        <w:pStyle w:val="2"/>
        <w:rPr>
          <w:rFonts w:ascii="仿宋" w:eastAsia="仿宋" w:cs="仿宋"/>
          <w:b w:val="0"/>
          <w:bCs w:val="0"/>
          <w:sz w:val="24"/>
          <w:szCs w:val="24"/>
          <w:lang w:val="en-US"/>
        </w:rPr>
      </w:pPr>
      <w:r>
        <w:rPr>
          <w:rFonts w:hint="eastAsia" w:ascii="仿宋" w:eastAsia="仿宋" w:cs="仿宋"/>
          <w:b w:val="0"/>
          <w:bCs w:val="0"/>
          <w:sz w:val="24"/>
          <w:szCs w:val="24"/>
          <w:lang w:val="en-US"/>
        </w:rPr>
        <w:t>（5）乙方需按照甲方提供的就餐人数、标准严格制订加工制作方案。</w:t>
      </w:r>
    </w:p>
    <w:p>
      <w:pPr>
        <w:spacing w:line="360" w:lineRule="auto"/>
        <w:jc w:val="left"/>
        <w:rPr>
          <w:rFonts w:ascii="仿宋" w:hAnsi="仿宋" w:eastAsia="仿宋" w:cs="仿宋"/>
          <w:sz w:val="24"/>
        </w:rPr>
      </w:pPr>
      <w:r>
        <w:rPr>
          <w:rFonts w:hint="eastAsia" w:ascii="仿宋" w:hAnsi="仿宋" w:eastAsia="仿宋" w:cs="仿宋"/>
          <w:sz w:val="24"/>
        </w:rPr>
        <w:t>（6）乙方须自行配备员工工作所需的劳保用品和工作制服（每人一套），包括服装、帽子、工作牌、口罩、手套、围裙、雨鞋等。所有工作人员上岗必须统一着装。无论中标人是否变更需为全新。</w:t>
      </w:r>
    </w:p>
    <w:p>
      <w:pPr>
        <w:spacing w:line="360" w:lineRule="auto"/>
        <w:jc w:val="left"/>
        <w:rPr>
          <w:rFonts w:ascii="仿宋" w:hAnsi="仿宋" w:eastAsia="仿宋" w:cs="仿宋"/>
          <w:sz w:val="24"/>
        </w:rPr>
      </w:pPr>
      <w:r>
        <w:rPr>
          <w:rFonts w:hint="eastAsia" w:ascii="仿宋" w:hAnsi="仿宋" w:eastAsia="仿宋" w:cs="仿宋"/>
          <w:sz w:val="24"/>
        </w:rPr>
        <w:t>（7）监督配合物业公司做好食堂区域内的四害消杀工作（蟑螂、老鼠、苍蝇、蚂蚁等）。</w:t>
      </w:r>
    </w:p>
    <w:p>
      <w:pPr>
        <w:spacing w:line="360" w:lineRule="auto"/>
        <w:jc w:val="left"/>
        <w:rPr>
          <w:rFonts w:ascii="仿宋" w:hAnsi="仿宋" w:eastAsia="仿宋" w:cs="仿宋"/>
          <w:sz w:val="24"/>
        </w:rPr>
      </w:pPr>
      <w:r>
        <w:rPr>
          <w:rFonts w:hint="eastAsia" w:ascii="仿宋" w:hAnsi="仿宋" w:eastAsia="仿宋" w:cs="仿宋"/>
          <w:sz w:val="24"/>
        </w:rPr>
        <w:t>（8）保密规定：①甲方应当对乙方的服务人员开展常态化安全保密教育，组织签订安全保密承诺书，明确具体安全管理内容、安全保密义务和责任；</w:t>
      </w:r>
    </w:p>
    <w:p>
      <w:pPr>
        <w:spacing w:line="360" w:lineRule="auto"/>
        <w:jc w:val="left"/>
        <w:rPr>
          <w:rFonts w:ascii="仿宋" w:hAnsi="仿宋" w:eastAsia="仿宋" w:cs="仿宋"/>
          <w:sz w:val="24"/>
        </w:rPr>
      </w:pPr>
      <w:r>
        <w:rPr>
          <w:rFonts w:hint="eastAsia" w:ascii="仿宋" w:hAnsi="仿宋" w:eastAsia="仿宋" w:cs="仿宋"/>
          <w:sz w:val="24"/>
        </w:rPr>
        <w:t>②乙方的服务人员违反安全管理要求，构成违法犯罪的，甲方应当及时报送本级政府采购和市场监督管理部门，提请列入政府采购严重违法失信行为记录名单、市场监督管理严重失信名单，并追究相关责任。</w:t>
      </w:r>
    </w:p>
    <w:p>
      <w:pPr>
        <w:spacing w:line="360" w:lineRule="auto"/>
        <w:jc w:val="left"/>
        <w:rPr>
          <w:rFonts w:ascii="仿宋" w:hAnsi="仿宋" w:eastAsia="仿宋" w:cs="仿宋"/>
          <w:sz w:val="24"/>
        </w:rPr>
      </w:pPr>
      <w:r>
        <w:rPr>
          <w:rFonts w:hint="eastAsia" w:ascii="仿宋" w:hAnsi="仿宋" w:eastAsia="仿宋" w:cs="仿宋"/>
          <w:sz w:val="24"/>
        </w:rPr>
        <w:t>（9）卫生管理要求：</w:t>
      </w:r>
    </w:p>
    <w:p>
      <w:pPr>
        <w:spacing w:line="360" w:lineRule="auto"/>
        <w:jc w:val="left"/>
        <w:rPr>
          <w:rFonts w:ascii="仿宋" w:hAnsi="仿宋" w:eastAsia="仿宋" w:cs="仿宋"/>
          <w:sz w:val="24"/>
        </w:rPr>
      </w:pPr>
      <w:r>
        <w:rPr>
          <w:rFonts w:hint="eastAsia" w:ascii="仿宋" w:hAnsi="仿宋" w:eastAsia="仿宋" w:cs="仿宋"/>
          <w:sz w:val="24"/>
        </w:rPr>
        <w:t>①严格按照《中华人民共和国食品安全法》验收、清洗、加工要求制作食品，食品与非食品、生食与熟食应当有适当的分隔措施，固定的存放位置；厨房用品用具严格实行一洗二清三过四消毒的规程。</w:t>
      </w:r>
    </w:p>
    <w:p>
      <w:pPr>
        <w:spacing w:line="360" w:lineRule="auto"/>
        <w:jc w:val="left"/>
        <w:rPr>
          <w:rFonts w:ascii="仿宋" w:hAnsi="仿宋" w:eastAsia="仿宋" w:cs="仿宋"/>
          <w:sz w:val="24"/>
        </w:rPr>
      </w:pPr>
      <w:r>
        <w:rPr>
          <w:rFonts w:hint="eastAsia" w:ascii="仿宋" w:hAnsi="仿宋" w:eastAsia="仿宋" w:cs="仿宋"/>
          <w:sz w:val="24"/>
        </w:rPr>
        <w:t>②对食堂的厨房、餐厅等所有区域的卫生应按《五常法》管理模式，实行分层负责，定置、定量、定位、定进出、定标识、责任到人。</w:t>
      </w:r>
    </w:p>
    <w:p>
      <w:pPr>
        <w:spacing w:line="360" w:lineRule="auto"/>
        <w:jc w:val="left"/>
        <w:rPr>
          <w:rFonts w:ascii="仿宋" w:hAnsi="仿宋" w:eastAsia="仿宋" w:cs="仿宋"/>
          <w:sz w:val="24"/>
        </w:rPr>
      </w:pPr>
      <w:r>
        <w:rPr>
          <w:rFonts w:hint="eastAsia" w:ascii="仿宋" w:hAnsi="仿宋" w:eastAsia="仿宋" w:cs="仿宋"/>
          <w:sz w:val="24"/>
        </w:rPr>
        <w:t>③自觉接受卫生管理部门和甲方管理人员对食堂内工作检查、监督。</w:t>
      </w:r>
    </w:p>
    <w:p>
      <w:pPr>
        <w:spacing w:line="360" w:lineRule="auto"/>
        <w:jc w:val="left"/>
        <w:rPr>
          <w:rFonts w:ascii="仿宋" w:hAnsi="仿宋" w:eastAsia="仿宋" w:cs="仿宋"/>
          <w:sz w:val="24"/>
        </w:rPr>
      </w:pPr>
      <w:r>
        <w:rPr>
          <w:rFonts w:hint="eastAsia" w:ascii="仿宋" w:hAnsi="仿宋" w:eastAsia="仿宋" w:cs="仿宋"/>
          <w:sz w:val="24"/>
        </w:rPr>
        <w:t>④餐厅、厨房用品摆放规范、环境整洁，垃圾污物应按指定地点放置，并及时清理，不得随意弃放。</w:t>
      </w:r>
    </w:p>
    <w:p>
      <w:pPr>
        <w:spacing w:line="360" w:lineRule="auto"/>
        <w:jc w:val="left"/>
        <w:rPr>
          <w:rFonts w:ascii="仿宋" w:hAnsi="仿宋" w:eastAsia="仿宋" w:cs="仿宋"/>
          <w:sz w:val="24"/>
        </w:rPr>
      </w:pPr>
      <w:r>
        <w:rPr>
          <w:rFonts w:hint="eastAsia" w:ascii="仿宋" w:hAnsi="仿宋" w:eastAsia="仿宋" w:cs="仿宋"/>
          <w:sz w:val="24"/>
        </w:rPr>
        <w:t>（10）安全管理要求：</w:t>
      </w:r>
    </w:p>
    <w:p>
      <w:pPr>
        <w:spacing w:line="360" w:lineRule="auto"/>
        <w:jc w:val="left"/>
        <w:rPr>
          <w:rFonts w:ascii="仿宋" w:hAnsi="仿宋" w:eastAsia="仿宋" w:cs="仿宋"/>
          <w:sz w:val="24"/>
        </w:rPr>
      </w:pPr>
      <w:r>
        <w:rPr>
          <w:rFonts w:hint="eastAsia" w:ascii="仿宋" w:hAnsi="仿宋" w:eastAsia="仿宋" w:cs="仿宋"/>
          <w:sz w:val="24"/>
        </w:rPr>
        <w:t>①严禁使用任何变质或受污染的原料制作食品，防止食物中毒事件发生，因乙方过错造成食堂就餐人员中毒，经医院确认，乙方承担一切法律与经济责任，甲方可以单方面终止合同，且履约保证金不予退还。</w:t>
      </w:r>
    </w:p>
    <w:p>
      <w:pPr>
        <w:spacing w:line="360" w:lineRule="auto"/>
        <w:jc w:val="left"/>
        <w:rPr>
          <w:rFonts w:ascii="仿宋" w:hAnsi="仿宋" w:eastAsia="仿宋" w:cs="仿宋"/>
          <w:sz w:val="24"/>
        </w:rPr>
      </w:pPr>
      <w:r>
        <w:rPr>
          <w:rFonts w:hint="eastAsia" w:ascii="仿宋" w:hAnsi="仿宋" w:eastAsia="仿宋" w:cs="仿宋"/>
          <w:sz w:val="24"/>
        </w:rPr>
        <w:t>②严格控制使用食品添加剂，注重食品卫生，防止食物中毒事件发生。</w:t>
      </w:r>
    </w:p>
    <w:p>
      <w:pPr>
        <w:spacing w:line="360" w:lineRule="auto"/>
        <w:jc w:val="left"/>
        <w:rPr>
          <w:rFonts w:ascii="仿宋" w:hAnsi="仿宋" w:eastAsia="仿宋" w:cs="仿宋"/>
          <w:sz w:val="24"/>
        </w:rPr>
      </w:pPr>
      <w:r>
        <w:rPr>
          <w:rFonts w:hint="eastAsia" w:ascii="仿宋" w:hAnsi="仿宋" w:eastAsia="仿宋" w:cs="仿宋"/>
          <w:sz w:val="24"/>
        </w:rPr>
        <w:t>③严格执行索证制度、农药测试制度，预防食物中毒事件发生。</w:t>
      </w:r>
    </w:p>
    <w:p>
      <w:pPr>
        <w:spacing w:line="360" w:lineRule="auto"/>
        <w:jc w:val="left"/>
        <w:rPr>
          <w:rFonts w:ascii="仿宋" w:hAnsi="仿宋" w:eastAsia="仿宋" w:cs="仿宋"/>
          <w:sz w:val="24"/>
        </w:rPr>
      </w:pPr>
      <w:r>
        <w:rPr>
          <w:rFonts w:hint="eastAsia" w:ascii="仿宋" w:hAnsi="仿宋" w:eastAsia="仿宋" w:cs="仿宋"/>
          <w:sz w:val="24"/>
        </w:rPr>
        <w:t>④下班后和设备使用完后落实关气、关电、关水、关门检查制度，预防火灾、偷盗事件发生。</w:t>
      </w:r>
    </w:p>
    <w:p>
      <w:pPr>
        <w:spacing w:line="360" w:lineRule="auto"/>
        <w:jc w:val="left"/>
        <w:rPr>
          <w:rFonts w:ascii="仿宋" w:hAnsi="仿宋" w:eastAsia="仿宋" w:cs="仿宋"/>
          <w:sz w:val="24"/>
        </w:rPr>
      </w:pPr>
      <w:r>
        <w:rPr>
          <w:rFonts w:hint="eastAsia" w:ascii="仿宋" w:hAnsi="仿宋" w:eastAsia="仿宋" w:cs="仿宋"/>
          <w:sz w:val="24"/>
        </w:rPr>
        <w:t>⑤制定并严格执行《食堂食品留样制度》，提供的每餐、每样食品都必须由专人负责留样，并做好记录，妥善保存，留样食品至少保留48小时。</w:t>
      </w:r>
    </w:p>
    <w:p>
      <w:pPr>
        <w:spacing w:line="360" w:lineRule="auto"/>
        <w:jc w:val="left"/>
        <w:rPr>
          <w:rFonts w:ascii="仿宋" w:hAnsi="仿宋" w:eastAsia="仿宋" w:cs="仿宋"/>
          <w:sz w:val="24"/>
        </w:rPr>
      </w:pPr>
      <w:r>
        <w:rPr>
          <w:rFonts w:hint="eastAsia" w:ascii="仿宋" w:hAnsi="仿宋" w:eastAsia="仿宋" w:cs="仿宋"/>
          <w:sz w:val="24"/>
        </w:rPr>
        <w:t>⑥因乙方工作过错造成的安全管理事故，乙方负全部责任。</w:t>
      </w:r>
    </w:p>
    <w:p>
      <w:pPr>
        <w:spacing w:line="360" w:lineRule="auto"/>
        <w:jc w:val="left"/>
        <w:rPr>
          <w:rFonts w:ascii="仿宋" w:hAnsi="仿宋" w:eastAsia="仿宋" w:cs="仿宋"/>
          <w:sz w:val="24"/>
        </w:rPr>
      </w:pPr>
      <w:r>
        <w:rPr>
          <w:rFonts w:hint="eastAsia" w:ascii="仿宋" w:hAnsi="仿宋" w:eastAsia="仿宋" w:cs="仿宋"/>
          <w:sz w:val="24"/>
        </w:rPr>
        <w:t>（11）节能管理要求：</w:t>
      </w:r>
    </w:p>
    <w:p>
      <w:pPr>
        <w:spacing w:line="360" w:lineRule="auto"/>
        <w:jc w:val="left"/>
        <w:rPr>
          <w:rFonts w:ascii="仿宋" w:hAnsi="仿宋" w:eastAsia="仿宋" w:cs="仿宋"/>
          <w:sz w:val="24"/>
        </w:rPr>
      </w:pPr>
      <w:r>
        <w:rPr>
          <w:rFonts w:hint="eastAsia" w:ascii="仿宋" w:hAnsi="仿宋" w:eastAsia="仿宋" w:cs="仿宋"/>
          <w:sz w:val="24"/>
        </w:rPr>
        <w:t>①乙方要配合甲方做好水电气的节能管理工作，开关有度。</w:t>
      </w:r>
    </w:p>
    <w:p>
      <w:pPr>
        <w:spacing w:line="360" w:lineRule="auto"/>
        <w:jc w:val="left"/>
        <w:rPr>
          <w:rFonts w:ascii="仿宋" w:hAnsi="仿宋" w:eastAsia="仿宋" w:cs="仿宋"/>
        </w:rPr>
      </w:pPr>
      <w:r>
        <w:rPr>
          <w:rFonts w:hint="eastAsia" w:ascii="仿宋" w:hAnsi="仿宋" w:eastAsia="仿宋" w:cs="仿宋"/>
          <w:sz w:val="24"/>
        </w:rPr>
        <w:t>②对原料、食材的使用也要有节约意识，杜绝浪费。</w:t>
      </w:r>
    </w:p>
    <w:p>
      <w:pPr>
        <w:spacing w:line="360" w:lineRule="auto"/>
        <w:jc w:val="left"/>
        <w:rPr>
          <w:rFonts w:ascii="仿宋" w:hAnsi="仿宋" w:eastAsia="仿宋" w:cs="仿宋"/>
          <w:sz w:val="24"/>
        </w:rPr>
      </w:pPr>
      <w:r>
        <w:rPr>
          <w:rFonts w:hint="eastAsia" w:ascii="仿宋" w:hAnsi="仿宋" w:eastAsia="仿宋" w:cs="仿宋"/>
          <w:sz w:val="24"/>
        </w:rPr>
        <w:t>（12）乙方须出具“所有服务人员在中标通知书发出后10天内备齐，在此期间办理完成交接手续并保证用餐条件”的承诺。</w:t>
      </w:r>
    </w:p>
    <w:p>
      <w:pPr>
        <w:spacing w:line="360" w:lineRule="auto"/>
        <w:jc w:val="left"/>
        <w:rPr>
          <w:rFonts w:ascii="仿宋" w:hAnsi="仿宋" w:eastAsia="仿宋" w:cs="仿宋"/>
          <w:sz w:val="24"/>
        </w:rPr>
      </w:pPr>
      <w:r>
        <w:rPr>
          <w:rFonts w:hint="eastAsia" w:ascii="仿宋" w:hAnsi="仿宋" w:eastAsia="仿宋" w:cs="仿宋"/>
          <w:sz w:val="24"/>
        </w:rPr>
        <w:t>（13）乙方须出具“如食堂有特殊任务，投标单位务必配备相应数量及专业的服务人员以满足食堂运行的正常需要”的承诺。</w:t>
      </w:r>
    </w:p>
    <w:p>
      <w:pPr>
        <w:spacing w:line="360" w:lineRule="auto"/>
        <w:jc w:val="left"/>
        <w:rPr>
          <w:rFonts w:ascii="仿宋" w:hAnsi="仿宋" w:eastAsia="仿宋" w:cs="仿宋"/>
          <w:sz w:val="24"/>
        </w:rPr>
      </w:pPr>
      <w:r>
        <w:rPr>
          <w:rFonts w:hint="eastAsia" w:ascii="仿宋" w:hAnsi="仿宋" w:eastAsia="仿宋" w:cs="仿宋"/>
          <w:sz w:val="24"/>
        </w:rPr>
        <w:t>（14）未经甲方同意，乙方无权在承包区域中从事任何广告活动或类似宣传。</w:t>
      </w:r>
    </w:p>
    <w:p>
      <w:pPr>
        <w:spacing w:line="360" w:lineRule="auto"/>
        <w:jc w:val="left"/>
        <w:rPr>
          <w:rFonts w:ascii="仿宋" w:hAnsi="仿宋" w:eastAsia="仿宋" w:cs="仿宋"/>
          <w:sz w:val="24"/>
        </w:rPr>
      </w:pPr>
      <w:r>
        <w:rPr>
          <w:rFonts w:hint="eastAsia" w:ascii="仿宋" w:hAnsi="仿宋" w:eastAsia="仿宋" w:cs="仿宋"/>
          <w:sz w:val="24"/>
        </w:rPr>
        <w:t>（15）乙方不得以甲方的名义从事任何经济活动。</w:t>
      </w:r>
    </w:p>
    <w:p>
      <w:pPr>
        <w:spacing w:line="360" w:lineRule="auto"/>
        <w:jc w:val="left"/>
        <w:rPr>
          <w:rFonts w:ascii="仿宋" w:hAnsi="仿宋" w:eastAsia="仿宋" w:cs="仿宋"/>
          <w:sz w:val="24"/>
        </w:rPr>
      </w:pPr>
      <w:r>
        <w:rPr>
          <w:rFonts w:hint="eastAsia" w:ascii="仿宋" w:hAnsi="仿宋" w:eastAsia="仿宋" w:cs="仿宋"/>
          <w:sz w:val="24"/>
        </w:rPr>
        <w:t>（16）乙方应</w:t>
      </w:r>
      <w:r>
        <w:rPr>
          <w:rFonts w:hint="eastAsia" w:ascii="仿宋" w:hAnsi="仿宋" w:eastAsia="仿宋" w:cs="仿宋"/>
          <w:bCs/>
          <w:sz w:val="24"/>
        </w:rPr>
        <w:t>服从甲方管理；及时落实甲方合理安排的临时工作任务，并于每月开展意见征求活动，及时整改存在的问题。</w:t>
      </w:r>
    </w:p>
    <w:p>
      <w:pPr>
        <w:snapToGrid w:val="0"/>
        <w:spacing w:line="360" w:lineRule="auto"/>
        <w:jc w:val="left"/>
      </w:pPr>
      <w:r>
        <w:rPr>
          <w:rFonts w:hint="eastAsia" w:ascii="仿宋" w:hAnsi="仿宋" w:eastAsia="仿宋" w:cs="仿宋"/>
          <w:sz w:val="24"/>
        </w:rPr>
        <w:t>（17）乙方服务人员食宿自理。</w:t>
      </w:r>
    </w:p>
    <w:p>
      <w:pPr>
        <w:pStyle w:val="2"/>
        <w:ind w:left="0" w:firstLine="0"/>
        <w:rPr>
          <w:b w:val="0"/>
          <w:lang w:val="en-US"/>
        </w:rPr>
      </w:pPr>
    </w:p>
    <w:p>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00"/>
      <w:bookmarkEnd w:id="401"/>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杭州市公安局地铁公安分局、（浙江五石中正工程咨询有限公司）：</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我方参与杭州市公安局地铁公安分局食堂外包服务项目【招标编号：</w:t>
      </w:r>
      <w:r>
        <w:rPr>
          <w:rFonts w:hint="eastAsia" w:ascii="仿宋_GB2312" w:hAnsi="仿宋" w:eastAsia="仿宋_GB2312"/>
          <w:sz w:val="24"/>
        </w:rPr>
        <w:t>ZJWS2022-DTFJ01</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pPr>
        <w:widowControl/>
        <w:spacing w:line="360" w:lineRule="auto"/>
        <w:ind w:firstLine="480"/>
        <w:jc w:val="left"/>
        <w:rPr>
          <w:rFonts w:ascii="仿宋_GB2312" w:hAnsi="宋体" w:eastAsia="仿宋_GB2312"/>
          <w:sz w:val="24"/>
        </w:rPr>
      </w:pPr>
      <w:r>
        <w:rPr>
          <w:rFonts w:hint="eastAsia" w:ascii="仿宋_GB2312" w:hAnsi="宋体" w:eastAsia="仿宋_GB2312"/>
          <w:sz w:val="24"/>
        </w:rPr>
        <w:t>注：本项目专门面向小微企业采购，服务全部由符合政策要求的小微企业承接，提供中小企业声明函：</w:t>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单位名称）的杭州市公安局地铁公安分局食堂外包服务项目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食堂外包服务</w:t>
      </w:r>
      <w:r>
        <w:rPr>
          <w:rFonts w:hint="eastAsia" w:ascii="仿宋_GB2312" w:hAnsi="宋体" w:eastAsia="仿宋_GB2312"/>
          <w:sz w:val="24"/>
        </w:rPr>
        <w:t>，属于</w:t>
      </w:r>
      <w:r>
        <w:rPr>
          <w:rFonts w:hint="eastAsia" w:ascii="仿宋_GB2312" w:hAnsi="宋体" w:eastAsia="仿宋_GB2312"/>
          <w:sz w:val="24"/>
          <w:u w:val="single"/>
        </w:rPr>
        <w:t>其他未列明行业</w:t>
      </w:r>
      <w:r>
        <w:rPr>
          <w:rFonts w:ascii="仿宋_GB2312" w:hAnsi="宋体" w:eastAsia="仿宋_GB2312"/>
          <w:sz w:val="24"/>
        </w:rPr>
        <w:t xml:space="preserve"> ；承接企业为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人，营业收入为</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万元，资产总额为</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人，营业收入为</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万元，资产总额为</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widowControl/>
        <w:spacing w:line="360" w:lineRule="auto"/>
        <w:ind w:firstLine="470" w:firstLineChars="196"/>
        <w:jc w:val="left"/>
        <w:rPr>
          <w:rFonts w:ascii="仿宋_GB2312" w:hAnsi="仿宋" w:eastAsia="仿宋_GB2312" w:cs="仿宋_GB2312"/>
          <w:b/>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杭州市公安局地铁公安分局食堂外包服务项目【招标编号：</w:t>
      </w:r>
      <w:r>
        <w:rPr>
          <w:rFonts w:hint="eastAsia" w:ascii="仿宋_GB2312" w:hAnsi="仿宋" w:eastAsia="仿宋_GB2312"/>
          <w:sz w:val="24"/>
        </w:rPr>
        <w:t>ZJWS2022-DTFJ01</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w:t>
      </w:r>
      <w:r>
        <w:rPr>
          <w:rFonts w:hint="eastAsia" w:ascii="仿宋_GB2312" w:hAnsi="仿宋" w:eastAsia="仿宋_GB2312" w:cs="仿宋_GB2312"/>
          <w:kern w:val="0"/>
          <w:sz w:val="24"/>
          <w:lang w:val="zh-CN"/>
        </w:rPr>
        <w:t>采购代理机构</w:t>
      </w:r>
      <w:r>
        <w:rPr>
          <w:rFonts w:ascii="仿宋_GB2312" w:hAnsi="仿宋" w:eastAsia="仿宋_GB2312" w:cs="仿宋_GB2312"/>
          <w:kern w:val="0"/>
          <w:sz w:val="24"/>
          <w:lang w:val="zh-CN"/>
        </w:rPr>
        <w:t>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杭州市公安局地铁公安分局食堂外包服务项目【招标编号：</w:t>
      </w:r>
      <w:r>
        <w:rPr>
          <w:rFonts w:hint="eastAsia" w:ascii="仿宋_GB2312" w:hAnsi="仿宋" w:eastAsia="仿宋_GB2312"/>
          <w:sz w:val="24"/>
        </w:rPr>
        <w:t>ZJWS2022-DTFJ01</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br w:type="page"/>
      </w: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pStyle w:val="2"/>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杭州市公安局地铁公安分局、（浙江五石中正工程咨询有限公司）：</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我方参加你方组织的杭州市公安局地铁公安分局食堂外包服务项目【招标编号：</w:t>
      </w:r>
      <w:r>
        <w:rPr>
          <w:rFonts w:hint="eastAsia" w:ascii="仿宋_GB2312" w:hAnsi="仿宋" w:eastAsia="仿宋_GB2312"/>
          <w:sz w:val="24"/>
        </w:rPr>
        <w:t>ZJWS2022-DTFJ01</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杭州市公安局地铁公安分局、（浙江五石中正工程咨询有限公司）</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杭州市公安局地铁公安分局食堂外包服务项目【招标编号：</w:t>
      </w:r>
      <w:r>
        <w:rPr>
          <w:rFonts w:hint="eastAsia" w:ascii="仿宋_GB2312" w:hAnsi="仿宋" w:eastAsia="仿宋_GB2312"/>
          <w:sz w:val="24"/>
        </w:rPr>
        <w:t>ZJWS2022-DTFJ01</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杭州市公安局地铁公安分局、（浙江五石中正工程咨询有限公司）</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杭州市公安局地铁公安分局食堂外包服务项目【招标编号：</w:t>
      </w:r>
      <w:r>
        <w:rPr>
          <w:rFonts w:hint="eastAsia" w:ascii="仿宋_GB2312" w:hAnsi="仿宋" w:eastAsia="仿宋_GB2312"/>
          <w:sz w:val="24"/>
        </w:rPr>
        <w:t>ZJWS2022-DTFJ01</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杭州市公安局地铁公安分局食堂外包服务项目【招标编号：</w:t>
      </w:r>
      <w:r>
        <w:rPr>
          <w:rFonts w:hint="eastAsia" w:ascii="仿宋_GB2312" w:hAnsi="仿宋" w:eastAsia="仿宋_GB2312"/>
          <w:sz w:val="24"/>
        </w:rPr>
        <w:t>ZJWS2022-DTFJ01</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w:t>
      </w:r>
      <w:r>
        <w:rPr>
          <w:rFonts w:hint="eastAsia" w:ascii="仿宋_GB2312" w:hAnsi="仿宋" w:eastAsia="仿宋_GB2312" w:cs="仿宋_GB2312"/>
          <w:kern w:val="0"/>
          <w:sz w:val="24"/>
          <w:lang w:val="zh-CN"/>
        </w:rPr>
        <w:t>采购代理机构</w:t>
      </w:r>
      <w:r>
        <w:rPr>
          <w:rFonts w:ascii="仿宋_GB2312" w:hAnsi="仿宋" w:eastAsia="仿宋_GB2312" w:cs="仿宋_GB2312"/>
          <w:kern w:val="0"/>
          <w:sz w:val="24"/>
          <w:lang w:val="zh-CN"/>
        </w:rPr>
        <w:t>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杭州市公安局地铁公安分局食堂外包服务项目【招标编号：</w:t>
      </w:r>
      <w:r>
        <w:rPr>
          <w:rFonts w:hint="eastAsia" w:ascii="仿宋_GB2312" w:hAnsi="仿宋" w:eastAsia="仿宋_GB2312"/>
          <w:sz w:val="24"/>
        </w:rPr>
        <w:t>ZJWS2022-DTFJ01</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2"/>
              <w:rPr>
                <w:lang w:val="en-US"/>
              </w:rPr>
            </w:pPr>
            <w:r>
              <w:rPr>
                <w:rFonts w:hint="eastAsia" w:ascii="仿宋" w:eastAsia="仿宋"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招标文件其它实质性要求相应的材料（“▲”系指实质性要求条款，招标文件无其它实质性要求的，无需提供）</w:t>
            </w:r>
          </w:p>
        </w:tc>
        <w:tc>
          <w:tcPr>
            <w:tcW w:w="1418" w:type="dxa"/>
          </w:tcPr>
          <w:p>
            <w:r>
              <w:rPr>
                <w:rFonts w:hint="eastAsia" w:ascii="仿宋" w:hAnsi="仿宋" w:eastAsia="仿宋" w:cs="仿宋_GB2312"/>
                <w:sz w:val="24"/>
              </w:rPr>
              <w:t>见投标文件第页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杭州市公安局地铁公安分局、（浙江五石中正工程咨询有限公司）</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杭州市公安局地铁公安分局、（浙江五石中正工程咨询有限公司）</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杭州市公安局地铁公安分局食堂外包服务项目</w:t>
      </w:r>
      <w:r>
        <w:rPr>
          <w:rFonts w:hint="eastAsia" w:ascii="仿宋_GB2312" w:hAnsi="仿宋" w:eastAsia="仿宋_GB2312" w:cs="仿宋_GB2312"/>
          <w:kern w:val="0"/>
          <w:sz w:val="24"/>
          <w:lang w:val="zh-CN"/>
        </w:rPr>
        <w:t>【招标编号：</w:t>
      </w:r>
      <w:r>
        <w:rPr>
          <w:rFonts w:hint="eastAsia" w:ascii="仿宋_GB2312" w:hAnsi="仿宋" w:eastAsia="仿宋_GB2312"/>
          <w:sz w:val="24"/>
        </w:rPr>
        <w:t>ZJWS2022-DTFJ01</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3118"/>
        <w:gridCol w:w="2250"/>
        <w:gridCol w:w="1200"/>
        <w:gridCol w:w="1530"/>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225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20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53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4518"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2250"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pacing w:line="360" w:lineRule="auto"/>
              <w:jc w:val="center"/>
              <w:rPr>
                <w:rFonts w:ascii="仿宋_GB2312" w:hAnsi="仿宋" w:eastAsia="仿宋_GB2312" w:cs="仿宋_GB2312"/>
                <w:sz w:val="24"/>
              </w:rPr>
            </w:pPr>
          </w:p>
        </w:tc>
        <w:tc>
          <w:tcPr>
            <w:tcW w:w="1530" w:type="dxa"/>
            <w:vAlign w:val="center"/>
          </w:tcPr>
          <w:p>
            <w:pPr>
              <w:spacing w:line="360" w:lineRule="auto"/>
              <w:jc w:val="center"/>
              <w:rPr>
                <w:rFonts w:ascii="仿宋_GB2312" w:hAnsi="仿宋" w:eastAsia="仿宋_GB2312" w:cs="仿宋_GB2312"/>
                <w:sz w:val="24"/>
              </w:rPr>
            </w:pPr>
          </w:p>
        </w:tc>
        <w:tc>
          <w:tcPr>
            <w:tcW w:w="4518"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2250"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pacing w:line="360" w:lineRule="auto"/>
              <w:jc w:val="center"/>
              <w:rPr>
                <w:rFonts w:ascii="仿宋_GB2312" w:hAnsi="仿宋" w:eastAsia="仿宋_GB2312" w:cs="仿宋_GB2312"/>
                <w:sz w:val="24"/>
              </w:rPr>
            </w:pPr>
          </w:p>
        </w:tc>
        <w:tc>
          <w:tcPr>
            <w:tcW w:w="1530" w:type="dxa"/>
            <w:vAlign w:val="center"/>
          </w:tcPr>
          <w:p>
            <w:pPr>
              <w:spacing w:line="360" w:lineRule="auto"/>
              <w:jc w:val="center"/>
              <w:rPr>
                <w:rFonts w:ascii="仿宋_GB2312" w:hAnsi="仿宋" w:eastAsia="仿宋_GB2312" w:cs="仿宋_GB2312"/>
                <w:sz w:val="24"/>
              </w:rPr>
            </w:pPr>
          </w:p>
        </w:tc>
        <w:tc>
          <w:tcPr>
            <w:tcW w:w="4518"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2250"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pacing w:line="360" w:lineRule="auto"/>
              <w:jc w:val="center"/>
              <w:rPr>
                <w:rFonts w:ascii="仿宋_GB2312" w:hAnsi="仿宋" w:eastAsia="仿宋_GB2312" w:cs="仿宋_GB2312"/>
                <w:sz w:val="24"/>
              </w:rPr>
            </w:pPr>
          </w:p>
        </w:tc>
        <w:tc>
          <w:tcPr>
            <w:tcW w:w="1530" w:type="dxa"/>
            <w:vAlign w:val="center"/>
          </w:tcPr>
          <w:p>
            <w:pPr>
              <w:spacing w:line="360" w:lineRule="auto"/>
              <w:jc w:val="center"/>
              <w:rPr>
                <w:rFonts w:ascii="仿宋_GB2312" w:hAnsi="仿宋" w:eastAsia="仿宋_GB2312" w:cs="仿宋_GB2312"/>
                <w:sz w:val="24"/>
              </w:rPr>
            </w:pPr>
          </w:p>
        </w:tc>
        <w:tc>
          <w:tcPr>
            <w:tcW w:w="4518"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2250"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pacing w:line="360" w:lineRule="auto"/>
              <w:jc w:val="center"/>
              <w:rPr>
                <w:rFonts w:ascii="仿宋_GB2312" w:hAnsi="仿宋" w:eastAsia="仿宋_GB2312" w:cs="仿宋_GB2312"/>
                <w:sz w:val="24"/>
              </w:rPr>
            </w:pPr>
          </w:p>
        </w:tc>
        <w:tc>
          <w:tcPr>
            <w:tcW w:w="1530" w:type="dxa"/>
            <w:vAlign w:val="center"/>
          </w:tcPr>
          <w:p>
            <w:pPr>
              <w:spacing w:line="360" w:lineRule="auto"/>
              <w:jc w:val="center"/>
              <w:rPr>
                <w:rFonts w:ascii="仿宋_GB2312" w:hAnsi="仿宋" w:eastAsia="仿宋_GB2312" w:cs="仿宋_GB2312"/>
                <w:sz w:val="24"/>
              </w:rPr>
            </w:pPr>
          </w:p>
        </w:tc>
        <w:tc>
          <w:tcPr>
            <w:tcW w:w="4518"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2250"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pacing w:line="360" w:lineRule="auto"/>
              <w:jc w:val="center"/>
              <w:rPr>
                <w:rFonts w:ascii="仿宋_GB2312" w:hAnsi="仿宋" w:eastAsia="仿宋_GB2312" w:cs="仿宋_GB2312"/>
                <w:sz w:val="24"/>
              </w:rPr>
            </w:pPr>
          </w:p>
        </w:tc>
        <w:tc>
          <w:tcPr>
            <w:tcW w:w="1530" w:type="dxa"/>
            <w:vAlign w:val="center"/>
          </w:tcPr>
          <w:p>
            <w:pPr>
              <w:spacing w:line="360" w:lineRule="auto"/>
              <w:jc w:val="center"/>
              <w:rPr>
                <w:rFonts w:ascii="仿宋_GB2312" w:hAnsi="仿宋" w:eastAsia="仿宋_GB2312" w:cs="仿宋_GB2312"/>
                <w:sz w:val="24"/>
              </w:rPr>
            </w:pPr>
          </w:p>
        </w:tc>
        <w:tc>
          <w:tcPr>
            <w:tcW w:w="4518"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069"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9498"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069"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9498"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b/>
          <w:kern w:val="0"/>
          <w:sz w:val="24"/>
        </w:rPr>
      </w:pPr>
      <w:r>
        <w:rPr>
          <w:rFonts w:ascii="仿宋_GB2312" w:hAnsi="仿宋" w:eastAsia="仿宋_GB2312" w:cs="仿宋_GB2312"/>
          <w:kern w:val="0"/>
          <w:sz w:val="24"/>
          <w:lang w:val="zh-CN"/>
        </w:rPr>
        <w:t>4、特别提示：</w:t>
      </w:r>
      <w:r>
        <w:rPr>
          <w:rFonts w:hint="eastAsia" w:ascii="仿宋_GB2312" w:hAnsi="仿宋" w:eastAsia="仿宋_GB2312" w:cs="仿宋_GB2312"/>
          <w:kern w:val="0"/>
          <w:sz w:val="24"/>
          <w:lang w:val="zh-CN"/>
        </w:rPr>
        <w:t>采购代理机构</w:t>
      </w:r>
      <w:r>
        <w:rPr>
          <w:rFonts w:ascii="仿宋_GB2312" w:hAnsi="仿宋" w:eastAsia="仿宋_GB2312" w:cs="仿宋_GB2312"/>
          <w:kern w:val="0"/>
          <w:sz w:val="24"/>
          <w:lang w:val="zh-CN"/>
        </w:rPr>
        <w:t>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596" w:name="_Toc465665161"/>
      <w:r>
        <w:rPr>
          <w:rFonts w:hint="eastAsia" w:ascii="仿宋_GB2312" w:hAnsi="仿宋" w:eastAsia="仿宋_GB2312"/>
        </w:rPr>
        <w:t>附件</w:t>
      </w:r>
      <w:bookmarkEnd w:id="596"/>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97" w:name="OLE_LINK13"/>
      <w:bookmarkStart w:id="598" w:name="OLE_LINK14"/>
      <w:r>
        <w:rPr>
          <w:rFonts w:hint="eastAsia" w:ascii="仿宋_GB2312" w:hAnsi="仿宋" w:eastAsia="仿宋_GB2312"/>
          <w:b/>
          <w:spacing w:val="6"/>
          <w:sz w:val="32"/>
          <w:szCs w:val="32"/>
        </w:rPr>
        <w:t>残疾人福利性单位声明函</w:t>
      </w:r>
    </w:p>
    <w:bookmarkEnd w:id="597"/>
    <w:bookmarkEnd w:id="598"/>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pStyle w:val="2"/>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杭州市公安局地铁公安分局、（采购代理机构）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杭州市公安局地铁公安分局食堂外包服务项目项目</w:t>
      </w:r>
      <w:r>
        <w:rPr>
          <w:rFonts w:hint="eastAsia" w:ascii="仿宋" w:hAnsi="仿宋" w:eastAsia="仿宋" w:cs="仿宋_GB2312"/>
          <w:sz w:val="24"/>
        </w:rPr>
        <w:t>【招标编号：ZJWS2022-DTFJ01</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path/>
            <v:fill focussize="0,0"/>
            <v:stroke miterlimit="2"/>
            <v:imagedata o:title=""/>
            <o:lock v:ext="edit"/>
          </v:rect>
        </w:pict>
      </w:r>
      <w:r>
        <w:rPr>
          <w:rFonts w:ascii="仿宋" w:hAnsi="仿宋" w:eastAsia="仿宋"/>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path/>
            <v:fill focussize="0,0"/>
            <v:stroke miterlimit="2"/>
            <v:imagedata o:title=""/>
            <o:lock v:ext="edit"/>
          </v:rect>
        </w:pic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单位名称）的杭州市公安局地铁公安分局食堂外包服务项目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单位名称）的杭州市公安局地铁公安分局食堂外包服务项目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lang w:val="en-US"/>
        </w:rPr>
      </w:pPr>
    </w:p>
    <w:p>
      <w:pPr>
        <w:spacing w:line="360" w:lineRule="auto"/>
        <w:ind w:right="420"/>
      </w:pPr>
    </w:p>
    <w:p>
      <w:pPr>
        <w:spacing w:line="360" w:lineRule="auto"/>
        <w:rPr>
          <w:rFonts w:ascii="仿宋" w:hAnsi="仿宋" w:eastAsia="仿宋"/>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bookmarkStart w:id="599" w:name="_Toc91899912"/>
    <w:bookmarkStart w:id="600" w:name="_Toc131845147"/>
    <w:bookmarkStart w:id="601" w:name="_Toc164085800"/>
    <w:bookmarkStart w:id="602" w:name="_Toc36110187"/>
    <w:r>
      <w:rPr>
        <w:rFonts w:hint="eastAsia" w:ascii="仿宋_GB2312" w:eastAsia="仿宋_GB2312"/>
        <w:kern w:val="0"/>
        <w:szCs w:val="21"/>
      </w:rPr>
      <w:t xml:space="preserve"> 页</w:t>
    </w:r>
    <w:bookmarkEnd w:id="599"/>
    <w:bookmarkEnd w:id="600"/>
    <w:bookmarkEnd w:id="601"/>
    <w:bookmarkEnd w:id="6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ZjNGI2YTg1YTM3MTkzOGZjMzgxZjVlNDdmZDYxMT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0FF"/>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5C8"/>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843"/>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D79"/>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3F4A"/>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750"/>
    <w:rsid w:val="00176AA6"/>
    <w:rsid w:val="00177063"/>
    <w:rsid w:val="00180A47"/>
    <w:rsid w:val="0018223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2C0"/>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3D65"/>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27E25"/>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867"/>
    <w:rsid w:val="00255A29"/>
    <w:rsid w:val="0025631F"/>
    <w:rsid w:val="00256986"/>
    <w:rsid w:val="00256D61"/>
    <w:rsid w:val="00256E23"/>
    <w:rsid w:val="00257246"/>
    <w:rsid w:val="00257438"/>
    <w:rsid w:val="00260367"/>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66D"/>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A72"/>
    <w:rsid w:val="002C4DFE"/>
    <w:rsid w:val="002C519E"/>
    <w:rsid w:val="002C5D5E"/>
    <w:rsid w:val="002C6116"/>
    <w:rsid w:val="002C643D"/>
    <w:rsid w:val="002C66B8"/>
    <w:rsid w:val="002C70E7"/>
    <w:rsid w:val="002D09D2"/>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13C"/>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E51"/>
    <w:rsid w:val="002F1F02"/>
    <w:rsid w:val="002F27E5"/>
    <w:rsid w:val="002F2D81"/>
    <w:rsid w:val="002F2F66"/>
    <w:rsid w:val="002F39D4"/>
    <w:rsid w:val="002F3DD5"/>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4F60"/>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075"/>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1E2"/>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CC3"/>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165"/>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7E"/>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673"/>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5C3C"/>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DF6"/>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2CA6"/>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15C"/>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3B"/>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3B8B"/>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81D"/>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A49"/>
    <w:rsid w:val="00610B78"/>
    <w:rsid w:val="00611B59"/>
    <w:rsid w:val="00611FBA"/>
    <w:rsid w:val="00612098"/>
    <w:rsid w:val="0061272A"/>
    <w:rsid w:val="006130D0"/>
    <w:rsid w:val="0061355D"/>
    <w:rsid w:val="006139F7"/>
    <w:rsid w:val="00613AA2"/>
    <w:rsid w:val="00614906"/>
    <w:rsid w:val="0061517F"/>
    <w:rsid w:val="00615276"/>
    <w:rsid w:val="00615309"/>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AB7"/>
    <w:rsid w:val="00636CC7"/>
    <w:rsid w:val="00637F27"/>
    <w:rsid w:val="006405EC"/>
    <w:rsid w:val="00640A4D"/>
    <w:rsid w:val="00640C8B"/>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6ED"/>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0FF8"/>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07ECC"/>
    <w:rsid w:val="00707FB9"/>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4A53"/>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9D4"/>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9C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BCD"/>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C32"/>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6DA"/>
    <w:rsid w:val="007E5D12"/>
    <w:rsid w:val="007E6420"/>
    <w:rsid w:val="007E677F"/>
    <w:rsid w:val="007E6B25"/>
    <w:rsid w:val="007E6E06"/>
    <w:rsid w:val="007E6F4A"/>
    <w:rsid w:val="007E79CC"/>
    <w:rsid w:val="007F1124"/>
    <w:rsid w:val="007F152D"/>
    <w:rsid w:val="007F20C4"/>
    <w:rsid w:val="007F20EE"/>
    <w:rsid w:val="007F23D8"/>
    <w:rsid w:val="007F2A4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C91"/>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3B2"/>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E12"/>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C6D"/>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A0B"/>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D82"/>
    <w:rsid w:val="00974022"/>
    <w:rsid w:val="009743E8"/>
    <w:rsid w:val="009745D8"/>
    <w:rsid w:val="00974F3B"/>
    <w:rsid w:val="0097552A"/>
    <w:rsid w:val="0097564A"/>
    <w:rsid w:val="00975974"/>
    <w:rsid w:val="00975D06"/>
    <w:rsid w:val="00975D63"/>
    <w:rsid w:val="00975DAE"/>
    <w:rsid w:val="00976217"/>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7D2"/>
    <w:rsid w:val="009C724B"/>
    <w:rsid w:val="009C7266"/>
    <w:rsid w:val="009C748A"/>
    <w:rsid w:val="009D03B7"/>
    <w:rsid w:val="009D07AD"/>
    <w:rsid w:val="009D0824"/>
    <w:rsid w:val="009D1172"/>
    <w:rsid w:val="009D13CC"/>
    <w:rsid w:val="009D1654"/>
    <w:rsid w:val="009D1AAC"/>
    <w:rsid w:val="009D1BDB"/>
    <w:rsid w:val="009D298F"/>
    <w:rsid w:val="009D2F9C"/>
    <w:rsid w:val="009D3F3B"/>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E38"/>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59E"/>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4E8F"/>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2FF4"/>
    <w:rsid w:val="00A837A2"/>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871"/>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5D9"/>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11"/>
    <w:rsid w:val="00BB3A66"/>
    <w:rsid w:val="00BB40D1"/>
    <w:rsid w:val="00BB777D"/>
    <w:rsid w:val="00BB7AF3"/>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4BC"/>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6CA"/>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66"/>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44C"/>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67E"/>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31F"/>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F3C"/>
    <w:rsid w:val="00CD1255"/>
    <w:rsid w:val="00CD1484"/>
    <w:rsid w:val="00CD1892"/>
    <w:rsid w:val="00CD1C01"/>
    <w:rsid w:val="00CD1D00"/>
    <w:rsid w:val="00CD2009"/>
    <w:rsid w:val="00CD27AC"/>
    <w:rsid w:val="00CD2A82"/>
    <w:rsid w:val="00CD3CAB"/>
    <w:rsid w:val="00CD44FF"/>
    <w:rsid w:val="00CD46A7"/>
    <w:rsid w:val="00CD47BC"/>
    <w:rsid w:val="00CD4E50"/>
    <w:rsid w:val="00CD5533"/>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4CB"/>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265"/>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D1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1AAB"/>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260"/>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3C"/>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7E"/>
    <w:rsid w:val="00E47DB1"/>
    <w:rsid w:val="00E50BDD"/>
    <w:rsid w:val="00E510CF"/>
    <w:rsid w:val="00E513D7"/>
    <w:rsid w:val="00E519FE"/>
    <w:rsid w:val="00E5206C"/>
    <w:rsid w:val="00E52AAB"/>
    <w:rsid w:val="00E5448E"/>
    <w:rsid w:val="00E54E0D"/>
    <w:rsid w:val="00E55247"/>
    <w:rsid w:val="00E557FA"/>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85E"/>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2F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84D"/>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7EA"/>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A25"/>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E7F35"/>
    <w:rsid w:val="00FF0B4F"/>
    <w:rsid w:val="00FF0F58"/>
    <w:rsid w:val="00FF183C"/>
    <w:rsid w:val="00FF1A06"/>
    <w:rsid w:val="00FF1AD3"/>
    <w:rsid w:val="00FF1B46"/>
    <w:rsid w:val="00FF219D"/>
    <w:rsid w:val="00FF2678"/>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9B1052E"/>
    <w:rsid w:val="1A071A03"/>
    <w:rsid w:val="1A1F16AE"/>
    <w:rsid w:val="1A3B5C77"/>
    <w:rsid w:val="1A984BAD"/>
    <w:rsid w:val="1AB8220E"/>
    <w:rsid w:val="1AE4166C"/>
    <w:rsid w:val="1AF06CFB"/>
    <w:rsid w:val="1AF11B8D"/>
    <w:rsid w:val="1B11359C"/>
    <w:rsid w:val="1B2A271F"/>
    <w:rsid w:val="1B530544"/>
    <w:rsid w:val="1B713184"/>
    <w:rsid w:val="1B890788"/>
    <w:rsid w:val="1BA209CF"/>
    <w:rsid w:val="1BB4777D"/>
    <w:rsid w:val="1BD75AB8"/>
    <w:rsid w:val="1C0459C2"/>
    <w:rsid w:val="1C1B3B4A"/>
    <w:rsid w:val="1C88086E"/>
    <w:rsid w:val="1CE65E64"/>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7A014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4D07E6"/>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D13589"/>
    <w:rsid w:val="34FA6E12"/>
    <w:rsid w:val="358D5588"/>
    <w:rsid w:val="363A3B40"/>
    <w:rsid w:val="365302AE"/>
    <w:rsid w:val="36607A0A"/>
    <w:rsid w:val="366E227C"/>
    <w:rsid w:val="366F2E0D"/>
    <w:rsid w:val="367B6A5C"/>
    <w:rsid w:val="36A74ADA"/>
    <w:rsid w:val="36AD60D5"/>
    <w:rsid w:val="36B224F9"/>
    <w:rsid w:val="36EC0CC9"/>
    <w:rsid w:val="373F410B"/>
    <w:rsid w:val="37910E59"/>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AA4A5E"/>
    <w:rsid w:val="48B94FF3"/>
    <w:rsid w:val="48E37AAB"/>
    <w:rsid w:val="48FD4B4C"/>
    <w:rsid w:val="490A68E0"/>
    <w:rsid w:val="491055FE"/>
    <w:rsid w:val="494C1200"/>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D334E5"/>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009E6"/>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55020"/>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45FA2"/>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A11F59"/>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4C3ECA"/>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D76AFD"/>
    <w:rsid w:val="7BEE0103"/>
    <w:rsid w:val="7C0A0FE4"/>
    <w:rsid w:val="7C254906"/>
    <w:rsid w:val="7C590818"/>
    <w:rsid w:val="7C7C10F6"/>
    <w:rsid w:val="7C853BEA"/>
    <w:rsid w:val="7C881368"/>
    <w:rsid w:val="7CE27788"/>
    <w:rsid w:val="7D0C32F1"/>
    <w:rsid w:val="7D0F408D"/>
    <w:rsid w:val="7D3E3BDA"/>
    <w:rsid w:val="7D491C6C"/>
    <w:rsid w:val="7D5429C0"/>
    <w:rsid w:val="7D6E6D43"/>
    <w:rsid w:val="7DA60C9F"/>
    <w:rsid w:val="7DB57A34"/>
    <w:rsid w:val="7DE60973"/>
    <w:rsid w:val="7DEF0916"/>
    <w:rsid w:val="7E1E5218"/>
    <w:rsid w:val="7E7442C0"/>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customXml/item2.xml" Type="http://schemas.openxmlformats.org/officeDocument/2006/relationships/customXml"/><Relationship Id="rId24"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6BFA6A-68D4-4BAD-A281-C79ED70AB3F9}">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94</Pages>
  <Words>50457</Words>
  <Characters>52941</Characters>
  <Lines>401</Lines>
  <Paragraphs>112</Paragraphs>
  <TotalTime>234</TotalTime>
  <ScaleCrop>false</ScaleCrop>
  <LinksUpToDate>false</LinksUpToDate>
  <CharactersWithSpaces>54313</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2022-04-21T07:30:00Z</dcterms:created>
  <dc:creator>玥</dc:creator>
  <cp:lastModifiedBy>王剑强</cp:lastModifiedBy>
  <cp:lastPrinted>2022-05-26T03:17:00Z</cp:lastPrinted>
  <dcterms:modified xsi:type="dcterms:W3CDTF">2022-06-01T01:57:26Z</dcterms:modified>
  <cp:revision>37</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750CFBD78C8F4B2A9B1B8A61711BA032</vt:lpwstr>
  </property>
</Properties>
</file>