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44"/>
          <w:szCs w:val="44"/>
        </w:rPr>
      </w:pPr>
    </w:p>
    <w:p>
      <w:pPr>
        <w:adjustRightInd/>
        <w:spacing w:line="360" w:lineRule="auto"/>
        <w:jc w:val="center"/>
        <w:rPr>
          <w:rFonts w:ascii="仿宋_GB2312" w:hAnsi="仿宋" w:eastAsia="仿宋_GB2312" w:cs="仿宋_GB2312"/>
          <w:b/>
          <w:color w:val="auto"/>
          <w:sz w:val="48"/>
          <w:szCs w:val="48"/>
        </w:rPr>
      </w:pPr>
    </w:p>
    <w:p>
      <w:pPr>
        <w:adjustRightInd/>
        <w:snapToGrid w:val="0"/>
        <w:spacing w:line="360" w:lineRule="auto"/>
        <w:jc w:val="center"/>
        <w:rPr>
          <w:rFonts w:hint="eastAsia" w:ascii="仿宋" w:hAnsi="仿宋" w:eastAsia="仿宋" w:cs="仿宋"/>
          <w:color w:val="auto"/>
          <w:w w:val="80"/>
          <w:sz w:val="48"/>
          <w:szCs w:val="48"/>
          <w:lang w:eastAsia="zh-CN" w:bidi="th-TH"/>
        </w:rPr>
      </w:pPr>
      <w:r>
        <w:rPr>
          <w:rFonts w:hint="eastAsia" w:ascii="仿宋" w:hAnsi="仿宋" w:eastAsia="仿宋" w:cs="仿宋"/>
          <w:color w:val="auto"/>
          <w:w w:val="80"/>
          <w:sz w:val="48"/>
          <w:szCs w:val="48"/>
          <w:lang w:eastAsia="zh-CN" w:bidi="th-TH"/>
        </w:rPr>
        <w:t>杭州第四中学新湾学校校园网络及综合布线项目</w:t>
      </w:r>
    </w:p>
    <w:p>
      <w:pPr>
        <w:adjustRightInd/>
        <w:spacing w:line="360" w:lineRule="auto"/>
        <w:jc w:val="center"/>
        <w:rPr>
          <w:rFonts w:ascii="仿宋" w:hAnsi="仿宋" w:eastAsia="仿宋" w:cs="仿宋"/>
          <w:color w:val="auto"/>
          <w:sz w:val="48"/>
          <w:szCs w:val="48"/>
        </w:rPr>
      </w:pPr>
      <w:r>
        <w:rPr>
          <w:rFonts w:hint="eastAsia" w:ascii="仿宋" w:hAnsi="仿宋" w:eastAsia="仿宋" w:cs="仿宋"/>
          <w:color w:val="auto"/>
          <w:spacing w:val="40"/>
          <w:w w:val="80"/>
          <w:sz w:val="96"/>
          <w:szCs w:val="96"/>
          <w:lang w:bidi="th-TH"/>
        </w:rPr>
        <w:t>招 标 文 件</w:t>
      </w:r>
    </w:p>
    <w:p>
      <w:pPr>
        <w:adjustRightInd/>
        <w:snapToGrid w:val="0"/>
        <w:spacing w:line="360" w:lineRule="auto"/>
        <w:jc w:val="center"/>
        <w:rPr>
          <w:rFonts w:ascii="仿宋" w:hAnsi="仿宋" w:eastAsia="仿宋" w:cs="仿宋"/>
          <w:color w:val="auto"/>
          <w:w w:val="80"/>
          <w:sz w:val="48"/>
          <w:szCs w:val="48"/>
          <w:lang w:bidi="th-TH"/>
        </w:rPr>
      </w:pPr>
      <w:r>
        <w:rPr>
          <w:rFonts w:hint="eastAsia" w:ascii="仿宋" w:hAnsi="仿宋" w:eastAsia="仿宋" w:cs="仿宋"/>
          <w:color w:val="auto"/>
          <w:w w:val="80"/>
          <w:sz w:val="48"/>
          <w:szCs w:val="48"/>
          <w:lang w:bidi="th-TH"/>
        </w:rPr>
        <w:t xml:space="preserve"> （电子招投标）</w:t>
      </w:r>
    </w:p>
    <w:p>
      <w:pPr>
        <w:adjustRightInd/>
        <w:snapToGrid w:val="0"/>
        <w:spacing w:line="360" w:lineRule="auto"/>
        <w:jc w:val="center"/>
        <w:rPr>
          <w:rFonts w:ascii="仿宋" w:hAnsi="仿宋" w:eastAsia="仿宋" w:cs="仿宋"/>
          <w:color w:val="auto"/>
          <w:w w:val="80"/>
          <w:sz w:val="32"/>
          <w:szCs w:val="32"/>
          <w:lang w:bidi="th-TH"/>
        </w:rPr>
      </w:pPr>
      <w:r>
        <w:rPr>
          <w:rFonts w:hint="eastAsia" w:ascii="仿宋" w:hAnsi="仿宋" w:eastAsia="仿宋" w:cs="仿宋"/>
          <w:color w:val="auto"/>
          <w:w w:val="80"/>
          <w:sz w:val="32"/>
          <w:szCs w:val="32"/>
          <w:lang w:bidi="th-TH"/>
        </w:rPr>
        <w:t>编号:ZJ-2163197</w:t>
      </w:r>
    </w:p>
    <w:p>
      <w:pPr>
        <w:adjustRightInd/>
        <w:spacing w:line="360" w:lineRule="auto"/>
        <w:rPr>
          <w:rFonts w:ascii="仿宋" w:hAnsi="仿宋" w:eastAsia="仿宋" w:cs="仿宋"/>
          <w:color w:val="auto"/>
          <w:sz w:val="28"/>
          <w:szCs w:val="20"/>
        </w:rPr>
      </w:pPr>
    </w:p>
    <w:p>
      <w:pPr>
        <w:spacing w:line="360" w:lineRule="auto"/>
        <w:jc w:val="center"/>
        <w:rPr>
          <w:rFonts w:ascii="仿宋" w:hAnsi="仿宋" w:eastAsia="仿宋" w:cs="仿宋"/>
          <w:b/>
          <w:color w:val="auto"/>
          <w:sz w:val="44"/>
          <w:szCs w:val="44"/>
        </w:rPr>
      </w:pPr>
      <w:r>
        <w:rPr>
          <w:rFonts w:hint="eastAsia" w:ascii="仿宋" w:hAnsi="仿宋" w:eastAsia="仿宋" w:cs="仿宋"/>
          <w:b/>
          <w:color w:val="auto"/>
          <w:sz w:val="44"/>
          <w:szCs w:val="44"/>
        </w:rPr>
        <w:t xml:space="preserve"> </w:t>
      </w:r>
    </w:p>
    <w:p>
      <w:pPr>
        <w:pStyle w:val="2"/>
        <w:rPr>
          <w:color w:val="auto"/>
        </w:rPr>
      </w:pPr>
    </w:p>
    <w:p>
      <w:pPr>
        <w:spacing w:line="360" w:lineRule="auto"/>
        <w:jc w:val="center"/>
        <w:rPr>
          <w:rFonts w:ascii="仿宋" w:hAnsi="仿宋" w:eastAsia="仿宋" w:cs="仿宋"/>
          <w:b/>
          <w:color w:val="auto"/>
          <w:sz w:val="44"/>
          <w:szCs w:val="44"/>
        </w:rPr>
      </w:pPr>
    </w:p>
    <w:p>
      <w:pPr>
        <w:spacing w:line="360" w:lineRule="auto"/>
        <w:jc w:val="center"/>
        <w:rPr>
          <w:rFonts w:ascii="仿宋" w:hAnsi="仿宋" w:eastAsia="仿宋" w:cs="仿宋"/>
          <w:color w:val="auto"/>
          <w:sz w:val="24"/>
        </w:rPr>
      </w:pPr>
    </w:p>
    <w:tbl>
      <w:tblPr>
        <w:tblStyle w:val="62"/>
        <w:tblW w:w="0" w:type="auto"/>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采购人</w:t>
            </w:r>
          </w:p>
        </w:tc>
        <w:tc>
          <w:tcPr>
            <w:tcW w:w="516" w:type="dxa"/>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w:t>
            </w:r>
          </w:p>
        </w:tc>
        <w:tc>
          <w:tcPr>
            <w:tcW w:w="4411" w:type="dxa"/>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浙江省杭州第四中学新湾学校</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ascii="仿宋" w:hAnsi="仿宋" w:eastAsia="仿宋" w:cs="仿宋"/>
                <w:color w:val="auto"/>
                <w:szCs w:val="21"/>
              </w:rPr>
            </w:pPr>
          </w:p>
        </w:tc>
        <w:tc>
          <w:tcPr>
            <w:tcW w:w="516" w:type="dxa"/>
            <w:vAlign w:val="center"/>
          </w:tcPr>
          <w:p>
            <w:pPr>
              <w:snapToGrid w:val="0"/>
              <w:jc w:val="distribute"/>
              <w:rPr>
                <w:rFonts w:ascii="仿宋" w:hAnsi="仿宋" w:eastAsia="仿宋" w:cs="仿宋"/>
                <w:color w:val="auto"/>
                <w:szCs w:val="21"/>
              </w:rPr>
            </w:pPr>
          </w:p>
        </w:tc>
        <w:tc>
          <w:tcPr>
            <w:tcW w:w="4411" w:type="dxa"/>
            <w:vAlign w:val="center"/>
          </w:tcPr>
          <w:p>
            <w:pPr>
              <w:snapToGrid w:val="0"/>
              <w:jc w:val="distribute"/>
              <w:rPr>
                <w:rFonts w:ascii="仿宋" w:hAnsi="仿宋" w:eastAsia="仿宋" w:cs="仿宋"/>
                <w:color w:val="auto"/>
                <w:szCs w:val="21"/>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采购代理机构</w:t>
            </w:r>
          </w:p>
        </w:tc>
        <w:tc>
          <w:tcPr>
            <w:tcW w:w="516" w:type="dxa"/>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w:t>
            </w:r>
          </w:p>
        </w:tc>
        <w:tc>
          <w:tcPr>
            <w:tcW w:w="4411" w:type="dxa"/>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snapToGrid w:val="0"/>
              <w:jc w:val="center"/>
              <w:rPr>
                <w:rFonts w:ascii="仿宋" w:hAnsi="仿宋" w:eastAsia="仿宋" w:cs="仿宋"/>
                <w:color w:val="auto"/>
                <w:sz w:val="30"/>
                <w:szCs w:val="30"/>
              </w:rPr>
            </w:pPr>
            <w:r>
              <w:rPr>
                <w:rFonts w:hint="eastAsia" w:ascii="仿宋" w:hAnsi="仿宋" w:eastAsia="仿宋" w:cs="仿宋"/>
                <w:color w:val="auto"/>
                <w:sz w:val="30"/>
                <w:szCs w:val="30"/>
              </w:rPr>
              <w:t>2022年1月</w:t>
            </w:r>
          </w:p>
        </w:tc>
      </w:tr>
    </w:tbl>
    <w:p>
      <w:pPr>
        <w:spacing w:line="360" w:lineRule="auto"/>
        <w:jc w:val="center"/>
        <w:rPr>
          <w:rFonts w:ascii="仿宋" w:hAnsi="仿宋" w:eastAsia="仿宋" w:cs="仿宋_GB2312"/>
          <w:color w:val="auto"/>
          <w:sz w:val="24"/>
        </w:rPr>
      </w:pPr>
    </w:p>
    <w:p>
      <w:pPr>
        <w:spacing w:line="360" w:lineRule="auto"/>
        <w:jc w:val="center"/>
        <w:rPr>
          <w:rFonts w:ascii="仿宋" w:hAnsi="仿宋" w:eastAsia="仿宋" w:cs="仿宋_GB2312"/>
          <w:color w:val="auto"/>
          <w:sz w:val="24"/>
        </w:rPr>
      </w:pPr>
      <w:bookmarkStart w:id="0" w:name="_Hlt67893495"/>
      <w:bookmarkEnd w:id="0"/>
    </w:p>
    <w:p>
      <w:pPr>
        <w:rPr>
          <w:rFonts w:ascii="仿宋" w:hAnsi="仿宋" w:eastAsia="仿宋" w:cs="仿宋_GB2312"/>
          <w:b/>
          <w:color w:val="auto"/>
          <w:sz w:val="48"/>
          <w:szCs w:val="48"/>
        </w:rPr>
      </w:pPr>
      <w:r>
        <w:rPr>
          <w:rFonts w:hint="eastAsia" w:ascii="仿宋" w:hAnsi="仿宋" w:eastAsia="仿宋" w:cs="仿宋_GB2312"/>
          <w:b/>
          <w:color w:val="auto"/>
          <w:sz w:val="48"/>
          <w:szCs w:val="48"/>
        </w:rPr>
        <w:br w:type="page"/>
      </w:r>
    </w:p>
    <w:p>
      <w:pPr>
        <w:spacing w:line="360" w:lineRule="auto"/>
        <w:jc w:val="center"/>
        <w:rPr>
          <w:rFonts w:ascii="仿宋" w:hAnsi="仿宋" w:eastAsia="仿宋" w:cs="仿宋_GB2312"/>
          <w:b/>
          <w:color w:val="auto"/>
          <w:sz w:val="48"/>
          <w:szCs w:val="48"/>
        </w:rPr>
      </w:pPr>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w:t>
      </w:r>
      <w:r>
        <w:rPr>
          <w:rFonts w:ascii="仿宋" w:hAnsi="仿宋" w:eastAsia="仿宋" w:cs="仿宋_GB2312"/>
          <w:b/>
          <w:color w:val="auto"/>
          <w:sz w:val="48"/>
          <w:szCs w:val="48"/>
        </w:rPr>
        <w:t xml:space="preserve">  </w:t>
      </w:r>
      <w:r>
        <w:rPr>
          <w:rFonts w:hint="eastAsia" w:ascii="仿宋" w:hAnsi="仿宋" w:eastAsia="仿宋" w:cs="仿宋_GB2312"/>
          <w:b/>
          <w:color w:val="auto"/>
          <w:sz w:val="48"/>
          <w:szCs w:val="48"/>
        </w:rPr>
        <w:t>录</w:t>
      </w:r>
    </w:p>
    <w:p>
      <w:pPr>
        <w:spacing w:line="360" w:lineRule="auto"/>
        <w:rPr>
          <w:rFonts w:ascii="仿宋" w:hAnsi="仿宋" w:eastAsia="仿宋" w:cs="仿宋_GB2312"/>
          <w:color w:val="auto"/>
          <w:sz w:val="32"/>
          <w:szCs w:val="32"/>
        </w:rPr>
      </w:pPr>
    </w:p>
    <w:p>
      <w:pPr>
        <w:spacing w:line="360" w:lineRule="auto"/>
        <w:rPr>
          <w:rFonts w:ascii="仿宋" w:hAnsi="仿宋" w:eastAsia="仿宋" w:cs="仿宋_GB2312"/>
          <w:color w:val="auto"/>
          <w:sz w:val="32"/>
          <w:szCs w:val="32"/>
        </w:rPr>
      </w:pP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第一部分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招标公告</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第二部分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投标人须知</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第三部分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采购需求</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第四部分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评标办法</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第五部分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拟签订的合同文本</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第六部分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应提交的有关格式范例</w:t>
      </w:r>
    </w:p>
    <w:p>
      <w:pPr>
        <w:spacing w:line="360" w:lineRule="auto"/>
        <w:ind w:firstLine="549" w:firstLineChars="229"/>
        <w:rPr>
          <w:rFonts w:ascii="仿宋" w:hAnsi="仿宋" w:eastAsia="仿宋" w:cs="仿宋_GB2312"/>
          <w:color w:val="auto"/>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rPr>
          <w:rFonts w:ascii="仿宋" w:hAnsi="仿宋" w:eastAsia="仿宋" w:cs="仿宋_GB2312"/>
          <w:color w:val="auto"/>
          <w:sz w:val="24"/>
        </w:rPr>
      </w:pPr>
    </w:p>
    <w:p>
      <w:pPr>
        <w:adjustRightInd/>
        <w:spacing w:line="360" w:lineRule="auto"/>
        <w:jc w:val="center"/>
        <w:outlineLvl w:val="0"/>
        <w:rPr>
          <w:rFonts w:ascii="仿宋_GB2312" w:hAnsi="仿宋" w:eastAsia="仿宋_GB2312" w:cs="仿宋_GB2312"/>
          <w:b/>
          <w:color w:val="auto"/>
          <w:sz w:val="36"/>
          <w:szCs w:val="20"/>
        </w:rPr>
      </w:pPr>
      <w:bookmarkStart w:id="3" w:name="第一部分"/>
      <w:r>
        <w:rPr>
          <w:rFonts w:ascii="仿宋" w:hAnsi="仿宋" w:eastAsia="仿宋" w:cs="仿宋_GB2312"/>
          <w:b/>
          <w:color w:val="auto"/>
          <w:sz w:val="36"/>
          <w:szCs w:val="36"/>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color w:val="auto"/>
          <w:sz w:val="36"/>
          <w:szCs w:val="20"/>
        </w:rPr>
        <w:t>第一部分</w:t>
      </w:r>
      <w:r>
        <w:rPr>
          <w:rFonts w:ascii="仿宋" w:hAnsi="仿宋" w:eastAsia="仿宋" w:cs="仿宋_GB2312"/>
          <w:b/>
          <w:color w:val="auto"/>
          <w:sz w:val="36"/>
          <w:szCs w:val="20"/>
        </w:rPr>
        <w:t xml:space="preserve"> </w:t>
      </w:r>
      <w:r>
        <w:rPr>
          <w:rFonts w:hint="eastAsia" w:ascii="仿宋_GB2312" w:hAnsi="仿宋" w:eastAsia="仿宋_GB2312" w:cs="仿宋_GB2312"/>
          <w:b/>
          <w:color w:val="auto"/>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u w:val="single"/>
        </w:rPr>
      </w:pPr>
      <w:r>
        <w:rPr>
          <w:rFonts w:hint="eastAsia" w:ascii="仿宋_GB2312" w:hAnsi="仿宋" w:eastAsia="仿宋_GB2312" w:cs="仿宋_GB2312"/>
          <w:color w:val="auto"/>
          <w:sz w:val="24"/>
          <w:u w:val="single"/>
          <w:lang w:eastAsia="zh-CN"/>
        </w:rPr>
        <w:t>杭州第四中学新湾学校校园网络及综合布线项目</w:t>
      </w:r>
      <w:r>
        <w:rPr>
          <w:rFonts w:hint="eastAsia" w:ascii="仿宋_GB2312" w:hAnsi="仿宋" w:eastAsia="仿宋_GB2312"/>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color w:val="auto"/>
          <w:sz w:val="24"/>
          <w:u w:val="single"/>
        </w:rPr>
        <w:t>2022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21</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14点00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00秒</w:t>
      </w:r>
      <w:r>
        <w:rPr>
          <w:rFonts w:hint="eastAsia" w:ascii="仿宋_GB2312" w:hAnsi="仿宋" w:eastAsia="仿宋_GB2312"/>
          <w:bCs/>
          <w:color w:val="auto"/>
          <w:sz w:val="24"/>
          <w:u w:val="single"/>
        </w:rPr>
        <w:fldChar w:fldCharType="end"/>
      </w:r>
      <w:r>
        <w:rPr>
          <w:rFonts w:hint="eastAsia" w:ascii="仿宋_GB2312" w:hAnsi="仿宋" w:eastAsia="仿宋_GB2312"/>
          <w:bCs/>
          <w:color w:val="auto"/>
          <w:sz w:val="24"/>
        </w:rPr>
        <w:t>（北京时间）前</w:t>
      </w:r>
      <w:r>
        <w:rPr>
          <w:rFonts w:hint="eastAsia" w:ascii="仿宋_GB2312" w:hAnsi="仿宋" w:eastAsia="仿宋_GB2312"/>
          <w:color w:val="auto"/>
          <w:sz w:val="24"/>
        </w:rPr>
        <w:t>递交（上传）投标文件。</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一、项目基本情况</w:t>
      </w:r>
      <w:r>
        <w:rPr>
          <w:rFonts w:ascii="仿宋_GB2312" w:hAnsi="仿宋" w:eastAsia="仿宋_GB2312"/>
          <w:b/>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hint="eastAsia" w:ascii="仿宋_GB2312" w:hAnsi="仿宋" w:eastAsia="仿宋_GB2312"/>
          <w:b/>
          <w:color w:val="auto"/>
          <w:sz w:val="24"/>
        </w:rPr>
        <w:t>项目编号：</w:t>
      </w:r>
      <w:r>
        <w:rPr>
          <w:rFonts w:hint="eastAsia" w:ascii="仿宋_GB2312" w:hAnsi="仿宋" w:eastAsia="仿宋_GB2312"/>
          <w:color w:val="auto"/>
          <w:sz w:val="24"/>
        </w:rPr>
        <w:t>ZJ-2163197</w:t>
      </w:r>
    </w:p>
    <w:p>
      <w:pP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w:t>
      </w:r>
      <w:r>
        <w:rPr>
          <w:rFonts w:ascii="仿宋_GB2312" w:hAnsi="仿宋" w:eastAsia="仿宋_GB2312"/>
          <w:b/>
          <w:color w:val="auto"/>
          <w:sz w:val="24"/>
        </w:rPr>
        <w:t xml:space="preserve"> 项目名称：</w:t>
      </w:r>
      <w:r>
        <w:rPr>
          <w:rFonts w:hint="eastAsia" w:ascii="仿宋_GB2312" w:hAnsi="仿宋" w:eastAsia="仿宋_GB2312" w:cs="仿宋_GB2312"/>
          <w:color w:val="auto"/>
          <w:sz w:val="24"/>
          <w:lang w:eastAsia="zh-CN"/>
        </w:rPr>
        <w:t>杭州第四中学新湾学校校园网络及综合布线项目</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ascii="仿宋_GB2312" w:hAnsi="仿宋" w:eastAsia="仿宋_GB2312"/>
          <w:b/>
          <w:color w:val="auto"/>
          <w:sz w:val="24"/>
        </w:rPr>
        <w:t xml:space="preserve"> 预算金额（元）：</w:t>
      </w:r>
      <w:r>
        <w:rPr>
          <w:rFonts w:hint="eastAsia" w:ascii="仿宋_GB2312" w:hAnsi="仿宋" w:eastAsia="仿宋_GB2312" w:cs="仿宋_GB2312"/>
          <w:color w:val="auto"/>
          <w:sz w:val="24"/>
        </w:rPr>
        <w:t>5360000.00</w:t>
      </w:r>
    </w:p>
    <w:p>
      <w:pPr>
        <w:spacing w:line="360" w:lineRule="auto"/>
        <w:ind w:firstLine="480"/>
        <w:rPr>
          <w:rFonts w:ascii="仿宋_GB2312" w:hAnsi="仿宋" w:eastAsia="仿宋_GB2312"/>
          <w:color w:val="auto"/>
          <w:sz w:val="24"/>
        </w:rPr>
      </w:pPr>
      <w:r>
        <w:rPr>
          <w:rFonts w:hint="eastAsia" w:ascii="仿宋_GB2312" w:hAnsi="仿宋" w:eastAsia="仿宋_GB2312"/>
          <w:b/>
          <w:color w:val="auto"/>
          <w:sz w:val="24"/>
        </w:rPr>
        <w:t>最高限价（元）：</w:t>
      </w:r>
      <w:r>
        <w:rPr>
          <w:rFonts w:hint="eastAsia" w:ascii="仿宋_GB2312" w:hAnsi="仿宋" w:eastAsia="仿宋_GB2312" w:cs="仿宋_GB2312"/>
          <w:color w:val="auto"/>
          <w:sz w:val="24"/>
        </w:rPr>
        <w:t>5360000.00</w:t>
      </w:r>
    </w:p>
    <w:p>
      <w:pPr>
        <w:pStyle w:val="6"/>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lang w:eastAsia="zh-CN"/>
        </w:rPr>
        <w:t>杭州第四中学新湾学校校园网络及综合布线项目</w:t>
      </w:r>
      <w:r>
        <w:rPr>
          <w:rFonts w:hint="eastAsia" w:ascii="仿宋_GB2312" w:hAnsi="仿宋" w:eastAsia="仿宋_GB2312"/>
          <w:bCs/>
          <w:snapToGrid/>
          <w:color w:val="auto"/>
          <w:kern w:val="2"/>
          <w:sz w:val="24"/>
          <w:szCs w:val="24"/>
        </w:rPr>
        <w:t>主要内容：网络安全系统、基础网络系统、校园网综合布线</w:t>
      </w:r>
      <w:r>
        <w:rPr>
          <w:rFonts w:ascii="仿宋_GB2312" w:hAnsi="仿宋" w:eastAsia="仿宋_GB2312"/>
          <w:bCs/>
          <w:snapToGrid/>
          <w:color w:val="auto"/>
          <w:kern w:val="2"/>
          <w:sz w:val="24"/>
          <w:szCs w:val="24"/>
        </w:rPr>
        <w:t>。</w:t>
      </w:r>
      <w:r>
        <w:rPr>
          <w:rFonts w:hint="eastAsia" w:ascii="仿宋_GB2312" w:hAnsi="仿宋" w:eastAsia="仿宋_GB2312"/>
          <w:bCs/>
          <w:snapToGrid/>
          <w:color w:val="auto"/>
          <w:kern w:val="2"/>
          <w:sz w:val="24"/>
          <w:szCs w:val="24"/>
        </w:rPr>
        <w:t>详见招标文件第三部分采购需求。</w:t>
      </w:r>
    </w:p>
    <w:p>
      <w:pPr>
        <w:pStyle w:val="128"/>
        <w:ind w:firstLine="482"/>
        <w:outlineLvl w:val="2"/>
        <w:rPr>
          <w:rFonts w:ascii="仿宋_GB2312" w:hAnsi="仿宋" w:eastAsia="仿宋_GB2312"/>
          <w:color w:val="auto"/>
        </w:rPr>
      </w:pPr>
      <w:r>
        <w:rPr>
          <w:rFonts w:hint="eastAsia" w:ascii="仿宋_GB2312" w:hAnsi="仿宋" w:eastAsia="仿宋_GB2312"/>
          <w:b/>
          <w:color w:val="auto"/>
        </w:rPr>
        <w:t>合同履约期限：</w:t>
      </w:r>
      <w:r>
        <w:rPr>
          <w:rFonts w:hint="eastAsia" w:ascii="仿宋_GB2312" w:hAnsi="仿宋" w:eastAsia="仿宋_GB2312" w:cs="Times New Roman"/>
          <w:bCs/>
          <w:snapToGrid/>
          <w:color w:val="auto"/>
          <w:kern w:val="2"/>
          <w:sz w:val="24"/>
          <w:szCs w:val="24"/>
          <w:lang w:val="en-US" w:eastAsia="zh-CN" w:bidi="ar-SA"/>
        </w:rPr>
        <w:t>90日历天。</w:t>
      </w:r>
    </w:p>
    <w:p>
      <w:pPr>
        <w:pStyle w:val="6"/>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二、申请人的资格要求：</w:t>
      </w:r>
    </w:p>
    <w:p>
      <w:pPr>
        <w:spacing w:line="360" w:lineRule="auto"/>
        <w:ind w:firstLine="480"/>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1.</w:t>
      </w:r>
      <w:r>
        <w:rPr>
          <w:rFonts w:hint="eastAsia" w:ascii="仿宋" w:hAnsi="仿宋" w:eastAsia="仿宋" w:cs="仿宋_GB2312"/>
          <w:snapToGrid w:val="0"/>
          <w:color w:val="auto"/>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_GB2312" w:hAnsi="仿宋" w:eastAsia="仿宋_GB2312"/>
          <w:color w:val="auto"/>
          <w:sz w:val="24"/>
        </w:rPr>
      </w:pPr>
      <w:r>
        <w:rPr>
          <w:rFonts w:ascii="仿宋" w:hAnsi="仿宋" w:eastAsia="仿宋" w:cs="仿宋_GB2312"/>
          <w:snapToGrid w:val="0"/>
          <w:color w:val="auto"/>
          <w:kern w:val="28"/>
          <w:sz w:val="24"/>
          <w:szCs w:val="20"/>
        </w:rPr>
        <w:t xml:space="preserve">    2.</w:t>
      </w:r>
      <w:r>
        <w:rPr>
          <w:rFonts w:hint="eastAsia" w:ascii="仿宋" w:hAnsi="仿宋" w:eastAsia="仿宋" w:cs="仿宋_GB2312"/>
          <w:snapToGrid w:val="0"/>
          <w:color w:val="auto"/>
          <w:kern w:val="28"/>
          <w:sz w:val="24"/>
          <w:szCs w:val="20"/>
        </w:rPr>
        <w:t>落实政府采购政策需满足的资格要求：</w:t>
      </w:r>
      <w:sdt>
        <w:sdtPr>
          <w:rPr>
            <w:rFonts w:hint="eastAsia" w:ascii="仿宋_GB2312" w:hAnsi="仿宋" w:eastAsia="仿宋_GB2312" w:cs="Arial"/>
            <w:color w:val="auto"/>
            <w:kern w:val="0"/>
            <w:sz w:val="24"/>
          </w:rPr>
          <w:id w:val="1928616923"/>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r>
        <w:rPr>
          <w:rFonts w:hint="eastAsia" w:ascii="仿宋_GB2312" w:hAnsi="仿宋" w:eastAsia="仿宋_GB2312"/>
          <w:color w:val="auto"/>
          <w:sz w:val="24"/>
        </w:rPr>
        <w:t>无；</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3.本项目的特定资格要求：无</w:t>
      </w:r>
      <w:r>
        <w:rPr>
          <w:rFonts w:hint="eastAsia" w:ascii="仿宋_GB2312" w:hAnsi="仿宋" w:eastAsia="仿宋_GB2312"/>
          <w:color w:val="auto"/>
          <w:sz w:val="24"/>
        </w:rPr>
        <w:t>；</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4.</w:t>
      </w:r>
      <w:r>
        <w:rPr>
          <w:rFonts w:hint="eastAsia" w:ascii="仿宋_GB2312" w:hAnsi="仿宋" w:eastAsia="仿宋_GB2312"/>
          <w:color w:val="auto"/>
          <w:sz w:val="24"/>
        </w:rPr>
        <w:t>单位负责人为同一人或者存在直接控股、管理关系的不同供应商，不得参加同一合同项下的政府采购活动；</w:t>
      </w:r>
      <w:r>
        <w:rPr>
          <w:rFonts w:ascii="仿宋_GB2312" w:hAnsi="仿宋" w:eastAsia="仿宋_GB2312" w:cs="仿宋_GB2312"/>
          <w:color w:val="auto"/>
          <w:sz w:val="24"/>
        </w:rPr>
        <w:t>为采购项目提供整体设计、规范编制或者项目管理、监理、检测等服务后</w:t>
      </w:r>
      <w:r>
        <w:rPr>
          <w:rFonts w:hint="eastAsia" w:ascii="仿宋_GB2312" w:hAnsi="仿宋" w:eastAsia="仿宋_GB2312" w:cs="仿宋_GB2312"/>
          <w:color w:val="auto"/>
          <w:sz w:val="24"/>
        </w:rPr>
        <w:t>不得</w:t>
      </w:r>
      <w:r>
        <w:rPr>
          <w:rFonts w:ascii="仿宋_GB2312" w:hAnsi="仿宋" w:eastAsia="仿宋_GB2312" w:cs="仿宋_GB2312"/>
          <w:color w:val="auto"/>
          <w:sz w:val="24"/>
        </w:rPr>
        <w:t>再参加该采购项目的其他采购活动。</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三、获取招标文件</w:t>
      </w:r>
      <w:r>
        <w:rPr>
          <w:rFonts w:ascii="仿宋_GB2312" w:hAnsi="仿宋" w:eastAsia="仿宋_GB2312"/>
          <w:b/>
          <w:color w:val="auto"/>
          <w:sz w:val="24"/>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时间：</w:t>
      </w:r>
      <w:r>
        <w:rPr>
          <w:rFonts w:ascii="仿宋_GB2312" w:hAnsi="仿宋" w:eastAsia="仿宋_GB2312"/>
          <w:color w:val="auto"/>
          <w:sz w:val="24"/>
        </w:rPr>
        <w:t>/至</w:t>
      </w:r>
      <w:r>
        <w:rPr>
          <w:rFonts w:hint="eastAsia" w:ascii="仿宋_GB2312" w:hAnsi="仿宋" w:eastAsia="仿宋_GB2312"/>
          <w:color w:val="auto"/>
          <w:sz w:val="24"/>
          <w:u w:val="single"/>
        </w:rPr>
        <w:t>2022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2</w:t>
      </w:r>
      <w:r>
        <w:rPr>
          <w:rFonts w:ascii="仿宋_GB2312" w:hAnsi="仿宋" w:eastAsia="仿宋_GB2312"/>
          <w:color w:val="auto"/>
          <w:sz w:val="24"/>
          <w:u w:val="single"/>
        </w:rPr>
        <w:t>月</w:t>
      </w:r>
      <w:r>
        <w:rPr>
          <w:rFonts w:hint="eastAsia" w:ascii="仿宋_GB2312" w:hAnsi="仿宋" w:eastAsia="仿宋_GB2312"/>
          <w:color w:val="auto"/>
          <w:sz w:val="24"/>
          <w:u w:val="single"/>
          <w:lang w:val="en-US" w:eastAsia="zh-CN"/>
        </w:rPr>
        <w:t>21</w:t>
      </w:r>
      <w:r>
        <w:rPr>
          <w:rFonts w:ascii="仿宋_GB2312" w:hAnsi="仿宋" w:eastAsia="仿宋_GB2312"/>
          <w:color w:val="auto"/>
          <w:sz w:val="24"/>
          <w:u w:val="single"/>
        </w:rPr>
        <w:t>日</w:t>
      </w:r>
      <w:r>
        <w:rPr>
          <w:rFonts w:hint="eastAsia" w:ascii="仿宋_GB2312" w:hAnsi="仿宋" w:eastAsia="仿宋_GB2312"/>
          <w:color w:val="auto"/>
          <w:sz w:val="24"/>
        </w:rPr>
        <w:t>，每天上午</w:t>
      </w:r>
      <w:r>
        <w:rPr>
          <w:rFonts w:ascii="仿宋_GB2312" w:hAnsi="仿宋" w:eastAsia="仿宋_GB2312"/>
          <w:color w:val="auto"/>
          <w:sz w:val="24"/>
        </w:rPr>
        <w:t xml:space="preserve">00:00至12:00 </w:t>
      </w:r>
      <w:r>
        <w:rPr>
          <w:rFonts w:hint="eastAsia" w:ascii="仿宋_GB2312" w:hAnsi="仿宋" w:eastAsia="仿宋_GB2312"/>
          <w:color w:val="auto"/>
          <w:sz w:val="24"/>
        </w:rPr>
        <w:t>，下午</w:t>
      </w:r>
      <w:r>
        <w:rPr>
          <w:rFonts w:ascii="仿宋_GB2312" w:hAnsi="仿宋" w:eastAsia="仿宋_GB2312"/>
          <w:color w:val="auto"/>
          <w:sz w:val="24"/>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方式：</w:t>
      </w:r>
      <w:r>
        <w:rPr>
          <w:rFonts w:hint="eastAsia" w:ascii="仿宋_GB2312" w:hAnsi="仿宋" w:eastAsia="仿宋_GB2312"/>
          <w:color w:val="auto"/>
          <w:sz w:val="24"/>
        </w:rPr>
        <w:t>供应商登录政采云平台</w:t>
      </w:r>
      <w:r>
        <w:rPr>
          <w:rFonts w:ascii="仿宋_GB2312" w:hAnsi="仿宋" w:eastAsia="仿宋_GB2312"/>
          <w:color w:val="auto"/>
          <w:sz w:val="24"/>
        </w:rPr>
        <w:t>https://www.zcygov.cn/在线申请获取</w:t>
      </w:r>
      <w:r>
        <w:rPr>
          <w:rFonts w:hint="eastAsia" w:ascii="仿宋_GB2312" w:hAnsi="仿宋" w:eastAsia="仿宋_GB2312"/>
          <w:color w:val="auto"/>
          <w:sz w:val="24"/>
          <w:lang w:eastAsia="zh-CN"/>
        </w:rPr>
        <w:t>招标文件</w:t>
      </w:r>
      <w:r>
        <w:rPr>
          <w:rFonts w:ascii="仿宋_GB2312" w:hAnsi="仿宋" w:eastAsia="仿宋_GB2312"/>
          <w:color w:val="auto"/>
          <w:sz w:val="24"/>
        </w:rPr>
        <w:t>（进入“项目采购”应用，在获取</w:t>
      </w:r>
      <w:r>
        <w:rPr>
          <w:rFonts w:hint="eastAsia" w:ascii="仿宋_GB2312" w:hAnsi="仿宋" w:eastAsia="仿宋_GB2312"/>
          <w:color w:val="auto"/>
          <w:sz w:val="24"/>
          <w:lang w:eastAsia="zh-CN"/>
        </w:rPr>
        <w:t>招标文件</w:t>
      </w:r>
      <w:r>
        <w:rPr>
          <w:rFonts w:ascii="仿宋_GB2312" w:hAnsi="仿宋" w:eastAsia="仿宋_GB2312"/>
          <w:color w:val="auto"/>
          <w:sz w:val="24"/>
        </w:rPr>
        <w:t>菜单中选择项目，申请获取</w:t>
      </w:r>
      <w:r>
        <w:rPr>
          <w:rFonts w:hint="eastAsia" w:ascii="仿宋_GB2312" w:hAnsi="仿宋" w:eastAsia="仿宋_GB2312"/>
          <w:color w:val="auto"/>
          <w:sz w:val="24"/>
          <w:lang w:eastAsia="zh-CN"/>
        </w:rPr>
        <w:t>招标文件</w:t>
      </w:r>
      <w:r>
        <w:rPr>
          <w:rFonts w:ascii="仿宋_GB2312" w:hAnsi="仿宋" w:eastAsia="仿宋_GB2312"/>
          <w:color w:val="auto"/>
          <w:sz w:val="24"/>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售价（元）：</w:t>
      </w:r>
      <w:r>
        <w:rPr>
          <w:rFonts w:ascii="仿宋_GB2312" w:hAnsi="仿宋" w:eastAsia="仿宋_GB2312"/>
          <w:color w:val="auto"/>
          <w:sz w:val="24"/>
        </w:rPr>
        <w:t xml:space="preserve">0 </w:t>
      </w:r>
      <w:r>
        <w:rPr>
          <w:rFonts w:ascii="仿宋_GB2312" w:hAnsi="仿宋" w:eastAsia="仿宋_GB2312"/>
          <w:color w:val="auto"/>
          <w:sz w:val="24"/>
        </w:rPr>
        <w:tab/>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四、提交投标文件截止时间、开标时间和地点</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提交投标文件截止时间：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2022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21</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14点00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 xml:space="preserve"> </w:t>
      </w:r>
      <w:r>
        <w:rPr>
          <w:rFonts w:hint="eastAsia" w:ascii="仿宋_GB2312" w:hAnsi="仿宋" w:eastAsia="仿宋_GB2312"/>
          <w:color w:val="auto"/>
          <w:sz w:val="24"/>
        </w:rPr>
        <w:t>（北京时间）</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投标地点（网址）：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bCs/>
          <w:color w:val="auto"/>
          <w:sz w:val="24"/>
          <w:u w:val="single"/>
        </w:rPr>
      </w:pPr>
      <w:r>
        <w:rPr>
          <w:rFonts w:hint="eastAsia" w:ascii="仿宋_GB2312" w:hAnsi="仿宋" w:eastAsia="仿宋_GB2312"/>
          <w:b/>
          <w:color w:val="auto"/>
          <w:sz w:val="24"/>
        </w:rPr>
        <w:t>开标时间：</w:t>
      </w:r>
      <w:r>
        <w:rPr>
          <w:rFonts w:hint="eastAsia" w:ascii="仿宋_GB2312" w:hAnsi="仿宋" w:eastAsia="仿宋_GB2312"/>
          <w:color w:val="auto"/>
          <w:sz w:val="24"/>
          <w:u w:val="single"/>
        </w:rPr>
        <w:t>2022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21</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14点00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开标地点（网址）：</w:t>
      </w:r>
      <w:r>
        <w:rPr>
          <w:rFonts w:ascii="仿宋_GB2312" w:hAnsi="仿宋" w:eastAsia="仿宋_GB2312"/>
          <w:color w:val="auto"/>
          <w:sz w:val="24"/>
        </w:rPr>
        <w:t>政</w:t>
      </w:r>
      <w:r>
        <w:rPr>
          <w:rFonts w:hint="eastAsia" w:ascii="仿宋_GB2312" w:hAnsi="仿宋" w:eastAsia="仿宋_GB2312"/>
          <w:color w:val="auto"/>
          <w:sz w:val="24"/>
        </w:rPr>
        <w:t>采云平台（</w:t>
      </w:r>
      <w:r>
        <w:rPr>
          <w:rFonts w:ascii="仿宋_GB2312" w:hAnsi="仿宋" w:eastAsia="仿宋_GB2312"/>
          <w:color w:val="auto"/>
          <w:sz w:val="24"/>
        </w:rPr>
        <w:t>https://www.zcygov.cn/）</w:t>
      </w:r>
    </w:p>
    <w:p>
      <w:pPr>
        <w:spacing w:line="360" w:lineRule="auto"/>
        <w:rPr>
          <w:rFonts w:ascii="仿宋_GB2312" w:hAnsi="仿宋" w:eastAsia="仿宋_GB2312"/>
          <w:color w:val="auto"/>
          <w:sz w:val="24"/>
        </w:rPr>
      </w:pPr>
      <w:r>
        <w:rPr>
          <w:rFonts w:hint="eastAsia" w:ascii="仿宋_GB2312" w:hAnsi="仿宋" w:eastAsia="仿宋_GB2312"/>
          <w:b/>
          <w:color w:val="auto"/>
          <w:sz w:val="24"/>
        </w:rPr>
        <w:t>五、公告期限</w:t>
      </w:r>
      <w:r>
        <w:rPr>
          <w:rFonts w:ascii="仿宋_GB2312" w:hAnsi="仿宋" w:eastAsia="仿宋_GB2312"/>
          <w:b/>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自本公告发布之日起</w:t>
      </w:r>
      <w:r>
        <w:rPr>
          <w:rFonts w:ascii="仿宋_GB2312" w:hAnsi="仿宋" w:eastAsia="仿宋_GB2312"/>
          <w:color w:val="auto"/>
          <w:sz w:val="24"/>
        </w:rPr>
        <w:t>5个工作日。</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六、其他补充事宜</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2.其他事项：（1）需要落实的政府采购政策：包括节约资源、保护环境、支持创新、促进中小企业发展等。详见招标文件的第二部分总则。（2）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w:t>
      </w:r>
      <w:r>
        <w:rPr>
          <w:rFonts w:hint="eastAsia" w:ascii="仿宋_GB2312" w:hAnsi="仿宋" w:eastAsia="仿宋_GB2312" w:cs="仿宋_GB2312"/>
          <w:color w:val="auto"/>
          <w:sz w:val="24"/>
          <w:lang w:eastAsia="zh-CN"/>
        </w:rPr>
        <w:t>招标文件</w:t>
      </w:r>
      <w:r>
        <w:rPr>
          <w:rFonts w:hint="eastAsia" w:ascii="仿宋_GB2312" w:hAnsi="仿宋" w:eastAsia="仿宋_GB2312" w:cs="仿宋_GB2312"/>
          <w:color w:val="auto"/>
          <w:sz w:val="24"/>
        </w:rPr>
        <w:t>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w:t>
      </w:r>
      <w:r>
        <w:rPr>
          <w:rFonts w:ascii="仿宋_GB2312" w:hAnsi="仿宋" w:eastAsia="仿宋_GB2312"/>
          <w:color w:val="auto"/>
          <w:sz w:val="24"/>
        </w:rPr>
        <w:t xml:space="preserve"> </w:t>
      </w:r>
      <w:r>
        <w:rPr>
          <w:rFonts w:hint="eastAsia" w:ascii="仿宋_GB2312" w:hAnsi="仿宋" w:eastAsia="仿宋_GB2312"/>
          <w:color w:val="auto"/>
          <w:sz w:val="24"/>
        </w:rPr>
        <w:t>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r>
        <w:rPr>
          <w:rFonts w:hint="eastAsia" w:ascii="仿宋_GB2312" w:hAnsi="仿宋" w:eastAsia="仿宋_GB2312" w:cs="仿宋_GB2312"/>
          <w:color w:val="auto"/>
          <w:sz w:val="24"/>
        </w:rPr>
        <w:t>（3）本次</w:t>
      </w:r>
      <w:r>
        <w:rPr>
          <w:rFonts w:hint="eastAsia" w:ascii="仿宋_GB2312" w:hAnsi="仿宋" w:eastAsia="仿宋_GB2312" w:cs="仿宋_GB2312"/>
          <w:color w:val="auto"/>
          <w:sz w:val="24"/>
          <w:lang w:eastAsia="zh-CN"/>
        </w:rPr>
        <w:t>招标文件</w:t>
      </w:r>
      <w:r>
        <w:rPr>
          <w:rFonts w:hint="eastAsia" w:ascii="仿宋_GB2312" w:hAnsi="仿宋" w:eastAsia="仿宋_GB2312" w:cs="仿宋_GB2312"/>
          <w:color w:val="auto"/>
          <w:sz w:val="24"/>
        </w:rPr>
        <w:t>的公告期限自</w:t>
      </w:r>
      <w:r>
        <w:rPr>
          <w:rFonts w:hint="eastAsia" w:ascii="仿宋_GB2312" w:hAnsi="仿宋" w:eastAsia="仿宋_GB2312"/>
          <w:color w:val="auto"/>
          <w:sz w:val="24"/>
        </w:rPr>
        <w:t>本公告发布之日起</w:t>
      </w:r>
      <w:r>
        <w:rPr>
          <w:rFonts w:ascii="仿宋_GB2312" w:hAnsi="仿宋" w:eastAsia="仿宋_GB2312"/>
          <w:color w:val="auto"/>
          <w:sz w:val="24"/>
        </w:rPr>
        <w:t>5个工作日。</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七、对本次采购提出询问、质疑、投诉，请按以下方式联系</w:t>
      </w:r>
    </w:p>
    <w:p>
      <w:pPr>
        <w:spacing w:line="360" w:lineRule="auto"/>
        <w:rPr>
          <w:rFonts w:ascii="仿宋_GB2312" w:hAnsi="仿宋" w:eastAsia="仿宋_GB2312"/>
          <w:b/>
          <w:bCs/>
          <w:color w:val="auto"/>
          <w:sz w:val="24"/>
        </w:rPr>
      </w:pPr>
      <w:r>
        <w:rPr>
          <w:rFonts w:ascii="仿宋_GB2312" w:hAnsi="仿宋" w:eastAsia="仿宋_GB2312"/>
          <w:b/>
          <w:bCs/>
          <w:color w:val="auto"/>
          <w:sz w:val="24"/>
        </w:rPr>
        <w:t>1.采购人信息</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名</w:t>
      </w:r>
      <w:r>
        <w:rPr>
          <w:rFonts w:ascii="仿宋_GB2312" w:hAnsi="仿宋" w:eastAsia="仿宋_GB2312"/>
          <w:color w:val="auto"/>
          <w:sz w:val="24"/>
        </w:rPr>
        <w:t xml:space="preserve">    </w:t>
      </w:r>
      <w:r>
        <w:rPr>
          <w:rFonts w:hint="eastAsia" w:ascii="仿宋_GB2312" w:hAnsi="仿宋" w:eastAsia="仿宋_GB2312"/>
          <w:color w:val="auto"/>
          <w:sz w:val="24"/>
        </w:rPr>
        <w:t>称：浙江省杭州第四中学新湾学校</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地</w:t>
      </w:r>
      <w:r>
        <w:rPr>
          <w:rFonts w:ascii="仿宋_GB2312" w:hAnsi="仿宋" w:eastAsia="仿宋_GB2312"/>
          <w:color w:val="auto"/>
          <w:sz w:val="24"/>
        </w:rPr>
        <w:t xml:space="preserve">    </w:t>
      </w:r>
      <w:r>
        <w:rPr>
          <w:rFonts w:hint="eastAsia" w:ascii="仿宋_GB2312" w:hAnsi="仿宋" w:eastAsia="仿宋_GB2312"/>
          <w:color w:val="auto"/>
          <w:sz w:val="24"/>
        </w:rPr>
        <w:t>址：杭州市钱塘区闸口路86号</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传    真：0571-89730002</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项目联系人（询问）：熊老师</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项目联系方式（询问）：0571-89730002</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质疑联系人：张 老师</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质疑联系方式：0571-86579853</w:t>
      </w:r>
    </w:p>
    <w:p>
      <w:pPr>
        <w:spacing w:line="360" w:lineRule="auto"/>
        <w:rPr>
          <w:rFonts w:ascii="仿宋_GB2312" w:hAnsi="仿宋" w:eastAsia="仿宋_GB2312"/>
          <w:b/>
          <w:bCs/>
          <w:color w:val="auto"/>
          <w:sz w:val="24"/>
        </w:rPr>
      </w:pPr>
      <w:bookmarkStart w:id="11" w:name="_Toc35393638"/>
      <w:bookmarkStart w:id="12" w:name="_Toc28359097"/>
      <w:bookmarkStart w:id="13" w:name="_Toc28359020"/>
      <w:bookmarkStart w:id="14" w:name="_Toc35393807"/>
      <w:r>
        <w:rPr>
          <w:rFonts w:hint="eastAsia" w:ascii="仿宋_GB2312" w:hAnsi="仿宋" w:eastAsia="仿宋_GB2312"/>
          <w:b/>
          <w:bCs/>
          <w:color w:val="auto"/>
          <w:sz w:val="24"/>
        </w:rPr>
        <w:t>2.采购代理机构信息</w:t>
      </w:r>
      <w:bookmarkEnd w:id="11"/>
      <w:bookmarkEnd w:id="12"/>
      <w:bookmarkEnd w:id="13"/>
      <w:bookmarkEnd w:id="14"/>
      <w:r>
        <w:rPr>
          <w:rFonts w:hint="eastAsia" w:ascii="仿宋_GB2312" w:hAnsi="仿宋" w:eastAsia="仿宋_GB2312"/>
          <w:b/>
          <w:bCs/>
          <w:color w:val="auto"/>
          <w:sz w:val="24"/>
        </w:rPr>
        <w:t>：</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名    称：浙江国际招投标有限公司</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址：杭州市文三路90号东部软件园1号楼3楼</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传    真：0571-81061837             </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项目联系人（询问）：董福利</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项目联系方式（询问）：0571-81061818 </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质疑联系人：周峰             </w:t>
      </w:r>
    </w:p>
    <w:p>
      <w:pPr>
        <w:spacing w:line="360" w:lineRule="auto"/>
        <w:rPr>
          <w:color w:val="auto"/>
          <w:sz w:val="24"/>
        </w:rPr>
      </w:pPr>
      <w:r>
        <w:rPr>
          <w:rFonts w:hint="eastAsia" w:ascii="仿宋_GB2312" w:hAnsi="仿宋" w:eastAsia="仿宋_GB2312"/>
          <w:color w:val="auto"/>
          <w:sz w:val="24"/>
        </w:rPr>
        <w:t xml:space="preserve">    质疑联系方式：0571-89731840</w:t>
      </w:r>
    </w:p>
    <w:p>
      <w:pPr>
        <w:spacing w:line="360" w:lineRule="auto"/>
        <w:rPr>
          <w:rFonts w:ascii="仿宋_GB2312" w:hAnsi="仿宋" w:eastAsia="仿宋_GB2312"/>
          <w:b/>
          <w:bCs/>
          <w:color w:val="auto"/>
          <w:sz w:val="24"/>
        </w:rPr>
      </w:pPr>
      <w:r>
        <w:rPr>
          <w:rFonts w:hint="eastAsia" w:ascii="仿宋_GB2312" w:hAnsi="仿宋" w:eastAsia="仿宋_GB2312"/>
          <w:b/>
          <w:bCs/>
          <w:color w:val="auto"/>
          <w:sz w:val="24"/>
        </w:rPr>
        <w:t xml:space="preserve">3. 同级政府采购监督管理部门：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名    称：杭州市财政局政府采购监管处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地    址：杭州市中河中路152号617办公室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    真：0571-87715261</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联 系 人：吕先生</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监督投诉电话：0571-87715261</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若对项目采购电子交易系统操作有疑问，可登录政采云（</w:t>
      </w:r>
      <w:r>
        <w:rPr>
          <w:rFonts w:ascii="仿宋_GB2312" w:hAnsi="仿宋" w:eastAsia="仿宋_GB2312"/>
          <w:color w:val="auto"/>
          <w:sz w:val="24"/>
        </w:rPr>
        <w:t>https://www.zcygov.cn/），点击右侧咨询小采，获取采小蜜智能服务管家帮助，或拨打政</w:t>
      </w:r>
      <w:r>
        <w:rPr>
          <w:rFonts w:hint="eastAsia" w:ascii="仿宋_GB2312" w:hAnsi="仿宋" w:eastAsia="仿宋_GB2312"/>
          <w:color w:val="auto"/>
          <w:sz w:val="24"/>
        </w:rPr>
        <w:t>采云服务热线</w:t>
      </w:r>
      <w:r>
        <w:rPr>
          <w:rFonts w:ascii="仿宋_GB2312" w:hAnsi="仿宋" w:eastAsia="仿宋_GB2312"/>
          <w:color w:val="auto"/>
          <w:sz w:val="24"/>
        </w:rPr>
        <w:t>400-881-7190获取热线服务帮助。</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CA问题联系电话（人工）：</w:t>
      </w:r>
      <w:r>
        <w:rPr>
          <w:rFonts w:hint="eastAsia" w:ascii="仿宋_GB2312" w:hAnsi="仿宋" w:eastAsia="仿宋_GB2312"/>
          <w:color w:val="auto"/>
          <w:sz w:val="24"/>
        </w:rPr>
        <w:t>汇信</w:t>
      </w:r>
      <w:r>
        <w:rPr>
          <w:rFonts w:ascii="仿宋_GB2312" w:hAnsi="仿宋" w:eastAsia="仿宋_GB2312"/>
          <w:color w:val="auto"/>
          <w:sz w:val="24"/>
        </w:rPr>
        <w:t>CA 400-888-4636；天谷CA 400-087-8198。</w:t>
      </w:r>
    </w:p>
    <w:p>
      <w:pPr>
        <w:pStyle w:val="32"/>
        <w:spacing w:line="360" w:lineRule="auto"/>
        <w:ind w:firstLine="480" w:firstLineChars="200"/>
        <w:rPr>
          <w:rFonts w:ascii="仿宋" w:hAnsi="仿宋" w:eastAsia="仿宋" w:cs="仿宋_GB2312"/>
          <w:color w:val="auto"/>
          <w:sz w:val="24"/>
          <w:szCs w:val="24"/>
        </w:rPr>
      </w:pPr>
      <w:r>
        <w:rPr>
          <w:rFonts w:ascii="仿宋" w:hAnsi="仿宋" w:eastAsia="仿宋" w:cs="仿宋_GB2312"/>
          <w:color w:val="auto"/>
          <w:sz w:val="24"/>
        </w:rPr>
        <w:t xml:space="preserve">                              </w:t>
      </w:r>
    </w:p>
    <w:p>
      <w:pPr>
        <w:adjustRightInd/>
        <w:spacing w:line="360" w:lineRule="auto"/>
        <w:jc w:val="center"/>
        <w:outlineLvl w:val="0"/>
        <w:rPr>
          <w:rFonts w:ascii="仿宋" w:hAnsi="仿宋" w:eastAsia="仿宋" w:cs="仿宋_GB2312"/>
          <w:b/>
          <w:color w:val="auto"/>
          <w:sz w:val="36"/>
          <w:szCs w:val="20"/>
        </w:rPr>
      </w:pPr>
      <w:r>
        <w:rPr>
          <w:rFonts w:ascii="仿宋" w:hAnsi="仿宋" w:eastAsia="仿宋" w:cs="仿宋_GB2312"/>
          <w:b/>
          <w:color w:val="auto"/>
          <w:sz w:val="36"/>
          <w:szCs w:val="20"/>
        </w:rPr>
        <w:br w:type="page"/>
      </w:r>
      <w:r>
        <w:rPr>
          <w:rFonts w:hint="eastAsia" w:ascii="仿宋" w:hAnsi="仿宋" w:eastAsia="仿宋" w:cs="仿宋_GB2312"/>
          <w:b/>
          <w:color w:val="auto"/>
          <w:sz w:val="36"/>
          <w:szCs w:val="20"/>
        </w:rPr>
        <w:t>第二部分</w:t>
      </w:r>
      <w:bookmarkEnd w:id="8"/>
      <w:r>
        <w:rPr>
          <w:rFonts w:ascii="仿宋" w:hAnsi="仿宋" w:eastAsia="仿宋" w:cs="仿宋_GB2312"/>
          <w:b/>
          <w:color w:val="auto"/>
          <w:sz w:val="36"/>
          <w:szCs w:val="20"/>
        </w:rPr>
        <w:t xml:space="preserve"> 投标人须知</w:t>
      </w:r>
      <w:bookmarkEnd w:id="9"/>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68"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left"/>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lang w:val="zh-CN"/>
              </w:rPr>
              <w:t>有关本项目实施所需的所有费用（含税费）均计入报价。</w:t>
            </w:r>
            <w:r>
              <w:rPr>
                <w:rFonts w:hint="eastAsia" w:ascii="仿宋_GB2312" w:hAnsi="仿宋" w:eastAsia="仿宋_GB2312" w:cs="仿宋_GB2312"/>
                <w:color w:val="auto"/>
                <w:sz w:val="24"/>
              </w:rPr>
              <w:t>开标一览表（报价表）</w:t>
            </w:r>
            <w:r>
              <w:rPr>
                <w:rFonts w:hint="eastAsia" w:ascii="仿宋_GB2312" w:hAnsi="仿宋" w:eastAsia="仿宋_GB2312"/>
                <w:color w:val="auto"/>
                <w:sz w:val="24"/>
              </w:rPr>
              <w:t>是报价的唯一载体</w:t>
            </w:r>
            <w:r>
              <w:rPr>
                <w:rFonts w:hint="eastAsia" w:ascii="仿宋_GB2312" w:hAnsi="仿宋" w:eastAsia="仿宋_GB2312" w:cs="仿宋_GB2312"/>
                <w:color w:val="auto"/>
                <w:kern w:val="0"/>
                <w:sz w:val="24"/>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lang w:val="zh-CN"/>
              </w:rPr>
              <w:t>提醒：验收时检测费用（如有）由采购人承担，不包含在投标总价中。</w:t>
            </w:r>
          </w:p>
          <w:p>
            <w:pPr>
              <w:snapToGrid w:val="0"/>
              <w:spacing w:line="400" w:lineRule="exact"/>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投标报价出现下列情形的，投标无效：</w:t>
            </w:r>
          </w:p>
          <w:p>
            <w:pPr>
              <w:numPr>
                <w:ilvl w:val="0"/>
                <w:numId w:val="1"/>
              </w:numPr>
              <w:snapToGrid w:val="0"/>
              <w:spacing w:line="400" w:lineRule="exact"/>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投标文件出现不是唯一的、有选择性投标报价的；</w:t>
            </w:r>
          </w:p>
          <w:p>
            <w:pPr>
              <w:numPr>
                <w:ilvl w:val="0"/>
                <w:numId w:val="1"/>
              </w:numPr>
              <w:snapToGrid w:val="0"/>
              <w:spacing w:line="400" w:lineRule="exact"/>
              <w:jc w:val="left"/>
              <w:rPr>
                <w:rFonts w:ascii="仿宋_GB2312" w:hAnsi="仿宋" w:eastAsia="仿宋_GB2312"/>
                <w:b/>
                <w:color w:val="auto"/>
                <w:kern w:val="0"/>
                <w:sz w:val="24"/>
                <w:lang w:val="zh-CN"/>
              </w:rPr>
            </w:pPr>
            <w:r>
              <w:rPr>
                <w:rFonts w:hint="eastAsia" w:ascii="仿宋_GB2312" w:hAnsi="仿宋" w:eastAsia="仿宋_GB2312" w:cs="仿宋_GB2312"/>
                <w:b/>
                <w:color w:val="auto"/>
                <w:kern w:val="0"/>
                <w:sz w:val="24"/>
                <w:lang w:val="zh-CN"/>
              </w:rPr>
              <w:t>投标报价超过招标文件中规定的预算金额或者最高限价的</w:t>
            </w:r>
            <w:r>
              <w:rPr>
                <w:rFonts w:ascii="仿宋_GB2312" w:hAnsi="仿宋" w:eastAsia="仿宋_GB2312"/>
                <w:b/>
                <w:color w:val="auto"/>
                <w:kern w:val="0"/>
                <w:sz w:val="24"/>
                <w:lang w:val="zh-CN"/>
              </w:rPr>
              <w:t>;</w:t>
            </w:r>
          </w:p>
          <w:p>
            <w:pPr>
              <w:numPr>
                <w:ilvl w:val="0"/>
                <w:numId w:val="1"/>
              </w:numPr>
              <w:snapToGrid w:val="0"/>
              <w:spacing w:line="400" w:lineRule="exact"/>
              <w:rPr>
                <w:rFonts w:ascii="仿宋_GB2312" w:hAnsi="仿宋" w:eastAsia="仿宋_GB2312" w:cs="仿宋_GB2312"/>
                <w:b/>
                <w:color w:val="auto"/>
                <w:sz w:val="24"/>
              </w:rPr>
            </w:pPr>
            <w:r>
              <w:rPr>
                <w:rFonts w:hint="eastAsia" w:ascii="仿宋_GB2312" w:hAnsi="仿宋" w:eastAsia="仿宋_GB2312" w:cs="Arial"/>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rPr>
              <w:t>;</w:t>
            </w:r>
          </w:p>
          <w:p>
            <w:pPr>
              <w:numPr>
                <w:ilvl w:val="0"/>
                <w:numId w:val="1"/>
              </w:numPr>
              <w:snapToGrid w:val="0"/>
              <w:spacing w:line="400" w:lineRule="exact"/>
              <w:rPr>
                <w:rFonts w:ascii="仿宋_GB2312" w:hAnsi="仿宋" w:eastAsia="仿宋_GB2312"/>
                <w:color w:val="auto"/>
                <w:sz w:val="24"/>
              </w:rPr>
            </w:pPr>
            <w:r>
              <w:rPr>
                <w:rFonts w:hint="eastAsia" w:ascii="仿宋_GB2312" w:hAnsi="仿宋" w:eastAsia="仿宋_GB2312" w:cs="Arial"/>
                <w:b/>
                <w:color w:val="auto"/>
                <w:kern w:val="0"/>
                <w:sz w:val="24"/>
              </w:rPr>
              <w:t>投标人对根据修正原则修正后的报价不确认的</w:t>
            </w:r>
            <w:r>
              <w:rPr>
                <w:rFonts w:hint="eastAsia" w:ascii="仿宋_GB2312" w:hAnsi="仿宋" w:eastAsia="仿宋_GB2312"/>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ind w:firstLine="482" w:firstLineChars="200"/>
              <w:rPr>
                <w:rFonts w:ascii="仿宋_GB2312" w:hAnsi="仿宋" w:eastAsia="仿宋_GB2312" w:cs="仿宋_GB2312"/>
                <w:b/>
                <w:color w:val="auto"/>
                <w:sz w:val="24"/>
              </w:rPr>
            </w:pPr>
            <w:r>
              <w:rPr>
                <w:rFonts w:hint="eastAsia" w:ascii="仿宋_GB2312" w:hAnsi="仿宋" w:eastAsia="仿宋_GB2312" w:cs="仿宋_GB2312"/>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s="仿宋_GB2312"/>
                <w:color w:val="auto"/>
                <w:sz w:val="24"/>
              </w:rPr>
            </w:pPr>
            <w:sdt>
              <w:sdtPr>
                <w:rPr>
                  <w:rFonts w:hint="eastAsia" w:ascii="仿宋_GB2312" w:hAnsi="仿宋" w:eastAsia="仿宋_GB2312" w:cs="Arial"/>
                  <w:color w:val="auto"/>
                  <w:kern w:val="0"/>
                  <w:sz w:val="24"/>
                </w:rPr>
                <w:id w:val="-1276331357"/>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仿宋_GB2312" w:cs="Arial"/>
                    <w:color w:val="auto"/>
                    <w:kern w:val="0"/>
                    <w:sz w:val="24"/>
                  </w:rPr>
                  <w:t></w:t>
                </w:r>
              </w:sdtContent>
            </w:sdt>
            <w:r>
              <w:rPr>
                <w:rFonts w:ascii="仿宋_GB2312" w:hAnsi="仿宋" w:eastAsia="仿宋_GB2312" w:cs="Arial"/>
                <w:color w:val="auto"/>
                <w:kern w:val="0"/>
                <w:sz w:val="24"/>
              </w:rPr>
              <w:t xml:space="preserve"> B</w:t>
            </w:r>
            <w:r>
              <w:rPr>
                <w:rFonts w:hint="eastAsia" w:ascii="仿宋_GB2312" w:hAnsi="仿宋" w:eastAsia="仿宋_GB2312"/>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napToGrid w:val="0"/>
              <w:spacing w:line="400" w:lineRule="exact"/>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1）资格证明文件：见招标文件第二部分11.1。</w:t>
            </w:r>
          </w:p>
          <w:p>
            <w:pPr>
              <w:snapToGrid w:val="0"/>
              <w:spacing w:line="400" w:lineRule="exact"/>
              <w:rPr>
                <w:rFonts w:ascii="Arial" w:hAnsi="Arial" w:eastAsia="黑体" w:cs="Arial"/>
                <w:snapToGrid w:val="0"/>
                <w:color w:val="auto"/>
                <w:kern w:val="0"/>
                <w:szCs w:val="21"/>
              </w:rPr>
            </w:pPr>
            <w:r>
              <w:rPr>
                <w:rFonts w:hint="eastAsia" w:ascii="仿宋_GB2312" w:hAnsi="仿宋" w:eastAsia="仿宋_GB2312"/>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7"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olor w:val="auto"/>
                <w:sz w:val="24"/>
                <w:szCs w:val="20"/>
              </w:rPr>
            </w:pPr>
            <w:sdt>
              <w:sdtPr>
                <w:rPr>
                  <w:rFonts w:hint="eastAsia" w:ascii="仿宋_GB2312" w:hAnsi="仿宋" w:eastAsia="仿宋_GB2312" w:cs="Arial"/>
                  <w:color w:val="auto"/>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仿宋_GB2312" w:cs="Arial"/>
                    <w:color w:val="auto"/>
                    <w:kern w:val="0"/>
                    <w:sz w:val="24"/>
                  </w:rPr>
                  <w:t></w:t>
                </w:r>
              </w:sdtContent>
            </w:sdt>
            <w:r>
              <w:rPr>
                <w:rFonts w:ascii="仿宋_GB2312" w:hAnsi="仿宋" w:eastAsia="仿宋_GB2312" w:cs="Arial"/>
                <w:color w:val="auto"/>
                <w:kern w:val="0"/>
                <w:sz w:val="24"/>
              </w:rPr>
              <w:t>A</w:t>
            </w:r>
            <w:r>
              <w:rPr>
                <w:rFonts w:hint="eastAsia" w:ascii="仿宋_GB2312" w:hAnsi="仿宋" w:eastAsia="仿宋_GB2312"/>
                <w:color w:val="auto"/>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hint="eastAsia" w:ascii="仿宋_GB2312" w:hAnsi="仿宋" w:eastAsia="仿宋_GB2312"/>
                <w:b/>
                <w:color w:val="auto"/>
                <w:sz w:val="24"/>
                <w:highlight w:val="none"/>
                <w:lang w:eastAsia="zh-CN"/>
              </w:rPr>
            </w:pPr>
            <w:sdt>
              <w:sdtPr>
                <w:rPr>
                  <w:rFonts w:hint="eastAsia" w:ascii="仿宋_GB2312" w:hAnsi="仿宋" w:eastAsia="仿宋_GB2312" w:cs="Arial"/>
                  <w:color w:val="auto"/>
                  <w:kern w:val="0"/>
                  <w:sz w:val="24"/>
                  <w:highlight w:val="none"/>
                </w:rPr>
                <w:id w:val="1026831988"/>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w:t>
                </w:r>
              </w:sdtContent>
            </w:sdt>
            <w:r>
              <w:rPr>
                <w:rFonts w:ascii="仿宋_GB2312" w:hAnsi="仿宋" w:eastAsia="仿宋_GB2312" w:cs="Arial"/>
                <w:color w:val="auto"/>
                <w:kern w:val="0"/>
                <w:sz w:val="24"/>
                <w:highlight w:val="none"/>
              </w:rPr>
              <w:t>A</w:t>
            </w:r>
            <w:r>
              <w:rPr>
                <w:rFonts w:hint="eastAsia" w:ascii="仿宋_GB2312" w:hAnsi="仿宋" w:eastAsia="仿宋_GB2312" w:cs="Arial"/>
                <w:color w:val="auto"/>
                <w:kern w:val="0"/>
                <w:sz w:val="24"/>
                <w:highlight w:val="none"/>
                <w:lang w:eastAsia="zh-CN"/>
              </w:rPr>
              <w:t>不</w:t>
            </w:r>
            <w:r>
              <w:rPr>
                <w:rFonts w:hint="eastAsia" w:ascii="仿宋_GB2312" w:hAnsi="仿宋" w:eastAsia="仿宋_GB2312"/>
                <w:color w:val="auto"/>
                <w:kern w:val="0"/>
                <w:sz w:val="24"/>
                <w:highlight w:val="none"/>
              </w:rPr>
              <w:t>要求提供</w:t>
            </w:r>
            <w:r>
              <w:rPr>
                <w:rFonts w:hint="eastAsia" w:ascii="仿宋_GB2312" w:hAnsi="仿宋" w:eastAsia="仿宋_GB2312"/>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s="仿宋_GB2312"/>
                <w:b/>
                <w:color w:val="auto"/>
                <w:kern w:val="0"/>
                <w:sz w:val="24"/>
                <w:highlight w:val="none"/>
                <w:lang w:val="zh-CN"/>
              </w:rPr>
            </w:pPr>
            <w:sdt>
              <w:sdtPr>
                <w:rPr>
                  <w:rFonts w:hint="eastAsia" w:ascii="仿宋_GB2312" w:hAnsi="仿宋" w:eastAsia="仿宋_GB2312" w:cs="Arial"/>
                  <w:color w:val="auto"/>
                  <w:kern w:val="0"/>
                  <w:sz w:val="24"/>
                  <w:highlight w:val="none"/>
                </w:rPr>
                <w:id w:val="117407171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ascii="仿宋_GB2312" w:hAnsi="仿宋" w:eastAsia="仿宋_GB2312" w:cs="Arial"/>
                <w:color w:val="auto"/>
                <w:kern w:val="0"/>
                <w:sz w:val="24"/>
                <w:highlight w:val="none"/>
              </w:rPr>
              <w:t>A</w:t>
            </w:r>
            <w:r>
              <w:rPr>
                <w:rFonts w:hint="eastAsia" w:ascii="仿宋_GB2312" w:hAnsi="仿宋" w:eastAsia="仿宋_GB2312" w:cs="Arial"/>
                <w:color w:val="auto"/>
                <w:kern w:val="0"/>
                <w:sz w:val="24"/>
                <w:highlight w:val="none"/>
                <w:lang w:eastAsia="zh-CN"/>
              </w:rPr>
              <w:t>不</w:t>
            </w:r>
            <w:r>
              <w:rPr>
                <w:rFonts w:ascii="仿宋_GB2312" w:hAnsi="仿宋" w:eastAsia="仿宋_GB2312"/>
                <w:color w:val="auto"/>
                <w:kern w:val="0"/>
                <w:sz w:val="24"/>
                <w:highlight w:val="none"/>
              </w:rPr>
              <w:t>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color w:val="auto"/>
              </w:rPr>
            </w:pPr>
            <w:sdt>
              <w:sdtPr>
                <w:rPr>
                  <w:rFonts w:hint="eastAsia" w:ascii="仿宋_GB2312" w:hAnsi="仿宋" w:eastAsia="仿宋_GB2312" w:cs="Arial"/>
                  <w:color w:val="auto"/>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仿宋_GB2312" w:cs="Arial"/>
                    <w:color w:val="auto"/>
                    <w:kern w:val="0"/>
                    <w:sz w:val="24"/>
                  </w:rPr>
                  <w:t></w:t>
                </w:r>
              </w:sdtContent>
            </w:sdt>
            <w:r>
              <w:rPr>
                <w:rFonts w:hint="eastAsia" w:ascii="仿宋_GB2312" w:hAnsi="仿宋" w:eastAsia="仿宋_GB2312" w:cs="Arial"/>
                <w:color w:val="auto"/>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color w:val="auto"/>
                <w:sz w:val="24"/>
              </w:rPr>
            </w:pPr>
            <w:sdt>
              <w:sdtPr>
                <w:rPr>
                  <w:rFonts w:hint="eastAsia" w:ascii="仿宋_GB2312" w:hAnsi="仿宋" w:eastAsia="仿宋_GB2312" w:cs="Arial"/>
                  <w:color w:val="auto"/>
                  <w:kern w:val="0"/>
                  <w:sz w:val="24"/>
                </w:rPr>
                <w:id w:val="118727868"/>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仿宋_GB2312" w:cs="Arial"/>
                    <w:color w:val="auto"/>
                    <w:kern w:val="0"/>
                    <w:sz w:val="24"/>
                  </w:rPr>
                  <w:t></w:t>
                </w:r>
              </w:sdtContent>
            </w:sdt>
            <w:r>
              <w:rPr>
                <w:rFonts w:ascii="仿宋_GB2312" w:hAnsi="仿宋" w:eastAsia="仿宋_GB2312" w:cs="Arial"/>
                <w:color w:val="auto"/>
                <w:kern w:val="0"/>
                <w:sz w:val="24"/>
              </w:rPr>
              <w:t>A</w:t>
            </w:r>
            <w:r>
              <w:rPr>
                <w:rFonts w:hint="eastAsia" w:ascii="仿宋_GB2312" w:hAnsi="仿宋" w:eastAsia="仿宋_GB2312"/>
                <w:color w:val="auto"/>
                <w:sz w:val="24"/>
              </w:rPr>
              <w:t>货物类，单一产品或</w:t>
            </w:r>
            <w:r>
              <w:rPr>
                <w:rFonts w:hint="eastAsia" w:ascii="仿宋_GB2312" w:hAnsi="仿宋" w:eastAsia="仿宋_GB2312"/>
                <w:color w:val="auto"/>
                <w:kern w:val="0"/>
                <w:sz w:val="24"/>
              </w:rPr>
              <w:t>核心产品为</w:t>
            </w:r>
            <w:r>
              <w:rPr>
                <w:rFonts w:hint="eastAsia" w:ascii="仿宋_GB2312" w:hAnsi="仿宋" w:eastAsia="仿宋_GB2312"/>
                <w:color w:val="auto"/>
                <w:sz w:val="24"/>
              </w:rPr>
              <w:t>：</w:t>
            </w:r>
            <w:r>
              <w:rPr>
                <w:rFonts w:hint="eastAsia" w:ascii="仿宋_GB2312" w:hAnsi="仿宋" w:eastAsia="仿宋_GB2312"/>
                <w:b/>
                <w:bCs/>
                <w:color w:val="auto"/>
                <w:sz w:val="24"/>
                <w:u w:val="single"/>
              </w:rPr>
              <w:t>核心交换机、普通8口POE交换机</w:t>
            </w:r>
            <w:r>
              <w:rPr>
                <w:rFonts w:hint="eastAsia" w:ascii="仿宋_GB2312" w:hAnsi="仿宋" w:eastAsia="仿宋_GB2312"/>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400" w:lineRule="exact"/>
              <w:rPr>
                <w:rFonts w:hint="eastAsia" w:ascii="仿宋_GB2312" w:hAnsi="仿宋" w:eastAsia="仿宋_GB2312" w:cs="Arial"/>
                <w:color w:val="auto"/>
                <w:kern w:val="0"/>
                <w:sz w:val="24"/>
                <w:lang w:eastAsia="zh-CN"/>
              </w:rPr>
            </w:pPr>
            <w:r>
              <w:rPr>
                <w:rFonts w:hint="eastAsia" w:ascii="仿宋_GB2312" w:hAnsi="仿宋" w:eastAsia="仿宋_GB2312" w:cs="Arial"/>
                <w:color w:val="auto"/>
                <w:kern w:val="0"/>
                <w:sz w:val="24"/>
                <w:lang w:eastAsia="zh-CN"/>
              </w:rPr>
              <w:t>（</w:t>
            </w:r>
            <w:r>
              <w:rPr>
                <w:rFonts w:hint="eastAsia" w:ascii="仿宋_GB2312" w:hAnsi="仿宋" w:eastAsia="仿宋_GB2312" w:cs="Arial"/>
                <w:color w:val="auto"/>
                <w:kern w:val="0"/>
                <w:sz w:val="24"/>
                <w:lang w:val="en-US" w:eastAsia="zh-CN"/>
              </w:rPr>
              <w:t>1</w:t>
            </w:r>
            <w:r>
              <w:rPr>
                <w:rFonts w:hint="eastAsia" w:ascii="仿宋_GB2312" w:hAnsi="仿宋" w:eastAsia="仿宋_GB2312" w:cs="Arial"/>
                <w:color w:val="auto"/>
                <w:kern w:val="0"/>
                <w:sz w:val="24"/>
                <w:lang w:eastAsia="zh-CN"/>
              </w:rPr>
              <w:t>）</w:t>
            </w:r>
            <w:r>
              <w:rPr>
                <w:rFonts w:hint="eastAsia" w:ascii="仿宋_GB2312" w:hAnsi="仿宋" w:eastAsia="仿宋_GB2312" w:cs="Arial"/>
                <w:color w:val="auto"/>
                <w:kern w:val="0"/>
                <w:sz w:val="24"/>
              </w:rPr>
              <w:t>标的：设备清单中</w:t>
            </w:r>
            <w:r>
              <w:rPr>
                <w:rFonts w:hint="eastAsia" w:ascii="仿宋_GB2312" w:hAnsi="仿宋" w:eastAsia="仿宋_GB2312" w:cs="Arial"/>
                <w:color w:val="auto"/>
                <w:kern w:val="0"/>
                <w:sz w:val="24"/>
                <w:lang w:eastAsia="zh-CN"/>
              </w:rPr>
              <w:t>的</w:t>
            </w:r>
            <w:r>
              <w:rPr>
                <w:rFonts w:hint="eastAsia" w:ascii="仿宋_GB2312" w:hAnsi="仿宋" w:eastAsia="仿宋_GB2312" w:cs="Arial"/>
                <w:color w:val="auto"/>
                <w:kern w:val="0"/>
                <w:sz w:val="24"/>
              </w:rPr>
              <w:t>设备均为标的内容，属于</w:t>
            </w:r>
            <w:r>
              <w:rPr>
                <w:rFonts w:hint="eastAsia" w:ascii="仿宋_GB2312" w:hAnsi="仿宋" w:eastAsia="仿宋_GB2312" w:cs="Arial"/>
                <w:color w:val="auto"/>
                <w:kern w:val="0"/>
                <w:sz w:val="24"/>
                <w:u w:val="single"/>
              </w:rPr>
              <w:t xml:space="preserve"> 工业 </w:t>
            </w:r>
            <w:r>
              <w:rPr>
                <w:rFonts w:hint="eastAsia" w:ascii="仿宋_GB2312" w:hAnsi="仿宋" w:eastAsia="仿宋_GB2312" w:cs="Arial"/>
                <w:color w:val="auto"/>
                <w:kern w:val="0"/>
                <w:sz w:val="24"/>
              </w:rPr>
              <w:t>行业</w:t>
            </w:r>
            <w:r>
              <w:rPr>
                <w:rFonts w:hint="eastAsia" w:ascii="仿宋_GB2312" w:hAnsi="仿宋" w:eastAsia="仿宋_GB2312" w:cs="Arial"/>
                <w:color w:val="auto"/>
                <w:kern w:val="0"/>
                <w:sz w:val="24"/>
                <w:lang w:eastAsia="zh-CN"/>
              </w:rPr>
              <w:t>；</w:t>
            </w:r>
          </w:p>
          <w:p>
            <w:pPr>
              <w:adjustRightInd w:val="0"/>
              <w:snapToGrid w:val="0"/>
              <w:spacing w:line="400" w:lineRule="exact"/>
              <w:rPr>
                <w:rFonts w:hint="eastAsia" w:eastAsia="仿宋_GB2312"/>
                <w:color w:val="auto"/>
                <w:lang w:val="en-US" w:eastAsia="zh-CN"/>
              </w:rPr>
            </w:pPr>
            <w:r>
              <w:rPr>
                <w:rFonts w:hint="eastAsia" w:ascii="仿宋_GB2312" w:hAnsi="仿宋" w:eastAsia="仿宋_GB2312" w:cs="Arial"/>
                <w:color w:val="auto"/>
                <w:kern w:val="0"/>
                <w:sz w:val="24"/>
              </w:rPr>
              <w:t>（2）中小企业声明函中，每种设备都需要注明设备的制造商，该制造商的从业人员人数，营业收入，资产总额，属于中小微企业类别。</w:t>
            </w:r>
            <w:r>
              <w:rPr>
                <w:rFonts w:hint="eastAsia" w:ascii="仿宋_GB2312" w:hAnsi="仿宋" w:eastAsia="仿宋_GB2312" w:cs="Arial"/>
                <w:b/>
                <w:bCs/>
                <w:color w:val="auto"/>
                <w:kern w:val="0"/>
                <w:sz w:val="24"/>
              </w:rPr>
              <w:t>只有所有设备制造商属于小微企业的，才享受价格扣除政策</w:t>
            </w:r>
            <w:r>
              <w:rPr>
                <w:rFonts w:hint="eastAsia" w:ascii="仿宋_GB2312" w:hAnsi="仿宋" w:eastAsia="仿宋_GB2312" w:cs="Arial"/>
                <w:b/>
                <w:bCs/>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eastAsia="仿宋"/>
                <w:color w:val="auto"/>
              </w:rPr>
            </w:pPr>
            <w:r>
              <w:rPr>
                <w:rFonts w:hint="eastAsia" w:ascii="仿宋_GB2312" w:hAnsi="仿宋" w:eastAsia="仿宋_GB2312" w:cs="Arial"/>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ind w:firstLine="480" w:firstLineChars="200"/>
              <w:rPr>
                <w:rFonts w:ascii="仿宋_GB2312" w:hAnsi="仿宋" w:eastAsia="仿宋_GB2312"/>
                <w:color w:val="auto"/>
                <w:sz w:val="24"/>
              </w:rPr>
            </w:pPr>
            <w:r>
              <w:rPr>
                <w:rFonts w:hint="eastAsia" w:ascii="仿宋_GB2312" w:hAnsi="仿宋" w:eastAsia="仿宋_GB2312"/>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vAlign w:val="center"/>
          </w:tcPr>
          <w:p>
            <w:pPr>
              <w:snapToGrid w:val="0"/>
              <w:spacing w:line="400" w:lineRule="exact"/>
              <w:ind w:firstLine="420" w:firstLineChars="200"/>
              <w:jc w:val="center"/>
              <w:rPr>
                <w:color w:val="auto"/>
              </w:rPr>
            </w:pPr>
          </w:p>
        </w:tc>
        <w:tc>
          <w:tcPr>
            <w:tcW w:w="1843" w:type="dxa"/>
            <w:vMerge w:val="continue"/>
            <w:tcBorders>
              <w:left w:val="single" w:color="000000" w:sz="2" w:space="0"/>
              <w:right w:val="single" w:color="000000" w:sz="8" w:space="0"/>
            </w:tcBorders>
            <w:vAlign w:val="center"/>
          </w:tcPr>
          <w:p>
            <w:pPr>
              <w:snapToGrid w:val="0"/>
              <w:spacing w:line="400" w:lineRule="exact"/>
              <w:ind w:firstLine="420" w:firstLineChars="200"/>
              <w:rPr>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ind w:firstLine="480" w:firstLineChars="200"/>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备份投标文件送达地点和签收人员</w:t>
            </w:r>
            <w:r>
              <w:rPr>
                <w:rFonts w:ascii="仿宋_GB2312" w:hAnsi="仿宋" w:eastAsia="仿宋_GB2312" w:cs="仿宋_GB2312"/>
                <w:b/>
                <w:color w:val="auto"/>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napToGrid w:val="0"/>
              <w:spacing w:line="400" w:lineRule="exact"/>
              <w:rPr>
                <w:rFonts w:ascii="仿宋_GB2312" w:hAnsi="仿宋" w:eastAsia="仿宋_GB2312" w:cs="Times New Roman"/>
                <w:color w:val="auto"/>
                <w:kern w:val="28"/>
                <w:sz w:val="24"/>
                <w:szCs w:val="24"/>
              </w:rPr>
            </w:pPr>
            <w:r>
              <w:rPr>
                <w:rFonts w:hint="eastAsia" w:ascii="仿宋_GB2312" w:hAnsi="仿宋" w:eastAsia="仿宋_GB2312" w:cs="Times New Roman"/>
                <w:color w:val="auto"/>
                <w:kern w:val="28"/>
                <w:sz w:val="24"/>
                <w:szCs w:val="24"/>
              </w:rPr>
              <w:t>备份投标文件送达地点：</w:t>
            </w:r>
            <w:r>
              <w:rPr>
                <w:rFonts w:hint="eastAsia" w:ascii="仿宋_GB2312" w:hAnsi="仿宋" w:eastAsia="仿宋_GB2312" w:cs="Times New Roman"/>
                <w:color w:val="auto"/>
                <w:kern w:val="28"/>
                <w:sz w:val="24"/>
                <w:szCs w:val="24"/>
                <w:u w:val="single"/>
              </w:rPr>
              <w:t>杭州市文三路90号东部软件园1号楼317室</w:t>
            </w:r>
            <w:r>
              <w:rPr>
                <w:rFonts w:hint="eastAsia" w:ascii="仿宋_GB2312" w:hAnsi="仿宋" w:eastAsia="仿宋_GB2312" w:cs="Times New Roman"/>
                <w:color w:val="auto"/>
                <w:kern w:val="28"/>
                <w:sz w:val="24"/>
                <w:szCs w:val="24"/>
              </w:rPr>
              <w:t>；</w:t>
            </w:r>
          </w:p>
          <w:p>
            <w:pPr>
              <w:pStyle w:val="32"/>
              <w:snapToGrid w:val="0"/>
              <w:spacing w:line="400" w:lineRule="exact"/>
              <w:rPr>
                <w:rFonts w:ascii="仿宋_GB2312" w:hAnsi="仿宋" w:eastAsia="仿宋_GB2312" w:cs="仿宋_GB2312"/>
                <w:color w:val="auto"/>
                <w:sz w:val="24"/>
                <w:szCs w:val="24"/>
              </w:rPr>
            </w:pPr>
            <w:r>
              <w:rPr>
                <w:rFonts w:hint="eastAsia" w:ascii="仿宋_GB2312" w:hAnsi="仿宋" w:eastAsia="仿宋_GB2312" w:cs="Times New Roman"/>
                <w:color w:val="auto"/>
                <w:kern w:val="28"/>
                <w:sz w:val="24"/>
                <w:szCs w:val="24"/>
              </w:rPr>
              <w:t>备份响应文件签收联系人：</w:t>
            </w:r>
            <w:r>
              <w:rPr>
                <w:rFonts w:hint="eastAsia" w:ascii="仿宋_GB2312" w:hAnsi="仿宋" w:eastAsia="仿宋_GB2312" w:cs="Times New Roman"/>
                <w:color w:val="auto"/>
                <w:kern w:val="28"/>
                <w:sz w:val="24"/>
                <w:szCs w:val="24"/>
                <w:u w:val="single"/>
              </w:rPr>
              <w:t>董福利</w:t>
            </w:r>
            <w:r>
              <w:rPr>
                <w:rFonts w:hint="eastAsia" w:ascii="仿宋_GB2312" w:hAnsi="仿宋" w:eastAsia="仿宋_GB2312" w:cs="Times New Roman"/>
                <w:color w:val="auto"/>
                <w:kern w:val="28"/>
                <w:sz w:val="24"/>
                <w:szCs w:val="24"/>
              </w:rPr>
              <w:t>；联系电话：</w:t>
            </w:r>
            <w:r>
              <w:rPr>
                <w:rFonts w:hint="eastAsia" w:ascii="仿宋_GB2312" w:hAnsi="仿宋" w:eastAsia="仿宋_GB2312" w:cs="Times New Roman"/>
                <w:color w:val="auto"/>
                <w:kern w:val="28"/>
                <w:sz w:val="24"/>
                <w:szCs w:val="24"/>
                <w:u w:val="single"/>
              </w:rPr>
              <w:t>0571-81061818</w:t>
            </w:r>
            <w:r>
              <w:rPr>
                <w:rFonts w:hint="eastAsia" w:ascii="仿宋_GB2312" w:hAnsi="仿宋" w:eastAsia="仿宋_GB2312" w:cs="仿宋_GB2312"/>
                <w:color w:val="auto"/>
                <w:sz w:val="24"/>
                <w:szCs w:val="24"/>
              </w:rPr>
              <w:t>。</w:t>
            </w:r>
          </w:p>
          <w:p>
            <w:pPr>
              <w:pStyle w:val="32"/>
              <w:snapToGrid w:val="0"/>
              <w:spacing w:line="400" w:lineRule="exact"/>
              <w:rPr>
                <w:rFonts w:ascii="仿宋_GB2312" w:hAnsi="仿宋" w:eastAsia="仿宋_GB2312"/>
                <w:color w:val="auto"/>
                <w:kern w:val="28"/>
                <w:sz w:val="24"/>
              </w:rPr>
            </w:pPr>
            <w:r>
              <w:rPr>
                <w:rFonts w:hint="eastAsia" w:ascii="仿宋_GB2312" w:hAnsi="仿宋" w:eastAsia="仿宋_GB2312" w:cs="仿宋_GB2312"/>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auto"/>
                <w:sz w:val="24"/>
              </w:rPr>
            </w:pPr>
            <w:r>
              <w:rPr>
                <w:rFonts w:hint="eastAsia" w:ascii="仿宋_GB2312" w:hAnsi="仿宋" w:eastAsia="仿宋_GB2312" w:cs="仿宋_GB2312"/>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napToGrid w:val="0"/>
              <w:spacing w:line="400" w:lineRule="exact"/>
              <w:rPr>
                <w:rFonts w:ascii="仿宋_GB2312" w:hAnsi="仿宋" w:eastAsia="仿宋_GB2312" w:cs="Times New Roman"/>
                <w:color w:val="auto"/>
                <w:kern w:val="28"/>
                <w:sz w:val="24"/>
                <w:szCs w:val="24"/>
              </w:rPr>
            </w:pPr>
            <w:r>
              <w:rPr>
                <w:rFonts w:hint="eastAsia" w:ascii="仿宋_GB2312" w:hAnsi="仿宋" w:eastAsia="仿宋_GB2312" w:cs="Times New Roman"/>
                <w:color w:val="auto"/>
                <w:kern w:val="28"/>
                <w:sz w:val="24"/>
                <w:szCs w:val="24"/>
              </w:rPr>
              <w:t>本项目的采购代理服务费由</w:t>
            </w:r>
            <w:r>
              <w:rPr>
                <w:rFonts w:hint="eastAsia" w:ascii="仿宋_GB2312" w:hAnsi="仿宋" w:eastAsia="仿宋_GB2312" w:cs="Times New Roman"/>
                <w:color w:val="auto"/>
                <w:kern w:val="28"/>
                <w:sz w:val="24"/>
                <w:szCs w:val="24"/>
                <w:lang w:eastAsia="zh-CN"/>
              </w:rPr>
              <w:t>中标</w:t>
            </w:r>
            <w:r>
              <w:rPr>
                <w:rFonts w:hint="eastAsia" w:ascii="仿宋_GB2312" w:hAnsi="仿宋" w:eastAsia="仿宋_GB2312" w:cs="Times New Roman"/>
                <w:color w:val="auto"/>
                <w:kern w:val="28"/>
                <w:sz w:val="24"/>
                <w:szCs w:val="24"/>
              </w:rPr>
              <w:t>供应商支付。</w:t>
            </w:r>
          </w:p>
          <w:p>
            <w:pPr>
              <w:pStyle w:val="32"/>
              <w:snapToGrid w:val="0"/>
              <w:spacing w:line="400" w:lineRule="exact"/>
              <w:rPr>
                <w:rFonts w:ascii="仿宋_GB2312" w:hAnsi="仿宋" w:eastAsia="仿宋_GB2312" w:cs="Times New Roman"/>
                <w:color w:val="auto"/>
                <w:kern w:val="28"/>
                <w:sz w:val="24"/>
                <w:szCs w:val="24"/>
              </w:rPr>
            </w:pPr>
            <w:r>
              <w:rPr>
                <w:rFonts w:hint="eastAsia" w:ascii="仿宋_GB2312" w:hAnsi="仿宋" w:eastAsia="仿宋_GB2312" w:cs="Times New Roman"/>
                <w:color w:val="auto"/>
                <w:kern w:val="28"/>
                <w:sz w:val="24"/>
                <w:szCs w:val="24"/>
              </w:rPr>
              <w:t>计费标准：以中标金额为计费基准，按照以下费率，采取差额累进方式计取代理费：</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宋体" w:hAnsi="宋体" w:cs="宋体"/>
                      <w:color w:val="auto"/>
                      <w:szCs w:val="21"/>
                    </w:rPr>
                  </w:pPr>
                  <w:r>
                    <w:rPr>
                      <w:rFonts w:ascii="宋体" w:hAnsi="宋体" w:cs="宋体"/>
                      <w:color w:val="auto"/>
                      <w:szCs w:val="21"/>
                    </w:rPr>
                    <w:t>中标金额</w:t>
                  </w:r>
                </w:p>
              </w:tc>
              <w:tc>
                <w:tcPr>
                  <w:tcW w:w="1980" w:type="dxa"/>
                </w:tcPr>
                <w:p>
                  <w:pPr>
                    <w:snapToGrid w:val="0"/>
                    <w:spacing w:line="320" w:lineRule="exact"/>
                    <w:jc w:val="center"/>
                    <w:rPr>
                      <w:rFonts w:ascii="宋体" w:hAnsi="宋体" w:cs="宋体"/>
                      <w:color w:val="auto"/>
                      <w:szCs w:val="21"/>
                    </w:rPr>
                  </w:pPr>
                  <w:r>
                    <w:rPr>
                      <w:rFonts w:ascii="宋体" w:hAnsi="宋体" w:cs="宋体"/>
                      <w:color w:val="auto"/>
                      <w:szCs w:val="21"/>
                    </w:rPr>
                    <w:t>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宋体" w:hAnsi="宋体" w:cs="宋体"/>
                      <w:color w:val="auto"/>
                      <w:szCs w:val="21"/>
                    </w:rPr>
                  </w:pPr>
                  <w:r>
                    <w:rPr>
                      <w:rFonts w:ascii="宋体" w:hAnsi="宋体" w:cs="宋体"/>
                      <w:color w:val="auto"/>
                      <w:szCs w:val="21"/>
                    </w:rPr>
                    <w:t>≤100万元</w:t>
                  </w:r>
                </w:p>
              </w:tc>
              <w:tc>
                <w:tcPr>
                  <w:tcW w:w="1980" w:type="dxa"/>
                </w:tcPr>
                <w:p>
                  <w:pPr>
                    <w:snapToGrid w:val="0"/>
                    <w:spacing w:line="320" w:lineRule="exact"/>
                    <w:jc w:val="center"/>
                    <w:rPr>
                      <w:rFonts w:ascii="宋体" w:hAnsi="宋体" w:cs="宋体"/>
                      <w:color w:val="auto"/>
                      <w:szCs w:val="21"/>
                    </w:rPr>
                  </w:pPr>
                  <w:r>
                    <w:rPr>
                      <w:rFonts w:hint="eastAsia" w:ascii="宋体" w:hAnsi="宋体" w:cs="宋体"/>
                      <w:color w:val="auto"/>
                      <w:szCs w:val="21"/>
                    </w:rPr>
                    <w:t>1.5</w:t>
                  </w:r>
                  <w:r>
                    <w:rPr>
                      <w:rFonts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宋体" w:hAnsi="宋体" w:cs="宋体"/>
                      <w:color w:val="auto"/>
                      <w:szCs w:val="21"/>
                    </w:rPr>
                  </w:pPr>
                  <w:r>
                    <w:rPr>
                      <w:rFonts w:hint="eastAsia" w:ascii="宋体" w:hAnsi="宋体" w:cs="宋体"/>
                      <w:color w:val="auto"/>
                      <w:szCs w:val="21"/>
                    </w:rPr>
                    <w:t>100-500</w:t>
                  </w:r>
                  <w:r>
                    <w:rPr>
                      <w:rFonts w:ascii="宋体" w:hAnsi="宋体" w:cs="宋体"/>
                      <w:color w:val="auto"/>
                      <w:szCs w:val="21"/>
                    </w:rPr>
                    <w:t>万元</w:t>
                  </w:r>
                </w:p>
              </w:tc>
              <w:tc>
                <w:tcPr>
                  <w:tcW w:w="1980" w:type="dxa"/>
                </w:tcPr>
                <w:p>
                  <w:pPr>
                    <w:snapToGrid w:val="0"/>
                    <w:spacing w:line="320" w:lineRule="exact"/>
                    <w:jc w:val="center"/>
                    <w:rPr>
                      <w:rFonts w:ascii="宋体" w:hAnsi="宋体" w:cs="宋体"/>
                      <w:color w:val="auto"/>
                      <w:szCs w:val="21"/>
                    </w:rPr>
                  </w:pPr>
                  <w:r>
                    <w:rPr>
                      <w:rFonts w:hint="eastAsia" w:ascii="宋体" w:hAnsi="宋体" w:cs="宋体"/>
                      <w:color w:val="auto"/>
                      <w:szCs w:val="21"/>
                    </w:rPr>
                    <w:t>1.1</w:t>
                  </w:r>
                  <w:r>
                    <w:rPr>
                      <w:rFonts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0" w:type="dxa"/>
                </w:tcPr>
                <w:p>
                  <w:pPr>
                    <w:snapToGrid w:val="0"/>
                    <w:spacing w:line="320" w:lineRule="exact"/>
                    <w:jc w:val="center"/>
                    <w:rPr>
                      <w:rFonts w:ascii="宋体" w:hAnsi="宋体" w:cs="宋体"/>
                      <w:color w:val="auto"/>
                      <w:szCs w:val="21"/>
                    </w:rPr>
                  </w:pPr>
                  <w:r>
                    <w:rPr>
                      <w:rFonts w:hint="eastAsia" w:ascii="宋体" w:hAnsi="宋体" w:cs="宋体"/>
                      <w:color w:val="auto"/>
                      <w:szCs w:val="21"/>
                    </w:rPr>
                    <w:t>500-1000万元</w:t>
                  </w:r>
                </w:p>
              </w:tc>
              <w:tc>
                <w:tcPr>
                  <w:tcW w:w="1980" w:type="dxa"/>
                </w:tcPr>
                <w:p>
                  <w:pPr>
                    <w:snapToGrid w:val="0"/>
                    <w:spacing w:line="320" w:lineRule="exact"/>
                    <w:jc w:val="center"/>
                    <w:rPr>
                      <w:rFonts w:ascii="宋体" w:hAnsi="宋体" w:cs="宋体"/>
                      <w:color w:val="auto"/>
                      <w:szCs w:val="21"/>
                    </w:rPr>
                  </w:pPr>
                  <w:r>
                    <w:rPr>
                      <w:rFonts w:hint="eastAsia" w:ascii="宋体" w:hAnsi="宋体" w:cs="宋体"/>
                      <w:color w:val="auto"/>
                      <w:szCs w:val="21"/>
                    </w:rPr>
                    <w:t>0.8</w:t>
                  </w:r>
                  <w:r>
                    <w:rPr>
                      <w:rFonts w:ascii="宋体" w:hAnsi="宋体" w:cs="宋体"/>
                      <w:color w:val="auto"/>
                      <w:szCs w:val="21"/>
                    </w:rPr>
                    <w:t>%</w:t>
                  </w:r>
                </w:p>
              </w:tc>
            </w:tr>
          </w:tbl>
          <w:p>
            <w:pPr>
              <w:pStyle w:val="32"/>
              <w:snapToGrid w:val="0"/>
              <w:spacing w:line="400" w:lineRule="exact"/>
              <w:rPr>
                <w:rFonts w:ascii="仿宋_GB2312" w:hAnsi="仿宋" w:eastAsia="仿宋_GB2312" w:cs="Times New Roman"/>
                <w:color w:val="auto"/>
                <w:kern w:val="28"/>
                <w:sz w:val="24"/>
                <w:szCs w:val="24"/>
              </w:rPr>
            </w:pPr>
            <w:r>
              <w:rPr>
                <w:rFonts w:hint="eastAsia" w:ascii="仿宋_GB2312" w:hAnsi="仿宋" w:eastAsia="仿宋_GB2312" w:cs="Times New Roman"/>
                <w:color w:val="auto"/>
                <w:kern w:val="28"/>
                <w:sz w:val="24"/>
                <w:szCs w:val="24"/>
              </w:rPr>
              <w:t>结算方式及时间为：在领取中标通知书时由中标人一次性向采购代理机构付清。付款账号：</w:t>
            </w:r>
          </w:p>
          <w:p>
            <w:pPr>
              <w:pStyle w:val="32"/>
              <w:snapToGrid w:val="0"/>
              <w:spacing w:line="400" w:lineRule="exact"/>
              <w:rPr>
                <w:rFonts w:ascii="仿宋_GB2312" w:hAnsi="仿宋" w:eastAsia="仿宋_GB2312" w:cs="Times New Roman"/>
                <w:color w:val="auto"/>
                <w:kern w:val="28"/>
                <w:sz w:val="24"/>
                <w:szCs w:val="24"/>
              </w:rPr>
            </w:pPr>
            <w:r>
              <w:rPr>
                <w:rFonts w:hint="eastAsia" w:ascii="仿宋_GB2312" w:hAnsi="仿宋" w:eastAsia="仿宋_GB2312" w:cs="Times New Roman"/>
                <w:color w:val="auto"/>
                <w:kern w:val="28"/>
                <w:sz w:val="24"/>
                <w:szCs w:val="24"/>
              </w:rPr>
              <w:t xml:space="preserve">账户名称：浙江国际招投标有限公司 </w:t>
            </w:r>
          </w:p>
          <w:p>
            <w:pPr>
              <w:pStyle w:val="32"/>
              <w:snapToGrid w:val="0"/>
              <w:spacing w:line="400" w:lineRule="exact"/>
              <w:rPr>
                <w:rFonts w:ascii="仿宋_GB2312" w:hAnsi="仿宋" w:eastAsia="仿宋_GB2312" w:cs="Times New Roman"/>
                <w:color w:val="auto"/>
                <w:kern w:val="28"/>
                <w:sz w:val="24"/>
                <w:szCs w:val="24"/>
              </w:rPr>
            </w:pPr>
            <w:r>
              <w:rPr>
                <w:rFonts w:hint="eastAsia" w:ascii="仿宋_GB2312" w:hAnsi="仿宋" w:eastAsia="仿宋_GB2312" w:cs="Times New Roman"/>
                <w:color w:val="auto"/>
                <w:kern w:val="28"/>
                <w:sz w:val="24"/>
                <w:szCs w:val="24"/>
              </w:rPr>
              <w:t>开户银行：工商银行杭州武林支行</w:t>
            </w:r>
          </w:p>
          <w:p>
            <w:pPr>
              <w:pStyle w:val="32"/>
              <w:snapToGrid w:val="0"/>
              <w:spacing w:line="400" w:lineRule="exact"/>
              <w:rPr>
                <w:rFonts w:ascii="仿宋_GB2312" w:hAnsi="仿宋" w:eastAsia="仿宋_GB2312" w:cs="仿宋_GB2312"/>
                <w:b/>
                <w:color w:val="auto"/>
                <w:sz w:val="24"/>
                <w:szCs w:val="24"/>
              </w:rPr>
            </w:pPr>
            <w:r>
              <w:rPr>
                <w:rFonts w:hint="eastAsia" w:ascii="仿宋_GB2312" w:hAnsi="仿宋" w:eastAsia="仿宋_GB2312" w:cs="Times New Roman"/>
                <w:color w:val="auto"/>
                <w:kern w:val="28"/>
                <w:sz w:val="24"/>
                <w:szCs w:val="24"/>
              </w:rPr>
              <w:t>账号： 1202021209906782015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1</w:t>
            </w:r>
            <w:r>
              <w:rPr>
                <w:rFonts w:hint="eastAsia" w:ascii="仿宋_GB2312" w:hAnsi="仿宋" w:eastAsia="仿宋_GB2312" w:cs="仿宋_GB2312"/>
                <w:color w:val="auto"/>
                <w:sz w:val="24"/>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无</w:t>
            </w:r>
            <w:r>
              <w:rPr>
                <w:rFonts w:hint="eastAsia" w:ascii="仿宋_GB2312" w:hAnsi="仿宋" w:eastAsia="仿宋_GB2312" w:cs="宋体"/>
                <w:b/>
                <w:color w:val="auto"/>
                <w:kern w:val="0"/>
                <w:sz w:val="24"/>
              </w:rPr>
              <w:t>。</w:t>
            </w:r>
          </w:p>
        </w:tc>
      </w:tr>
    </w:tbl>
    <w:p>
      <w:pPr>
        <w:snapToGrid w:val="0"/>
        <w:spacing w:line="360" w:lineRule="auto"/>
        <w:jc w:val="center"/>
        <w:rPr>
          <w:rFonts w:ascii="仿宋" w:hAnsi="仿宋" w:eastAsia="仿宋" w:cs="仿宋_GB2312"/>
          <w:b/>
          <w:color w:val="auto"/>
          <w:sz w:val="32"/>
          <w:szCs w:val="20"/>
        </w:rPr>
      </w:pPr>
    </w:p>
    <w:bookmarkEnd w:id="10"/>
    <w:p>
      <w:pPr>
        <w:rPr>
          <w:rFonts w:ascii="仿宋_GB2312" w:hAnsi="仿宋" w:eastAsia="仿宋_GB2312" w:cs="仿宋_GB2312"/>
          <w:b/>
          <w:color w:val="auto"/>
          <w:sz w:val="32"/>
          <w:szCs w:val="20"/>
        </w:rPr>
      </w:pPr>
      <w:bookmarkStart w:id="15" w:name="第三部分"/>
      <w:bookmarkStart w:id="16" w:name="_Toc164416483"/>
      <w:r>
        <w:rPr>
          <w:rFonts w:hint="eastAsia" w:ascii="仿宋_GB2312" w:hAnsi="仿宋" w:eastAsia="仿宋_GB2312" w:cs="仿宋_GB2312"/>
          <w:b/>
          <w:color w:val="auto"/>
          <w:sz w:val="32"/>
          <w:szCs w:val="20"/>
        </w:rPr>
        <w:br w:type="page"/>
      </w:r>
    </w:p>
    <w:p>
      <w:pPr>
        <w:adjustRightInd/>
        <w:spacing w:line="360" w:lineRule="auto"/>
        <w:jc w:val="center"/>
        <w:outlineLvl w:val="0"/>
        <w:rPr>
          <w:rFonts w:ascii="仿宋_GB2312" w:hAnsi="仿宋" w:eastAsia="仿宋_GB2312" w:cs="仿宋_GB2312"/>
          <w:b/>
          <w:color w:val="auto"/>
          <w:sz w:val="32"/>
          <w:szCs w:val="20"/>
        </w:rPr>
      </w:pPr>
      <w:r>
        <w:rPr>
          <w:rFonts w:hint="eastAsia" w:ascii="仿宋_GB2312" w:hAnsi="仿宋" w:eastAsia="仿宋_GB2312" w:cs="仿宋_GB2312"/>
          <w:b/>
          <w:color w:val="auto"/>
          <w:sz w:val="32"/>
          <w:szCs w:val="20"/>
        </w:rPr>
        <w:t>一、总则</w:t>
      </w:r>
    </w:p>
    <w:p>
      <w:pPr>
        <w:snapToGrid w:val="0"/>
        <w:spacing w:line="360" w:lineRule="auto"/>
        <w:jc w:val="left"/>
        <w:outlineLvl w:val="1"/>
        <w:rPr>
          <w:rFonts w:ascii="仿宋_GB2312" w:hAnsi="仿宋" w:eastAsia="仿宋_GB2312"/>
          <w:b/>
          <w:color w:val="auto"/>
          <w:sz w:val="24"/>
        </w:rPr>
      </w:pPr>
      <w:r>
        <w:rPr>
          <w:rFonts w:ascii="仿宋_GB2312" w:hAnsi="仿宋" w:eastAsia="仿宋_GB2312"/>
          <w:b/>
          <w:color w:val="auto"/>
          <w:sz w:val="24"/>
        </w:rPr>
        <w:t xml:space="preserve">1. </w:t>
      </w:r>
      <w:r>
        <w:rPr>
          <w:rFonts w:hint="eastAsia" w:ascii="仿宋_GB2312" w:hAnsi="仿宋" w:eastAsia="仿宋_GB2312"/>
          <w:b/>
          <w:color w:val="auto"/>
          <w:sz w:val="24"/>
        </w:rPr>
        <w:t>适用范围</w:t>
      </w:r>
    </w:p>
    <w:p>
      <w:pP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adjustRightInd/>
        <w:spacing w:line="360" w:lineRule="auto"/>
        <w:ind w:firstLine="420"/>
        <w:outlineLvl w:val="0"/>
        <w:rPr>
          <w:rFonts w:ascii="仿宋_GB2312" w:hAnsi="仿宋" w:eastAsia="仿宋_GB2312" w:cs="仿宋_GB2312"/>
          <w:b/>
          <w:color w:val="auto"/>
          <w:sz w:val="24"/>
        </w:rPr>
      </w:pPr>
    </w:p>
    <w:p>
      <w:pPr>
        <w:adjustRightInd/>
        <w:spacing w:line="360" w:lineRule="auto"/>
        <w:outlineLvl w:val="0"/>
        <w:rPr>
          <w:rFonts w:ascii="仿宋_GB2312" w:hAnsi="仿宋" w:eastAsia="仿宋_GB2312" w:cs="仿宋_GB2312"/>
          <w:b/>
          <w:color w:val="auto"/>
          <w:sz w:val="24"/>
        </w:rPr>
      </w:pPr>
      <w:r>
        <w:rPr>
          <w:rFonts w:ascii="仿宋_GB2312" w:hAnsi="仿宋" w:eastAsia="仿宋_GB2312" w:cs="仿宋_GB2312"/>
          <w:b/>
          <w:color w:val="auto"/>
          <w:sz w:val="24"/>
        </w:rPr>
        <w:t>2.定义</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2.1 </w:t>
      </w:r>
      <w:r>
        <w:rPr>
          <w:rFonts w:hint="eastAsia" w:ascii="仿宋_GB2312" w:hAnsi="仿宋" w:eastAsia="仿宋_GB2312"/>
          <w:color w:val="auto"/>
          <w:sz w:val="24"/>
        </w:rPr>
        <w:t>“采购人”系指招标公告中载明的本项目的采购人。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2.2 </w:t>
      </w:r>
      <w:r>
        <w:rPr>
          <w:rFonts w:hint="eastAsia" w:ascii="仿宋_GB2312" w:hAnsi="仿宋" w:eastAsia="仿宋_GB2312"/>
          <w:color w:val="auto"/>
          <w:sz w:val="24"/>
        </w:rPr>
        <w:t>“采购机构”系指招标公告中载明的本项目的采购机构。</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2.3 </w:t>
      </w:r>
      <w:r>
        <w:rPr>
          <w:rFonts w:hint="eastAsia" w:ascii="仿宋_GB2312" w:hAnsi="仿宋" w:eastAsia="仿宋_GB2312"/>
          <w:color w:val="auto"/>
          <w:sz w:val="24"/>
        </w:rPr>
        <w:t>“投标人”系指是指响应招标、参加投标竞争的法人、其他组织或者自然人。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2.4 </w:t>
      </w: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2.5“电子签名”系指数据电文中以电子形式所含、所附用于识别签名人身份并表明签名人认可其中内容的数据；</w:t>
      </w:r>
      <w:r>
        <w:rPr>
          <w:rFonts w:hint="eastAsia" w:ascii="仿宋" w:hAnsi="仿宋" w:eastAsia="仿宋"/>
          <w:color w:val="auto"/>
          <w:sz w:val="24"/>
        </w:rPr>
        <w:t>“公章”系指单位法定名称章。因特殊原因需要使用冠以法定名称的业务专用章的，投标时须提供《业务专用章使用说明函》（附件</w:t>
      </w:r>
      <w:r>
        <w:rPr>
          <w:rFonts w:ascii="仿宋" w:hAnsi="仿宋" w:eastAsia="仿宋"/>
          <w:color w:val="auto"/>
          <w:sz w:val="24"/>
        </w:rPr>
        <w:t>4）</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2.6“电子交易平台”是指本项目政府采购活动所依托的政府采购云平台（https://www.zcygov.cn/）。</w:t>
      </w:r>
    </w:p>
    <w:p>
      <w:pPr>
        <w:spacing w:line="360" w:lineRule="auto"/>
        <w:ind w:firstLine="482" w:firstLineChars="200"/>
        <w:rPr>
          <w:rFonts w:ascii="仿宋_GB2312" w:hAnsi="仿宋" w:eastAsia="仿宋_GB2312"/>
          <w:b/>
          <w:bCs/>
          <w:color w:val="auto"/>
          <w:sz w:val="24"/>
        </w:rPr>
      </w:pPr>
      <w:r>
        <w:rPr>
          <w:rFonts w:ascii="仿宋_GB2312" w:hAnsi="仿宋" w:eastAsia="仿宋_GB2312"/>
          <w:b/>
          <w:bCs/>
          <w:color w:val="auto"/>
          <w:sz w:val="24"/>
        </w:rPr>
        <w:t xml:space="preserve">2.7 </w:t>
      </w:r>
      <w:r>
        <w:rPr>
          <w:rFonts w:hint="eastAsia" w:ascii="仿宋_GB2312" w:hAnsi="仿宋" w:eastAsia="仿宋_GB2312"/>
          <w:b/>
          <w:bCs/>
          <w:color w:val="auto"/>
          <w:sz w:val="24"/>
        </w:rPr>
        <w:t>“▲”</w:t>
      </w:r>
      <w:r>
        <w:rPr>
          <w:rFonts w:ascii="仿宋_GB2312" w:hAnsi="仿宋" w:eastAsia="仿宋_GB2312"/>
          <w:b/>
          <w:bCs/>
          <w:color w:val="auto"/>
          <w:sz w:val="24"/>
        </w:rPr>
        <w:t xml:space="preserve"> </w:t>
      </w:r>
      <w:r>
        <w:rPr>
          <w:rFonts w:hint="eastAsia" w:ascii="仿宋_GB2312" w:hAnsi="仿宋" w:eastAsia="仿宋_GB2312"/>
          <w:b/>
          <w:bCs/>
          <w:color w:val="auto"/>
          <w:sz w:val="24"/>
        </w:rPr>
        <w:t>系指实质性要求条款，“★”系产品采购项目中单一产品或核心产品，“◆”为产品重要参数，“</w:t>
      </w:r>
      <w:sdt>
        <w:sdtPr>
          <w:rPr>
            <w:rFonts w:hint="eastAsia" w:ascii="仿宋_GB2312" w:hAnsi="仿宋" w:eastAsia="仿宋_GB2312" w:cs="Arial"/>
            <w:b/>
            <w:bCs/>
            <w:color w:val="auto"/>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b/>
            <w:bCs/>
            <w:color w:val="auto"/>
            <w:kern w:val="0"/>
            <w:sz w:val="24"/>
          </w:rPr>
        </w:sdtEndPr>
        <w:sdtContent>
          <w:r>
            <w:rPr>
              <w:rFonts w:ascii="Wingdings" w:hAnsi="Wingdings" w:eastAsia="仿宋_GB2312" w:cs="Arial"/>
              <w:b/>
              <w:bCs/>
              <w:color w:val="auto"/>
              <w:kern w:val="0"/>
              <w:sz w:val="24"/>
            </w:rPr>
            <w:t></w:t>
          </w:r>
        </w:sdtContent>
      </w:sdt>
      <w:r>
        <w:rPr>
          <w:rFonts w:hint="eastAsia" w:ascii="仿宋_GB2312" w:hAnsi="仿宋" w:eastAsia="仿宋_GB2312"/>
          <w:b/>
          <w:bCs/>
          <w:color w:val="auto"/>
          <w:sz w:val="24"/>
        </w:rPr>
        <w:t>”</w:t>
      </w:r>
      <w:r>
        <w:rPr>
          <w:rFonts w:ascii="仿宋_GB2312" w:hAnsi="仿宋" w:eastAsia="仿宋_GB2312"/>
          <w:b/>
          <w:bCs/>
          <w:color w:val="auto"/>
          <w:sz w:val="24"/>
        </w:rPr>
        <w:t xml:space="preserve"> </w:t>
      </w:r>
      <w:r>
        <w:rPr>
          <w:rFonts w:hint="eastAsia" w:ascii="仿宋_GB2312" w:hAnsi="仿宋" w:eastAsia="仿宋_GB2312"/>
          <w:b/>
          <w:bCs/>
          <w:color w:val="auto"/>
          <w:sz w:val="24"/>
        </w:rPr>
        <w:t>系指适用本项目的要求，“</w:t>
      </w:r>
      <w:sdt>
        <w:sdtPr>
          <w:rPr>
            <w:rFonts w:hint="eastAsia" w:ascii="仿宋_GB2312" w:hAnsi="仿宋" w:eastAsia="仿宋_GB2312" w:cs="Arial"/>
            <w:b/>
            <w:bCs/>
            <w:color w:val="auto"/>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b/>
            <w:bCs/>
            <w:color w:val="auto"/>
            <w:kern w:val="0"/>
            <w:sz w:val="24"/>
          </w:rPr>
        </w:sdtEndPr>
        <w:sdtContent>
          <w:r>
            <w:rPr>
              <w:rFonts w:ascii="MS Gothic" w:hAnsi="MS Gothic" w:eastAsia="MS Gothic" w:cs="Arial"/>
              <w:b/>
              <w:bCs/>
              <w:color w:val="auto"/>
              <w:kern w:val="0"/>
              <w:sz w:val="24"/>
            </w:rPr>
            <w:t>☐</w:t>
          </w:r>
        </w:sdtContent>
      </w:sdt>
      <w:r>
        <w:rPr>
          <w:rFonts w:hint="eastAsia" w:ascii="仿宋_GB2312" w:hAnsi="仿宋" w:eastAsia="仿宋_GB2312"/>
          <w:b/>
          <w:bCs/>
          <w:color w:val="auto"/>
          <w:sz w:val="24"/>
        </w:rPr>
        <w:t>”</w:t>
      </w:r>
      <w:r>
        <w:rPr>
          <w:rFonts w:ascii="仿宋_GB2312" w:hAnsi="仿宋" w:eastAsia="仿宋_GB2312"/>
          <w:b/>
          <w:bCs/>
          <w:color w:val="auto"/>
          <w:sz w:val="24"/>
        </w:rPr>
        <w:t xml:space="preserve"> </w:t>
      </w:r>
      <w:r>
        <w:rPr>
          <w:rFonts w:hint="eastAsia" w:ascii="仿宋_GB2312" w:hAnsi="仿宋" w:eastAsia="仿宋_GB2312"/>
          <w:b/>
          <w:bCs/>
          <w:color w:val="auto"/>
          <w:sz w:val="24"/>
        </w:rPr>
        <w:t>系指不适用本项目的要求。</w:t>
      </w:r>
    </w:p>
    <w:p>
      <w:pPr>
        <w:spacing w:line="360" w:lineRule="auto"/>
        <w:ind w:firstLine="241" w:firstLineChars="100"/>
        <w:rPr>
          <w:rFonts w:ascii="仿宋_GB2312" w:hAnsi="仿宋" w:eastAsia="仿宋_GB2312"/>
          <w:b/>
          <w:color w:val="auto"/>
          <w:sz w:val="24"/>
        </w:rPr>
      </w:pPr>
    </w:p>
    <w:p>
      <w:pPr>
        <w:spacing w:line="360" w:lineRule="auto"/>
        <w:rPr>
          <w:rFonts w:ascii="仿宋_GB2312" w:hAnsi="仿宋" w:eastAsia="仿宋_GB2312"/>
          <w:b/>
          <w:color w:val="auto"/>
          <w:sz w:val="24"/>
        </w:rPr>
      </w:pPr>
      <w:r>
        <w:rPr>
          <w:rFonts w:ascii="仿宋_GB2312" w:hAnsi="仿宋" w:eastAsia="仿宋_GB2312"/>
          <w:b/>
          <w:color w:val="auto"/>
          <w:sz w:val="24"/>
        </w:rPr>
        <w:t>3.</w:t>
      </w:r>
      <w:r>
        <w:rPr>
          <w:rFonts w:ascii="仿宋_GB2312" w:hAnsi="仿宋" w:eastAsia="仿宋_GB2312"/>
          <w:color w:val="auto"/>
        </w:rPr>
        <w:t xml:space="preserve"> </w:t>
      </w:r>
      <w:r>
        <w:rPr>
          <w:rFonts w:hint="eastAsia" w:ascii="仿宋_GB2312" w:hAnsi="仿宋" w:eastAsia="仿宋_GB2312"/>
          <w:b/>
          <w:color w:val="auto"/>
          <w:sz w:val="24"/>
        </w:rPr>
        <w:t>采购项目需要落实的政府采购政策</w:t>
      </w:r>
    </w:p>
    <w:p>
      <w:pPr>
        <w:spacing w:line="360" w:lineRule="auto"/>
        <w:ind w:firstLine="420"/>
        <w:rPr>
          <w:rFonts w:ascii="仿宋_GB2312" w:hAnsi="仿宋" w:eastAsia="仿宋_GB2312"/>
          <w:color w:val="auto"/>
          <w:sz w:val="24"/>
        </w:rPr>
      </w:pPr>
      <w:r>
        <w:rPr>
          <w:rFonts w:ascii="仿宋_GB2312" w:hAnsi="仿宋" w:eastAsia="仿宋_GB2312"/>
          <w:color w:val="auto"/>
          <w:sz w:val="24"/>
        </w:rPr>
        <w:t xml:space="preserve">3.1 </w:t>
      </w: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20"/>
        <w:rPr>
          <w:rFonts w:ascii="仿宋_GB2312" w:hAnsi="仿宋" w:eastAsia="仿宋_GB2312"/>
          <w:color w:val="auto"/>
          <w:sz w:val="24"/>
        </w:rPr>
      </w:pPr>
      <w:r>
        <w:rPr>
          <w:rFonts w:ascii="仿宋_GB2312" w:hAnsi="仿宋" w:eastAsia="仿宋_GB2312"/>
          <w:color w:val="auto"/>
          <w:sz w:val="24"/>
        </w:rPr>
        <w:t xml:space="preserve">3.2 </w:t>
      </w:r>
      <w:r>
        <w:rPr>
          <w:rFonts w:hint="eastAsia" w:ascii="仿宋_GB2312" w:hAnsi="仿宋" w:eastAsia="仿宋_GB2312"/>
          <w:color w:val="auto"/>
          <w:sz w:val="24"/>
        </w:rPr>
        <w:t>支持绿色发展</w:t>
      </w:r>
    </w:p>
    <w:p>
      <w:pPr>
        <w:spacing w:line="360" w:lineRule="auto"/>
        <w:ind w:firstLine="420"/>
        <w:rPr>
          <w:rFonts w:ascii="仿宋_GB2312" w:hAnsi="仿宋" w:eastAsia="仿宋_GB2312"/>
          <w:b/>
          <w:color w:val="auto"/>
          <w:sz w:val="24"/>
        </w:rPr>
      </w:pPr>
      <w:r>
        <w:rPr>
          <w:rFonts w:ascii="仿宋_GB2312" w:hAnsi="仿宋" w:eastAsia="仿宋_GB2312"/>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rPr>
      </w:pPr>
      <w:r>
        <w:rPr>
          <w:rFonts w:ascii="仿宋_GB2312" w:hAnsi="仿宋" w:eastAsia="仿宋_GB2312"/>
          <w:color w:val="auto"/>
          <w:sz w:val="24"/>
        </w:rPr>
        <w:t xml:space="preserve">3.2.2 </w:t>
      </w: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spacing w:line="360" w:lineRule="auto"/>
        <w:ind w:firstLine="480" w:firstLineChars="200"/>
        <w:rPr>
          <w:color w:val="auto"/>
          <w:sz w:val="24"/>
        </w:rPr>
      </w:pPr>
      <w:r>
        <w:rPr>
          <w:rFonts w:ascii="仿宋_GB2312" w:hAnsi="仿宋" w:eastAsia="仿宋_GB2312"/>
          <w:color w:val="auto"/>
          <w:sz w:val="24"/>
        </w:rPr>
        <w:t>3.2.3</w:t>
      </w: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20"/>
        <w:rPr>
          <w:rFonts w:ascii="仿宋_GB2312" w:hAnsi="仿宋" w:eastAsia="仿宋_GB2312"/>
          <w:color w:val="auto"/>
          <w:sz w:val="24"/>
        </w:rPr>
      </w:pPr>
      <w:r>
        <w:rPr>
          <w:rFonts w:ascii="仿宋_GB2312" w:hAnsi="仿宋" w:eastAsia="仿宋_GB2312"/>
          <w:color w:val="auto"/>
          <w:sz w:val="24"/>
        </w:rPr>
        <w:t>3.3支持中小企业发展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eastAsia="仿宋_GB2312"/>
          <w:bCs/>
          <w:color w:val="auto"/>
          <w:sz w:val="24"/>
        </w:rPr>
        <w:t>3.3.2</w:t>
      </w:r>
      <w:r>
        <w:rPr>
          <w:rFonts w:hint="eastAsia" w:ascii="仿宋_GB2312" w:hAnsi="宋体" w:eastAsia="仿宋_GB2312" w:cs="宋体"/>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3.3.3</w:t>
      </w:r>
      <w:r>
        <w:rPr>
          <w:rFonts w:hint="eastAsia" w:ascii="仿宋_GB2312" w:hAnsi="仿宋" w:eastAsia="仿宋_GB2312"/>
          <w:color w:val="auto"/>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b/>
          <w:bCs/>
          <w:color w:val="auto"/>
          <w:sz w:val="24"/>
        </w:rPr>
        <w:t>10%</w:t>
      </w:r>
      <w:r>
        <w:rPr>
          <w:rFonts w:ascii="仿宋_GB2312" w:hAnsi="仿宋" w:eastAsia="仿宋_GB2312"/>
          <w:color w:val="auto"/>
          <w:sz w:val="24"/>
        </w:rPr>
        <w:t>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rPr>
        <w:t>政府</w:t>
      </w:r>
      <w:r>
        <w:rPr>
          <w:rFonts w:ascii="仿宋_GB2312" w:hAnsi="仿宋" w:eastAsia="仿宋_GB2312"/>
          <w:color w:val="auto"/>
          <w:sz w:val="24"/>
        </w:rPr>
        <w:t>采购</w:t>
      </w:r>
      <w:r>
        <w:rPr>
          <w:rFonts w:hint="eastAsia" w:ascii="仿宋_GB2312" w:hAnsi="仿宋" w:eastAsia="仿宋_GB2312"/>
          <w:color w:val="auto"/>
          <w:sz w:val="24"/>
        </w:rPr>
        <w:t>货物或服务</w:t>
      </w:r>
      <w:r>
        <w:rPr>
          <w:rFonts w:ascii="仿宋_GB2312" w:hAnsi="仿宋" w:eastAsia="仿宋_GB2312"/>
          <w:color w:val="auto"/>
          <w:sz w:val="24"/>
        </w:rPr>
        <w:t>项目，对于联合协议或者分包意向协议约定小微企业的合同份额占到合同总金额30%以上的，对联合体或者大中型企业的报价给予</w:t>
      </w:r>
      <w:r>
        <w:rPr>
          <w:rFonts w:ascii="仿宋_GB2312" w:hAnsi="仿宋" w:eastAsia="仿宋_GB2312"/>
          <w:b/>
          <w:bCs/>
          <w:color w:val="auto"/>
          <w:sz w:val="24"/>
        </w:rPr>
        <w:t>3%</w:t>
      </w:r>
      <w:r>
        <w:rPr>
          <w:rFonts w:ascii="仿宋_GB2312" w:hAnsi="仿宋" w:eastAsia="仿宋_GB2312"/>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3.3.6</w:t>
      </w: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rPr>
        <w:t>。</w:t>
      </w:r>
    </w:p>
    <w:p>
      <w:pPr>
        <w:spacing w:line="360" w:lineRule="auto"/>
        <w:ind w:firstLine="420"/>
        <w:rPr>
          <w:rFonts w:ascii="仿宋_GB2312" w:hAnsi="仿宋" w:eastAsia="仿宋_GB2312"/>
          <w:color w:val="auto"/>
          <w:sz w:val="24"/>
        </w:rPr>
      </w:pPr>
      <w:r>
        <w:rPr>
          <w:rFonts w:ascii="仿宋_GB2312" w:hAnsi="仿宋" w:eastAsia="仿宋_GB2312"/>
          <w:color w:val="auto"/>
          <w:sz w:val="24"/>
        </w:rPr>
        <w:t>3.4</w:t>
      </w:r>
      <w:r>
        <w:rPr>
          <w:rFonts w:hint="eastAsia" w:ascii="仿宋_GB2312" w:eastAsia="仿宋_GB2312"/>
          <w:bCs/>
          <w:color w:val="auto"/>
          <w:sz w:val="24"/>
        </w:rPr>
        <w:t>支持创新发展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3.4.2首台套产品</w:t>
      </w:r>
      <w:r>
        <w:rPr>
          <w:rFonts w:hint="eastAsia" w:ascii="仿宋_GB2312" w:hAnsi="仿宋" w:eastAsia="仿宋_GB2312"/>
          <w:color w:val="auto"/>
          <w:sz w:val="24"/>
        </w:rPr>
        <w:t>被纳入《首台套产品推广应用指导目录》之日起</w:t>
      </w:r>
      <w:r>
        <w:rPr>
          <w:rFonts w:ascii="仿宋_GB2312" w:hAnsi="仿宋" w:eastAsia="仿宋_GB2312"/>
          <w:color w:val="auto"/>
          <w:sz w:val="24"/>
        </w:rPr>
        <w:t>2年内，以及产品核心技术高于国内领先水平，并具有明晰自主知识产权的“制造精品”产品，</w:t>
      </w:r>
      <w:r>
        <w:rPr>
          <w:rFonts w:hint="eastAsia" w:ascii="仿宋_GB2312" w:hAnsi="仿宋" w:eastAsia="仿宋_GB2312"/>
          <w:color w:val="auto"/>
          <w:sz w:val="24"/>
        </w:rPr>
        <w:t>自认定之日起</w:t>
      </w:r>
      <w:r>
        <w:rPr>
          <w:rFonts w:ascii="仿宋_GB2312" w:hAnsi="仿宋" w:eastAsia="仿宋_GB2312"/>
          <w:color w:val="auto"/>
          <w:sz w:val="24"/>
        </w:rPr>
        <w:t>2年内视同已具备相应销售业绩，参加政府采购活动</w:t>
      </w:r>
      <w:r>
        <w:rPr>
          <w:rFonts w:hint="eastAsia" w:ascii="仿宋_GB2312" w:hAnsi="仿宋" w:eastAsia="仿宋_GB2312"/>
          <w:color w:val="auto"/>
          <w:sz w:val="24"/>
        </w:rPr>
        <w:t>时业绩分值为满分。</w:t>
      </w:r>
    </w:p>
    <w:p>
      <w:pPr>
        <w:spacing w:line="360" w:lineRule="auto"/>
        <w:ind w:firstLine="420"/>
        <w:rPr>
          <w:rFonts w:ascii="仿宋_GB2312" w:hAnsi="仿宋" w:eastAsia="仿宋_GB2312"/>
          <w:color w:val="auto"/>
          <w:sz w:val="24"/>
        </w:rPr>
      </w:pPr>
      <w:r>
        <w:rPr>
          <w:rFonts w:ascii="仿宋_GB2312" w:hAnsi="仿宋" w:eastAsia="仿宋_GB2312"/>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rPr>
        <w:t>登录</w:t>
      </w:r>
      <w:r>
        <w:rPr>
          <w:rFonts w:ascii="仿宋_GB2312" w:hAnsi="仿宋" w:eastAsia="仿宋_GB2312"/>
          <w:color w:val="auto"/>
          <w:sz w:val="24"/>
        </w:rPr>
        <w:t>杭州市政府采购网“中小企业信用融资”模块，查看信用融资政策文件及各相关银行服务方案。</w:t>
      </w:r>
      <w:r>
        <w:rPr>
          <w:rFonts w:ascii="仿宋_GB2312" w:hAnsi="仿宋" w:eastAsia="仿宋_GB2312"/>
          <w:color w:val="auto"/>
          <w:sz w:val="24"/>
        </w:rPr>
        <w:cr/>
      </w:r>
    </w:p>
    <w:p>
      <w:pPr>
        <w:spacing w:line="360" w:lineRule="auto"/>
        <w:rPr>
          <w:rFonts w:ascii="仿宋_GB2312" w:hAnsi="仿宋" w:eastAsia="仿宋_GB2312"/>
          <w:b/>
          <w:color w:val="auto"/>
          <w:sz w:val="24"/>
        </w:rPr>
      </w:pPr>
      <w:r>
        <w:rPr>
          <w:rFonts w:ascii="仿宋_GB2312" w:hAnsi="仿宋" w:eastAsia="仿宋_GB2312"/>
          <w:b/>
          <w:color w:val="auto"/>
          <w:sz w:val="24"/>
        </w:rPr>
        <w:t xml:space="preserve">4. </w:t>
      </w:r>
      <w:r>
        <w:rPr>
          <w:rFonts w:hint="eastAsia" w:ascii="仿宋_GB2312" w:hAnsi="仿宋" w:eastAsia="仿宋_GB2312"/>
          <w:b/>
          <w:color w:val="auto"/>
          <w:sz w:val="24"/>
        </w:rPr>
        <w:t>询问、质疑、投诉</w:t>
      </w:r>
    </w:p>
    <w:p>
      <w:pPr>
        <w:autoSpaceDE w:val="0"/>
        <w:autoSpaceDN w:val="0"/>
        <w:spacing w:line="360" w:lineRule="auto"/>
        <w:ind w:firstLine="42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2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4.2供应商质疑</w:t>
      </w:r>
    </w:p>
    <w:p>
      <w:pPr>
        <w:pStyle w:val="32"/>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w:t>
      </w:r>
      <w:r>
        <w:rPr>
          <w:rFonts w:hint="eastAsia" w:ascii="仿宋_GB2312" w:hAnsi="仿宋" w:eastAsia="仿宋_GB2312"/>
          <w:color w:val="auto"/>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4.2.3.1</w:t>
      </w:r>
      <w:r>
        <w:rPr>
          <w:rFonts w:hint="eastAsia" w:ascii="仿宋_GB2312" w:hAnsi="仿宋" w:eastAsia="仿宋_GB2312" w:cs="微软雅黑"/>
          <w:color w:val="auto"/>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4.2.3.2</w:t>
      </w:r>
      <w:r>
        <w:rPr>
          <w:rFonts w:hint="eastAsia" w:ascii="仿宋_GB2312" w:hAnsi="仿宋" w:eastAsia="仿宋_GB2312" w:cs="微软雅黑"/>
          <w:color w:val="auto"/>
          <w:kern w:val="0"/>
          <w:sz w:val="24"/>
          <w:lang w:val="zh-CN"/>
        </w:rPr>
        <w:t>质疑项目的名称、编号；</w:t>
      </w:r>
    </w:p>
    <w:p>
      <w:pPr>
        <w:pStyle w:val="32"/>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4.2.3.3</w:t>
      </w:r>
      <w:r>
        <w:rPr>
          <w:rFonts w:hint="eastAsia" w:ascii="仿宋_GB2312" w:hAnsi="仿宋" w:eastAsia="仿宋_GB2312" w:cs="微软雅黑"/>
          <w:color w:val="auto"/>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4.2.3.4</w:t>
      </w:r>
      <w:r>
        <w:rPr>
          <w:rFonts w:hint="eastAsia" w:ascii="仿宋_GB2312" w:hAnsi="仿宋" w:eastAsia="仿宋_GB2312" w:cs="微软雅黑"/>
          <w:color w:val="auto"/>
          <w:kern w:val="0"/>
          <w:sz w:val="24"/>
          <w:lang w:val="zh-CN"/>
        </w:rPr>
        <w:t>事实依据；</w:t>
      </w:r>
    </w:p>
    <w:p>
      <w:pPr>
        <w:pStyle w:val="32"/>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4.2.3.5</w:t>
      </w:r>
      <w:r>
        <w:rPr>
          <w:rFonts w:hint="eastAsia" w:ascii="仿宋_GB2312" w:hAnsi="仿宋" w:eastAsia="仿宋_GB2312" w:cs="微软雅黑"/>
          <w:color w:val="auto"/>
          <w:kern w:val="0"/>
          <w:sz w:val="24"/>
          <w:lang w:val="zh-CN"/>
        </w:rPr>
        <w:t>必要的法律依据；</w:t>
      </w:r>
    </w:p>
    <w:p>
      <w:pPr>
        <w:pStyle w:val="32"/>
        <w:spacing w:line="360" w:lineRule="auto"/>
        <w:ind w:firstLine="960" w:firstLineChars="4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4.2.3.6</w:t>
      </w:r>
      <w:r>
        <w:rPr>
          <w:rFonts w:hint="eastAsia" w:ascii="仿宋_GB2312" w:hAnsi="仿宋" w:eastAsia="仿宋_GB2312" w:cs="微软雅黑"/>
          <w:color w:val="auto"/>
          <w:kern w:val="0"/>
          <w:sz w:val="24"/>
          <w:lang w:val="zh-CN"/>
        </w:rPr>
        <w:t>提出质疑的日期。</w:t>
      </w:r>
    </w:p>
    <w:p>
      <w:pPr>
        <w:pStyle w:val="887"/>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20"/>
        <w:contextualSpacing/>
        <w:rPr>
          <w:rFonts w:ascii="仿宋_GB2312" w:hAnsi="仿宋" w:eastAsia="仿宋_GB2312"/>
          <w:color w:val="auto"/>
        </w:rPr>
      </w:pPr>
      <w:r>
        <w:rPr>
          <w:rFonts w:hint="eastAsia" w:ascii="仿宋_GB2312" w:hAnsi="仿宋" w:eastAsia="仿宋_GB2312"/>
          <w:color w:val="auto"/>
        </w:rPr>
        <w:t>质疑函范本及制作说明详见附件</w:t>
      </w:r>
      <w:r>
        <w:rPr>
          <w:rFonts w:ascii="仿宋_GB2312" w:hAnsi="仿宋" w:eastAsia="仿宋_GB2312"/>
          <w:color w:val="auto"/>
        </w:rPr>
        <w:t>2。</w:t>
      </w:r>
    </w:p>
    <w:p>
      <w:pPr>
        <w:pStyle w:val="887"/>
        <w:shd w:val="clear" w:color="auto" w:fill="FFFFFF"/>
        <w:snapToGrid w:val="0"/>
        <w:spacing w:after="240" w:afterAutospacing="0" w:line="360" w:lineRule="auto"/>
        <w:ind w:firstLine="42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.4</w:t>
      </w:r>
      <w:r>
        <w:rPr>
          <w:rFonts w:hint="eastAsia" w:ascii="仿宋_GB2312" w:hAnsi="仿宋" w:eastAsia="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rPr>
        <w:t>2021〕17号）,</w:t>
      </w:r>
      <w:r>
        <w:rPr>
          <w:rFonts w:hint="eastAsia" w:ascii="仿宋_GB2312" w:hAnsi="仿宋" w:eastAsia="仿宋_GB2312"/>
          <w:color w:val="auto"/>
        </w:rPr>
        <w:t>采购人或者采购机构在质疑回复后</w:t>
      </w:r>
      <w:r>
        <w:rPr>
          <w:rFonts w:ascii="仿宋_GB2312" w:hAnsi="仿宋" w:eastAsia="仿宋_GB2312"/>
          <w:color w:val="auto"/>
        </w:rPr>
        <w:t>5个工作日内，在浙江政府采购网的“其他公告”栏目公开质疑答复，答复内容应当完整。质疑</w:t>
      </w:r>
      <w:r>
        <w:rPr>
          <w:rFonts w:hint="eastAsia" w:ascii="仿宋_GB2312" w:hAnsi="仿宋" w:eastAsia="仿宋_GB2312"/>
          <w:color w:val="auto"/>
        </w:rPr>
        <w:t>函作为附件上传。</w:t>
      </w:r>
    </w:p>
    <w:p>
      <w:pPr>
        <w:pStyle w:val="887"/>
        <w:shd w:val="clear" w:color="auto" w:fill="FFFFFF"/>
        <w:snapToGrid w:val="0"/>
        <w:spacing w:after="240" w:afterAutospacing="0" w:line="360" w:lineRule="auto"/>
        <w:ind w:firstLine="42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20"/>
        <w:contextualSpacing/>
        <w:rPr>
          <w:rFonts w:ascii="仿宋_GB2312" w:hAnsi="仿宋" w:eastAsia="仿宋_GB2312" w:cs="微软雅黑"/>
          <w:color w:val="auto"/>
          <w:lang w:val="zh-CN"/>
        </w:rPr>
      </w:pPr>
      <w:r>
        <w:rPr>
          <w:rFonts w:ascii="仿宋_GB2312" w:hAnsi="仿宋" w:eastAsia="仿宋_GB2312" w:cs="微软雅黑"/>
          <w:color w:val="auto"/>
          <w:lang w:val="zh-CN"/>
        </w:rPr>
        <w:t>4.3供应商投诉</w:t>
      </w:r>
    </w:p>
    <w:p>
      <w:pPr>
        <w:pStyle w:val="887"/>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4.3.1质疑供应商对采购人、采购机构的答复不满意或者采购人、采购机构未在规定的时间内</w:t>
      </w:r>
      <w:r>
        <w:rPr>
          <w:rFonts w:hint="eastAsia" w:ascii="仿宋_GB2312" w:hAnsi="仿宋" w:eastAsia="仿宋_GB2312"/>
          <w:color w:val="auto"/>
        </w:rPr>
        <w:t>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w:t>
      </w:r>
      <w:r>
        <w:rPr>
          <w:rFonts w:ascii="仿宋_GB2312" w:hAnsi="仿宋" w:eastAsia="仿宋_GB2312" w:cs="微软雅黑"/>
          <w:color w:val="auto"/>
          <w:lang w:val="zh-CN"/>
        </w:rPr>
        <w:t>2</w:t>
      </w:r>
      <w:r>
        <w:rPr>
          <w:rFonts w:hint="eastAsia" w:ascii="仿宋_GB2312" w:hAnsi="仿宋" w:eastAsia="仿宋_GB2312"/>
          <w:color w:val="auto"/>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4.3.3供应</w:t>
      </w:r>
      <w:r>
        <w:rPr>
          <w:rFonts w:hint="eastAsia" w:ascii="仿宋_GB2312" w:hAnsi="仿宋" w:eastAsia="仿宋_GB2312"/>
          <w:color w:val="auto"/>
        </w:rPr>
        <w:t>商投诉应当有明确的请求和必要的证明材料。</w:t>
      </w:r>
    </w:p>
    <w:p>
      <w:pPr>
        <w:pStyle w:val="887"/>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 xml:space="preserve">4.3.5 </w:t>
      </w:r>
      <w:r>
        <w:rPr>
          <w:rFonts w:hint="eastAsia" w:ascii="仿宋_GB2312" w:hAnsi="仿宋" w:eastAsia="仿宋_GB2312"/>
          <w:color w:val="auto"/>
        </w:rPr>
        <w:t>以联合体形式参加政府采购活动的，其投诉应当由组成联合体的所有供应商共同提出。</w:t>
      </w:r>
    </w:p>
    <w:p>
      <w:pPr>
        <w:pStyle w:val="887"/>
        <w:shd w:val="clear" w:color="auto" w:fill="FFFFFF"/>
        <w:snapToGrid w:val="0"/>
        <w:spacing w:after="240" w:afterAutospacing="0" w:line="360" w:lineRule="auto"/>
        <w:ind w:firstLine="420"/>
        <w:contextualSpacing/>
        <w:rPr>
          <w:rFonts w:ascii="仿宋_GB2312" w:hAnsi="仿宋" w:eastAsia="仿宋_GB2312"/>
          <w:color w:val="auto"/>
        </w:rPr>
      </w:pPr>
      <w:r>
        <w:rPr>
          <w:rFonts w:hint="eastAsia" w:ascii="仿宋_GB2312" w:hAnsi="仿宋" w:eastAsia="仿宋_GB2312"/>
          <w:color w:val="auto"/>
        </w:rPr>
        <w:t>投诉书范本及制作说明详见附件</w:t>
      </w:r>
      <w:r>
        <w:rPr>
          <w:rFonts w:ascii="仿宋_GB2312" w:hAnsi="仿宋" w:eastAsia="仿宋_GB2312"/>
          <w:color w:val="auto"/>
        </w:rPr>
        <w:t>3。</w:t>
      </w:r>
    </w:p>
    <w:p>
      <w:pPr>
        <w:pStyle w:val="128"/>
        <w:snapToGrid w:val="0"/>
        <w:spacing w:before="0"/>
        <w:ind w:firstLine="360"/>
        <w:rPr>
          <w:rFonts w:ascii="仿宋_GB2312" w:hAnsi="仿宋" w:eastAsia="仿宋_GB2312" w:cs="仿宋_GB2312"/>
          <w:color w:val="auto"/>
          <w:sz w:val="18"/>
          <w:szCs w:val="18"/>
        </w:rPr>
      </w:pPr>
    </w:p>
    <w:p>
      <w:pPr>
        <w:adjustRightInd/>
        <w:spacing w:line="360" w:lineRule="auto"/>
        <w:jc w:val="center"/>
        <w:outlineLvl w:val="0"/>
        <w:rPr>
          <w:rFonts w:ascii="仿宋_GB2312" w:hAnsi="仿宋" w:eastAsia="仿宋_GB2312" w:cs="仿宋_GB2312"/>
          <w:b/>
          <w:color w:val="auto"/>
          <w:sz w:val="32"/>
          <w:szCs w:val="20"/>
        </w:rPr>
      </w:pPr>
      <w:r>
        <w:rPr>
          <w:rFonts w:ascii="仿宋_GB2312" w:hAnsi="仿宋" w:eastAsia="仿宋_GB2312" w:cs="仿宋_GB2312"/>
          <w:b/>
          <w:color w:val="auto"/>
          <w:sz w:val="32"/>
          <w:szCs w:val="20"/>
        </w:rPr>
        <w:t xml:space="preserve">      二、招标文件的构成、澄清、修改</w:t>
      </w: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5．招标文件的构成</w:t>
      </w:r>
    </w:p>
    <w:p>
      <w:pPr>
        <w:pStyle w:val="32"/>
        <w:spacing w:line="360" w:lineRule="auto"/>
        <w:ind w:firstLine="42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5.1.1招标公告；</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5.1.2投标人须知；</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5.1.3采购需求；</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5.1.4评标</w:t>
      </w:r>
      <w:r>
        <w:rPr>
          <w:rFonts w:hint="eastAsia" w:ascii="仿宋_GB2312" w:hAnsi="仿宋" w:eastAsia="仿宋_GB2312" w:cs="仿宋_GB2312"/>
          <w:color w:val="auto"/>
          <w:sz w:val="24"/>
          <w:szCs w:val="24"/>
        </w:rPr>
        <w:t>办</w:t>
      </w:r>
      <w:r>
        <w:rPr>
          <w:rFonts w:ascii="仿宋_GB2312" w:hAnsi="仿宋" w:eastAsia="仿宋_GB2312" w:cs="仿宋_GB2312"/>
          <w:color w:val="auto"/>
          <w:sz w:val="24"/>
          <w:szCs w:val="24"/>
        </w:rPr>
        <w:t>法；</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rPr>
        <w:t>5.1.6</w:t>
      </w:r>
      <w:r>
        <w:rPr>
          <w:rFonts w:hint="eastAsia" w:ascii="仿宋_GB2312" w:hAnsi="仿宋" w:eastAsia="仿宋_GB2312" w:cs="仿宋_GB2312"/>
          <w:color w:val="auto"/>
          <w:sz w:val="24"/>
          <w:szCs w:val="24"/>
        </w:rPr>
        <w:t>应提交的有关格式范例。</w:t>
      </w:r>
    </w:p>
    <w:p>
      <w:pPr>
        <w:spacing w:line="360" w:lineRule="auto"/>
        <w:ind w:firstLine="420"/>
        <w:rPr>
          <w:rFonts w:ascii="仿宋_GB2312" w:hAnsi="仿宋" w:eastAsia="仿宋_GB2312" w:cs="仿宋_GB2312"/>
          <w:color w:val="auto"/>
          <w:sz w:val="24"/>
        </w:rPr>
      </w:pPr>
      <w:r>
        <w:rPr>
          <w:rFonts w:ascii="仿宋_GB2312" w:hAnsi="仿宋" w:eastAsia="仿宋_GB2312"/>
          <w:color w:val="auto"/>
          <w:sz w:val="24"/>
        </w:rPr>
        <w:t>5.2与本项目有关的</w:t>
      </w:r>
      <w:r>
        <w:rPr>
          <w:rFonts w:hint="eastAsia" w:ascii="仿宋_GB2312" w:hAnsi="仿宋" w:eastAsia="仿宋_GB2312"/>
          <w:bCs/>
          <w:color w:val="auto"/>
          <w:sz w:val="24"/>
        </w:rPr>
        <w:t>澄清或者修改的内容为招标文件的组成部分</w:t>
      </w:r>
      <w:r>
        <w:rPr>
          <w:rFonts w:hint="eastAsia" w:ascii="仿宋_GB2312" w:hAnsi="仿宋" w:eastAsia="仿宋_GB2312" w:cs="仿宋_GB2312"/>
          <w:color w:val="auto"/>
          <w:sz w:val="24"/>
        </w:rPr>
        <w:t>。</w:t>
      </w:r>
    </w:p>
    <w:p>
      <w:pPr>
        <w:pStyle w:val="32"/>
        <w:spacing w:line="360" w:lineRule="auto"/>
        <w:rPr>
          <w:rFonts w:ascii="仿宋_GB2312" w:hAnsi="仿宋" w:eastAsia="仿宋_GB2312" w:cs="仿宋_GB2312"/>
          <w:b/>
          <w:color w:val="auto"/>
          <w:sz w:val="24"/>
          <w:szCs w:val="24"/>
        </w:rPr>
      </w:pP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6. </w:t>
      </w:r>
      <w:r>
        <w:rPr>
          <w:rFonts w:hint="eastAsia" w:ascii="仿宋_GB2312" w:hAnsi="仿宋" w:eastAsia="仿宋_GB2312" w:cs="仿宋_GB2312"/>
          <w:b/>
          <w:color w:val="auto"/>
          <w:sz w:val="24"/>
          <w:szCs w:val="24"/>
        </w:rPr>
        <w:t>招标文件的澄清、修改</w:t>
      </w:r>
    </w:p>
    <w:p>
      <w:pPr>
        <w:pStyle w:val="128"/>
        <w:snapToGrid w:val="0"/>
        <w:spacing w:before="0"/>
        <w:ind w:firstLine="420" w:firstLineChars="0"/>
        <w:rPr>
          <w:rFonts w:ascii="仿宋_GB2312" w:hAnsi="仿宋" w:eastAsia="仿宋_GB2312" w:cs="仿宋_GB2312"/>
          <w:color w:val="auto"/>
        </w:rPr>
      </w:pPr>
      <w:r>
        <w:rPr>
          <w:rFonts w:ascii="仿宋_GB2312" w:hAnsi="仿宋" w:eastAsia="仿宋_GB2312" w:cs="仿宋_GB2312"/>
          <w:color w:val="auto"/>
        </w:rPr>
        <w:t>6.1已获取招标文件的潜在投标人，若有问题需要澄清，应于投标截止时间前，以书面形式向采购机构提出。</w:t>
      </w:r>
    </w:p>
    <w:p>
      <w:pPr>
        <w:pStyle w:val="128"/>
        <w:snapToGrid w:val="0"/>
        <w:spacing w:before="0"/>
        <w:ind w:firstLine="420" w:firstLineChars="0"/>
        <w:rPr>
          <w:rFonts w:ascii="仿宋_GB2312" w:hAnsi="仿宋" w:eastAsia="仿宋_GB2312"/>
          <w:color w:val="auto"/>
        </w:rPr>
      </w:pPr>
      <w:r>
        <w:rPr>
          <w:rFonts w:ascii="仿宋_GB2312" w:hAnsi="仿宋" w:eastAsia="仿宋_GB2312"/>
          <w:color w:val="auto"/>
        </w:rPr>
        <w:t xml:space="preserve">6.2 </w:t>
      </w:r>
      <w:r>
        <w:rPr>
          <w:rFonts w:hint="eastAsia" w:ascii="仿宋_GB2312" w:hAnsi="仿宋" w:eastAsia="仿宋_GB2312"/>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color w:val="auto"/>
          <w:sz w:val="18"/>
          <w:szCs w:val="18"/>
          <w:lang w:val="en-US"/>
        </w:rPr>
      </w:pPr>
      <w:r>
        <w:rPr>
          <w:rFonts w:ascii="仿宋_GB2312" w:hAnsi="仿宋" w:eastAsia="仿宋_GB2312" w:cs="仿宋_GB2312"/>
          <w:color w:val="auto"/>
          <w:szCs w:val="24"/>
          <w:lang w:val="en-US"/>
        </w:rPr>
        <w:t xml:space="preserve">    </w:t>
      </w:r>
    </w:p>
    <w:p>
      <w:pPr>
        <w:adjustRightInd/>
        <w:spacing w:line="360" w:lineRule="auto"/>
        <w:jc w:val="center"/>
        <w:outlineLvl w:val="0"/>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7. </w:t>
      </w:r>
      <w:r>
        <w:rPr>
          <w:rFonts w:hint="eastAsia" w:ascii="仿宋_GB2312" w:hAnsi="仿宋" w:eastAsia="仿宋_GB2312" w:cs="仿宋_GB2312"/>
          <w:b/>
          <w:color w:val="auto"/>
          <w:sz w:val="24"/>
          <w:szCs w:val="24"/>
        </w:rPr>
        <w:t>招标文件的获取</w:t>
      </w:r>
    </w:p>
    <w:p>
      <w:pPr>
        <w:spacing w:line="360" w:lineRule="auto"/>
        <w:ind w:firstLine="42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pStyle w:val="32"/>
        <w:spacing w:line="360" w:lineRule="auto"/>
        <w:rPr>
          <w:rFonts w:ascii="仿宋_GB2312" w:hAnsi="仿宋" w:eastAsia="仿宋_GB2312" w:cs="仿宋_GB2312"/>
          <w:b/>
          <w:color w:val="auto"/>
          <w:sz w:val="24"/>
          <w:szCs w:val="24"/>
        </w:rPr>
      </w:pP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8.开标前答疑会或现场考察</w:t>
      </w:r>
    </w:p>
    <w:p>
      <w:pPr>
        <w:pStyle w:val="32"/>
        <w:spacing w:line="360" w:lineRule="auto"/>
        <w:ind w:firstLine="42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b/>
          <w:color w:val="auto"/>
          <w:kern w:val="28"/>
          <w:sz w:val="24"/>
          <w:szCs w:val="24"/>
        </w:rPr>
      </w:pPr>
    </w:p>
    <w:p>
      <w:pPr>
        <w:pStyle w:val="32"/>
        <w:spacing w:line="360" w:lineRule="auto"/>
        <w:rPr>
          <w:rFonts w:ascii="仿宋_GB2312" w:hAnsi="仿宋" w:eastAsia="仿宋_GB2312" w:cs="仿宋_GB2312"/>
          <w:b/>
          <w:color w:val="auto"/>
          <w:szCs w:val="24"/>
        </w:rPr>
      </w:pPr>
      <w:r>
        <w:rPr>
          <w:rFonts w:ascii="仿宋_GB2312" w:hAnsi="仿宋" w:eastAsia="仿宋_GB2312"/>
          <w:b/>
          <w:color w:val="auto"/>
          <w:kern w:val="28"/>
          <w:sz w:val="24"/>
          <w:szCs w:val="24"/>
        </w:rPr>
        <w:t>9.投标保证金</w:t>
      </w:r>
    </w:p>
    <w:p>
      <w:pPr>
        <w:pStyle w:val="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color w:val="auto"/>
          <w:sz w:val="24"/>
          <w:szCs w:val="24"/>
        </w:rPr>
      </w:pP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10. </w:t>
      </w:r>
      <w:r>
        <w:rPr>
          <w:rFonts w:hint="eastAsia" w:ascii="仿宋_GB2312" w:hAnsi="仿宋" w:eastAsia="仿宋_GB2312" w:cs="仿宋_GB2312"/>
          <w:b/>
          <w:color w:val="auto"/>
          <w:sz w:val="24"/>
          <w:szCs w:val="24"/>
        </w:rPr>
        <w:t>投标文件的语言</w:t>
      </w:r>
    </w:p>
    <w:p>
      <w:pP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pStyle w:val="32"/>
        <w:spacing w:line="360" w:lineRule="auto"/>
        <w:rPr>
          <w:rFonts w:ascii="仿宋_GB2312" w:hAnsi="仿宋" w:eastAsia="仿宋_GB2312" w:cs="仿宋_GB2312"/>
          <w:b/>
          <w:color w:val="auto"/>
          <w:sz w:val="24"/>
          <w:szCs w:val="24"/>
        </w:rPr>
      </w:pP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11. </w:t>
      </w:r>
      <w:r>
        <w:rPr>
          <w:rFonts w:hint="eastAsia" w:ascii="仿宋_GB2312" w:hAnsi="仿宋" w:eastAsia="仿宋_GB2312" w:cs="仿宋_GB2312"/>
          <w:b/>
          <w:color w:val="auto"/>
          <w:sz w:val="24"/>
          <w:szCs w:val="24"/>
        </w:rPr>
        <w:t>投标文件的组成</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b/>
          <w:color w:val="auto"/>
          <w:sz w:val="24"/>
        </w:rPr>
        <w:t>资格文件</w:t>
      </w:r>
      <w:r>
        <w:rPr>
          <w:rFonts w:hint="eastAsia"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11.1.2落实政府采购政策需满足的资格要求；</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11.1.3本项目的特定资格要求。</w:t>
      </w:r>
    </w:p>
    <w:p>
      <w:pPr>
        <w:snapToGrid w:val="0"/>
        <w:spacing w:line="360" w:lineRule="auto"/>
        <w:ind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11.2.1投标函；</w:t>
      </w:r>
      <w:r>
        <w:rPr>
          <w:rFonts w:ascii="仿宋_GB2312" w:hAnsi="仿宋" w:eastAsia="仿宋_GB2312" w:cs="仿宋_GB2312"/>
          <w:color w:val="auto"/>
          <w:sz w:val="24"/>
          <w:lang w:val="zh-CN"/>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11.2.3联合协议</w:t>
      </w:r>
      <w:r>
        <w:rPr>
          <w:rFonts w:hint="eastAsia" w:ascii="仿宋_GB2312" w:hAnsi="仿宋" w:eastAsia="仿宋_GB2312" w:cs="仿宋_GB2312"/>
          <w:color w:val="auto"/>
          <w:sz w:val="24"/>
          <w:lang w:eastAsia="zh-CN"/>
        </w:rPr>
        <w:t>（本项目不适用）</w:t>
      </w:r>
      <w:r>
        <w:rPr>
          <w:rFonts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11.2.4分包意向协议</w:t>
      </w:r>
      <w:r>
        <w:rPr>
          <w:rFonts w:hint="eastAsia" w:ascii="仿宋_GB2312" w:hAnsi="仿宋" w:eastAsia="仿宋_GB2312" w:cs="仿宋_GB2312"/>
          <w:color w:val="auto"/>
          <w:sz w:val="24"/>
          <w:lang w:eastAsia="zh-CN"/>
        </w:rPr>
        <w:t>（本项目不适用）</w:t>
      </w:r>
      <w:r>
        <w:rPr>
          <w:rFonts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11.2.5符合性审查资料；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11.2.6评标标准相应的商务技术资料；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11.2.7商务技术偏离表；</w:t>
      </w:r>
    </w:p>
    <w:p>
      <w:pPr>
        <w:snapToGrid w:val="0"/>
        <w:spacing w:line="360" w:lineRule="auto"/>
        <w:ind w:firstLine="960" w:firstLineChars="4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u w:val="single"/>
          <w:lang w:val="zh-CN"/>
        </w:rPr>
      </w:pPr>
      <w:r>
        <w:rPr>
          <w:rFonts w:ascii="仿宋_GB2312" w:hAnsi="仿宋" w:eastAsia="仿宋_GB2312" w:cs="仿宋_GB2312"/>
          <w:color w:val="auto"/>
          <w:kern w:val="0"/>
          <w:sz w:val="24"/>
          <w:lang w:val="zh-CN"/>
        </w:rPr>
        <w:t>11.</w:t>
      </w:r>
      <w:r>
        <w:rPr>
          <w:rFonts w:ascii="仿宋_GB2312" w:hAnsi="仿宋" w:eastAsia="仿宋_GB2312" w:cs="仿宋_GB2312"/>
          <w:color w:val="auto"/>
          <w:kern w:val="0"/>
          <w:sz w:val="24"/>
        </w:rPr>
        <w:t>3</w:t>
      </w:r>
      <w:r>
        <w:rPr>
          <w:rFonts w:hint="eastAsia" w:ascii="仿宋_GB2312" w:hAnsi="仿宋" w:eastAsia="仿宋_GB2312" w:cs="仿宋_GB2312"/>
          <w:b/>
          <w:color w:val="auto"/>
          <w:sz w:val="24"/>
        </w:rPr>
        <w:t>报价文件：</w:t>
      </w:r>
      <w:r>
        <w:rPr>
          <w:rFonts w:ascii="仿宋_GB2312" w:hAnsi="仿宋" w:eastAsia="仿宋_GB2312" w:cs="仿宋_GB2312"/>
          <w:color w:val="auto"/>
          <w:sz w:val="24"/>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w:t>
      </w:r>
      <w:r>
        <w:rPr>
          <w:rFonts w:hint="eastAsia" w:ascii="仿宋_GB2312" w:hAnsi="仿宋" w:eastAsia="仿宋_GB2312" w:cs="仿宋_GB2312"/>
          <w:color w:val="auto"/>
          <w:sz w:val="24"/>
          <w:lang w:val="en-US" w:eastAsia="zh-CN"/>
        </w:rPr>
        <w:t>2</w:t>
      </w:r>
      <w:r>
        <w:rPr>
          <w:rFonts w:ascii="仿宋_GB2312" w:hAnsi="仿宋" w:eastAsia="仿宋_GB2312" w:cs="仿宋_GB2312"/>
          <w:color w:val="auto"/>
          <w:sz w:val="24"/>
        </w:rPr>
        <w:t>开标一览表</w:t>
      </w:r>
      <w:r>
        <w:rPr>
          <w:rFonts w:hint="eastAsia" w:ascii="仿宋_GB2312" w:hAnsi="仿宋" w:eastAsia="仿宋_GB2312" w:cs="仿宋_GB2312"/>
          <w:color w:val="auto"/>
          <w:sz w:val="24"/>
          <w:lang w:eastAsia="zh-CN"/>
        </w:rPr>
        <w:t>附表</w:t>
      </w:r>
      <w:r>
        <w:rPr>
          <w:rFonts w:ascii="仿宋_GB2312" w:hAnsi="仿宋" w:eastAsia="仿宋_GB2312" w:cs="仿宋_GB2312"/>
          <w:color w:val="auto"/>
          <w:sz w:val="24"/>
        </w:rPr>
        <w:t>（</w:t>
      </w:r>
      <w:r>
        <w:rPr>
          <w:rFonts w:hint="eastAsia" w:ascii="仿宋_GB2312" w:hAnsi="仿宋" w:eastAsia="仿宋_GB2312" w:cs="仿宋_GB2312"/>
          <w:color w:val="auto"/>
          <w:sz w:val="24"/>
        </w:rPr>
        <w:t>投标报价明细表</w:t>
      </w:r>
      <w:r>
        <w:rPr>
          <w:rFonts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w:t>
      </w:r>
      <w:r>
        <w:rPr>
          <w:rFonts w:hint="eastAsia" w:ascii="仿宋_GB2312" w:hAnsi="仿宋" w:eastAsia="仿宋_GB2312" w:cs="仿宋_GB2312"/>
          <w:color w:val="auto"/>
          <w:sz w:val="24"/>
          <w:lang w:val="en-US" w:eastAsia="zh-CN"/>
        </w:rPr>
        <w:t>3</w:t>
      </w:r>
      <w:r>
        <w:rPr>
          <w:rFonts w:ascii="仿宋_GB2312" w:hAnsi="仿宋" w:eastAsia="仿宋_GB2312" w:cs="仿宋_GB2312"/>
          <w:color w:val="auto"/>
          <w:sz w:val="24"/>
        </w:rPr>
        <w:t>中小企业声明函。</w:t>
      </w:r>
    </w:p>
    <w:p>
      <w:pPr>
        <w:spacing w:line="360" w:lineRule="auto"/>
        <w:ind w:firstLine="42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pacing w:line="360" w:lineRule="auto"/>
        <w:ind w:firstLine="42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pStyle w:val="128"/>
        <w:snapToGrid w:val="0"/>
        <w:spacing w:before="0"/>
        <w:ind w:firstLine="0" w:firstLineChars="0"/>
        <w:outlineLvl w:val="0"/>
        <w:rPr>
          <w:rFonts w:ascii="仿宋_GB2312" w:hAnsi="仿宋" w:eastAsia="仿宋_GB2312" w:cs="仿宋_GB2312"/>
          <w:b/>
          <w:color w:val="auto"/>
          <w:szCs w:val="24"/>
        </w:rPr>
      </w:pPr>
    </w:p>
    <w:p>
      <w:pPr>
        <w:pStyle w:val="128"/>
        <w:snapToGrid w:val="0"/>
        <w:spacing w:before="0"/>
        <w:ind w:firstLine="0" w:firstLineChars="0"/>
        <w:outlineLvl w:val="0"/>
        <w:rPr>
          <w:rFonts w:ascii="仿宋_GB2312" w:hAnsi="仿宋" w:eastAsia="仿宋_GB2312" w:cs="仿宋_GB2312"/>
          <w:b/>
          <w:color w:val="auto"/>
          <w:szCs w:val="24"/>
        </w:rPr>
      </w:pPr>
      <w:r>
        <w:rPr>
          <w:rFonts w:ascii="仿宋_GB2312" w:hAnsi="仿宋" w:eastAsia="仿宋_GB2312" w:cs="仿宋_GB2312"/>
          <w:b/>
          <w:color w:val="auto"/>
          <w:szCs w:val="24"/>
        </w:rPr>
        <w:t>12</w:t>
      </w:r>
      <w:r>
        <w:rPr>
          <w:rFonts w:ascii="仿宋_GB2312" w:hAnsi="仿宋" w:eastAsia="仿宋_GB2312" w:cs="仿宋_GB2312"/>
          <w:b/>
          <w:color w:val="auto"/>
          <w:kern w:val="0"/>
          <w:szCs w:val="24"/>
          <w:lang w:val="zh-CN"/>
        </w:rPr>
        <w:t xml:space="preserve">. </w:t>
      </w:r>
      <w:r>
        <w:rPr>
          <w:rFonts w:hint="eastAsia" w:ascii="仿宋_GB2312" w:hAnsi="仿宋" w:eastAsia="仿宋_GB2312" w:cs="仿宋_GB2312"/>
          <w:b/>
          <w:color w:val="auto"/>
          <w:szCs w:val="24"/>
        </w:rPr>
        <w:t>投标文件的编制</w:t>
      </w:r>
    </w:p>
    <w:p>
      <w:pPr>
        <w:spacing w:line="360" w:lineRule="auto"/>
        <w:ind w:firstLine="480" w:firstLineChars="200"/>
        <w:rPr>
          <w:rFonts w:ascii="仿宋_GB2312" w:hAnsi="仿宋" w:eastAsia="仿宋_GB2312" w:cs="仿宋_GB2312"/>
          <w:b/>
          <w:color w:val="auto"/>
          <w:sz w:val="24"/>
        </w:rPr>
      </w:pPr>
      <w:r>
        <w:rPr>
          <w:rFonts w:ascii="仿宋_GB2312" w:hAnsi="仿宋" w:eastAsia="仿宋_GB2312" w:cs="仿宋_GB2312"/>
          <w:color w:val="auto"/>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12.2投标人进行电子投标应安装客户端软件—“政</w:t>
      </w:r>
      <w:r>
        <w:rPr>
          <w:rFonts w:hint="eastAsia" w:ascii="仿宋_GB2312" w:hAnsi="仿宋" w:eastAsia="仿宋_GB2312" w:cs="仿宋_GB2312"/>
          <w:color w:val="auto"/>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12.3使用“政</w:t>
      </w:r>
      <w:r>
        <w:rPr>
          <w:rFonts w:hint="eastAsia" w:ascii="仿宋_GB2312" w:hAnsi="仿宋" w:eastAsia="仿宋_GB2312" w:cs="仿宋_GB2312"/>
          <w:color w:val="auto"/>
          <w:kern w:val="0"/>
          <w:sz w:val="24"/>
          <w:lang w:val="zh-CN"/>
        </w:rPr>
        <w:t>采云电子交易客户端”需要提前申领</w:t>
      </w:r>
      <w:r>
        <w:rPr>
          <w:rFonts w:ascii="仿宋_GB2312" w:hAnsi="仿宋" w:eastAsia="仿宋_GB2312" w:cs="仿宋_GB2312"/>
          <w:color w:val="auto"/>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rPr>
      </w:pPr>
    </w:p>
    <w:p>
      <w:pPr>
        <w:snapToGrid w:val="0"/>
        <w:spacing w:line="360" w:lineRule="auto"/>
        <w:rPr>
          <w:rFonts w:ascii="仿宋_GB2312" w:hAnsi="仿宋" w:eastAsia="仿宋_GB2312"/>
          <w:b/>
          <w:color w:val="auto"/>
          <w:sz w:val="24"/>
        </w:rPr>
      </w:pPr>
      <w:r>
        <w:rPr>
          <w:rFonts w:ascii="仿宋_GB2312" w:hAnsi="仿宋" w:eastAsia="仿宋_GB2312"/>
          <w:b/>
          <w:color w:val="auto"/>
          <w:sz w:val="24"/>
        </w:rPr>
        <w:t>13.投标文件的签署、盖章</w:t>
      </w:r>
    </w:p>
    <w:p>
      <w:pPr>
        <w:pStyle w:val="128"/>
        <w:snapToGrid w:val="0"/>
        <w:spacing w:before="0"/>
        <w:ind w:firstLine="480"/>
        <w:rPr>
          <w:rFonts w:ascii="仿宋_GB2312" w:hAnsi="仿宋" w:eastAsia="仿宋_GB2312" w:cs="仿宋_GB2312"/>
          <w:color w:val="auto"/>
        </w:rPr>
      </w:pPr>
      <w:r>
        <w:rPr>
          <w:rFonts w:ascii="仿宋_GB2312" w:hAnsi="仿宋" w:eastAsia="仿宋_GB2312" w:cs="仿宋_GB2312"/>
          <w:color w:val="auto"/>
          <w:szCs w:val="24"/>
        </w:rPr>
        <w:t>13.1投标文件按照招标文件第六部分格式要</w:t>
      </w:r>
      <w:r>
        <w:rPr>
          <w:rFonts w:hint="eastAsia" w:ascii="仿宋_GB2312" w:hAnsi="仿宋" w:eastAsia="仿宋_GB2312" w:cs="仿宋_GB2312"/>
          <w:color w:val="auto"/>
        </w:rPr>
        <w:t>求进行签署、盖章。</w:t>
      </w:r>
    </w:p>
    <w:p>
      <w:pPr>
        <w:pStyle w:val="128"/>
        <w:snapToGrid w:val="0"/>
        <w:spacing w:before="0"/>
        <w:ind w:firstLine="482"/>
        <w:rPr>
          <w:rFonts w:ascii="仿宋_GB2312" w:hAnsi="仿宋" w:eastAsia="仿宋_GB2312" w:cs="仿宋_GB2312"/>
          <w:b/>
          <w:color w:val="auto"/>
        </w:rPr>
      </w:pPr>
      <w:r>
        <w:rPr>
          <w:rFonts w:hint="eastAsia" w:ascii="仿宋_GB2312" w:hAnsi="仿宋" w:eastAsia="仿宋_GB2312"/>
          <w:b/>
          <w:color w:val="auto"/>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pStyle w:val="128"/>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color w:val="auto"/>
          <w:szCs w:val="24"/>
        </w:rPr>
      </w:pPr>
      <w:r>
        <w:rPr>
          <w:rFonts w:ascii="仿宋_GB2312" w:hAnsi="仿宋" w:eastAsia="仿宋_GB2312" w:cs="仿宋_GB2312"/>
          <w:color w:val="auto"/>
        </w:rPr>
        <w:t>13.3招标文件对投标文件签署、盖章的要求适用于电子签名。</w:t>
      </w:r>
    </w:p>
    <w:p>
      <w:pPr>
        <w:pStyle w:val="128"/>
        <w:spacing w:before="0"/>
        <w:ind w:firstLine="0" w:firstLineChars="0"/>
        <w:rPr>
          <w:rFonts w:ascii="仿宋_GB2312" w:hAnsi="仿宋" w:eastAsia="仿宋_GB2312" w:cs="仿宋_GB2312"/>
          <w:b/>
          <w:color w:val="auto"/>
          <w:szCs w:val="24"/>
        </w:rPr>
      </w:pPr>
    </w:p>
    <w:p>
      <w:pPr>
        <w:snapToGrid w:val="0"/>
        <w:spacing w:line="360" w:lineRule="auto"/>
        <w:rPr>
          <w:rFonts w:ascii="仿宋_GB2312" w:hAnsi="仿宋" w:eastAsia="仿宋_GB2312"/>
          <w:b/>
          <w:color w:val="auto"/>
          <w:sz w:val="24"/>
        </w:rPr>
      </w:pPr>
      <w:r>
        <w:rPr>
          <w:rFonts w:ascii="仿宋_GB2312" w:hAnsi="仿宋" w:eastAsia="仿宋_GB2312"/>
          <w:b/>
          <w:color w:val="auto"/>
          <w:sz w:val="24"/>
        </w:rPr>
        <w:t xml:space="preserve">14. </w:t>
      </w:r>
      <w:r>
        <w:rPr>
          <w:rFonts w:hint="eastAsia" w:ascii="仿宋_GB2312" w:hAnsi="仿宋" w:eastAsia="仿宋_GB2312"/>
          <w:b/>
          <w:color w:val="auto"/>
          <w:sz w:val="24"/>
        </w:rPr>
        <w:t>投标文件的提交、补充、修改、撤回</w:t>
      </w:r>
    </w:p>
    <w:p>
      <w:pPr>
        <w:pStyle w:val="128"/>
        <w:spacing w:before="0"/>
        <w:ind w:firstLine="420" w:firstLineChars="0"/>
        <w:rPr>
          <w:rFonts w:ascii="仿宋_GB2312" w:hAnsi="仿宋" w:eastAsia="仿宋_GB2312" w:cs="仿宋_GB2312"/>
          <w:color w:val="auto"/>
          <w:szCs w:val="24"/>
        </w:rPr>
      </w:pPr>
      <w:r>
        <w:rPr>
          <w:rFonts w:ascii="仿宋_GB2312" w:hAnsi="仿宋" w:eastAsia="仿宋_GB2312" w:cs="仿宋_GB2312"/>
          <w:color w:val="auto"/>
          <w:szCs w:val="24"/>
        </w:rPr>
        <w:t xml:space="preserve">14.1 </w:t>
      </w:r>
      <w:r>
        <w:rPr>
          <w:rFonts w:hint="eastAsia" w:ascii="仿宋_GB2312" w:hAnsi="仿宋" w:eastAsia="仿宋_GB2312" w:cs="仿宋_GB2312"/>
          <w:color w:val="auto"/>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20" w:firstLineChars="0"/>
        <w:rPr>
          <w:rFonts w:ascii="仿宋_GB2312" w:hAnsi="仿宋" w:eastAsia="仿宋_GB2312" w:cs="仿宋_GB2312"/>
          <w:color w:val="auto"/>
          <w:szCs w:val="24"/>
        </w:rPr>
      </w:pPr>
      <w:r>
        <w:rPr>
          <w:rFonts w:ascii="仿宋_GB2312" w:hAnsi="仿宋" w:eastAsia="仿宋_GB2312" w:cs="仿宋_GB2312"/>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color w:val="auto"/>
          <w:sz w:val="24"/>
          <w:szCs w:val="24"/>
        </w:rPr>
      </w:pP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15.备份投标文件</w:t>
      </w:r>
    </w:p>
    <w:p>
      <w:pPr>
        <w:pStyle w:val="32"/>
        <w:spacing w:line="360" w:lineRule="auto"/>
        <w:ind w:firstLine="420"/>
        <w:rPr>
          <w:rFonts w:ascii="仿宋_GB2312" w:hAnsi="仿宋" w:eastAsia="仿宋_GB2312" w:cs="仿宋_GB2312"/>
          <w:b/>
          <w:color w:val="auto"/>
          <w:sz w:val="24"/>
          <w:szCs w:val="24"/>
        </w:rPr>
      </w:pPr>
      <w:r>
        <w:rPr>
          <w:rFonts w:ascii="仿宋_GB2312" w:hAnsi="仿宋" w:eastAsia="仿宋_GB2312" w:cs="仿宋_GB2312"/>
          <w:color w:val="auto"/>
          <w:sz w:val="24"/>
          <w:szCs w:val="24"/>
        </w:rPr>
        <w:t>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rPr>
        <w:t>但采购人、采购机构不强制或变相强制投标人提交备份投标文件。</w:t>
      </w:r>
    </w:p>
    <w:p>
      <w:pPr>
        <w:pStyle w:val="32"/>
        <w:spacing w:line="360" w:lineRule="auto"/>
        <w:ind w:firstLine="420"/>
        <w:rPr>
          <w:rFonts w:ascii="仿宋_GB2312" w:hAnsi="仿宋" w:eastAsia="仿宋_GB2312" w:cs="仿宋_GB2312"/>
          <w:b/>
          <w:color w:val="auto"/>
          <w:sz w:val="24"/>
          <w:szCs w:val="24"/>
        </w:rPr>
      </w:pPr>
      <w:r>
        <w:rPr>
          <w:rFonts w:ascii="仿宋_GB2312" w:hAnsi="仿宋" w:eastAsia="仿宋_GB2312" w:cs="仿宋_GB2312"/>
          <w:color w:val="auto"/>
          <w:sz w:val="24"/>
          <w:szCs w:val="24"/>
        </w:rPr>
        <w:t>15.2备份投标文件须在“政</w:t>
      </w:r>
      <w:r>
        <w:rPr>
          <w:rFonts w:hint="eastAsia" w:ascii="仿宋_GB2312" w:hAnsi="仿宋" w:eastAsia="仿宋_GB2312" w:cs="仿宋_GB2312"/>
          <w:color w:val="auto"/>
          <w:sz w:val="24"/>
          <w:szCs w:val="24"/>
        </w:rPr>
        <w:t>采云投标客户端”制作生成，并储存在</w:t>
      </w:r>
      <w:r>
        <w:rPr>
          <w:rFonts w:ascii="仿宋_GB2312" w:hAnsi="仿宋" w:eastAsia="仿宋_GB2312"/>
          <w:color w:val="auto"/>
          <w:sz w:val="24"/>
        </w:rPr>
        <w:t>DVD光盘</w:t>
      </w:r>
      <w:r>
        <w:rPr>
          <w:rFonts w:hint="eastAsia" w:ascii="仿宋_GB2312" w:hAnsi="仿宋" w:eastAsia="仿宋_GB2312" w:cs="仿宋_GB2312"/>
          <w:color w:val="auto"/>
          <w:sz w:val="24"/>
          <w:szCs w:val="24"/>
        </w:rPr>
        <w:t>中。备份投标文件应当密封包装并在包装上加盖公章并注明投标项目名称，投标人名称</w:t>
      </w:r>
      <w:r>
        <w:rPr>
          <w:rFonts w:ascii="仿宋_GB2312" w:hAnsi="仿宋" w:eastAsia="仿宋_GB2312" w:cs="仿宋_GB2312"/>
          <w:color w:val="auto"/>
          <w:sz w:val="24"/>
          <w:szCs w:val="24"/>
        </w:rPr>
        <w:t>(联合体投标的，包装物封面需注明联合体投标，并注明联合体成员各方的名称和联合协议中约定的牵头人的名称)。</w:t>
      </w:r>
      <w:r>
        <w:rPr>
          <w:rFonts w:hint="eastAsia" w:ascii="仿宋_GB2312" w:hAnsi="仿宋" w:eastAsia="仿宋_GB2312"/>
          <w:b/>
          <w:color w:val="auto"/>
          <w:sz w:val="24"/>
        </w:rPr>
        <w:t>不符合上述制作、</w:t>
      </w:r>
      <w:r>
        <w:rPr>
          <w:rFonts w:hint="eastAsia" w:ascii="仿宋_GB2312" w:hAnsi="仿宋" w:eastAsia="仿宋_GB2312" w:cs="仿宋_GB2312"/>
          <w:b/>
          <w:color w:val="auto"/>
          <w:sz w:val="24"/>
          <w:szCs w:val="24"/>
        </w:rPr>
        <w:t>存储、密封规定的备份投标文件将被视为无效或者被拒绝接收。</w:t>
      </w:r>
    </w:p>
    <w:p>
      <w:pPr>
        <w:pStyle w:val="32"/>
        <w:spacing w:line="360" w:lineRule="auto"/>
        <w:ind w:firstLine="420"/>
        <w:rPr>
          <w:rFonts w:ascii="仿宋_GB2312" w:hAnsi="仿宋" w:eastAsia="仿宋_GB2312" w:cs="仿宋_GB2312"/>
          <w:color w:val="auto"/>
          <w:sz w:val="24"/>
          <w:szCs w:val="24"/>
        </w:rPr>
      </w:pPr>
      <w:r>
        <w:rPr>
          <w:rFonts w:ascii="仿宋_GB2312" w:hAnsi="仿宋" w:eastAsia="仿宋_GB2312" w:cs="仿宋_GB2312"/>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20"/>
        <w:rPr>
          <w:rFonts w:ascii="仿宋_GB2312" w:hAnsi="仿宋" w:eastAsia="仿宋_GB2312" w:cs="仿宋_GB2312"/>
          <w:color w:val="auto"/>
          <w:sz w:val="24"/>
          <w:szCs w:val="24"/>
        </w:rPr>
      </w:pPr>
      <w:r>
        <w:rPr>
          <w:rFonts w:ascii="仿宋_GB2312" w:hAnsi="仿宋" w:eastAsia="仿宋_GB2312" w:cs="仿宋_GB2312"/>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rPr>
        <w:t>招标文件第二部分投标人须知前附表规定的备份投标文件送达地点；</w:t>
      </w:r>
      <w:r>
        <w:rPr>
          <w:rFonts w:hint="eastAsia" w:ascii="仿宋_GB2312" w:hAnsi="仿宋" w:eastAsia="仿宋_GB2312" w:cs="仿宋_GB2312"/>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color w:val="auto"/>
          <w:szCs w:val="24"/>
        </w:rPr>
      </w:pPr>
    </w:p>
    <w:p>
      <w:pPr>
        <w:pStyle w:val="128"/>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16.投标文件的无效处理</w:t>
      </w:r>
    </w:p>
    <w:p>
      <w:pPr>
        <w:pStyle w:val="2"/>
        <w:spacing w:line="360" w:lineRule="auto"/>
        <w:ind w:firstLine="360" w:firstLineChars="150"/>
        <w:rPr>
          <w:rFonts w:ascii="仿宋_GB2312" w:hAnsi="仿宋" w:eastAsia="仿宋_GB2312" w:cs="仿宋_GB2312"/>
          <w:color w:val="auto"/>
          <w:szCs w:val="21"/>
        </w:rPr>
      </w:pPr>
      <w:r>
        <w:rPr>
          <w:rFonts w:hint="eastAsia" w:ascii="仿宋_GB2312" w:hAnsi="仿宋" w:eastAsia="仿宋_GB2312" w:cs="仿宋_GB2312"/>
          <w:color w:val="auto"/>
          <w:szCs w:val="21"/>
        </w:rPr>
        <w:t>有招标文件第四部分</w:t>
      </w:r>
      <w:r>
        <w:rPr>
          <w:rFonts w:hint="eastAsia" w:ascii="仿宋_GB2312" w:hAnsi="仿宋" w:eastAsia="仿宋_GB2312"/>
          <w:color w:val="auto"/>
        </w:rPr>
        <w:t>第</w:t>
      </w:r>
      <w:r>
        <w:rPr>
          <w:rFonts w:hint="eastAsia" w:ascii="仿宋_GB2312" w:hAnsi="仿宋" w:eastAsia="仿宋_GB2312"/>
          <w:color w:val="auto"/>
          <w:lang w:val="en-US" w:eastAsia="zh-CN"/>
        </w:rPr>
        <w:t>4.2</w:t>
      </w:r>
      <w:r>
        <w:rPr>
          <w:rFonts w:ascii="仿宋_GB2312" w:hAnsi="仿宋" w:eastAsia="仿宋_GB2312"/>
          <w:color w:val="auto"/>
        </w:rPr>
        <w:t>项规定</w:t>
      </w:r>
      <w:r>
        <w:rPr>
          <w:rFonts w:hint="eastAsia" w:ascii="仿宋_GB2312" w:hAnsi="仿宋" w:eastAsia="仿宋_GB2312" w:cs="仿宋_GB2312"/>
          <w:color w:val="auto"/>
          <w:szCs w:val="21"/>
        </w:rPr>
        <w:t>的情形之一的，投标无效：</w:t>
      </w:r>
    </w:p>
    <w:p>
      <w:pPr>
        <w:pStyle w:val="128"/>
        <w:spacing w:before="0"/>
        <w:ind w:firstLine="0" w:firstLineChars="0"/>
        <w:rPr>
          <w:rFonts w:ascii="仿宋_GB2312" w:hAnsi="仿宋" w:eastAsia="仿宋_GB2312" w:cs="仿宋_GB2312"/>
          <w:b/>
          <w:color w:val="auto"/>
          <w:szCs w:val="24"/>
        </w:rPr>
      </w:pPr>
    </w:p>
    <w:p>
      <w:pPr>
        <w:pStyle w:val="128"/>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17.投标有效期</w:t>
      </w:r>
    </w:p>
    <w:p>
      <w:pPr>
        <w:spacing w:line="360" w:lineRule="auto"/>
        <w:ind w:firstLine="480" w:firstLineChars="200"/>
        <w:rPr>
          <w:rFonts w:ascii="仿宋_GB2312" w:hAnsi="仿宋" w:eastAsia="仿宋_GB2312" w:cs="仿宋_GB2312"/>
          <w:color w:val="auto"/>
          <w:sz w:val="24"/>
          <w:szCs w:val="20"/>
        </w:rPr>
      </w:pPr>
      <w:r>
        <w:rPr>
          <w:rFonts w:ascii="仿宋_GB2312" w:hAnsi="仿宋" w:eastAsia="仿宋_GB2312" w:cs="仿宋_GB2312"/>
          <w:color w:val="auto"/>
          <w:sz w:val="24"/>
          <w:szCs w:val="20"/>
        </w:rPr>
        <w:t>17.1投标有效期为从提交投标文件的截止之日起90天。</w:t>
      </w:r>
    </w:p>
    <w:p>
      <w:pP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pStyle w:val="128"/>
        <w:spacing w:before="0"/>
        <w:ind w:firstLine="480"/>
        <w:rPr>
          <w:rFonts w:ascii="仿宋_GB2312" w:hAnsi="仿宋" w:eastAsia="仿宋_GB2312" w:cs="仿宋_GB2312"/>
          <w:color w:val="auto"/>
        </w:rPr>
      </w:pPr>
      <w:r>
        <w:rPr>
          <w:rFonts w:ascii="仿宋_GB2312" w:hAnsi="仿宋" w:eastAsia="仿宋_GB2312" w:cs="仿宋_GB2312"/>
          <w:color w:val="auto"/>
        </w:rPr>
        <w:t>17.2投标文件合格投递后，自投标截止日期起，在投标有效期内有效。</w:t>
      </w:r>
    </w:p>
    <w:p>
      <w:pPr>
        <w:pStyle w:val="128"/>
        <w:spacing w:before="0"/>
        <w:ind w:firstLine="480"/>
        <w:rPr>
          <w:rFonts w:ascii="仿宋_GB2312" w:hAnsi="仿宋" w:eastAsia="仿宋_GB2312" w:cs="仿宋_GB2312"/>
          <w:color w:val="auto"/>
        </w:rPr>
      </w:pPr>
      <w:r>
        <w:rPr>
          <w:rFonts w:ascii="仿宋_GB2312" w:hAnsi="仿宋" w:eastAsia="仿宋_GB2312" w:cs="仿宋_GB2312"/>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color w:val="auto"/>
          <w:sz w:val="32"/>
        </w:rPr>
      </w:pPr>
    </w:p>
    <w:p>
      <w:pPr>
        <w:pStyle w:val="128"/>
        <w:spacing w:before="0"/>
        <w:ind w:firstLine="0" w:firstLineChars="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四、开标、资格审查与信用信息查询</w:t>
      </w:r>
    </w:p>
    <w:p>
      <w:pPr>
        <w:pStyle w:val="555"/>
        <w:spacing w:before="0" w:line="360" w:lineRule="auto"/>
        <w:ind w:left="0" w:firstLine="0"/>
        <w:contextualSpacing/>
        <w:rPr>
          <w:rFonts w:ascii="仿宋_GB2312" w:eastAsia="仿宋_GB2312"/>
          <w:color w:val="auto"/>
          <w:sz w:val="24"/>
        </w:rPr>
      </w:pPr>
      <w:r>
        <w:rPr>
          <w:rFonts w:ascii="仿宋_GB2312" w:hAnsi="仿宋" w:eastAsia="仿宋_GB2312" w:cs="仿宋_GB2312"/>
          <w:b/>
          <w:color w:val="auto"/>
          <w:sz w:val="24"/>
          <w:szCs w:val="24"/>
        </w:rPr>
        <w:t>18.开标</w:t>
      </w:r>
      <w:r>
        <w:rPr>
          <w:rFonts w:ascii="仿宋_GB2312" w:eastAsia="仿宋_GB2312"/>
          <w:color w:val="auto"/>
          <w:sz w:val="24"/>
        </w:rPr>
        <w:t xml:space="preserve"> </w:t>
      </w:r>
    </w:p>
    <w:p>
      <w:pPr>
        <w:pStyle w:val="555"/>
        <w:spacing w:before="0" w:line="360" w:lineRule="auto"/>
        <w:ind w:left="0" w:firstLine="420"/>
        <w:contextualSpacing/>
        <w:rPr>
          <w:rFonts w:ascii="仿宋_GB2312" w:hAnsi="仿宋" w:eastAsia="仿宋_GB2312" w:cs="仿宋_GB2312"/>
          <w:color w:val="auto"/>
          <w:sz w:val="24"/>
        </w:rPr>
      </w:pPr>
      <w:r>
        <w:rPr>
          <w:rFonts w:ascii="仿宋_GB2312" w:hAnsi="仿宋" w:eastAsia="仿宋_GB2312" w:cs="仿宋_GB2312"/>
          <w:color w:val="auto"/>
          <w:sz w:val="24"/>
        </w:rPr>
        <w:t>18.1采购机构按照招标文件规定的时间通过电子交易平台组织开标，所有投标人均应当准时在线参加。投标人不足3家的，不得开标。</w:t>
      </w:r>
    </w:p>
    <w:p>
      <w:pPr>
        <w:pStyle w:val="555"/>
        <w:spacing w:before="0" w:line="360" w:lineRule="auto"/>
        <w:ind w:left="0" w:firstLine="420"/>
        <w:contextualSpacing/>
        <w:rPr>
          <w:rFonts w:ascii="仿宋_GB2312" w:hAnsi="仿宋" w:eastAsia="仿宋_GB2312" w:cs="仿宋_GB2312"/>
          <w:color w:val="auto"/>
          <w:sz w:val="24"/>
        </w:rPr>
      </w:pPr>
      <w:r>
        <w:rPr>
          <w:rFonts w:ascii="仿宋_GB2312" w:hAnsi="仿宋" w:eastAsia="仿宋_GB2312" w:cs="仿宋_GB2312"/>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420"/>
        <w:contextualSpacing/>
        <w:rPr>
          <w:rFonts w:ascii="仿宋_GB2312" w:hAnsi="仿宋" w:eastAsia="仿宋_GB2312" w:cs="仿宋_GB2312"/>
          <w:b/>
          <w:color w:val="auto"/>
          <w:sz w:val="24"/>
        </w:rPr>
      </w:pPr>
      <w:r>
        <w:rPr>
          <w:rFonts w:ascii="仿宋_GB2312" w:hAnsi="仿宋" w:eastAsia="仿宋_GB2312" w:cs="仿宋_GB2312"/>
          <w:color w:val="auto"/>
          <w:sz w:val="24"/>
        </w:rPr>
        <w:t>18.3</w:t>
      </w:r>
      <w:r>
        <w:rPr>
          <w:rFonts w:hint="eastAsia" w:ascii="仿宋_GB2312" w:hAnsi="仿宋" w:eastAsia="仿宋_GB2312" w:cs="仿宋_GB2312"/>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rPr>
      </w:pPr>
      <w:r>
        <w:rPr>
          <w:rFonts w:ascii="仿宋_GB2312" w:hAnsi="仿宋" w:eastAsia="仿宋_GB2312" w:cs="仿宋_GB2312"/>
          <w:b/>
          <w:color w:val="auto"/>
          <w:sz w:val="24"/>
          <w:szCs w:val="20"/>
        </w:rPr>
        <w:t>19</w:t>
      </w:r>
      <w:r>
        <w:rPr>
          <w:rFonts w:hint="eastAsia" w:ascii="仿宋_GB2312" w:hAnsi="仿宋" w:eastAsia="仿宋_GB2312" w:cs="仿宋_GB2312"/>
          <w:b/>
          <w:color w:val="auto"/>
          <w:sz w:val="24"/>
          <w:szCs w:val="20"/>
        </w:rPr>
        <w:t>.</w:t>
      </w:r>
      <w:r>
        <w:rPr>
          <w:rFonts w:ascii="仿宋_GB2312" w:hAnsi="仿宋" w:eastAsia="仿宋_GB2312" w:cs="仿宋_GB2312"/>
          <w:b/>
          <w:color w:val="auto"/>
          <w:sz w:val="24"/>
          <w:szCs w:val="20"/>
        </w:rPr>
        <w:t>资格审查</w:t>
      </w:r>
    </w:p>
    <w:p>
      <w:pPr>
        <w:pStyle w:val="128"/>
        <w:spacing w:before="0"/>
        <w:ind w:firstLine="420" w:firstLineChars="0"/>
        <w:rPr>
          <w:rFonts w:ascii="仿宋_GB2312" w:hAnsi="仿宋" w:eastAsia="仿宋_GB2312" w:cs="Arial"/>
          <w:color w:val="auto"/>
          <w:kern w:val="0"/>
          <w:szCs w:val="24"/>
        </w:rPr>
      </w:pPr>
      <w:r>
        <w:rPr>
          <w:rFonts w:ascii="仿宋_GB2312" w:hAnsi="仿宋" w:eastAsia="仿宋_GB2312" w:cs="Arial"/>
          <w:color w:val="auto"/>
          <w:kern w:val="0"/>
          <w:szCs w:val="24"/>
        </w:rPr>
        <w:t>19.1开标后，采购人或采购机构将依法对投标人的资格进行审查。</w:t>
      </w:r>
    </w:p>
    <w:p>
      <w:pPr>
        <w:snapToGrid w:val="0"/>
        <w:spacing w:line="360" w:lineRule="auto"/>
        <w:ind w:firstLine="420"/>
        <w:rPr>
          <w:rFonts w:ascii="仿宋_GB2312" w:hAnsi="仿宋" w:eastAsia="仿宋_GB2312" w:cs="仿宋_GB2312"/>
          <w:color w:val="auto"/>
          <w:sz w:val="24"/>
        </w:rPr>
      </w:pPr>
      <w:r>
        <w:rPr>
          <w:rFonts w:ascii="仿宋_GB2312" w:hAnsi="仿宋" w:eastAsia="仿宋_GB2312" w:cs="Arial"/>
          <w:color w:val="auto"/>
          <w:kern w:val="0"/>
          <w:sz w:val="24"/>
        </w:rPr>
        <w:t>19.2</w:t>
      </w:r>
      <w:r>
        <w:rPr>
          <w:rFonts w:hint="eastAsia" w:ascii="仿宋_GB2312" w:hAnsi="仿宋" w:eastAsia="仿宋_GB2312" w:cs="仿宋_GB2312"/>
          <w:color w:val="auto"/>
          <w:sz w:val="24"/>
        </w:rPr>
        <w:t>采购人或采购机构依据法律法规和招标文件的规定，对投标人的基本资格条件、特定资格条件进行审查。</w:t>
      </w:r>
    </w:p>
    <w:p>
      <w:pPr>
        <w:pStyle w:val="128"/>
        <w:spacing w:before="0"/>
        <w:ind w:firstLine="420" w:firstLineChars="0"/>
        <w:rPr>
          <w:rFonts w:ascii="仿宋_GB2312" w:hAnsi="仿宋" w:eastAsia="仿宋_GB2312" w:cs="仿宋_GB2312"/>
          <w:color w:val="auto"/>
        </w:rPr>
      </w:pPr>
      <w:r>
        <w:rPr>
          <w:rFonts w:ascii="仿宋_GB2312" w:hAnsi="仿宋" w:eastAsia="仿宋_GB2312" w:cs="Arial"/>
          <w:color w:val="auto"/>
          <w:kern w:val="0"/>
          <w:szCs w:val="24"/>
        </w:rPr>
        <w:t>19.3投标人未按照招标文件要求提供与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Arial"/>
          <w:color w:val="auto"/>
          <w:kern w:val="0"/>
          <w:szCs w:val="24"/>
        </w:rPr>
        <w:t>有效资格证明材料的，视为</w:t>
      </w:r>
      <w:r>
        <w:rPr>
          <w:rFonts w:hint="eastAsia" w:ascii="仿宋_GB2312" w:hAnsi="仿宋" w:eastAsia="仿宋_GB2312" w:cs="仿宋_GB2312"/>
          <w:color w:val="auto"/>
        </w:rPr>
        <w:t>投标人不具备招标文件中规定的资格要求，其投标无效。</w:t>
      </w:r>
    </w:p>
    <w:p>
      <w:pPr>
        <w:pStyle w:val="128"/>
        <w:spacing w:before="0"/>
        <w:ind w:firstLine="420" w:firstLineChars="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4对未通过资格审查的投标人，采购人或采购机构告知其未通过的原因。</w:t>
      </w:r>
    </w:p>
    <w:p>
      <w:pPr>
        <w:pStyle w:val="128"/>
        <w:spacing w:before="0"/>
        <w:ind w:firstLine="420" w:firstLineChars="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5合格投标人不足3家的，不再评标。</w:t>
      </w:r>
    </w:p>
    <w:p>
      <w:pPr>
        <w:pStyle w:val="128"/>
        <w:spacing w:before="0"/>
        <w:ind w:firstLine="0" w:firstLineChars="0"/>
        <w:rPr>
          <w:rFonts w:ascii="仿宋_GB2312" w:hAnsi="仿宋" w:eastAsia="仿宋_GB2312" w:cs="仿宋_GB2312"/>
          <w:b/>
          <w:color w:val="auto"/>
          <w:szCs w:val="24"/>
        </w:rPr>
      </w:pPr>
    </w:p>
    <w:p>
      <w:pPr>
        <w:pStyle w:val="128"/>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20</w:t>
      </w:r>
      <w:r>
        <w:rPr>
          <w:rFonts w:hint="eastAsia" w:ascii="仿宋_GB2312" w:hAnsi="仿宋" w:eastAsia="仿宋_GB2312" w:cs="仿宋_GB2312"/>
          <w:b/>
          <w:color w:val="auto"/>
          <w:szCs w:val="24"/>
        </w:rPr>
        <w:t>.</w:t>
      </w:r>
      <w:r>
        <w:rPr>
          <w:rFonts w:ascii="仿宋_GB2312" w:hAnsi="仿宋" w:eastAsia="仿宋_GB2312" w:cs="仿宋_GB2312"/>
          <w:b/>
          <w:color w:val="auto"/>
          <w:szCs w:val="24"/>
        </w:rPr>
        <w:t>信用信息查询</w:t>
      </w:r>
    </w:p>
    <w:p>
      <w:pPr>
        <w:pStyle w:val="128"/>
        <w:spacing w:before="0"/>
        <w:ind w:firstLine="420" w:firstLineChars="0"/>
        <w:rPr>
          <w:rFonts w:ascii="仿宋_GB2312" w:hAnsi="仿宋" w:eastAsia="仿宋_GB2312" w:cs="Arial"/>
          <w:color w:val="auto"/>
          <w:kern w:val="0"/>
          <w:szCs w:val="24"/>
        </w:rPr>
      </w:pPr>
      <w:r>
        <w:rPr>
          <w:rFonts w:ascii="仿宋_GB2312" w:hAnsi="仿宋" w:eastAsia="仿宋_GB2312" w:cs="Arial"/>
          <w:color w:val="auto"/>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20" w:firstLineChars="0"/>
        <w:rPr>
          <w:rFonts w:ascii="仿宋_GB2312" w:hAnsi="仿宋" w:eastAsia="仿宋_GB2312" w:cs="Arial"/>
          <w:color w:val="auto"/>
          <w:kern w:val="0"/>
          <w:szCs w:val="24"/>
        </w:rPr>
      </w:pPr>
      <w:r>
        <w:rPr>
          <w:rFonts w:ascii="仿宋_GB2312" w:hAnsi="仿宋" w:eastAsia="仿宋_GB2312" w:cs="Arial"/>
          <w:color w:val="auto"/>
          <w:kern w:val="0"/>
          <w:szCs w:val="24"/>
        </w:rPr>
        <w:t>20.2信用信息查询记录和证据留存的具体方式：现场查询的投标人的信用记录、查询结果经确认后将与</w:t>
      </w:r>
      <w:r>
        <w:rPr>
          <w:rFonts w:hint="eastAsia" w:ascii="仿宋_GB2312" w:hAnsi="仿宋" w:eastAsia="仿宋_GB2312" w:cs="Arial"/>
          <w:color w:val="auto"/>
          <w:kern w:val="0"/>
          <w:szCs w:val="24"/>
          <w:lang w:eastAsia="zh-CN"/>
        </w:rPr>
        <w:t>招标文件</w:t>
      </w:r>
      <w:r>
        <w:rPr>
          <w:rFonts w:ascii="仿宋_GB2312" w:hAnsi="仿宋" w:eastAsia="仿宋_GB2312" w:cs="Arial"/>
          <w:color w:val="auto"/>
          <w:kern w:val="0"/>
          <w:szCs w:val="24"/>
        </w:rPr>
        <w:t>一起存档。</w:t>
      </w:r>
    </w:p>
    <w:p>
      <w:pPr>
        <w:pStyle w:val="128"/>
        <w:spacing w:before="0"/>
        <w:ind w:firstLine="420" w:firstLineChars="0"/>
        <w:rPr>
          <w:rFonts w:ascii="仿宋_GB2312" w:hAnsi="仿宋" w:eastAsia="仿宋_GB2312" w:cs="Arial"/>
          <w:color w:val="auto"/>
          <w:kern w:val="0"/>
          <w:szCs w:val="24"/>
        </w:rPr>
      </w:pPr>
      <w:r>
        <w:rPr>
          <w:rFonts w:ascii="仿宋_GB2312" w:hAnsi="仿宋" w:eastAsia="仿宋_GB2312" w:cs="Arial"/>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20" w:firstLineChars="0"/>
        <w:rPr>
          <w:rFonts w:ascii="仿宋_GB2312" w:hAnsi="仿宋" w:eastAsia="仿宋_GB2312" w:cs="Arial"/>
          <w:color w:val="auto"/>
          <w:kern w:val="0"/>
          <w:szCs w:val="24"/>
        </w:rPr>
      </w:pPr>
      <w:r>
        <w:rPr>
          <w:rFonts w:ascii="仿宋_GB2312" w:hAnsi="仿宋" w:eastAsia="仿宋_GB2312" w:cs="Arial"/>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Arial"/>
          <w:color w:val="auto"/>
          <w:kern w:val="0"/>
          <w:szCs w:val="24"/>
        </w:rPr>
        <w:t>。</w:t>
      </w:r>
    </w:p>
    <w:p>
      <w:pPr>
        <w:pStyle w:val="128"/>
        <w:spacing w:before="0"/>
        <w:ind w:firstLine="0" w:firstLineChars="0"/>
        <w:rPr>
          <w:rFonts w:ascii="仿宋_GB2312" w:hAnsi="仿宋" w:eastAsia="仿宋_GB2312" w:cs="Arial"/>
          <w:color w:val="auto"/>
          <w:kern w:val="0"/>
          <w:szCs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spacing w:line="360" w:lineRule="auto"/>
        <w:rPr>
          <w:rFonts w:ascii="仿宋_GB2312" w:hAnsi="仿宋" w:eastAsia="仿宋_GB2312" w:cs="仿宋_GB2312"/>
          <w:b/>
          <w:color w:val="auto"/>
          <w:sz w:val="24"/>
        </w:rPr>
      </w:pPr>
      <w:bookmarkStart w:id="17" w:name="_Toc91899903"/>
      <w:r>
        <w:rPr>
          <w:rFonts w:ascii="仿宋_GB2312" w:hAnsi="仿宋" w:eastAsia="仿宋_GB2312" w:cs="仿宋_GB2312"/>
          <w:b/>
          <w:color w:val="auto"/>
          <w:sz w:val="24"/>
        </w:rPr>
        <w:t>21.</w:t>
      </w:r>
      <w:r>
        <w:rPr>
          <w:rFonts w:ascii="仿宋_GB2312" w:eastAsia="仿宋_GB2312"/>
          <w:color w:val="auto"/>
        </w:rPr>
        <w:t xml:space="preserve"> </w:t>
      </w:r>
      <w:r>
        <w:rPr>
          <w:rFonts w:hint="eastAsia" w:ascii="仿宋_GB2312" w:hAnsi="仿宋"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rPr>
        <w:t>详见招标文件第四部分评标办法。</w:t>
      </w:r>
    </w:p>
    <w:p>
      <w:pPr>
        <w:spacing w:line="360" w:lineRule="auto"/>
        <w:rPr>
          <w:rFonts w:ascii="仿宋_GB2312" w:hAnsi="仿宋" w:eastAsia="仿宋_GB2312" w:cs="仿宋_GB2312"/>
          <w:b/>
          <w:color w:val="auto"/>
          <w:sz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标</w:t>
      </w:r>
    </w:p>
    <w:p>
      <w:pPr>
        <w:pStyle w:val="2"/>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22. </w:t>
      </w:r>
      <w:r>
        <w:rPr>
          <w:rFonts w:hint="eastAsia" w:ascii="仿宋_GB2312" w:hAnsi="仿宋" w:eastAsia="仿宋_GB2312" w:cs="仿宋_GB2312"/>
          <w:b/>
          <w:color w:val="auto"/>
        </w:rPr>
        <w:t>确定中标供应商</w:t>
      </w:r>
    </w:p>
    <w:p>
      <w:pPr>
        <w:pStyle w:val="128"/>
        <w:snapToGrid w:val="0"/>
        <w:spacing w:before="0"/>
        <w:ind w:firstLine="480"/>
        <w:rPr>
          <w:rFonts w:ascii="仿宋_GB2312" w:hAnsi="仿宋" w:eastAsia="仿宋_GB2312" w:cs="仿宋_GB2312"/>
          <w:b/>
          <w:color w:val="auto"/>
          <w:szCs w:val="24"/>
        </w:rPr>
      </w:pPr>
      <w:r>
        <w:rPr>
          <w:rFonts w:hint="eastAsia" w:ascii="仿宋_GB2312" w:hAnsi="仿宋" w:eastAsia="仿宋_GB2312" w:cs="仿宋_GB2312"/>
          <w:color w:val="auto"/>
          <w:szCs w:val="24"/>
        </w:rPr>
        <w:t>采购人将自收到评审报告之日起</w:t>
      </w:r>
      <w:r>
        <w:rPr>
          <w:rFonts w:ascii="仿宋_GB2312" w:hAnsi="仿宋" w:eastAsia="仿宋_GB2312" w:cs="仿宋_GB2312"/>
          <w:color w:val="auto"/>
          <w:szCs w:val="24"/>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color w:val="auto"/>
          <w:szCs w:val="24"/>
        </w:rPr>
      </w:pPr>
    </w:p>
    <w:p>
      <w:pPr>
        <w:pStyle w:val="128"/>
        <w:snapToGrid w:val="0"/>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23. </w:t>
      </w:r>
      <w:r>
        <w:rPr>
          <w:rFonts w:hint="eastAsia" w:ascii="仿宋_GB2312" w:hAnsi="仿宋" w:eastAsia="仿宋_GB2312" w:cs="仿宋_GB2312"/>
          <w:b/>
          <w:color w:val="auto"/>
          <w:szCs w:val="24"/>
        </w:rPr>
        <w:t>中标通知与中标结果公告</w:t>
      </w:r>
    </w:p>
    <w:p>
      <w:pPr>
        <w:widowControl/>
        <w:shd w:val="clear" w:color="auto" w:fill="FFFFFF"/>
        <w:spacing w:line="360" w:lineRule="auto"/>
        <w:ind w:firstLine="420"/>
        <w:jc w:val="left"/>
        <w:rPr>
          <w:rFonts w:ascii="仿宋_GB2312" w:hAnsi="仿宋" w:eastAsia="仿宋_GB2312" w:cs="仿宋_GB2312"/>
          <w:color w:val="auto"/>
          <w:sz w:val="24"/>
        </w:rPr>
      </w:pPr>
      <w:r>
        <w:rPr>
          <w:rFonts w:ascii="仿宋_GB2312" w:hAnsi="仿宋" w:eastAsia="仿宋_GB2312" w:cs="仿宋_GB2312"/>
          <w:color w:val="auto"/>
          <w:sz w:val="24"/>
        </w:rPr>
        <w:t>23.1自中标人确定之日起2个工作日内，采购机构通过电子交易平台向中标人发出中标通知书，</w:t>
      </w:r>
      <w:r>
        <w:rPr>
          <w:rFonts w:hint="eastAsia" w:ascii="仿宋_GB2312" w:hAnsi="仿宋" w:eastAsia="仿宋_GB2312" w:cs="仿宋_GB2312"/>
          <w:color w:val="auto"/>
          <w:sz w:val="24"/>
        </w:rPr>
        <w:t>同时编制发布采购结果公告。采购机构也可以以纸质形式进行中标通知。</w:t>
      </w:r>
    </w:p>
    <w:p>
      <w:pPr>
        <w:widowControl/>
        <w:shd w:val="clear" w:color="auto" w:fill="FFFFFF"/>
        <w:spacing w:line="360" w:lineRule="auto"/>
        <w:ind w:firstLine="420"/>
        <w:jc w:val="left"/>
        <w:rPr>
          <w:rFonts w:ascii="仿宋_GB2312" w:hAnsi="仿宋" w:eastAsia="仿宋_GB2312" w:cs="仿宋_GB2312"/>
          <w:color w:val="auto"/>
          <w:sz w:val="24"/>
        </w:rPr>
      </w:pPr>
      <w:r>
        <w:rPr>
          <w:rFonts w:ascii="仿宋_GB2312" w:hAnsi="仿宋" w:eastAsia="仿宋_GB2312" w:cs="仿宋_GB2312"/>
          <w:color w:val="auto"/>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rPr>
        <w:t>的名称、规格型号、数量、单价、服务要求，开标记录、未中标情况说明、中标公告期限以及评审专家名单、评分汇总及明细。</w:t>
      </w:r>
    </w:p>
    <w:p>
      <w:pPr>
        <w:widowControl/>
        <w:shd w:val="clear" w:color="auto" w:fill="FFFFFF"/>
        <w:spacing w:line="360" w:lineRule="auto"/>
        <w:ind w:firstLine="420"/>
        <w:jc w:val="left"/>
        <w:rPr>
          <w:rFonts w:ascii="仿宋_GB2312" w:hAnsi="仿宋" w:eastAsia="仿宋_GB2312" w:cs="仿宋_GB2312"/>
          <w:color w:val="auto"/>
          <w:sz w:val="24"/>
        </w:rPr>
      </w:pPr>
      <w:r>
        <w:rPr>
          <w:rFonts w:ascii="仿宋_GB2312" w:hAnsi="仿宋" w:eastAsia="仿宋_GB2312" w:cs="仿宋_GB2312"/>
          <w:color w:val="auto"/>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rPr>
      </w:pPr>
    </w:p>
    <w:p>
      <w:pPr>
        <w:snapToGrid w:val="0"/>
        <w:spacing w:line="360" w:lineRule="auto"/>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七、合同授予</w:t>
      </w:r>
    </w:p>
    <w:p>
      <w:pPr>
        <w:pStyle w:val="2"/>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24. </w:t>
      </w:r>
      <w:r>
        <w:rPr>
          <w:rFonts w:hint="eastAsia" w:ascii="仿宋_GB2312" w:hAnsi="仿宋" w:eastAsia="仿宋_GB2312" w:cs="仿宋_GB2312"/>
          <w:color w:val="auto"/>
        </w:rPr>
        <w:t>合同主要条款详见第五部分拟签订的合同文本。</w:t>
      </w:r>
    </w:p>
    <w:p>
      <w:pPr>
        <w:pStyle w:val="2"/>
        <w:spacing w:line="360" w:lineRule="auto"/>
        <w:ind w:left="479" w:hanging="479" w:hangingChars="199"/>
        <w:rPr>
          <w:rFonts w:ascii="仿宋_GB2312" w:hAnsi="仿宋" w:eastAsia="仿宋_GB2312" w:cs="仿宋_GB2312"/>
          <w:b/>
          <w:color w:val="auto"/>
        </w:rPr>
      </w:pPr>
    </w:p>
    <w:p>
      <w:pPr>
        <w:pStyle w:val="2"/>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25. </w:t>
      </w:r>
      <w:r>
        <w:rPr>
          <w:rFonts w:hint="eastAsia" w:ascii="仿宋_GB2312" w:hAnsi="仿宋" w:eastAsia="仿宋_GB2312" w:cs="仿宋_GB2312"/>
          <w:b/>
          <w:color w:val="auto"/>
        </w:rPr>
        <w:t>合同的签订</w:t>
      </w:r>
    </w:p>
    <w:p>
      <w:pPr>
        <w:widowControl/>
        <w:shd w:val="clear" w:color="auto" w:fill="FFFFFF"/>
        <w:spacing w:line="360" w:lineRule="auto"/>
        <w:ind w:firstLine="420"/>
        <w:jc w:val="left"/>
        <w:rPr>
          <w:rFonts w:ascii="仿宋_GB2312" w:hAnsi="仿宋" w:eastAsia="仿宋_GB2312" w:cs="Arial"/>
          <w:color w:val="auto"/>
          <w:kern w:val="0"/>
          <w:sz w:val="24"/>
        </w:rPr>
      </w:pPr>
      <w:r>
        <w:rPr>
          <w:rFonts w:ascii="仿宋_GB2312" w:hAnsi="仿宋" w:eastAsia="仿宋_GB2312" w:cs="仿宋_GB2312"/>
          <w:color w:val="auto"/>
          <w:sz w:val="24"/>
        </w:rPr>
        <w:t>25.1</w:t>
      </w:r>
      <w:r>
        <w:rPr>
          <w:rFonts w:ascii="仿宋_GB2312" w:hAnsi="仿宋" w:eastAsia="仿宋_GB2312" w:cs="Arial"/>
          <w:color w:val="auto"/>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rPr>
        <w:t>合同签订之日起2个工作日</w:t>
      </w:r>
      <w:r>
        <w:rPr>
          <w:rFonts w:ascii="仿宋_GB2312" w:hAnsi="仿宋" w:eastAsia="仿宋_GB2312" w:cs="Arial"/>
          <w:color w:val="auto"/>
          <w:kern w:val="0"/>
          <w:sz w:val="24"/>
        </w:rPr>
        <w:t>内依法发布合同公告。</w:t>
      </w:r>
    </w:p>
    <w:p>
      <w:pPr>
        <w:pStyle w:val="128"/>
        <w:snapToGrid w:val="0"/>
        <w:spacing w:before="0"/>
        <w:ind w:firstLine="420" w:firstLineChars="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20" w:firstLineChars="0"/>
        <w:rPr>
          <w:rFonts w:ascii="仿宋_GB2312" w:hAnsi="仿宋" w:eastAsia="仿宋_GB2312" w:cs="仿宋_GB2312"/>
          <w:color w:val="auto"/>
          <w:kern w:val="0"/>
          <w:lang w:val="zh-CN"/>
        </w:rPr>
      </w:pPr>
      <w:r>
        <w:rPr>
          <w:rFonts w:ascii="仿宋_GB2312" w:hAnsi="仿宋" w:eastAsia="仿宋_GB2312" w:cs="仿宋_GB2312"/>
          <w:color w:val="auto"/>
          <w:kern w:val="0"/>
          <w:lang w:val="zh-CN"/>
        </w:rPr>
        <w:t>25.3如签订合同并生效后，供应商无故拒绝或延期，除按照合同条款处理外，列入不良行为记录一次，并给予通报。</w:t>
      </w:r>
    </w:p>
    <w:p>
      <w:pPr>
        <w:pStyle w:val="128"/>
        <w:snapToGrid w:val="0"/>
        <w:spacing w:before="0"/>
        <w:ind w:firstLine="420" w:firstLineChars="0"/>
        <w:rPr>
          <w:rFonts w:ascii="仿宋_GB2312" w:hAnsi="仿宋" w:eastAsia="仿宋_GB2312" w:cs="仿宋_GB2312"/>
          <w:color w:val="auto"/>
          <w:kern w:val="0"/>
          <w:lang w:val="zh-CN"/>
        </w:rPr>
      </w:pPr>
      <w:r>
        <w:rPr>
          <w:rFonts w:ascii="仿宋_GB2312" w:hAnsi="仿宋" w:eastAsia="仿宋_GB2312" w:cs="仿宋_GB2312"/>
          <w:color w:val="auto"/>
          <w:kern w:val="0"/>
          <w:lang w:val="zh-CN"/>
        </w:rPr>
        <w:t>25.4中标供应</w:t>
      </w:r>
      <w:r>
        <w:rPr>
          <w:rFonts w:hint="eastAsia" w:ascii="仿宋_GB2312" w:hAnsi="仿宋" w:eastAsia="仿宋_GB2312" w:cs="仿宋_GB2312"/>
          <w:color w:val="auto"/>
          <w:kern w:val="0"/>
          <w:lang w:val="zh-CN"/>
        </w:rPr>
        <w:t>商拒绝与采购人签订合同的，采购人可以按照评审报告推荐的中标或者成交候选人名单排序，确定下一候选人为中标供应商，也可以重新开展政府采购活动。</w:t>
      </w:r>
    </w:p>
    <w:p>
      <w:pPr>
        <w:pStyle w:val="128"/>
        <w:snapToGrid w:val="0"/>
        <w:spacing w:before="0"/>
        <w:ind w:firstLine="420" w:firstLineChars="0"/>
        <w:rPr>
          <w:rFonts w:ascii="仿宋_GB2312" w:hAnsi="仿宋" w:eastAsia="仿宋_GB2312" w:cs="仿宋_GB2312"/>
          <w:color w:val="auto"/>
          <w:kern w:val="0"/>
          <w:lang w:val="zh-CN"/>
        </w:rPr>
      </w:pPr>
      <w:r>
        <w:rPr>
          <w:rFonts w:ascii="仿宋_GB2312" w:hAnsi="仿宋" w:eastAsia="仿宋_GB2312" w:cs="仿宋_GB2312"/>
          <w:color w:val="auto"/>
          <w:kern w:val="0"/>
          <w:lang w:val="zh-CN"/>
        </w:rPr>
        <w:t>25.5采购合同由采购人与中标供应商根据</w:t>
      </w:r>
      <w:r>
        <w:rPr>
          <w:rFonts w:hint="eastAsia" w:ascii="仿宋_GB2312" w:hAnsi="仿宋" w:eastAsia="仿宋_GB2312" w:cs="仿宋_GB2312"/>
          <w:color w:val="auto"/>
          <w:kern w:val="0"/>
          <w:lang w:val="zh-CN"/>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color w:val="auto"/>
        </w:rPr>
      </w:pPr>
    </w:p>
    <w:p>
      <w:pPr>
        <w:pStyle w:val="2"/>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26. </w:t>
      </w:r>
      <w:r>
        <w:rPr>
          <w:rFonts w:hint="eastAsia" w:ascii="仿宋_GB2312" w:hAnsi="仿宋" w:eastAsia="仿宋_GB2312" w:cs="仿宋_GB2312"/>
          <w:b/>
          <w:color w:val="auto"/>
        </w:rPr>
        <w:t>履约保证金</w:t>
      </w:r>
    </w:p>
    <w:p>
      <w:pPr>
        <w:tabs>
          <w:tab w:val="left" w:pos="0"/>
        </w:tabs>
        <w:spacing w:line="360" w:lineRule="auto"/>
        <w:rPr>
          <w:rFonts w:ascii="仿宋_GB2312" w:hAnsi="仿宋" w:eastAsia="仿宋_GB2312"/>
          <w:b/>
          <w:color w:val="auto"/>
          <w:sz w:val="24"/>
        </w:rPr>
      </w:pPr>
      <w:r>
        <w:rPr>
          <w:rFonts w:hint="eastAsia" w:ascii="仿宋_GB2312" w:hAnsi="仿宋" w:eastAsia="仿宋_GB2312" w:cs="Helvetica"/>
          <w:color w:val="auto"/>
          <w:kern w:val="0"/>
          <w:sz w:val="24"/>
        </w:rPr>
        <w:tab/>
      </w: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。履约保证金的数额不得超过政府采购合同金额的</w:t>
      </w:r>
      <w:r>
        <w:rPr>
          <w:rFonts w:hint="eastAsia" w:ascii="仿宋_GB2312" w:hAnsi="仿宋" w:eastAsia="仿宋_GB2312"/>
          <w:color w:val="auto"/>
          <w:sz w:val="24"/>
          <w:lang w:eastAsia="zh-CN"/>
        </w:rPr>
        <w:t>2.5%</w:t>
      </w:r>
      <w:r>
        <w:rPr>
          <w:rFonts w:ascii="仿宋_GB2312" w:hAnsi="仿宋" w:eastAsia="仿宋_GB2312"/>
          <w:color w:val="auto"/>
          <w:sz w:val="24"/>
        </w:rPr>
        <w:t>。</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tabs>
          <w:tab w:val="left" w:pos="0"/>
        </w:tabs>
        <w:spacing w:line="360" w:lineRule="auto"/>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ab/>
      </w:r>
      <w:r>
        <w:rPr>
          <w:rFonts w:hint="eastAsia" w:ascii="仿宋_GB2312" w:hAnsi="仿宋" w:eastAsia="仿宋_GB2312" w:cs="仿宋_GB2312"/>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color w:val="auto"/>
          <w:sz w:val="24"/>
          <w:szCs w:val="20"/>
          <w:lang w:eastAsia="zh-CN"/>
        </w:rPr>
        <w:t>2.5%</w:t>
      </w:r>
      <w:r>
        <w:rPr>
          <w:rFonts w:hint="eastAsia" w:ascii="仿宋_GB2312" w:hAnsi="仿宋" w:eastAsia="仿宋_GB2312" w:cs="仿宋_GB2312"/>
          <w:color w:val="auto"/>
          <w:sz w:val="24"/>
          <w:szCs w:val="20"/>
        </w:rPr>
        <w:t>。</w:t>
      </w:r>
    </w:p>
    <w:p>
      <w:pPr>
        <w:tabs>
          <w:tab w:val="left" w:pos="0"/>
        </w:tabs>
        <w:spacing w:line="360" w:lineRule="auto"/>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ab/>
      </w:r>
      <w:r>
        <w:rPr>
          <w:rFonts w:hint="eastAsia" w:ascii="仿宋_GB2312" w:hAnsi="仿宋" w:eastAsia="仿宋_GB2312" w:cs="仿宋_GB2312"/>
          <w:color w:val="auto"/>
          <w:sz w:val="24"/>
          <w:szCs w:val="20"/>
        </w:rPr>
        <w:t>供应商可登录政采云平台-【金融服务】—【我的项目】—【已备案合同】以保函形式提供：</w:t>
      </w:r>
    </w:p>
    <w:p>
      <w:pPr>
        <w:numPr>
          <w:ilvl w:val="0"/>
          <w:numId w:val="2"/>
        </w:numPr>
        <w:tabs>
          <w:tab w:val="left" w:pos="0"/>
        </w:tabs>
        <w:spacing w:line="360" w:lineRule="auto"/>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供应商在合同列表选择需要投保的合同，点击[保函推荐]。</w:t>
      </w:r>
    </w:p>
    <w:p>
      <w:pPr>
        <w:numPr>
          <w:ilvl w:val="0"/>
          <w:numId w:val="2"/>
        </w:numPr>
        <w:tabs>
          <w:tab w:val="left" w:pos="0"/>
        </w:tabs>
        <w:spacing w:line="360" w:lineRule="auto"/>
        <w:ind w:left="0" w:firstLine="420" w:firstLineChars="175"/>
        <w:jc w:val="left"/>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在弹框里查看推荐的保函产品，供应商自行选择保函产品，点击[立即申请]。</w:t>
      </w:r>
    </w:p>
    <w:p>
      <w:pPr>
        <w:numPr>
          <w:ilvl w:val="0"/>
          <w:numId w:val="2"/>
        </w:numPr>
        <w:tabs>
          <w:tab w:val="left" w:pos="0"/>
        </w:tabs>
        <w:spacing w:line="360" w:lineRule="auto"/>
        <w:ind w:left="0" w:firstLine="420" w:firstLineChars="175"/>
        <w:jc w:val="left"/>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auto"/>
          <w:sz w:val="32"/>
        </w:rPr>
      </w:pPr>
    </w:p>
    <w:p>
      <w:pPr>
        <w:snapToGrid w:val="0"/>
        <w:spacing w:line="360" w:lineRule="auto"/>
        <w:jc w:val="center"/>
        <w:rPr>
          <w:rFonts w:ascii="仿宋_GB2312" w:hAnsi="仿宋" w:eastAsia="仿宋_GB2312"/>
          <w:b/>
          <w:color w:val="auto"/>
          <w:sz w:val="24"/>
        </w:rPr>
      </w:pPr>
      <w:r>
        <w:rPr>
          <w:rFonts w:hint="eastAsia" w:ascii="仿宋_GB2312" w:hAnsi="仿宋" w:eastAsia="仿宋_GB2312" w:cs="仿宋_GB2312"/>
          <w:b/>
          <w:color w:val="auto"/>
          <w:sz w:val="32"/>
        </w:rPr>
        <w:t>八、电子交易活动的中止</w:t>
      </w:r>
    </w:p>
    <w:p>
      <w:pPr>
        <w:pStyle w:val="128"/>
        <w:snapToGrid w:val="0"/>
        <w:spacing w:before="0"/>
        <w:ind w:firstLine="0" w:firstLineChars="0"/>
        <w:rPr>
          <w:rFonts w:ascii="仿宋_GB2312" w:hAnsi="仿宋" w:eastAsia="仿宋_GB2312" w:cs="仿宋_GB2312"/>
          <w:b/>
          <w:color w:val="auto"/>
          <w:szCs w:val="24"/>
        </w:rPr>
      </w:pPr>
      <w:r>
        <w:rPr>
          <w:rFonts w:ascii="仿宋_GB2312" w:hAnsi="仿宋" w:eastAsia="仿宋_GB2312" w:cs="仿宋_GB2312"/>
          <w:color w:val="auto"/>
        </w:rPr>
        <w:t>2</w:t>
      </w:r>
      <w:r>
        <w:rPr>
          <w:rFonts w:ascii="仿宋_GB2312" w:hAnsi="仿宋" w:eastAsia="仿宋_GB2312" w:cs="仿宋_GB2312"/>
          <w:b/>
          <w:color w:val="auto"/>
          <w:szCs w:val="24"/>
        </w:rPr>
        <w:t xml:space="preserve">7. </w:t>
      </w:r>
      <w:r>
        <w:rPr>
          <w:rFonts w:hint="eastAsia" w:ascii="仿宋_GB2312" w:hAnsi="仿宋" w:eastAsia="仿宋_GB2312" w:cs="仿宋_GB2312"/>
          <w:b/>
          <w:color w:val="auto"/>
          <w:szCs w:val="24"/>
        </w:rPr>
        <w:t>电子交易活动的中止。</w:t>
      </w:r>
    </w:p>
    <w:p>
      <w:pPr>
        <w:pStyle w:val="128"/>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 xml:space="preserve">27.1电子交易平台发生故障而无法登录访问的； </w:t>
      </w:r>
    </w:p>
    <w:p>
      <w:pPr>
        <w:pStyle w:val="128"/>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27.2电子交易平台应用或数据库出现错误，不能进行正常操作的；</w:t>
      </w:r>
    </w:p>
    <w:p>
      <w:pPr>
        <w:pStyle w:val="128"/>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27.3电子交易平台发现严重安全漏洞，有潜在泄密危险的；</w:t>
      </w:r>
    </w:p>
    <w:p>
      <w:pPr>
        <w:pStyle w:val="128"/>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 xml:space="preserve">27.4病毒发作导致不能进行正常操作的； </w:t>
      </w:r>
    </w:p>
    <w:p>
      <w:pPr>
        <w:pStyle w:val="128"/>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27.5其他无法保证电子交易的公平、公正和安全的情况。</w:t>
      </w:r>
    </w:p>
    <w:p>
      <w:pPr>
        <w:pStyle w:val="128"/>
        <w:snapToGrid w:val="0"/>
        <w:spacing w:before="0"/>
        <w:ind w:firstLine="0" w:firstLineChars="0"/>
        <w:rPr>
          <w:rFonts w:ascii="仿宋_GB2312" w:hAnsi="仿宋" w:eastAsia="仿宋_GB2312" w:cs="仿宋_GB2312"/>
          <w:b/>
          <w:bCs/>
          <w:color w:val="auto"/>
        </w:rPr>
      </w:pPr>
      <w:r>
        <w:rPr>
          <w:rFonts w:ascii="仿宋_GB2312" w:hAnsi="仿宋" w:eastAsia="仿宋_GB2312" w:cs="仿宋_GB2312"/>
          <w:b/>
          <w:bCs/>
          <w:color w:val="auto"/>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rPr>
      </w:pPr>
    </w:p>
    <w:p>
      <w:pPr>
        <w:snapToGrid w:val="0"/>
        <w:spacing w:line="360" w:lineRule="auto"/>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九、验收</w:t>
      </w:r>
    </w:p>
    <w:p>
      <w:pPr>
        <w:pStyle w:val="2"/>
        <w:spacing w:line="360" w:lineRule="auto"/>
        <w:ind w:firstLine="0" w:firstLineChars="0"/>
        <w:rPr>
          <w:rFonts w:ascii="仿宋_GB2312" w:hAnsi="仿宋" w:eastAsia="仿宋_GB2312" w:cs="仿宋_GB2312"/>
          <w:b/>
          <w:color w:val="auto"/>
        </w:rPr>
      </w:pPr>
      <w:r>
        <w:rPr>
          <w:rFonts w:ascii="仿宋_GB2312" w:hAnsi="仿宋" w:eastAsia="仿宋_GB2312" w:cs="仿宋_GB2312"/>
          <w:b/>
          <w:color w:val="auto"/>
        </w:rPr>
        <w:t>29.验收</w:t>
      </w:r>
    </w:p>
    <w:p>
      <w:pPr>
        <w:pStyle w:val="128"/>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128"/>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29.2采购人可以邀请参加本项目的其他投标人或者第三方机构参与验收。参与验收的投标人或者第三方机构的意见作为验收书的参考资料一并存档。</w:t>
      </w:r>
    </w:p>
    <w:p>
      <w:pPr>
        <w:pStyle w:val="128"/>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128"/>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pStyle w:val="128"/>
        <w:snapToGrid w:val="0"/>
        <w:spacing w:before="0"/>
        <w:ind w:firstLine="480"/>
        <w:rPr>
          <w:rFonts w:ascii="仿宋_GB2312" w:hAnsi="仿宋" w:eastAsia="仿宋_GB2312" w:cs="仿宋_GB2312"/>
          <w:color w:val="auto"/>
        </w:rPr>
        <w:sectPr>
          <w:headerReference r:id="rId4" w:type="first"/>
          <w:footerReference r:id="rId7" w:type="first"/>
          <w:headerReference r:id="rId3" w:type="default"/>
          <w:footerReference r:id="rId5" w:type="default"/>
          <w:footerReference r:id="rId6" w:type="even"/>
          <w:pgSz w:w="11906" w:h="16838"/>
          <w:pgMar w:top="916" w:right="1757" w:bottom="1440" w:left="1757" w:header="851" w:footer="992" w:gutter="0"/>
          <w:cols w:space="720" w:num="1"/>
          <w:titlePg/>
          <w:docGrid w:linePitch="312" w:charSpace="0"/>
        </w:sectPr>
      </w:pPr>
      <w:bookmarkStart w:id="18" w:name="_Hlt75236101"/>
      <w:bookmarkEnd w:id="18"/>
      <w:bookmarkStart w:id="19" w:name="_Hlt75236290"/>
      <w:bookmarkEnd w:id="19"/>
      <w:bookmarkStart w:id="20" w:name="_Hlt74714665"/>
      <w:bookmarkEnd w:id="20"/>
      <w:bookmarkStart w:id="21" w:name="_Hlt68073093"/>
      <w:bookmarkEnd w:id="21"/>
      <w:bookmarkStart w:id="22" w:name="_Hlt68072998"/>
      <w:bookmarkEnd w:id="22"/>
      <w:bookmarkStart w:id="23" w:name="_Hlt74730295"/>
      <w:bookmarkEnd w:id="23"/>
      <w:bookmarkStart w:id="24" w:name="_Hlt68072990"/>
      <w:bookmarkEnd w:id="24"/>
      <w:bookmarkStart w:id="25" w:name="_Hlt68403820"/>
      <w:bookmarkEnd w:id="25"/>
      <w:bookmarkStart w:id="26" w:name="_Hlt75236011"/>
      <w:bookmarkEnd w:id="26"/>
      <w:bookmarkStart w:id="27" w:name="_Hlt74707468"/>
      <w:bookmarkEnd w:id="27"/>
      <w:bookmarkStart w:id="28" w:name="_Hlt74729768"/>
      <w:bookmarkEnd w:id="28"/>
      <w:bookmarkStart w:id="29" w:name="_Hlt68057669"/>
      <w:bookmarkEnd w:id="29"/>
    </w:p>
    <w:bookmarkEnd w:id="15"/>
    <w:bookmarkEnd w:id="16"/>
    <w:p>
      <w:pPr>
        <w:spacing w:line="360" w:lineRule="auto"/>
        <w:jc w:val="center"/>
        <w:outlineLvl w:val="0"/>
        <w:rPr>
          <w:rFonts w:ascii="仿宋" w:hAnsi="仿宋" w:eastAsia="仿宋" w:cs="仿宋_GB2312"/>
          <w:b/>
          <w:color w:val="auto"/>
          <w:sz w:val="36"/>
          <w:szCs w:val="36"/>
        </w:rPr>
      </w:pPr>
      <w:bookmarkStart w:id="30" w:name="第四部分"/>
      <w:r>
        <w:rPr>
          <w:rFonts w:hint="eastAsia" w:ascii="仿宋" w:hAnsi="仿宋" w:eastAsia="仿宋" w:cs="仿宋_GB2312"/>
          <w:b/>
          <w:color w:val="auto"/>
          <w:sz w:val="36"/>
          <w:szCs w:val="36"/>
        </w:rPr>
        <w:t>第三部分</w:t>
      </w:r>
      <w:r>
        <w:rPr>
          <w:rFonts w:ascii="仿宋" w:hAnsi="仿宋" w:eastAsia="仿宋" w:cs="仿宋_GB2312"/>
          <w:b/>
          <w:color w:val="auto"/>
          <w:sz w:val="36"/>
          <w:szCs w:val="36"/>
        </w:rPr>
        <w:t xml:space="preserve">   </w:t>
      </w:r>
      <w:r>
        <w:rPr>
          <w:rFonts w:hint="eastAsia" w:ascii="仿宋" w:hAnsi="仿宋" w:eastAsia="仿宋" w:cs="仿宋_GB2312"/>
          <w:b/>
          <w:color w:val="auto"/>
          <w:sz w:val="36"/>
          <w:szCs w:val="36"/>
        </w:rPr>
        <w:t>采购需求</w:t>
      </w:r>
    </w:p>
    <w:p>
      <w:pPr>
        <w:pStyle w:val="60"/>
        <w:numPr>
          <w:ilvl w:val="0"/>
          <w:numId w:val="3"/>
        </w:numPr>
        <w:ind w:left="0" w:leftChars="0" w:firstLine="420" w:firstLineChars="0"/>
        <w:rPr>
          <w:rFonts w:hint="eastAsia" w:ascii="仿宋" w:hAnsi="仿宋" w:eastAsia="仿宋" w:cs="仿宋"/>
          <w:b/>
          <w:bCs/>
          <w:color w:val="auto"/>
          <w:lang w:eastAsia="zh-CN"/>
        </w:rPr>
      </w:pPr>
      <w:r>
        <w:rPr>
          <w:rFonts w:hint="eastAsia" w:ascii="仿宋" w:hAnsi="仿宋" w:eastAsia="仿宋" w:cs="仿宋"/>
          <w:b/>
          <w:bCs/>
          <w:color w:val="auto"/>
          <w:lang w:eastAsia="zh-CN"/>
        </w:rPr>
        <w:t>项目概况</w:t>
      </w:r>
    </w:p>
    <w:p>
      <w:pPr>
        <w:pStyle w:val="60"/>
        <w:rPr>
          <w:rFonts w:hint="eastAsia" w:ascii="仿宋" w:hAnsi="仿宋" w:eastAsia="仿宋" w:cs="仿宋"/>
          <w:color w:val="auto"/>
        </w:rPr>
      </w:pPr>
      <w:r>
        <w:rPr>
          <w:rFonts w:hint="eastAsia" w:ascii="仿宋" w:hAnsi="仿宋" w:eastAsia="仿宋" w:cs="仿宋"/>
          <w:color w:val="auto"/>
        </w:rPr>
        <w:t>杭州第四中学新湾学校，坐落于被誉为“江东枢纽，高铁新城”的钱塘区核心区域——新湾，将于2022年9月正式投入使用，办学规模为48班。学校继承浙江省杭州第四中学“养正尚德，求真立人”的文化传统，是杭州第四中学教育集团倾力打造的一所传承与开创并举，修身与立人并重的内涵型现代化高级中学，为杭州市教育局直属独立法人的公办高中。杭四中钱塘新湾学校用地面积64584平方（96.72亩），容积率1.03，由1#报告厅、2#实验楼、2#教学楼、3#综合楼、4#体艺楼、5#食堂、6#教学楼、7#图书馆合班教室、8#女生宿舍、9#男生宿舍、地下停车场、室外操场及室外公共区域组成。</w:t>
      </w:r>
    </w:p>
    <w:p>
      <w:pPr>
        <w:pStyle w:val="60"/>
        <w:rPr>
          <w:rFonts w:hint="eastAsia" w:ascii="仿宋" w:hAnsi="仿宋" w:eastAsia="仿宋" w:cs="仿宋"/>
          <w:color w:val="auto"/>
        </w:rPr>
      </w:pPr>
      <w:r>
        <w:rPr>
          <w:rFonts w:hint="eastAsia" w:ascii="仿宋" w:hAnsi="仿宋" w:eastAsia="仿宋" w:cs="仿宋"/>
          <w:color w:val="auto"/>
        </w:rPr>
        <w:t>本项目为</w:t>
      </w:r>
      <w:r>
        <w:rPr>
          <w:rFonts w:hint="eastAsia" w:ascii="仿宋" w:hAnsi="仿宋" w:eastAsia="仿宋" w:cs="仿宋"/>
          <w:color w:val="auto"/>
          <w:lang w:eastAsia="zh-CN"/>
        </w:rPr>
        <w:t>杭州第四中学新湾学校校园网络及综合布线项目</w:t>
      </w:r>
      <w:r>
        <w:rPr>
          <w:rFonts w:hint="eastAsia" w:ascii="仿宋" w:hAnsi="仿宋" w:eastAsia="仿宋" w:cs="仿宋"/>
          <w:color w:val="auto"/>
        </w:rPr>
        <w:t>。针对新校区建设，本次采购内容包含校园网综合布线系统、视频监控系统布线、校园广播系统布线、网络安全交换系统、基础网络交换系统、校园监控网络交换系统。</w:t>
      </w:r>
      <w:r>
        <w:rPr>
          <w:rFonts w:hint="eastAsia" w:ascii="仿宋" w:hAnsi="仿宋" w:eastAsia="仿宋" w:cs="仿宋"/>
          <w:color w:val="auto"/>
          <w:lang w:eastAsia="zh-CN"/>
        </w:rPr>
        <w:t>现</w:t>
      </w:r>
      <w:r>
        <w:rPr>
          <w:rFonts w:hint="eastAsia" w:ascii="仿宋" w:hAnsi="仿宋" w:eastAsia="仿宋" w:cs="仿宋"/>
          <w:color w:val="auto"/>
        </w:rPr>
        <w:t>对</w:t>
      </w:r>
      <w:r>
        <w:rPr>
          <w:rFonts w:hint="eastAsia" w:ascii="仿宋" w:hAnsi="仿宋" w:eastAsia="仿宋" w:cs="仿宋"/>
          <w:color w:val="auto"/>
          <w:lang w:eastAsia="zh-CN"/>
        </w:rPr>
        <w:t>本项目</w:t>
      </w:r>
      <w:r>
        <w:rPr>
          <w:rFonts w:hint="eastAsia" w:ascii="仿宋" w:hAnsi="仿宋" w:eastAsia="仿宋" w:cs="仿宋"/>
          <w:color w:val="auto"/>
        </w:rPr>
        <w:t>组织公开招标，欢迎各供应商提供有竞争力的商品及服务。</w:t>
      </w:r>
    </w:p>
    <w:p>
      <w:pPr>
        <w:pStyle w:val="60"/>
        <w:numPr>
          <w:ilvl w:val="0"/>
          <w:numId w:val="3"/>
        </w:numPr>
        <w:ind w:left="0" w:leftChars="0" w:firstLine="420" w:firstLineChars="0"/>
        <w:rPr>
          <w:rFonts w:hint="eastAsia" w:ascii="仿宋" w:hAnsi="仿宋" w:eastAsia="仿宋" w:cs="仿宋"/>
          <w:color w:val="auto"/>
          <w:lang w:val="en-US"/>
        </w:rPr>
      </w:pPr>
      <w:r>
        <w:rPr>
          <w:rFonts w:hint="eastAsia" w:ascii="仿宋" w:hAnsi="仿宋" w:eastAsia="仿宋" w:cs="仿宋"/>
          <w:b/>
          <w:bCs/>
          <w:color w:val="auto"/>
        </w:rPr>
        <w:t>预算金额：</w:t>
      </w:r>
      <w:r>
        <w:rPr>
          <w:rFonts w:hint="eastAsia" w:ascii="仿宋" w:hAnsi="仿宋" w:eastAsia="仿宋" w:cs="仿宋"/>
          <w:color w:val="auto"/>
        </w:rPr>
        <w:t>本项目预算为</w:t>
      </w:r>
      <w:r>
        <w:rPr>
          <w:rFonts w:hint="eastAsia" w:ascii="仿宋" w:hAnsi="仿宋" w:eastAsia="仿宋" w:cs="仿宋"/>
          <w:color w:val="auto"/>
          <w:lang w:val="en-US"/>
        </w:rPr>
        <w:t>536万元。</w:t>
      </w:r>
    </w:p>
    <w:p>
      <w:pPr>
        <w:pStyle w:val="60"/>
        <w:numPr>
          <w:ilvl w:val="0"/>
          <w:numId w:val="3"/>
        </w:numPr>
        <w:ind w:left="0" w:leftChars="0" w:firstLine="420" w:firstLineChars="0"/>
        <w:rPr>
          <w:rFonts w:hint="eastAsia" w:ascii="仿宋" w:hAnsi="仿宋" w:eastAsia="仿宋" w:cs="仿宋"/>
          <w:color w:val="auto"/>
          <w:lang w:val="en-US"/>
        </w:rPr>
      </w:pPr>
      <w:r>
        <w:rPr>
          <w:rFonts w:hint="eastAsia" w:ascii="仿宋" w:hAnsi="仿宋" w:eastAsia="仿宋" w:cs="仿宋"/>
          <w:b/>
          <w:bCs/>
          <w:color w:val="auto"/>
          <w:lang w:val="en-US"/>
        </w:rPr>
        <w:t>需满足的政府采购政策：</w:t>
      </w:r>
      <w:r>
        <w:rPr>
          <w:rFonts w:hint="eastAsia" w:ascii="仿宋" w:hAnsi="仿宋" w:eastAsia="仿宋" w:cs="仿宋"/>
          <w:color w:val="auto"/>
        </w:rPr>
        <w:t>结合</w:t>
      </w:r>
      <w:r>
        <w:rPr>
          <w:rFonts w:hint="eastAsia" w:ascii="仿宋" w:hAnsi="仿宋" w:eastAsia="仿宋" w:cs="仿宋"/>
          <w:color w:val="auto"/>
          <w:lang w:eastAsia="zh-CN"/>
        </w:rPr>
        <w:t>项目需求内容</w:t>
      </w:r>
      <w:r>
        <w:rPr>
          <w:rFonts w:hint="eastAsia" w:ascii="仿宋" w:hAnsi="仿宋" w:eastAsia="仿宋" w:cs="仿宋"/>
          <w:color w:val="auto"/>
        </w:rPr>
        <w:t>，本项目不专门面向中小微企业采购。</w:t>
      </w:r>
    </w:p>
    <w:p>
      <w:pPr>
        <w:pStyle w:val="60"/>
        <w:numPr>
          <w:ilvl w:val="0"/>
          <w:numId w:val="3"/>
        </w:numPr>
        <w:ind w:left="0" w:leftChars="0" w:firstLine="420" w:firstLineChars="0"/>
        <w:rPr>
          <w:rFonts w:hint="eastAsia" w:ascii="仿宋" w:hAnsi="仿宋" w:eastAsia="仿宋" w:cs="仿宋"/>
          <w:b/>
          <w:bCs/>
          <w:color w:val="auto"/>
          <w:lang w:val="en-US"/>
        </w:rPr>
      </w:pPr>
      <w:r>
        <w:rPr>
          <w:rFonts w:hint="eastAsia" w:ascii="仿宋" w:hAnsi="仿宋" w:eastAsia="仿宋" w:cs="仿宋"/>
          <w:b/>
          <w:bCs/>
          <w:color w:val="auto"/>
          <w:lang w:eastAsia="zh-CN"/>
        </w:rPr>
        <w:t>项目实施目标</w:t>
      </w:r>
    </w:p>
    <w:p>
      <w:pPr>
        <w:pStyle w:val="60"/>
        <w:numPr>
          <w:ilvl w:val="0"/>
          <w:numId w:val="0"/>
        </w:numPr>
        <w:ind w:firstLine="480" w:firstLineChars="200"/>
        <w:rPr>
          <w:rStyle w:val="963"/>
          <w:rFonts w:hint="eastAsia" w:ascii="仿宋" w:hAnsi="仿宋" w:eastAsia="仿宋" w:cs="仿宋"/>
          <w:color w:val="auto"/>
          <w:lang w:eastAsia="zh-CN"/>
        </w:rPr>
      </w:pPr>
      <w:r>
        <w:rPr>
          <w:rStyle w:val="963"/>
          <w:rFonts w:hint="eastAsia" w:ascii="仿宋" w:hAnsi="仿宋" w:eastAsia="仿宋" w:cs="仿宋"/>
          <w:color w:val="auto"/>
        </w:rPr>
        <w:t>智慧校园综合布线系统的信息点位主要分为语音点、数据点二大类型，其中数字点中主要部分为计算机网络点、视频监控点、公共广播点、考务系统点、物联网设备点、信息发布点、一卡通设备点、门禁系统点、电子班牌点等等</w:t>
      </w:r>
      <w:r>
        <w:rPr>
          <w:rStyle w:val="963"/>
          <w:rFonts w:hint="eastAsia" w:ascii="仿宋" w:hAnsi="仿宋" w:eastAsia="仿宋" w:cs="仿宋"/>
          <w:color w:val="auto"/>
          <w:lang w:eastAsia="zh-CN"/>
        </w:rPr>
        <w:t>，本次项目应达成如下目标：</w:t>
      </w:r>
    </w:p>
    <w:p>
      <w:pPr>
        <w:pStyle w:val="60"/>
        <w:numPr>
          <w:ilvl w:val="0"/>
          <w:numId w:val="0"/>
        </w:numPr>
        <w:ind w:firstLine="480" w:firstLineChars="200"/>
        <w:rPr>
          <w:rStyle w:val="963"/>
          <w:rFonts w:hint="eastAsia" w:ascii="仿宋" w:hAnsi="仿宋" w:eastAsia="仿宋" w:cs="仿宋"/>
          <w:color w:val="auto"/>
          <w:lang w:eastAsia="zh-CN"/>
        </w:rPr>
      </w:pPr>
      <w:r>
        <w:rPr>
          <w:rStyle w:val="963"/>
          <w:rFonts w:hint="eastAsia" w:ascii="仿宋" w:hAnsi="仿宋" w:eastAsia="仿宋" w:cs="仿宋"/>
          <w:color w:val="auto"/>
          <w:lang w:eastAsia="zh-CN"/>
        </w:rPr>
        <w:t>1.实现校园环境数字化。利用成熟的网络技术、Wi-Fi技术、云计算、大数据、人工智能等信息技术，实现校园高速、稳定、安全的有线骨干网建设、Wi-Fi全校覆盖，实现计算机教室、教师办公、教室的数字化，实现校园管理的数字化。</w:t>
      </w:r>
    </w:p>
    <w:p>
      <w:pPr>
        <w:pStyle w:val="60"/>
        <w:numPr>
          <w:ilvl w:val="0"/>
          <w:numId w:val="0"/>
        </w:numPr>
        <w:ind w:firstLine="480" w:firstLineChars="200"/>
        <w:rPr>
          <w:rStyle w:val="963"/>
          <w:rFonts w:hint="eastAsia" w:ascii="仿宋" w:hAnsi="仿宋" w:eastAsia="仿宋" w:cs="仿宋"/>
          <w:color w:val="auto"/>
          <w:lang w:eastAsia="zh-CN"/>
        </w:rPr>
      </w:pPr>
      <w:r>
        <w:rPr>
          <w:rStyle w:val="963"/>
          <w:rFonts w:hint="eastAsia" w:ascii="仿宋" w:hAnsi="仿宋" w:eastAsia="仿宋" w:cs="仿宋"/>
          <w:color w:val="auto"/>
          <w:lang w:eastAsia="zh-CN"/>
        </w:rPr>
        <w:t>2.实现信息系统互联互通。拓展现实校园的时空维度，实现应用系统互联互通。</w:t>
      </w:r>
    </w:p>
    <w:p>
      <w:pPr>
        <w:pStyle w:val="60"/>
        <w:numPr>
          <w:ilvl w:val="0"/>
          <w:numId w:val="0"/>
        </w:numPr>
        <w:ind w:firstLine="480" w:firstLineChars="200"/>
        <w:rPr>
          <w:rStyle w:val="963"/>
          <w:rFonts w:hint="eastAsia" w:ascii="仿宋" w:hAnsi="仿宋" w:eastAsia="仿宋" w:cs="仿宋"/>
          <w:color w:val="auto"/>
          <w:lang w:eastAsia="zh-CN"/>
        </w:rPr>
      </w:pPr>
      <w:r>
        <w:rPr>
          <w:rStyle w:val="963"/>
          <w:rFonts w:hint="eastAsia" w:ascii="仿宋" w:hAnsi="仿宋" w:eastAsia="仿宋" w:cs="仿宋"/>
          <w:color w:val="auto"/>
          <w:lang w:eastAsia="zh-CN"/>
        </w:rPr>
        <w:t>3.实现学习方式和教育教学模式的创新。利用大数据、人工智能等技术，掌握课堂学情信息，促进信息技术与教育教学实践的深度融合；利用物联网等技术，支持学校服务和管理流程的优化与再造，提升校园管理效能与决策水平。</w:t>
      </w:r>
    </w:p>
    <w:p>
      <w:pPr>
        <w:pStyle w:val="60"/>
        <w:numPr>
          <w:ilvl w:val="0"/>
          <w:numId w:val="0"/>
        </w:numPr>
        <w:ind w:firstLine="480" w:firstLineChars="200"/>
        <w:rPr>
          <w:rFonts w:hint="eastAsia" w:ascii="仿宋" w:hAnsi="仿宋" w:eastAsia="仿宋" w:cs="仿宋"/>
          <w:color w:val="auto"/>
          <w:lang w:val="en-US"/>
        </w:rPr>
      </w:pPr>
      <w:r>
        <w:rPr>
          <w:rStyle w:val="963"/>
          <w:rFonts w:hint="eastAsia" w:ascii="仿宋" w:hAnsi="仿宋" w:eastAsia="仿宋" w:cs="仿宋"/>
          <w:color w:val="auto"/>
          <w:lang w:eastAsia="zh-CN"/>
        </w:rPr>
        <w:t>4.实现校园信息化管理水平。利用先进的管理系统、云计算等技术，实现校园信息化运营和管理水平</w:t>
      </w:r>
      <w:r>
        <w:rPr>
          <w:rFonts w:hint="eastAsia" w:ascii="仿宋" w:hAnsi="仿宋" w:eastAsia="仿宋" w:cs="仿宋"/>
          <w:color w:val="auto"/>
          <w:lang w:eastAsia="zh-CN"/>
        </w:rPr>
        <w:t>。</w:t>
      </w:r>
    </w:p>
    <w:p>
      <w:pPr>
        <w:pStyle w:val="60"/>
        <w:numPr>
          <w:ilvl w:val="0"/>
          <w:numId w:val="3"/>
        </w:numPr>
        <w:ind w:left="0" w:leftChars="0" w:firstLine="420" w:firstLineChars="0"/>
        <w:rPr>
          <w:rFonts w:hint="eastAsia" w:ascii="仿宋" w:hAnsi="仿宋" w:eastAsia="仿宋" w:cs="仿宋"/>
          <w:b/>
          <w:bCs/>
          <w:color w:val="auto"/>
        </w:rPr>
      </w:pPr>
      <w:r>
        <w:rPr>
          <w:rFonts w:hint="eastAsia" w:ascii="仿宋" w:hAnsi="仿宋" w:eastAsia="仿宋" w:cs="仿宋"/>
          <w:b/>
          <w:bCs/>
          <w:color w:val="auto"/>
        </w:rPr>
        <w:t>项目技术要求</w:t>
      </w:r>
    </w:p>
    <w:p>
      <w:pPr>
        <w:pStyle w:val="60"/>
        <w:numPr>
          <w:ilvl w:val="0"/>
          <w:numId w:val="0"/>
        </w:numPr>
        <w:ind w:firstLine="480" w:firstLineChars="200"/>
        <w:rPr>
          <w:rStyle w:val="963"/>
          <w:rFonts w:hint="eastAsia" w:ascii="仿宋" w:hAnsi="仿宋" w:eastAsia="仿宋" w:cs="仿宋"/>
          <w:color w:val="auto"/>
          <w:lang w:eastAsia="zh-CN"/>
        </w:rPr>
      </w:pPr>
      <w:r>
        <w:rPr>
          <w:rStyle w:val="963"/>
          <w:rFonts w:hint="eastAsia" w:ascii="仿宋" w:hAnsi="仿宋" w:eastAsia="仿宋" w:cs="仿宋"/>
          <w:color w:val="auto"/>
          <w:lang w:eastAsia="zh-CN"/>
        </w:rPr>
        <w:t>★为核心产品；▲为实质性条款；◆为重要参数。</w:t>
      </w:r>
    </w:p>
    <w:p>
      <w:pPr>
        <w:tabs>
          <w:tab w:val="left" w:pos="1084"/>
        </w:tabs>
        <w:spacing w:line="400" w:lineRule="exact"/>
        <w:rPr>
          <w:rFonts w:hint="eastAsia" w:ascii="仿宋" w:hAnsi="仿宋" w:eastAsia="仿宋" w:cs="仿宋"/>
          <w:color w:val="auto"/>
        </w:rPr>
      </w:pPr>
      <w:r>
        <w:rPr>
          <w:rFonts w:hint="eastAsia" w:ascii="仿宋" w:hAnsi="仿宋" w:eastAsia="仿宋" w:cs="仿宋"/>
          <w:color w:val="auto"/>
          <w:lang w:eastAsia="zh-CN"/>
        </w:rPr>
        <w:t>一）</w:t>
      </w:r>
      <w:r>
        <w:rPr>
          <w:rFonts w:hint="eastAsia" w:ascii="仿宋" w:hAnsi="仿宋" w:eastAsia="仿宋" w:cs="仿宋"/>
          <w:b/>
          <w:bCs/>
          <w:color w:val="auto"/>
        </w:rPr>
        <w:t>项目设备清单</w:t>
      </w:r>
      <w:r>
        <w:rPr>
          <w:rFonts w:hint="eastAsia" w:ascii="仿宋" w:hAnsi="仿宋" w:eastAsia="仿宋" w:cs="仿宋"/>
          <w:b/>
          <w:bCs/>
          <w:color w:val="auto"/>
          <w:lang w:eastAsia="zh-CN"/>
        </w:rPr>
        <w:t>如下</w:t>
      </w:r>
      <w:r>
        <w:rPr>
          <w:rFonts w:hint="eastAsia" w:ascii="仿宋" w:hAnsi="仿宋" w:eastAsia="仿宋" w:cs="仿宋"/>
          <w:color w:val="auto"/>
          <w:lang w:eastAsia="zh-CN"/>
        </w:rPr>
        <w: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27"/>
        <w:gridCol w:w="4989"/>
        <w:gridCol w:w="927"/>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序号</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设备名称</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参数</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数量</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第一部分：校园网综合布线系统</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六类非屏蔽带十字骨架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11801：2008；IEC 61156-5-2009；TIA /EIA- 568-C.2；通过标准250MHz带宽测试要求可扩展到500MHz带宽。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1.提供此产品CE认证。</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的检验报告。</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3、符合标准：ISO/IEC 11801：2008；IEC 61156-5-2009；TIA /EIA- 568-C.2。</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4、通过标准250MHz带宽测试要求可扩展到500MHz带宽。</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单根导体直流电阻：≤8.9Ω/100m额定传输速率(NVP)：68%；电缆对数：4对；十字骨架材料：PE混合物；导体材料：无氧圆铜（纯度99.99%）；导体线规：23AWG；绝缘材料：HDPE屏蔽方式：U/UTP；电缆外径：6.3±0.3mm；外护套材料：PVC或LSZH低烟无卤阻燃或PE阻水；工作温度：-20℃～+60℃；交货长度（米/盘）：305米/箱；包装方式: 箱装。</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472</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24口智能电子配线架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电子配线架完全符合结构化系统国际标准ISO11801，它通过可视化管理系统软件平台能实时监测配线架上的各个端口，核实端口使用情况，查询每条跳线的链路端口位置，并且在发生误接时可及时发出提示告警并有指示灯显示，方便现场工作人员查找。当服务端设置工作派工单后，通过指示灯显示,指导布线管理维护人员进行迅速准确的跳线增减、变更接续等操作。</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2、电子配线架可支持的线缆种类包括： Cat.5E、Cat.6屏蔽线缆与非屏蔽线缆；LC接头光缆等。</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3、◆电子配线架作为24个网口独立运行，若某一个网口出现检测故障，其余网口均不能受影响，能正常检测及网络通信。（需提供相关承诺函）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4、电子配线架主要功能：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1）实时跟踪跳线连接变化</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2）对资产和物理层连接更改的所有变化进行记录、报告、发送警报或报警，并形成日志，可供随时查看。</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4）为防止机房信息点被恶意插拔或者更改，应下发派工单后才可以完成跳接</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5）向管理员报告数据变化</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5、电子配线架基本参数：</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（1）电子配线架特性：</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 xml:space="preserve">  1）1U机架式安装</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1）每个端口具有感应装置，用于检测网线是否正确连接到配线架</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2）24个LED指示灯，显示端口状态</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3) 24个100/1000M网络转换模块</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7、工作环境</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1）电源输入：DC 5V/6A</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2）工作温度：0-40℃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3）工作湿度:10%-90% 非凝结</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4）避免太阳光直射。</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86型单双口网络面板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面板外型尺寸符合国标86型。适合多类型模块安装，应用于工作区布线子系统。</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嵌入式面框，安装方便；面板表面带嵌入式图表及标签位置，便于识别数据和语音端口。配有防尘滑门用以保护模块、遮蔽灰尘和污物进入。</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产品设计等级：通用连接器2级</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连接机构形式：卡口连接/分离</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连接方式：卡接信息模块</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物料简介：该面板产品用于安装固定信息模块</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互配关系：与同一标准系列的连接器互配使用</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适用标准：总规范：YD/T 926.1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分规范：YD/T 926.3</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材料及表面处理：A、金属材料</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弹簧：钢丝</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B、非金属材料；塑料：ABS工程塑料；</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环境性能：</w:t>
            </w:r>
            <w:r>
              <w:rPr>
                <w:rFonts w:hint="eastAsia" w:ascii="仿宋" w:hAnsi="仿宋" w:eastAsia="仿宋" w:cs="仿宋"/>
                <w:color w:val="auto"/>
                <w:sz w:val="21"/>
                <w:szCs w:val="21"/>
                <w:lang w:eastAsia="zh-CN"/>
              </w:rPr>
              <w:t>满足适用地区温、湿度要求</w:t>
            </w:r>
            <w:r>
              <w:rPr>
                <w:rFonts w:hint="eastAsia" w:ascii="仿宋" w:hAnsi="仿宋" w:eastAsia="仿宋" w:cs="仿宋"/>
                <w:color w:val="auto"/>
                <w:sz w:val="21"/>
                <w:szCs w:val="21"/>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1695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六类网络模块</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满足T-568A 六类传输标准，符合T568A和T568B线序，适用于设备间与工作区的通讯插座连接。</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外形紧凑，有通用线序标签清晰标注于模块上，便于准确、快速地完成端接，扣锁式端接帽确保导线全部端接并防止滑动。</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1、需提供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的检测报告；</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2、产品设计等级：通用连接器2级</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连接机构形式：卡口连接/分离</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连接方式：RJ45插孔配接跳线，IDC端接水平布线。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物料简介：该模块产品用于连接建筑物同一楼层水平布线和工作区布线，主要用于配线设备和终端设备或适配器转换连接使用。产品配接配用电缆为铜轴双绞线缆和铜轴跳线。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互配关系：与同一标准系列的连接器互配使用</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适用标准：总规范：YD/T 926.1-2001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分规范：YD/T 926.3-2001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技术参数：</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1）电气特性：</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A、频率范围：0～250MHz</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B、工作电压：125 V</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C、耐压：750 V</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D、插入损耗：0.4dB 250MHz</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E、绝缘电阻：初始值≥100MΩ</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恒定湿热试验后≥100MΩ</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2）机械特性：</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A、插入力和拔出力：插入力不大于20N，拔出力不小于20N</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B、连接器连接装置的效果：50N 60±5s</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3）耐久性：</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 xml:space="preserve">       A、插头与插座的插合次数：750次</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B、导线端接次数：250次</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材料及表面处理：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A、金属材料：</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金针：磷青铜镀金</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IDC打线端子：磷青铜镀镍</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B、非金属材料：</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塑料： PC聚碳酸酯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C、镀金层厚度：50μm</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3069</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12齿 1U全黑</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满足T-568A超五类传输标准依照19“机架标准，适用于配线架、跳线架及设备跳线的水平和垂直方向的线缆管理。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设计简洁、对于各种线缆提供灵活、有效和安全的管理，使布线系统整洁美观。产品设计等级：通用连接器2级</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物料简介：该理线架产品用于水平和垂直方向的线缆管理。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互配关系：与同一标准系列的连接器互配使用</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适用标准：总规范：YD/T 926.1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分规范：YD/T 926.3</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材料及表面处理：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A、金属材料：</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铁板：铁架，喷塑，黑色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环境性能：</w:t>
            </w:r>
            <w:r>
              <w:rPr>
                <w:rFonts w:hint="eastAsia" w:ascii="仿宋" w:hAnsi="仿宋" w:eastAsia="仿宋" w:cs="仿宋"/>
                <w:color w:val="auto"/>
                <w:sz w:val="21"/>
                <w:szCs w:val="21"/>
                <w:lang w:eastAsia="zh-CN"/>
              </w:rPr>
              <w:t>满足适用地区温、湿度要求</w:t>
            </w:r>
            <w:r>
              <w:rPr>
                <w:rFonts w:hint="eastAsia" w:ascii="仿宋" w:hAnsi="仿宋" w:eastAsia="仿宋" w:cs="仿宋"/>
                <w:color w:val="auto"/>
                <w:sz w:val="21"/>
                <w:szCs w:val="21"/>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459</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六类室外防水网线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11801：2008；IEC 61156-5-2009；TIA /EIA- 568-C.2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通过标准250MHz带宽测试要求可扩展到500MHz带宽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单根导体直流电阻：≤8.9Ω/100m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额定传输速率(NVP)：68%</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电缆对数：4对</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十字骨架材料：PE混合物</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导体材料：无氧圆铜（纯度99.99%）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导体线规：23AWG</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绝缘材料：HDPE</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屏蔽方式：U/UTP</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电缆外径：6.3±0.3mm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外护套材料：PVC或LSZH低烟无卤阻燃或PE阻水</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工作温度：-20℃～+60℃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交货长度（米/盘）：305米/箱</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包装方式: 箱装。</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室外12芯单模光纤</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11801:2008；TIA/EIA-568-C.3；YD/T769-2010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全截面阻水结构，松套管填充特种油膏，确保良好的阻水防潮性能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衰减＠20℃（DB/Km）：＠1310≤0.36，＠1550≤0.22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光纤规格：B1.3（9/125μm）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包层不圆度：≤1％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铠装料: 钢带；钢带、皱纹钢带</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加强件: 磷化圆钢丝</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动态/静态弯曲半径: 20D/10D</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25D/12.5D</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允许压扁力（N/100mm）: 300/1000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允许拉伸力（N）: 600/1500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X表示芯数： 12芯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外护套颜色：黑色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存储/工作温度：-40℃～+60℃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2890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室外8芯单模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11801:2008；TIA/EIA-568-C.3；YD/T769-2010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全截面阻水结构，松套管填充特种油膏，确保良好的阻水防潮性能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衰减＠20℃（DB/Km）：＠1310≤0.36，＠1550≤0.22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光纤规格：B1.3（9/125μm）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包层不圆度：≤1％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铠装料: 钢带；钢带、皱纹钢带</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加强件: 磷化圆钢丝</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动态/静态弯曲半径: 20D/10D</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25D/12.5D</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允许压扁力（N/100mm）: 300/1000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允许拉伸力（N）: 600/1500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X表示芯数：8芯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外护套颜色：黑色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存储/工作温度：-40℃～+60℃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820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室内6芯单模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11801:2008；TIA/EIA-568-C.3；YD/T1272-2009。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衰减＠20℃（DB/Km）：  1310≤0.36，1550≤0.22，需提供12芯光缆ROHS检测报告。</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光纤规格：B1.3（9/125μm）</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动态/静态弯曲半径：20D/10D</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允许压扁（N/100mm）:200/440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允许拉伸力（N）: 200/1000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光纤芯数：6芯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紧套光纤外径：0.9±0.05</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外护套颜色：黄色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使用温度：-20℃～+60℃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敷设方式：管道、隧道、导管等敷设。</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6580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室外6芯单模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11801:2008；TIA/EIA-568-C.3；YD/T769-2010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全截面阻水结构，松套管填充特种油膏，确保良好的阻水防潮性能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衰减＠20℃（DB/Km）：＠1310≤0.36，＠1550≤0.22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光纤规格：B1.3（9/125μm）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包层不圆度：≤1％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铠装料: 钢带；钢带、皱纹钢带</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加强件: 磷化圆钢丝</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动态/静态弯曲半径: 20D/10D</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25D/12.5D</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允许压扁力（N/100mm）: 300/1000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允许拉伸力（N）: 600/1500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X表示芯数：6芯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外护套颜色：黑色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存储/工作温度：-40℃～+60℃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1180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室外4芯单模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11801:2008；TIA/EIA-568-C.3；YD/T769-2010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全截面阻水结构，松套管填充特种油膏，确保良好的阻水防潮性能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衰减＠20℃（DB/Km）：＠1310≤0.36，＠1550≤0.22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光纤规格：B1.3（9/125μm）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包层不圆度：≤1％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铠装料: 钢带；钢带、皱纹钢带</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加强件: 磷化圆钢丝</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动态/静态弯曲半径: 20D/10D</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25D/12.5D</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允许压扁力（N/100mm）: 300/1000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允许拉伸力（N）: 600/1500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X表示芯数：4芯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外护套颜色：黑色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存储/工作温度：-40℃～+60℃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3650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ODF架72芯</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符合标准：ISO/IEC11801：2008；ANSI/TIA/EIA-568-C.3；YD/T778-2006 </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材料结构：金属框架，表面涂装静电喷塑，塑料组件</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进出光纤方便灵活，有充裕的光纤盘存空间，光纤和尾纤弯曲半径不小于30mm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抽拉式设计，集熔接配线一体化的熔接配线配件，不含适配器</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每盘端口数量：12位</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端口类型：ST 、FC、SC、LC双工通用</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安装方式：19″机架式安装</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材料：优质钢板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表面颜色：白色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工作温度：-25℃～+60℃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端口数量/高度：24位/2U，48位/3U，72位/4U，96位/5U，120位/6U</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（不用理线器）</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含72根LC单芯单模尾纤和36个LC双工单模适配器。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24口光纤配线架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基本参数：光缆电子配线架</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产品</w:t>
            </w:r>
            <w:r>
              <w:rPr>
                <w:rFonts w:hint="eastAsia" w:ascii="仿宋" w:hAnsi="仿宋" w:eastAsia="仿宋" w:cs="仿宋"/>
                <w:color w:val="auto"/>
                <w:sz w:val="21"/>
                <w:szCs w:val="21"/>
                <w:lang w:eastAsia="zh-CN"/>
              </w:rPr>
              <w:t>标准</w:t>
            </w:r>
            <w:r>
              <w:rPr>
                <w:rFonts w:hint="eastAsia" w:ascii="仿宋" w:hAnsi="仿宋" w:eastAsia="仿宋" w:cs="仿宋"/>
                <w:color w:val="auto"/>
                <w:sz w:val="21"/>
                <w:szCs w:val="21"/>
              </w:rPr>
              <w:t>：ANSI/TIA-568、ISO/IEC11801。</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为避免配线架端口浪费和更灵活切换光纤和网络类型使用，智能电子配线架必须支持光铜混用（提供相关证明材料）。</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产品参数：</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电子配线架通过可视化管理系统软件平台能实时监测配线架上的各个端口，核实端口使用情况，查询每条跳线的链路端口位置，并且在发生误接时可及时发出提示告警并有指示灯显示，方便现场工作人员查找。当服务端设置工作派工单后，通过指示灯显示,指导布线管理维护人员进行迅速准确的跳线增减、变更接续等操作。</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标准1U机架式安装；</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每个端口具有感应装置，用于检测网线是否正确连接到配线架；</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24个LED指示灯，显示端口状态；</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含24根尾纤4适配器。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47</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8口光纤配线架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光纤配线盒</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非机架式安装；</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背面2个以上光缆固定PG头，盒内配置光缆固定柱和光纤熔接盒；</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光纤和尾纤弯曲半径不小于30mm；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材料：优质冷扎钢板；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端口数量：8、12位；</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端口类型： SC、ST、LC双工可选；</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表面处理：静电喷塑；</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表面颜色：黑色；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含8根尾纤4个适配器。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19英寸42U网络机柜</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尺寸：≥600*600*2000mm</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标准规范：ANSI/EIA RS-310-D、IEC297-2、DIN41491,PART1、DIN41494,PART7、GB/T 19520.2-2007、兼容ETSI标准；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产品</w:t>
            </w:r>
            <w:r>
              <w:rPr>
                <w:rFonts w:hint="eastAsia" w:ascii="仿宋" w:hAnsi="仿宋" w:eastAsia="仿宋" w:cs="仿宋"/>
                <w:color w:val="auto"/>
                <w:sz w:val="21"/>
                <w:szCs w:val="21"/>
                <w:lang w:eastAsia="zh-CN"/>
              </w:rPr>
              <w:t>要求</w:t>
            </w:r>
            <w:r>
              <w:rPr>
                <w:rFonts w:hint="eastAsia" w:ascii="仿宋" w:hAnsi="仿宋" w:eastAsia="仿宋" w:cs="仿宋"/>
                <w:color w:val="auto"/>
                <w:sz w:val="21"/>
                <w:szCs w:val="21"/>
              </w:rPr>
              <w:t>：预留各种走线通道，根据需要可关闭和打开，框架特别设计走线孔，走线隐蔽美观；</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可拆卸的左右侧门和前后门，操作方便；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高强度承重角规，深度方向可前后调整；</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风扇单元从顶部安装，使用过程中拆卸维护方便；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机柜预留对地安装孔和接地柱，满足现场使用需求；</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原材料：优质冷轧钢板；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机柜结构：拼装式机柜框架；</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前门：5mm3C认证透明钢化玻璃门；</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后门：钢质平板门</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机柜侧门：两块侧板可拆卸；</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规格厚度（mm）：19英寸角规2.0，600深侧门1.0，其它1.2；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负载：动态≤600kg，静态≤800kg</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19英寸角规:表面脱脂、磷化、静电喷塑处理；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其它处理：表面脱脂、磷化、静电喷塑处理；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最大开启角度：大于180度</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防护等级：IP20。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19英寸24U网络机柜</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尺寸：600*600*1400 mm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标准规范：ANSI/EIA RS-310-D、IEC297-2、DIN41491,PART1、DIN41494,PART7、GB/T 19520.2-2007、兼容ETSI标准；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lang w:eastAsia="zh-CN"/>
              </w:rPr>
              <w:t>产品要求</w:t>
            </w:r>
            <w:r>
              <w:rPr>
                <w:rFonts w:hint="eastAsia" w:ascii="仿宋" w:hAnsi="仿宋" w:eastAsia="仿宋" w:cs="仿宋"/>
                <w:color w:val="auto"/>
                <w:sz w:val="21"/>
                <w:szCs w:val="21"/>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预留各种走线通道，根据需要可关闭和打开，框架特别设计走线孔（相关证明材料），走线隐蔽美观；</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可拆卸的左右侧门和前后门，操作方便；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高强度承重角规，深度方向可前后调整；</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风扇单元从顶部安装，使用过程中拆卸维护方便；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机柜预留对地安装孔和接地柱，满足现场使用需求。</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29</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6U网络壁挂机柜</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尺寸：600*450*350 mm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标准规范：ANSI/EIA RS-310-D、IEC297-2、DIN41491,PART1、DIN41494,PART7、GB/T 19520.2-2007、兼容ETSI标准；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lang w:eastAsia="zh-CN"/>
              </w:rPr>
              <w:t>产品要求</w:t>
            </w:r>
            <w:r>
              <w:rPr>
                <w:rFonts w:hint="eastAsia" w:ascii="仿宋" w:hAnsi="仿宋" w:eastAsia="仿宋" w:cs="仿宋"/>
                <w:color w:val="auto"/>
                <w:sz w:val="21"/>
                <w:szCs w:val="21"/>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预留各种走线通道，根据需要可关闭和打开，框架特别设计走线孔，走线隐蔽美观；</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可拆卸的左右侧门和前后门，操作方便；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高强度承重角规，深度方向可前后调整；</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风扇单元从顶部安装，使用过程中拆卸维护方便；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机柜预留对地安装孔和接地柱，满足现场使用需求。</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机柜插座</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8口PDU、带防雷</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161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光纤熔接</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机械熔接费用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电话100对大对数三类</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 /EIA- 568-B.2</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YD/T1019-2001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单根导体直流电阻：≤14.8Ω/100m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电缆对数：25对；50对；100对</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导体材料：无氧圆铜（纯度99.99%）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导体线规：26AWG</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绝缘材料：HDPE</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屏蔽方式：U/UTP</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外护套材料：PVC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工作温度：-20℃～+60℃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交货长度（米/盘）：305米/盘</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包装方式: 盘装</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最小弯曲半径：10倍电缆外径。</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3100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电话50对大对数三类</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 /EIA- 568-B.2</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YD/T1019-2001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单根导体直流电阻：≤14.8Ω/100m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电缆对数：25对；50对；100对</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导体材料：无氧圆铜（纯度99.99%）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导体线规：26AWG</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绝缘材料：HDPE</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屏蔽方式：U/UTP</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外护套材料：PVC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工作温度：-20℃～+60℃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交货长度（米/盘）：305米/盘</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包装方式: 盘装</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最小弯曲半径：10倍电缆外径。</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1280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电话25对大对数三类</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符合标准：ISO/IEC 11801：2008；TIA /EIA- 568-B.2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 xml:space="preserve"> YD/T1019-2001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单根导体直流电阻：≤14.8Ω/100m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电缆对数：25对；50对；100对</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导体材料：无氧圆铜（纯度99.99%）</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导体线规：26AWG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绝缘材料：HDPE</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屏蔽方式：U/UTP</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外护套材料：PVC</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工作温度：-20℃～+60℃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交货长度（米/盘）：305米/盘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包装方式: 盘装</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最小弯曲半径：10倍电缆外径。</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1560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电话110配线架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满足T-568A超五类传输标准，符合T568A和T568B线序，适用于设备间的水平布线或设备端接，以及集中点的互配端接。</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坚固</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易于安装</w:t>
            </w:r>
            <w:r>
              <w:rPr>
                <w:rFonts w:hint="eastAsia" w:ascii="仿宋" w:hAnsi="仿宋" w:eastAsia="仿宋" w:cs="仿宋"/>
                <w:color w:val="auto"/>
                <w:sz w:val="21"/>
                <w:szCs w:val="21"/>
                <w:lang w:eastAsia="zh-CN"/>
              </w:rPr>
              <w:t>；</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正面标识空间</w:t>
            </w:r>
            <w:r>
              <w:rPr>
                <w:rFonts w:hint="eastAsia" w:ascii="仿宋" w:hAnsi="仿宋" w:eastAsia="仿宋" w:cs="仿宋"/>
                <w:color w:val="auto"/>
                <w:sz w:val="21"/>
                <w:szCs w:val="21"/>
                <w:lang w:eastAsia="zh-CN"/>
              </w:rPr>
              <w:t>有</w:t>
            </w:r>
            <w:r>
              <w:rPr>
                <w:rFonts w:hint="eastAsia" w:ascii="仿宋" w:hAnsi="仿宋" w:eastAsia="仿宋" w:cs="仿宋"/>
                <w:color w:val="auto"/>
                <w:sz w:val="21"/>
                <w:szCs w:val="21"/>
              </w:rPr>
              <w:t>端口识别，符合19"机架安装标准，1U高度。</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产品设计等级：通用连接器2级连接机构形式：卡口连接/分离</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连接方式： IDC端接网线。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无铅要求：满足</w:t>
            </w:r>
            <w:r>
              <w:rPr>
                <w:rFonts w:hint="eastAsia" w:ascii="仿宋" w:hAnsi="仿宋" w:eastAsia="仿宋" w:cs="仿宋"/>
                <w:color w:val="auto"/>
                <w:sz w:val="21"/>
                <w:szCs w:val="21"/>
                <w:lang w:eastAsia="zh-CN"/>
              </w:rPr>
              <w:t>国家及行业</w:t>
            </w:r>
            <w:r>
              <w:rPr>
                <w:rFonts w:hint="eastAsia" w:ascii="仿宋" w:hAnsi="仿宋" w:eastAsia="仿宋" w:cs="仿宋"/>
                <w:color w:val="auto"/>
                <w:sz w:val="21"/>
                <w:szCs w:val="21"/>
              </w:rPr>
              <w:t>标准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物料简介：该跳线架产品用于连接建筑物主干布线，建筑群主干布线和有源设备，主要用于通信设备和其他电子设备的线路转换连接使用。产品配接配用电缆为铜轴双绞线缆。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互配关系：与同一标准系列的连接器互配使用</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用标准：总规范：YD/T 926.1分规范：YD/T 926.3</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技术参数：</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1）电气特性：</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A、频率范围：0～100MHz</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B、工作电压：125 V</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C、耐压：750 V</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D、插入损耗：0.4dB 100MHz</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E、绝缘电阻：初始值≥100MΩ</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恒定湿热试验后≥100MΩ</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2）机械特性：</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A、插入力：插入力不大于20NN</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B、连接器连接装置的效果：50N 60±5s</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3）耐久性：</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导线端接次数：250次</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材料及表面处理：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A、金属材料：</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铁板：铁架，喷塑，黑色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IDC打线端子：磷青铜镀镍</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B、非金属材料：</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塑料：IDC塑壳为PC聚碳酸酯</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UTP六类非屏蔽跳线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需提供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的检测报告。</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11801:2008；YD/T 926.3-2009；TIA /EIA- 568-C.2；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导体结构: 多股绞合；</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跳线长度： 2M；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导体材料：无氧圆铜(纯度99.99%)；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屏蔽方式: U/UTP F/UTP；</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RJ45接口: 8P8C；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RJ45簧片材料：磷青铜表面镀金；</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RJ45簧片材料：磷青铜表面镀金；</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导体线规：23AWG；</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RJ45接口插拔次数≥1200次；</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 xml:space="preserve">插头护套：聚氯乙烯(PVC) </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跳线包装方式：1根/袋；</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使用温度：-20℃～+60℃。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UTP六类非屏蔽跳线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需提供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的检测报告。</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符合标准：ISO/IEC 11801:2008；YD/T 926.3-2009；TIA /EIA- 568-C.2；</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导体结构: 多股绞合；</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跳线长度： 3M；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导体材料：无氧圆铜(纯度99.99%)；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屏蔽方式: U/UTP F/UTP；</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RJ45接口: 8P8C；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RJ45簧片材料：磷青铜表面镀金；</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导体线规：23AWG；</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RJ45接口插拔次数≥1200次；</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插头护套：聚氯乙烯(PVC) ；</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跳线包装方式：1根/袋；</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使用温度：-20℃～+60℃。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LC/LC双芯单模光跳线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11801:2008；TIA/EIA-568-C.3；YD/T1272-2009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依据标准出厂前100%光学测试</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接头材料：氧化锆陶瓷插芯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跳线长度： 3M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插入损耗（含重复性）：≤0.2dB</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回波损耗：≥50dB</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重复性≥1000次</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互换性：≤0.2dB</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工作温度：-25℃~+70℃。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3168</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LC/LC双芯单模光跳线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11801:2008；TIA/EIA-568-C.3；YD/T1272-2009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依据标准出厂前100%光学测试</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接头材料：氧化锆陶瓷插芯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跳线长度： 30M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插入损耗（含重复性）：≤0.2dB</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回波损耗：≥50dB</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重复性≥1000次</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互换性：≤0.2dB</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工作温度：-25℃~+70℃。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230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LC/LC双芯单模光跳线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11801:2008；TIA/EIA-568-C.3；YD/T1272-2009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依据标准出厂前100%光学测试</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接头材料：氧化锆陶瓷插芯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跳线长度： 15M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插入损耗（含重复性）：≤0.2dB</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回波损耗：≥50dB</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重复性≥1000次</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互换性：≤0.2dB</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工作温度：-25℃~+70℃。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辅材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水晶头、扎带、机柜螺丝等</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系统集成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项目的</w:t>
            </w:r>
            <w:r>
              <w:rPr>
                <w:rFonts w:hint="eastAsia" w:ascii="仿宋" w:hAnsi="仿宋" w:eastAsia="仿宋" w:cs="仿宋"/>
                <w:color w:val="auto"/>
                <w:sz w:val="21"/>
                <w:szCs w:val="21"/>
              </w:rPr>
              <w:t>系统集成</w:t>
            </w:r>
            <w:r>
              <w:rPr>
                <w:rFonts w:hint="eastAsia" w:ascii="仿宋" w:hAnsi="仿宋" w:eastAsia="仿宋" w:cs="仿宋"/>
                <w:color w:val="auto"/>
                <w:sz w:val="21"/>
                <w:szCs w:val="21"/>
                <w:lang w:eastAsia="zh-CN"/>
              </w:rPr>
              <w:t>及调试</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第二部分：视频监控系统布线（校园监控+教室监控）</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六类非屏蔽网线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11801：2008；IEC 61156-5-2009；TIA /EIA- 568-C.2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通过标准250MHz带宽测试要求可扩展到500MHz带宽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提供产品CE认证；</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的检验报告；</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单根导体直流电阻：≤8.9Ω/100m</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额定传输速率(NVP)：68%</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电缆对数：4对</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十字骨架材料：PE混合物</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导体材料：无氧圆铜（纯度99.99%）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导体线规：23AWG</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绝缘材料：HDPE</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屏蔽方式：U/UTP</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电缆外径：6.3±0.3mm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外护套材料：PVC或LSZH低烟无卤阻燃或PE阻水</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工作温度：-20℃～+60℃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交货长度（米/盘）：305米/箱</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包装方式: 箱装。</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175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室外8芯单模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11801:2008；TIA/EIA-568-C.3；YD/T769-2010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全截面阻水结构，松套管填充特种油膏，确保良好的阻水防潮性能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衰减＠20℃（DB/Km）：＠1310≤0.36，＠1550≤0.22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光纤规格：B1.3（9/125μm）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包层不圆度：≤1％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铠装料: 钢带；钢带、皱纹钢带</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加强件: 磷化圆钢丝</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动态/静态弯曲半径: 20D/10D</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25D/12.5D</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允许压扁力（N/100mm）: 300/1000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允许拉伸力（N）: 600/1500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X表示芯数：8芯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外护套颜色：黑色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存储/工作温度：-40℃～+60℃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25010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室外4芯单模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11801:2008；TIA/EIA-568-C.3；YD/T769-2010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全截面阻水结构，松套管填充特种油膏，确保良好的阻水防潮性能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衰减＠20℃（DB/Km）：＠1310≤0.36，＠1550≤0.22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光纤规格：B1.3（9/125μm）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包层不圆度：≤1％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铠装料: 钢带；钢带、皱纹钢带</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加强件: 磷化圆钢丝</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动态/静态弯曲半径: 20D/10D</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25D/12.5D</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允许压扁力（N/100mm）: 300/1000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允许拉伸力（N）: 600/1500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1000/3000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X表示芯数：4芯</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外护套颜色：黑色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存储/工作温度：-40℃～+60℃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敷设方式：管道、架空、隧道等敷设（轻铠）；管道、隧道、直埋（重铠）。</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3280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24口光纤配线架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1、基本参数：光缆电子配线架</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w:t>
            </w:r>
            <w:r>
              <w:rPr>
                <w:rFonts w:hint="eastAsia" w:ascii="仿宋" w:hAnsi="仿宋" w:eastAsia="仿宋" w:cs="仿宋"/>
                <w:color w:val="auto"/>
                <w:sz w:val="21"/>
                <w:szCs w:val="21"/>
                <w:lang w:eastAsia="zh-CN"/>
              </w:rPr>
              <w:t>产品标准</w:t>
            </w:r>
            <w:r>
              <w:rPr>
                <w:rFonts w:hint="eastAsia" w:ascii="仿宋" w:hAnsi="仿宋" w:eastAsia="仿宋" w:cs="仿宋"/>
                <w:color w:val="auto"/>
                <w:sz w:val="21"/>
                <w:szCs w:val="21"/>
              </w:rPr>
              <w:t>：ANSI/TIA-568、ISO/IEC11801。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3. ◆为避免配线架端口浪费和更灵活切换光纤和网络类型使用，智能电子配线架必须支持光铜混用（需提供相关证明材料）。</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4、产品参数：</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电子配线架通过可视化管理系统软件平台能实时监测配线架上的各个端口，核实端口使用情况，查询每条跳线的链路端口位置，并且在发生误接时可及时发出提示告警并有指示灯显示，方便现场工作人员查找。当服务端设置工作派工单后，通过指示灯显示,指导布线管理维护人员进行迅速准确的跳线增减、变更接续等操作。</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5、标准1U机架式安装；</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6、每个端口具有感应装置，用于检测网线是否正确连接到配线架；</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7、24个LED指示灯，显示端口状态；</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8、含24根尾纤4适配器。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UTP六类非屏蔽跳线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需提供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的检测报告；</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符合标准：ISO/IEC 11801:2008；YD/T 926.3-2009；TIA /EIA- 568-C.2</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导体结构: 多股绞合</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跳线长度：2M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导体材料：无氧圆铜(纯度99.99%)</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屏蔽方式: U/UTP F/UTP</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RJ45接口: 8P8C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RJ45簧片材料：磷青铜表面镀金</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导体线规：23AWG</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RJ45接口插拔次数≥1200次</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 xml:space="preserve">插头护套：聚氯乙烯(PVC) </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跳线包装方式：1根/袋</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使用温度：-20℃～+60℃。</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8口光纤配线架</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光纤配线盒</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非机架式安装；</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背面2个以上光缆固定PG头，盒内配置光缆固定柱和光纤熔接盒；</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光纤和尾纤弯曲半径不小于30mm；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材料：优质冷扎钢板；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端口数量：8、12位；</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端口类型： SC、ST、LC双工可选；</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表面处理：静电喷塑；</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表面颜色：黑色；</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含8根尾纤4个适配器。</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室外防水箱</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室外600*600*535mm防水箱</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产品</w:t>
            </w:r>
            <w:r>
              <w:rPr>
                <w:rFonts w:hint="eastAsia" w:ascii="仿宋" w:hAnsi="仿宋" w:eastAsia="仿宋" w:cs="仿宋"/>
                <w:color w:val="auto"/>
                <w:sz w:val="21"/>
                <w:szCs w:val="21"/>
                <w:lang w:eastAsia="zh-CN"/>
              </w:rPr>
              <w:t>应附安装</w:t>
            </w:r>
            <w:r>
              <w:rPr>
                <w:rFonts w:hint="eastAsia" w:ascii="仿宋" w:hAnsi="仿宋" w:eastAsia="仿宋" w:cs="仿宋"/>
                <w:color w:val="auto"/>
                <w:sz w:val="21"/>
                <w:szCs w:val="21"/>
              </w:rPr>
              <w:t>配件</w:t>
            </w:r>
            <w:r>
              <w:rPr>
                <w:rFonts w:hint="eastAsia" w:ascii="仿宋" w:hAnsi="仿宋" w:eastAsia="仿宋" w:cs="仿宋"/>
                <w:color w:val="auto"/>
                <w:sz w:val="21"/>
                <w:szCs w:val="21"/>
                <w:lang w:eastAsia="zh-CN"/>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室外电线管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PE管材&amp;25</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3*2.0 RVV电源线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用途：产品为额定电压450/750V及以下的聚氯乙烯绝缘和护套非屏蔽的软电缆。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适用于交流标称电压不超过450/750V的动力装置,主要用于安防</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工作温度不超过70℃。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生产标准：GB/T 5023-2008（等同于IEC 60227）及JB/T 8734-98；</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导体：多支裸铜线；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绝缘：PVC；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护套：环保PVC或PE（阻水）或LSZH低烟无卤阻燃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导体结构、绝缘外径、线缆外径符合标准要求；</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包装长度：200米/卷500米/卷1000米/卷(包装规格可根据</w:t>
            </w:r>
            <w:r>
              <w:rPr>
                <w:rFonts w:hint="eastAsia" w:ascii="仿宋" w:hAnsi="仿宋" w:eastAsia="仿宋" w:cs="仿宋"/>
                <w:color w:val="auto"/>
                <w:sz w:val="21"/>
                <w:szCs w:val="21"/>
                <w:lang w:eastAsia="zh-CN"/>
              </w:rPr>
              <w:t>采购要求</w:t>
            </w:r>
            <w:r>
              <w:rPr>
                <w:rFonts w:hint="eastAsia" w:ascii="仿宋" w:hAnsi="仿宋" w:eastAsia="仿宋" w:cs="仿宋"/>
                <w:color w:val="auto"/>
                <w:sz w:val="21"/>
                <w:szCs w:val="21"/>
              </w:rPr>
              <w:t>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2300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1U网络配线架含模块</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19英寸机架式，24口/1RU，含24个CAT6 RJ45阻燃信息模块，接口RJ45，免打线，模块均可单独更换；阻燃活动ABS阻燃面板。</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辅材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水晶头、扎带、机柜螺丝等</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系统集成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项目的</w:t>
            </w:r>
            <w:r>
              <w:rPr>
                <w:rFonts w:hint="eastAsia" w:ascii="仿宋" w:hAnsi="仿宋" w:eastAsia="仿宋" w:cs="仿宋"/>
                <w:color w:val="auto"/>
                <w:sz w:val="21"/>
                <w:szCs w:val="21"/>
              </w:rPr>
              <w:t>系统集成</w:t>
            </w:r>
            <w:r>
              <w:rPr>
                <w:rFonts w:hint="eastAsia" w:ascii="仿宋" w:hAnsi="仿宋" w:eastAsia="仿宋" w:cs="仿宋"/>
                <w:color w:val="auto"/>
                <w:sz w:val="21"/>
                <w:szCs w:val="21"/>
                <w:lang w:eastAsia="zh-CN"/>
              </w:rPr>
              <w:t>及调试</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第三部分：校园广播系统布线</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六类非屏蔽网线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符合标准：ISO/IEC 11801：2008；IEC 61156-5-2009；TIA /EIA- 568-C.2通过标准250MHz带宽测试要求可扩展到500MHz带宽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单根导体直流电阻：≤8.9Ω/100m</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额定传输速率(NVP)：68%</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电缆对数：4对</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十字骨架材料：PE混合物；导体材料：无氧圆铜（纯度99.99%）；导体线规：23AWG；绝缘材料：HDPE；屏蔽方式：U/UTP；电缆外径：6.3±0.3mm；外护套材料：PVC或LSZH低烟无卤阻燃或PE阻水；工作温度：-20℃～+60℃；交货长度（米/盘）：305米/箱；包装方式: 箱装。</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 RVV电源线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用途：产品为额定电压450/750V及以下的聚氯乙烯绝缘和护套非屏蔽的软电缆。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适用于交流标称电压不超过450/750V的动力装置,主要用于安防</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工作温度不超过70℃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生产标准：GB/T 5023-2008（等同于IEC 60227）及JB/T 8734-98；</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导体：多支裸铜线；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绝缘：PVC；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护套：环保PVC或PE（阻水）或LSZH低烟无卤阻燃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导体结构、绝缘外径、线缆外径符合标准要求；</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包装长度：200米/卷500米/卷1000米/卷(包装规格可根据</w:t>
            </w:r>
            <w:r>
              <w:rPr>
                <w:rFonts w:hint="eastAsia" w:ascii="仿宋" w:hAnsi="仿宋" w:eastAsia="仿宋" w:cs="仿宋"/>
                <w:color w:val="auto"/>
                <w:sz w:val="21"/>
                <w:szCs w:val="21"/>
                <w:lang w:eastAsia="zh-CN"/>
              </w:rPr>
              <w:t>采购要求</w:t>
            </w:r>
            <w:r>
              <w:rPr>
                <w:rFonts w:hint="eastAsia" w:ascii="仿宋" w:hAnsi="仿宋" w:eastAsia="仿宋" w:cs="仿宋"/>
                <w:color w:val="auto"/>
                <w:sz w:val="21"/>
                <w:szCs w:val="21"/>
              </w:rPr>
              <w:t>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3500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2*1.5 RVV电源线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用途：产品为额定电压450/750V及以下的聚氯乙烯绝缘和护套非屏蔽的软电缆。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适用于交流标称电压不超过450/750V的动力装置,主要用于安防</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工作温度不超过70℃。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生产标准：GB/T 5023-2008（等同于IEC 60227）及JB/T 8734-98；</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导体：多支裸铜线；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绝缘：PVC；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护套：环保PVC或PE（阻水）或LSZH低烟无卤阻燃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导体结构、绝缘外径、线缆外径符合标准要求；</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包装长度：200米/卷500米/卷1000米/卷(包装规格可根据</w:t>
            </w:r>
            <w:r>
              <w:rPr>
                <w:rFonts w:hint="eastAsia" w:ascii="仿宋" w:hAnsi="仿宋" w:eastAsia="仿宋" w:cs="仿宋"/>
                <w:color w:val="auto"/>
                <w:sz w:val="21"/>
                <w:szCs w:val="21"/>
                <w:lang w:eastAsia="zh-CN"/>
              </w:rPr>
              <w:t>采购要求</w:t>
            </w:r>
            <w:r>
              <w:rPr>
                <w:rFonts w:hint="eastAsia" w:ascii="仿宋" w:hAnsi="仿宋" w:eastAsia="仿宋" w:cs="仿宋"/>
                <w:color w:val="auto"/>
                <w:sz w:val="21"/>
                <w:szCs w:val="21"/>
              </w:rPr>
              <w:t>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2300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2*1.5 RVVP电源线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用途：产品为额定电压450/750V及以下的聚氯乙烯绝缘和护套非屏蔽的软电缆。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适用于交流标称电压不超过450/750V的动力装置,主要用于安防</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工作温度不超过70℃。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生产标准：GB/T 5023-2008（等同于IEC 60227）及JB/T 8734-98；</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导体：多支裸铜线；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绝缘：PVC；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护套：环保PVC或PE（阻水）或LSZH低烟无卤阻燃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RVVP屏蔽编织：纯铜或镀锡铜；</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导体结构、绝缘外径、线缆外径符合标准要求；</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包装长度：200米/卷500米/卷1000米/卷(包装规格可根据</w:t>
            </w:r>
            <w:r>
              <w:rPr>
                <w:rFonts w:hint="eastAsia" w:ascii="仿宋" w:hAnsi="仿宋" w:eastAsia="仿宋" w:cs="仿宋"/>
                <w:color w:val="auto"/>
                <w:sz w:val="21"/>
                <w:szCs w:val="21"/>
                <w:lang w:eastAsia="zh-CN"/>
              </w:rPr>
              <w:t>采购要求</w:t>
            </w:r>
            <w:r>
              <w:rPr>
                <w:rFonts w:hint="eastAsia" w:ascii="仿宋" w:hAnsi="仿宋" w:eastAsia="仿宋" w:cs="仿宋"/>
                <w:color w:val="auto"/>
                <w:sz w:val="21"/>
                <w:szCs w:val="21"/>
              </w:rPr>
              <w:t>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2*2.0 RVVP电源线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用途：产品为额定电压450/750V及以下的聚氯乙烯绝缘和护套非屏蔽的软电缆。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适用于交流标称电压不超过450/750V的动力装置,主要用于安防</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工作温度不超过70℃。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生产标准：GB/T 5023-2008（等同于IEC 60227）及JB/T 8734-98；</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导体：多支裸铜线；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绝缘：PVC；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护套：环保PVC或PE（阻水）或LSZH低烟无卤阻燃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RVVP屏蔽编织：纯铜或镀锡铜；</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导体结构、绝缘外径、线缆外径符合标准要求；</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包装长度：200米/卷500米/卷1000米/卷(包装规格可根据</w:t>
            </w:r>
            <w:r>
              <w:rPr>
                <w:rFonts w:hint="eastAsia" w:ascii="仿宋" w:hAnsi="仿宋" w:eastAsia="仿宋" w:cs="仿宋"/>
                <w:color w:val="auto"/>
                <w:sz w:val="21"/>
                <w:szCs w:val="21"/>
                <w:lang w:eastAsia="zh-CN"/>
              </w:rPr>
              <w:t>采购要求</w:t>
            </w:r>
            <w:r>
              <w:rPr>
                <w:rFonts w:hint="eastAsia" w:ascii="仿宋" w:hAnsi="仿宋" w:eastAsia="仿宋" w:cs="仿宋"/>
                <w:color w:val="auto"/>
                <w:sz w:val="21"/>
                <w:szCs w:val="21"/>
              </w:rPr>
              <w:t>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7000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2*2.5 RVVP电源线</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用途：产品为额定电压450/750V及以下的聚氯乙烯绝缘和护套非屏蔽的软电缆。</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适用于交流标称电压不超过450/750V的动力装置,主要用于安防</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工作温度不超过70℃。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生产标准：GB/T 5023-2008（等同于IEC 60227）及JB/T 8734-98；</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导体：多支裸铜线；</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绝缘：PVC；</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护套：环保PVC或PE（阻水）或LSZH低烟无卤阻燃；</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RVVP屏蔽编织：纯铜或镀锡铜；</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导体结构、绝缘外径、线缆外径符合标准要求；</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包装长度：200米/卷500米/卷1000米/卷(包装规格可根据</w:t>
            </w:r>
            <w:r>
              <w:rPr>
                <w:rFonts w:hint="eastAsia" w:ascii="仿宋" w:hAnsi="仿宋" w:eastAsia="仿宋" w:cs="仿宋"/>
                <w:color w:val="auto"/>
                <w:sz w:val="21"/>
                <w:szCs w:val="21"/>
                <w:lang w:eastAsia="zh-CN"/>
              </w:rPr>
              <w:t>采购要求</w:t>
            </w:r>
            <w:r>
              <w:rPr>
                <w:rFonts w:hint="eastAsia" w:ascii="仿宋" w:hAnsi="仿宋" w:eastAsia="仿宋" w:cs="仿宋"/>
                <w:color w:val="auto"/>
                <w:sz w:val="21"/>
                <w:szCs w:val="21"/>
              </w:rPr>
              <w:t>更改) 。</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室外电线管</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PE管材&amp;25</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3000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辅材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水晶头、扎带、机柜螺丝等</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系统集成</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项目的</w:t>
            </w:r>
            <w:r>
              <w:rPr>
                <w:rFonts w:hint="eastAsia" w:ascii="仿宋" w:hAnsi="仿宋" w:eastAsia="仿宋" w:cs="仿宋"/>
                <w:color w:val="auto"/>
                <w:sz w:val="21"/>
                <w:szCs w:val="21"/>
              </w:rPr>
              <w:t>系统集成</w:t>
            </w:r>
            <w:r>
              <w:rPr>
                <w:rFonts w:hint="eastAsia" w:ascii="仿宋" w:hAnsi="仿宋" w:eastAsia="仿宋" w:cs="仿宋"/>
                <w:color w:val="auto"/>
                <w:sz w:val="21"/>
                <w:szCs w:val="21"/>
                <w:lang w:eastAsia="zh-CN"/>
              </w:rPr>
              <w:t>及调试</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第四部分：网络安全交换系统</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防火墙</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详见详细参数要求</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综合出口路由网关</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详见详细参数要求</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第五部分：基础网络交换系统</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★核心交换机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1.▲主控引擎与业务板卡完全物理分离, 采用全分布式转发处理架构，独立主控引擎插槽≥2个，独立业务插槽数≥6个；主控引擎故障情况下，不能影响整机转发能力，交换容量≥86Tbps，包转发率≥ 11600Mpps（若官网存在双标，以较小值为准）（需提供证明材料）。</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2.硬件健康状态可视化，设备支持硬件健康状态可视化，可以对风扇状态、电源、温度、板载电压进行监控，尤其是在日常巡查中发现电压异常前兆，可及时处理，避免出现电压异常宕机；</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3.支持N:1虚拟化：可将2台物理设备虚拟化为1台逻辑设备，虚拟组内设备具备统一的二层及三层转发表项，统一的管理界面，并可实现跨设备链路聚合（需提供证明材料）。</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4.支持IPv6过渡技术，IPv4/IPv6双栈、6over4隧道、4 over6隧道，支持IPv6 DHCP SERVER、IPv6 DHCP Relay、DHCP Snooping；</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5.支持ERPS功能检测到故障并启用备份链路的断流时间≤50ms；</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6.考虑设备兼容性、项目实施、交付及售后服务，本次招标文件所涉及的交换机、无线设备、防火墙、综合出口路由网关为同一品牌</w:t>
            </w:r>
            <w:r>
              <w:rPr>
                <w:rFonts w:hint="eastAsia" w:ascii="仿宋" w:hAnsi="仿宋" w:eastAsia="仿宋" w:cs="仿宋"/>
                <w:color w:val="auto"/>
                <w:sz w:val="21"/>
                <w:szCs w:val="21"/>
                <w:lang w:eastAsia="zh-CN"/>
              </w:rPr>
              <w:t>。</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配置要求：</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1）.每台配置主控引擎≥1个、满配交换网版、电源≥2个；</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2）.每台配置千兆光接口≥24个，千兆电口≥24个，万兆光接口≥36个、40G光接口≥4个、USB接口≥1，所有网络接口为业务板接口，非主控引擎板接口；</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48口万兆汇集交换机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1.交换容量≥2.56T,包转发率≥1900Mpps；（若官网存在双标，以较小值为准），支持并实配10G接口数≥48，100G/40G接口数≥8（需提供官网截图和查询链接）。</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2.支持可拔插双模块化电源，可拔插四模块化风扇，前/后通风。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3.支持硬件层级双boot，采用两个FLASH芯片存储boot软件（系统引导程序），实现硬件级boot冗余备份，避免因FLASH芯片故障导致交换机无法启动（需提供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的测试报告）。</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4.支持RIP，OSPF，BGP，RIPng，OSPFv3，BGP4+；</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5.支持VXLAN桥模式、VXLAN路由模式，支持VXLAN控制平面MP-BGP EVPN；</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6.支持专门基础网络保护机制，能够限制用户向网络中发送数据包的速率，对有攻击行为的用户进行隔离，保证设备和整网的安全稳定运行；</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7、▲提供工信部三层交换机进网许可证,并且入网许可证</w:t>
            </w:r>
            <w:r>
              <w:rPr>
                <w:rFonts w:hint="eastAsia" w:ascii="仿宋" w:hAnsi="仿宋" w:eastAsia="仿宋" w:cs="仿宋"/>
                <w:color w:val="auto"/>
                <w:sz w:val="21"/>
                <w:szCs w:val="21"/>
                <w:lang w:eastAsia="zh-CN"/>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24口万兆汇集交换机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1.交换容量≥2.54T，包转发率≥560Mpps，以官网最小值为准，（需提供官网截图和查询链接）；</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2.支持并实配10G/1G接口数≥20，25G/10G接口数量≥4，40G接口数≥2，整机可扩展支持10G接口数≥32；</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3.设备支持故障隔离技术，用于监测光模块状态，一旦出现故障，可马上识别、并将故障模块隔离，确保不影响其它端口和整机的正常运行，更换模块后该端口也可马上恢复正常工作；</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4.支持RIP，OSPF，BGP，RIPng，OSPFv3，BGP4+；</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5.支持多虚一技术，可将多台物理设备虚拟化为一台逻辑设备统一管理，VSL故障恢复时间＜30ms（需提供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6.支持支持同时开启802.1X或WEB认证，CPP、ACL、防ARP欺骗等功能不会相互冲突、制约，投标时提供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7.要求所投产品支持软件定义网络SDN，符合OpenFlow、NETCONF协议标准，投标时提供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8.支持CPU保护功能，能够针对发往CPU处理的各种报文进行流区分和优先级队列分级处理，保护交换机在各种环境下稳定工作，投标时提供</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48口交换机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1.固化10/100/1000M以太网端口≥48，1G/10G SFP+光接口≥4，交换容量≥430Gbps，转发性能≥140Mpps；提供官网截图和查询链接</w:t>
            </w:r>
            <w:r>
              <w:rPr>
                <w:rFonts w:hint="eastAsia" w:ascii="仿宋" w:hAnsi="仿宋" w:eastAsia="仿宋" w:cs="仿宋"/>
                <w:color w:val="auto"/>
                <w:sz w:val="21"/>
                <w:szCs w:val="21"/>
                <w:lang w:eastAsia="zh-CN"/>
              </w:rPr>
              <w:t>；</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2.要求所投产品端口浪涌抗扰度≥10KV；</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3.支持静态路由、RIP/RIPng、OSPFv2/OSPFv3等三层路由协议；</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4.支持CPU保护功能，能限制非法报文对CPU的攻击，保护交换机在各种环境下稳定工作；</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5.支持RLDP，可快速检测链路的通断和光纤链路的单向性，并支持端口下的环路检测功能；</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eastAsia="zh-CN"/>
              </w:rPr>
              <w:t>▲提供工信部三层交换机进网许可证</w:t>
            </w:r>
            <w:r>
              <w:rPr>
                <w:rFonts w:hint="eastAsia" w:ascii="仿宋" w:hAnsi="仿宋" w:eastAsia="仿宋" w:cs="仿宋"/>
                <w:color w:val="auto"/>
                <w:sz w:val="21"/>
                <w:szCs w:val="21"/>
              </w:rPr>
              <w:t>；</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7.支持SNMP、CLI(Telnet/Console)、RMON、SSH、Syslog、NTP/SNTP、FTP、TFTP、Web</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36</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24口交换机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1.交换容量≥336G；包转发率≥108Mpps</w:t>
            </w:r>
            <w:r>
              <w:rPr>
                <w:rFonts w:hint="eastAsia" w:ascii="仿宋" w:hAnsi="仿宋" w:eastAsia="仿宋" w:cs="仿宋"/>
                <w:color w:val="auto"/>
                <w:sz w:val="21"/>
                <w:szCs w:val="21"/>
                <w:lang w:eastAsia="zh-CN"/>
              </w:rPr>
              <w:t>；</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2.固化10/100/1000M以太网端口≥24，固化10G/1G SFP+光接口≥4个</w:t>
            </w:r>
            <w:r>
              <w:rPr>
                <w:rFonts w:hint="eastAsia" w:ascii="仿宋" w:hAnsi="仿宋" w:eastAsia="仿宋" w:cs="仿宋"/>
                <w:color w:val="auto"/>
                <w:sz w:val="21"/>
                <w:szCs w:val="21"/>
                <w:lang w:eastAsia="zh-CN"/>
              </w:rPr>
              <w:t>；</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3.支持特有的CPU保护策略，对发往CPU的数据流，进行流区分和优先级队列分级处理，并根据需要实施带宽限速，充分保护CPU不被非法流量占用、恶意攻击和资源消耗</w:t>
            </w:r>
            <w:r>
              <w:rPr>
                <w:rFonts w:hint="eastAsia" w:ascii="仿宋" w:hAnsi="仿宋" w:eastAsia="仿宋" w:cs="仿宋"/>
                <w:color w:val="auto"/>
                <w:sz w:val="21"/>
                <w:szCs w:val="21"/>
                <w:lang w:eastAsia="zh-CN"/>
              </w:rPr>
              <w:t>；</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.支持快速链路检测协议RLDP，可快速检测链路的通断和光纤链路的单向性，并支持端口下的环路检测功能，防止端口下因私接Hub等设备形成的环路而导致网络故障的现象</w:t>
            </w:r>
            <w:r>
              <w:rPr>
                <w:rFonts w:hint="eastAsia" w:ascii="仿宋" w:hAnsi="仿宋" w:eastAsia="仿宋" w:cs="仿宋"/>
                <w:color w:val="auto"/>
                <w:sz w:val="21"/>
                <w:szCs w:val="21"/>
                <w:lang w:eastAsia="zh-CN"/>
              </w:rPr>
              <w:t>；</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.支持IPV4/IPV6静态路由</w:t>
            </w:r>
            <w:r>
              <w:rPr>
                <w:rFonts w:hint="eastAsia" w:ascii="仿宋" w:hAnsi="仿宋" w:eastAsia="仿宋" w:cs="仿宋"/>
                <w:color w:val="auto"/>
                <w:sz w:val="21"/>
                <w:szCs w:val="21"/>
                <w:lang w:eastAsia="zh-CN"/>
              </w:rPr>
              <w:t>；</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▲提供工信部设备进网许可证</w:t>
            </w:r>
            <w:r>
              <w:rPr>
                <w:rFonts w:hint="eastAsia" w:ascii="仿宋" w:hAnsi="仿宋" w:eastAsia="仿宋" w:cs="仿宋"/>
                <w:color w:val="auto"/>
                <w:sz w:val="21"/>
                <w:szCs w:val="21"/>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19</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入室16口POE交换机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1.◆固化10/100/1000M以太网电口≥16个，1G/2.5G以太网电口≥2个，1G/10G SFP+光接口≥2个，交换容量≥336Gbps，包转发率≥61.5Mpps；（需提供官网截图和查询链接）</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2.要求所投产品支持POE和POE+远程供电，POE供电功率≥125W；提供官网截图和查询链接</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3.要求设备采用内部构造为无风扇散热静音设计（提供证明文件）；</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4.支持专门针对CPU的保护机制，能够针对发往CPU处理的各种报文进行流区分和优先级队列分级处理，保护交换机在各种环境下稳定工作；</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5.支持RLDP，可快速检测链路的通断和光纤链路的单向性，并支持端口下的环路检测功能；</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6.支持生成树协议STP(IEEE 802.1d)，RSTP(IEEE 802.1w)和MSTP(IEEE 802.1s)，完全保证快速收敛，提高容错能力，保证网络的稳定运行和链路的负载均衡，合理使用网络通道，提供冗余链路利用率；</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w:t>
            </w:r>
            <w:r>
              <w:rPr>
                <w:rFonts w:hint="eastAsia" w:ascii="仿宋" w:hAnsi="仿宋" w:eastAsia="仿宋" w:cs="仿宋"/>
                <w:color w:val="auto"/>
                <w:sz w:val="21"/>
                <w:szCs w:val="21"/>
                <w:lang w:eastAsia="zh-CN"/>
              </w:rPr>
              <w:t>▲提供工信部设备进网许可证</w:t>
            </w:r>
            <w:r>
              <w:rPr>
                <w:rFonts w:hint="eastAsia" w:ascii="仿宋" w:hAnsi="仿宋" w:eastAsia="仿宋" w:cs="仿宋"/>
                <w:color w:val="auto"/>
                <w:sz w:val="21"/>
                <w:szCs w:val="21"/>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教室入室8口POE交换机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1.◆固化10/100/1000M以太网电口≥8个，1G/2.5G以太网电口≥2个，1G/10G SFP+光接口≥2个，交换容量≥336Gbps，包转发率≥49.5Mpps（需提供官网截图和查询链接）。</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2.要求所投产品支持POE和POE+远程供电，POE供电功率为125W；</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3.◆要求设备采用内部构造为无风扇散热静音设计（提供相关证明文件）</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3.支持端口浪涌抗扰度≥8KV（即具备8KV的防雷能力），要求提供官网截图作为证明；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5.支持IPv4和IPv6的静态路由、RIP/RIPng、OSPFv2/OSPFv3等三层路由协议；</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6.◆当室内交换机出现故障，支持替换用的新设备的零配置替换，新设备上电后配置自动下发，无需手动配置。投标时提供具有</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7.支持SNMP、CLI(Telnet/Console)、Syslog、NTP、TFTP、Web。</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万兆光模块</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万兆LC接口模块（1310nm），10km，适用于SFP+接口</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352</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普通8口POE交换机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1.固化10/100/1000M以太网电口≥8个，100/1000M SFP千兆光接口≥2个；交换容量≥100Gbps，包转发率≥15Mpps；</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2.要求所投产品支持POE和POE+远程供电</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eastAsia="zh-CN"/>
              </w:rPr>
              <w:t>▲提供工信部设备进网许可证</w:t>
            </w:r>
            <w:r>
              <w:rPr>
                <w:rFonts w:hint="eastAsia" w:ascii="仿宋" w:hAnsi="仿宋" w:eastAsia="仿宋" w:cs="仿宋"/>
                <w:color w:val="auto"/>
                <w:sz w:val="21"/>
                <w:szCs w:val="21"/>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千兆光模块</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1000BASE-LX mini GBIC转换模块（1310nm），10km</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102</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无线控制器</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1.固化千兆电口数≥8，固化千兆光口数≥8个，10G万兆接口数≥4个。</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2.默认配置可管理AP数≥128个，最大可支持管理1152个AP ，提供官网查询链接及截图作为证明。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3.为保障无线网络的可靠性，AC虚拟化的最大AP接入容量≥4096，提供国家权威机构测试报告证明。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4.无线控制器具备虚拟化功能，多台无线控制器可以被虚拟化成一台控制器，实现虚拟控制器对所有成员AC的统一管理、在成员AC间共享License、统一将AP 接入虚拟AC中，需提供国家权威机构测试报告证明。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5.支持MAC认证、WEB认证、802.1X认证，认证后能实现IP、MAC、WLAN等元素的绑定信息，保证只有合法的用户才能进入网络。</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6.提供和所投产品型号一致的工信部颁发的电信设备进网许可证复印件。</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提供国家强制性产品CCC认证证书复印件。</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无线AP管理授权</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每套可支持增加128个普通AP或256个墙面式AP的控制权</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高密无线AP</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1.采用三路双频设计，可同时工作在802.11ax和802.11a/b/g/n/ac模式，两个5GHz射频卡，一个2.4GHz射频卡，提供官网全屏截图及链接证明；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2.整机最大接入速率≥3.2Gbps；</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4.所投AP整机最大终端接入数不小于1536个；</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5.所投AP具有WLAN自动网优功能，不借助任何网络优化软件，仅通过AP配置进行无线网络优化，降低无线网络中的频段干扰；</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6.所投AP内置探针功能，能够对覆盖范围的终端MAC信息进行检测。</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无线吸顶AP</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1.支持标准的802.11ax协议,采用双路双频设计，可同时工作在802.11ax和802.11a/b/g/n/ac模式；</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2.支持4条空间流,单频最大接入速1.2Gbps,整机最大接入速率1.775Gbps；</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3.支持802.3af/本地电源DC48V两种供电模式，整机功耗小于12.95w；</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4.为保证网络出口稳定性，网络出口需要备份，所投无线接入点具备NAT功能。支持ALG (FTP ALG/DNS ALG)，需要提供功能截图；</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5.为避免无线网络中私接非法AP的影响，设备应支持802.11w防御Deauth攻击功能，保证终端正常关联使用；</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6.提供无线电发射设备型号核准证复印件。</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377</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室外AP</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1.支持标准的802.11ac协议,采用双路双频设计，可同时工作在802.11a/n/ac/ax和802.11b/g/n/ac/ax模式；</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2.天线设计：为提高设备防护等级，防止水雾侵蚀，设备采用内置天线设计，无外置天线口；</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3.支持4条空间流,2.4GHz单频最大接入速率0.575Gbps,5.8GHz单频最大接入速率1.2Gbps，整机最大提供2.4Gbps的无线接入速率；</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4.提供1个RJ45 console管理口；1个SFP上联光口；1个10/100/1000Base-T以太网上联接口与SFP复用，支持PoE受电；</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5.防护等级：IP68；</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6.避雷方式：网口和天线口均内置避雷器，满足6KV防雷要求，不需外加防雷器；</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7.为增强无线网络可靠性，支持当AC宕机时，AP切换为智能转发模式继续传输数据，保证无线用户正常使用，要求提供技术白皮书证明，保留测试权利；</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8.支持IPv6技术，包括IPv6报文透传 ,IPv6终端接入认证，保留测试权利；</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9.为便于后期的管理，要求无线接入点须和网络管理系统进行联动，可以通过网管软件进行配置和拓扑发现，并能进行状态监测和告警，还能实现有线无线一体化网管平台。</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无线认证平台</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1.◆1U硬件化设备，提供GE电口≥6个， USB口≥2个，提供产品外观图片证明（图片可清晰反映设备接口情况及设备具体型号）；</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2.硬盘≥1T，DDR2内存≥2G，支持Linux操作平台，支持PostgreSQL数据库；</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3.支持内置Portal和802.1x功能，支持MAC地址认证，支持短信认证；</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4.支持与第三方Radius联动，将认证信息转发给第三方Radius服务器进行认证，实现统一身份源；</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5.支持终端硬盘序列号、SSID、用户用户名、用户密码、终端IP、终端MAC、网络访问控制设备（NAS）IP、NAS端口多元素的主动学习以及各元素的灵活组合绑定；</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6.支持认证页面合并功能，在同一认证页面可选择普通用户、短信、二维码（接待人员扫描访客二维码和访客扫描接待人员二维码）等多种认证方式，提供认证页面截图证明；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7.支持昵称认证功能，可以采用昵称代替用户名认证；</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8.首次登陆账号激活，强制用户上线后必须修改初始化密码；</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9.支持密码防暴力破解功能，认证页面输入N（N≥3）次错误密码后，将在指定之间内无法认证成功，提供功能配置截图证明；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10.支持设置账号的使用权限，支持设置禁止认证时段，支持直接获取用户物理mac地址，防止篡改；</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11.支持广告营销功能，界面自适应各类型终端，支持广告制作，提供模板选择、预览发布功能；</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12.◆提供公安部销售许可证复印件；</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13.配置要求：配置不少于1000个并发用户许可；</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综合运维管理平台</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1.要求投标产品采用纯B/S架构，用户无需安装客户端，通过标准浏览器就能完成对系统的访问；</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2.能够通过模块化、组件化方式，实现对网络中的路由器、交换机、防火墙、WLAN等有线无线一体化管理；</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3.支持并配置图形化向导的方式提供ACL ，QoS快速部署管理功能，提供产品功能配置截图；</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4.支持并配置设备管理功能，包含对设备和设备接口及其信息的增删改查具有良好的展示和基本操作功能；</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5.支持并配置监控任务功能，长期监控网络性能，支持即时生成报表、周期性生成报表；</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6.支持有线无线设备统一拓扑呈现，支持热图上查看AP信息、AP下用户信息，调整AP信道，支持按信号强度、速率、信道冲突（2.4G/5GHz）生成热图；</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7.投标产品需要内置丰富的无线告警预定义类型，并可根据需要随时进行自定义所需告警类型的添加，提供Trap预定义告警类型至少15种以上预定义清单；</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8.支持图形化配置AP工作模式（图像向导设置AP工作模式）；</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9.支持指定部分终端为关键终端，并针对关键终端的运行质量进行监控，接收包重传率高于指定阈值时，产生告警；</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配置要求：</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配置有线设备管理许可授权≥500个，配置无线AP管理许可授权≥500个。</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第六部分：校园监控网络交换系统</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监控核心交换机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1.◆主控引擎与业务板卡完全物理分离, 采用全分布式转发处理架构，独立主控引擎插槽≥2个，独立业务插槽数≥3个；交换容量≥47Tbps，包转发率≥10000Mpps，需提供官网截图和查询链接。</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2.主控引擎支持集成硬件监控功能，能集中监控板卡、风扇、电源、环境。无需单独配置硬件监控板卡，降低整机功耗；</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3.为保障核心设备的安全可靠性，要求所投产品端口浪涌抗扰度≥6KV（即具备6KV的防雷能力），投标时提供具有</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4.为提高设备面板空间利用率，要求采用高密度端口设计，所投产品单张业务卡最大可用物理端口≥52个，整机转发业务物理端口≥156个；</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5.N:1虚拟化：可将2台物理设备虚拟化为1台逻辑设备，虚拟组内设备具备统一的二层及三层转发表项，统一的管理界面，并可实现跨设备链路聚合，投标时提供具有</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6.支持专门针对CPU保护机制的CPP功能，可将送CPU的报文，如ARP报文的速率进行限制，使CPU的使用率降低到15%以内，保障了CPU安全，投标时提供具</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7.支持大容量硬件表项：MAC≥1M，FIB≥3M，ARP≥256K，投标时提供具有</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8.支持基础安全保护策略，可实现ARP、DHCP、ICMP、IP扫描、DHCP V6、ND等各种攻击的自动防御。可自定义抗攻击的报文类型，需提供具有</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9.支持ERPS功能检测到故障并启用备份链路的断流时间≤50ms，投标时提供具有</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10.支持BFD 功能故障检测周期≤3ms，检测到故障并切换到备份路由的断流时间≤30ms，投标时提供具有</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11.支持IPV6 SAVI防地址欺骗解析欺骗策略，投标时提供具有</w:t>
            </w:r>
            <w:r>
              <w:rPr>
                <w:rFonts w:hint="eastAsia" w:ascii="仿宋" w:hAnsi="仿宋" w:eastAsia="仿宋" w:cs="仿宋"/>
                <w:color w:val="auto"/>
                <w:sz w:val="21"/>
                <w:szCs w:val="21"/>
                <w:lang w:eastAsia="zh-CN"/>
              </w:rPr>
              <w:t>国家认可的检测机构出具</w:t>
            </w:r>
            <w:r>
              <w:rPr>
                <w:rFonts w:hint="eastAsia" w:ascii="仿宋" w:hAnsi="仿宋" w:eastAsia="仿宋" w:cs="仿宋"/>
                <w:color w:val="auto"/>
                <w:sz w:val="21"/>
                <w:szCs w:val="21"/>
              </w:rPr>
              <w:t>检验报告证明；</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rPr>
              <w:t>配置要求：</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每台配置主控引擎≥1个、电源≥2个；</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每台配置千兆光接口≥24个，千兆电口≥24个，万兆光接口≥4个、USB接口≥1，所有网络接口为业务板接口，非主控引擎板接口</w:t>
            </w:r>
            <w:r>
              <w:rPr>
                <w:rFonts w:hint="eastAsia" w:ascii="仿宋" w:hAnsi="仿宋" w:eastAsia="仿宋" w:cs="仿宋"/>
                <w:color w:val="auto"/>
                <w:sz w:val="21"/>
                <w:szCs w:val="21"/>
                <w:lang w:eastAsia="zh-CN"/>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24口汇聚交换机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1.固化100/1000M以太网SFP光端口≥24，复用千兆电口≥8个，固化10G/1G SFP+光接口≥4个；交换容量≥500G，包转发率≥200Mpps；</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2.设备自带云管理功能，即插即用，可随时查看网络健康度，告警及时推送，有日记事件供回溯</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3.</w:t>
            </w:r>
            <w:r>
              <w:rPr>
                <w:rFonts w:hint="eastAsia" w:ascii="仿宋" w:hAnsi="仿宋" w:eastAsia="仿宋" w:cs="仿宋"/>
                <w:color w:val="auto"/>
                <w:sz w:val="21"/>
                <w:szCs w:val="21"/>
                <w:lang w:eastAsia="zh-CN"/>
              </w:rPr>
              <w:t>▲提供工信部设备进网许可证</w:t>
            </w:r>
            <w:r>
              <w:rPr>
                <w:rFonts w:hint="eastAsia" w:ascii="仿宋" w:hAnsi="仿宋" w:eastAsia="仿宋" w:cs="仿宋"/>
                <w:color w:val="auto"/>
                <w:sz w:val="21"/>
                <w:szCs w:val="21"/>
              </w:rPr>
              <w:t>；并且入网许可证须提供工信部官网查询结果截图及链接</w:t>
            </w:r>
            <w:r>
              <w:rPr>
                <w:rFonts w:hint="eastAsia" w:ascii="仿宋" w:hAnsi="仿宋" w:eastAsia="仿宋" w:cs="仿宋"/>
                <w:color w:val="auto"/>
                <w:sz w:val="21"/>
                <w:szCs w:val="21"/>
                <w:lang w:eastAsia="zh-CN"/>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24口POE交换机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1.固化10/100/1000M以太网端口≥24，固化1G SFP光接口≥4个；交换容量≥336G，包转发率≥51Mpps；</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2.支持POE和POE+,同时可POE供电端口≥24个，POE最大输出功率≥370W；</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3.为保证设备在受到外界机械碰撞时能够正常运行，要求所投交换机IK防护测试级别至少达到IK05，提供具权威的测试报告以及检测机构官网查询截图；</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4.投标产品面板自带一键查看PoE供电状态功能的按钮，轻按即可查看设备当前的通信状态和供电状态；</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5.支持特有的CPU保护策略，对发往CPU的数据流，进行流区分和优先级队列分级处理，并根据需要实施带宽限速，充分保护CPU不被非法流量占用、恶意攻击和资源消耗；</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6.支持快速链路检测协议RLDP，可快速检测链路的通断和光纤链路的单向性，并支持端口下的环路检测功能，防止端口下因私接Hub等设备形成的环路而导致网络故障的现象；</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w:t>
            </w:r>
            <w:r>
              <w:rPr>
                <w:rFonts w:hint="eastAsia" w:ascii="仿宋" w:hAnsi="仿宋" w:eastAsia="仿宋" w:cs="仿宋"/>
                <w:color w:val="auto"/>
                <w:sz w:val="21"/>
                <w:szCs w:val="21"/>
                <w:lang w:eastAsia="zh-CN"/>
              </w:rPr>
              <w:t>▲提供工信部设备进网许可证</w:t>
            </w:r>
            <w:r>
              <w:rPr>
                <w:rFonts w:hint="eastAsia" w:ascii="仿宋" w:hAnsi="仿宋" w:eastAsia="仿宋" w:cs="仿宋"/>
                <w:color w:val="auto"/>
                <w:sz w:val="21"/>
                <w:szCs w:val="21"/>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★普通8口POE交换机</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1.固化10/100/1000M以太网电口≥8个，100/1000M SFP千兆光接口≥2个；交换容量≥100Gbps，包转发率≥15Mpps；</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2.要求所投产品POE和POE+远程供电</w:t>
            </w:r>
          </w:p>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3.</w:t>
            </w:r>
            <w:r>
              <w:rPr>
                <w:rFonts w:hint="eastAsia" w:ascii="仿宋" w:hAnsi="仿宋" w:eastAsia="仿宋" w:cs="仿宋"/>
                <w:color w:val="auto"/>
                <w:sz w:val="21"/>
                <w:szCs w:val="21"/>
                <w:lang w:eastAsia="zh-CN"/>
              </w:rPr>
              <w:t>▲提供工信部设备进网许可证。</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125</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927"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千兆单模模块</w:t>
            </w:r>
          </w:p>
        </w:tc>
        <w:tc>
          <w:tcPr>
            <w:tcW w:w="4989"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1000BASE-LX mini GBIC转换模块（1310nm），10km</w:t>
            </w: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374</w:t>
            </w:r>
          </w:p>
        </w:tc>
        <w:tc>
          <w:tcPr>
            <w:tcW w:w="826" w:type="dxa"/>
            <w:tcBorders>
              <w:top w:val="single" w:color="auto" w:sz="4" w:space="0"/>
              <w:left w:val="single" w:color="auto" w:sz="4" w:space="0"/>
              <w:bottom w:val="single" w:color="auto" w:sz="4" w:space="0"/>
              <w:right w:val="single" w:color="auto" w:sz="4" w:space="0"/>
            </w:tcBorders>
            <w:noWrap/>
            <w:vAlign w:val="center"/>
          </w:tcPr>
          <w:p>
            <w:pPr>
              <w:pStyle w:val="60"/>
              <w:keepNext w:val="0"/>
              <w:keepLines w:val="0"/>
              <w:pageBreakBefore w:val="0"/>
              <w:widowControl w:val="0"/>
              <w:kinsoku/>
              <w:wordWrap/>
              <w:overflowPunct/>
              <w:topLinePunct w:val="0"/>
              <w:autoSpaceDE w:val="0"/>
              <w:autoSpaceDN w:val="0"/>
              <w:bidi w:val="0"/>
              <w:adjustRightInd w:val="0"/>
              <w:snapToGrid w:val="0"/>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块</w:t>
            </w:r>
          </w:p>
        </w:tc>
      </w:tr>
    </w:tbl>
    <w:p>
      <w:pPr>
        <w:pStyle w:val="60"/>
        <w:ind w:firstLine="0"/>
        <w:rPr>
          <w:rFonts w:hint="eastAsia" w:ascii="仿宋" w:hAnsi="仿宋" w:eastAsia="仿宋" w:cs="仿宋"/>
          <w:color w:val="auto"/>
          <w:szCs w:val="21"/>
        </w:rPr>
      </w:pPr>
    </w:p>
    <w:p>
      <w:pPr>
        <w:spacing w:line="360" w:lineRule="auto"/>
        <w:jc w:val="left"/>
        <w:rPr>
          <w:rFonts w:hint="eastAsia" w:ascii="仿宋" w:hAnsi="仿宋" w:eastAsia="仿宋" w:cs="仿宋"/>
          <w:color w:val="auto"/>
          <w:szCs w:val="21"/>
        </w:rPr>
      </w:pPr>
      <w:r>
        <w:rPr>
          <w:rFonts w:hint="eastAsia" w:ascii="仿宋" w:hAnsi="仿宋" w:eastAsia="仿宋" w:cs="仿宋"/>
          <w:b/>
          <w:color w:val="auto"/>
          <w:szCs w:val="21"/>
          <w:lang w:eastAsia="zh-CN"/>
        </w:rPr>
        <w:t>（二）部分产品</w:t>
      </w:r>
      <w:r>
        <w:rPr>
          <w:rFonts w:hint="eastAsia" w:ascii="仿宋" w:hAnsi="仿宋" w:eastAsia="仿宋" w:cs="仿宋"/>
          <w:b/>
          <w:color w:val="auto"/>
          <w:szCs w:val="21"/>
        </w:rPr>
        <w:t>详细参数要求</w:t>
      </w:r>
    </w:p>
    <w:p>
      <w:pPr>
        <w:pStyle w:val="60"/>
        <w:ind w:firstLine="211"/>
        <w:rPr>
          <w:rFonts w:hint="eastAsia" w:ascii="仿宋" w:hAnsi="仿宋" w:eastAsia="仿宋" w:cs="仿宋"/>
          <w:b/>
          <w:bCs/>
          <w:color w:val="auto"/>
          <w:sz w:val="21"/>
          <w:szCs w:val="21"/>
        </w:rPr>
      </w:pPr>
      <w:r>
        <w:rPr>
          <w:rFonts w:hint="eastAsia" w:ascii="仿宋" w:hAnsi="仿宋" w:eastAsia="仿宋" w:cs="仿宋"/>
          <w:b/>
          <w:color w:val="auto"/>
          <w:sz w:val="21"/>
          <w:szCs w:val="21"/>
          <w:lang w:val="en-US" w:eastAsia="zh-CN"/>
        </w:rPr>
        <w:t>2.</w:t>
      </w:r>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eastAsia="zh-CN"/>
        </w:rPr>
        <w:t xml:space="preserve"> </w:t>
      </w:r>
      <w:r>
        <w:rPr>
          <w:rFonts w:hint="eastAsia" w:ascii="仿宋" w:hAnsi="仿宋" w:eastAsia="仿宋" w:cs="仿宋"/>
          <w:b/>
          <w:bCs/>
          <w:color w:val="auto"/>
          <w:sz w:val="21"/>
          <w:szCs w:val="21"/>
        </w:rPr>
        <w:t>防火墙详细参数要求</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6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功能项</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功能要求说明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产品规格</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要求固化千兆电口数量≥18个；固化千兆光口数量≥4个；固化Combo口数量≥4个；固化万兆光口数量≥2个；为保障接口稳定性，所投产品必须是全部是固化接口，而非板卡接口；标配冗余电源（需提供官网截图和查询链接</w:t>
            </w:r>
            <w:r>
              <w:rPr>
                <w:rFonts w:hint="eastAsia" w:ascii="仿宋" w:hAnsi="仿宋" w:eastAsia="仿宋" w:cs="仿宋"/>
                <w:color w:val="auto"/>
                <w:sz w:val="21"/>
                <w:szCs w:val="21"/>
                <w:lang w:eastAsia="zh-CN"/>
              </w:rPr>
              <w:t>；或产品</w:t>
            </w:r>
            <w:r>
              <w:rPr>
                <w:rFonts w:hint="eastAsia" w:ascii="仿宋" w:hAnsi="仿宋" w:eastAsia="仿宋" w:cs="仿宋"/>
                <w:color w:val="auto"/>
                <w:sz w:val="21"/>
                <w:szCs w:val="21"/>
                <w:highlight w:val="none"/>
                <w:lang w:eastAsia="zh-CN"/>
              </w:rPr>
              <w:t>彩页等</w:t>
            </w:r>
            <w:r>
              <w:rPr>
                <w:rFonts w:hint="eastAsia" w:ascii="仿宋" w:hAnsi="仿宋" w:eastAsia="仿宋" w:cs="仿宋"/>
                <w:color w:val="auto"/>
                <w:sz w:val="21"/>
                <w:szCs w:val="21"/>
                <w:highlight w:val="none"/>
              </w:rPr>
              <w:t>证明材料）</w:t>
            </w:r>
            <w:r>
              <w:rPr>
                <w:rFonts w:hint="eastAsia" w:ascii="仿宋" w:hAnsi="仿宋" w:eastAsia="仿宋" w:cs="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产品架构</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为保证防火墙运行的稳定性和处理能力，要求设备采用非X86架构对各项安全功能进行加速优化处理；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产品性能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三层网络吞吐≥20Gbps ，IPS吞吐量≥1.6Gbps，最大并发连接≥150万，最大新建连接≥5.6万；IPSEC VPN隧道数≥2500，设备本身要求自带2500个 IPSec VPN授权；SSL VPN并发用户数≥500，设备本身要求自带500个 SSL VPN授权；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部署方式</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要求支持虚拟防火墙，支持同一个网口用于多个虚拟防火墙支持虚拟系统技术，且每个虚拟防火墙独立管理。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组网功能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支持SD-WAN功能，支持基于用户、用户组的SD-WAN策略，包括带宽质量监控、链路优化、一键配置上线等；提供产品功能界面截图。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支持主-备和主-主HA方案。双机热备要能支持多种组网形式，确保可靠性，并且数据接口和心跳线支持冗余，支持双机会话同步，实现无感知切换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支持策略路由、组播路由、静态路由、BGP、RIP、RIPNG、OSPF、OSPFv6、ISIS、ISISv6等动态路由协议（非透传）；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基础安全功能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支持服务器的负载均衡，提供加权轮询、最小连接数、最小RTT等多种负载均衡方式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支持SYN Flood、UDP Flood、ICMP Flood、LAND攻击、Smurf攻击、Fraggle攻击、Winnuke等攻击防护；具备硬件TCP SYN FLOOD防护加速能力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可自动检测互联设备及连接终端信息，自动生成逻辑拓扑，并基于拓扑展示终端指纹信息和网络连接信息，提供功能截图证明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入侵防御功能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支持对HTTP、FTP、SMTP、IMAP、POP3、TELNET、TCP、UDP、DNS、RPC、MSSQL、ORACLE、NNTP、DHCP、LDAP、VoIP、NETBIOS、TFTP、SUNRPC和MSRPC等常用协议及应用的攻击检测和防御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具备12000种以上攻击特征库规则列表，至少支持基于协议类型、操作系统、严重程度、特征名称、应用类型等方式的查询。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病毒防护功能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支持对HTTP、FTP、SMTP、POP3、IMAP协议的应用进行病毒扫描和过滤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VPN功能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IPsec隧道支持多CA数字证书导入功能，同一台主机建立多个IPsec 隧道时，支持不同的隧道导入不同的CA数字证书，并提供截图证明。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支持IPSec VPN、SSL VPN 、L2TP VPN、GRE VPN、L2TP over IPSec VPN、GRE over IPSec VPN等VPN组网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上网行为管理功能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支持Web分类和Web页面过滤，要求URL数量≥2.5亿个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支持对2900 种以上应用的识别和控制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支持ICAP服务器联动，实现对于HTTP请求和应答的自定义处理，要求提供功能截图。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高级威胁防护功能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支持基于应用防御、入侵防御、恶意软件防御的统计结果定义用户的信誉值。要求提供功能截图。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内置IP威胁域名查询，可直接输入IP或域名查询IP和域名的威胁属性。要求提供功能截图。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支持僵尸主机、C&amp;C客户端检测功能。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具有独立的WAF功能模块，内置HTTP攻击特征库规则列表，至少包括SQL注入、XSS防护，支持HTTP报头的长度、cookie的个数等参数限制策略对Web服务器进行安全防护，并提供功能截图；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IPv6功能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为了支持业务扩展，要求支持IPv4/IPv6双栈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IPv6协议栈：TCP6、UDP6、ICMPv6、PathMTU、ACL6等；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文件防泄漏功能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支持防数据泄漏功能，能对HTTP、FTP、SMTP、POP3等协议中的敏感内容进行过滤和阻断。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支持对文件类型过滤，至少基于包括doc、docx、exe、ppt、pptx、rar、txt、xls、xlsx、pdf、zip、gzip、tar等40种以上文件类型过滤，要求提供功能截图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垃圾邮件过滤功能</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支持基于代理模式、流模式的垃圾邮件检测过滤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防垃圾邮件功能支持IP地址过滤、邮件地址过滤、MIME头信息、邮件内容过滤、RBL实时黑名单、域名解析等多种方法。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产品资质</w:t>
            </w: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提供所投产品有效的IPv6 </w:t>
            </w:r>
            <w:r>
              <w:rPr>
                <w:rFonts w:hint="eastAsia" w:ascii="仿宋" w:hAnsi="仿宋" w:eastAsia="仿宋" w:cs="仿宋"/>
                <w:color w:val="auto"/>
                <w:sz w:val="21"/>
                <w:szCs w:val="21"/>
                <w:lang w:eastAsia="zh-CN"/>
              </w:rPr>
              <w:t>认证</w:t>
            </w:r>
            <w:r>
              <w:rPr>
                <w:rFonts w:hint="eastAsia" w:ascii="仿宋" w:hAnsi="仿宋" w:eastAsia="仿宋" w:cs="仿宋"/>
                <w:color w:val="auto"/>
                <w:sz w:val="21"/>
                <w:szCs w:val="21"/>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提供国家信息安全产品认证证书(ISCCC)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90" w:type="dxa"/>
            <w:vMerge w:val="continue"/>
            <w:tcBorders>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p>
        </w:tc>
        <w:tc>
          <w:tcPr>
            <w:tcW w:w="6802" w:type="dxa"/>
            <w:tcBorders>
              <w:top w:val="single" w:color="auto" w:sz="4" w:space="0"/>
              <w:left w:val="single" w:color="auto" w:sz="4" w:space="0"/>
              <w:bottom w:val="single" w:color="auto" w:sz="4" w:space="0"/>
              <w:right w:val="single" w:color="auto" w:sz="4" w:space="0"/>
            </w:tcBorders>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提供中国信息安全测评信息技术产品安全测评证书（EAL3＋）及以上级别证书复印件</w:t>
            </w:r>
          </w:p>
        </w:tc>
      </w:tr>
    </w:tbl>
    <w:p>
      <w:pPr>
        <w:pStyle w:val="60"/>
        <w:ind w:firstLine="211"/>
        <w:rPr>
          <w:rFonts w:hint="eastAsia" w:ascii="仿宋" w:hAnsi="仿宋" w:eastAsia="仿宋" w:cs="仿宋"/>
          <w:b/>
          <w:bCs/>
          <w:color w:val="auto"/>
          <w:szCs w:val="21"/>
        </w:rPr>
      </w:pPr>
    </w:p>
    <w:p>
      <w:pPr>
        <w:pStyle w:val="860"/>
        <w:spacing w:line="360" w:lineRule="auto"/>
        <w:ind w:firstLine="0"/>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2</w:t>
      </w:r>
      <w:r>
        <w:rPr>
          <w:rFonts w:hint="eastAsia" w:ascii="仿宋" w:hAnsi="仿宋" w:eastAsia="仿宋" w:cs="仿宋"/>
          <w:b/>
          <w:color w:val="auto"/>
          <w:sz w:val="21"/>
          <w:szCs w:val="21"/>
        </w:rPr>
        <w:t>.2</w:t>
      </w:r>
      <w:r>
        <w:rPr>
          <w:rFonts w:hint="eastAsia" w:ascii="仿宋" w:hAnsi="仿宋" w:eastAsia="仿宋" w:cs="仿宋"/>
          <w:b/>
          <w:color w:val="auto"/>
          <w:sz w:val="21"/>
          <w:szCs w:val="21"/>
          <w:lang w:val="en-US" w:eastAsia="zh-CN"/>
        </w:rPr>
        <w:t xml:space="preserve"> </w:t>
      </w:r>
      <w:r>
        <w:rPr>
          <w:rFonts w:hint="eastAsia" w:ascii="仿宋" w:hAnsi="仿宋" w:eastAsia="仿宋" w:cs="仿宋"/>
          <w:b/>
          <w:bCs/>
          <w:color w:val="auto"/>
          <w:sz w:val="21"/>
          <w:szCs w:val="21"/>
        </w:rPr>
        <w:t>综合出口路由网关详细参数要求</w:t>
      </w:r>
    </w:p>
    <w:tbl>
      <w:tblPr>
        <w:tblStyle w:val="62"/>
        <w:tblW w:w="8399" w:type="dxa"/>
        <w:jc w:val="center"/>
        <w:tblLayout w:type="fixed"/>
        <w:tblCellMar>
          <w:top w:w="0" w:type="dxa"/>
          <w:left w:w="108" w:type="dxa"/>
          <w:bottom w:w="0" w:type="dxa"/>
          <w:right w:w="108" w:type="dxa"/>
        </w:tblCellMar>
      </w:tblPr>
      <w:tblGrid>
        <w:gridCol w:w="1273"/>
        <w:gridCol w:w="7126"/>
      </w:tblGrid>
      <w:tr>
        <w:tblPrEx>
          <w:tblCellMar>
            <w:top w:w="0" w:type="dxa"/>
            <w:left w:w="108" w:type="dxa"/>
            <w:bottom w:w="0" w:type="dxa"/>
            <w:right w:w="108" w:type="dxa"/>
          </w:tblCellMar>
        </w:tblPrEx>
        <w:trPr>
          <w:jc w:val="center"/>
        </w:trPr>
        <w:tc>
          <w:tcPr>
            <w:tcW w:w="1273"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rPr>
              <w:t>指标项</w:t>
            </w:r>
          </w:p>
        </w:tc>
        <w:tc>
          <w:tcPr>
            <w:tcW w:w="7126" w:type="dxa"/>
            <w:tcBorders>
              <w:top w:val="single" w:color="auto" w:sz="4" w:space="0"/>
              <w:left w:val="nil"/>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3" w:type="dxa"/>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rPr>
              <w:t>硬件规格</w:t>
            </w:r>
          </w:p>
        </w:tc>
        <w:tc>
          <w:tcPr>
            <w:tcW w:w="7126" w:type="dxa"/>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rPr>
              <w:t>◆</w:t>
            </w:r>
            <w:r>
              <w:rPr>
                <w:rFonts w:hint="eastAsia" w:ascii="仿宋" w:hAnsi="仿宋" w:eastAsia="仿宋" w:cs="仿宋"/>
                <w:color w:val="auto"/>
                <w:sz w:val="21"/>
                <w:szCs w:val="21"/>
                <w:lang w:val="zh-TW"/>
              </w:rPr>
              <w:t>支持固化千兆电口≥8个，固化千兆光口≥4个；标准1U机箱，多核非X86架构；支持双硬盘插槽，硬盘容量≥1T，硬盘支持可插拔更换；支持内存≥8GB，</w:t>
            </w:r>
            <w:r>
              <w:rPr>
                <w:rFonts w:hint="eastAsia" w:ascii="仿宋" w:hAnsi="仿宋" w:eastAsia="仿宋" w:cs="仿宋"/>
                <w:color w:val="auto"/>
                <w:sz w:val="21"/>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rPr>
              <w:t>选路优化</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静态路由、RIP(V1/V2)、RIPng、OSPFv2等多种路由协议；为保证在多条外网线路情况下带宽的合理分配使用，设备必须支持多链路负载均衡，负载均衡可基于带宽等多种方式；支持应用路由功能，支持基于通讯、视频等应用进行路由选择，为防止虚假应标，提供设备配置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rPr>
              <w:t>IPv6支持</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设备支持IPV6，支持IPV6容量调整、接口连接状态支持IPV6、DNS配置支持IPV6；设备的静态路由、默认路由、应用路由等支持IPV6。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73" w:type="dxa"/>
            <w:tcBorders>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rPr>
              <w:t>用户管理</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支持DHCP功能，对内网提供DHCP服务；DHCP地址池分配状态，可生成IP、MAC对应关系列表；DHCP支持IPAM，支持显示地址池使用情况，包含地址数、地址总数、已经分配地址数、使用率，支持IP安全绑定情况显示。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3" w:type="dxa"/>
            <w:tcBorders>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rPr>
              <w:t>接入认证</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支持多种接入认证；</w:t>
            </w:r>
          </w:p>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支持WEB本地认证方式、Radius认证、微信认证功能</w:t>
            </w:r>
          </w:p>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本地认证支持微信认证、短信认证、二维码授权认证、二维码自助认证、LADP认证，支持与域认证联动实现单点登陆，提供设备配置截图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273" w:type="dxa"/>
            <w:vMerge w:val="restart"/>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rPr>
              <w:t>应用识别和流量管理</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支持流量识别保障功能：能够精确识别网络应用，保障关键业务的系统带宽，具备完善的应用协议库，协议识别数量≥2500种,提供官网截图及查询链接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273" w:type="dxa"/>
            <w:vMerge w:val="continue"/>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要求所投产品内置多种流控模型，包括娱乐模版，办公模版，专家模板等，支持一键开启智能流量控制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273" w:type="dxa"/>
            <w:vMerge w:val="continue"/>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支持应用自定义分类，将支持应用划分至保障、阻断等分组。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73" w:type="dxa"/>
            <w:vMerge w:val="continue"/>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流控带宽升级功能：客户带宽升级后，只需要修改线路总带宽即可，其余策略都会自动按比例更新，无需每个策略调整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273" w:type="dxa"/>
            <w:vMerge w:val="continue"/>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支持VPN内流量的可视化监控，提供设备截图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273" w:type="dxa"/>
            <w:vMerge w:val="continue"/>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支持用户并发会话数控制，并提供当前用户并发会话数信息作为策略条件参考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上网行为管理及内容审计</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支持URL过滤及审计，内置URL中文数据库，URL条目数≥2000万条，为防止虚假应标，提供官网截图及查询链接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支持网站分类查询功能，可通过网址查询所属分类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网址过滤策略，匹配阻断、放行策略后可根据需要先择是否记录日志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rPr>
              <w:t>◆</w:t>
            </w:r>
            <w:r>
              <w:rPr>
                <w:rFonts w:hint="eastAsia" w:ascii="仿宋" w:hAnsi="仿宋" w:eastAsia="仿宋" w:cs="仿宋"/>
                <w:color w:val="auto"/>
                <w:sz w:val="21"/>
                <w:szCs w:val="21"/>
                <w:lang w:val="zh-TW"/>
              </w:rPr>
              <w:t>所投产品URL数据库、应用分类库、地址库、内容审计特征库、支持至少10年免费升级（需提供原厂声明文件），另外URL数据库和应用特征库支持远程HTTP自动升级（需提供设备配置界面截图）；为方便用户远程接入，设备需支持SSL VPN，并提供≥1500个免费SSL VPN接入授权（需提供功能配置界面截图）。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支持外发文件、外发信息、虚拟身份审计，能够在设备上查询到详细信息，提供设备截图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restart"/>
            <w:tcBorders>
              <w:top w:val="single" w:color="auto" w:sz="4" w:space="0"/>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TW"/>
              </w:rPr>
            </w:pPr>
            <w:r>
              <w:rPr>
                <w:rFonts w:hint="eastAsia" w:ascii="仿宋" w:hAnsi="仿宋" w:eastAsia="仿宋" w:cs="仿宋"/>
                <w:color w:val="auto"/>
                <w:sz w:val="21"/>
                <w:szCs w:val="21"/>
                <w:lang w:val="zh-TW"/>
              </w:rPr>
              <w:t>网络安全</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为保证设备的安全，投标产品支持防ping，防非法web登陆功能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支持防ARP欺骗、ARP静态绑定和停止学习功能，有效绑定ARP对应关系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73" w:type="dxa"/>
            <w:vMerge w:val="continue"/>
            <w:tcBorders>
              <w:left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支持基于IP地址段进行防攻击域配置，支持基于防攻击域进行防洪水攻击，收发速率限制，流量监控，黑白名单等策略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3" w:type="dxa"/>
            <w:vMerge w:val="continue"/>
            <w:tcBorders>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CN"/>
              </w:rPr>
            </w:pPr>
            <w:r>
              <w:rPr>
                <w:rFonts w:hint="eastAsia" w:ascii="仿宋" w:hAnsi="仿宋" w:eastAsia="仿宋" w:cs="仿宋"/>
                <w:color w:val="auto"/>
                <w:sz w:val="21"/>
                <w:szCs w:val="21"/>
                <w:lang w:val="zh-TW"/>
              </w:rPr>
              <w:t>支持直接对接网安平台，满足当地网监要求。提供设备配置截图</w:t>
            </w:r>
            <w:r>
              <w:rPr>
                <w:rFonts w:hint="eastAsia" w:ascii="仿宋" w:hAnsi="仿宋" w:eastAsia="仿宋" w:cs="仿宋"/>
                <w:color w:val="auto"/>
                <w:sz w:val="21"/>
                <w:szCs w:val="21"/>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eastAsia="zh-CN"/>
              </w:rPr>
            </w:pPr>
            <w:r>
              <w:rPr>
                <w:rFonts w:hint="eastAsia" w:ascii="仿宋" w:hAnsi="仿宋" w:eastAsia="仿宋" w:cs="仿宋"/>
                <w:color w:val="auto"/>
                <w:sz w:val="21"/>
                <w:szCs w:val="21"/>
                <w:lang w:val="zh-TW" w:eastAsia="zh-CN"/>
              </w:rPr>
              <w:t>资质</w:t>
            </w:r>
          </w:p>
        </w:tc>
        <w:tc>
          <w:tcPr>
            <w:tcW w:w="7126" w:type="dxa"/>
            <w:tcBorders>
              <w:top w:val="single" w:color="auto" w:sz="4" w:space="0"/>
              <w:left w:val="single" w:color="auto" w:sz="4" w:space="0"/>
              <w:bottom w:val="single" w:color="auto" w:sz="4" w:space="0"/>
              <w:right w:val="single" w:color="auto" w:sz="4" w:space="0"/>
            </w:tcBorders>
            <w:vAlign w:val="center"/>
          </w:tcPr>
          <w:p>
            <w:pPr>
              <w:pStyle w:val="60"/>
              <w:keepNext w:val="0"/>
              <w:keepLines w:val="0"/>
              <w:pageBreakBefore w:val="0"/>
              <w:widowControl w:val="0"/>
              <w:kinsoku/>
              <w:wordWrap/>
              <w:overflowPunct/>
              <w:topLinePunct w:val="0"/>
              <w:autoSpaceDE w:val="0"/>
              <w:autoSpaceDN w:val="0"/>
              <w:bidi w:val="0"/>
              <w:adjustRightInd w:val="0"/>
              <w:snapToGrid/>
              <w:spacing w:line="240" w:lineRule="auto"/>
              <w:ind w:firstLine="210"/>
              <w:textAlignment w:val="auto"/>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提供</w:t>
            </w:r>
            <w:r>
              <w:rPr>
                <w:rFonts w:hint="eastAsia" w:ascii="仿宋" w:hAnsi="仿宋" w:eastAsia="仿宋" w:cs="仿宋"/>
                <w:color w:val="auto"/>
                <w:sz w:val="21"/>
                <w:szCs w:val="21"/>
                <w:lang w:val="zh-TW" w:eastAsia="zh-CN"/>
              </w:rPr>
              <w:t>国家认可的检测机构或认证机构出具的</w:t>
            </w:r>
            <w:r>
              <w:rPr>
                <w:rFonts w:hint="eastAsia" w:ascii="仿宋" w:hAnsi="仿宋" w:eastAsia="仿宋" w:cs="仿宋"/>
                <w:color w:val="auto"/>
                <w:sz w:val="21"/>
                <w:szCs w:val="21"/>
                <w:lang w:val="zh-TW"/>
              </w:rPr>
              <w:t>IT产品信息安全认证证书复印件；提供计算机信息系统安全专用产品检验报告</w:t>
            </w:r>
            <w:r>
              <w:rPr>
                <w:rFonts w:hint="eastAsia" w:ascii="仿宋" w:hAnsi="仿宋" w:eastAsia="仿宋" w:cs="仿宋"/>
                <w:color w:val="auto"/>
                <w:sz w:val="21"/>
                <w:szCs w:val="21"/>
                <w:lang w:val="zh-TW" w:eastAsia="zh-CN"/>
              </w:rPr>
              <w:t>。</w:t>
            </w:r>
          </w:p>
        </w:tc>
      </w:tr>
    </w:tbl>
    <w:p>
      <w:pPr>
        <w:pStyle w:val="860"/>
        <w:spacing w:line="360" w:lineRule="auto"/>
        <w:ind w:firstLine="0"/>
        <w:rPr>
          <w:rFonts w:hint="eastAsia" w:ascii="仿宋" w:hAnsi="仿宋" w:eastAsia="仿宋" w:cs="仿宋"/>
          <w:b/>
          <w:color w:val="auto"/>
          <w:sz w:val="21"/>
          <w:szCs w:val="21"/>
          <w:lang w:val="en-US" w:eastAsia="zh-CN"/>
        </w:rPr>
      </w:pPr>
    </w:p>
    <w:p>
      <w:pPr>
        <w:pStyle w:val="860"/>
        <w:numPr>
          <w:ilvl w:val="0"/>
          <w:numId w:val="4"/>
        </w:numPr>
        <w:spacing w:line="360" w:lineRule="auto"/>
        <w:ind w:firstLine="0"/>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核心产品</w:t>
      </w:r>
    </w:p>
    <w:p>
      <w:pPr>
        <w:spacing w:line="360" w:lineRule="auto"/>
        <w:ind w:firstLine="480" w:firstLineChars="200"/>
        <w:jc w:val="left"/>
        <w:rPr>
          <w:rFonts w:hint="eastAsia" w:ascii="仿宋" w:hAnsi="仿宋" w:eastAsia="仿宋" w:cs="仿宋"/>
          <w:b/>
          <w:bCs/>
          <w:color w:val="auto"/>
          <w:sz w:val="24"/>
          <w:lang w:eastAsia="zh-CN"/>
        </w:rPr>
      </w:pPr>
      <w:r>
        <w:rPr>
          <w:rFonts w:hint="eastAsia" w:ascii="仿宋" w:hAnsi="仿宋" w:eastAsia="仿宋" w:cs="仿宋"/>
          <w:color w:val="auto"/>
          <w:sz w:val="24"/>
          <w:lang w:val="en-US" w:eastAsia="zh-CN"/>
        </w:rPr>
        <w:t>1.本项目核心产品：</w:t>
      </w:r>
      <w:r>
        <w:rPr>
          <w:rFonts w:hint="eastAsia" w:ascii="仿宋" w:hAnsi="仿宋" w:eastAsia="仿宋" w:cs="仿宋"/>
          <w:b/>
          <w:bCs/>
          <w:color w:val="auto"/>
          <w:sz w:val="24"/>
          <w:u w:val="single"/>
        </w:rPr>
        <w:t>核心交换机、普通8口POE交换机</w:t>
      </w:r>
      <w:r>
        <w:rPr>
          <w:rFonts w:hint="eastAsia" w:ascii="仿宋" w:hAnsi="仿宋" w:eastAsia="仿宋" w:cs="仿宋"/>
          <w:b/>
          <w:bCs/>
          <w:color w:val="auto"/>
          <w:sz w:val="24"/>
          <w:lang w:eastAsia="zh-CN"/>
        </w:rPr>
        <w:t>。</w:t>
      </w:r>
    </w:p>
    <w:p>
      <w:pPr>
        <w:spacing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若出现多家投标人提供任意一个核心产品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Pr>
          <w:rFonts w:hint="eastAsia" w:ascii="仿宋" w:hAnsi="仿宋" w:eastAsia="仿宋" w:cs="仿宋"/>
          <w:color w:val="auto"/>
          <w:sz w:val="24"/>
          <w:lang w:eastAsia="zh-CN"/>
        </w:rPr>
        <w:t>。</w:t>
      </w:r>
    </w:p>
    <w:p>
      <w:pPr>
        <w:pStyle w:val="860"/>
        <w:numPr>
          <w:ilvl w:val="0"/>
          <w:numId w:val="4"/>
        </w:numPr>
        <w:spacing w:line="360" w:lineRule="auto"/>
        <w:ind w:firstLine="0"/>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项目集成实施标准</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本项目的实施应遵循以下建设标准及规范，如有最新标准、规范的以最新为准：</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1.《综合布线系统工程验收规范》GB/T50312-2016</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2.中小学数字校园建设规范（试行）</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3.浙江省教育信息化暂行建设标准</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4.浙江省推进互联网协议第六版（IPv6）规模部署和应用实施行计划</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5.其他相关建设规范等。</w:t>
      </w:r>
    </w:p>
    <w:p>
      <w:pPr>
        <w:pStyle w:val="860"/>
        <w:numPr>
          <w:ilvl w:val="0"/>
          <w:numId w:val="4"/>
        </w:numPr>
        <w:spacing w:line="360" w:lineRule="auto"/>
        <w:ind w:firstLine="0"/>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项目实施内容分析及应对</w:t>
      </w:r>
    </w:p>
    <w:p>
      <w:pPr>
        <w:numPr>
          <w:ilvl w:val="0"/>
          <w:numId w:val="5"/>
        </w:num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投标人通过自身经验、积累的数据，对项目集成、实施的风险应有充分认识，并对集成的技术风险提供应对措施；</w:t>
      </w:r>
    </w:p>
    <w:p>
      <w:pPr>
        <w:numPr>
          <w:ilvl w:val="0"/>
          <w:numId w:val="5"/>
        </w:num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投标人参与本项目应有完整的、可行的技术方案，对项目实施进行重难点分析，为招标人提供参考，并对招标文件提出的技术要求予以响应。</w:t>
      </w:r>
    </w:p>
    <w:p>
      <w:pPr>
        <w:numPr>
          <w:ilvl w:val="0"/>
          <w:numId w:val="5"/>
        </w:num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根据项目进度要求，投标人应提供工作进度计划表、工作程序和步骤、管理和协调方法、关键节点的思路和要点内容，以保障项目的顺利实施。</w:t>
      </w:r>
    </w:p>
    <w:p>
      <w:pPr>
        <w:numPr>
          <w:ilvl w:val="0"/>
          <w:numId w:val="5"/>
        </w:numPr>
        <w:spacing w:line="360" w:lineRule="auto"/>
        <w:ind w:firstLine="480" w:firstLineChars="200"/>
        <w:jc w:val="left"/>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产品供货、验货、安装调试、试运行、测试、调优等内容</w:t>
      </w:r>
    </w:p>
    <w:p>
      <w:pPr>
        <w:pStyle w:val="4"/>
        <w:spacing w:before="120" w:after="120"/>
        <w:rPr>
          <w:rFonts w:hint="eastAsia" w:ascii="仿宋" w:hAnsi="仿宋" w:eastAsia="仿宋" w:cs="仿宋"/>
          <w:color w:val="auto"/>
          <w:sz w:val="24"/>
          <w:szCs w:val="24"/>
        </w:rPr>
      </w:pPr>
      <w:r>
        <w:rPr>
          <w:rFonts w:hint="eastAsia" w:ascii="仿宋" w:hAnsi="仿宋" w:eastAsia="仿宋" w:cs="仿宋"/>
          <w:color w:val="auto"/>
          <w:sz w:val="24"/>
          <w:szCs w:val="24"/>
        </w:rPr>
        <w:t>五、项目商务要求</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实施周期及安装：合同签订后 90 日历天内完成。</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质保期：免费质保期限不得低于</w:t>
      </w:r>
      <w:r>
        <w:rPr>
          <w:rFonts w:hint="eastAsia" w:ascii="仿宋" w:hAnsi="仿宋" w:eastAsia="仿宋" w:cs="仿宋"/>
          <w:color w:val="auto"/>
          <w:sz w:val="24"/>
          <w:u w:val="single"/>
        </w:rPr>
        <w:t xml:space="preserve">  3  </w:t>
      </w:r>
      <w:r>
        <w:rPr>
          <w:rFonts w:hint="eastAsia" w:ascii="仿宋" w:hAnsi="仿宋" w:eastAsia="仿宋" w:cs="仿宋"/>
          <w:color w:val="auto"/>
          <w:sz w:val="24"/>
        </w:rPr>
        <w:t>年。在质保期内出现</w:t>
      </w:r>
      <w:r>
        <w:rPr>
          <w:rFonts w:hint="eastAsia" w:ascii="仿宋" w:hAnsi="仿宋" w:eastAsia="仿宋" w:cs="仿宋"/>
          <w:color w:val="auto"/>
          <w:sz w:val="24"/>
          <w:lang w:eastAsia="zh-CN"/>
        </w:rPr>
        <w:t>项目</w:t>
      </w:r>
      <w:r>
        <w:rPr>
          <w:rFonts w:hint="eastAsia" w:ascii="仿宋" w:hAnsi="仿宋" w:eastAsia="仿宋" w:cs="仿宋"/>
          <w:color w:val="auto"/>
          <w:sz w:val="24"/>
        </w:rPr>
        <w:t>质量缺陷或瑕疵的，由</w:t>
      </w:r>
      <w:r>
        <w:rPr>
          <w:rFonts w:hint="eastAsia" w:ascii="仿宋" w:hAnsi="仿宋" w:eastAsia="仿宋" w:cs="仿宋"/>
          <w:color w:val="auto"/>
          <w:sz w:val="24"/>
          <w:lang w:eastAsia="zh-CN"/>
        </w:rPr>
        <w:t>投标人</w:t>
      </w:r>
      <w:r>
        <w:rPr>
          <w:rFonts w:hint="eastAsia" w:ascii="仿宋" w:hAnsi="仿宋" w:eastAsia="仿宋" w:cs="仿宋"/>
          <w:color w:val="auto"/>
          <w:sz w:val="24"/>
        </w:rPr>
        <w:t>负责维修或更换，并应承担由此对</w:t>
      </w:r>
      <w:r>
        <w:rPr>
          <w:rFonts w:hint="eastAsia" w:ascii="仿宋" w:hAnsi="仿宋" w:eastAsia="仿宋" w:cs="仿宋"/>
          <w:color w:val="auto"/>
          <w:sz w:val="24"/>
          <w:lang w:eastAsia="zh-CN"/>
        </w:rPr>
        <w:t>采购</w:t>
      </w:r>
      <w:r>
        <w:rPr>
          <w:rFonts w:hint="eastAsia" w:ascii="仿宋" w:hAnsi="仿宋" w:eastAsia="仿宋" w:cs="仿宋"/>
          <w:color w:val="auto"/>
          <w:sz w:val="24"/>
        </w:rPr>
        <w:t>方造成的经济损失。</w:t>
      </w:r>
      <w:r>
        <w:rPr>
          <w:rFonts w:hint="eastAsia" w:ascii="仿宋" w:hAnsi="仿宋" w:eastAsia="仿宋" w:cs="仿宋"/>
          <w:color w:val="auto"/>
          <w:sz w:val="24"/>
          <w:lang w:eastAsia="zh-CN"/>
        </w:rPr>
        <w:t>采购</w:t>
      </w:r>
      <w:r>
        <w:rPr>
          <w:rFonts w:hint="eastAsia" w:ascii="仿宋" w:hAnsi="仿宋" w:eastAsia="仿宋" w:cs="仿宋"/>
          <w:color w:val="auto"/>
          <w:sz w:val="24"/>
        </w:rPr>
        <w:t>方有权在质量保证金中予以扣除，并保留进一步索赔的权利。</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3.售后服务：</w:t>
      </w:r>
      <w:r>
        <w:rPr>
          <w:rFonts w:hint="eastAsia" w:ascii="仿宋" w:hAnsi="仿宋" w:eastAsia="仿宋" w:cs="仿宋"/>
          <w:color w:val="auto"/>
          <w:sz w:val="24"/>
        </w:rPr>
        <w:t>有</w:t>
      </w:r>
      <w:r>
        <w:rPr>
          <w:rFonts w:hint="eastAsia" w:ascii="仿宋" w:hAnsi="仿宋" w:eastAsia="仿宋" w:cs="仿宋"/>
          <w:color w:val="auto"/>
          <w:sz w:val="24"/>
          <w:lang w:eastAsia="zh-CN"/>
        </w:rPr>
        <w:t>项目所在</w:t>
      </w:r>
      <w:r>
        <w:rPr>
          <w:rFonts w:hint="eastAsia" w:ascii="仿宋" w:hAnsi="仿宋" w:eastAsia="仿宋" w:cs="仿宋"/>
          <w:color w:val="auto"/>
          <w:sz w:val="24"/>
        </w:rPr>
        <w:t>地</w:t>
      </w:r>
      <w:r>
        <w:rPr>
          <w:rFonts w:hint="eastAsia" w:ascii="仿宋" w:hAnsi="仿宋" w:eastAsia="仿宋" w:cs="仿宋"/>
          <w:color w:val="auto"/>
          <w:sz w:val="24"/>
          <w:lang w:eastAsia="zh-CN"/>
        </w:rPr>
        <w:t>及时</w:t>
      </w:r>
      <w:r>
        <w:rPr>
          <w:rFonts w:hint="eastAsia" w:ascii="仿宋" w:hAnsi="仿宋" w:eastAsia="仿宋" w:cs="仿宋"/>
          <w:color w:val="auto"/>
          <w:sz w:val="24"/>
        </w:rPr>
        <w:t>服务的能力，要求有专门的应急维修小组，每天24小时开通专门应急电话，提供不低于7*24小时的现场质保和技术支持服务，做到2小时应急响应，4小时到达现场处理，8小时以内解决问题；不能当场修复的，必须采取提供备品、备件或备机等措施，以保证使用方的正常使用。如果逾期未作出响应，</w:t>
      </w:r>
      <w:r>
        <w:rPr>
          <w:rFonts w:hint="eastAsia" w:ascii="仿宋" w:hAnsi="仿宋" w:eastAsia="仿宋" w:cs="仿宋"/>
          <w:color w:val="auto"/>
          <w:sz w:val="24"/>
          <w:lang w:eastAsia="zh-CN"/>
        </w:rPr>
        <w:t>投标人</w:t>
      </w:r>
      <w:r>
        <w:rPr>
          <w:rFonts w:hint="eastAsia" w:ascii="仿宋" w:hAnsi="仿宋" w:eastAsia="仿宋" w:cs="仿宋"/>
          <w:color w:val="auto"/>
          <w:sz w:val="24"/>
        </w:rPr>
        <w:t>应承担由于故障所造成的全部损失。</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eastAsia="zh-CN"/>
        </w:rPr>
        <w:t>售后巡查：</w:t>
      </w:r>
      <w:r>
        <w:rPr>
          <w:rFonts w:hint="eastAsia" w:ascii="仿宋" w:hAnsi="仿宋" w:eastAsia="仿宋" w:cs="仿宋"/>
          <w:color w:val="auto"/>
          <w:sz w:val="24"/>
        </w:rPr>
        <w:t>要求每月一巡查，巡检情况归档备查。</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eastAsia="zh-CN"/>
        </w:rPr>
        <w:t>售后人员：</w:t>
      </w:r>
      <w:r>
        <w:rPr>
          <w:rFonts w:hint="eastAsia" w:ascii="仿宋" w:hAnsi="仿宋" w:eastAsia="仿宋" w:cs="仿宋"/>
          <w:color w:val="auto"/>
          <w:sz w:val="24"/>
        </w:rPr>
        <w:t>落实专门的对接技术人员。</w:t>
      </w:r>
    </w:p>
    <w:p>
      <w:pPr>
        <w:spacing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投标人</w:t>
      </w:r>
      <w:r>
        <w:rPr>
          <w:rFonts w:hint="eastAsia" w:ascii="仿宋" w:hAnsi="仿宋" w:eastAsia="仿宋" w:cs="仿宋"/>
          <w:color w:val="auto"/>
          <w:sz w:val="24"/>
          <w:lang w:eastAsia="zh-CN"/>
        </w:rPr>
        <w:t>对售后</w:t>
      </w:r>
      <w:r>
        <w:rPr>
          <w:rFonts w:hint="eastAsia" w:ascii="仿宋" w:hAnsi="仿宋" w:eastAsia="仿宋" w:cs="仿宋"/>
          <w:color w:val="auto"/>
          <w:sz w:val="24"/>
        </w:rPr>
        <w:t>服务承诺</w:t>
      </w:r>
      <w:r>
        <w:rPr>
          <w:rFonts w:hint="eastAsia" w:ascii="仿宋" w:hAnsi="仿宋" w:eastAsia="仿宋" w:cs="仿宋"/>
          <w:color w:val="auto"/>
          <w:sz w:val="24"/>
          <w:lang w:eastAsia="zh-CN"/>
        </w:rPr>
        <w:t>内容须有具体的</w:t>
      </w:r>
      <w:r>
        <w:rPr>
          <w:rFonts w:hint="eastAsia" w:ascii="仿宋" w:hAnsi="仿宋" w:eastAsia="仿宋" w:cs="仿宋"/>
          <w:color w:val="auto"/>
          <w:sz w:val="24"/>
        </w:rPr>
        <w:t>落实保障措施以及突发事件的应急措施</w:t>
      </w:r>
      <w:r>
        <w:rPr>
          <w:rFonts w:hint="eastAsia" w:ascii="仿宋" w:hAnsi="仿宋" w:eastAsia="仿宋" w:cs="仿宋"/>
          <w:color w:val="auto"/>
          <w:sz w:val="24"/>
          <w:lang w:eastAsia="zh-CN"/>
        </w:rPr>
        <w:t>。</w:t>
      </w:r>
    </w:p>
    <w:p>
      <w:pPr>
        <w:pStyle w:val="60"/>
        <w:rPr>
          <w:rFonts w:hint="eastAsia" w:ascii="仿宋" w:hAnsi="仿宋" w:eastAsia="仿宋" w:cs="仿宋"/>
          <w:color w:val="auto"/>
        </w:rPr>
      </w:pPr>
      <w:r>
        <w:rPr>
          <w:rFonts w:hint="eastAsia" w:ascii="仿宋" w:hAnsi="仿宋" w:eastAsia="仿宋" w:cs="仿宋"/>
          <w:color w:val="auto"/>
        </w:rPr>
        <w:t>投标的配件、附件、备品备件的准备和保障措施情况</w:t>
      </w:r>
      <w:r>
        <w:rPr>
          <w:rFonts w:hint="eastAsia" w:ascii="仿宋" w:hAnsi="仿宋" w:eastAsia="仿宋" w:cs="仿宋"/>
          <w:color w:val="auto"/>
          <w:lang w:eastAsia="zh-CN"/>
        </w:rPr>
        <w:t>：</w:t>
      </w:r>
      <w:r>
        <w:rPr>
          <w:rFonts w:hint="eastAsia" w:ascii="仿宋" w:hAnsi="仿宋" w:eastAsia="仿宋" w:cs="仿宋"/>
          <w:color w:val="auto"/>
        </w:rPr>
        <w:t>设备正常运行需要配件、附件、备品备件的，产品清单已明确的耗品耗材（或者备品备件）请包含在报价中。投标文件中需提供耗品耗材（或者备品备件）方案，告知</w:t>
      </w:r>
      <w:r>
        <w:rPr>
          <w:rFonts w:hint="eastAsia" w:ascii="仿宋" w:hAnsi="仿宋" w:eastAsia="仿宋" w:cs="仿宋"/>
          <w:color w:val="auto"/>
          <w:lang w:eastAsia="zh-CN"/>
        </w:rPr>
        <w:t>招标人</w:t>
      </w:r>
      <w:r>
        <w:rPr>
          <w:rFonts w:hint="eastAsia" w:ascii="仿宋" w:hAnsi="仿宋" w:eastAsia="仿宋" w:cs="仿宋"/>
          <w:color w:val="auto"/>
        </w:rPr>
        <w:t>一般多长时间更换，后期材料每更换一次经费数额等内容</w:t>
      </w:r>
      <w:r>
        <w:rPr>
          <w:rFonts w:hint="eastAsia" w:ascii="仿宋" w:hAnsi="仿宋" w:eastAsia="仿宋" w:cs="仿宋"/>
          <w:color w:val="auto"/>
          <w:lang w:eastAsia="zh-CN"/>
        </w:rPr>
        <w:t>，以及为售后准备的</w:t>
      </w:r>
      <w:r>
        <w:rPr>
          <w:rFonts w:hint="eastAsia" w:ascii="仿宋" w:hAnsi="仿宋" w:eastAsia="仿宋" w:cs="仿宋"/>
          <w:color w:val="auto"/>
        </w:rPr>
        <w:t>配件、附件、备品备件</w:t>
      </w:r>
      <w:r>
        <w:rPr>
          <w:rFonts w:hint="eastAsia" w:ascii="仿宋" w:hAnsi="仿宋" w:eastAsia="仿宋" w:cs="仿宋"/>
          <w:color w:val="auto"/>
          <w:lang w:eastAsia="zh-CN"/>
        </w:rPr>
        <w:t>准备情况</w:t>
      </w:r>
      <w:r>
        <w:rPr>
          <w:rFonts w:hint="eastAsia" w:ascii="仿宋" w:hAnsi="仿宋" w:eastAsia="仿宋" w:cs="仿宋"/>
          <w:color w:val="auto"/>
        </w:rPr>
        <w:t>。</w:t>
      </w:r>
    </w:p>
    <w:p>
      <w:pPr>
        <w:numPr>
          <w:ilvl w:val="0"/>
          <w:numId w:val="6"/>
        </w:num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投标人要求：</w:t>
      </w:r>
    </w:p>
    <w:p>
      <w:pPr>
        <w:numPr>
          <w:ilvl w:val="0"/>
          <w:numId w:val="0"/>
        </w:num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1）为确保项目的顺利实施，投标人应具有类似电子与智能化项目的实施业绩，提供相应的合同证明文件。</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2）为保证的项目实施的集成、安装质量，投标人需通过了ISO质量管理体系、ISO环境认证体系、OHSAS或GB/T职业安全健康管理体系认证，提供认证证书。</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合同总价为包干价，投标报价应包括验收合格前的所有费用、操作维修培训费用及质保期内设备的维修保养费用等完成本项目所需的所有费用。由于包装不善所引起的货物锈蚀、损坏和损失等一切风险均由投标方承担。</w:t>
      </w:r>
    </w:p>
    <w:p>
      <w:pPr>
        <w:pStyle w:val="4"/>
        <w:spacing w:before="120" w:after="12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六、项目管理要求</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 投标人有责任检查安装现场是否符合产品安装条件，事先提出对安装的环境的要求，包括接电、安装等。</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 本项目涉及的材料、设备由投标人负责测试、安装、调试和有关配置工作，投标人应按上述方案完成测试、安装、调试和有关配置工作。</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 投标人需保证材料、设备均为原装产品，保证所提供材料货物是全新的、未使用过的，并完全符合合同规定的质量、规格和性能的要求。</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 投标人保证其提供的材料货物在正确安装、正常使用和保养条件下，在使用期内具有满意的性能，投标人对由于产品设计、工艺或材料的缺陷而产生的故障负责并解决。</w:t>
      </w:r>
    </w:p>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 投标人承诺本次提供的所有材料、设备满足标书要求，对标书中的变更修改内容以本合同的设备配置附件为准。投标人承诺所有的设备满足技术完整性要求。如有线缆、附件等遗漏，影响设备安装和运行，由投标人承担并负责解决。</w:t>
      </w:r>
    </w:p>
    <w:p>
      <w:pPr>
        <w:pStyle w:val="60"/>
        <w:rPr>
          <w:rFonts w:hint="eastAsia" w:ascii="仿宋" w:hAnsi="仿宋" w:eastAsia="仿宋" w:cs="仿宋"/>
          <w:color w:val="auto"/>
          <w:lang w:eastAsia="zh-CN"/>
        </w:rPr>
      </w:pPr>
      <w:r>
        <w:rPr>
          <w:rFonts w:hint="eastAsia" w:ascii="仿宋" w:hAnsi="仿宋" w:eastAsia="仿宋" w:cs="仿宋"/>
          <w:color w:val="auto"/>
          <w:sz w:val="24"/>
          <w:lang w:val="en-US" w:eastAsia="zh-CN"/>
        </w:rPr>
        <w:t>6.</w:t>
      </w:r>
      <w:r>
        <w:rPr>
          <w:rFonts w:hint="eastAsia" w:ascii="仿宋" w:hAnsi="仿宋" w:eastAsia="仿宋" w:cs="仿宋"/>
          <w:color w:val="auto"/>
        </w:rPr>
        <w:t>项目实施</w:t>
      </w:r>
      <w:r>
        <w:rPr>
          <w:rFonts w:hint="eastAsia" w:ascii="仿宋" w:hAnsi="仿宋" w:eastAsia="仿宋" w:cs="仿宋"/>
          <w:color w:val="auto"/>
          <w:lang w:eastAsia="zh-CN"/>
        </w:rPr>
        <w:t>团队要求：</w:t>
      </w:r>
    </w:p>
    <w:p>
      <w:pPr>
        <w:pStyle w:val="60"/>
        <w:rPr>
          <w:rFonts w:hint="eastAsia" w:ascii="仿宋" w:hAnsi="仿宋" w:eastAsia="仿宋" w:cs="仿宋"/>
          <w:color w:val="auto"/>
          <w:lang w:eastAsia="zh-CN"/>
        </w:rPr>
      </w:pPr>
      <w:r>
        <w:rPr>
          <w:rFonts w:hint="eastAsia" w:ascii="仿宋" w:hAnsi="仿宋" w:eastAsia="仿宋" w:cs="仿宋"/>
          <w:color w:val="auto"/>
          <w:lang w:eastAsia="zh-CN"/>
        </w:rPr>
        <w:t>1）投标人为本项目配备技术团队，投入本项目人员须提供社保机构出具投标人为其缴纳的至投标截止时间3个月内任意时间的社保证明，否则人员不予认可。</w:t>
      </w:r>
    </w:p>
    <w:p>
      <w:pPr>
        <w:pStyle w:val="60"/>
        <w:rPr>
          <w:rFonts w:hint="eastAsia" w:ascii="仿宋" w:hAnsi="仿宋" w:eastAsia="仿宋" w:cs="仿宋"/>
          <w:color w:val="auto"/>
          <w:lang w:eastAsia="zh-CN"/>
        </w:rPr>
      </w:pPr>
      <w:r>
        <w:rPr>
          <w:rFonts w:hint="eastAsia" w:ascii="仿宋" w:hAnsi="仿宋" w:eastAsia="仿宋" w:cs="仿宋"/>
          <w:color w:val="auto"/>
          <w:lang w:eastAsia="zh-CN"/>
        </w:rPr>
        <w:t>2）设项目负责人1名，应具有中级及以上工程师职称证书。</w:t>
      </w:r>
    </w:p>
    <w:p>
      <w:pPr>
        <w:pStyle w:val="60"/>
        <w:rPr>
          <w:rFonts w:hint="eastAsia" w:ascii="仿宋" w:hAnsi="仿宋" w:eastAsia="仿宋" w:cs="仿宋"/>
          <w:color w:val="auto"/>
          <w:lang w:eastAsia="zh-CN"/>
        </w:rPr>
      </w:pPr>
      <w:r>
        <w:rPr>
          <w:rFonts w:hint="eastAsia" w:ascii="仿宋" w:hAnsi="仿宋" w:eastAsia="仿宋" w:cs="仿宋"/>
          <w:color w:val="auto"/>
          <w:lang w:eastAsia="zh-CN"/>
        </w:rPr>
        <w:t>3）根据项目专业（含安装施工人员、安装调试人员、售后人员）设专业管理人员安装人员</w:t>
      </w:r>
      <w:r>
        <w:rPr>
          <w:rFonts w:hint="eastAsia" w:ascii="仿宋" w:hAnsi="仿宋" w:eastAsia="仿宋" w:cs="仿宋"/>
          <w:color w:val="auto"/>
          <w:lang w:val="en-US" w:eastAsia="zh-CN"/>
        </w:rPr>
        <w:t>5人，</w:t>
      </w:r>
      <w:r>
        <w:rPr>
          <w:rFonts w:hint="eastAsia" w:ascii="仿宋" w:hAnsi="仿宋" w:eastAsia="仿宋" w:cs="仿宋"/>
          <w:color w:val="auto"/>
          <w:lang w:eastAsia="zh-CN"/>
        </w:rPr>
        <w:t>调试人员</w:t>
      </w:r>
      <w:r>
        <w:rPr>
          <w:rFonts w:hint="eastAsia" w:ascii="仿宋" w:hAnsi="仿宋" w:eastAsia="仿宋" w:cs="仿宋"/>
          <w:color w:val="auto"/>
          <w:lang w:val="en-US" w:eastAsia="zh-CN"/>
        </w:rPr>
        <w:t>2人，售后1人</w:t>
      </w:r>
      <w:r>
        <w:rPr>
          <w:rFonts w:hint="eastAsia" w:ascii="仿宋" w:hAnsi="仿宋" w:eastAsia="仿宋" w:cs="仿宋"/>
          <w:color w:val="auto"/>
          <w:lang w:eastAsia="zh-CN"/>
        </w:rPr>
        <w:t>，其中安装管理人员均应具有相应的岗位证书，可以满足项目实施管理需求。</w:t>
      </w:r>
    </w:p>
    <w:p>
      <w:pPr>
        <w:pStyle w:val="60"/>
        <w:rPr>
          <w:rFonts w:hint="eastAsia" w:ascii="仿宋" w:hAnsi="仿宋" w:eastAsia="仿宋" w:cs="仿宋"/>
          <w:color w:val="auto"/>
          <w:lang w:eastAsia="zh-CN"/>
        </w:rPr>
      </w:pPr>
      <w:r>
        <w:rPr>
          <w:rFonts w:hint="eastAsia" w:ascii="仿宋" w:hAnsi="仿宋" w:eastAsia="仿宋" w:cs="仿宋"/>
          <w:color w:val="auto"/>
          <w:lang w:val="en-US" w:eastAsia="zh-CN"/>
        </w:rPr>
        <w:t>4）</w:t>
      </w:r>
      <w:r>
        <w:rPr>
          <w:rFonts w:hint="eastAsia" w:ascii="仿宋" w:hAnsi="仿宋" w:eastAsia="仿宋" w:cs="仿宋"/>
          <w:color w:val="auto"/>
          <w:lang w:eastAsia="zh-CN"/>
        </w:rPr>
        <w:t>投标文件中应提供团队成员名单，每个参加项目人员提供履历介绍，主要内容包括学历、工作特长、经验与业绩、资质情况等，该人员参与的时间以及在项目中的责任。</w:t>
      </w:r>
    </w:p>
    <w:p>
      <w:pPr>
        <w:pStyle w:val="60"/>
        <w:rPr>
          <w:rFonts w:hint="eastAsia" w:ascii="仿宋" w:hAnsi="仿宋" w:eastAsia="仿宋" w:cs="仿宋"/>
          <w:color w:val="auto"/>
          <w:lang w:val="en-US" w:eastAsia="zh-CN"/>
        </w:rPr>
      </w:pPr>
      <w:r>
        <w:rPr>
          <w:rFonts w:hint="eastAsia" w:ascii="仿宋" w:hAnsi="仿宋" w:eastAsia="仿宋" w:cs="仿宋"/>
          <w:color w:val="auto"/>
          <w:lang w:val="en-US" w:eastAsia="zh-CN"/>
        </w:rPr>
        <w:t>5）</w:t>
      </w:r>
      <w:r>
        <w:rPr>
          <w:rFonts w:hint="eastAsia" w:ascii="仿宋" w:hAnsi="仿宋" w:eastAsia="仿宋" w:cs="仿宋"/>
          <w:color w:val="auto"/>
          <w:lang w:eastAsia="zh-CN"/>
        </w:rPr>
        <w:t>投标文件中明确的人员在项目开展过程中不得擅自更换，如需更换应提前10个工作日以书面形式通知招标人，经招标人同意后方可更换。更换后的人员资质及经验不得低于更换前。</w:t>
      </w:r>
    </w:p>
    <w:p>
      <w:pPr>
        <w:pStyle w:val="24"/>
        <w:adjustRightInd w:val="0"/>
        <w:snapToGrid w:val="0"/>
        <w:spacing w:after="0" w:line="360" w:lineRule="auto"/>
        <w:ind w:firstLine="480" w:firstLineChars="200"/>
        <w:outlineLvl w:val="2"/>
        <w:rPr>
          <w:rFonts w:hint="eastAsia" w:ascii="仿宋" w:hAnsi="仿宋" w:eastAsia="仿宋" w:cs="仿宋"/>
          <w:b/>
          <w:bCs/>
          <w:color w:val="auto"/>
          <w:sz w:val="24"/>
        </w:rPr>
      </w:pPr>
      <w:r>
        <w:rPr>
          <w:rFonts w:hint="eastAsia" w:ascii="仿宋" w:hAnsi="仿宋" w:eastAsia="仿宋" w:cs="仿宋"/>
          <w:color w:val="auto"/>
          <w:sz w:val="24"/>
          <w:lang w:val="en-US" w:eastAsia="zh-CN"/>
        </w:rPr>
        <w:t>7.培训方案</w:t>
      </w:r>
    </w:p>
    <w:p>
      <w:pPr>
        <w:pStyle w:val="6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1）中标人应编制相关设备使用指导手册或使用说明，提供使用操作培训，直至使用员工能熟练、安全地操作（如需）。</w:t>
      </w:r>
    </w:p>
    <w:p>
      <w:pPr>
        <w:pStyle w:val="6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2）中标人应提供相应的培训计划。</w:t>
      </w:r>
    </w:p>
    <w:p>
      <w:pPr>
        <w:pStyle w:val="6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3）中标人应对上述内容的实现方式、地点、人数、时间在投标文件中详细说明。</w:t>
      </w:r>
    </w:p>
    <w:p>
      <w:pPr>
        <w:pStyle w:val="6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4）培训相关费用含在报价中。</w:t>
      </w:r>
    </w:p>
    <w:p>
      <w:pPr>
        <w:pStyle w:val="6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5）为保障培训质量，投标人所落实的相关措施、保障方案。</w:t>
      </w:r>
    </w:p>
    <w:p>
      <w:pPr>
        <w:pStyle w:val="6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8.调试验收方案：根据项目实施总进度要求，投标人需提供项目安装调试及验收方案，充分考虑项目调试环节的质量风险点及排除，以及验收环节需具备的材料、资料。</w:t>
      </w:r>
    </w:p>
    <w:p>
      <w:pPr>
        <w:pStyle w:val="4"/>
        <w:spacing w:before="120" w:after="12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七、验收</w:t>
      </w:r>
    </w:p>
    <w:p>
      <w:pPr>
        <w:pStyle w:val="60"/>
        <w:rPr>
          <w:rFonts w:hint="eastAsia" w:ascii="仿宋" w:hAnsi="仿宋" w:eastAsia="仿宋" w:cs="仿宋"/>
          <w:color w:val="auto"/>
          <w:lang w:eastAsia="zh-CN"/>
        </w:rPr>
      </w:pPr>
      <w:r>
        <w:rPr>
          <w:rFonts w:hint="eastAsia" w:ascii="仿宋" w:hAnsi="仿宋" w:eastAsia="仿宋" w:cs="仿宋"/>
          <w:color w:val="auto"/>
          <w:lang w:eastAsia="zh-CN"/>
        </w:rPr>
        <w:t>本项目采用一般验收。投标人应提供合同服务和货物的有效检验文件（包括产品合格证书），经招标人认可后，与合同的性能指标一起作为合同货物验收标准。投标人应在投标文件中提供合同货物的验收标准和检测办法，并在验收中提供招标人认可的相应检测手段，验收标准应符合中国有关的国家、地方、行业的标准，如若中标，经招标人确认后作为验收的依据。</w:t>
      </w:r>
    </w:p>
    <w:p>
      <w:pPr>
        <w:snapToGrid w:val="0"/>
        <w:spacing w:line="360" w:lineRule="auto"/>
        <w:jc w:val="center"/>
        <w:rPr>
          <w:rFonts w:ascii="仿宋" w:hAnsi="仿宋" w:eastAsia="仿宋" w:cs="仿宋_GB2312"/>
          <w:b/>
          <w:color w:val="auto"/>
          <w:sz w:val="36"/>
          <w:szCs w:val="36"/>
        </w:rPr>
      </w:pPr>
      <w:r>
        <w:rPr>
          <w:rFonts w:ascii="仿宋" w:hAnsi="仿宋" w:eastAsia="仿宋" w:cs="仿宋_GB2312"/>
          <w:b/>
          <w:color w:val="auto"/>
          <w:sz w:val="24"/>
        </w:rPr>
        <w:br w:type="page"/>
      </w:r>
      <w:r>
        <w:rPr>
          <w:rFonts w:hint="eastAsia" w:ascii="仿宋" w:hAnsi="仿宋" w:eastAsia="仿宋" w:cs="仿宋_GB2312"/>
          <w:b/>
          <w:color w:val="auto"/>
          <w:sz w:val="36"/>
          <w:szCs w:val="36"/>
        </w:rPr>
        <w:t>第四部分</w:t>
      </w:r>
      <w:r>
        <w:rPr>
          <w:rFonts w:ascii="仿宋" w:hAnsi="仿宋" w:eastAsia="仿宋" w:cs="仿宋_GB2312"/>
          <w:b/>
          <w:color w:val="auto"/>
          <w:sz w:val="36"/>
          <w:szCs w:val="36"/>
        </w:rPr>
        <w:t xml:space="preserve">   </w:t>
      </w:r>
      <w:bookmarkStart w:id="31" w:name="_Toc184314480"/>
      <w:bookmarkEnd w:id="31"/>
      <w:bookmarkStart w:id="32" w:name="_Toc184313284"/>
      <w:bookmarkEnd w:id="32"/>
      <w:bookmarkStart w:id="33" w:name="_Toc184313241"/>
      <w:bookmarkEnd w:id="33"/>
      <w:bookmarkStart w:id="34" w:name="_Toc184313242"/>
      <w:bookmarkEnd w:id="34"/>
      <w:bookmarkStart w:id="35" w:name="_Toc184314436"/>
      <w:bookmarkEnd w:id="35"/>
      <w:bookmarkStart w:id="36" w:name="_Toc184308068"/>
      <w:bookmarkEnd w:id="36"/>
      <w:bookmarkStart w:id="37" w:name="_Toc184313257"/>
      <w:bookmarkEnd w:id="37"/>
      <w:bookmarkStart w:id="38" w:name="_Toc184312093"/>
      <w:bookmarkEnd w:id="38"/>
      <w:bookmarkStart w:id="39" w:name="_Toc184312130"/>
      <w:bookmarkEnd w:id="39"/>
      <w:bookmarkStart w:id="40" w:name="_Toc184312134"/>
      <w:bookmarkEnd w:id="40"/>
      <w:bookmarkStart w:id="41" w:name="_Toc184313261"/>
      <w:bookmarkEnd w:id="41"/>
      <w:bookmarkStart w:id="42" w:name="_Toc184308085"/>
      <w:bookmarkEnd w:id="42"/>
      <w:bookmarkStart w:id="43" w:name="_Toc184312137"/>
      <w:bookmarkEnd w:id="43"/>
      <w:bookmarkStart w:id="44" w:name="_Toc184310340"/>
      <w:bookmarkEnd w:id="44"/>
      <w:bookmarkStart w:id="45" w:name="_Toc184312120"/>
      <w:bookmarkEnd w:id="45"/>
      <w:bookmarkStart w:id="46" w:name="_Toc184312118"/>
      <w:bookmarkEnd w:id="46"/>
      <w:bookmarkStart w:id="47" w:name="_Toc184312129"/>
      <w:bookmarkEnd w:id="47"/>
      <w:bookmarkStart w:id="48" w:name="_Toc184314427"/>
      <w:bookmarkEnd w:id="48"/>
      <w:bookmarkStart w:id="49" w:name="_Toc184310333"/>
      <w:bookmarkEnd w:id="49"/>
      <w:bookmarkStart w:id="50" w:name="_Toc184312121"/>
      <w:bookmarkEnd w:id="50"/>
      <w:bookmarkStart w:id="51" w:name="_Toc184313282"/>
      <w:bookmarkEnd w:id="51"/>
      <w:bookmarkStart w:id="52" w:name="_Toc184310330"/>
      <w:bookmarkEnd w:id="52"/>
      <w:bookmarkStart w:id="53" w:name="_Toc184314451"/>
      <w:bookmarkEnd w:id="53"/>
      <w:bookmarkStart w:id="54" w:name="_Toc184308063"/>
      <w:bookmarkEnd w:id="54"/>
      <w:bookmarkStart w:id="55" w:name="_Toc184312133"/>
      <w:bookmarkEnd w:id="55"/>
      <w:bookmarkStart w:id="56" w:name="_Toc184310329"/>
      <w:bookmarkEnd w:id="56"/>
      <w:bookmarkStart w:id="57" w:name="_Toc184313299"/>
      <w:bookmarkEnd w:id="57"/>
      <w:bookmarkStart w:id="58" w:name="_Toc184312113"/>
      <w:bookmarkEnd w:id="58"/>
      <w:bookmarkStart w:id="59" w:name="_Toc184308076"/>
      <w:bookmarkEnd w:id="59"/>
      <w:bookmarkStart w:id="60" w:name="_Toc184313248"/>
      <w:bookmarkEnd w:id="60"/>
      <w:bookmarkStart w:id="61" w:name="_Toc184313244"/>
      <w:bookmarkEnd w:id="61"/>
      <w:bookmarkStart w:id="62" w:name="_Toc184310272"/>
      <w:bookmarkEnd w:id="62"/>
      <w:bookmarkStart w:id="63" w:name="_Toc184310276"/>
      <w:bookmarkEnd w:id="63"/>
      <w:bookmarkStart w:id="64" w:name="_Toc184312109"/>
      <w:bookmarkEnd w:id="64"/>
      <w:bookmarkStart w:id="65" w:name="_Toc184312071"/>
      <w:bookmarkEnd w:id="65"/>
      <w:bookmarkStart w:id="66" w:name="_Toc184314467"/>
      <w:bookmarkEnd w:id="66"/>
      <w:bookmarkStart w:id="67" w:name="_Toc184313252"/>
      <w:bookmarkEnd w:id="67"/>
      <w:bookmarkStart w:id="68" w:name="_Toc184313286"/>
      <w:bookmarkEnd w:id="68"/>
      <w:bookmarkStart w:id="69" w:name="_Toc184312123"/>
      <w:bookmarkEnd w:id="69"/>
      <w:bookmarkStart w:id="70" w:name="_Toc184308084"/>
      <w:bookmarkEnd w:id="70"/>
      <w:bookmarkStart w:id="71" w:name="_Toc184312075"/>
      <w:bookmarkEnd w:id="71"/>
      <w:bookmarkStart w:id="72" w:name="_Toc184308075"/>
      <w:bookmarkEnd w:id="72"/>
      <w:bookmarkStart w:id="73" w:name="_Toc184310342"/>
      <w:bookmarkEnd w:id="73"/>
      <w:bookmarkStart w:id="74" w:name="_Toc184310334"/>
      <w:bookmarkEnd w:id="74"/>
      <w:bookmarkStart w:id="75" w:name="_Toc184313294"/>
      <w:bookmarkEnd w:id="75"/>
      <w:bookmarkStart w:id="76" w:name="_Toc184308105"/>
      <w:bookmarkEnd w:id="76"/>
      <w:bookmarkStart w:id="77" w:name="_Toc184310274"/>
      <w:bookmarkEnd w:id="77"/>
      <w:bookmarkStart w:id="78" w:name="_Toc184310313"/>
      <w:bookmarkEnd w:id="78"/>
      <w:bookmarkStart w:id="79" w:name="_Toc184308089"/>
      <w:bookmarkEnd w:id="79"/>
      <w:bookmarkStart w:id="80" w:name="_Toc184313304"/>
      <w:bookmarkEnd w:id="80"/>
      <w:bookmarkStart w:id="81" w:name="_Toc184313253"/>
      <w:bookmarkEnd w:id="81"/>
      <w:bookmarkStart w:id="82" w:name="_Toc184312084"/>
      <w:bookmarkEnd w:id="82"/>
      <w:bookmarkStart w:id="83" w:name="_Toc184314440"/>
      <w:bookmarkEnd w:id="83"/>
      <w:bookmarkStart w:id="84" w:name="_Toc184310331"/>
      <w:bookmarkEnd w:id="84"/>
      <w:bookmarkStart w:id="85" w:name="_Toc184313307"/>
      <w:bookmarkEnd w:id="85"/>
      <w:bookmarkStart w:id="86" w:name="_Toc184310343"/>
      <w:bookmarkEnd w:id="86"/>
      <w:bookmarkStart w:id="87" w:name="_Toc184308050"/>
      <w:bookmarkEnd w:id="87"/>
      <w:bookmarkStart w:id="88" w:name="_Toc184308042"/>
      <w:bookmarkEnd w:id="88"/>
      <w:bookmarkStart w:id="89" w:name="_Toc184308104"/>
      <w:bookmarkEnd w:id="89"/>
      <w:bookmarkStart w:id="90" w:name="_Toc184308038"/>
      <w:bookmarkEnd w:id="90"/>
      <w:bookmarkStart w:id="91" w:name="_Toc184310290"/>
      <w:bookmarkEnd w:id="91"/>
      <w:bookmarkStart w:id="92" w:name="_Toc184308080"/>
      <w:bookmarkEnd w:id="92"/>
      <w:bookmarkStart w:id="93" w:name="_Toc184314422"/>
      <w:bookmarkEnd w:id="93"/>
      <w:bookmarkStart w:id="94" w:name="_Toc184308093"/>
      <w:bookmarkEnd w:id="94"/>
      <w:bookmarkStart w:id="95" w:name="_Toc184310303"/>
      <w:bookmarkEnd w:id="95"/>
      <w:bookmarkStart w:id="96" w:name="_Toc184312082"/>
      <w:bookmarkEnd w:id="96"/>
      <w:bookmarkStart w:id="97" w:name="_Toc184312069"/>
      <w:bookmarkEnd w:id="97"/>
      <w:bookmarkStart w:id="98" w:name="_Toc184314470"/>
      <w:bookmarkEnd w:id="98"/>
      <w:bookmarkStart w:id="99" w:name="_Toc184313305"/>
      <w:bookmarkEnd w:id="99"/>
      <w:bookmarkStart w:id="100" w:name="_Toc184314471"/>
      <w:bookmarkEnd w:id="100"/>
      <w:bookmarkStart w:id="101" w:name="_Toc184314477"/>
      <w:bookmarkEnd w:id="101"/>
      <w:bookmarkStart w:id="102" w:name="_Toc184310312"/>
      <w:bookmarkEnd w:id="102"/>
      <w:bookmarkStart w:id="103" w:name="_Toc184308043"/>
      <w:bookmarkEnd w:id="103"/>
      <w:bookmarkStart w:id="104" w:name="_Toc184308062"/>
      <w:bookmarkEnd w:id="104"/>
      <w:bookmarkStart w:id="105" w:name="_Toc184308041"/>
      <w:bookmarkEnd w:id="105"/>
      <w:bookmarkStart w:id="106" w:name="_Toc184308088"/>
      <w:bookmarkEnd w:id="106"/>
      <w:bookmarkStart w:id="107" w:name="_Toc184313285"/>
      <w:bookmarkEnd w:id="107"/>
      <w:bookmarkStart w:id="108" w:name="_Toc184314416"/>
      <w:bookmarkEnd w:id="108"/>
      <w:bookmarkStart w:id="109" w:name="_Toc184310321"/>
      <w:bookmarkEnd w:id="109"/>
      <w:bookmarkStart w:id="110" w:name="_Toc184313240"/>
      <w:bookmarkEnd w:id="110"/>
      <w:bookmarkStart w:id="111" w:name="_Toc184314419"/>
      <w:bookmarkEnd w:id="111"/>
      <w:bookmarkStart w:id="112" w:name="_Toc184314415"/>
      <w:bookmarkEnd w:id="112"/>
      <w:bookmarkStart w:id="113" w:name="_Toc184310332"/>
      <w:bookmarkEnd w:id="113"/>
      <w:bookmarkStart w:id="114" w:name="_Toc184308044"/>
      <w:bookmarkEnd w:id="114"/>
      <w:bookmarkStart w:id="115" w:name="_Toc184308066"/>
      <w:bookmarkEnd w:id="115"/>
      <w:bookmarkStart w:id="116" w:name="_Toc184312122"/>
      <w:bookmarkEnd w:id="116"/>
      <w:bookmarkStart w:id="117" w:name="_Toc184313298"/>
      <w:bookmarkEnd w:id="117"/>
      <w:bookmarkStart w:id="118" w:name="_Toc184310325"/>
      <w:bookmarkEnd w:id="118"/>
      <w:bookmarkStart w:id="119" w:name="_Toc184310318"/>
      <w:bookmarkEnd w:id="119"/>
      <w:bookmarkStart w:id="120" w:name="_Toc184313265"/>
      <w:bookmarkEnd w:id="120"/>
      <w:bookmarkStart w:id="121" w:name="_Toc184314481"/>
      <w:bookmarkEnd w:id="121"/>
      <w:bookmarkStart w:id="122" w:name="_Toc184314412"/>
      <w:bookmarkEnd w:id="122"/>
      <w:bookmarkStart w:id="123" w:name="_Toc184312080"/>
      <w:bookmarkEnd w:id="123"/>
      <w:bookmarkStart w:id="124" w:name="_Toc184308037"/>
      <w:bookmarkEnd w:id="124"/>
      <w:bookmarkStart w:id="125" w:name="_Toc184308069"/>
      <w:bookmarkEnd w:id="125"/>
      <w:bookmarkStart w:id="126" w:name="_Toc184312111"/>
      <w:bookmarkEnd w:id="126"/>
      <w:bookmarkStart w:id="127" w:name="_Toc184312135"/>
      <w:bookmarkEnd w:id="127"/>
      <w:bookmarkStart w:id="128" w:name="_Toc184313245"/>
      <w:bookmarkEnd w:id="128"/>
      <w:bookmarkStart w:id="129" w:name="_Toc184310339"/>
      <w:bookmarkEnd w:id="129"/>
      <w:bookmarkStart w:id="130" w:name="_Toc184314421"/>
      <w:bookmarkEnd w:id="130"/>
      <w:bookmarkStart w:id="131" w:name="_Toc184312076"/>
      <w:bookmarkEnd w:id="131"/>
      <w:bookmarkStart w:id="132" w:name="_Toc184314424"/>
      <w:bookmarkEnd w:id="132"/>
      <w:bookmarkStart w:id="133" w:name="_Toc184314417"/>
      <w:bookmarkEnd w:id="133"/>
      <w:bookmarkStart w:id="134" w:name="_Toc184313256"/>
      <w:bookmarkEnd w:id="134"/>
      <w:bookmarkStart w:id="135" w:name="_Toc184312077"/>
      <w:bookmarkEnd w:id="135"/>
      <w:bookmarkStart w:id="136" w:name="_Toc184312104"/>
      <w:bookmarkEnd w:id="136"/>
      <w:bookmarkStart w:id="137" w:name="_Toc184310335"/>
      <w:bookmarkEnd w:id="137"/>
      <w:bookmarkStart w:id="138" w:name="_Toc184312091"/>
      <w:bookmarkEnd w:id="138"/>
      <w:bookmarkStart w:id="139" w:name="_Toc184313260"/>
      <w:bookmarkEnd w:id="139"/>
      <w:bookmarkStart w:id="140" w:name="_Toc184308096"/>
      <w:bookmarkEnd w:id="140"/>
      <w:bookmarkStart w:id="141" w:name="_Toc184312098"/>
      <w:bookmarkEnd w:id="141"/>
      <w:bookmarkStart w:id="142" w:name="_Toc184313267"/>
      <w:bookmarkEnd w:id="142"/>
      <w:bookmarkStart w:id="143" w:name="_Toc184314482"/>
      <w:bookmarkEnd w:id="143"/>
      <w:bookmarkStart w:id="144" w:name="_Toc184312125"/>
      <w:bookmarkEnd w:id="144"/>
      <w:bookmarkStart w:id="145" w:name="_Toc184308051"/>
      <w:bookmarkEnd w:id="145"/>
      <w:bookmarkStart w:id="146" w:name="_Toc184312083"/>
      <w:bookmarkEnd w:id="146"/>
      <w:bookmarkStart w:id="147" w:name="_Toc184314479"/>
      <w:bookmarkEnd w:id="147"/>
      <w:bookmarkStart w:id="148" w:name="_Toc184313288"/>
      <w:bookmarkEnd w:id="148"/>
      <w:bookmarkStart w:id="149" w:name="_Toc184310328"/>
      <w:bookmarkEnd w:id="149"/>
      <w:bookmarkStart w:id="150" w:name="_Toc184308078"/>
      <w:bookmarkEnd w:id="150"/>
      <w:bookmarkStart w:id="151" w:name="_Toc184312097"/>
      <w:bookmarkEnd w:id="151"/>
      <w:bookmarkStart w:id="152" w:name="_Toc184314429"/>
      <w:bookmarkEnd w:id="152"/>
      <w:bookmarkStart w:id="153" w:name="_Toc184310341"/>
      <w:bookmarkEnd w:id="153"/>
      <w:bookmarkStart w:id="154" w:name="_Toc184310285"/>
      <w:bookmarkEnd w:id="154"/>
      <w:bookmarkStart w:id="155" w:name="_Toc184313247"/>
      <w:bookmarkEnd w:id="155"/>
      <w:bookmarkStart w:id="156" w:name="_Toc184312116"/>
      <w:bookmarkEnd w:id="156"/>
      <w:bookmarkStart w:id="157" w:name="_Toc184314434"/>
      <w:bookmarkEnd w:id="157"/>
      <w:bookmarkStart w:id="158" w:name="_Toc184313297"/>
      <w:bookmarkEnd w:id="158"/>
      <w:bookmarkStart w:id="159" w:name="_Toc184314430"/>
      <w:bookmarkEnd w:id="159"/>
      <w:bookmarkStart w:id="160" w:name="_Toc184314453"/>
      <w:bookmarkEnd w:id="160"/>
      <w:bookmarkStart w:id="161" w:name="_Toc184313273"/>
      <w:bookmarkEnd w:id="161"/>
      <w:bookmarkStart w:id="162" w:name="_Toc184313269"/>
      <w:bookmarkEnd w:id="162"/>
      <w:bookmarkStart w:id="163" w:name="_Toc184313251"/>
      <w:bookmarkEnd w:id="163"/>
      <w:bookmarkStart w:id="164" w:name="_Toc184313292"/>
      <w:bookmarkEnd w:id="164"/>
      <w:bookmarkStart w:id="165" w:name="_Toc184310281"/>
      <w:bookmarkEnd w:id="165"/>
      <w:bookmarkStart w:id="166" w:name="_Toc184310317"/>
      <w:bookmarkEnd w:id="166"/>
      <w:bookmarkStart w:id="167" w:name="_Toc184308052"/>
      <w:bookmarkEnd w:id="167"/>
      <w:bookmarkStart w:id="168" w:name="_Toc184313272"/>
      <w:bookmarkEnd w:id="168"/>
      <w:bookmarkStart w:id="169" w:name="_Toc184308046"/>
      <w:bookmarkEnd w:id="169"/>
      <w:bookmarkStart w:id="170" w:name="_Toc184310297"/>
      <w:bookmarkEnd w:id="170"/>
      <w:bookmarkStart w:id="171" w:name="_Toc184312115"/>
      <w:bookmarkEnd w:id="171"/>
      <w:bookmarkStart w:id="172" w:name="_Toc184314433"/>
      <w:bookmarkEnd w:id="172"/>
      <w:bookmarkStart w:id="173" w:name="_Toc184314428"/>
      <w:bookmarkEnd w:id="173"/>
      <w:bookmarkStart w:id="174" w:name="_Toc184314426"/>
      <w:bookmarkEnd w:id="174"/>
      <w:bookmarkStart w:id="175" w:name="_Toc184313271"/>
      <w:bookmarkEnd w:id="175"/>
      <w:bookmarkStart w:id="176" w:name="_Toc184312079"/>
      <w:bookmarkEnd w:id="176"/>
      <w:bookmarkStart w:id="177" w:name="_Toc184308061"/>
      <w:bookmarkEnd w:id="177"/>
      <w:bookmarkStart w:id="178" w:name="_Toc184313281"/>
      <w:bookmarkEnd w:id="178"/>
      <w:bookmarkStart w:id="179" w:name="_Toc184312124"/>
      <w:bookmarkEnd w:id="179"/>
      <w:bookmarkStart w:id="180" w:name="_Toc184310305"/>
      <w:bookmarkEnd w:id="180"/>
      <w:bookmarkStart w:id="181" w:name="_Toc184308039"/>
      <w:bookmarkEnd w:id="181"/>
      <w:bookmarkStart w:id="182" w:name="_Toc184312106"/>
      <w:bookmarkEnd w:id="182"/>
      <w:bookmarkStart w:id="183" w:name="_Toc184314443"/>
      <w:bookmarkEnd w:id="183"/>
      <w:bookmarkStart w:id="184" w:name="_Toc184310296"/>
      <w:bookmarkEnd w:id="184"/>
      <w:bookmarkStart w:id="185" w:name="_Toc184312068"/>
      <w:bookmarkEnd w:id="185"/>
      <w:bookmarkStart w:id="186" w:name="_Toc184310301"/>
      <w:bookmarkEnd w:id="186"/>
      <w:bookmarkStart w:id="187" w:name="_Toc184314449"/>
      <w:bookmarkEnd w:id="187"/>
      <w:bookmarkStart w:id="188" w:name="_Toc184310308"/>
      <w:bookmarkEnd w:id="188"/>
      <w:bookmarkStart w:id="189" w:name="_Toc184313268"/>
      <w:bookmarkEnd w:id="189"/>
      <w:bookmarkStart w:id="190" w:name="_Toc184310338"/>
      <w:bookmarkEnd w:id="190"/>
      <w:bookmarkStart w:id="191" w:name="_Toc184312067"/>
      <w:bookmarkEnd w:id="191"/>
      <w:bookmarkStart w:id="192" w:name="_Toc184308065"/>
      <w:bookmarkEnd w:id="192"/>
      <w:bookmarkStart w:id="193" w:name="_Toc184313262"/>
      <w:bookmarkEnd w:id="193"/>
      <w:bookmarkStart w:id="194" w:name="_Toc184312108"/>
      <w:bookmarkEnd w:id="194"/>
      <w:bookmarkStart w:id="195" w:name="_Toc184310336"/>
      <w:bookmarkEnd w:id="195"/>
      <w:bookmarkStart w:id="196" w:name="_Toc184308082"/>
      <w:bookmarkEnd w:id="196"/>
      <w:bookmarkStart w:id="197" w:name="_Toc184308057"/>
      <w:bookmarkEnd w:id="197"/>
      <w:bookmarkStart w:id="198" w:name="_Toc184312088"/>
      <w:bookmarkEnd w:id="198"/>
      <w:bookmarkStart w:id="199" w:name="_Toc184312085"/>
      <w:bookmarkEnd w:id="199"/>
      <w:bookmarkStart w:id="200" w:name="_Toc184314458"/>
      <w:bookmarkEnd w:id="200"/>
      <w:bookmarkStart w:id="201" w:name="_Toc184308081"/>
      <w:bookmarkEnd w:id="201"/>
      <w:bookmarkStart w:id="202" w:name="_Toc184313280"/>
      <w:bookmarkEnd w:id="202"/>
      <w:bookmarkStart w:id="203" w:name="_Toc184313264"/>
      <w:bookmarkEnd w:id="203"/>
      <w:bookmarkStart w:id="204" w:name="_Toc184310299"/>
      <w:bookmarkEnd w:id="204"/>
      <w:bookmarkStart w:id="205" w:name="_Toc184313287"/>
      <w:bookmarkEnd w:id="205"/>
      <w:bookmarkStart w:id="206" w:name="_Toc184308101"/>
      <w:bookmarkEnd w:id="206"/>
      <w:bookmarkStart w:id="207" w:name="_Toc184310314"/>
      <w:bookmarkEnd w:id="207"/>
      <w:bookmarkStart w:id="208" w:name="_Toc184308083"/>
      <w:bookmarkEnd w:id="208"/>
      <w:bookmarkStart w:id="209" w:name="_Toc184310311"/>
      <w:bookmarkEnd w:id="209"/>
      <w:bookmarkStart w:id="210" w:name="_Toc184313275"/>
      <w:bookmarkEnd w:id="210"/>
      <w:bookmarkStart w:id="211" w:name="_Toc184308048"/>
      <w:bookmarkEnd w:id="211"/>
      <w:bookmarkStart w:id="212" w:name="_Toc184314459"/>
      <w:bookmarkEnd w:id="212"/>
      <w:bookmarkStart w:id="213" w:name="_Toc184312100"/>
      <w:bookmarkEnd w:id="213"/>
      <w:bookmarkStart w:id="214" w:name="_Toc184312112"/>
      <w:bookmarkEnd w:id="214"/>
      <w:bookmarkStart w:id="215" w:name="_Toc184313266"/>
      <w:bookmarkEnd w:id="215"/>
      <w:bookmarkStart w:id="216" w:name="_Toc184308055"/>
      <w:bookmarkEnd w:id="216"/>
      <w:bookmarkStart w:id="217" w:name="_Toc184314446"/>
      <w:bookmarkEnd w:id="217"/>
      <w:bookmarkStart w:id="218" w:name="_Toc184308036"/>
      <w:bookmarkEnd w:id="218"/>
      <w:bookmarkStart w:id="219" w:name="_Toc184308040"/>
      <w:bookmarkEnd w:id="219"/>
      <w:bookmarkStart w:id="220" w:name="_Toc184310292"/>
      <w:bookmarkEnd w:id="220"/>
      <w:bookmarkStart w:id="221" w:name="_Toc184308056"/>
      <w:bookmarkEnd w:id="221"/>
      <w:bookmarkStart w:id="222" w:name="_Toc184312099"/>
      <w:bookmarkEnd w:id="222"/>
      <w:bookmarkStart w:id="223" w:name="_Toc184314413"/>
      <w:bookmarkEnd w:id="223"/>
      <w:bookmarkStart w:id="224" w:name="_Toc184313308"/>
      <w:bookmarkEnd w:id="224"/>
      <w:bookmarkStart w:id="225" w:name="_Toc184310275"/>
      <w:bookmarkEnd w:id="225"/>
      <w:bookmarkStart w:id="226" w:name="_Toc184310293"/>
      <w:bookmarkEnd w:id="226"/>
      <w:bookmarkStart w:id="227" w:name="_Toc184314450"/>
      <w:bookmarkEnd w:id="227"/>
      <w:bookmarkStart w:id="228" w:name="_Toc184308054"/>
      <w:bookmarkEnd w:id="228"/>
      <w:bookmarkStart w:id="229" w:name="_Toc184310322"/>
      <w:bookmarkEnd w:id="229"/>
      <w:bookmarkStart w:id="230" w:name="_Toc184313306"/>
      <w:bookmarkEnd w:id="230"/>
      <w:bookmarkStart w:id="231" w:name="_Toc184310302"/>
      <w:bookmarkEnd w:id="231"/>
      <w:bookmarkStart w:id="232" w:name="_Toc184314454"/>
      <w:bookmarkEnd w:id="232"/>
      <w:bookmarkStart w:id="233" w:name="_Toc184313291"/>
      <w:bookmarkEnd w:id="233"/>
      <w:bookmarkStart w:id="234" w:name="_Toc184314478"/>
      <w:bookmarkEnd w:id="234"/>
      <w:bookmarkStart w:id="235" w:name="_Toc184313277"/>
      <w:bookmarkEnd w:id="235"/>
      <w:bookmarkStart w:id="236" w:name="_Toc184313255"/>
      <w:bookmarkEnd w:id="236"/>
      <w:bookmarkStart w:id="237" w:name="_Toc184308108"/>
      <w:bookmarkEnd w:id="237"/>
      <w:bookmarkStart w:id="238" w:name="_Toc184312086"/>
      <w:bookmarkEnd w:id="238"/>
      <w:bookmarkStart w:id="239" w:name="_Toc184314410"/>
      <w:bookmarkEnd w:id="239"/>
      <w:bookmarkStart w:id="240" w:name="_Toc184310288"/>
      <w:bookmarkEnd w:id="240"/>
      <w:bookmarkStart w:id="241" w:name="_Toc184310289"/>
      <w:bookmarkEnd w:id="241"/>
      <w:bookmarkStart w:id="242" w:name="_Toc184310310"/>
      <w:bookmarkEnd w:id="242"/>
      <w:bookmarkStart w:id="243" w:name="_Toc184313270"/>
      <w:bookmarkEnd w:id="243"/>
      <w:bookmarkStart w:id="244" w:name="_Toc184312110"/>
      <w:bookmarkEnd w:id="244"/>
      <w:bookmarkStart w:id="245" w:name="_Toc184312078"/>
      <w:bookmarkEnd w:id="245"/>
      <w:bookmarkStart w:id="246" w:name="_Toc184308053"/>
      <w:bookmarkEnd w:id="246"/>
      <w:bookmarkStart w:id="247" w:name="_Toc184310273"/>
      <w:bookmarkEnd w:id="247"/>
      <w:bookmarkStart w:id="248" w:name="_Toc184314439"/>
      <w:bookmarkEnd w:id="248"/>
      <w:bookmarkStart w:id="249" w:name="_Toc184308064"/>
      <w:bookmarkEnd w:id="249"/>
      <w:bookmarkStart w:id="250" w:name="_Toc184308074"/>
      <w:bookmarkEnd w:id="250"/>
      <w:bookmarkStart w:id="251" w:name="_Toc184312087"/>
      <w:bookmarkEnd w:id="251"/>
      <w:bookmarkStart w:id="252" w:name="_Toc184313303"/>
      <w:bookmarkEnd w:id="252"/>
      <w:bookmarkStart w:id="253" w:name="_Toc184313258"/>
      <w:bookmarkEnd w:id="253"/>
      <w:bookmarkStart w:id="254" w:name="_Toc184314476"/>
      <w:bookmarkEnd w:id="254"/>
      <w:bookmarkStart w:id="255" w:name="_Toc184312073"/>
      <w:bookmarkEnd w:id="255"/>
      <w:bookmarkStart w:id="256" w:name="_Toc184312070"/>
      <w:bookmarkEnd w:id="256"/>
      <w:bookmarkStart w:id="257" w:name="_Toc184308077"/>
      <w:bookmarkEnd w:id="257"/>
      <w:bookmarkStart w:id="258" w:name="_Toc184310295"/>
      <w:bookmarkEnd w:id="258"/>
      <w:bookmarkStart w:id="259" w:name="_Toc184308067"/>
      <w:bookmarkEnd w:id="259"/>
      <w:bookmarkStart w:id="260" w:name="_Toc184314420"/>
      <w:bookmarkEnd w:id="260"/>
      <w:bookmarkStart w:id="261" w:name="_Toc184310282"/>
      <w:bookmarkEnd w:id="261"/>
      <w:bookmarkStart w:id="262" w:name="_Toc184314445"/>
      <w:bookmarkEnd w:id="262"/>
      <w:bookmarkStart w:id="263" w:name="_Toc184308047"/>
      <w:bookmarkEnd w:id="263"/>
      <w:bookmarkStart w:id="264" w:name="_Toc184313249"/>
      <w:bookmarkEnd w:id="264"/>
      <w:bookmarkStart w:id="265" w:name="_Toc184312102"/>
      <w:bookmarkEnd w:id="265"/>
      <w:bookmarkStart w:id="266" w:name="_Toc184314442"/>
      <w:bookmarkEnd w:id="266"/>
      <w:bookmarkStart w:id="267" w:name="_Toc184310337"/>
      <w:bookmarkEnd w:id="267"/>
      <w:bookmarkStart w:id="268" w:name="_Toc184310315"/>
      <w:bookmarkEnd w:id="268"/>
      <w:bookmarkStart w:id="269" w:name="_Toc184313279"/>
      <w:bookmarkEnd w:id="269"/>
      <w:bookmarkStart w:id="270" w:name="_Toc184308058"/>
      <w:bookmarkEnd w:id="270"/>
      <w:bookmarkStart w:id="271" w:name="_Toc184314475"/>
      <w:bookmarkEnd w:id="271"/>
      <w:bookmarkStart w:id="272" w:name="_Toc184314432"/>
      <w:bookmarkEnd w:id="272"/>
      <w:bookmarkStart w:id="273" w:name="_Toc184313283"/>
      <w:bookmarkEnd w:id="273"/>
      <w:bookmarkStart w:id="274" w:name="_Toc184312103"/>
      <w:bookmarkEnd w:id="274"/>
      <w:bookmarkStart w:id="275" w:name="_Toc184312096"/>
      <w:bookmarkEnd w:id="275"/>
      <w:bookmarkStart w:id="276" w:name="_Toc184314441"/>
      <w:bookmarkEnd w:id="276"/>
      <w:bookmarkStart w:id="277" w:name="_Toc184312101"/>
      <w:bookmarkEnd w:id="277"/>
      <w:bookmarkStart w:id="278" w:name="_Toc184313239"/>
      <w:bookmarkEnd w:id="278"/>
      <w:bookmarkStart w:id="279" w:name="_Toc184312081"/>
      <w:bookmarkEnd w:id="279"/>
      <w:bookmarkStart w:id="280" w:name="_Toc184313254"/>
      <w:bookmarkEnd w:id="280"/>
      <w:bookmarkStart w:id="281" w:name="_Toc184314438"/>
      <w:bookmarkEnd w:id="281"/>
      <w:bookmarkStart w:id="282" w:name="_Toc184310291"/>
      <w:bookmarkEnd w:id="282"/>
      <w:bookmarkStart w:id="283" w:name="_Toc184310283"/>
      <w:bookmarkEnd w:id="283"/>
      <w:bookmarkStart w:id="284" w:name="_Toc184308049"/>
      <w:bookmarkEnd w:id="284"/>
      <w:bookmarkStart w:id="285" w:name="_Toc184310306"/>
      <w:bookmarkEnd w:id="285"/>
      <w:bookmarkStart w:id="286" w:name="_Toc184308100"/>
      <w:bookmarkEnd w:id="286"/>
      <w:bookmarkStart w:id="287" w:name="_Toc184308070"/>
      <w:bookmarkEnd w:id="287"/>
      <w:bookmarkStart w:id="288" w:name="_Toc184314431"/>
      <w:bookmarkEnd w:id="288"/>
      <w:bookmarkStart w:id="289" w:name="_Toc184310300"/>
      <w:bookmarkEnd w:id="289"/>
      <w:bookmarkStart w:id="290" w:name="_Toc184314455"/>
      <w:bookmarkEnd w:id="290"/>
      <w:bookmarkStart w:id="291" w:name="_Toc184312094"/>
      <w:bookmarkEnd w:id="291"/>
      <w:bookmarkStart w:id="292" w:name="_Toc184312117"/>
      <w:bookmarkEnd w:id="292"/>
      <w:bookmarkStart w:id="293" w:name="_Toc184313276"/>
      <w:bookmarkEnd w:id="293"/>
      <w:bookmarkStart w:id="294" w:name="_Toc184313263"/>
      <w:bookmarkEnd w:id="294"/>
      <w:bookmarkStart w:id="295" w:name="_Toc184308071"/>
      <w:bookmarkEnd w:id="295"/>
      <w:bookmarkStart w:id="296" w:name="_Toc184310309"/>
      <w:bookmarkEnd w:id="296"/>
      <w:bookmarkStart w:id="297" w:name="_Toc184312089"/>
      <w:bookmarkEnd w:id="297"/>
      <w:bookmarkStart w:id="298" w:name="_Toc184308095"/>
      <w:bookmarkEnd w:id="298"/>
      <w:bookmarkStart w:id="299" w:name="_Toc184314447"/>
      <w:bookmarkEnd w:id="299"/>
      <w:bookmarkStart w:id="300" w:name="_Toc184312131"/>
      <w:bookmarkEnd w:id="300"/>
      <w:bookmarkStart w:id="301" w:name="_Toc184314473"/>
      <w:bookmarkEnd w:id="301"/>
      <w:bookmarkStart w:id="302" w:name="_Toc184313289"/>
      <w:bookmarkEnd w:id="302"/>
      <w:bookmarkStart w:id="303" w:name="_Toc184313302"/>
      <w:bookmarkEnd w:id="303"/>
      <w:bookmarkStart w:id="304" w:name="_Toc184313296"/>
      <w:bookmarkEnd w:id="304"/>
      <w:bookmarkStart w:id="305" w:name="_Toc184312119"/>
      <w:bookmarkEnd w:id="305"/>
      <w:bookmarkStart w:id="306" w:name="_Toc184308102"/>
      <w:bookmarkEnd w:id="306"/>
      <w:bookmarkStart w:id="307" w:name="_Toc184310277"/>
      <w:bookmarkEnd w:id="307"/>
      <w:bookmarkStart w:id="308" w:name="_Toc184313238"/>
      <w:bookmarkEnd w:id="308"/>
      <w:bookmarkStart w:id="309" w:name="_Toc184308045"/>
      <w:bookmarkEnd w:id="309"/>
      <w:bookmarkStart w:id="310" w:name="_Toc184310298"/>
      <w:bookmarkEnd w:id="310"/>
      <w:bookmarkStart w:id="311" w:name="_Toc184312126"/>
      <w:bookmarkEnd w:id="311"/>
      <w:bookmarkStart w:id="312" w:name="_Toc184308073"/>
      <w:bookmarkEnd w:id="312"/>
      <w:bookmarkStart w:id="313" w:name="_Toc184310320"/>
      <w:bookmarkEnd w:id="313"/>
      <w:bookmarkStart w:id="314" w:name="_Toc184314462"/>
      <w:bookmarkEnd w:id="314"/>
      <w:bookmarkStart w:id="315" w:name="_Toc184310304"/>
      <w:bookmarkEnd w:id="315"/>
      <w:bookmarkStart w:id="316" w:name="_Toc184313278"/>
      <w:bookmarkEnd w:id="316"/>
      <w:bookmarkStart w:id="317" w:name="_Toc184310284"/>
      <w:bookmarkEnd w:id="317"/>
      <w:bookmarkStart w:id="318" w:name="_Toc184313310"/>
      <w:bookmarkEnd w:id="318"/>
      <w:bookmarkStart w:id="319" w:name="_Toc184313309"/>
      <w:bookmarkEnd w:id="319"/>
      <w:bookmarkStart w:id="320" w:name="_Toc184308059"/>
      <w:bookmarkEnd w:id="320"/>
      <w:bookmarkStart w:id="321" w:name="_Toc184313295"/>
      <w:bookmarkEnd w:id="321"/>
      <w:bookmarkStart w:id="322" w:name="_Toc184312128"/>
      <w:bookmarkEnd w:id="322"/>
      <w:bookmarkStart w:id="323" w:name="_Toc184314437"/>
      <w:bookmarkEnd w:id="323"/>
      <w:bookmarkStart w:id="324" w:name="_Toc184313290"/>
      <w:bookmarkEnd w:id="324"/>
      <w:bookmarkStart w:id="325" w:name="_Toc184308079"/>
      <w:bookmarkEnd w:id="325"/>
      <w:bookmarkStart w:id="326" w:name="_Toc184314435"/>
      <w:bookmarkEnd w:id="326"/>
      <w:bookmarkStart w:id="327" w:name="_Toc184308091"/>
      <w:bookmarkEnd w:id="327"/>
      <w:bookmarkStart w:id="328" w:name="_Toc184313243"/>
      <w:bookmarkEnd w:id="328"/>
      <w:bookmarkStart w:id="329" w:name="_Toc184308097"/>
      <w:bookmarkEnd w:id="329"/>
      <w:bookmarkStart w:id="330" w:name="_Toc184313301"/>
      <w:bookmarkEnd w:id="330"/>
      <w:bookmarkStart w:id="331" w:name="_Toc184314423"/>
      <w:bookmarkEnd w:id="331"/>
      <w:bookmarkStart w:id="332" w:name="_Toc184314468"/>
      <w:bookmarkEnd w:id="332"/>
      <w:bookmarkStart w:id="333" w:name="_Toc184314448"/>
      <w:bookmarkEnd w:id="333"/>
      <w:bookmarkStart w:id="334" w:name="_Toc184314452"/>
      <w:bookmarkEnd w:id="334"/>
      <w:bookmarkStart w:id="335" w:name="_Toc184312127"/>
      <w:bookmarkEnd w:id="335"/>
      <w:bookmarkStart w:id="336" w:name="_Toc184308092"/>
      <w:bookmarkEnd w:id="336"/>
      <w:bookmarkStart w:id="337" w:name="_Toc184310278"/>
      <w:bookmarkEnd w:id="337"/>
      <w:bookmarkStart w:id="338" w:name="_Toc184308094"/>
      <w:bookmarkEnd w:id="338"/>
      <w:bookmarkStart w:id="339" w:name="_Toc184314425"/>
      <w:bookmarkEnd w:id="339"/>
      <w:bookmarkStart w:id="340" w:name="_Toc184314465"/>
      <w:bookmarkEnd w:id="340"/>
      <w:bookmarkStart w:id="341" w:name="_Toc184310324"/>
      <w:bookmarkEnd w:id="341"/>
      <w:bookmarkStart w:id="342" w:name="_Toc184312139"/>
      <w:bookmarkEnd w:id="342"/>
      <w:bookmarkStart w:id="343" w:name="_Toc184312074"/>
      <w:bookmarkEnd w:id="343"/>
      <w:bookmarkStart w:id="344" w:name="_Toc184308086"/>
      <w:bookmarkEnd w:id="344"/>
      <w:bookmarkStart w:id="345" w:name="_Toc184314444"/>
      <w:bookmarkEnd w:id="345"/>
      <w:bookmarkStart w:id="346" w:name="_Toc184314474"/>
      <w:bookmarkEnd w:id="346"/>
      <w:bookmarkStart w:id="347" w:name="_Toc184310316"/>
      <w:bookmarkEnd w:id="347"/>
      <w:bookmarkStart w:id="348" w:name="_Toc184314456"/>
      <w:bookmarkEnd w:id="348"/>
      <w:bookmarkStart w:id="349" w:name="_Toc184314463"/>
      <w:bookmarkEnd w:id="349"/>
      <w:bookmarkStart w:id="350" w:name="_Toc184310319"/>
      <w:bookmarkEnd w:id="350"/>
      <w:bookmarkStart w:id="351" w:name="_Toc184314472"/>
      <w:bookmarkEnd w:id="351"/>
      <w:bookmarkStart w:id="352" w:name="_Toc184308087"/>
      <w:bookmarkEnd w:id="352"/>
      <w:bookmarkStart w:id="353" w:name="_Toc184312132"/>
      <w:bookmarkEnd w:id="353"/>
      <w:bookmarkStart w:id="354" w:name="_Toc184313274"/>
      <w:bookmarkEnd w:id="354"/>
      <w:bookmarkStart w:id="355" w:name="_Toc184310323"/>
      <w:bookmarkEnd w:id="355"/>
      <w:bookmarkStart w:id="356" w:name="_Toc184310280"/>
      <w:bookmarkEnd w:id="356"/>
      <w:bookmarkStart w:id="357" w:name="_Toc184312090"/>
      <w:bookmarkEnd w:id="357"/>
      <w:bookmarkStart w:id="358" w:name="_Toc184314457"/>
      <w:bookmarkEnd w:id="358"/>
      <w:bookmarkStart w:id="359" w:name="_Toc184310294"/>
      <w:bookmarkEnd w:id="359"/>
      <w:bookmarkStart w:id="360" w:name="_Toc184312136"/>
      <w:bookmarkEnd w:id="360"/>
      <w:bookmarkStart w:id="361" w:name="_Toc184313259"/>
      <w:bookmarkEnd w:id="361"/>
      <w:bookmarkStart w:id="362" w:name="_Toc184312095"/>
      <w:bookmarkEnd w:id="362"/>
      <w:bookmarkStart w:id="363" w:name="_Toc184308060"/>
      <w:bookmarkEnd w:id="363"/>
      <w:bookmarkStart w:id="364" w:name="_Toc184310287"/>
      <w:bookmarkEnd w:id="364"/>
      <w:bookmarkStart w:id="365" w:name="_Toc184312114"/>
      <w:bookmarkEnd w:id="365"/>
      <w:bookmarkStart w:id="366" w:name="_Toc184312092"/>
      <w:bookmarkEnd w:id="366"/>
      <w:bookmarkStart w:id="367" w:name="_Toc184308106"/>
      <w:bookmarkEnd w:id="367"/>
      <w:bookmarkStart w:id="368" w:name="_Toc184308103"/>
      <w:bookmarkEnd w:id="368"/>
      <w:bookmarkStart w:id="369" w:name="_Toc184310344"/>
      <w:bookmarkEnd w:id="369"/>
      <w:bookmarkStart w:id="370" w:name="_Toc184313300"/>
      <w:bookmarkEnd w:id="370"/>
      <w:bookmarkStart w:id="371" w:name="_Toc184310279"/>
      <w:bookmarkEnd w:id="371"/>
      <w:bookmarkStart w:id="372" w:name="_Toc184314464"/>
      <w:bookmarkEnd w:id="372"/>
      <w:bookmarkStart w:id="373" w:name="_Toc184314460"/>
      <w:bookmarkEnd w:id="373"/>
      <w:bookmarkStart w:id="374" w:name="_Toc184314418"/>
      <w:bookmarkEnd w:id="374"/>
      <w:bookmarkStart w:id="375" w:name="_Toc184308098"/>
      <w:bookmarkEnd w:id="375"/>
      <w:bookmarkStart w:id="376" w:name="_Toc184312105"/>
      <w:bookmarkEnd w:id="376"/>
      <w:bookmarkStart w:id="377" w:name="_Toc184313293"/>
      <w:bookmarkEnd w:id="377"/>
      <w:bookmarkStart w:id="378" w:name="_Toc184312138"/>
      <w:bookmarkEnd w:id="378"/>
      <w:bookmarkStart w:id="379" w:name="_Toc184312072"/>
      <w:bookmarkEnd w:id="379"/>
      <w:bookmarkStart w:id="380" w:name="_Toc184314469"/>
      <w:bookmarkEnd w:id="380"/>
      <w:bookmarkStart w:id="381" w:name="_Toc184308072"/>
      <w:bookmarkEnd w:id="381"/>
      <w:bookmarkStart w:id="382" w:name="_Toc184313246"/>
      <w:bookmarkEnd w:id="382"/>
      <w:bookmarkStart w:id="383" w:name="_Toc184314466"/>
      <w:bookmarkEnd w:id="383"/>
      <w:bookmarkStart w:id="384" w:name="_Toc184313250"/>
      <w:bookmarkEnd w:id="384"/>
      <w:bookmarkStart w:id="385" w:name="_Toc184308090"/>
      <w:bookmarkEnd w:id="385"/>
      <w:bookmarkStart w:id="386" w:name="_Toc184310307"/>
      <w:bookmarkEnd w:id="386"/>
      <w:bookmarkStart w:id="387" w:name="_Toc184308107"/>
      <w:bookmarkEnd w:id="387"/>
      <w:bookmarkStart w:id="388" w:name="_Toc184312107"/>
      <w:bookmarkEnd w:id="388"/>
      <w:bookmarkStart w:id="389" w:name="_Toc184314411"/>
      <w:bookmarkEnd w:id="389"/>
      <w:bookmarkStart w:id="390" w:name="_Toc184310326"/>
      <w:bookmarkEnd w:id="390"/>
      <w:bookmarkStart w:id="391" w:name="_Toc184314461"/>
      <w:bookmarkEnd w:id="391"/>
      <w:bookmarkStart w:id="392" w:name="_Toc184308099"/>
      <w:bookmarkEnd w:id="392"/>
      <w:bookmarkStart w:id="393" w:name="_Toc184310327"/>
      <w:bookmarkEnd w:id="393"/>
      <w:bookmarkStart w:id="394" w:name="_Toc184314414"/>
      <w:bookmarkEnd w:id="394"/>
      <w:bookmarkStart w:id="395" w:name="_Toc184310286"/>
      <w:bookmarkEnd w:id="395"/>
      <w:r>
        <w:rPr>
          <w:rFonts w:hint="eastAsia" w:ascii="仿宋" w:hAnsi="仿宋" w:eastAsia="仿宋" w:cs="仿宋_GB2312"/>
          <w:b/>
          <w:color w:val="auto"/>
          <w:sz w:val="36"/>
          <w:szCs w:val="36"/>
        </w:rPr>
        <w:t>评标办法</w:t>
      </w:r>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评标办法前附表</w:t>
      </w:r>
    </w:p>
    <w:tbl>
      <w:tblPr>
        <w:tblStyle w:val="62"/>
        <w:tblW w:w="51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215"/>
        <w:gridCol w:w="726"/>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05" w:type="pct"/>
            <w:vAlign w:val="center"/>
          </w:tcPr>
          <w:p>
            <w:pPr>
              <w:snapToGrid w:val="0"/>
              <w:jc w:val="center"/>
              <w:outlineLvl w:val="0"/>
              <w:rPr>
                <w:rFonts w:ascii="仿宋" w:hAnsi="仿宋" w:eastAsia="仿宋" w:cs="仿宋_GB2312"/>
                <w:bCs/>
                <w:color w:val="auto"/>
                <w:sz w:val="24"/>
              </w:rPr>
            </w:pPr>
            <w:r>
              <w:rPr>
                <w:rFonts w:hint="eastAsia" w:ascii="仿宋" w:hAnsi="仿宋" w:eastAsia="仿宋" w:cs="仿宋_GB2312"/>
                <w:bCs/>
                <w:color w:val="auto"/>
                <w:sz w:val="24"/>
              </w:rPr>
              <w:t>序号</w:t>
            </w:r>
          </w:p>
        </w:tc>
        <w:tc>
          <w:tcPr>
            <w:tcW w:w="2979" w:type="pct"/>
            <w:vAlign w:val="center"/>
          </w:tcPr>
          <w:p>
            <w:pPr>
              <w:snapToGrid w:val="0"/>
              <w:jc w:val="center"/>
              <w:outlineLvl w:val="0"/>
              <w:rPr>
                <w:rFonts w:ascii="仿宋" w:hAnsi="仿宋" w:eastAsia="仿宋" w:cs="仿宋_GB2312"/>
                <w:bCs/>
                <w:color w:val="auto"/>
                <w:sz w:val="24"/>
              </w:rPr>
            </w:pPr>
            <w:r>
              <w:rPr>
                <w:rFonts w:hint="eastAsia" w:ascii="仿宋" w:hAnsi="仿宋" w:eastAsia="仿宋" w:cs="仿宋_GB2312"/>
                <w:bCs/>
                <w:color w:val="auto"/>
                <w:sz w:val="24"/>
              </w:rPr>
              <w:t>评标标准</w:t>
            </w:r>
          </w:p>
        </w:tc>
        <w:tc>
          <w:tcPr>
            <w:tcW w:w="414" w:type="pct"/>
            <w:vAlign w:val="center"/>
          </w:tcPr>
          <w:p>
            <w:pPr>
              <w:snapToGrid w:val="0"/>
              <w:jc w:val="center"/>
              <w:outlineLvl w:val="0"/>
              <w:rPr>
                <w:rFonts w:ascii="仿宋" w:hAnsi="仿宋" w:eastAsia="仿宋" w:cs="仿宋_GB2312"/>
                <w:bCs/>
                <w:color w:val="auto"/>
                <w:sz w:val="24"/>
              </w:rPr>
            </w:pPr>
            <w:r>
              <w:rPr>
                <w:rFonts w:hint="eastAsia" w:ascii="仿宋" w:hAnsi="仿宋" w:eastAsia="仿宋" w:cs="仿宋_GB2312"/>
                <w:bCs/>
                <w:color w:val="auto"/>
                <w:sz w:val="24"/>
              </w:rPr>
              <w:t>权重</w:t>
            </w:r>
          </w:p>
        </w:tc>
        <w:tc>
          <w:tcPr>
            <w:tcW w:w="1200" w:type="pct"/>
            <w:vAlign w:val="center"/>
          </w:tcPr>
          <w:p>
            <w:pPr>
              <w:snapToGrid w:val="0"/>
              <w:jc w:val="center"/>
              <w:outlineLvl w:val="0"/>
              <w:rPr>
                <w:rFonts w:ascii="仿宋" w:hAnsi="仿宋" w:eastAsia="仿宋" w:cs="仿宋_GB2312"/>
                <w:bCs/>
                <w:color w:val="auto"/>
                <w:sz w:val="24"/>
              </w:rPr>
            </w:pPr>
            <w:r>
              <w:rPr>
                <w:rFonts w:hint="eastAsia" w:ascii="仿宋" w:hAnsi="仿宋" w:eastAsia="仿宋" w:cs="仿宋_GB2312"/>
                <w:bCs/>
                <w:color w:val="auto"/>
                <w:sz w:val="24"/>
              </w:rPr>
              <w:t>投标文件中评标标准相应的商务技术资料目录</w:t>
            </w:r>
            <w:r>
              <w:rPr>
                <w:rFonts w:ascii="仿宋" w:hAnsi="仿宋" w:eastAsia="仿宋" w:cs="Arial"/>
                <w:color w:val="auto"/>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405" w:type="pct"/>
            <w:vAlign w:val="center"/>
          </w:tcPr>
          <w:p>
            <w:pPr>
              <w:snapToGrid w:val="0"/>
              <w:jc w:val="center"/>
              <w:outlineLvl w:val="0"/>
              <w:rPr>
                <w:rFonts w:ascii="仿宋" w:hAnsi="仿宋" w:eastAsia="仿宋" w:cs="仿宋_GB2312"/>
                <w:bCs/>
                <w:color w:val="auto"/>
                <w:sz w:val="24"/>
              </w:rPr>
            </w:pPr>
            <w:r>
              <w:rPr>
                <w:rFonts w:hint="eastAsia" w:ascii="仿宋" w:hAnsi="仿宋" w:eastAsia="仿宋" w:cs="仿宋_GB2312"/>
                <w:bCs/>
                <w:color w:val="auto"/>
                <w:sz w:val="24"/>
              </w:rPr>
              <w:t>1</w:t>
            </w:r>
          </w:p>
        </w:tc>
        <w:tc>
          <w:tcPr>
            <w:tcW w:w="2979"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投标人自2020年1月1日以来承接过类似</w:t>
            </w:r>
            <w:r>
              <w:rPr>
                <w:rFonts w:hint="eastAsia" w:ascii="仿宋" w:hAnsi="仿宋" w:eastAsia="仿宋" w:cs="仿宋_GB2312"/>
                <w:color w:val="auto"/>
                <w:sz w:val="24"/>
                <w:lang w:eastAsia="zh-CN"/>
              </w:rPr>
              <w:t>电子与智能化</w:t>
            </w:r>
            <w:r>
              <w:rPr>
                <w:rFonts w:hint="eastAsia" w:ascii="仿宋" w:hAnsi="仿宋" w:eastAsia="仿宋" w:cs="仿宋_GB2312"/>
                <w:color w:val="auto"/>
                <w:sz w:val="24"/>
              </w:rPr>
              <w:t>项目业绩，每个得1分，最高</w:t>
            </w:r>
            <w:r>
              <w:rPr>
                <w:rFonts w:hint="eastAsia" w:ascii="仿宋" w:hAnsi="仿宋" w:eastAsia="仿宋" w:cs="仿宋_GB2312"/>
                <w:color w:val="auto"/>
                <w:sz w:val="24"/>
                <w:lang w:val="en-US" w:eastAsia="zh-CN"/>
              </w:rPr>
              <w:t>3</w:t>
            </w:r>
            <w:r>
              <w:rPr>
                <w:rFonts w:hint="eastAsia" w:ascii="仿宋" w:hAnsi="仿宋" w:eastAsia="仿宋" w:cs="仿宋_GB2312"/>
                <w:color w:val="auto"/>
                <w:sz w:val="24"/>
              </w:rPr>
              <w:t>分，业绩材料需提供合同复印件，时间以合同签订时间为准。</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客观分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hint="eastAsia" w:ascii="仿宋" w:hAnsi="仿宋" w:eastAsia="仿宋" w:cs="仿宋_GB2312"/>
                <w:color w:val="auto"/>
                <w:sz w:val="24"/>
                <w:lang w:eastAsia="zh-CN"/>
              </w:rPr>
            </w:pPr>
            <w:r>
              <w:rPr>
                <w:rFonts w:hint="eastAsia" w:ascii="仿宋" w:hAnsi="仿宋" w:eastAsia="仿宋" w:cs="仿宋_GB2312"/>
                <w:color w:val="auto"/>
                <w:sz w:val="24"/>
                <w:lang w:val="en-US" w:eastAsia="zh-CN"/>
              </w:rPr>
              <w:t>3</w:t>
            </w:r>
          </w:p>
        </w:tc>
        <w:tc>
          <w:tcPr>
            <w:tcW w:w="1200" w:type="pct"/>
            <w:vAlign w:val="center"/>
          </w:tcPr>
          <w:p>
            <w:pPr>
              <w:snapToGrid w:val="0"/>
              <w:jc w:val="center"/>
              <w:outlineLvl w:val="0"/>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05" w:type="pct"/>
            <w:vAlign w:val="center"/>
          </w:tcPr>
          <w:p>
            <w:pPr>
              <w:snapToGrid w:val="0"/>
              <w:jc w:val="center"/>
              <w:outlineLvl w:val="0"/>
              <w:rPr>
                <w:rFonts w:ascii="仿宋" w:hAnsi="仿宋" w:eastAsia="仿宋" w:cs="仿宋_GB2312"/>
                <w:bCs/>
                <w:color w:val="auto"/>
                <w:sz w:val="24"/>
              </w:rPr>
            </w:pPr>
            <w:r>
              <w:rPr>
                <w:rFonts w:hint="eastAsia" w:ascii="仿宋" w:hAnsi="仿宋" w:eastAsia="仿宋" w:cs="仿宋_GB2312"/>
                <w:bCs/>
                <w:color w:val="auto"/>
                <w:sz w:val="24"/>
              </w:rPr>
              <w:t>2</w:t>
            </w:r>
          </w:p>
        </w:tc>
        <w:tc>
          <w:tcPr>
            <w:tcW w:w="2979" w:type="pct"/>
            <w:vAlign w:val="center"/>
          </w:tcPr>
          <w:p>
            <w:pPr>
              <w:snapToGrid w:val="0"/>
              <w:rPr>
                <w:rFonts w:hint="eastAsia" w:ascii="仿宋" w:hAnsi="仿宋" w:eastAsia="仿宋" w:cs="仿宋"/>
                <w:color w:val="auto"/>
                <w:sz w:val="24"/>
              </w:rPr>
            </w:pPr>
            <w:r>
              <w:rPr>
                <w:rFonts w:hint="eastAsia" w:ascii="仿宋" w:hAnsi="仿宋" w:eastAsia="仿宋" w:cs="仿宋"/>
                <w:color w:val="auto"/>
                <w:sz w:val="24"/>
              </w:rPr>
              <w:t>投标人通过ISO质量管理体系、ISO环境认证体系、OHSAS或GB/T职业安全健康管理体系认证，每个得1分，最高得3分。</w:t>
            </w:r>
          </w:p>
          <w:p>
            <w:pPr>
              <w:snapToGrid w:val="0"/>
              <w:rPr>
                <w:rFonts w:hint="eastAsia" w:ascii="仿宋" w:hAnsi="仿宋" w:eastAsia="仿宋" w:cs="仿宋"/>
                <w:color w:val="auto"/>
                <w:sz w:val="24"/>
                <w:lang w:eastAsia="zh-CN"/>
              </w:rPr>
            </w:pPr>
            <w:r>
              <w:rPr>
                <w:rFonts w:hint="eastAsia" w:ascii="仿宋" w:hAnsi="仿宋" w:eastAsia="仿宋" w:cs="仿宋"/>
                <w:color w:val="auto"/>
                <w:sz w:val="24"/>
              </w:rPr>
              <w:t>说明：提供</w:t>
            </w:r>
            <w:r>
              <w:rPr>
                <w:rFonts w:hint="eastAsia" w:ascii="仿宋" w:hAnsi="仿宋" w:eastAsia="仿宋" w:cs="仿宋"/>
                <w:color w:val="auto"/>
                <w:sz w:val="24"/>
                <w:lang w:eastAsia="zh-CN"/>
              </w:rPr>
              <w:t>有效</w:t>
            </w:r>
            <w:r>
              <w:rPr>
                <w:rFonts w:hint="eastAsia" w:ascii="仿宋" w:hAnsi="仿宋" w:eastAsia="仿宋" w:cs="仿宋"/>
                <w:color w:val="auto"/>
                <w:sz w:val="24"/>
              </w:rPr>
              <w:t>证书复印件或扫描件</w:t>
            </w:r>
            <w:r>
              <w:rPr>
                <w:rFonts w:hint="eastAsia" w:ascii="仿宋" w:hAnsi="仿宋" w:eastAsia="仿宋" w:cs="仿宋"/>
                <w:color w:val="auto"/>
                <w:sz w:val="24"/>
                <w:lang w:eastAsia="zh-CN"/>
              </w:rPr>
              <w:t>。</w:t>
            </w:r>
          </w:p>
          <w:p>
            <w:pPr>
              <w:snapToGrid w:val="0"/>
              <w:jc w:val="left"/>
              <w:outlineLvl w:val="0"/>
              <w:rPr>
                <w:rFonts w:ascii="仿宋" w:hAnsi="仿宋" w:eastAsia="仿宋" w:cs="仿宋_GB2312"/>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客观分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lang w:val="en-US" w:eastAsia="zh-CN"/>
              </w:rPr>
              <w:t>3</w:t>
            </w:r>
          </w:p>
        </w:tc>
        <w:tc>
          <w:tcPr>
            <w:tcW w:w="1200" w:type="pct"/>
            <w:vAlign w:val="center"/>
          </w:tcPr>
          <w:p>
            <w:pPr>
              <w:snapToGrid w:val="0"/>
              <w:jc w:val="center"/>
              <w:outlineLvl w:val="0"/>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05" w:type="pct"/>
            <w:vAlign w:val="center"/>
          </w:tcPr>
          <w:p>
            <w:pPr>
              <w:snapToGrid w:val="0"/>
              <w:jc w:val="center"/>
              <w:outlineLvl w:val="0"/>
              <w:rPr>
                <w:rFonts w:hint="eastAsia"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3</w:t>
            </w:r>
          </w:p>
        </w:tc>
        <w:tc>
          <w:tcPr>
            <w:tcW w:w="2979" w:type="pct"/>
            <w:vAlign w:val="center"/>
          </w:tcPr>
          <w:p>
            <w:pPr>
              <w:snapToGrid w:val="0"/>
              <w:rPr>
                <w:rFonts w:hint="eastAsia" w:ascii="仿宋" w:hAnsi="仿宋" w:eastAsia="仿宋" w:cs="仿宋"/>
                <w:color w:val="auto"/>
                <w:sz w:val="24"/>
              </w:rPr>
            </w:pPr>
            <w:r>
              <w:rPr>
                <w:rFonts w:hint="eastAsia" w:ascii="仿宋" w:hAnsi="仿宋" w:eastAsia="仿宋" w:cs="仿宋"/>
                <w:color w:val="auto"/>
                <w:sz w:val="24"/>
              </w:rPr>
              <w:t>根据采购需求，投标人针对本项目的实施目标明确、内容完整得3分</w:t>
            </w:r>
            <w:r>
              <w:rPr>
                <w:rFonts w:hint="eastAsia" w:ascii="仿宋" w:hAnsi="仿宋" w:eastAsia="仿宋" w:cs="仿宋"/>
                <w:color w:val="auto"/>
                <w:sz w:val="24"/>
                <w:lang w:eastAsia="zh-CN"/>
              </w:rPr>
              <w:t>；</w:t>
            </w:r>
            <w:r>
              <w:rPr>
                <w:rFonts w:hint="eastAsia" w:ascii="仿宋" w:hAnsi="仿宋" w:eastAsia="仿宋" w:cs="仿宋"/>
                <w:color w:val="auto"/>
                <w:sz w:val="24"/>
              </w:rPr>
              <w:t>目标</w:t>
            </w:r>
            <w:r>
              <w:rPr>
                <w:rFonts w:hint="eastAsia" w:ascii="仿宋" w:hAnsi="仿宋" w:eastAsia="仿宋" w:cs="仿宋"/>
                <w:color w:val="auto"/>
                <w:sz w:val="24"/>
                <w:lang w:eastAsia="zh-CN"/>
              </w:rPr>
              <w:t>基本</w:t>
            </w:r>
            <w:r>
              <w:rPr>
                <w:rFonts w:hint="eastAsia" w:ascii="仿宋" w:hAnsi="仿宋" w:eastAsia="仿宋" w:cs="仿宋"/>
                <w:color w:val="auto"/>
                <w:sz w:val="24"/>
              </w:rPr>
              <w:t>明确、内容</w:t>
            </w:r>
            <w:r>
              <w:rPr>
                <w:rFonts w:hint="eastAsia" w:ascii="仿宋" w:hAnsi="仿宋" w:eastAsia="仿宋" w:cs="仿宋"/>
                <w:color w:val="auto"/>
                <w:sz w:val="24"/>
                <w:lang w:eastAsia="zh-CN"/>
              </w:rPr>
              <w:t>基本</w:t>
            </w:r>
            <w:r>
              <w:rPr>
                <w:rFonts w:hint="eastAsia" w:ascii="仿宋" w:hAnsi="仿宋" w:eastAsia="仿宋" w:cs="仿宋"/>
                <w:color w:val="auto"/>
                <w:sz w:val="24"/>
              </w:rPr>
              <w:t>完整得</w:t>
            </w:r>
            <w:r>
              <w:rPr>
                <w:rFonts w:hint="eastAsia" w:ascii="仿宋" w:hAnsi="仿宋" w:eastAsia="仿宋" w:cs="仿宋"/>
                <w:color w:val="auto"/>
                <w:sz w:val="24"/>
                <w:lang w:val="en-US" w:eastAsia="zh-CN"/>
              </w:rPr>
              <w:t>2</w:t>
            </w:r>
            <w:r>
              <w:rPr>
                <w:rFonts w:hint="eastAsia" w:ascii="仿宋" w:hAnsi="仿宋" w:eastAsia="仿宋" w:cs="仿宋"/>
                <w:color w:val="auto"/>
                <w:sz w:val="24"/>
              </w:rPr>
              <w:t>分</w:t>
            </w:r>
            <w:r>
              <w:rPr>
                <w:rFonts w:hint="eastAsia" w:ascii="仿宋" w:hAnsi="仿宋" w:eastAsia="仿宋" w:cs="仿宋"/>
                <w:color w:val="auto"/>
                <w:sz w:val="24"/>
                <w:lang w:eastAsia="zh-CN"/>
              </w:rPr>
              <w:t>；</w:t>
            </w:r>
            <w:r>
              <w:rPr>
                <w:rFonts w:hint="eastAsia" w:ascii="仿宋" w:hAnsi="仿宋" w:eastAsia="仿宋" w:cs="仿宋"/>
                <w:color w:val="auto"/>
                <w:sz w:val="24"/>
              </w:rPr>
              <w:t>目标</w:t>
            </w:r>
            <w:r>
              <w:rPr>
                <w:rFonts w:hint="eastAsia" w:ascii="仿宋" w:hAnsi="仿宋" w:eastAsia="仿宋" w:cs="仿宋"/>
                <w:color w:val="auto"/>
                <w:sz w:val="24"/>
                <w:lang w:eastAsia="zh-CN"/>
              </w:rPr>
              <w:t>较差</w:t>
            </w:r>
            <w:r>
              <w:rPr>
                <w:rFonts w:hint="eastAsia" w:ascii="仿宋" w:hAnsi="仿宋" w:eastAsia="仿宋" w:cs="仿宋"/>
                <w:color w:val="auto"/>
                <w:sz w:val="24"/>
              </w:rPr>
              <w:t>、内容</w:t>
            </w:r>
            <w:r>
              <w:rPr>
                <w:rFonts w:hint="eastAsia" w:ascii="仿宋" w:hAnsi="仿宋" w:eastAsia="仿宋" w:cs="仿宋"/>
                <w:color w:val="auto"/>
                <w:sz w:val="24"/>
                <w:lang w:eastAsia="zh-CN"/>
              </w:rPr>
              <w:t>缺失</w:t>
            </w:r>
            <w:r>
              <w:rPr>
                <w:rFonts w:hint="eastAsia" w:ascii="仿宋" w:hAnsi="仿宋" w:eastAsia="仿宋" w:cs="仿宋"/>
                <w:color w:val="auto"/>
                <w:sz w:val="24"/>
              </w:rPr>
              <w:t>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color w:val="auto"/>
                <w:sz w:val="24"/>
                <w:lang w:eastAsia="zh-CN"/>
              </w:rPr>
              <w:t>；</w:t>
            </w:r>
            <w:r>
              <w:rPr>
                <w:rFonts w:hint="eastAsia" w:ascii="仿宋" w:hAnsi="仿宋" w:eastAsia="仿宋" w:cs="仿宋"/>
                <w:color w:val="auto"/>
                <w:sz w:val="24"/>
              </w:rPr>
              <w:t>未提供项目实施目标内容的不得分。</w:t>
            </w:r>
          </w:p>
          <w:p>
            <w:pPr>
              <w:snapToGrid w:val="0"/>
              <w:jc w:val="left"/>
              <w:outlineLvl w:val="0"/>
              <w:rPr>
                <w:rFonts w:hint="eastAsia" w:ascii="仿宋" w:hAnsi="仿宋" w:eastAsia="仿宋" w:cs="仿宋_GB2312"/>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主观分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3</w:t>
            </w:r>
          </w:p>
        </w:tc>
        <w:tc>
          <w:tcPr>
            <w:tcW w:w="1200" w:type="pct"/>
            <w:vAlign w:val="center"/>
          </w:tcPr>
          <w:p>
            <w:pPr>
              <w:snapToGrid w:val="0"/>
              <w:jc w:val="center"/>
              <w:outlineLvl w:val="0"/>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05" w:type="pct"/>
            <w:vAlign w:val="center"/>
          </w:tcPr>
          <w:p>
            <w:pPr>
              <w:snapToGrid w:val="0"/>
              <w:jc w:val="center"/>
              <w:outlineLvl w:val="0"/>
              <w:rPr>
                <w:rFonts w:hint="default"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4</w:t>
            </w:r>
          </w:p>
        </w:tc>
        <w:tc>
          <w:tcPr>
            <w:tcW w:w="2979" w:type="pct"/>
            <w:vAlign w:val="center"/>
          </w:tcPr>
          <w:p>
            <w:pPr>
              <w:snapToGrid w:val="0"/>
              <w:rPr>
                <w:rFonts w:hint="eastAsia" w:ascii="仿宋" w:hAnsi="仿宋" w:eastAsia="仿宋" w:cs="仿宋"/>
                <w:color w:val="auto"/>
                <w:sz w:val="24"/>
              </w:rPr>
            </w:pPr>
            <w:r>
              <w:rPr>
                <w:rFonts w:hint="eastAsia" w:ascii="仿宋" w:hAnsi="仿宋" w:eastAsia="仿宋" w:cs="仿宋"/>
                <w:color w:val="auto"/>
                <w:sz w:val="24"/>
              </w:rPr>
              <w:t>根据采购需求，投标人提供了</w:t>
            </w:r>
            <w:r>
              <w:rPr>
                <w:rFonts w:hint="eastAsia" w:ascii="仿宋" w:hAnsi="仿宋" w:eastAsia="仿宋" w:cs="仿宋"/>
                <w:color w:val="auto"/>
                <w:sz w:val="24"/>
                <w:lang w:eastAsia="zh-CN"/>
              </w:rPr>
              <w:t>完整</w:t>
            </w:r>
            <w:r>
              <w:rPr>
                <w:rFonts w:hint="eastAsia" w:ascii="仿宋" w:hAnsi="仿宋" w:eastAsia="仿宋" w:cs="仿宋"/>
                <w:color w:val="auto"/>
                <w:sz w:val="24"/>
                <w:lang w:val="en-US" w:eastAsia="zh-CN"/>
              </w:rPr>
              <w:t>项目集成、实施风险分析及应对</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风险分析及应对内容针对性强的</w:t>
            </w:r>
            <w:r>
              <w:rPr>
                <w:rFonts w:hint="eastAsia" w:ascii="仿宋" w:hAnsi="仿宋" w:eastAsia="仿宋" w:cs="仿宋"/>
                <w:color w:val="auto"/>
                <w:sz w:val="24"/>
              </w:rPr>
              <w:t>得3分</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风险分析及应对内容与</w:t>
            </w:r>
            <w:r>
              <w:rPr>
                <w:rFonts w:hint="eastAsia" w:ascii="仿宋" w:hAnsi="仿宋" w:eastAsia="仿宋" w:cs="仿宋"/>
                <w:color w:val="auto"/>
                <w:sz w:val="24"/>
                <w:lang w:eastAsia="zh-CN"/>
              </w:rPr>
              <w:t>项目实施基本吻合的</w:t>
            </w:r>
            <w:r>
              <w:rPr>
                <w:rFonts w:hint="eastAsia" w:ascii="仿宋" w:hAnsi="仿宋" w:eastAsia="仿宋" w:cs="仿宋"/>
                <w:color w:val="auto"/>
                <w:sz w:val="24"/>
                <w:lang w:val="en-US" w:eastAsia="zh-CN"/>
              </w:rPr>
              <w:t>得2分；风险分析及应对内容</w:t>
            </w:r>
            <w:r>
              <w:rPr>
                <w:rFonts w:hint="eastAsia" w:ascii="仿宋" w:hAnsi="仿宋" w:eastAsia="仿宋" w:cs="仿宋"/>
                <w:color w:val="auto"/>
                <w:sz w:val="24"/>
                <w:lang w:eastAsia="zh-CN"/>
              </w:rPr>
              <w:t>一般</w:t>
            </w:r>
            <w:r>
              <w:rPr>
                <w:rFonts w:hint="eastAsia" w:ascii="仿宋" w:hAnsi="仿宋" w:eastAsia="仿宋" w:cs="仿宋"/>
                <w:color w:val="auto"/>
                <w:sz w:val="24"/>
              </w:rPr>
              <w:t>的得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color w:val="auto"/>
                <w:sz w:val="24"/>
                <w:lang w:eastAsia="zh-CN"/>
              </w:rPr>
              <w:t>，</w:t>
            </w:r>
            <w:r>
              <w:rPr>
                <w:rFonts w:hint="eastAsia" w:ascii="仿宋" w:hAnsi="仿宋" w:eastAsia="仿宋" w:cs="仿宋"/>
                <w:color w:val="auto"/>
                <w:sz w:val="24"/>
              </w:rPr>
              <w:t>未提供</w:t>
            </w:r>
            <w:r>
              <w:rPr>
                <w:rFonts w:hint="eastAsia" w:ascii="仿宋" w:hAnsi="仿宋" w:eastAsia="仿宋" w:cs="仿宋"/>
                <w:color w:val="auto"/>
                <w:sz w:val="24"/>
                <w:lang w:eastAsia="zh-CN"/>
              </w:rPr>
              <w:t>完整风险</w:t>
            </w:r>
            <w:r>
              <w:rPr>
                <w:rFonts w:hint="eastAsia" w:ascii="仿宋" w:hAnsi="仿宋" w:eastAsia="仿宋" w:cs="仿宋"/>
                <w:color w:val="auto"/>
                <w:sz w:val="24"/>
                <w:lang w:val="en-US" w:eastAsia="zh-CN"/>
              </w:rPr>
              <w:t>分析及应对内容</w:t>
            </w:r>
            <w:r>
              <w:rPr>
                <w:rFonts w:hint="eastAsia" w:ascii="仿宋" w:hAnsi="仿宋" w:eastAsia="仿宋" w:cs="仿宋"/>
                <w:color w:val="auto"/>
                <w:sz w:val="24"/>
              </w:rPr>
              <w:t>的不得分。</w:t>
            </w:r>
          </w:p>
          <w:p>
            <w:pPr>
              <w:snapToGrid w:val="0"/>
              <w:rPr>
                <w:rFonts w:hint="eastAsia" w:ascii="仿宋" w:hAnsi="仿宋" w:eastAsia="仿宋" w:cs="仿宋"/>
                <w:color w:val="auto"/>
                <w:sz w:val="24"/>
                <w:lang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主观分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hint="eastAsia" w:ascii="仿宋" w:hAnsi="仿宋" w:eastAsia="仿宋" w:cs="仿宋_GB2312"/>
                <w:color w:val="auto"/>
                <w:sz w:val="24"/>
                <w:lang w:val="en-US" w:eastAsia="zh-CN"/>
              </w:rPr>
            </w:pPr>
            <w:r>
              <w:rPr>
                <w:rFonts w:hint="eastAsia" w:ascii="仿宋" w:hAnsi="仿宋" w:eastAsia="仿宋" w:cs="仿宋_GB2312"/>
                <w:color w:val="auto"/>
                <w:sz w:val="24"/>
              </w:rPr>
              <w:t>3</w:t>
            </w:r>
          </w:p>
        </w:tc>
        <w:tc>
          <w:tcPr>
            <w:tcW w:w="1200" w:type="pct"/>
            <w:vAlign w:val="center"/>
          </w:tcPr>
          <w:p>
            <w:pPr>
              <w:snapToGrid w:val="0"/>
              <w:jc w:val="center"/>
              <w:outlineLvl w:val="0"/>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05" w:type="pct"/>
            <w:vAlign w:val="center"/>
          </w:tcPr>
          <w:p>
            <w:pPr>
              <w:snapToGrid w:val="0"/>
              <w:jc w:val="center"/>
              <w:outlineLvl w:val="0"/>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sz w:val="24"/>
                <w:lang w:val="en-US" w:eastAsia="zh-CN"/>
              </w:rPr>
              <w:t>5</w:t>
            </w:r>
          </w:p>
        </w:tc>
        <w:tc>
          <w:tcPr>
            <w:tcW w:w="2979" w:type="pct"/>
            <w:vAlign w:val="center"/>
          </w:tcPr>
          <w:p>
            <w:pPr>
              <w:snapToGrid w:val="0"/>
              <w:rPr>
                <w:rFonts w:hint="eastAsia" w:ascii="仿宋" w:hAnsi="仿宋" w:eastAsia="仿宋" w:cs="仿宋"/>
                <w:color w:val="auto"/>
                <w:sz w:val="24"/>
                <w:lang w:eastAsia="zh-CN"/>
              </w:rPr>
            </w:pPr>
            <w:r>
              <w:rPr>
                <w:rFonts w:hint="eastAsia" w:ascii="仿宋" w:hAnsi="仿宋" w:eastAsia="仿宋" w:cs="仿宋"/>
                <w:color w:val="auto"/>
                <w:sz w:val="24"/>
                <w:lang w:eastAsia="zh-CN"/>
              </w:rPr>
              <w:t>根据采购需求，投标人提供了项目实施重难点分析内容，重难点实施分析针对性强的得</w:t>
            </w:r>
            <w:r>
              <w:rPr>
                <w:rFonts w:hint="eastAsia" w:ascii="仿宋" w:hAnsi="仿宋" w:eastAsia="仿宋" w:cs="仿宋"/>
                <w:color w:val="auto"/>
                <w:sz w:val="24"/>
                <w:lang w:val="en-US" w:eastAsia="zh-CN"/>
              </w:rPr>
              <w:t>3分，</w:t>
            </w:r>
            <w:r>
              <w:rPr>
                <w:rFonts w:hint="eastAsia" w:ascii="仿宋" w:hAnsi="仿宋" w:eastAsia="仿宋" w:cs="仿宋"/>
                <w:color w:val="auto"/>
                <w:sz w:val="24"/>
                <w:lang w:eastAsia="zh-CN"/>
              </w:rPr>
              <w:t>重难点实施分析与项目实施基本吻合的得</w:t>
            </w:r>
            <w:r>
              <w:rPr>
                <w:rFonts w:hint="eastAsia" w:ascii="仿宋" w:hAnsi="仿宋" w:eastAsia="仿宋" w:cs="仿宋"/>
                <w:color w:val="auto"/>
                <w:sz w:val="24"/>
                <w:lang w:val="en-US" w:eastAsia="zh-CN"/>
              </w:rPr>
              <w:t>2分，</w:t>
            </w:r>
            <w:r>
              <w:rPr>
                <w:rFonts w:hint="eastAsia" w:ascii="仿宋" w:hAnsi="仿宋" w:eastAsia="仿宋" w:cs="仿宋"/>
                <w:color w:val="auto"/>
                <w:sz w:val="24"/>
                <w:lang w:eastAsia="zh-CN"/>
              </w:rPr>
              <w:t>重难点实施分析针对性一般得</w:t>
            </w:r>
            <w:r>
              <w:rPr>
                <w:rFonts w:hint="eastAsia" w:ascii="仿宋" w:hAnsi="仿宋" w:eastAsia="仿宋" w:cs="仿宋"/>
                <w:color w:val="auto"/>
                <w:sz w:val="24"/>
                <w:lang w:val="en-US" w:eastAsia="zh-CN"/>
              </w:rPr>
              <w:t>1分，未提供</w:t>
            </w:r>
            <w:r>
              <w:rPr>
                <w:rFonts w:hint="eastAsia" w:ascii="仿宋" w:hAnsi="仿宋" w:eastAsia="仿宋" w:cs="仿宋"/>
                <w:color w:val="auto"/>
                <w:sz w:val="24"/>
                <w:lang w:eastAsia="zh-CN"/>
              </w:rPr>
              <w:t>重难点实施分析或与项目需求不相符不得分。</w:t>
            </w:r>
          </w:p>
          <w:p>
            <w:pPr>
              <w:snapToGrid w:val="0"/>
              <w:rPr>
                <w:color w:val="auto"/>
              </w:rPr>
            </w:pP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lang w:val="en-US" w:eastAsia="zh-CN"/>
              </w:rPr>
              <w:t>3</w:t>
            </w:r>
          </w:p>
        </w:tc>
        <w:tc>
          <w:tcPr>
            <w:tcW w:w="1200" w:type="pct"/>
            <w:vAlign w:val="center"/>
          </w:tcPr>
          <w:p>
            <w:pPr>
              <w:snapToGrid w:val="0"/>
              <w:jc w:val="center"/>
              <w:outlineLvl w:val="0"/>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05" w:type="pct"/>
            <w:vAlign w:val="center"/>
          </w:tcPr>
          <w:p>
            <w:pPr>
              <w:snapToGrid w:val="0"/>
              <w:jc w:val="center"/>
              <w:outlineLvl w:val="0"/>
              <w:rPr>
                <w:rFonts w:hint="default"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6</w:t>
            </w:r>
          </w:p>
        </w:tc>
        <w:tc>
          <w:tcPr>
            <w:tcW w:w="2979" w:type="pct"/>
            <w:vAlign w:val="center"/>
          </w:tcPr>
          <w:p>
            <w:pPr>
              <w:snapToGrid w:val="0"/>
              <w:rPr>
                <w:rFonts w:hint="eastAsia" w:ascii="仿宋" w:hAnsi="仿宋" w:eastAsia="仿宋" w:cs="仿宋"/>
                <w:color w:val="auto"/>
                <w:sz w:val="24"/>
                <w:lang w:eastAsia="zh-CN"/>
              </w:rPr>
            </w:pPr>
            <w:r>
              <w:rPr>
                <w:rFonts w:hint="eastAsia" w:ascii="仿宋" w:hAnsi="仿宋" w:eastAsia="仿宋" w:cs="仿宋_GB2312"/>
                <w:color w:val="auto"/>
                <w:sz w:val="24"/>
              </w:rPr>
              <w:t>工作进度计划表、工作程序和步骤、管理和协调方法、关键节点的思路和要点内容完整、针对性强得3分；内容完整</w:t>
            </w:r>
            <w:r>
              <w:rPr>
                <w:rFonts w:hint="eastAsia" w:ascii="仿宋" w:hAnsi="仿宋" w:eastAsia="仿宋" w:cs="仿宋_GB2312"/>
                <w:color w:val="auto"/>
                <w:sz w:val="24"/>
                <w:lang w:eastAsia="zh-CN"/>
              </w:rPr>
              <w:t>性</w:t>
            </w:r>
            <w:r>
              <w:rPr>
                <w:rFonts w:hint="eastAsia" w:ascii="仿宋" w:hAnsi="仿宋" w:eastAsia="仿宋" w:cs="仿宋_GB2312"/>
                <w:color w:val="auto"/>
                <w:sz w:val="24"/>
              </w:rPr>
              <w:t>、针对性</w:t>
            </w:r>
            <w:r>
              <w:rPr>
                <w:rFonts w:hint="eastAsia" w:ascii="仿宋" w:hAnsi="仿宋" w:eastAsia="仿宋" w:cs="仿宋_GB2312"/>
                <w:color w:val="auto"/>
                <w:sz w:val="24"/>
                <w:lang w:eastAsia="zh-CN"/>
              </w:rPr>
              <w:t>描述与项目实际基本符合</w:t>
            </w:r>
            <w:r>
              <w:rPr>
                <w:rFonts w:hint="eastAsia" w:ascii="仿宋" w:hAnsi="仿宋" w:eastAsia="仿宋" w:cs="仿宋_GB2312"/>
                <w:color w:val="auto"/>
                <w:sz w:val="24"/>
              </w:rPr>
              <w:t>得</w:t>
            </w:r>
            <w:r>
              <w:rPr>
                <w:rFonts w:hint="eastAsia" w:ascii="仿宋" w:hAnsi="仿宋" w:eastAsia="仿宋" w:cs="仿宋_GB2312"/>
                <w:color w:val="auto"/>
                <w:sz w:val="24"/>
                <w:lang w:val="en-US" w:eastAsia="zh-CN"/>
              </w:rPr>
              <w:t>2</w:t>
            </w:r>
            <w:r>
              <w:rPr>
                <w:rFonts w:hint="eastAsia" w:ascii="仿宋" w:hAnsi="仿宋" w:eastAsia="仿宋" w:cs="仿宋_GB2312"/>
                <w:color w:val="auto"/>
                <w:sz w:val="24"/>
              </w:rPr>
              <w:t>分；内容一般</w:t>
            </w:r>
            <w:r>
              <w:rPr>
                <w:rFonts w:hint="eastAsia" w:ascii="仿宋" w:hAnsi="仿宋" w:eastAsia="仿宋" w:cs="仿宋_GB2312"/>
                <w:color w:val="auto"/>
                <w:sz w:val="24"/>
                <w:lang w:eastAsia="zh-CN"/>
              </w:rPr>
              <w:t>或针对性差</w:t>
            </w:r>
            <w:r>
              <w:rPr>
                <w:rFonts w:hint="eastAsia" w:ascii="仿宋" w:hAnsi="仿宋" w:eastAsia="仿宋" w:cs="仿宋_GB2312"/>
                <w:color w:val="auto"/>
                <w:sz w:val="24"/>
              </w:rPr>
              <w:t>得1分</w:t>
            </w:r>
            <w:r>
              <w:rPr>
                <w:rFonts w:hint="eastAsia" w:ascii="仿宋" w:hAnsi="仿宋" w:eastAsia="仿宋" w:cs="仿宋_GB2312"/>
                <w:color w:val="auto"/>
                <w:sz w:val="24"/>
                <w:lang w:eastAsia="zh-CN"/>
              </w:rPr>
              <w:t>；</w:t>
            </w:r>
            <w:r>
              <w:rPr>
                <w:rFonts w:hint="eastAsia" w:ascii="仿宋" w:hAnsi="仿宋" w:eastAsia="仿宋" w:cs="仿宋_GB2312"/>
                <w:color w:val="auto"/>
                <w:sz w:val="24"/>
              </w:rPr>
              <w:t>内容缺失不完善不得分</w:t>
            </w:r>
            <w:r>
              <w:rPr>
                <w:rFonts w:hint="eastAsia" w:ascii="仿宋" w:hAnsi="仿宋" w:eastAsia="仿宋" w:cs="仿宋_GB2312"/>
                <w:color w:val="auto"/>
                <w:sz w:val="24"/>
                <w:lang w:eastAsia="zh-CN"/>
              </w:rPr>
              <w:t>。</w:t>
            </w: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3</w:t>
            </w:r>
          </w:p>
        </w:tc>
        <w:tc>
          <w:tcPr>
            <w:tcW w:w="1200" w:type="pct"/>
            <w:vAlign w:val="center"/>
          </w:tcPr>
          <w:p>
            <w:pPr>
              <w:snapToGrid w:val="0"/>
              <w:jc w:val="center"/>
              <w:outlineLvl w:val="0"/>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05" w:type="pct"/>
            <w:vAlign w:val="center"/>
          </w:tcPr>
          <w:p>
            <w:pPr>
              <w:snapToGrid w:val="0"/>
              <w:jc w:val="center"/>
              <w:outlineLvl w:val="0"/>
              <w:rPr>
                <w:rFonts w:hint="default"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7</w:t>
            </w:r>
          </w:p>
        </w:tc>
        <w:tc>
          <w:tcPr>
            <w:tcW w:w="2979" w:type="pct"/>
            <w:vAlign w:val="center"/>
          </w:tcPr>
          <w:p>
            <w:pPr>
              <w:snapToGrid w:val="0"/>
              <w:rPr>
                <w:rFonts w:hint="eastAsia" w:ascii="仿宋" w:hAnsi="仿宋" w:eastAsia="仿宋" w:cs="仿宋"/>
                <w:color w:val="auto"/>
                <w:sz w:val="24"/>
                <w:lang w:eastAsia="zh-CN"/>
              </w:rPr>
            </w:pPr>
            <w:r>
              <w:rPr>
                <w:rFonts w:hint="eastAsia" w:ascii="仿宋" w:hAnsi="仿宋" w:eastAsia="仿宋" w:cs="仿宋_GB2312"/>
                <w:color w:val="auto"/>
                <w:sz w:val="24"/>
              </w:rPr>
              <w:t>产品供货、验货、安装调试、试运行、测试、调优等内容评审，内容完整、针对性强得3分；内容完整</w:t>
            </w:r>
            <w:r>
              <w:rPr>
                <w:rFonts w:hint="eastAsia" w:ascii="仿宋" w:hAnsi="仿宋" w:eastAsia="仿宋" w:cs="仿宋_GB2312"/>
                <w:color w:val="auto"/>
                <w:sz w:val="24"/>
                <w:lang w:eastAsia="zh-CN"/>
              </w:rPr>
              <w:t>性</w:t>
            </w:r>
            <w:r>
              <w:rPr>
                <w:rFonts w:hint="eastAsia" w:ascii="仿宋" w:hAnsi="仿宋" w:eastAsia="仿宋" w:cs="仿宋_GB2312"/>
                <w:color w:val="auto"/>
                <w:sz w:val="24"/>
              </w:rPr>
              <w:t>、针对性</w:t>
            </w:r>
            <w:r>
              <w:rPr>
                <w:rFonts w:hint="eastAsia" w:ascii="仿宋" w:hAnsi="仿宋" w:eastAsia="仿宋" w:cs="仿宋_GB2312"/>
                <w:color w:val="auto"/>
                <w:sz w:val="24"/>
                <w:lang w:eastAsia="zh-CN"/>
              </w:rPr>
              <w:t>描述与项目实际基本符合</w:t>
            </w:r>
            <w:r>
              <w:rPr>
                <w:rFonts w:hint="eastAsia" w:ascii="仿宋" w:hAnsi="仿宋" w:eastAsia="仿宋" w:cs="仿宋_GB2312"/>
                <w:color w:val="auto"/>
                <w:sz w:val="24"/>
              </w:rPr>
              <w:t>得</w:t>
            </w:r>
            <w:r>
              <w:rPr>
                <w:rFonts w:hint="eastAsia" w:ascii="仿宋" w:hAnsi="仿宋" w:eastAsia="仿宋" w:cs="仿宋_GB2312"/>
                <w:color w:val="auto"/>
                <w:sz w:val="24"/>
                <w:lang w:val="en-US" w:eastAsia="zh-CN"/>
              </w:rPr>
              <w:t>2</w:t>
            </w:r>
            <w:r>
              <w:rPr>
                <w:rFonts w:hint="eastAsia" w:ascii="仿宋" w:hAnsi="仿宋" w:eastAsia="仿宋" w:cs="仿宋_GB2312"/>
                <w:color w:val="auto"/>
                <w:sz w:val="24"/>
              </w:rPr>
              <w:t>分；内容完整</w:t>
            </w:r>
            <w:r>
              <w:rPr>
                <w:rFonts w:hint="eastAsia" w:ascii="仿宋" w:hAnsi="仿宋" w:eastAsia="仿宋" w:cs="仿宋_GB2312"/>
                <w:color w:val="auto"/>
                <w:sz w:val="24"/>
                <w:lang w:eastAsia="zh-CN"/>
              </w:rPr>
              <w:t>性</w:t>
            </w:r>
            <w:r>
              <w:rPr>
                <w:rFonts w:hint="eastAsia" w:ascii="仿宋" w:hAnsi="仿宋" w:eastAsia="仿宋" w:cs="仿宋_GB2312"/>
                <w:color w:val="auto"/>
                <w:sz w:val="24"/>
              </w:rPr>
              <w:t>、针对性一般得1分，内容缺失不完善不得分</w:t>
            </w:r>
            <w:r>
              <w:rPr>
                <w:rFonts w:hint="eastAsia" w:ascii="仿宋" w:hAnsi="仿宋" w:eastAsia="仿宋" w:cs="仿宋_GB2312"/>
                <w:color w:val="auto"/>
                <w:sz w:val="24"/>
                <w:lang w:eastAsia="zh-CN"/>
              </w:rPr>
              <w:t>。</w:t>
            </w: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3</w:t>
            </w:r>
          </w:p>
        </w:tc>
        <w:tc>
          <w:tcPr>
            <w:tcW w:w="1200" w:type="pct"/>
            <w:vAlign w:val="center"/>
          </w:tcPr>
          <w:p>
            <w:pPr>
              <w:snapToGrid w:val="0"/>
              <w:jc w:val="center"/>
              <w:outlineLvl w:val="0"/>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05" w:type="pct"/>
            <w:vAlign w:val="center"/>
          </w:tcPr>
          <w:p>
            <w:pPr>
              <w:snapToGrid w:val="0"/>
              <w:jc w:val="center"/>
              <w:outlineLvl w:val="0"/>
              <w:rPr>
                <w:rFonts w:hint="eastAsia" w:ascii="仿宋" w:hAnsi="仿宋" w:eastAsia="仿宋" w:cs="仿宋_GB2312"/>
                <w:bCs/>
                <w:color w:val="auto"/>
                <w:kern w:val="2"/>
                <w:sz w:val="24"/>
                <w:szCs w:val="24"/>
                <w:lang w:val="en-US" w:eastAsia="zh-CN" w:bidi="ar-SA"/>
              </w:rPr>
            </w:pPr>
            <w:r>
              <w:rPr>
                <w:rFonts w:hint="eastAsia" w:ascii="仿宋" w:hAnsi="仿宋" w:eastAsia="仿宋" w:cs="仿宋_GB2312"/>
                <w:bCs/>
                <w:color w:val="auto"/>
                <w:sz w:val="24"/>
                <w:lang w:val="en-US" w:eastAsia="zh-CN"/>
              </w:rPr>
              <w:t>8</w:t>
            </w:r>
          </w:p>
        </w:tc>
        <w:tc>
          <w:tcPr>
            <w:tcW w:w="2979" w:type="pct"/>
            <w:vAlign w:val="center"/>
          </w:tcPr>
          <w:p>
            <w:pPr>
              <w:snapToGrid w:val="0"/>
              <w:rPr>
                <w:rFonts w:hint="eastAsia" w:ascii="仿宋" w:hAnsi="仿宋" w:eastAsia="仿宋" w:cs="仿宋"/>
                <w:color w:val="auto"/>
                <w:sz w:val="24"/>
              </w:rPr>
            </w:pPr>
            <w:r>
              <w:rPr>
                <w:rFonts w:hint="eastAsia" w:ascii="仿宋" w:hAnsi="仿宋" w:eastAsia="仿宋" w:cs="仿宋"/>
                <w:color w:val="auto"/>
                <w:sz w:val="24"/>
              </w:rPr>
              <w:t>本次投标所提供产品的主要性能指标应满足本次招标文件第三部分“</w:t>
            </w:r>
            <w:r>
              <w:rPr>
                <w:rFonts w:hint="eastAsia" w:ascii="仿宋" w:hAnsi="仿宋" w:eastAsia="仿宋" w:cs="仿宋"/>
                <w:color w:val="auto"/>
                <w:sz w:val="24"/>
                <w:lang w:eastAsia="zh-CN"/>
              </w:rPr>
              <w:t>五、</w:t>
            </w:r>
            <w:r>
              <w:rPr>
                <w:rFonts w:hint="eastAsia" w:ascii="仿宋" w:hAnsi="仿宋" w:eastAsia="仿宋" w:cs="仿宋"/>
                <w:color w:val="auto"/>
                <w:sz w:val="24"/>
              </w:rPr>
              <w:t>项目技术要求”（标注▲条款除外），全部满足基本参数要求的得</w:t>
            </w:r>
            <w:r>
              <w:rPr>
                <w:rFonts w:hint="eastAsia" w:ascii="仿宋" w:hAnsi="仿宋" w:eastAsia="仿宋" w:cs="仿宋"/>
                <w:color w:val="auto"/>
                <w:sz w:val="24"/>
                <w:lang w:val="en-US" w:eastAsia="zh-CN"/>
              </w:rPr>
              <w:t>24</w:t>
            </w:r>
            <w:r>
              <w:rPr>
                <w:rFonts w:hint="eastAsia" w:ascii="仿宋" w:hAnsi="仿宋" w:eastAsia="仿宋" w:cs="仿宋"/>
                <w:color w:val="auto"/>
                <w:sz w:val="24"/>
              </w:rPr>
              <w:t>分。对于不满足要求的将进行扣分处理，技术参数负偏离一项扣减1分，</w:t>
            </w:r>
            <w:r>
              <w:rPr>
                <w:rFonts w:hint="eastAsia"/>
                <w:color w:val="auto"/>
              </w:rPr>
              <w:t>◆</w:t>
            </w:r>
            <w:r>
              <w:rPr>
                <w:rFonts w:hint="eastAsia" w:ascii="仿宋" w:hAnsi="仿宋" w:eastAsia="仿宋" w:cs="仿宋"/>
                <w:color w:val="auto"/>
                <w:sz w:val="24"/>
              </w:rPr>
              <w:t>条款的负偏离一项扣2分。如偏离项导致累计扣分达2</w:t>
            </w:r>
            <w:r>
              <w:rPr>
                <w:rFonts w:hint="eastAsia" w:ascii="仿宋" w:hAnsi="仿宋" w:eastAsia="仿宋" w:cs="仿宋"/>
                <w:color w:val="auto"/>
                <w:sz w:val="24"/>
                <w:lang w:val="en-US" w:eastAsia="zh-CN"/>
              </w:rPr>
              <w:t>4</w:t>
            </w:r>
            <w:r>
              <w:rPr>
                <w:rFonts w:hint="eastAsia" w:ascii="仿宋" w:hAnsi="仿宋" w:eastAsia="仿宋" w:cs="仿宋"/>
                <w:color w:val="auto"/>
                <w:sz w:val="24"/>
              </w:rPr>
              <w:t>分以上的，</w:t>
            </w:r>
            <w:r>
              <w:rPr>
                <w:rFonts w:hint="eastAsia" w:ascii="仿宋" w:hAnsi="仿宋" w:eastAsia="仿宋" w:cs="仿宋"/>
                <w:color w:val="auto"/>
                <w:sz w:val="24"/>
                <w:lang w:eastAsia="zh-CN"/>
              </w:rPr>
              <w:t>视为</w:t>
            </w:r>
            <w:r>
              <w:rPr>
                <w:rFonts w:hint="eastAsia" w:ascii="仿宋" w:hAnsi="仿宋" w:eastAsia="仿宋" w:cs="仿宋"/>
                <w:color w:val="auto"/>
                <w:sz w:val="24"/>
              </w:rPr>
              <w:t>该设备将无法满足采购人的基本需求，其投标将被否决。</w:t>
            </w:r>
          </w:p>
          <w:p>
            <w:pPr>
              <w:snapToGrid w:val="0"/>
              <w:rPr>
                <w:rFonts w:hint="eastAsia" w:ascii="仿宋" w:hAnsi="仿宋" w:eastAsia="仿宋" w:cs="仿宋"/>
                <w:color w:val="auto"/>
                <w:sz w:val="24"/>
              </w:rPr>
            </w:pPr>
            <w:r>
              <w:rPr>
                <w:rFonts w:hint="eastAsia" w:ascii="仿宋" w:hAnsi="仿宋" w:eastAsia="仿宋" w:cs="仿宋"/>
                <w:color w:val="auto"/>
                <w:sz w:val="24"/>
              </w:rPr>
              <w:t>（提供投标产品技术参数与采购需求技术参数的对照表，每一栏中如同时有多项要求的，每一项具体描述视为一项技术参数）</w:t>
            </w:r>
          </w:p>
          <w:p>
            <w:pPr>
              <w:snapToGrid w:val="0"/>
              <w:jc w:val="left"/>
              <w:outlineLvl w:val="0"/>
              <w:rPr>
                <w:rFonts w:hint="eastAsia"/>
                <w:color w:val="auto"/>
                <w:lang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客观分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hint="eastAsia" w:ascii="仿宋" w:hAnsi="仿宋" w:eastAsia="仿宋" w:cs="仿宋_GB2312"/>
                <w:color w:val="auto"/>
                <w:sz w:val="24"/>
                <w:lang w:eastAsia="zh-CN"/>
              </w:rPr>
            </w:pPr>
            <w:r>
              <w:rPr>
                <w:rFonts w:hint="eastAsia" w:ascii="仿宋" w:hAnsi="仿宋" w:eastAsia="仿宋" w:cs="仿宋_GB2312"/>
                <w:color w:val="auto"/>
                <w:sz w:val="24"/>
                <w:lang w:val="en-US" w:eastAsia="zh-CN"/>
              </w:rPr>
              <w:t>24</w:t>
            </w:r>
          </w:p>
        </w:tc>
        <w:tc>
          <w:tcPr>
            <w:tcW w:w="1200" w:type="pct"/>
            <w:vAlign w:val="center"/>
          </w:tcPr>
          <w:p>
            <w:pPr>
              <w:snapToGrid w:val="0"/>
              <w:jc w:val="center"/>
              <w:rPr>
                <w:rFonts w:ascii="仿宋" w:hAnsi="仿宋" w:eastAsia="仿宋"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5" w:type="pct"/>
            <w:vAlign w:val="center"/>
          </w:tcPr>
          <w:p>
            <w:pPr>
              <w:snapToGrid w:val="0"/>
              <w:jc w:val="center"/>
              <w:outlineLvl w:val="0"/>
              <w:rPr>
                <w:rFonts w:hint="default"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9</w:t>
            </w:r>
          </w:p>
        </w:tc>
        <w:tc>
          <w:tcPr>
            <w:tcW w:w="2979" w:type="pct"/>
            <w:vAlign w:val="center"/>
          </w:tcPr>
          <w:p>
            <w:pPr>
              <w:snapToGrid w:val="0"/>
              <w:jc w:val="left"/>
              <w:outlineLvl w:val="0"/>
              <w:rPr>
                <w:rFonts w:hint="eastAsia" w:ascii="仿宋" w:hAnsi="仿宋" w:eastAsia="仿宋" w:cs="仿宋_GB2312"/>
                <w:color w:val="auto"/>
                <w:sz w:val="24"/>
                <w:lang w:eastAsia="zh-CN"/>
              </w:rPr>
            </w:pPr>
            <w:r>
              <w:rPr>
                <w:rFonts w:hint="eastAsia" w:ascii="仿宋" w:hAnsi="仿宋" w:eastAsia="仿宋" w:cs="仿宋_GB2312"/>
                <w:color w:val="auto"/>
                <w:sz w:val="24"/>
              </w:rPr>
              <w:t>项目组成员情况</w:t>
            </w:r>
            <w:r>
              <w:rPr>
                <w:rFonts w:hint="eastAsia" w:ascii="仿宋" w:hAnsi="仿宋" w:eastAsia="仿宋" w:cs="仿宋_GB2312"/>
                <w:color w:val="auto"/>
                <w:sz w:val="24"/>
                <w:lang w:eastAsia="zh-CN"/>
              </w:rPr>
              <w:t>：</w:t>
            </w:r>
          </w:p>
          <w:p>
            <w:pPr>
              <w:snapToGrid w:val="0"/>
              <w:jc w:val="left"/>
              <w:outlineLvl w:val="0"/>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1.</w:t>
            </w:r>
            <w:r>
              <w:rPr>
                <w:rFonts w:hint="eastAsia" w:ascii="仿宋" w:hAnsi="仿宋" w:eastAsia="仿宋" w:cs="仿宋_GB2312"/>
                <w:color w:val="auto"/>
                <w:sz w:val="24"/>
                <w:lang w:eastAsia="zh-CN"/>
              </w:rPr>
              <w:t>项目负责人具有中级及以上工程师职称证书的得</w:t>
            </w:r>
            <w:r>
              <w:rPr>
                <w:rFonts w:hint="eastAsia" w:ascii="仿宋" w:hAnsi="仿宋" w:eastAsia="仿宋" w:cs="仿宋_GB2312"/>
                <w:color w:val="auto"/>
                <w:sz w:val="24"/>
                <w:lang w:val="en-US" w:eastAsia="zh-CN"/>
              </w:rPr>
              <w:t>2分，不满足不得分；</w:t>
            </w:r>
            <w:r>
              <w:rPr>
                <w:rFonts w:hint="eastAsia" w:ascii="仿宋" w:hAnsi="仿宋" w:eastAsia="仿宋" w:cs="仿宋_GB2312"/>
                <w:color w:val="auto"/>
                <w:sz w:val="24"/>
              </w:rPr>
              <w:t>0-2分；</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客观分</w:t>
            </w:r>
            <w:r>
              <w:rPr>
                <w:rFonts w:hint="eastAsia" w:ascii="仿宋" w:hAnsi="仿宋" w:eastAsia="仿宋" w:cs="仿宋"/>
                <w:color w:val="auto"/>
                <w:sz w:val="24"/>
                <w:lang w:eastAsia="zh-CN"/>
              </w:rPr>
              <w:t>】</w:t>
            </w:r>
          </w:p>
          <w:p>
            <w:pPr>
              <w:snapToGrid w:val="0"/>
              <w:jc w:val="left"/>
              <w:outlineLvl w:val="0"/>
              <w:rPr>
                <w:rFonts w:hint="eastAsia" w:ascii="仿宋" w:hAnsi="仿宋" w:eastAsia="仿宋" w:cs="仿宋_GB2312"/>
                <w:color w:val="auto"/>
                <w:sz w:val="24"/>
              </w:rPr>
            </w:pPr>
            <w:r>
              <w:rPr>
                <w:rFonts w:hint="eastAsia" w:ascii="仿宋" w:hAnsi="仿宋" w:eastAsia="仿宋" w:cs="仿宋_GB2312"/>
                <w:color w:val="auto"/>
                <w:sz w:val="24"/>
                <w:lang w:val="en-US" w:eastAsia="zh-CN"/>
              </w:rPr>
              <w:t>2.</w:t>
            </w:r>
            <w:r>
              <w:rPr>
                <w:rFonts w:hint="eastAsia" w:ascii="仿宋" w:hAnsi="仿宋" w:eastAsia="仿宋" w:cs="仿宋_GB2312"/>
                <w:color w:val="auto"/>
                <w:sz w:val="24"/>
              </w:rPr>
              <w:t>团队人员技术能力、专业总体水平强</w:t>
            </w:r>
            <w:r>
              <w:rPr>
                <w:rFonts w:hint="eastAsia" w:ascii="仿宋" w:hAnsi="仿宋" w:eastAsia="仿宋" w:cs="仿宋_GB2312"/>
                <w:color w:val="auto"/>
                <w:sz w:val="24"/>
                <w:lang w:eastAsia="zh-CN"/>
              </w:rPr>
              <w:t>的</w:t>
            </w:r>
            <w:r>
              <w:rPr>
                <w:rFonts w:hint="eastAsia" w:ascii="仿宋" w:hAnsi="仿宋" w:eastAsia="仿宋" w:cs="仿宋_GB2312"/>
                <w:color w:val="auto"/>
                <w:sz w:val="24"/>
              </w:rPr>
              <w:t>得3分；团队人员技术能力、专业总体水平</w:t>
            </w:r>
            <w:r>
              <w:rPr>
                <w:rFonts w:hint="eastAsia" w:ascii="仿宋" w:hAnsi="仿宋" w:eastAsia="仿宋" w:cs="仿宋_GB2312"/>
                <w:color w:val="auto"/>
                <w:sz w:val="24"/>
                <w:lang w:eastAsia="zh-CN"/>
              </w:rPr>
              <w:t>基本满足项目实施的</w:t>
            </w:r>
            <w:r>
              <w:rPr>
                <w:rFonts w:hint="eastAsia" w:ascii="仿宋" w:hAnsi="仿宋" w:eastAsia="仿宋" w:cs="仿宋_GB2312"/>
                <w:color w:val="auto"/>
                <w:sz w:val="24"/>
              </w:rPr>
              <w:t>得</w:t>
            </w:r>
            <w:r>
              <w:rPr>
                <w:rFonts w:hint="eastAsia" w:ascii="仿宋" w:hAnsi="仿宋" w:eastAsia="仿宋" w:cs="仿宋_GB2312"/>
                <w:color w:val="auto"/>
                <w:sz w:val="24"/>
                <w:lang w:val="en-US" w:eastAsia="zh-CN"/>
              </w:rPr>
              <w:t>2</w:t>
            </w:r>
            <w:r>
              <w:rPr>
                <w:rFonts w:hint="eastAsia" w:ascii="仿宋" w:hAnsi="仿宋" w:eastAsia="仿宋" w:cs="仿宋_GB2312"/>
                <w:color w:val="auto"/>
                <w:sz w:val="24"/>
              </w:rPr>
              <w:t>分</w:t>
            </w:r>
            <w:r>
              <w:rPr>
                <w:rFonts w:hint="eastAsia" w:ascii="仿宋" w:hAnsi="仿宋" w:eastAsia="仿宋" w:cs="仿宋_GB2312"/>
                <w:color w:val="auto"/>
                <w:sz w:val="24"/>
                <w:lang w:eastAsia="zh-CN"/>
              </w:rPr>
              <w:t>；</w:t>
            </w:r>
            <w:r>
              <w:rPr>
                <w:rFonts w:hint="eastAsia" w:ascii="仿宋" w:hAnsi="仿宋" w:eastAsia="仿宋" w:cs="仿宋_GB2312"/>
                <w:color w:val="auto"/>
                <w:sz w:val="24"/>
              </w:rPr>
              <w:t>团队人员技术能力、专业总体水平</w:t>
            </w:r>
            <w:r>
              <w:rPr>
                <w:rFonts w:hint="eastAsia" w:ascii="仿宋" w:hAnsi="仿宋" w:eastAsia="仿宋" w:cs="仿宋_GB2312"/>
                <w:color w:val="auto"/>
                <w:sz w:val="24"/>
                <w:lang w:eastAsia="zh-CN"/>
              </w:rPr>
              <w:t>一般</w:t>
            </w:r>
            <w:r>
              <w:rPr>
                <w:rFonts w:hint="eastAsia" w:ascii="仿宋" w:hAnsi="仿宋" w:eastAsia="仿宋" w:cs="仿宋_GB2312"/>
                <w:color w:val="auto"/>
                <w:sz w:val="24"/>
              </w:rPr>
              <w:t>得1分；团队人员技术能力、专业总体水平弱的不得分；0-</w:t>
            </w:r>
            <w:r>
              <w:rPr>
                <w:rFonts w:hint="eastAsia" w:ascii="仿宋" w:hAnsi="仿宋" w:eastAsia="仿宋" w:cs="仿宋_GB2312"/>
                <w:color w:val="auto"/>
                <w:sz w:val="24"/>
                <w:lang w:val="en-US" w:eastAsia="zh-CN"/>
              </w:rPr>
              <w:t>3</w:t>
            </w:r>
            <w:r>
              <w:rPr>
                <w:rFonts w:hint="eastAsia" w:ascii="仿宋" w:hAnsi="仿宋" w:eastAsia="仿宋" w:cs="仿宋_GB2312"/>
                <w:color w:val="auto"/>
                <w:sz w:val="24"/>
              </w:rPr>
              <w:t>分；</w:t>
            </w: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p>
            <w:pPr>
              <w:snapToGrid w:val="0"/>
              <w:jc w:val="left"/>
              <w:outlineLvl w:val="0"/>
              <w:rPr>
                <w:rFonts w:hint="eastAsia" w:ascii="仿宋" w:hAnsi="仿宋" w:eastAsia="仿宋" w:cs="仿宋_GB2312"/>
                <w:color w:val="auto"/>
                <w:sz w:val="24"/>
              </w:rPr>
            </w:pPr>
            <w:r>
              <w:rPr>
                <w:rFonts w:hint="eastAsia" w:ascii="仿宋" w:hAnsi="仿宋" w:eastAsia="仿宋" w:cs="仿宋_GB2312"/>
                <w:color w:val="auto"/>
                <w:sz w:val="24"/>
                <w:lang w:val="en-US" w:eastAsia="zh-CN"/>
              </w:rPr>
              <w:t>3.</w:t>
            </w:r>
            <w:r>
              <w:rPr>
                <w:rFonts w:hint="eastAsia" w:ascii="仿宋" w:hAnsi="仿宋" w:eastAsia="仿宋" w:cs="仿宋_GB2312"/>
                <w:color w:val="auto"/>
                <w:sz w:val="24"/>
              </w:rPr>
              <w:t>团队人员</w:t>
            </w:r>
            <w:r>
              <w:rPr>
                <w:rFonts w:hint="eastAsia" w:ascii="仿宋" w:hAnsi="仿宋" w:eastAsia="仿宋" w:cs="仿宋_GB2312"/>
                <w:color w:val="auto"/>
                <w:sz w:val="24"/>
                <w:lang w:eastAsia="zh-CN"/>
              </w:rPr>
              <w:t>数量</w:t>
            </w:r>
            <w:r>
              <w:rPr>
                <w:rFonts w:hint="eastAsia" w:ascii="仿宋" w:hAnsi="仿宋" w:eastAsia="仿宋" w:cs="仿宋_GB2312"/>
                <w:color w:val="auto"/>
                <w:sz w:val="24"/>
              </w:rPr>
              <w:t>配置合理的得</w:t>
            </w:r>
            <w:r>
              <w:rPr>
                <w:rFonts w:hint="eastAsia" w:ascii="仿宋" w:hAnsi="仿宋" w:eastAsia="仿宋" w:cs="仿宋_GB2312"/>
                <w:color w:val="auto"/>
                <w:sz w:val="24"/>
                <w:lang w:val="en-US" w:eastAsia="zh-CN"/>
              </w:rPr>
              <w:t>3</w:t>
            </w:r>
            <w:r>
              <w:rPr>
                <w:rFonts w:hint="eastAsia" w:ascii="仿宋" w:hAnsi="仿宋" w:eastAsia="仿宋" w:cs="仿宋_GB2312"/>
                <w:color w:val="auto"/>
                <w:sz w:val="24"/>
              </w:rPr>
              <w:t>分，</w:t>
            </w:r>
            <w:r>
              <w:rPr>
                <w:rFonts w:hint="eastAsia" w:ascii="仿宋" w:hAnsi="仿宋" w:eastAsia="仿宋" w:cs="仿宋_GB2312"/>
                <w:color w:val="auto"/>
                <w:sz w:val="24"/>
                <w:lang w:eastAsia="zh-CN"/>
              </w:rPr>
              <w:t>人员</w:t>
            </w:r>
            <w:r>
              <w:rPr>
                <w:rFonts w:hint="eastAsia" w:ascii="仿宋" w:hAnsi="仿宋" w:eastAsia="仿宋" w:cs="仿宋_GB2312"/>
                <w:color w:val="auto"/>
                <w:sz w:val="24"/>
              </w:rPr>
              <w:t>配置</w:t>
            </w:r>
            <w:r>
              <w:rPr>
                <w:rFonts w:hint="eastAsia" w:ascii="仿宋" w:hAnsi="仿宋" w:eastAsia="仿宋" w:cs="仿宋_GB2312"/>
                <w:color w:val="auto"/>
                <w:sz w:val="24"/>
                <w:lang w:eastAsia="zh-CN"/>
              </w:rPr>
              <w:t>基本合理得</w:t>
            </w:r>
            <w:r>
              <w:rPr>
                <w:rFonts w:hint="eastAsia" w:ascii="仿宋" w:hAnsi="仿宋" w:eastAsia="仿宋" w:cs="仿宋_GB2312"/>
                <w:color w:val="auto"/>
                <w:sz w:val="24"/>
                <w:lang w:val="en-US" w:eastAsia="zh-CN"/>
              </w:rPr>
              <w:t>2分，</w:t>
            </w:r>
            <w:r>
              <w:rPr>
                <w:rFonts w:hint="eastAsia" w:ascii="仿宋" w:hAnsi="仿宋" w:eastAsia="仿宋" w:cs="仿宋_GB2312"/>
                <w:color w:val="auto"/>
                <w:sz w:val="24"/>
              </w:rPr>
              <w:t>合理性一般</w:t>
            </w:r>
            <w:r>
              <w:rPr>
                <w:rFonts w:hint="eastAsia" w:ascii="仿宋" w:hAnsi="仿宋" w:eastAsia="仿宋" w:cs="仿宋_GB2312"/>
                <w:color w:val="auto"/>
                <w:sz w:val="24"/>
                <w:lang w:eastAsia="zh-CN"/>
              </w:rPr>
              <w:t>的</w:t>
            </w:r>
            <w:r>
              <w:rPr>
                <w:rFonts w:hint="eastAsia" w:ascii="仿宋" w:hAnsi="仿宋" w:eastAsia="仿宋" w:cs="仿宋_GB2312"/>
                <w:color w:val="auto"/>
                <w:sz w:val="24"/>
              </w:rPr>
              <w:t>得1分</w:t>
            </w:r>
            <w:r>
              <w:rPr>
                <w:rFonts w:hint="eastAsia" w:ascii="仿宋" w:hAnsi="仿宋" w:eastAsia="仿宋" w:cs="仿宋_GB2312"/>
                <w:color w:val="auto"/>
                <w:sz w:val="24"/>
                <w:lang w:eastAsia="zh-CN"/>
              </w:rPr>
              <w:t>，人员</w:t>
            </w:r>
            <w:r>
              <w:rPr>
                <w:rFonts w:hint="eastAsia" w:ascii="仿宋" w:hAnsi="仿宋" w:eastAsia="仿宋" w:cs="仿宋_GB2312"/>
                <w:color w:val="auto"/>
                <w:sz w:val="24"/>
              </w:rPr>
              <w:t>配置合理性差</w:t>
            </w:r>
            <w:r>
              <w:rPr>
                <w:rFonts w:hint="eastAsia" w:ascii="仿宋" w:hAnsi="仿宋" w:eastAsia="仿宋" w:cs="仿宋_GB2312"/>
                <w:color w:val="auto"/>
                <w:sz w:val="24"/>
                <w:lang w:eastAsia="zh-CN"/>
              </w:rPr>
              <w:t>的</w:t>
            </w:r>
            <w:r>
              <w:rPr>
                <w:rFonts w:hint="eastAsia" w:ascii="仿宋" w:hAnsi="仿宋" w:eastAsia="仿宋" w:cs="仿宋_GB2312"/>
                <w:color w:val="auto"/>
                <w:sz w:val="24"/>
              </w:rPr>
              <w:t>不得分</w:t>
            </w:r>
            <w:r>
              <w:rPr>
                <w:rFonts w:hint="eastAsia" w:ascii="仿宋" w:hAnsi="仿宋" w:eastAsia="仿宋" w:cs="仿宋_GB2312"/>
                <w:color w:val="auto"/>
                <w:sz w:val="24"/>
                <w:lang w:eastAsia="zh-CN"/>
              </w:rPr>
              <w:t>；</w:t>
            </w:r>
            <w:r>
              <w:rPr>
                <w:rFonts w:hint="eastAsia" w:ascii="仿宋" w:hAnsi="仿宋" w:eastAsia="仿宋" w:cs="仿宋_GB2312"/>
                <w:color w:val="auto"/>
                <w:sz w:val="24"/>
              </w:rPr>
              <w:t>0-</w:t>
            </w:r>
            <w:r>
              <w:rPr>
                <w:rFonts w:hint="eastAsia" w:ascii="仿宋" w:hAnsi="仿宋" w:eastAsia="仿宋" w:cs="仿宋_GB2312"/>
                <w:color w:val="auto"/>
                <w:sz w:val="24"/>
                <w:lang w:val="en-US" w:eastAsia="zh-CN"/>
              </w:rPr>
              <w:t>3</w:t>
            </w:r>
            <w:r>
              <w:rPr>
                <w:rFonts w:hint="eastAsia" w:ascii="仿宋" w:hAnsi="仿宋" w:eastAsia="仿宋" w:cs="仿宋_GB2312"/>
                <w:color w:val="auto"/>
                <w:sz w:val="24"/>
              </w:rPr>
              <w:t>分</w:t>
            </w:r>
            <w:r>
              <w:rPr>
                <w:rFonts w:hint="eastAsia" w:ascii="仿宋" w:hAnsi="仿宋" w:eastAsia="仿宋" w:cs="仿宋_GB2312"/>
                <w:color w:val="auto"/>
                <w:sz w:val="24"/>
                <w:lang w:eastAsia="zh-CN"/>
              </w:rPr>
              <w:t>。</w:t>
            </w: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p>
            <w:pPr>
              <w:snapToGrid w:val="0"/>
              <w:jc w:val="left"/>
              <w:outlineLvl w:val="0"/>
              <w:rPr>
                <w:rFonts w:hint="eastAsia" w:ascii="仿宋" w:hAnsi="仿宋" w:eastAsia="仿宋" w:cs="仿宋_GB2312"/>
                <w:color w:val="auto"/>
                <w:sz w:val="24"/>
                <w:lang w:eastAsia="zh-CN"/>
              </w:rPr>
            </w:pPr>
            <w:r>
              <w:rPr>
                <w:rFonts w:hint="eastAsia" w:ascii="仿宋" w:hAnsi="仿宋" w:eastAsia="仿宋" w:cs="仿宋_GB2312"/>
                <w:color w:val="auto"/>
                <w:sz w:val="24"/>
              </w:rPr>
              <w:t>注：提供以上所有人员证书复印件及在投标人单位最近3个月内任一时间的社保</w:t>
            </w:r>
            <w:r>
              <w:rPr>
                <w:rFonts w:hint="eastAsia" w:ascii="仿宋" w:hAnsi="仿宋" w:eastAsia="仿宋" w:cs="仿宋_GB2312"/>
                <w:color w:val="auto"/>
                <w:sz w:val="24"/>
                <w:lang w:eastAsia="zh-CN"/>
              </w:rPr>
              <w:t>缴纳</w:t>
            </w:r>
            <w:r>
              <w:rPr>
                <w:rFonts w:hint="eastAsia" w:ascii="仿宋" w:hAnsi="仿宋" w:eastAsia="仿宋" w:cs="仿宋_GB2312"/>
                <w:color w:val="auto"/>
                <w:sz w:val="24"/>
              </w:rPr>
              <w:t>证明，否则此项不得分。</w:t>
            </w:r>
          </w:p>
        </w:tc>
        <w:tc>
          <w:tcPr>
            <w:tcW w:w="414"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lang w:val="en-US" w:eastAsia="zh-CN"/>
              </w:rPr>
              <w:t>8</w:t>
            </w:r>
          </w:p>
        </w:tc>
        <w:tc>
          <w:tcPr>
            <w:tcW w:w="1200" w:type="pct"/>
            <w:vAlign w:val="center"/>
          </w:tcPr>
          <w:p>
            <w:pPr>
              <w:snapToGri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05" w:type="pct"/>
            <w:vAlign w:val="center"/>
          </w:tcPr>
          <w:p>
            <w:pPr>
              <w:snapToGrid w:val="0"/>
              <w:jc w:val="center"/>
              <w:outlineLvl w:val="0"/>
              <w:rPr>
                <w:rFonts w:hint="default"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10</w:t>
            </w:r>
          </w:p>
        </w:tc>
        <w:tc>
          <w:tcPr>
            <w:tcW w:w="2979"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售后服务：</w:t>
            </w:r>
          </w:p>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1</w:t>
            </w:r>
            <w:r>
              <w:rPr>
                <w:rFonts w:hint="eastAsia" w:ascii="仿宋" w:hAnsi="仿宋" w:eastAsia="仿宋" w:cs="仿宋_GB2312"/>
                <w:color w:val="auto"/>
                <w:sz w:val="24"/>
                <w:lang w:eastAsia="zh-CN"/>
              </w:rPr>
              <w:t>.</w:t>
            </w:r>
            <w:r>
              <w:rPr>
                <w:rFonts w:hint="eastAsia" w:ascii="仿宋" w:hAnsi="仿宋" w:eastAsia="仿宋" w:cs="仿宋_GB2312"/>
                <w:color w:val="auto"/>
                <w:sz w:val="24"/>
              </w:rPr>
              <w:t>售后服务方案</w:t>
            </w:r>
            <w:r>
              <w:rPr>
                <w:rFonts w:hint="eastAsia" w:ascii="仿宋" w:hAnsi="仿宋" w:eastAsia="仿宋" w:cs="仿宋_GB2312"/>
                <w:color w:val="auto"/>
                <w:sz w:val="24"/>
                <w:lang w:eastAsia="zh-CN"/>
              </w:rPr>
              <w:t>内容完整、服务事项</w:t>
            </w:r>
            <w:r>
              <w:rPr>
                <w:rFonts w:hint="eastAsia" w:ascii="仿宋" w:hAnsi="仿宋" w:eastAsia="仿宋" w:cs="仿宋_GB2312"/>
                <w:color w:val="auto"/>
                <w:sz w:val="24"/>
              </w:rPr>
              <w:t>明确具体、针对性强得3分；</w:t>
            </w:r>
            <w:r>
              <w:rPr>
                <w:rFonts w:hint="eastAsia" w:ascii="仿宋" w:hAnsi="仿宋" w:eastAsia="仿宋" w:cs="仿宋_GB2312"/>
                <w:color w:val="auto"/>
                <w:sz w:val="24"/>
                <w:lang w:eastAsia="zh-CN"/>
              </w:rPr>
              <w:t>服务</w:t>
            </w:r>
            <w:r>
              <w:rPr>
                <w:rFonts w:hint="eastAsia" w:ascii="仿宋" w:hAnsi="仿宋" w:eastAsia="仿宋" w:cs="仿宋_GB2312"/>
                <w:color w:val="auto"/>
                <w:sz w:val="24"/>
              </w:rPr>
              <w:t>方案内容</w:t>
            </w:r>
            <w:r>
              <w:rPr>
                <w:rFonts w:hint="eastAsia" w:ascii="仿宋" w:hAnsi="仿宋" w:eastAsia="仿宋" w:cs="仿宋_GB2312"/>
                <w:color w:val="auto"/>
                <w:sz w:val="24"/>
                <w:lang w:eastAsia="zh-CN"/>
              </w:rPr>
              <w:t>基本完整</w:t>
            </w:r>
            <w:r>
              <w:rPr>
                <w:rFonts w:hint="eastAsia" w:ascii="仿宋" w:hAnsi="仿宋" w:eastAsia="仿宋" w:cs="仿宋_GB2312"/>
                <w:color w:val="auto"/>
                <w:sz w:val="24"/>
              </w:rPr>
              <w:t>、</w:t>
            </w:r>
            <w:r>
              <w:rPr>
                <w:rFonts w:hint="eastAsia" w:ascii="仿宋" w:hAnsi="仿宋" w:eastAsia="仿宋" w:cs="仿宋_GB2312"/>
                <w:color w:val="auto"/>
                <w:sz w:val="24"/>
                <w:lang w:eastAsia="zh-CN"/>
              </w:rPr>
              <w:t>服务事项</w:t>
            </w:r>
            <w:r>
              <w:rPr>
                <w:rFonts w:hint="eastAsia" w:ascii="仿宋" w:hAnsi="仿宋" w:eastAsia="仿宋" w:cs="仿宋_GB2312"/>
                <w:color w:val="auto"/>
                <w:sz w:val="24"/>
              </w:rPr>
              <w:t>、针对性</w:t>
            </w:r>
            <w:r>
              <w:rPr>
                <w:rFonts w:hint="eastAsia" w:ascii="仿宋" w:hAnsi="仿宋" w:eastAsia="仿宋" w:cs="仿宋_GB2312"/>
                <w:color w:val="auto"/>
                <w:sz w:val="24"/>
                <w:lang w:eastAsia="zh-CN"/>
              </w:rPr>
              <w:t>尚可</w:t>
            </w:r>
            <w:r>
              <w:rPr>
                <w:rFonts w:hint="eastAsia" w:ascii="仿宋" w:hAnsi="仿宋" w:eastAsia="仿宋" w:cs="仿宋_GB2312"/>
                <w:color w:val="auto"/>
                <w:sz w:val="24"/>
              </w:rPr>
              <w:t>得</w:t>
            </w:r>
            <w:r>
              <w:rPr>
                <w:rFonts w:hint="eastAsia" w:ascii="仿宋" w:hAnsi="仿宋" w:eastAsia="仿宋" w:cs="仿宋_GB2312"/>
                <w:color w:val="auto"/>
                <w:sz w:val="24"/>
                <w:lang w:val="en-US" w:eastAsia="zh-CN"/>
              </w:rPr>
              <w:t>2</w:t>
            </w:r>
            <w:r>
              <w:rPr>
                <w:rFonts w:hint="eastAsia" w:ascii="仿宋" w:hAnsi="仿宋" w:eastAsia="仿宋" w:cs="仿宋_GB2312"/>
                <w:color w:val="auto"/>
                <w:sz w:val="24"/>
              </w:rPr>
              <w:t>分；</w:t>
            </w:r>
            <w:r>
              <w:rPr>
                <w:rFonts w:hint="eastAsia" w:ascii="仿宋" w:hAnsi="仿宋" w:eastAsia="仿宋" w:cs="仿宋_GB2312"/>
                <w:color w:val="auto"/>
                <w:sz w:val="24"/>
                <w:lang w:eastAsia="zh-CN"/>
              </w:rPr>
              <w:t>服务</w:t>
            </w:r>
            <w:r>
              <w:rPr>
                <w:rFonts w:hint="eastAsia" w:ascii="仿宋" w:hAnsi="仿宋" w:eastAsia="仿宋" w:cs="仿宋_GB2312"/>
                <w:color w:val="auto"/>
                <w:sz w:val="24"/>
              </w:rPr>
              <w:t>方案内容</w:t>
            </w:r>
            <w:r>
              <w:rPr>
                <w:rFonts w:hint="eastAsia" w:ascii="仿宋" w:hAnsi="仿宋" w:eastAsia="仿宋" w:cs="仿宋_GB2312"/>
                <w:color w:val="auto"/>
                <w:sz w:val="24"/>
                <w:lang w:eastAsia="zh-CN"/>
              </w:rPr>
              <w:t>一般、服务事项</w:t>
            </w:r>
            <w:r>
              <w:rPr>
                <w:rFonts w:hint="eastAsia" w:ascii="仿宋" w:hAnsi="仿宋" w:eastAsia="仿宋" w:cs="仿宋_GB2312"/>
                <w:color w:val="auto"/>
                <w:sz w:val="24"/>
              </w:rPr>
              <w:t>、针对性</w:t>
            </w:r>
            <w:r>
              <w:rPr>
                <w:rFonts w:hint="eastAsia" w:ascii="仿宋" w:hAnsi="仿宋" w:eastAsia="仿宋" w:cs="仿宋_GB2312"/>
                <w:color w:val="auto"/>
                <w:sz w:val="24"/>
                <w:lang w:eastAsia="zh-CN"/>
              </w:rPr>
              <w:t>一般的</w:t>
            </w:r>
            <w:r>
              <w:rPr>
                <w:rFonts w:hint="eastAsia" w:ascii="仿宋" w:hAnsi="仿宋" w:eastAsia="仿宋" w:cs="仿宋_GB2312"/>
                <w:color w:val="auto"/>
                <w:sz w:val="24"/>
              </w:rPr>
              <w:t>得</w:t>
            </w:r>
            <w:r>
              <w:rPr>
                <w:rFonts w:hint="eastAsia" w:ascii="仿宋" w:hAnsi="仿宋" w:eastAsia="仿宋" w:cs="仿宋_GB2312"/>
                <w:color w:val="auto"/>
                <w:sz w:val="24"/>
                <w:lang w:val="en-US" w:eastAsia="zh-CN"/>
              </w:rPr>
              <w:t>1</w:t>
            </w:r>
            <w:r>
              <w:rPr>
                <w:rFonts w:hint="eastAsia" w:ascii="仿宋" w:hAnsi="仿宋" w:eastAsia="仿宋" w:cs="仿宋_GB2312"/>
                <w:color w:val="auto"/>
                <w:sz w:val="24"/>
              </w:rPr>
              <w:t>分</w:t>
            </w:r>
            <w:r>
              <w:rPr>
                <w:rFonts w:hint="eastAsia" w:ascii="仿宋" w:hAnsi="仿宋" w:eastAsia="仿宋" w:cs="仿宋_GB2312"/>
                <w:color w:val="auto"/>
                <w:sz w:val="24"/>
                <w:lang w:eastAsia="zh-CN"/>
              </w:rPr>
              <w:t>；</w:t>
            </w:r>
            <w:r>
              <w:rPr>
                <w:rFonts w:hint="eastAsia" w:ascii="仿宋" w:hAnsi="仿宋" w:eastAsia="仿宋" w:cs="仿宋_GB2312"/>
                <w:color w:val="auto"/>
                <w:sz w:val="24"/>
              </w:rPr>
              <w:t>无售后方案及服务人员不得分；0-3分；</w:t>
            </w: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2</w:t>
            </w:r>
            <w:r>
              <w:rPr>
                <w:rFonts w:hint="eastAsia" w:ascii="仿宋" w:hAnsi="仿宋" w:eastAsia="仿宋" w:cs="仿宋_GB2312"/>
                <w:color w:val="auto"/>
                <w:sz w:val="24"/>
                <w:lang w:eastAsia="zh-CN"/>
              </w:rPr>
              <w:t>.</w:t>
            </w:r>
            <w:r>
              <w:rPr>
                <w:rFonts w:hint="eastAsia" w:ascii="仿宋" w:hAnsi="仿宋" w:eastAsia="仿宋" w:cs="仿宋"/>
                <w:color w:val="auto"/>
                <w:sz w:val="24"/>
              </w:rPr>
              <w:t>投标人</w:t>
            </w:r>
            <w:r>
              <w:rPr>
                <w:rFonts w:hint="eastAsia" w:ascii="仿宋" w:hAnsi="仿宋" w:eastAsia="仿宋" w:cs="仿宋"/>
                <w:color w:val="auto"/>
                <w:sz w:val="24"/>
                <w:lang w:eastAsia="zh-CN"/>
              </w:rPr>
              <w:t>对售后</w:t>
            </w:r>
            <w:r>
              <w:rPr>
                <w:rFonts w:hint="eastAsia" w:ascii="仿宋" w:hAnsi="仿宋" w:eastAsia="仿宋" w:cs="仿宋"/>
                <w:color w:val="auto"/>
                <w:sz w:val="24"/>
              </w:rPr>
              <w:t>服务承诺</w:t>
            </w:r>
            <w:r>
              <w:rPr>
                <w:rFonts w:hint="eastAsia" w:ascii="仿宋" w:hAnsi="仿宋" w:eastAsia="仿宋" w:cs="仿宋"/>
                <w:color w:val="auto"/>
                <w:sz w:val="24"/>
                <w:lang w:eastAsia="zh-CN"/>
              </w:rPr>
              <w:t>内容的具体</w:t>
            </w:r>
            <w:r>
              <w:rPr>
                <w:rFonts w:hint="eastAsia" w:ascii="仿宋" w:hAnsi="仿宋" w:eastAsia="仿宋" w:cs="仿宋"/>
                <w:color w:val="auto"/>
                <w:sz w:val="24"/>
              </w:rPr>
              <w:t>落实保障措施以及突发事件的应急措施</w:t>
            </w:r>
            <w:r>
              <w:rPr>
                <w:rFonts w:hint="eastAsia" w:ascii="仿宋" w:hAnsi="仿宋" w:eastAsia="仿宋" w:cs="仿宋_GB2312"/>
                <w:color w:val="auto"/>
                <w:sz w:val="24"/>
              </w:rPr>
              <w:t>，针对性强</w:t>
            </w:r>
            <w:r>
              <w:rPr>
                <w:rFonts w:hint="eastAsia" w:ascii="仿宋" w:hAnsi="仿宋" w:eastAsia="仿宋" w:cs="仿宋_GB2312"/>
                <w:color w:val="auto"/>
                <w:sz w:val="24"/>
                <w:lang w:eastAsia="zh-CN"/>
              </w:rPr>
              <w:t>的</w:t>
            </w:r>
            <w:r>
              <w:rPr>
                <w:rFonts w:hint="eastAsia" w:ascii="仿宋" w:hAnsi="仿宋" w:eastAsia="仿宋" w:cs="仿宋_GB2312"/>
                <w:color w:val="auto"/>
                <w:sz w:val="24"/>
              </w:rPr>
              <w:t>得3分；针对性</w:t>
            </w:r>
            <w:r>
              <w:rPr>
                <w:rFonts w:hint="eastAsia" w:ascii="仿宋" w:hAnsi="仿宋" w:eastAsia="仿宋" w:cs="仿宋_GB2312"/>
                <w:color w:val="auto"/>
                <w:sz w:val="24"/>
                <w:lang w:eastAsia="zh-CN"/>
              </w:rPr>
              <w:t>尚可</w:t>
            </w:r>
            <w:r>
              <w:rPr>
                <w:rFonts w:hint="eastAsia" w:ascii="仿宋" w:hAnsi="仿宋" w:eastAsia="仿宋" w:cs="仿宋_GB2312"/>
                <w:color w:val="auto"/>
                <w:sz w:val="24"/>
              </w:rPr>
              <w:t>得1分；针对性一般得1分；不具有针对性的不得分：0-3分；</w:t>
            </w: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3</w:t>
            </w:r>
            <w:r>
              <w:rPr>
                <w:rFonts w:hint="eastAsia" w:ascii="仿宋" w:hAnsi="仿宋" w:eastAsia="仿宋" w:cs="仿宋_GB2312"/>
                <w:color w:val="auto"/>
                <w:sz w:val="24"/>
                <w:lang w:eastAsia="zh-CN"/>
              </w:rPr>
              <w:t>.</w:t>
            </w:r>
            <w:r>
              <w:rPr>
                <w:rFonts w:hint="eastAsia" w:ascii="仿宋" w:hAnsi="仿宋" w:eastAsia="仿宋" w:cs="仿宋_GB2312"/>
                <w:color w:val="auto"/>
                <w:sz w:val="24"/>
              </w:rPr>
              <w:t>质保期，在满足招标文件的基础上，网络交换机设备产品的质保期每延长</w:t>
            </w:r>
            <w:bookmarkStart w:id="561" w:name="_GoBack"/>
            <w:bookmarkEnd w:id="561"/>
            <w:r>
              <w:rPr>
                <w:rFonts w:hint="eastAsia" w:ascii="仿宋" w:hAnsi="仿宋" w:eastAsia="仿宋" w:cs="仿宋_GB2312"/>
                <w:color w:val="auto"/>
                <w:sz w:val="24"/>
              </w:rPr>
              <w:t>1年得0.5分，最高得1分；0-</w:t>
            </w:r>
            <w:r>
              <w:rPr>
                <w:rFonts w:hint="eastAsia" w:ascii="仿宋" w:hAnsi="仿宋" w:eastAsia="仿宋" w:cs="仿宋_GB2312"/>
                <w:color w:val="auto"/>
                <w:sz w:val="24"/>
                <w:lang w:val="en-US" w:eastAsia="zh-CN"/>
              </w:rPr>
              <w:t>1</w:t>
            </w:r>
            <w:r>
              <w:rPr>
                <w:rFonts w:hint="eastAsia" w:ascii="仿宋" w:hAnsi="仿宋" w:eastAsia="仿宋" w:cs="仿宋_GB2312"/>
                <w:color w:val="auto"/>
                <w:sz w:val="24"/>
              </w:rPr>
              <w:t>分；</w:t>
            </w:r>
            <w:r>
              <w:rPr>
                <w:rFonts w:hint="eastAsia" w:ascii="仿宋" w:hAnsi="仿宋" w:eastAsia="仿宋" w:cs="仿宋"/>
                <w:color w:val="auto"/>
                <w:sz w:val="24"/>
                <w:lang w:eastAsia="zh-CN"/>
              </w:rPr>
              <w:t>【客</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p>
            <w:pPr>
              <w:snapToGrid w:val="0"/>
              <w:jc w:val="left"/>
              <w:outlineLvl w:val="0"/>
              <w:rPr>
                <w:rFonts w:hint="eastAsia" w:ascii="仿宋" w:hAnsi="仿宋" w:eastAsia="仿宋" w:cs="仿宋_GB2312"/>
                <w:color w:val="auto"/>
                <w:sz w:val="24"/>
                <w:lang w:eastAsia="zh-CN"/>
              </w:rPr>
            </w:pPr>
            <w:r>
              <w:rPr>
                <w:rFonts w:hint="eastAsia" w:ascii="仿宋" w:hAnsi="仿宋" w:eastAsia="仿宋" w:cs="仿宋_GB2312"/>
                <w:color w:val="auto"/>
                <w:sz w:val="24"/>
              </w:rPr>
              <w:t>4</w:t>
            </w:r>
            <w:r>
              <w:rPr>
                <w:rFonts w:hint="eastAsia" w:ascii="仿宋" w:hAnsi="仿宋" w:eastAsia="仿宋" w:cs="仿宋_GB2312"/>
                <w:color w:val="auto"/>
                <w:sz w:val="24"/>
                <w:lang w:eastAsia="zh-CN"/>
              </w:rPr>
              <w:t>.</w:t>
            </w:r>
            <w:r>
              <w:rPr>
                <w:rFonts w:hint="eastAsia" w:ascii="仿宋" w:hAnsi="仿宋" w:eastAsia="仿宋" w:cs="仿宋_GB2312"/>
                <w:color w:val="auto"/>
                <w:sz w:val="24"/>
              </w:rPr>
              <w:t>投标设备的配件、附件、备品备件的准备和保障措施情况（不允许出现报价），配件、附件、备品备件准备充足，数量内容具体的得2分；配件、附件、备品备件准备一般，数量内容一般的得1分；未体现相关内容的不得分</w:t>
            </w:r>
            <w:r>
              <w:rPr>
                <w:rFonts w:hint="eastAsia" w:ascii="仿宋" w:hAnsi="仿宋" w:eastAsia="仿宋" w:cs="仿宋_GB2312"/>
                <w:color w:val="auto"/>
                <w:sz w:val="24"/>
                <w:lang w:eastAsia="zh-CN"/>
              </w:rPr>
              <w:t>；</w:t>
            </w:r>
            <w:r>
              <w:rPr>
                <w:rFonts w:hint="eastAsia" w:ascii="仿宋" w:hAnsi="仿宋" w:eastAsia="仿宋" w:cs="仿宋_GB2312"/>
                <w:color w:val="auto"/>
                <w:sz w:val="24"/>
              </w:rPr>
              <w:t>0-</w:t>
            </w:r>
            <w:r>
              <w:rPr>
                <w:rFonts w:hint="eastAsia" w:ascii="仿宋" w:hAnsi="仿宋" w:eastAsia="仿宋" w:cs="仿宋_GB2312"/>
                <w:color w:val="auto"/>
                <w:sz w:val="24"/>
                <w:lang w:val="en-US" w:eastAsia="zh-CN"/>
              </w:rPr>
              <w:t>2</w:t>
            </w:r>
            <w:r>
              <w:rPr>
                <w:rFonts w:hint="eastAsia" w:ascii="仿宋" w:hAnsi="仿宋" w:eastAsia="仿宋" w:cs="仿宋_GB2312"/>
                <w:color w:val="auto"/>
                <w:sz w:val="24"/>
              </w:rPr>
              <w:t>分。</w:t>
            </w: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hint="eastAsia" w:ascii="仿宋" w:hAnsi="仿宋" w:eastAsia="仿宋" w:cs="仿宋_GB2312"/>
                <w:color w:val="auto"/>
                <w:sz w:val="24"/>
                <w:lang w:eastAsia="zh-CN"/>
              </w:rPr>
            </w:pPr>
            <w:r>
              <w:rPr>
                <w:rFonts w:hint="eastAsia" w:ascii="仿宋" w:hAnsi="仿宋" w:eastAsia="仿宋" w:cs="仿宋_GB2312"/>
                <w:color w:val="auto"/>
                <w:sz w:val="24"/>
              </w:rPr>
              <w:t>9</w:t>
            </w:r>
          </w:p>
        </w:tc>
        <w:tc>
          <w:tcPr>
            <w:tcW w:w="1200" w:type="pct"/>
            <w:vAlign w:val="center"/>
          </w:tcPr>
          <w:p>
            <w:pPr>
              <w:snapToGri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05" w:type="pct"/>
            <w:vAlign w:val="center"/>
          </w:tcPr>
          <w:p>
            <w:pPr>
              <w:snapToGrid w:val="0"/>
              <w:jc w:val="center"/>
              <w:outlineLvl w:val="0"/>
              <w:rPr>
                <w:rFonts w:hint="default" w:ascii="仿宋" w:hAnsi="仿宋" w:eastAsia="仿宋" w:cs="仿宋_GB2312"/>
                <w:bCs/>
                <w:color w:val="auto"/>
                <w:kern w:val="2"/>
                <w:sz w:val="24"/>
                <w:szCs w:val="24"/>
                <w:lang w:val="en-US" w:eastAsia="zh-CN" w:bidi="ar-SA"/>
              </w:rPr>
            </w:pPr>
            <w:r>
              <w:rPr>
                <w:rFonts w:hint="eastAsia" w:ascii="仿宋" w:hAnsi="仿宋" w:eastAsia="仿宋" w:cs="仿宋_GB2312"/>
                <w:bCs/>
                <w:color w:val="auto"/>
                <w:sz w:val="24"/>
                <w:lang w:val="en-US" w:eastAsia="zh-CN"/>
              </w:rPr>
              <w:t>11</w:t>
            </w:r>
          </w:p>
        </w:tc>
        <w:tc>
          <w:tcPr>
            <w:tcW w:w="2979" w:type="pct"/>
            <w:vAlign w:val="center"/>
          </w:tcPr>
          <w:p>
            <w:pPr>
              <w:snapToGrid w:val="0"/>
              <w:jc w:val="left"/>
              <w:outlineLvl w:val="0"/>
              <w:rPr>
                <w:color w:val="auto"/>
              </w:rPr>
            </w:pPr>
            <w:r>
              <w:rPr>
                <w:rFonts w:hint="eastAsia" w:ascii="仿宋" w:hAnsi="仿宋" w:eastAsia="仿宋" w:cs="仿宋_GB2312"/>
                <w:color w:val="auto"/>
                <w:sz w:val="24"/>
              </w:rPr>
              <w:t>培训方案</w:t>
            </w:r>
            <w:r>
              <w:rPr>
                <w:rFonts w:hint="eastAsia" w:ascii="仿宋" w:hAnsi="仿宋" w:eastAsia="仿宋" w:cs="仿宋_GB2312"/>
                <w:color w:val="auto"/>
                <w:sz w:val="24"/>
                <w:lang w:eastAsia="zh-CN"/>
              </w:rPr>
              <w:t>（计划）内容完善、全面、针对性强</w:t>
            </w:r>
            <w:r>
              <w:rPr>
                <w:rFonts w:hint="eastAsia" w:ascii="仿宋" w:hAnsi="仿宋" w:eastAsia="仿宋" w:cs="仿宋_GB2312"/>
                <w:color w:val="auto"/>
                <w:sz w:val="24"/>
              </w:rPr>
              <w:t>得3分；培训方案</w:t>
            </w:r>
            <w:r>
              <w:rPr>
                <w:rFonts w:hint="eastAsia" w:ascii="仿宋" w:hAnsi="仿宋" w:eastAsia="仿宋" w:cs="仿宋_GB2312"/>
                <w:color w:val="auto"/>
                <w:sz w:val="24"/>
                <w:lang w:eastAsia="zh-CN"/>
              </w:rPr>
              <w:t>（计划）内容基本完善、内容针对性尚可</w:t>
            </w:r>
            <w:r>
              <w:rPr>
                <w:rFonts w:hint="eastAsia" w:ascii="仿宋" w:hAnsi="仿宋" w:eastAsia="仿宋" w:cs="仿宋_GB2312"/>
                <w:color w:val="auto"/>
                <w:sz w:val="24"/>
              </w:rPr>
              <w:t>得</w:t>
            </w:r>
            <w:r>
              <w:rPr>
                <w:rFonts w:hint="eastAsia" w:ascii="仿宋" w:hAnsi="仿宋" w:eastAsia="仿宋" w:cs="仿宋_GB2312"/>
                <w:color w:val="auto"/>
                <w:sz w:val="24"/>
                <w:lang w:val="en-US" w:eastAsia="zh-CN"/>
              </w:rPr>
              <w:t>2</w:t>
            </w:r>
            <w:r>
              <w:rPr>
                <w:rFonts w:hint="eastAsia" w:ascii="仿宋" w:hAnsi="仿宋" w:eastAsia="仿宋" w:cs="仿宋_GB2312"/>
                <w:color w:val="auto"/>
                <w:sz w:val="24"/>
              </w:rPr>
              <w:t>分</w:t>
            </w:r>
            <w:r>
              <w:rPr>
                <w:rFonts w:hint="eastAsia" w:ascii="仿宋" w:hAnsi="仿宋" w:eastAsia="仿宋" w:cs="仿宋_GB2312"/>
                <w:color w:val="auto"/>
                <w:sz w:val="24"/>
                <w:lang w:eastAsia="zh-CN"/>
              </w:rPr>
              <w:t>；</w:t>
            </w:r>
            <w:r>
              <w:rPr>
                <w:rFonts w:hint="eastAsia" w:ascii="仿宋" w:hAnsi="仿宋" w:eastAsia="仿宋" w:cs="仿宋_GB2312"/>
                <w:color w:val="auto"/>
                <w:sz w:val="24"/>
              </w:rPr>
              <w:t>方案</w:t>
            </w:r>
            <w:r>
              <w:rPr>
                <w:rFonts w:hint="eastAsia" w:ascii="仿宋" w:hAnsi="仿宋" w:eastAsia="仿宋" w:cs="仿宋_GB2312"/>
                <w:color w:val="auto"/>
                <w:sz w:val="24"/>
                <w:lang w:eastAsia="zh-CN"/>
              </w:rPr>
              <w:t>（计划）内容一般、针对性弱</w:t>
            </w:r>
            <w:r>
              <w:rPr>
                <w:rFonts w:hint="eastAsia" w:ascii="仿宋" w:hAnsi="仿宋" w:eastAsia="仿宋" w:cs="仿宋_GB2312"/>
                <w:color w:val="auto"/>
                <w:sz w:val="24"/>
              </w:rPr>
              <w:t>得</w:t>
            </w:r>
            <w:r>
              <w:rPr>
                <w:rFonts w:hint="eastAsia" w:ascii="仿宋" w:hAnsi="仿宋" w:eastAsia="仿宋" w:cs="仿宋_GB2312"/>
                <w:color w:val="auto"/>
                <w:sz w:val="24"/>
                <w:lang w:val="en-US" w:eastAsia="zh-CN"/>
              </w:rPr>
              <w:t>1</w:t>
            </w:r>
            <w:r>
              <w:rPr>
                <w:rFonts w:hint="eastAsia" w:ascii="仿宋" w:hAnsi="仿宋" w:eastAsia="仿宋" w:cs="仿宋_GB2312"/>
                <w:color w:val="auto"/>
                <w:sz w:val="24"/>
              </w:rPr>
              <w:t>分；方案</w:t>
            </w:r>
            <w:r>
              <w:rPr>
                <w:rFonts w:hint="eastAsia" w:ascii="仿宋" w:hAnsi="仿宋" w:eastAsia="仿宋" w:cs="仿宋_GB2312"/>
                <w:color w:val="auto"/>
                <w:sz w:val="24"/>
                <w:lang w:eastAsia="zh-CN"/>
              </w:rPr>
              <w:t>（计划）内容</w:t>
            </w:r>
            <w:r>
              <w:rPr>
                <w:rFonts w:hint="eastAsia" w:ascii="仿宋" w:hAnsi="仿宋" w:eastAsia="仿宋" w:cs="仿宋_GB2312"/>
                <w:color w:val="auto"/>
                <w:sz w:val="24"/>
              </w:rPr>
              <w:t>不具有针对性的不得分。</w:t>
            </w: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3</w:t>
            </w:r>
          </w:p>
        </w:tc>
        <w:tc>
          <w:tcPr>
            <w:tcW w:w="1200" w:type="pct"/>
            <w:vAlign w:val="center"/>
          </w:tcPr>
          <w:p>
            <w:pPr>
              <w:snapToGri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05" w:type="pct"/>
            <w:vAlign w:val="center"/>
          </w:tcPr>
          <w:p>
            <w:pPr>
              <w:snapToGrid w:val="0"/>
              <w:jc w:val="center"/>
              <w:outlineLvl w:val="0"/>
              <w:rPr>
                <w:rFonts w:hint="default" w:ascii="仿宋" w:hAnsi="仿宋" w:eastAsia="仿宋" w:cs="仿宋_GB2312"/>
                <w:bCs/>
                <w:color w:val="auto"/>
                <w:kern w:val="2"/>
                <w:sz w:val="24"/>
                <w:szCs w:val="24"/>
                <w:lang w:val="en-US" w:eastAsia="zh-CN" w:bidi="ar-SA"/>
              </w:rPr>
            </w:pPr>
            <w:r>
              <w:rPr>
                <w:rFonts w:hint="eastAsia" w:ascii="仿宋" w:hAnsi="仿宋" w:eastAsia="仿宋" w:cs="仿宋_GB2312"/>
                <w:bCs/>
                <w:color w:val="auto"/>
                <w:sz w:val="24"/>
                <w:lang w:val="en-US" w:eastAsia="zh-CN"/>
              </w:rPr>
              <w:t>12</w:t>
            </w:r>
          </w:p>
        </w:tc>
        <w:tc>
          <w:tcPr>
            <w:tcW w:w="2979"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lang w:eastAsia="zh-CN"/>
              </w:rPr>
              <w:t>为保障培训质量，</w:t>
            </w:r>
            <w:r>
              <w:rPr>
                <w:rFonts w:hint="eastAsia" w:ascii="仿宋" w:hAnsi="仿宋" w:eastAsia="仿宋" w:cs="仿宋_GB2312"/>
                <w:color w:val="auto"/>
                <w:sz w:val="24"/>
                <w:lang w:val="en-US" w:eastAsia="zh-CN"/>
              </w:rPr>
              <w:t>投标人所落实的相关措施、保障方案，</w:t>
            </w:r>
            <w:r>
              <w:rPr>
                <w:rFonts w:hint="eastAsia" w:ascii="仿宋" w:hAnsi="仿宋" w:eastAsia="仿宋" w:cs="仿宋_GB2312"/>
                <w:color w:val="auto"/>
                <w:sz w:val="24"/>
                <w:lang w:eastAsia="zh-CN"/>
              </w:rPr>
              <w:t>针对性强的得</w:t>
            </w:r>
            <w:r>
              <w:rPr>
                <w:rFonts w:hint="eastAsia" w:ascii="仿宋" w:hAnsi="仿宋" w:eastAsia="仿宋" w:cs="仿宋_GB2312"/>
                <w:color w:val="auto"/>
                <w:sz w:val="24"/>
                <w:lang w:val="en-US" w:eastAsia="zh-CN"/>
              </w:rPr>
              <w:t>2</w:t>
            </w:r>
            <w:r>
              <w:rPr>
                <w:rFonts w:hint="eastAsia" w:ascii="仿宋" w:hAnsi="仿宋" w:eastAsia="仿宋" w:cs="仿宋_GB2312"/>
                <w:color w:val="auto"/>
                <w:sz w:val="24"/>
                <w:lang w:eastAsia="zh-CN"/>
              </w:rPr>
              <w:t>分；针对性一般得1分；不具有针对性的不得分。</w:t>
            </w: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lang w:val="en-US" w:eastAsia="zh-CN"/>
              </w:rPr>
              <w:t>2</w:t>
            </w:r>
          </w:p>
        </w:tc>
        <w:tc>
          <w:tcPr>
            <w:tcW w:w="1200" w:type="pct"/>
            <w:vAlign w:val="center"/>
          </w:tcPr>
          <w:p>
            <w:pPr>
              <w:snapToGri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05" w:type="pct"/>
            <w:vAlign w:val="center"/>
          </w:tcPr>
          <w:p>
            <w:pPr>
              <w:snapToGrid w:val="0"/>
              <w:jc w:val="center"/>
              <w:outlineLvl w:val="0"/>
              <w:rPr>
                <w:rFonts w:hint="default" w:ascii="仿宋" w:hAnsi="仿宋" w:eastAsia="仿宋" w:cs="仿宋_GB2312"/>
                <w:bCs/>
                <w:color w:val="auto"/>
                <w:kern w:val="2"/>
                <w:sz w:val="24"/>
                <w:szCs w:val="24"/>
                <w:lang w:val="en-US" w:eastAsia="zh-CN" w:bidi="ar-SA"/>
              </w:rPr>
            </w:pPr>
            <w:r>
              <w:rPr>
                <w:rFonts w:hint="eastAsia" w:ascii="仿宋" w:hAnsi="仿宋" w:eastAsia="仿宋" w:cs="仿宋_GB2312"/>
                <w:bCs/>
                <w:color w:val="auto"/>
                <w:sz w:val="24"/>
                <w:lang w:val="en-US" w:eastAsia="zh-CN"/>
              </w:rPr>
              <w:t>13</w:t>
            </w:r>
          </w:p>
        </w:tc>
        <w:tc>
          <w:tcPr>
            <w:tcW w:w="2979" w:type="pct"/>
            <w:vAlign w:val="center"/>
          </w:tcPr>
          <w:p>
            <w:pPr>
              <w:snapToGrid w:val="0"/>
              <w:jc w:val="left"/>
              <w:outlineLvl w:val="0"/>
              <w:rPr>
                <w:rFonts w:hint="eastAsia" w:ascii="仿宋" w:hAnsi="仿宋" w:eastAsia="仿宋" w:cs="仿宋_GB2312"/>
                <w:color w:val="auto"/>
                <w:sz w:val="24"/>
                <w:lang w:eastAsia="zh-CN"/>
              </w:rPr>
            </w:pPr>
            <w:r>
              <w:rPr>
                <w:rFonts w:hint="eastAsia" w:ascii="仿宋" w:hAnsi="仿宋" w:eastAsia="仿宋" w:cs="仿宋_GB2312"/>
                <w:color w:val="auto"/>
                <w:sz w:val="24"/>
              </w:rPr>
              <w:t>调试验收：根据项目实施要求，投标人提供的调试验收配合工作内容针对性强得</w:t>
            </w:r>
            <w:r>
              <w:rPr>
                <w:rFonts w:hint="eastAsia" w:ascii="仿宋" w:hAnsi="仿宋" w:eastAsia="仿宋" w:cs="仿宋_GB2312"/>
                <w:color w:val="auto"/>
                <w:sz w:val="24"/>
                <w:lang w:val="en-US" w:eastAsia="zh-CN"/>
              </w:rPr>
              <w:t>2</w:t>
            </w:r>
            <w:r>
              <w:rPr>
                <w:rFonts w:hint="eastAsia" w:ascii="仿宋" w:hAnsi="仿宋" w:eastAsia="仿宋" w:cs="仿宋_GB2312"/>
                <w:color w:val="auto"/>
                <w:sz w:val="24"/>
              </w:rPr>
              <w:t>分；内容针对性一般得1分；内容缺失未体现的不得分。</w:t>
            </w:r>
            <w:r>
              <w:rPr>
                <w:rFonts w:hint="eastAsia" w:ascii="仿宋" w:hAnsi="仿宋" w:eastAsia="仿宋" w:cs="仿宋"/>
                <w:color w:val="auto"/>
                <w:sz w:val="24"/>
                <w:lang w:eastAsia="zh-CN"/>
              </w:rPr>
              <w:t>【主</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2</w:t>
            </w:r>
          </w:p>
        </w:tc>
        <w:tc>
          <w:tcPr>
            <w:tcW w:w="1200" w:type="pct"/>
            <w:vAlign w:val="center"/>
          </w:tcPr>
          <w:p>
            <w:pPr>
              <w:snapToGri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05" w:type="pct"/>
            <w:vAlign w:val="center"/>
          </w:tcPr>
          <w:p>
            <w:pPr>
              <w:snapToGrid w:val="0"/>
              <w:jc w:val="center"/>
              <w:outlineLvl w:val="0"/>
              <w:rPr>
                <w:rFonts w:hint="default" w:ascii="仿宋" w:hAnsi="仿宋" w:eastAsia="仿宋" w:cs="仿宋_GB2312"/>
                <w:bCs/>
                <w:color w:val="auto"/>
                <w:kern w:val="2"/>
                <w:sz w:val="24"/>
                <w:szCs w:val="24"/>
                <w:lang w:val="en-US" w:eastAsia="zh-CN" w:bidi="ar-SA"/>
              </w:rPr>
            </w:pPr>
            <w:r>
              <w:rPr>
                <w:rFonts w:hint="eastAsia" w:ascii="仿宋" w:hAnsi="仿宋" w:eastAsia="仿宋" w:cs="仿宋_GB2312"/>
                <w:bCs/>
                <w:color w:val="auto"/>
                <w:sz w:val="24"/>
                <w:lang w:val="en-US" w:eastAsia="zh-CN"/>
              </w:rPr>
              <w:t>14</w:t>
            </w:r>
          </w:p>
        </w:tc>
        <w:tc>
          <w:tcPr>
            <w:tcW w:w="2979"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政策功能：1、提供投标产品环境标志产品认证证书的（有效期内），得0.5分；</w:t>
            </w:r>
          </w:p>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2、提供投标产品节能产品认证证书的（有效期内），得0.5分。</w:t>
            </w:r>
            <w:r>
              <w:rPr>
                <w:rFonts w:hint="eastAsia" w:ascii="仿宋" w:hAnsi="仿宋" w:eastAsia="仿宋" w:cs="仿宋"/>
                <w:color w:val="auto"/>
                <w:sz w:val="24"/>
                <w:lang w:eastAsia="zh-CN"/>
              </w:rPr>
              <w:t>【客</w:t>
            </w:r>
            <w:r>
              <w:rPr>
                <w:rFonts w:hint="eastAsia" w:ascii="仿宋" w:hAnsi="仿宋" w:eastAsia="仿宋" w:cs="仿宋"/>
                <w:color w:val="auto"/>
                <w:sz w:val="24"/>
                <w:lang w:val="en-US" w:eastAsia="zh-CN"/>
              </w:rPr>
              <w:t>观分</w:t>
            </w:r>
            <w:r>
              <w:rPr>
                <w:rFonts w:hint="eastAsia" w:ascii="仿宋" w:hAnsi="仿宋" w:eastAsia="仿宋" w:cs="仿宋"/>
                <w:color w:val="auto"/>
                <w:sz w:val="24"/>
                <w:lang w:eastAsia="zh-CN"/>
              </w:rPr>
              <w:t>】</w:t>
            </w:r>
          </w:p>
        </w:tc>
        <w:tc>
          <w:tcPr>
            <w:tcW w:w="414" w:type="pct"/>
            <w:vAlign w:val="center"/>
          </w:tcPr>
          <w:p>
            <w:pPr>
              <w:snapToGrid w:val="0"/>
              <w:jc w:val="left"/>
              <w:outlineLvl w:val="0"/>
              <w:rPr>
                <w:rFonts w:hint="eastAsia" w:ascii="仿宋" w:hAnsi="仿宋" w:eastAsia="仿宋" w:cs="仿宋_GB2312"/>
                <w:color w:val="auto"/>
                <w:sz w:val="24"/>
                <w:lang w:val="en-US" w:eastAsia="zh-CN"/>
              </w:rPr>
            </w:pPr>
            <w:r>
              <w:rPr>
                <w:rFonts w:hint="eastAsia" w:ascii="仿宋" w:hAnsi="仿宋" w:eastAsia="仿宋" w:cs="仿宋_GB2312"/>
                <w:color w:val="auto"/>
                <w:sz w:val="24"/>
              </w:rPr>
              <w:t>1</w:t>
            </w:r>
          </w:p>
        </w:tc>
        <w:tc>
          <w:tcPr>
            <w:tcW w:w="1200" w:type="pct"/>
            <w:vAlign w:val="center"/>
          </w:tcPr>
          <w:p>
            <w:pPr>
              <w:snapToGri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05" w:type="pct"/>
            <w:vAlign w:val="center"/>
          </w:tcPr>
          <w:p>
            <w:pPr>
              <w:snapToGrid w:val="0"/>
              <w:jc w:val="center"/>
              <w:outlineLvl w:val="0"/>
              <w:rPr>
                <w:rFonts w:hint="default" w:ascii="仿宋" w:hAnsi="仿宋" w:eastAsia="仿宋" w:cs="仿宋_GB2312"/>
                <w:bCs/>
                <w:color w:val="auto"/>
                <w:sz w:val="24"/>
                <w:lang w:val="en-US" w:eastAsia="zh-CN"/>
              </w:rPr>
            </w:pPr>
            <w:r>
              <w:rPr>
                <w:rFonts w:hint="eastAsia" w:ascii="仿宋" w:hAnsi="仿宋" w:eastAsia="仿宋" w:cs="仿宋_GB2312"/>
                <w:bCs/>
                <w:color w:val="auto"/>
                <w:sz w:val="24"/>
                <w:lang w:val="en-US" w:eastAsia="zh-CN"/>
              </w:rPr>
              <w:t>15</w:t>
            </w:r>
          </w:p>
        </w:tc>
        <w:tc>
          <w:tcPr>
            <w:tcW w:w="2979"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有效投标报价的最低价作为评标基准价，其最低报价为满分；按［投标报价得分=（评标基准价/投标报价）*30］的计算公式计算。</w:t>
            </w:r>
          </w:p>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评标过程中，不得去掉报价中的最高报价和最低报价。</w:t>
            </w:r>
          </w:p>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因落实政府采购政策需要进行价格调整的，以调整后的价格计算评标基准价和投标报价。</w:t>
            </w:r>
          </w:p>
        </w:tc>
        <w:tc>
          <w:tcPr>
            <w:tcW w:w="414" w:type="pct"/>
            <w:vAlign w:val="center"/>
          </w:tcPr>
          <w:p>
            <w:pPr>
              <w:snapToGrid w:val="0"/>
              <w:jc w:val="left"/>
              <w:outlineLvl w:val="0"/>
              <w:rPr>
                <w:rFonts w:ascii="仿宋" w:hAnsi="仿宋" w:eastAsia="仿宋" w:cs="仿宋_GB2312"/>
                <w:color w:val="auto"/>
                <w:sz w:val="24"/>
              </w:rPr>
            </w:pPr>
            <w:r>
              <w:rPr>
                <w:rFonts w:hint="eastAsia" w:ascii="仿宋" w:hAnsi="仿宋" w:eastAsia="仿宋" w:cs="仿宋_GB2312"/>
                <w:color w:val="auto"/>
                <w:sz w:val="24"/>
              </w:rPr>
              <w:t>30</w:t>
            </w:r>
          </w:p>
        </w:tc>
        <w:tc>
          <w:tcPr>
            <w:tcW w:w="1200" w:type="pct"/>
            <w:vAlign w:val="center"/>
          </w:tcPr>
          <w:p>
            <w:pPr>
              <w:snapToGrid w:val="0"/>
              <w:jc w:val="center"/>
              <w:outlineLvl w:val="0"/>
              <w:rPr>
                <w:color w:val="auto"/>
              </w:rPr>
            </w:pPr>
            <w:r>
              <w:rPr>
                <w:rFonts w:ascii="仿宋" w:hAnsi="仿宋" w:eastAsia="仿宋" w:cs="仿宋_GB2312"/>
                <w:color w:val="auto"/>
                <w:sz w:val="24"/>
              </w:rPr>
              <w:t>/</w:t>
            </w:r>
          </w:p>
        </w:tc>
      </w:tr>
    </w:tbl>
    <w:p>
      <w:pPr>
        <w:snapToGrid w:val="0"/>
        <w:spacing w:line="360" w:lineRule="auto"/>
        <w:rPr>
          <w:rFonts w:ascii="Arial" w:hAnsi="Arial" w:cs="Arial"/>
          <w:color w:val="auto"/>
          <w:sz w:val="20"/>
          <w:szCs w:val="20"/>
          <w:shd w:val="clear" w:color="auto" w:fill="FFFFFF"/>
        </w:rPr>
      </w:pPr>
    </w:p>
    <w:p>
      <w:pPr>
        <w:snapToGrid w:val="0"/>
        <w:spacing w:line="360" w:lineRule="auto"/>
        <w:rPr>
          <w:rFonts w:ascii="仿宋" w:hAnsi="仿宋" w:eastAsia="仿宋" w:cs="仿宋_GB2312"/>
          <w:b/>
          <w:color w:val="auto"/>
          <w:sz w:val="24"/>
        </w:rPr>
      </w:pPr>
      <w:r>
        <w:rPr>
          <w:rFonts w:ascii="Arial" w:hAnsi="Arial" w:cs="Arial"/>
          <w:color w:val="auto"/>
          <w:sz w:val="20"/>
          <w:szCs w:val="20"/>
          <w:shd w:val="clear" w:color="auto" w:fill="FFFFFF"/>
        </w:rPr>
        <w:t> *</w:t>
      </w:r>
      <w:r>
        <w:rPr>
          <w:rFonts w:hint="eastAsia" w:ascii="仿宋" w:hAnsi="仿宋" w:eastAsia="仿宋" w:cs="仿宋_GB2312"/>
          <w:b/>
          <w:color w:val="auto"/>
          <w:sz w:val="24"/>
        </w:rPr>
        <w:t>备注：</w:t>
      </w:r>
      <w:r>
        <w:rPr>
          <w:rFonts w:hint="eastAsia" w:ascii="仿宋" w:hAnsi="仿宋" w:eastAsia="仿宋" w:cs="仿宋_GB2312"/>
          <w:color w:val="auto"/>
          <w:sz w:val="24"/>
        </w:rPr>
        <w:t>投标人编制投标文件（商务技术文件部分）时，建议按此目录（序号和内容）提供评标标准相应的商务技术资料。</w:t>
      </w:r>
      <w:r>
        <w:rPr>
          <w:rFonts w:ascii="仿宋" w:hAnsi="仿宋" w:eastAsia="仿宋" w:cs="仿宋_GB2312"/>
          <w:color w:val="auto"/>
          <w:sz w:val="24"/>
        </w:rPr>
        <w:t> </w:t>
      </w:r>
    </w:p>
    <w:p>
      <w:pPr>
        <w:rPr>
          <w:rFonts w:ascii="仿宋_GB2312" w:hAnsi="仿宋" w:eastAsia="仿宋_GB2312" w:cs="仿宋_GB2312"/>
          <w:b/>
          <w:color w:val="auto"/>
          <w:sz w:val="32"/>
        </w:rPr>
      </w:pPr>
      <w:r>
        <w:rPr>
          <w:rFonts w:hint="eastAsia" w:ascii="仿宋_GB2312" w:hAnsi="仿宋" w:eastAsia="仿宋_GB2312" w:cs="仿宋_GB2312"/>
          <w:b/>
          <w:color w:val="auto"/>
          <w:sz w:val="32"/>
        </w:rPr>
        <w:br w:type="page"/>
      </w:r>
    </w:p>
    <w:p>
      <w:pPr>
        <w:snapToGrid w:val="0"/>
        <w:spacing w:line="360" w:lineRule="auto"/>
        <w:rPr>
          <w:rFonts w:ascii="仿宋_GB2312" w:hAnsi="仿宋" w:eastAsia="仿宋_GB2312"/>
          <w:b/>
          <w:color w:val="auto"/>
          <w:sz w:val="28"/>
          <w:szCs w:val="28"/>
        </w:rPr>
      </w:pPr>
      <w:r>
        <w:rPr>
          <w:rFonts w:hint="eastAsia" w:ascii="仿宋_GB2312" w:hAnsi="仿宋" w:eastAsia="仿宋_GB2312" w:cs="仿宋_GB2312"/>
          <w:b/>
          <w:color w:val="auto"/>
          <w:sz w:val="32"/>
        </w:rPr>
        <w:t>一、评标方法</w:t>
      </w:r>
    </w:p>
    <w:p>
      <w:pPr>
        <w:adjustRightInd/>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1.</w:t>
      </w:r>
      <w:r>
        <w:rPr>
          <w:rFonts w:hint="eastAsia" w:ascii="仿宋_GB2312" w:hAnsi="仿宋" w:eastAsia="仿宋_GB2312" w:cs="Arial"/>
          <w:b/>
          <w:color w:val="auto"/>
          <w:kern w:val="0"/>
          <w:sz w:val="24"/>
        </w:rPr>
        <w:t>本项目采用综合评分法。</w:t>
      </w:r>
      <w:r>
        <w:rPr>
          <w:rFonts w:hint="eastAsia" w:ascii="仿宋_GB2312" w:hAnsi="仿宋" w:eastAsia="仿宋_GB2312" w:cs="Arial"/>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rPr>
      </w:pPr>
      <w:r>
        <w:rPr>
          <w:rFonts w:hint="eastAsia" w:ascii="仿宋_GB2312" w:hAnsi="仿宋" w:eastAsia="仿宋_GB2312" w:cs="仿宋_GB2312"/>
          <w:b/>
          <w:color w:val="auto"/>
          <w:sz w:val="32"/>
        </w:rPr>
        <w:t>二、评标标准</w:t>
      </w:r>
    </w:p>
    <w:p>
      <w:pPr>
        <w:spacing w:line="360" w:lineRule="auto"/>
        <w:ind w:firstLine="472" w:firstLineChars="196"/>
        <w:rPr>
          <w:rFonts w:ascii="仿宋_GB2312" w:hAnsi="仿宋_GB2312" w:eastAsia="仿宋_GB2312" w:cs="仿宋_GB2312"/>
          <w:b/>
          <w:color w:val="auto"/>
          <w:sz w:val="24"/>
        </w:rPr>
      </w:pPr>
      <w:r>
        <w:rPr>
          <w:rFonts w:ascii="仿宋_GB2312" w:hAnsi="仿宋_GB2312" w:eastAsia="仿宋_GB2312" w:cs="仿宋_GB2312"/>
          <w:b/>
          <w:color w:val="auto"/>
          <w:sz w:val="24"/>
        </w:rPr>
        <w:t>2.</w:t>
      </w:r>
      <w:r>
        <w:rPr>
          <w:color w:val="auto"/>
        </w:rPr>
        <w:t xml:space="preserve"> </w:t>
      </w:r>
      <w:r>
        <w:rPr>
          <w:rFonts w:hint="eastAsia" w:ascii="仿宋_GB2312" w:hAnsi="仿宋_GB2312" w:eastAsia="仿宋_GB2312" w:cs="仿宋_GB2312"/>
          <w:b/>
          <w:color w:val="auto"/>
          <w:sz w:val="24"/>
        </w:rPr>
        <w:t>评标标准：</w:t>
      </w:r>
      <w:r>
        <w:rPr>
          <w:rFonts w:hint="eastAsia" w:ascii="仿宋_GB2312" w:hAnsi="仿宋" w:eastAsia="仿宋_GB2312" w:cs="Arial"/>
          <w:color w:val="auto"/>
          <w:kern w:val="0"/>
          <w:sz w:val="24"/>
        </w:rPr>
        <w:t>见评标办法前附表。</w:t>
      </w:r>
    </w:p>
    <w:p>
      <w:pPr>
        <w:spacing w:line="360" w:lineRule="auto"/>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三、评标程序</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3.1符合性审查。</w:t>
      </w:r>
      <w:r>
        <w:rPr>
          <w:rFonts w:ascii="仿宋_GB2312" w:hAnsi="仿宋" w:eastAsia="仿宋_GB2312" w:cs="Arial"/>
          <w:color w:val="auto"/>
          <w:kern w:val="0"/>
          <w:sz w:val="24"/>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rPr>
        <w:t>不</w:t>
      </w:r>
      <w:r>
        <w:rPr>
          <w:rFonts w:ascii="仿宋_GB2312" w:hAnsi="仿宋" w:eastAsia="仿宋_GB2312" w:cs="Arial"/>
          <w:color w:val="auto"/>
          <w:kern w:val="0"/>
          <w:sz w:val="24"/>
        </w:rPr>
        <w:t>满足招标文件的实质性要求</w:t>
      </w:r>
      <w:r>
        <w:rPr>
          <w:rFonts w:hint="eastAsia" w:ascii="仿宋_GB2312" w:hAnsi="仿宋" w:eastAsia="仿宋_GB2312" w:cs="Arial"/>
          <w:color w:val="auto"/>
          <w:kern w:val="0"/>
          <w:sz w:val="24"/>
        </w:rPr>
        <w:t>的，投标无效。</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 xml:space="preserve">3.2 </w:t>
      </w:r>
      <w:r>
        <w:rPr>
          <w:rFonts w:hint="eastAsia" w:ascii="仿宋_GB2312" w:hAnsi="仿宋" w:eastAsia="仿宋_GB2312" w:cs="Arial"/>
          <w:b/>
          <w:color w:val="auto"/>
          <w:kern w:val="0"/>
          <w:sz w:val="24"/>
        </w:rPr>
        <w:t>比较与评价。</w:t>
      </w:r>
      <w:r>
        <w:rPr>
          <w:rFonts w:ascii="仿宋_GB2312" w:hAnsi="仿宋" w:eastAsia="仿宋_GB2312" w:cs="Arial"/>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3.3汇总商务技术得分。</w:t>
      </w:r>
      <w:r>
        <w:rPr>
          <w:rFonts w:hint="eastAsia" w:ascii="仿宋_GB2312" w:hAnsi="仿宋" w:eastAsia="仿宋_GB2312" w:cs="Arial"/>
          <w:color w:val="auto"/>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rPr>
      </w:pPr>
      <w:r>
        <w:rPr>
          <w:rFonts w:ascii="仿宋_GB2312" w:hAnsi="仿宋" w:eastAsia="仿宋_GB2312" w:cs="Arial"/>
          <w:b/>
          <w:color w:val="auto"/>
          <w:kern w:val="0"/>
          <w:sz w:val="24"/>
        </w:rPr>
        <w:t>3.4报价评审。</w:t>
      </w:r>
    </w:p>
    <w:p>
      <w:pPr>
        <w:pStyle w:val="128"/>
        <w:spacing w:before="0"/>
        <w:ind w:firstLine="508" w:firstLineChars="212"/>
        <w:rPr>
          <w:rFonts w:ascii="仿宋_GB2312" w:hAnsi="仿宋" w:eastAsia="仿宋_GB2312" w:cs="Arial"/>
          <w:color w:val="auto"/>
          <w:kern w:val="0"/>
        </w:rPr>
      </w:pPr>
      <w:r>
        <w:rPr>
          <w:rFonts w:ascii="仿宋_GB2312" w:hAnsi="仿宋" w:eastAsia="仿宋_GB2312" w:cs="Arial"/>
          <w:color w:val="auto"/>
          <w:kern w:val="0"/>
        </w:rPr>
        <w:t>3.4.1投标文件报价出现前后不一致的，按照下列规定修正：</w:t>
      </w:r>
    </w:p>
    <w:p>
      <w:pPr>
        <w:pStyle w:val="128"/>
        <w:spacing w:before="0"/>
        <w:ind w:firstLine="480"/>
        <w:rPr>
          <w:rFonts w:ascii="仿宋" w:hAnsi="仿宋" w:eastAsia="仿宋" w:cs="仿宋"/>
          <w:color w:val="auto"/>
          <w:kern w:val="0"/>
          <w:szCs w:val="24"/>
        </w:rPr>
      </w:pPr>
      <w:r>
        <w:rPr>
          <w:rFonts w:ascii="仿宋" w:hAnsi="仿宋" w:eastAsia="仿宋" w:cs="仿宋"/>
          <w:color w:val="auto"/>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color w:val="auto"/>
          <w:kern w:val="0"/>
          <w:szCs w:val="24"/>
        </w:rPr>
      </w:pPr>
      <w:r>
        <w:rPr>
          <w:rFonts w:ascii="仿宋" w:hAnsi="仿宋" w:eastAsia="仿宋" w:cs="仿宋"/>
          <w:color w:val="auto"/>
          <w:kern w:val="0"/>
          <w:szCs w:val="24"/>
        </w:rPr>
        <w:t>3.4.1.2大写金额和小写金额不一致的，以大写金额为准;</w:t>
      </w:r>
    </w:p>
    <w:p>
      <w:pPr>
        <w:pStyle w:val="128"/>
        <w:spacing w:before="0"/>
        <w:ind w:firstLine="480"/>
        <w:rPr>
          <w:rFonts w:ascii="仿宋" w:hAnsi="仿宋" w:eastAsia="仿宋" w:cs="仿宋"/>
          <w:color w:val="auto"/>
          <w:kern w:val="0"/>
          <w:szCs w:val="24"/>
        </w:rPr>
      </w:pPr>
      <w:r>
        <w:rPr>
          <w:rFonts w:ascii="仿宋" w:hAnsi="仿宋" w:eastAsia="仿宋" w:cs="仿宋"/>
          <w:color w:val="auto"/>
          <w:kern w:val="0"/>
          <w:szCs w:val="24"/>
        </w:rPr>
        <w:t>3.4.1.3单价金额小数点或者百分比有明显错位的，以开标一览表的总价为准，并修改单价;</w:t>
      </w:r>
    </w:p>
    <w:p>
      <w:pPr>
        <w:pStyle w:val="128"/>
        <w:spacing w:before="0"/>
        <w:ind w:firstLine="480"/>
        <w:rPr>
          <w:rFonts w:ascii="仿宋" w:hAnsi="仿宋" w:eastAsia="仿宋" w:cs="仿宋"/>
          <w:color w:val="auto"/>
          <w:kern w:val="0"/>
          <w:szCs w:val="24"/>
        </w:rPr>
      </w:pPr>
      <w:r>
        <w:rPr>
          <w:rFonts w:ascii="仿宋" w:hAnsi="仿宋" w:eastAsia="仿宋" w:cs="仿宋"/>
          <w:color w:val="auto"/>
          <w:kern w:val="0"/>
          <w:szCs w:val="24"/>
        </w:rPr>
        <w:t>3.4.1.4总价金额与按单价汇总金额不一致的，以单价金额计算结果为准。</w:t>
      </w:r>
    </w:p>
    <w:p>
      <w:pPr>
        <w:pStyle w:val="128"/>
        <w:spacing w:before="0"/>
        <w:ind w:firstLine="480"/>
        <w:rPr>
          <w:rFonts w:ascii="仿宋" w:hAnsi="仿宋" w:eastAsia="仿宋" w:cs="仿宋"/>
          <w:color w:val="auto"/>
          <w:kern w:val="0"/>
          <w:szCs w:val="24"/>
        </w:rPr>
      </w:pPr>
      <w:r>
        <w:rPr>
          <w:rFonts w:ascii="仿宋" w:hAnsi="仿宋" w:eastAsia="仿宋" w:cs="仿宋"/>
          <w:color w:val="auto"/>
          <w:kern w:val="0"/>
          <w:szCs w:val="24"/>
        </w:rPr>
        <w:t>3.4.1.5同时出现两种以上不一致的，按照3.4.1</w:t>
      </w:r>
      <w:r>
        <w:rPr>
          <w:rFonts w:hint="eastAsia" w:ascii="仿宋" w:hAnsi="仿宋" w:eastAsia="仿宋" w:cs="仿宋"/>
          <w:color w:val="auto"/>
          <w:kern w:val="0"/>
          <w:szCs w:val="24"/>
        </w:rPr>
        <w:t>规定的顺序修正。修正后的报价按照财政部第</w:t>
      </w:r>
      <w:r>
        <w:rPr>
          <w:rFonts w:ascii="仿宋" w:hAnsi="仿宋" w:eastAsia="仿宋" w:cs="仿宋"/>
          <w:color w:val="auto"/>
          <w:kern w:val="0"/>
          <w:szCs w:val="24"/>
        </w:rPr>
        <w:t xml:space="preserve">87号令 </w:t>
      </w:r>
      <w:r>
        <w:rPr>
          <w:rFonts w:hint="eastAsia" w:ascii="仿宋" w:hAnsi="仿宋" w:eastAsia="仿宋" w:cs="仿宋"/>
          <w:color w:val="auto"/>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3.4.2</w:t>
      </w:r>
      <w:r>
        <w:rPr>
          <w:rFonts w:hint="eastAsia" w:ascii="仿宋" w:hAnsi="仿宋" w:eastAsia="仿宋" w:cs="仿宋"/>
          <w:color w:val="auto"/>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3.4.3</w:t>
      </w:r>
      <w:r>
        <w:rPr>
          <w:rFonts w:hint="eastAsia" w:ascii="仿宋" w:hAnsi="仿宋" w:eastAsia="仿宋" w:cs="仿宋"/>
          <w:color w:val="auto"/>
          <w:kern w:val="0"/>
          <w:sz w:val="24"/>
        </w:rPr>
        <w:t>投标报价超过招标文件中规定的预算金额或者最高限价的，投标无效。</w:t>
      </w:r>
    </w:p>
    <w:p>
      <w:pPr>
        <w:pStyle w:val="128"/>
        <w:spacing w:before="0"/>
        <w:ind w:firstLine="480"/>
        <w:rPr>
          <w:rFonts w:ascii="仿宋" w:hAnsi="仿宋" w:eastAsia="仿宋" w:cs="仿宋"/>
          <w:color w:val="auto"/>
          <w:kern w:val="0"/>
          <w:szCs w:val="24"/>
        </w:rPr>
      </w:pPr>
      <w:r>
        <w:rPr>
          <w:rFonts w:ascii="仿宋" w:hAnsi="仿宋" w:eastAsia="仿宋" w:cs="仿宋"/>
          <w:color w:val="auto"/>
          <w:kern w:val="0"/>
          <w:szCs w:val="24"/>
        </w:rPr>
        <w:t>3.4.4</w:t>
      </w:r>
      <w:r>
        <w:rPr>
          <w:rFonts w:hint="eastAsia" w:ascii="仿宋" w:hAnsi="仿宋" w:eastAsia="仿宋" w:cs="仿宋"/>
          <w:color w:val="auto"/>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rPr>
        <w:t>;投标人不能证明其报价合理性的，评标委员会应当将其作为无效投标处理。</w:t>
      </w:r>
    </w:p>
    <w:p>
      <w:pPr>
        <w:pStyle w:val="128"/>
        <w:spacing w:before="0"/>
        <w:ind w:firstLine="480"/>
        <w:rPr>
          <w:rFonts w:ascii="仿宋" w:hAnsi="仿宋" w:eastAsia="仿宋" w:cs="仿宋"/>
          <w:color w:val="auto"/>
          <w:kern w:val="0"/>
          <w:szCs w:val="24"/>
        </w:rPr>
      </w:pPr>
      <w:r>
        <w:rPr>
          <w:rFonts w:ascii="仿宋" w:hAnsi="仿宋" w:eastAsia="仿宋" w:cs="仿宋"/>
          <w:color w:val="auto"/>
          <w:kern w:val="0"/>
          <w:szCs w:val="24"/>
        </w:rPr>
        <w:t>3.4.5</w:t>
      </w:r>
      <w:r>
        <w:rPr>
          <w:rFonts w:hint="eastAsia" w:ascii="仿宋" w:hAnsi="仿宋" w:eastAsia="仿宋" w:cs="仿宋"/>
          <w:color w:val="auto"/>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rPr>
        <w:t>10%的扣除，用扣除后的价格参与评审。接受大中型企业与小</w:t>
      </w:r>
      <w:r>
        <w:rPr>
          <w:rFonts w:hint="eastAsia" w:ascii="仿宋" w:hAnsi="仿宋" w:eastAsia="仿宋" w:cs="仿宋"/>
          <w:color w:val="auto"/>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rPr>
        <w:t>30%以上的，对联合体或者大中型企业的报价给予3%的扣除，用扣除后的价格参加评审。组成联合体或者接受分包的小</w:t>
      </w:r>
      <w:r>
        <w:rPr>
          <w:rFonts w:hint="eastAsia" w:ascii="仿宋" w:hAnsi="仿宋" w:eastAsia="仿宋" w:cs="仿宋"/>
          <w:color w:val="auto"/>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rPr>
      </w:pPr>
      <w:r>
        <w:rPr>
          <w:rFonts w:ascii="仿宋_GB2312" w:hAnsi="仿宋" w:eastAsia="仿宋_GB2312" w:cs="Arial"/>
          <w:b/>
          <w:color w:val="auto"/>
          <w:kern w:val="0"/>
          <w:sz w:val="24"/>
        </w:rPr>
        <w:t>3.5</w:t>
      </w:r>
      <w:r>
        <w:rPr>
          <w:rFonts w:hint="eastAsia" w:ascii="仿宋_GB2312" w:hAnsi="仿宋" w:eastAsia="仿宋_GB2312" w:cs="Arial"/>
          <w:b/>
          <w:color w:val="auto"/>
          <w:kern w:val="0"/>
          <w:sz w:val="24"/>
        </w:rPr>
        <w:t>排序与推荐。</w:t>
      </w:r>
      <w:r>
        <w:rPr>
          <w:rFonts w:ascii="仿宋_GB2312" w:hAnsi="仿宋" w:eastAsia="仿宋_GB2312" w:cs="Arial"/>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rPr>
        <w:t>。</w:t>
      </w:r>
    </w:p>
    <w:p>
      <w:pPr>
        <w:spacing w:line="360" w:lineRule="auto"/>
        <w:ind w:firstLine="420"/>
        <w:rPr>
          <w:rFonts w:ascii="仿宋_GB2312" w:hAnsi="仿宋" w:eastAsia="仿宋_GB2312" w:cs="Arial"/>
          <w:b/>
          <w:color w:val="auto"/>
          <w:kern w:val="0"/>
          <w:sz w:val="24"/>
        </w:rPr>
      </w:pPr>
      <w:r>
        <w:rPr>
          <w:rFonts w:hint="eastAsia" w:ascii="仿宋_GB2312" w:hAnsi="仿宋" w:eastAsia="仿宋_GB2312" w:cs="Arial"/>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3.6编写评标报告。</w:t>
      </w:r>
      <w:r>
        <w:rPr>
          <w:rFonts w:ascii="仿宋_GB2312" w:hAnsi="仿宋" w:eastAsia="仿宋_GB2312" w:cs="Arial"/>
          <w:color w:val="auto"/>
          <w:kern w:val="0"/>
          <w:sz w:val="24"/>
        </w:rPr>
        <w:t>评标委员会根据全体评标成员签字的原始评标记录和评标结果编写评标报告。</w:t>
      </w:r>
      <w:r>
        <w:rPr>
          <w:rFonts w:hint="eastAsia" w:ascii="仿宋_GB2312" w:hAnsi="仿宋" w:eastAsia="仿宋_GB2312" w:cs="Arial"/>
          <w:color w:val="auto"/>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rPr>
      </w:pPr>
      <w:r>
        <w:rPr>
          <w:rFonts w:hint="eastAsia" w:ascii="仿宋_GB2312" w:hAnsi="仿宋" w:eastAsia="仿宋_GB2312" w:cs="仿宋_GB2312"/>
          <w:b/>
          <w:color w:val="auto"/>
          <w:sz w:val="32"/>
        </w:rPr>
        <w:t>四、评标中的其他事项</w:t>
      </w:r>
    </w:p>
    <w:p>
      <w:pPr>
        <w:pStyle w:val="128"/>
        <w:spacing w:before="0"/>
        <w:ind w:firstLine="472" w:firstLineChars="196"/>
        <w:rPr>
          <w:rFonts w:ascii="仿宋_GB2312" w:hAnsi="仿宋" w:eastAsia="仿宋_GB2312" w:cs="Arial"/>
          <w:color w:val="auto"/>
          <w:kern w:val="0"/>
          <w:szCs w:val="24"/>
        </w:rPr>
      </w:pPr>
      <w:r>
        <w:rPr>
          <w:rFonts w:ascii="仿宋_GB2312" w:hAnsi="仿宋" w:eastAsia="仿宋_GB2312" w:cs="Arial"/>
          <w:b/>
          <w:color w:val="auto"/>
          <w:kern w:val="0"/>
          <w:szCs w:val="24"/>
        </w:rPr>
        <w:t>4.1</w:t>
      </w:r>
      <w:r>
        <w:rPr>
          <w:rFonts w:hint="eastAsia" w:ascii="仿宋_GB2312" w:hAnsi="仿宋" w:eastAsia="仿宋_GB2312" w:cs="Arial"/>
          <w:b/>
          <w:color w:val="auto"/>
          <w:kern w:val="0"/>
          <w:szCs w:val="24"/>
        </w:rPr>
        <w:t>投标人澄清、说明或者补正。</w:t>
      </w:r>
      <w:r>
        <w:rPr>
          <w:rFonts w:hint="eastAsia" w:ascii="仿宋_GB2312" w:hAnsi="仿宋" w:eastAsia="仿宋_GB2312" w:cs="Arial"/>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color w:val="auto"/>
          <w:szCs w:val="21"/>
        </w:rPr>
      </w:pPr>
      <w:r>
        <w:rPr>
          <w:rFonts w:ascii="仿宋_GB2312" w:hAnsi="仿宋" w:eastAsia="仿宋_GB2312" w:cs="Arial"/>
          <w:b/>
          <w:color w:val="auto"/>
          <w:kern w:val="0"/>
        </w:rPr>
        <w:t>4.2投标无效。</w:t>
      </w:r>
      <w:r>
        <w:rPr>
          <w:rFonts w:hint="eastAsia" w:ascii="仿宋_GB2312" w:hAnsi="仿宋" w:eastAsia="仿宋_GB2312" w:cs="仿宋_GB2312"/>
          <w:color w:val="auto"/>
          <w:szCs w:val="21"/>
        </w:rPr>
        <w:t>有下列情况之一的，投标无效：</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4.2.1投标人不具备招标文件中规定的资格要求的（投标人未提供有效的资格文件的，视为投标人不具备招标文件中规定的资格要求）；</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4.2.2投标文件未按照招标文件要求签署、盖章的；</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b/>
          <w:bCs/>
          <w:color w:val="auto"/>
          <w:kern w:val="0"/>
          <w:sz w:val="24"/>
        </w:rPr>
        <w:t>的；</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4.2.4投标文件含有采购人不能接受的附加条件的；</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b/>
          <w:bCs/>
          <w:color w:val="auto"/>
          <w:kern w:val="0"/>
          <w:sz w:val="24"/>
        </w:rPr>
      </w:pPr>
      <w:r>
        <w:rPr>
          <w:rFonts w:ascii="仿宋_GB2312" w:hAnsi="仿宋" w:eastAsia="仿宋_GB2312" w:cs="Arial"/>
          <w:b/>
          <w:bCs/>
          <w:color w:val="auto"/>
          <w:kern w:val="0"/>
          <w:sz w:val="24"/>
        </w:rPr>
        <w:t xml:space="preserve">  </w:t>
      </w:r>
      <w:r>
        <w:rPr>
          <w:rFonts w:hint="eastAsia" w:ascii="仿宋_GB2312" w:hAnsi="仿宋" w:eastAsia="仿宋_GB2312" w:cs="Arial"/>
          <w:b/>
          <w:bCs/>
          <w:color w:val="auto"/>
          <w:kern w:val="0"/>
          <w:sz w:val="24"/>
        </w:rPr>
        <w:t xml:space="preserve"> </w:t>
      </w:r>
      <w:r>
        <w:rPr>
          <w:rFonts w:ascii="仿宋_GB2312" w:hAnsi="仿宋" w:eastAsia="仿宋_GB2312" w:cs="Arial"/>
          <w:b/>
          <w:bCs/>
          <w:color w:val="auto"/>
          <w:kern w:val="0"/>
          <w:sz w:val="24"/>
        </w:rPr>
        <w:t>4.2.6投标文件出现不是唯一的、有选择性投标报价的;</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4.2.7投标报价超过招标文件中规定的预算金额或者最高限价的;</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4.2.9投标人对根据修正原则修正后的报价不确认的；</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4.2.10投标人提供虚假材料投标的；</w:t>
      </w:r>
    </w:p>
    <w:p>
      <w:pPr>
        <w:spacing w:line="360" w:lineRule="auto"/>
        <w:ind w:firstLine="241" w:firstLineChars="100"/>
        <w:rPr>
          <w:rFonts w:ascii="仿宋_GB2312" w:hAnsi="仿宋" w:eastAsia="仿宋_GB2312" w:cs="Arial"/>
          <w:b/>
          <w:bCs/>
          <w:color w:val="auto"/>
          <w:kern w:val="0"/>
          <w:sz w:val="24"/>
        </w:rPr>
      </w:pPr>
      <w:r>
        <w:rPr>
          <w:rFonts w:ascii="仿宋_GB2312" w:hAnsi="仿宋" w:eastAsia="仿宋_GB2312" w:cs="Arial"/>
          <w:b/>
          <w:bCs/>
          <w:color w:val="auto"/>
          <w:kern w:val="0"/>
          <w:sz w:val="24"/>
        </w:rPr>
        <w:t xml:space="preserve">  4.2.11投标人有恶意串通、妨碍其他投标人的竞争行为、损害采购人或者其他投标人的合法权益情形的；</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4.2.12投标人仅提交备份投标文件，没有在电子交易平台传输递交投标文件的，投标无效；</w:t>
      </w:r>
    </w:p>
    <w:p>
      <w:pPr>
        <w:pStyle w:val="4"/>
        <w:ind w:left="862" w:leftChars="205"/>
        <w:rPr>
          <w:rFonts w:cs="Arial"/>
          <w:color w:val="auto"/>
          <w:kern w:val="0"/>
          <w:sz w:val="24"/>
          <w:szCs w:val="24"/>
          <w:lang w:val="en-US"/>
        </w:rPr>
      </w:pPr>
      <w:r>
        <w:rPr>
          <w:rFonts w:cs="Arial"/>
          <w:color w:val="auto"/>
          <w:kern w:val="0"/>
          <w:sz w:val="24"/>
          <w:szCs w:val="24"/>
          <w:lang w:val="en-US"/>
        </w:rPr>
        <w:t xml:space="preserve">4.2.13 </w:t>
      </w:r>
      <w:r>
        <w:rPr>
          <w:rFonts w:hint="eastAsia" w:cs="Arial"/>
          <w:color w:val="auto"/>
          <w:kern w:val="0"/>
          <w:sz w:val="24"/>
          <w:szCs w:val="24"/>
          <w:lang w:val="en-US"/>
        </w:rPr>
        <w:t>投标文件不满足招标文件的其它实质性要求的；</w:t>
      </w:r>
    </w:p>
    <w:p>
      <w:pPr>
        <w:spacing w:line="360" w:lineRule="auto"/>
        <w:ind w:firstLine="482" w:firstLineChars="200"/>
        <w:rPr>
          <w:rFonts w:ascii="仿宋_GB2312" w:hAnsi="仿宋" w:eastAsia="仿宋_GB2312" w:cs="Arial"/>
          <w:b/>
          <w:bCs/>
          <w:color w:val="auto"/>
          <w:kern w:val="0"/>
          <w:sz w:val="24"/>
        </w:rPr>
      </w:pPr>
      <w:r>
        <w:rPr>
          <w:rFonts w:ascii="仿宋_GB2312" w:hAnsi="仿宋" w:eastAsia="仿宋_GB2312" w:cs="Arial"/>
          <w:b/>
          <w:bCs/>
          <w:color w:val="auto"/>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color w:val="auto"/>
        </w:rPr>
      </w:pPr>
      <w:r>
        <w:rPr>
          <w:rFonts w:ascii="仿宋_GB2312" w:hAnsi="仿宋" w:eastAsia="仿宋_GB2312" w:cs="仿宋_GB2312"/>
          <w:b/>
          <w:color w:val="auto"/>
        </w:rPr>
        <w:t>5.废标。</w:t>
      </w:r>
      <w:r>
        <w:rPr>
          <w:rFonts w:hint="eastAsia" w:ascii="仿宋_GB2312" w:hAnsi="仿宋" w:eastAsia="仿宋_GB2312" w:cs="仿宋_GB2312"/>
          <w:color w:val="auto"/>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5.1符合专业条件的供应商或者对招标文件作实质响应的供应商不足3家的；</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5.2出现影响采购公正的违法、违规行为的；</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5.3投标人的报价均超过了采购预算，采购人不能支付的；</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5.4因重大变故，采购任务取消的。</w:t>
      </w:r>
    </w:p>
    <w:p>
      <w:pPr>
        <w:pStyle w:val="2"/>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废标后，采购机构应当将废标理由通知所有投标人。</w:t>
      </w:r>
    </w:p>
    <w:p>
      <w:pPr>
        <w:pStyle w:val="2"/>
        <w:snapToGrid w:val="0"/>
        <w:spacing w:line="360" w:lineRule="auto"/>
        <w:ind w:firstLine="590" w:firstLineChars="245"/>
        <w:rPr>
          <w:rFonts w:ascii="仿宋_GB2312" w:hAnsi="仿宋" w:eastAsia="仿宋_GB2312" w:cs="仿宋_GB2312"/>
          <w:color w:val="auto"/>
        </w:rPr>
      </w:pPr>
      <w:r>
        <w:rPr>
          <w:rFonts w:ascii="仿宋_GB2312" w:hAnsi="仿宋" w:eastAsia="仿宋_GB2312" w:cs="仿宋_GB2312"/>
          <w:b/>
          <w:color w:val="auto"/>
        </w:rPr>
        <w:t>6.修改招标文件，重新组织采购活动。</w:t>
      </w:r>
      <w:r>
        <w:rPr>
          <w:rFonts w:hint="eastAsia" w:ascii="仿宋_GB2312" w:hAnsi="仿宋" w:eastAsia="仿宋_GB2312" w:cs="仿宋_GB2312"/>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color w:val="auto"/>
        </w:rPr>
      </w:pPr>
      <w:r>
        <w:rPr>
          <w:rFonts w:hint="eastAsia" w:ascii="仿宋_GB2312" w:hAnsi="Helvetica" w:eastAsia="仿宋_GB2312" w:cs="Helvetica"/>
          <w:b/>
          <w:color w:val="auto"/>
          <w:kern w:val="0"/>
        </w:rPr>
        <w:t>7.重新开展采购。</w:t>
      </w:r>
      <w:r>
        <w:rPr>
          <w:rFonts w:hint="eastAsia" w:ascii="仿宋_GB2312" w:hAnsi="仿宋" w:eastAsia="仿宋_GB2312" w:cs="仿宋_GB2312"/>
          <w:color w:val="auto"/>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7.1未确定中标或者中标人的，终止本次政府采购活动，重新开展政府采购</w:t>
      </w:r>
      <w:r>
        <w:rPr>
          <w:rFonts w:hint="eastAsia" w:ascii="仿宋_GB2312" w:hAnsi="仿宋" w:eastAsia="仿宋_GB2312" w:cs="仿宋_GB2312"/>
          <w:color w:val="auto"/>
        </w:rPr>
        <w:t>活动。</w:t>
      </w:r>
    </w:p>
    <w:p>
      <w:pPr>
        <w:pStyle w:val="2"/>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7.4政府采购合同已经履行，给采购人、供应</w:t>
      </w:r>
      <w:r>
        <w:rPr>
          <w:rFonts w:hint="eastAsia" w:ascii="仿宋_GB2312" w:hAnsi="仿宋" w:eastAsia="仿宋_GB2312" w:cs="仿宋_GB2312"/>
          <w:color w:val="auto"/>
        </w:rPr>
        <w:t>商造成损失的，由责任人承担赔偿责任。</w:t>
      </w:r>
    </w:p>
    <w:p>
      <w:pPr>
        <w:pStyle w:val="2"/>
        <w:snapToGrid w:val="0"/>
        <w:spacing w:line="360" w:lineRule="auto"/>
        <w:rPr>
          <w:rFonts w:ascii="仿宋_GB2312" w:hAnsi="仿宋" w:eastAsia="仿宋_GB2312" w:cs="仿宋_GB2312"/>
          <w:color w:val="auto"/>
        </w:rPr>
      </w:pPr>
      <w:r>
        <w:rPr>
          <w:rFonts w:ascii="仿宋_GB2312" w:hAnsi="仿宋" w:eastAsia="仿宋_GB2312" w:cs="仿宋_GB2312"/>
          <w:color w:val="auto"/>
        </w:rPr>
        <w:t>7.5政府采购当事人有其他违反政府采购</w:t>
      </w:r>
      <w:r>
        <w:rPr>
          <w:rFonts w:hint="eastAsia" w:ascii="仿宋_GB2312" w:hAnsi="仿宋" w:eastAsia="仿宋_GB2312" w:cs="仿宋_GB2312"/>
          <w:color w:val="auto"/>
        </w:rPr>
        <w:t>法</w:t>
      </w:r>
      <w:r>
        <w:rPr>
          <w:rFonts w:hint="eastAsia" w:ascii="仿宋_GB2312" w:hAnsi="仿宋" w:eastAsia="仿宋_GB2312" w:cs="Arial"/>
          <w:color w:val="auto"/>
          <w:kern w:val="0"/>
        </w:rPr>
        <w:t>或者政府采购法实施条例等法律法规规定</w:t>
      </w:r>
      <w:r>
        <w:rPr>
          <w:rFonts w:hint="eastAsia" w:ascii="仿宋_GB2312" w:hAnsi="仿宋" w:eastAsia="仿宋_GB2312" w:cs="仿宋_GB2312"/>
          <w:color w:val="auto"/>
        </w:rPr>
        <w:t>的行为，经改正后仍然影响或者可能影响中标、成交结果或者依法被认定为中标、成交无效的，依照</w:t>
      </w:r>
      <w:r>
        <w:rPr>
          <w:rFonts w:ascii="仿宋_GB2312" w:hAnsi="仿宋" w:eastAsia="仿宋_GB2312" w:cs="仿宋_GB2312"/>
          <w:color w:val="auto"/>
        </w:rPr>
        <w:t>7.1-7.4规定处理。</w:t>
      </w:r>
    </w:p>
    <w:p>
      <w:pPr>
        <w:pStyle w:val="2"/>
        <w:snapToGrid w:val="0"/>
        <w:spacing w:line="360" w:lineRule="auto"/>
        <w:ind w:firstLine="0" w:firstLineChars="0"/>
        <w:rPr>
          <w:rFonts w:ascii="仿宋_GB2312" w:hAnsi="仿宋" w:eastAsia="仿宋_GB2312" w:cs="仿宋_GB2312"/>
          <w:color w:val="auto"/>
        </w:rPr>
      </w:pPr>
    </w:p>
    <w:bookmarkEnd w:id="30"/>
    <w:p>
      <w:pPr>
        <w:rPr>
          <w:rFonts w:hint="eastAsia" w:ascii="仿宋_GB2312" w:hAnsi="仿宋" w:eastAsia="仿宋_GB2312" w:cs="仿宋_GB2312"/>
          <w:b/>
          <w:color w:val="auto"/>
          <w:sz w:val="36"/>
          <w:szCs w:val="36"/>
        </w:rPr>
      </w:pPr>
      <w:bookmarkStart w:id="396" w:name="第五部分"/>
      <w:bookmarkStart w:id="397" w:name="_Toc86217003"/>
      <w:r>
        <w:rPr>
          <w:rFonts w:hint="eastAsia" w:ascii="仿宋_GB2312" w:hAnsi="仿宋" w:eastAsia="仿宋_GB2312" w:cs="仿宋_GB2312"/>
          <w:b/>
          <w:color w:val="auto"/>
          <w:sz w:val="36"/>
          <w:szCs w:val="36"/>
        </w:rPr>
        <w:br w:type="page"/>
      </w:r>
    </w:p>
    <w:p>
      <w:pPr>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第五部分</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拟签订的合同文本</w:t>
      </w:r>
    </w:p>
    <w:p>
      <w:pPr>
        <w:rPr>
          <w:rFonts w:ascii="楷体" w:hAnsi="楷体" w:eastAsia="楷体"/>
          <w:color w:val="auto"/>
          <w:sz w:val="24"/>
          <w:u w:val="single"/>
        </w:rPr>
      </w:pPr>
      <w:r>
        <w:rPr>
          <w:rFonts w:hint="eastAsia" w:ascii="楷体" w:hAnsi="楷体" w:eastAsia="楷体"/>
          <w:color w:val="auto"/>
          <w:sz w:val="24"/>
        </w:rPr>
        <w:t>合同编号：</w:t>
      </w:r>
      <w:r>
        <w:rPr>
          <w:rFonts w:ascii="楷体" w:hAnsi="楷体" w:eastAsia="楷体"/>
          <w:color w:val="auto"/>
          <w:sz w:val="24"/>
          <w:u w:val="single"/>
        </w:rPr>
        <w:t xml:space="preserve">           </w:t>
      </w:r>
    </w:p>
    <w:p>
      <w:pPr>
        <w:spacing w:line="480" w:lineRule="auto"/>
        <w:jc w:val="center"/>
        <w:rPr>
          <w:rFonts w:ascii="楷体" w:hAnsi="楷体" w:eastAsia="楷体"/>
          <w:b/>
          <w:color w:val="auto"/>
          <w:sz w:val="28"/>
          <w:szCs w:val="28"/>
        </w:rPr>
      </w:pPr>
    </w:p>
    <w:p>
      <w:pPr>
        <w:spacing w:line="480" w:lineRule="auto"/>
        <w:jc w:val="center"/>
        <w:rPr>
          <w:rFonts w:ascii="仿宋" w:hAnsi="仿宋" w:eastAsia="仿宋"/>
          <w:b/>
          <w:color w:val="auto"/>
          <w:sz w:val="24"/>
        </w:rPr>
      </w:pPr>
    </w:p>
    <w:p>
      <w:pPr>
        <w:pStyle w:val="2"/>
        <w:rPr>
          <w:color w:val="auto"/>
        </w:rPr>
      </w:pPr>
    </w:p>
    <w:p>
      <w:pPr>
        <w:spacing w:line="480" w:lineRule="auto"/>
        <w:jc w:val="center"/>
        <w:rPr>
          <w:rFonts w:ascii="仿宋" w:hAnsi="仿宋" w:eastAsia="仿宋"/>
          <w:b/>
          <w:color w:val="auto"/>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（货物类）</w:t>
      </w:r>
    </w:p>
    <w:p>
      <w:pPr>
        <w:pStyle w:val="700"/>
        <w:rPr>
          <w:rFonts w:ascii="仿宋" w:hAnsi="仿宋" w:eastAsia="仿宋"/>
          <w:color w:val="auto"/>
          <w:szCs w:val="24"/>
        </w:rPr>
      </w:pPr>
    </w:p>
    <w:p>
      <w:pPr>
        <w:pStyle w:val="700"/>
        <w:rPr>
          <w:rFonts w:ascii="仿宋" w:hAnsi="仿宋" w:eastAsia="仿宋"/>
          <w:color w:val="auto"/>
          <w:szCs w:val="24"/>
        </w:rPr>
      </w:pPr>
    </w:p>
    <w:p>
      <w:pPr>
        <w:pStyle w:val="700"/>
        <w:jc w:val="center"/>
        <w:rPr>
          <w:rFonts w:ascii="仿宋" w:hAnsi="仿宋" w:eastAsia="仿宋"/>
          <w:color w:val="auto"/>
          <w:szCs w:val="24"/>
        </w:rPr>
      </w:pPr>
    </w:p>
    <w:p>
      <w:pPr>
        <w:rPr>
          <w:rFonts w:ascii="仿宋" w:hAnsi="仿宋" w:eastAsia="仿宋"/>
          <w:b/>
          <w:color w:val="auto"/>
        </w:rPr>
      </w:pPr>
      <w:r>
        <w:rPr>
          <w:rFonts w:hint="eastAsia" w:ascii="仿宋" w:hAnsi="仿宋" w:eastAsia="仿宋"/>
          <w:b/>
          <w:color w:val="auto"/>
        </w:rPr>
        <w:br w:type="page"/>
      </w:r>
    </w:p>
    <w:p>
      <w:pPr>
        <w:pStyle w:val="700"/>
        <w:ind w:left="0" w:leftChars="0" w:firstLine="0" w:firstLineChars="0"/>
        <w:jc w:val="center"/>
        <w:rPr>
          <w:rFonts w:ascii="仿宋" w:hAnsi="仿宋" w:eastAsia="仿宋"/>
          <w:b/>
          <w:color w:val="auto"/>
          <w:sz w:val="28"/>
          <w:szCs w:val="28"/>
        </w:rPr>
      </w:pPr>
      <w:r>
        <w:rPr>
          <w:rFonts w:hint="eastAsia" w:ascii="仿宋" w:hAnsi="仿宋" w:eastAsia="仿宋"/>
          <w:b/>
          <w:color w:val="auto"/>
          <w:sz w:val="28"/>
          <w:szCs w:val="28"/>
        </w:rPr>
        <w:t>第一部分</w:t>
      </w:r>
      <w:r>
        <w:rPr>
          <w:rFonts w:ascii="仿宋" w:hAnsi="仿宋" w:eastAsia="仿宋"/>
          <w:b/>
          <w:color w:val="auto"/>
          <w:sz w:val="28"/>
          <w:szCs w:val="28"/>
        </w:rPr>
        <w:t xml:space="preserve"> </w:t>
      </w:r>
      <w:r>
        <w:rPr>
          <w:rFonts w:hint="eastAsia" w:ascii="仿宋" w:hAnsi="仿宋" w:eastAsia="仿宋"/>
          <w:b/>
          <w:color w:val="auto"/>
          <w:sz w:val="28"/>
          <w:szCs w:val="28"/>
        </w:rPr>
        <w:t>合同书</w:t>
      </w:r>
    </w:p>
    <w:p>
      <w:pPr>
        <w:pStyle w:val="700"/>
        <w:rPr>
          <w:rFonts w:ascii="仿宋" w:hAnsi="仿宋" w:eastAsia="仿宋"/>
          <w:color w:val="auto"/>
          <w:szCs w:val="24"/>
        </w:rPr>
      </w:pPr>
    </w:p>
    <w:p>
      <w:pPr>
        <w:pStyle w:val="700"/>
        <w:rPr>
          <w:rFonts w:ascii="仿宋" w:hAnsi="仿宋" w:eastAsia="仿宋"/>
          <w:color w:val="auto"/>
          <w:szCs w:val="24"/>
        </w:rPr>
      </w:pP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rPr>
      </w:pPr>
    </w:p>
    <w:p>
      <w:pPr>
        <w:spacing w:before="120" w:line="22" w:lineRule="atLeast"/>
        <w:ind w:left="960"/>
        <w:rPr>
          <w:rFonts w:ascii="仿宋" w:hAnsi="仿宋" w:eastAsia="仿宋"/>
          <w:color w:val="auto"/>
          <w:sz w:val="24"/>
        </w:rPr>
      </w:pPr>
    </w:p>
    <w:p>
      <w:pPr>
        <w:spacing w:before="120" w:line="22" w:lineRule="atLeast"/>
        <w:ind w:left="960"/>
        <w:rPr>
          <w:rFonts w:hint="eastAsia" w:ascii="仿宋" w:hAnsi="仿宋" w:eastAsia="仿宋"/>
          <w:color w:val="auto"/>
          <w:sz w:val="24"/>
          <w:lang w:eastAsia="zh-CN"/>
        </w:rPr>
      </w:pPr>
      <w:r>
        <w:rPr>
          <w:rFonts w:hint="eastAsia" w:ascii="仿宋" w:hAnsi="仿宋" w:eastAsia="仿宋"/>
          <w:color w:val="auto"/>
          <w:sz w:val="24"/>
        </w:rPr>
        <w:t>项目名称：</w:t>
      </w:r>
      <w:r>
        <w:rPr>
          <w:rFonts w:hint="eastAsia" w:ascii="仿宋" w:hAnsi="仿宋" w:eastAsia="仿宋"/>
          <w:color w:val="auto"/>
          <w:sz w:val="24"/>
          <w:u w:val="single"/>
          <w:lang w:eastAsia="zh-CN"/>
        </w:rPr>
        <w:t>杭州第四中学新湾学校校园网络及综合布线项目</w:t>
      </w:r>
    </w:p>
    <w:p>
      <w:pPr>
        <w:pStyle w:val="597"/>
        <w:spacing w:before="120" w:line="22" w:lineRule="atLeast"/>
        <w:rPr>
          <w:rFonts w:ascii="仿宋" w:hAnsi="仿宋" w:eastAsia="仿宋"/>
          <w:color w:val="auto"/>
          <w:szCs w:val="24"/>
        </w:rPr>
      </w:pPr>
    </w:p>
    <w:p>
      <w:pPr>
        <w:pStyle w:val="597"/>
        <w:spacing w:before="120" w:line="22" w:lineRule="atLeast"/>
        <w:rPr>
          <w:rFonts w:ascii="仿宋" w:hAnsi="仿宋" w:eastAsia="仿宋"/>
          <w:color w:val="auto"/>
          <w:szCs w:val="24"/>
        </w:rPr>
      </w:pPr>
    </w:p>
    <w:p>
      <w:pPr>
        <w:rPr>
          <w:rFonts w:ascii="仿宋" w:hAnsi="仿宋" w:eastAsia="仿宋"/>
          <w:color w:val="auto"/>
          <w:sz w:val="24"/>
        </w:rPr>
      </w:pPr>
    </w:p>
    <w:p>
      <w:pPr>
        <w:spacing w:before="120" w:line="22" w:lineRule="atLeast"/>
        <w:ind w:left="960"/>
        <w:rPr>
          <w:rFonts w:ascii="仿宋" w:hAnsi="仿宋" w:eastAsia="仿宋"/>
          <w:color w:val="auto"/>
          <w:sz w:val="24"/>
        </w:rPr>
      </w:pPr>
    </w:p>
    <w:p>
      <w:pPr>
        <w:spacing w:before="120" w:line="22" w:lineRule="atLeast"/>
        <w:ind w:left="960"/>
        <w:rPr>
          <w:rFonts w:ascii="仿宋" w:hAnsi="仿宋" w:eastAsia="仿宋"/>
          <w:color w:val="auto"/>
          <w:sz w:val="24"/>
        </w:rPr>
      </w:pPr>
    </w:p>
    <w:p>
      <w:pPr>
        <w:spacing w:before="120" w:line="22" w:lineRule="atLeast"/>
        <w:ind w:left="960"/>
        <w:rPr>
          <w:rFonts w:ascii="仿宋" w:hAnsi="仿宋" w:eastAsia="仿宋"/>
          <w:color w:val="auto"/>
          <w:sz w:val="24"/>
        </w:rPr>
      </w:pPr>
    </w:p>
    <w:p>
      <w:pPr>
        <w:spacing w:before="120" w:line="22" w:lineRule="atLeast"/>
        <w:ind w:left="960"/>
        <w:rPr>
          <w:rFonts w:ascii="仿宋" w:hAnsi="仿宋" w:eastAsia="仿宋"/>
          <w:color w:val="auto"/>
          <w:sz w:val="24"/>
        </w:rPr>
      </w:pPr>
    </w:p>
    <w:p>
      <w:pPr>
        <w:spacing w:before="120" w:line="22" w:lineRule="atLeast"/>
        <w:ind w:left="960"/>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甲方：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rPr>
      </w:pPr>
    </w:p>
    <w:p>
      <w:pPr>
        <w:spacing w:before="120" w:line="22" w:lineRule="atLeast"/>
        <w:ind w:firstLine="960" w:firstLineChars="400"/>
        <w:rPr>
          <w:rFonts w:ascii="仿宋" w:hAnsi="仿宋" w:eastAsia="仿宋"/>
          <w:color w:val="auto"/>
          <w:sz w:val="24"/>
        </w:rPr>
      </w:pPr>
    </w:p>
    <w:p>
      <w:pPr>
        <w:spacing w:before="120" w:line="22" w:lineRule="atLeast"/>
        <w:ind w:firstLine="960" w:firstLineChars="400"/>
        <w:rPr>
          <w:rFonts w:ascii="仿宋" w:hAnsi="仿宋" w:eastAsia="仿宋"/>
          <w:color w:val="auto"/>
          <w:sz w:val="24"/>
        </w:rPr>
      </w:pPr>
    </w:p>
    <w:p>
      <w:pPr>
        <w:spacing w:before="120" w:line="22" w:lineRule="atLeast"/>
        <w:ind w:firstLine="960" w:firstLineChars="400"/>
        <w:rPr>
          <w:rFonts w:ascii="仿宋" w:hAnsi="仿宋" w:eastAsia="仿宋"/>
          <w:color w:val="auto"/>
          <w:sz w:val="24"/>
        </w:rPr>
      </w:pPr>
    </w:p>
    <w:p>
      <w:pPr>
        <w:spacing w:before="120" w:line="22" w:lineRule="atLeast"/>
        <w:ind w:firstLine="960" w:firstLineChars="400"/>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rPr>
          <w:rFonts w:ascii="仿宋" w:hAnsi="仿宋" w:eastAsia="仿宋"/>
          <w:color w:val="auto"/>
          <w:kern w:val="0"/>
          <w:sz w:val="24"/>
        </w:rPr>
        <w:sectPr>
          <w:pgSz w:w="11907" w:h="16840"/>
          <w:pgMar w:top="1474" w:right="1814" w:bottom="1474" w:left="1814" w:header="851" w:footer="851" w:gutter="0"/>
          <w:cols w:space="720" w:num="1"/>
        </w:sectPr>
      </w:pPr>
    </w:p>
    <w:p>
      <w:pPr>
        <w:snapToGrid w:val="0"/>
        <w:spacing w:line="360" w:lineRule="auto"/>
        <w:ind w:firstLine="480" w:firstLineChars="200"/>
        <w:rPr>
          <w:rFonts w:ascii="仿宋" w:hAnsi="仿宋" w:eastAsia="仿宋"/>
          <w:color w:val="auto"/>
          <w:sz w:val="24"/>
          <w:u w:val="single"/>
          <w:lang w:val="zh-CN"/>
        </w:rPr>
      </w:pPr>
    </w:p>
    <w:p>
      <w:pPr>
        <w:snapToGrid w:val="0"/>
        <w:spacing w:line="360" w:lineRule="auto"/>
        <w:ind w:firstLine="480" w:firstLineChars="200"/>
        <w:rPr>
          <w:rFonts w:ascii="仿宋" w:hAnsi="仿宋" w:eastAsia="仿宋"/>
          <w:color w:val="auto"/>
          <w:sz w:val="24"/>
        </w:rPr>
      </w:pPr>
      <w:r>
        <w:rPr>
          <w:rFonts w:ascii="仿宋" w:hAnsi="仿宋" w:eastAsia="仿宋"/>
          <w:color w:val="auto"/>
          <w:sz w:val="24"/>
          <w:u w:val="single"/>
          <w:lang w:val="zh-CN"/>
        </w:rPr>
        <w:t xml:space="preserve">        </w:t>
      </w:r>
      <w:r>
        <w:rPr>
          <w:rFonts w:hint="eastAsia" w:ascii="仿宋" w:hAnsi="仿宋" w:eastAsia="仿宋"/>
          <w:color w:val="auto"/>
          <w:sz w:val="24"/>
          <w:lang w:val="zh-CN"/>
        </w:rPr>
        <w:t>年</w:t>
      </w:r>
      <w:r>
        <w:rPr>
          <w:rFonts w:ascii="仿宋" w:hAnsi="仿宋" w:eastAsia="仿宋"/>
          <w:color w:val="auto"/>
          <w:sz w:val="24"/>
          <w:u w:val="single"/>
          <w:lang w:val="zh-CN"/>
        </w:rPr>
        <w:t xml:space="preserve">    </w:t>
      </w:r>
      <w:r>
        <w:rPr>
          <w:rFonts w:hint="eastAsia" w:ascii="仿宋" w:hAnsi="仿宋" w:eastAsia="仿宋"/>
          <w:color w:val="auto"/>
          <w:sz w:val="24"/>
          <w:lang w:val="zh-CN"/>
        </w:rPr>
        <w:t>月</w:t>
      </w:r>
      <w:r>
        <w:rPr>
          <w:rFonts w:ascii="仿宋" w:hAnsi="仿宋" w:eastAsia="仿宋"/>
          <w:color w:val="auto"/>
          <w:sz w:val="24"/>
          <w:u w:val="single"/>
          <w:lang w:val="zh-CN"/>
        </w:rPr>
        <w:t xml:space="preserve">    </w:t>
      </w:r>
      <w:r>
        <w:rPr>
          <w:rFonts w:hint="eastAsia" w:ascii="仿宋" w:hAnsi="仿宋" w:eastAsia="仿宋"/>
          <w:color w:val="auto"/>
          <w:sz w:val="24"/>
          <w:lang w:val="zh-CN"/>
        </w:rPr>
        <w:t>日</w:t>
      </w:r>
      <w:r>
        <w:rPr>
          <w:rFonts w:hint="eastAsia" w:ascii="仿宋" w:hAnsi="仿宋" w:eastAsia="仿宋"/>
          <w:color w:val="auto"/>
          <w:sz w:val="24"/>
        </w:rPr>
        <w:t>，</w:t>
      </w:r>
      <w:r>
        <w:rPr>
          <w:rFonts w:ascii="仿宋" w:hAnsi="仿宋" w:eastAsia="仿宋"/>
          <w:color w:val="auto"/>
          <w:sz w:val="24"/>
          <w:u w:val="single"/>
        </w:rPr>
        <w:t xml:space="preserve">   </w:t>
      </w:r>
      <w:r>
        <w:rPr>
          <w:rFonts w:hint="eastAsia" w:ascii="仿宋" w:hAnsi="仿宋" w:eastAsia="仿宋"/>
          <w:color w:val="auto"/>
          <w:sz w:val="24"/>
          <w:u w:val="single"/>
        </w:rPr>
        <w:t>浙江省杭州第四中学新湾学校</w:t>
      </w:r>
      <w:r>
        <w:rPr>
          <w:rFonts w:ascii="仿宋" w:hAnsi="仿宋" w:eastAsia="仿宋"/>
          <w:color w:val="auto"/>
          <w:sz w:val="24"/>
          <w:u w:val="single"/>
        </w:rPr>
        <w:t xml:space="preserve">   </w:t>
      </w:r>
      <w:r>
        <w:rPr>
          <w:rFonts w:hint="eastAsia" w:ascii="仿宋" w:hAnsi="仿宋" w:eastAsia="仿宋"/>
          <w:color w:val="auto"/>
          <w:sz w:val="24"/>
        </w:rPr>
        <w:t>以</w:t>
      </w:r>
      <w:r>
        <w:rPr>
          <w:rFonts w:ascii="仿宋" w:hAnsi="仿宋" w:eastAsia="仿宋"/>
          <w:color w:val="auto"/>
          <w:sz w:val="24"/>
          <w:u w:val="single"/>
        </w:rPr>
        <w:t xml:space="preserve"> </w:t>
      </w:r>
      <w:r>
        <w:rPr>
          <w:rFonts w:hint="eastAsia" w:ascii="仿宋" w:hAnsi="仿宋" w:eastAsia="仿宋"/>
          <w:color w:val="auto"/>
          <w:sz w:val="24"/>
          <w:u w:val="single"/>
        </w:rPr>
        <w:t>公开招标方式</w:t>
      </w:r>
      <w:r>
        <w:rPr>
          <w:rFonts w:ascii="仿宋" w:hAnsi="仿宋" w:eastAsia="仿宋"/>
          <w:color w:val="auto"/>
          <w:sz w:val="24"/>
          <w:u w:val="single"/>
        </w:rPr>
        <w:t xml:space="preserve"> </w:t>
      </w:r>
      <w:r>
        <w:rPr>
          <w:rFonts w:hint="eastAsia" w:ascii="仿宋" w:hAnsi="仿宋" w:eastAsia="仿宋"/>
          <w:color w:val="auto"/>
          <w:sz w:val="24"/>
        </w:rPr>
        <w:t>对</w:t>
      </w:r>
      <w:r>
        <w:rPr>
          <w:rFonts w:ascii="仿宋" w:hAnsi="仿宋" w:eastAsia="仿宋"/>
          <w:color w:val="auto"/>
          <w:sz w:val="24"/>
          <w:u w:val="single"/>
        </w:rPr>
        <w:t xml:space="preserve"> </w:t>
      </w:r>
      <w:r>
        <w:rPr>
          <w:rFonts w:hint="eastAsia" w:ascii="仿宋" w:hAnsi="仿宋" w:eastAsia="仿宋"/>
          <w:color w:val="auto"/>
          <w:sz w:val="24"/>
          <w:u w:val="single"/>
          <w:lang w:eastAsia="zh-CN"/>
        </w:rPr>
        <w:t>杭州第四中学新湾学校校园网络及综合布线项目</w:t>
      </w:r>
      <w:r>
        <w:rPr>
          <w:rFonts w:ascii="仿宋" w:hAnsi="仿宋" w:eastAsia="仿宋"/>
          <w:color w:val="auto"/>
          <w:sz w:val="24"/>
          <w:u w:val="single"/>
        </w:rPr>
        <w:t xml:space="preserve"> </w:t>
      </w:r>
      <w:r>
        <w:rPr>
          <w:rFonts w:hint="eastAsia" w:ascii="仿宋" w:hAnsi="仿宋" w:eastAsia="仿宋"/>
          <w:color w:val="auto"/>
          <w:sz w:val="24"/>
        </w:rPr>
        <w:t>项目进行了采购。经</w:t>
      </w:r>
      <w:r>
        <w:rPr>
          <w:rFonts w:hint="eastAsia" w:ascii="仿宋" w:hAnsi="仿宋" w:eastAsia="仿宋"/>
          <w:color w:val="auto"/>
          <w:sz w:val="24"/>
          <w:u w:val="single"/>
        </w:rPr>
        <w:t>评标委员会</w:t>
      </w:r>
      <w:r>
        <w:rPr>
          <w:rFonts w:ascii="仿宋" w:hAnsi="仿宋" w:eastAsia="仿宋"/>
          <w:color w:val="auto"/>
          <w:sz w:val="24"/>
          <w:u w:val="single"/>
        </w:rPr>
        <w:t xml:space="preserve"> </w:t>
      </w:r>
      <w:r>
        <w:rPr>
          <w:rFonts w:hint="eastAsia" w:ascii="仿宋" w:hAnsi="仿宋" w:eastAsia="仿宋"/>
          <w:color w:val="auto"/>
          <w:sz w:val="24"/>
        </w:rPr>
        <w:t>评定，</w:t>
      </w:r>
      <w:r>
        <w:rPr>
          <w:rFonts w:ascii="仿宋" w:hAnsi="仿宋" w:eastAsia="仿宋"/>
          <w:color w:val="auto"/>
          <w:sz w:val="24"/>
          <w:u w:val="single"/>
        </w:rPr>
        <w:t xml:space="preserve">   （中标供应商名称）</w:t>
      </w:r>
      <w:r>
        <w:rPr>
          <w:rFonts w:hint="eastAsia" w:ascii="仿宋" w:hAnsi="仿宋" w:eastAsia="仿宋"/>
          <w:color w:val="auto"/>
          <w:sz w:val="24"/>
        </w:rPr>
        <w:t>为该项目中标供应商。现于中标通知书发出之日起三十日内，按照</w:t>
      </w:r>
      <w:r>
        <w:rPr>
          <w:rFonts w:hint="eastAsia" w:ascii="仿宋" w:hAnsi="仿宋" w:eastAsia="仿宋"/>
          <w:color w:val="auto"/>
          <w:sz w:val="24"/>
          <w:lang w:eastAsia="zh-CN"/>
        </w:rPr>
        <w:t>招标文件</w:t>
      </w:r>
      <w:r>
        <w:rPr>
          <w:rFonts w:hint="eastAsia" w:ascii="仿宋" w:hAnsi="仿宋" w:eastAsia="仿宋"/>
          <w:color w:val="auto"/>
          <w:sz w:val="24"/>
        </w:rPr>
        <w:t>确定的事项签订本合同。</w:t>
      </w:r>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lang w:val="zh-CN"/>
        </w:rPr>
        <w:t>根据《中华人民共和国民法典》、《中华人民共和国政府采购法》等相关法律法规之规定，按照平等、自愿、公平、诚实信用和绿色的原则，经</w:t>
      </w:r>
      <w:r>
        <w:rPr>
          <w:rFonts w:ascii="仿宋" w:hAnsi="仿宋" w:eastAsia="仿宋"/>
          <w:color w:val="auto"/>
          <w:sz w:val="24"/>
          <w:u w:val="single"/>
        </w:rPr>
        <w:t xml:space="preserve">   </w:t>
      </w:r>
      <w:r>
        <w:rPr>
          <w:rFonts w:hint="eastAsia" w:ascii="仿宋" w:hAnsi="仿宋" w:eastAsia="仿宋"/>
          <w:color w:val="auto"/>
          <w:sz w:val="24"/>
          <w:u w:val="single"/>
        </w:rPr>
        <w:t>浙江省杭州第四中学新湾学校</w:t>
      </w:r>
      <w:r>
        <w:rPr>
          <w:rFonts w:ascii="仿宋" w:hAnsi="仿宋" w:eastAsia="仿宋"/>
          <w:color w:val="auto"/>
          <w:sz w:val="24"/>
          <w:u w:val="single"/>
        </w:rPr>
        <w:t xml:space="preserve">   </w:t>
      </w:r>
      <w:r>
        <w:rPr>
          <w:rFonts w:ascii="仿宋" w:hAnsi="仿宋" w:eastAsia="仿宋"/>
          <w:color w:val="auto"/>
          <w:sz w:val="24"/>
          <w:lang w:val="zh-CN"/>
        </w:rPr>
        <w:t>(以下简称：甲方)和</w:t>
      </w:r>
      <w:r>
        <w:rPr>
          <w:rFonts w:ascii="仿宋" w:hAnsi="仿宋" w:eastAsia="仿宋"/>
          <w:color w:val="auto"/>
          <w:sz w:val="24"/>
          <w:u w:val="single"/>
        </w:rPr>
        <w:t xml:space="preserve">   （中标供应商名称）   </w:t>
      </w:r>
      <w:r>
        <w:rPr>
          <w:rFonts w:ascii="仿宋" w:hAnsi="仿宋" w:eastAsia="仿宋"/>
          <w:color w:val="auto"/>
          <w:sz w:val="24"/>
          <w:lang w:val="zh-CN"/>
        </w:rPr>
        <w:t>(以下简称：乙方)协商一致，约定以下合同</w:t>
      </w:r>
      <w:r>
        <w:rPr>
          <w:rFonts w:hint="eastAsia" w:ascii="仿宋" w:hAnsi="仿宋" w:eastAsia="仿宋"/>
          <w:color w:val="auto"/>
          <w:sz w:val="24"/>
        </w:rPr>
        <w:t>条款，以兹共同遵守、全面履行。</w:t>
      </w:r>
    </w:p>
    <w:p>
      <w:pPr>
        <w:pStyle w:val="2"/>
        <w:rPr>
          <w:color w:val="auto"/>
        </w:rPr>
      </w:pPr>
    </w:p>
    <w:p>
      <w:pPr>
        <w:snapToGrid w:val="0"/>
        <w:spacing w:line="360" w:lineRule="auto"/>
        <w:ind w:firstLine="482" w:firstLineChars="200"/>
        <w:outlineLvl w:val="0"/>
        <w:rPr>
          <w:rFonts w:ascii="仿宋" w:hAnsi="仿宋" w:eastAsia="仿宋"/>
          <w:b/>
          <w:color w:val="auto"/>
          <w:sz w:val="24"/>
        </w:rPr>
      </w:pPr>
      <w:bookmarkStart w:id="398" w:name="_Toc24059"/>
      <w:bookmarkStart w:id="399" w:name="_Toc2232"/>
      <w:bookmarkStart w:id="400" w:name="_Toc3029"/>
      <w:r>
        <w:rPr>
          <w:rFonts w:ascii="仿宋" w:hAnsi="仿宋" w:eastAsia="仿宋"/>
          <w:b/>
          <w:color w:val="auto"/>
          <w:sz w:val="24"/>
        </w:rPr>
        <w:t xml:space="preserve">1.1 </w:t>
      </w:r>
      <w:r>
        <w:rPr>
          <w:rFonts w:hint="eastAsia" w:ascii="仿宋" w:hAnsi="仿宋" w:eastAsia="仿宋"/>
          <w:b/>
          <w:color w:val="auto"/>
          <w:sz w:val="24"/>
        </w:rPr>
        <w:t>合同组成部分</w:t>
      </w:r>
      <w:bookmarkEnd w:id="398"/>
      <w:bookmarkEnd w:id="399"/>
      <w:bookmarkEnd w:id="400"/>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下列文件为本合同的组成部分，并构成一个整体，需综合解释、相互补充。如果下列文件内容出现不一致的情形，那么在保证按照</w:t>
      </w:r>
      <w:r>
        <w:rPr>
          <w:rFonts w:hint="eastAsia" w:ascii="仿宋" w:hAnsi="仿宋" w:eastAsia="仿宋"/>
          <w:color w:val="auto"/>
          <w:sz w:val="24"/>
          <w:lang w:eastAsia="zh-CN"/>
        </w:rPr>
        <w:t>招标文件</w:t>
      </w:r>
      <w:r>
        <w:rPr>
          <w:rFonts w:hint="eastAsia" w:ascii="仿宋" w:hAnsi="仿宋" w:eastAsia="仿宋"/>
          <w:color w:val="auto"/>
          <w:sz w:val="24"/>
        </w:rPr>
        <w:t>确定的事项的前提下，组成本合同的多个文件的优先适用顺序如下：</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1.1.1 </w:t>
      </w:r>
      <w:r>
        <w:rPr>
          <w:rFonts w:hint="eastAsia" w:ascii="仿宋" w:hAnsi="仿宋" w:eastAsia="仿宋"/>
          <w:color w:val="auto"/>
          <w:sz w:val="24"/>
        </w:rPr>
        <w:t>本合同及其补充合同、变更协议；</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1.1.2 </w:t>
      </w:r>
      <w:r>
        <w:rPr>
          <w:rFonts w:hint="eastAsia" w:ascii="仿宋" w:hAnsi="仿宋" w:eastAsia="仿宋"/>
          <w:color w:val="auto"/>
          <w:sz w:val="24"/>
        </w:rPr>
        <w:t>中标通知书；</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1.1.3 </w:t>
      </w:r>
      <w:r>
        <w:rPr>
          <w:rFonts w:hint="eastAsia" w:ascii="仿宋" w:hAnsi="仿宋" w:eastAsia="仿宋"/>
          <w:color w:val="auto"/>
          <w:sz w:val="24"/>
        </w:rPr>
        <w:t>投标文件（含澄清或者说明文件）；</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1.1.4 </w:t>
      </w:r>
      <w:r>
        <w:rPr>
          <w:rFonts w:hint="eastAsia" w:ascii="仿宋" w:hAnsi="仿宋" w:eastAsia="仿宋"/>
          <w:color w:val="auto"/>
          <w:sz w:val="24"/>
        </w:rPr>
        <w:t>招标文件（含澄清或者修改文件）；</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1.1.5 </w:t>
      </w:r>
      <w:r>
        <w:rPr>
          <w:rFonts w:hint="eastAsia" w:ascii="仿宋" w:hAnsi="仿宋" w:eastAsia="仿宋"/>
          <w:color w:val="auto"/>
          <w:sz w:val="24"/>
        </w:rPr>
        <w:t>其他相关</w:t>
      </w:r>
      <w:r>
        <w:rPr>
          <w:rFonts w:hint="eastAsia" w:ascii="仿宋" w:hAnsi="仿宋" w:eastAsia="仿宋"/>
          <w:color w:val="auto"/>
          <w:sz w:val="24"/>
          <w:lang w:eastAsia="zh-CN"/>
        </w:rPr>
        <w:t>招标文件</w:t>
      </w:r>
      <w:r>
        <w:rPr>
          <w:rFonts w:hint="eastAsia" w:ascii="仿宋" w:hAnsi="仿宋" w:eastAsia="仿宋"/>
          <w:color w:val="auto"/>
          <w:sz w:val="24"/>
        </w:rPr>
        <w:t>。</w:t>
      </w:r>
    </w:p>
    <w:p>
      <w:pPr>
        <w:snapToGrid w:val="0"/>
        <w:spacing w:line="360" w:lineRule="auto"/>
        <w:ind w:firstLine="482" w:firstLineChars="200"/>
        <w:outlineLvl w:val="0"/>
        <w:rPr>
          <w:rFonts w:ascii="仿宋" w:hAnsi="仿宋" w:eastAsia="仿宋"/>
          <w:b/>
          <w:color w:val="auto"/>
          <w:sz w:val="24"/>
        </w:rPr>
      </w:pPr>
      <w:bookmarkStart w:id="401" w:name="_Toc27126"/>
      <w:bookmarkStart w:id="402" w:name="_Toc24300"/>
      <w:bookmarkStart w:id="403" w:name="_Toc21295"/>
    </w:p>
    <w:p>
      <w:pPr>
        <w:snapToGrid w:val="0"/>
        <w:spacing w:line="360" w:lineRule="auto"/>
        <w:ind w:firstLine="482" w:firstLineChars="200"/>
        <w:outlineLvl w:val="0"/>
        <w:rPr>
          <w:rFonts w:ascii="仿宋" w:hAnsi="仿宋" w:eastAsia="仿宋"/>
          <w:b/>
          <w:color w:val="auto"/>
          <w:sz w:val="24"/>
        </w:rPr>
      </w:pPr>
      <w:r>
        <w:rPr>
          <w:rFonts w:ascii="仿宋" w:hAnsi="仿宋" w:eastAsia="仿宋"/>
          <w:b/>
          <w:color w:val="auto"/>
          <w:sz w:val="24"/>
        </w:rPr>
        <w:t xml:space="preserve">1.2 </w:t>
      </w:r>
      <w:r>
        <w:rPr>
          <w:rFonts w:hint="eastAsia" w:ascii="仿宋" w:hAnsi="仿宋" w:eastAsia="仿宋"/>
          <w:b/>
          <w:color w:val="auto"/>
          <w:sz w:val="24"/>
        </w:rPr>
        <w:t>货物</w:t>
      </w:r>
      <w:bookmarkEnd w:id="401"/>
      <w:bookmarkEnd w:id="402"/>
      <w:bookmarkEnd w:id="403"/>
    </w:p>
    <w:p>
      <w:pPr>
        <w:snapToGrid w:val="0"/>
        <w:spacing w:line="360" w:lineRule="auto"/>
        <w:ind w:firstLine="480" w:firstLineChars="200"/>
        <w:rPr>
          <w:rFonts w:ascii="仿宋" w:hAnsi="仿宋" w:eastAsia="仿宋"/>
          <w:color w:val="auto"/>
          <w:sz w:val="24"/>
          <w:u w:val="single"/>
        </w:rPr>
      </w:pPr>
      <w:r>
        <w:rPr>
          <w:rFonts w:ascii="仿宋" w:hAnsi="仿宋" w:eastAsia="仿宋"/>
          <w:color w:val="auto"/>
          <w:sz w:val="24"/>
        </w:rPr>
        <w:t xml:space="preserve">1.2.1 </w:t>
      </w:r>
      <w:r>
        <w:rPr>
          <w:rFonts w:hint="eastAsia" w:ascii="仿宋" w:hAnsi="仿宋" w:eastAsia="仿宋"/>
          <w:color w:val="auto"/>
          <w:sz w:val="24"/>
        </w:rPr>
        <w:t>货物名称：</w:t>
      </w:r>
      <w:r>
        <w:rPr>
          <w:rFonts w:hint="eastAsia" w:ascii="仿宋" w:hAnsi="仿宋" w:eastAsia="仿宋"/>
          <w:color w:val="auto"/>
          <w:sz w:val="24"/>
          <w:u w:val="single"/>
        </w:rPr>
        <w:t>浙江省杭州第四中学新湾学校校园网络及综合布线</w:t>
      </w:r>
      <w:r>
        <w:rPr>
          <w:rFonts w:hint="eastAsia" w:ascii="仿宋" w:hAnsi="仿宋" w:eastAsia="仿宋"/>
          <w:color w:val="auto"/>
          <w:sz w:val="24"/>
        </w:rPr>
        <w:t>；</w:t>
      </w:r>
    </w:p>
    <w:p>
      <w:pPr>
        <w:snapToGrid w:val="0"/>
        <w:spacing w:line="360" w:lineRule="auto"/>
        <w:ind w:firstLine="480" w:firstLineChars="200"/>
        <w:rPr>
          <w:rFonts w:ascii="仿宋" w:hAnsi="仿宋" w:eastAsia="仿宋"/>
          <w:color w:val="auto"/>
          <w:sz w:val="24"/>
          <w:u w:val="single"/>
        </w:rPr>
      </w:pPr>
      <w:r>
        <w:rPr>
          <w:rFonts w:ascii="仿宋" w:hAnsi="仿宋" w:eastAsia="仿宋"/>
          <w:color w:val="auto"/>
          <w:sz w:val="24"/>
        </w:rPr>
        <w:t xml:space="preserve">1.2.2 </w:t>
      </w:r>
      <w:r>
        <w:rPr>
          <w:rFonts w:hint="eastAsia" w:ascii="仿宋" w:hAnsi="仿宋" w:eastAsia="仿宋"/>
          <w:color w:val="auto"/>
          <w:sz w:val="24"/>
        </w:rPr>
        <w:t>货物数量：</w:t>
      </w:r>
      <w:r>
        <w:rPr>
          <w:rFonts w:hint="eastAsia" w:ascii="仿宋" w:hAnsi="仿宋" w:eastAsia="仿宋"/>
          <w:color w:val="auto"/>
          <w:sz w:val="24"/>
          <w:u w:val="single"/>
        </w:rPr>
        <w:t>一批</w:t>
      </w:r>
      <w:r>
        <w:rPr>
          <w:rFonts w:ascii="仿宋" w:hAnsi="仿宋" w:eastAsia="仿宋"/>
          <w:color w:val="auto"/>
          <w:sz w:val="24"/>
          <w:u w:val="single"/>
        </w:rPr>
        <w:t xml:space="preserve"> </w:t>
      </w:r>
      <w:r>
        <w:rPr>
          <w:rFonts w:hint="eastAsia" w:ascii="仿宋" w:hAnsi="仿宋" w:eastAsia="仿宋"/>
          <w:color w:val="auto"/>
          <w:sz w:val="24"/>
        </w:rPr>
        <w:t>；</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1.2.3 </w:t>
      </w:r>
      <w:r>
        <w:rPr>
          <w:rFonts w:hint="eastAsia" w:ascii="仿宋" w:hAnsi="仿宋" w:eastAsia="仿宋"/>
          <w:color w:val="auto"/>
          <w:sz w:val="24"/>
        </w:rPr>
        <w:t>货物质量：</w:t>
      </w:r>
      <w:r>
        <w:rPr>
          <w:rFonts w:hint="eastAsia" w:ascii="仿宋" w:hAnsi="仿宋" w:eastAsia="仿宋"/>
          <w:color w:val="auto"/>
          <w:sz w:val="24"/>
          <w:u w:val="single"/>
        </w:rPr>
        <w:t>不限</w:t>
      </w:r>
      <w:r>
        <w:rPr>
          <w:rFonts w:hint="eastAsia" w:ascii="仿宋" w:hAnsi="仿宋" w:eastAsia="仿宋"/>
          <w:color w:val="auto"/>
          <w:sz w:val="24"/>
        </w:rPr>
        <w:t>。</w:t>
      </w:r>
    </w:p>
    <w:p>
      <w:pPr>
        <w:snapToGrid w:val="0"/>
        <w:spacing w:line="360" w:lineRule="auto"/>
        <w:ind w:firstLine="482" w:firstLineChars="200"/>
        <w:outlineLvl w:val="0"/>
        <w:rPr>
          <w:rFonts w:ascii="仿宋" w:hAnsi="仿宋" w:eastAsia="仿宋"/>
          <w:b/>
          <w:color w:val="auto"/>
          <w:sz w:val="24"/>
        </w:rPr>
      </w:pPr>
      <w:bookmarkStart w:id="404" w:name="_Toc23292"/>
      <w:bookmarkStart w:id="405" w:name="_Toc21551"/>
      <w:bookmarkStart w:id="406" w:name="_Toc21631"/>
    </w:p>
    <w:p>
      <w:pPr>
        <w:snapToGrid w:val="0"/>
        <w:spacing w:line="360" w:lineRule="auto"/>
        <w:ind w:firstLine="482" w:firstLineChars="200"/>
        <w:outlineLvl w:val="0"/>
        <w:rPr>
          <w:rFonts w:ascii="仿宋" w:hAnsi="仿宋" w:eastAsia="仿宋"/>
          <w:b/>
          <w:color w:val="auto"/>
          <w:sz w:val="24"/>
        </w:rPr>
      </w:pPr>
      <w:r>
        <w:rPr>
          <w:rFonts w:ascii="仿宋" w:hAnsi="仿宋" w:eastAsia="仿宋"/>
          <w:b/>
          <w:color w:val="auto"/>
          <w:sz w:val="24"/>
        </w:rPr>
        <w:t xml:space="preserve">1.3 </w:t>
      </w:r>
      <w:r>
        <w:rPr>
          <w:rFonts w:hint="eastAsia" w:ascii="仿宋" w:hAnsi="仿宋" w:eastAsia="仿宋"/>
          <w:b/>
          <w:color w:val="auto"/>
          <w:sz w:val="24"/>
        </w:rPr>
        <w:t>价款</w:t>
      </w:r>
      <w:bookmarkEnd w:id="404"/>
      <w:bookmarkEnd w:id="405"/>
      <w:bookmarkEnd w:id="406"/>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本合同总价为：￥</w:t>
      </w:r>
      <w:r>
        <w:rPr>
          <w:rFonts w:ascii="仿宋" w:hAnsi="仿宋" w:eastAsia="仿宋"/>
          <w:color w:val="auto"/>
          <w:sz w:val="24"/>
          <w:u w:val="single"/>
        </w:rPr>
        <w:t xml:space="preserve">           </w:t>
      </w:r>
      <w:r>
        <w:rPr>
          <w:rFonts w:hint="eastAsia" w:ascii="仿宋" w:hAnsi="仿宋" w:eastAsia="仿宋"/>
          <w:color w:val="auto"/>
          <w:sz w:val="24"/>
        </w:rPr>
        <w:t>元（大写：</w:t>
      </w:r>
      <w:r>
        <w:rPr>
          <w:rFonts w:ascii="仿宋" w:hAnsi="仿宋" w:eastAsia="仿宋"/>
          <w:color w:val="auto"/>
          <w:sz w:val="24"/>
          <w:u w:val="single"/>
        </w:rPr>
        <w:t xml:space="preserve">                 </w:t>
      </w:r>
      <w:r>
        <w:rPr>
          <w:rFonts w:hint="eastAsia" w:ascii="仿宋" w:hAnsi="仿宋" w:eastAsia="仿宋"/>
          <w:color w:val="auto"/>
          <w:sz w:val="24"/>
        </w:rPr>
        <w:t>元人民币）。</w:t>
      </w:r>
    </w:p>
    <w:p>
      <w:pPr>
        <w:snapToGrid w:val="0"/>
        <w:spacing w:line="360" w:lineRule="auto"/>
        <w:ind w:firstLine="480" w:firstLineChars="200"/>
        <w:rPr>
          <w:rFonts w:ascii="仿宋" w:hAnsi="仿宋" w:eastAsia="仿宋"/>
          <w:color w:val="auto"/>
          <w:sz w:val="24"/>
          <w:u w:val="single"/>
        </w:rPr>
      </w:pPr>
      <w:r>
        <w:rPr>
          <w:rFonts w:hint="eastAsia" w:ascii="仿宋" w:hAnsi="仿宋" w:eastAsia="仿宋"/>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color w:val="auto"/>
                <w:sz w:val="24"/>
                <w:szCs w:val="24"/>
              </w:rPr>
            </w:pPr>
            <w:r>
              <w:rPr>
                <w:rFonts w:hint="eastAsia" w:ascii="仿宋" w:hAnsi="仿宋" w:eastAsia="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color w:val="auto"/>
                <w:sz w:val="24"/>
                <w:szCs w:val="24"/>
              </w:rPr>
            </w:pPr>
            <w:r>
              <w:rPr>
                <w:rFonts w:hint="eastAsia" w:ascii="仿宋" w:hAnsi="仿宋" w:eastAsia="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auto"/>
                <w:sz w:val="24"/>
                <w:szCs w:val="24"/>
              </w:rPr>
            </w:pPr>
          </w:p>
        </w:tc>
      </w:tr>
    </w:tbl>
    <w:p>
      <w:pPr>
        <w:snapToGrid w:val="0"/>
        <w:spacing w:line="360" w:lineRule="auto"/>
        <w:ind w:firstLine="482" w:firstLineChars="200"/>
        <w:outlineLvl w:val="0"/>
        <w:rPr>
          <w:rFonts w:ascii="仿宋" w:hAnsi="仿宋" w:eastAsia="仿宋"/>
          <w:b/>
          <w:color w:val="auto"/>
          <w:sz w:val="24"/>
        </w:rPr>
      </w:pPr>
      <w:bookmarkStart w:id="407" w:name="_Toc22618"/>
      <w:bookmarkStart w:id="408" w:name="_Toc1814"/>
      <w:bookmarkStart w:id="409" w:name="_Toc10340"/>
    </w:p>
    <w:p>
      <w:pPr>
        <w:snapToGrid w:val="0"/>
        <w:spacing w:line="360" w:lineRule="auto"/>
        <w:ind w:firstLine="482" w:firstLineChars="200"/>
        <w:outlineLvl w:val="0"/>
        <w:rPr>
          <w:rFonts w:ascii="仿宋" w:hAnsi="仿宋" w:eastAsia="仿宋"/>
          <w:b/>
          <w:color w:val="auto"/>
          <w:sz w:val="24"/>
        </w:rPr>
      </w:pPr>
      <w:r>
        <w:rPr>
          <w:rFonts w:ascii="仿宋" w:hAnsi="仿宋" w:eastAsia="仿宋"/>
          <w:b/>
          <w:color w:val="auto"/>
          <w:sz w:val="24"/>
        </w:rPr>
        <w:t xml:space="preserve">1.4 </w:t>
      </w:r>
      <w:r>
        <w:rPr>
          <w:rFonts w:hint="eastAsia" w:ascii="仿宋" w:hAnsi="仿宋" w:eastAsia="仿宋"/>
          <w:b/>
          <w:color w:val="auto"/>
          <w:sz w:val="24"/>
        </w:rPr>
        <w:t>付款</w:t>
      </w:r>
      <w:bookmarkEnd w:id="407"/>
      <w:bookmarkEnd w:id="408"/>
      <w:bookmarkEnd w:id="409"/>
      <w:r>
        <w:rPr>
          <w:rFonts w:hint="eastAsia" w:ascii="仿宋" w:hAnsi="仿宋" w:eastAsia="仿宋"/>
          <w:b/>
          <w:color w:val="auto"/>
          <w:sz w:val="24"/>
        </w:rPr>
        <w:t>方式、时间和条件</w:t>
      </w:r>
    </w:p>
    <w:p>
      <w:pPr>
        <w:pStyle w:val="958"/>
        <w:adjustRightInd w:val="0"/>
        <w:snapToGrid w:val="0"/>
        <w:spacing w:before="0" w:beforeAutospacing="0" w:after="0" w:afterAutospacing="0" w:line="360" w:lineRule="auto"/>
        <w:ind w:firstLine="480"/>
        <w:rPr>
          <w:rFonts w:ascii="仿宋" w:hAnsi="仿宋" w:eastAsia="仿宋" w:cs="Times New Roman"/>
          <w:color w:val="auto"/>
        </w:rPr>
      </w:pPr>
      <w:r>
        <w:rPr>
          <w:rFonts w:ascii="仿宋" w:hAnsi="仿宋" w:eastAsia="仿宋" w:cs="Times New Roman"/>
          <w:color w:val="auto"/>
        </w:rPr>
        <w:t>1.4.1</w:t>
      </w:r>
      <w:r>
        <w:rPr>
          <w:rFonts w:hint="eastAsia" w:ascii="仿宋" w:hAnsi="仿宋" w:eastAsia="仿宋" w:cs="Times New Roman"/>
          <w:color w:val="auto"/>
        </w:rPr>
        <w:t>甲方应严格履行合同，及时组织验收，验收合格后及时将合同款支付完毕。对于满足合同约定支付条件的，甲方自收到发票后</w:t>
      </w:r>
      <w:r>
        <w:rPr>
          <w:rFonts w:ascii="仿宋" w:hAnsi="仿宋" w:eastAsia="仿宋" w:cs="Times New Roman"/>
          <w:color w:val="auto"/>
        </w:rPr>
        <w:t>5个工作日内将资金支付到合同约定的乙方账户，有条件的甲方可以即时支付。甲方不得以机构变动、人员更替、政策调整、单位放假等为由延迟付款。</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1.4.2甲方在政府采购合同中约定预付款，预付款比例</w:t>
      </w:r>
      <w:r>
        <w:rPr>
          <w:rFonts w:hint="eastAsia" w:ascii="仿宋" w:hAnsi="仿宋" w:eastAsia="仿宋"/>
          <w:color w:val="auto"/>
          <w:sz w:val="24"/>
        </w:rPr>
        <w:t>为</w:t>
      </w:r>
      <w:r>
        <w:rPr>
          <w:rFonts w:ascii="仿宋" w:hAnsi="仿宋" w:eastAsia="仿宋"/>
          <w:color w:val="auto"/>
          <w:sz w:val="24"/>
        </w:rPr>
        <w:t>合同金额的30％；项目分年安排预算的，每年预付款比例</w:t>
      </w:r>
      <w:r>
        <w:rPr>
          <w:rFonts w:hint="eastAsia" w:ascii="仿宋" w:hAnsi="仿宋" w:eastAsia="仿宋"/>
          <w:color w:val="auto"/>
          <w:sz w:val="24"/>
        </w:rPr>
        <w:t>为</w:t>
      </w:r>
      <w:r>
        <w:rPr>
          <w:rFonts w:ascii="仿宋" w:hAnsi="仿宋" w:eastAsia="仿宋"/>
          <w:color w:val="auto"/>
          <w:sz w:val="24"/>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olor w:val="auto"/>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1.4.3</w:t>
      </w:r>
      <w:r>
        <w:rPr>
          <w:rFonts w:hint="eastAsia" w:ascii="仿宋" w:hAnsi="仿宋" w:eastAsia="仿宋"/>
          <w:color w:val="auto"/>
          <w:sz w:val="24"/>
        </w:rPr>
        <w:t>甲方迟延支付乙方款项的，向乙方支付逾期利息。双方可以在合同专用条款中约定逾期利率，约定利率不得低于合同订立时</w:t>
      </w:r>
      <w:r>
        <w:rPr>
          <w:rFonts w:ascii="仿宋" w:hAnsi="仿宋" w:eastAsia="仿宋"/>
          <w:color w:val="auto"/>
          <w:sz w:val="24"/>
        </w:rPr>
        <w:t>1年</w:t>
      </w:r>
      <w:r>
        <w:rPr>
          <w:rFonts w:hint="eastAsia" w:ascii="仿宋" w:hAnsi="仿宋" w:eastAsia="仿宋"/>
          <w:color w:val="auto"/>
          <w:sz w:val="24"/>
        </w:rPr>
        <w:t>期贷款市场报价利率；未作约定的，按照每日利率万分之五支付逾期利息。</w:t>
      </w:r>
    </w:p>
    <w:p>
      <w:pPr>
        <w:snapToGrid w:val="0"/>
        <w:spacing w:line="360" w:lineRule="auto"/>
        <w:ind w:firstLine="480" w:firstLineChars="200"/>
        <w:outlineLvl w:val="0"/>
        <w:rPr>
          <w:rFonts w:ascii="仿宋" w:hAnsi="仿宋" w:eastAsia="仿宋"/>
          <w:color w:val="auto"/>
          <w:sz w:val="24"/>
        </w:rPr>
      </w:pPr>
      <w:r>
        <w:rPr>
          <w:rFonts w:ascii="仿宋" w:hAnsi="仿宋" w:eastAsia="仿宋"/>
          <w:color w:val="auto"/>
          <w:sz w:val="24"/>
        </w:rPr>
        <w:t>1.4.4资金支付的方式、时间和条件详见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napToGrid w:val="0"/>
        <w:spacing w:line="360" w:lineRule="auto"/>
        <w:ind w:firstLine="480" w:firstLineChars="200"/>
        <w:outlineLvl w:val="0"/>
        <w:rPr>
          <w:rFonts w:ascii="仿宋" w:hAnsi="仿宋" w:eastAsia="仿宋"/>
          <w:color w:val="auto"/>
          <w:sz w:val="24"/>
        </w:rPr>
      </w:pPr>
      <w:r>
        <w:rPr>
          <w:rFonts w:ascii="仿宋" w:hAnsi="仿宋" w:eastAsia="仿宋"/>
          <w:color w:val="auto"/>
          <w:sz w:val="24"/>
        </w:rPr>
        <w:t>1.4.5</w:t>
      </w:r>
      <w:r>
        <w:rPr>
          <w:rFonts w:hint="eastAsia" w:ascii="仿宋" w:hAnsi="仿宋" w:eastAsia="仿宋"/>
          <w:color w:val="auto"/>
          <w:sz w:val="24"/>
        </w:rPr>
        <w:t>乙方</w:t>
      </w:r>
      <w:r>
        <w:rPr>
          <w:rFonts w:ascii="仿宋" w:hAnsi="仿宋" w:eastAsia="仿宋"/>
          <w:color w:val="auto"/>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rPr>
        <w:t>杭财采监〔</w:t>
      </w:r>
      <w:r>
        <w:rPr>
          <w:rFonts w:ascii="仿宋" w:hAnsi="仿宋" w:eastAsia="仿宋"/>
          <w:color w:val="auto"/>
          <w:sz w:val="24"/>
        </w:rPr>
        <w:t>2021〕17号）。</w:t>
      </w:r>
    </w:p>
    <w:p>
      <w:pPr>
        <w:snapToGrid w:val="0"/>
        <w:spacing w:line="360" w:lineRule="auto"/>
        <w:ind w:firstLine="482" w:firstLineChars="200"/>
        <w:outlineLvl w:val="0"/>
        <w:rPr>
          <w:rFonts w:ascii="仿宋" w:hAnsi="仿宋" w:eastAsia="仿宋"/>
          <w:b/>
          <w:color w:val="auto"/>
          <w:sz w:val="24"/>
        </w:rPr>
      </w:pPr>
      <w:bookmarkStart w:id="410" w:name="_Toc2846"/>
      <w:bookmarkStart w:id="411" w:name="_Toc19304"/>
      <w:bookmarkStart w:id="412" w:name="_Toc32071"/>
    </w:p>
    <w:p>
      <w:pPr>
        <w:snapToGrid w:val="0"/>
        <w:spacing w:line="360" w:lineRule="auto"/>
        <w:ind w:firstLine="482" w:firstLineChars="200"/>
        <w:outlineLvl w:val="0"/>
        <w:rPr>
          <w:rFonts w:ascii="仿宋" w:hAnsi="仿宋" w:eastAsia="仿宋"/>
          <w:b/>
          <w:color w:val="auto"/>
          <w:sz w:val="24"/>
        </w:rPr>
      </w:pPr>
      <w:r>
        <w:rPr>
          <w:rFonts w:ascii="仿宋" w:hAnsi="仿宋" w:eastAsia="仿宋"/>
          <w:b/>
          <w:color w:val="auto"/>
          <w:sz w:val="24"/>
        </w:rPr>
        <w:t xml:space="preserve">1.5 </w:t>
      </w:r>
      <w:r>
        <w:rPr>
          <w:rFonts w:hint="eastAsia" w:ascii="仿宋" w:hAnsi="仿宋" w:eastAsia="仿宋"/>
          <w:b/>
          <w:color w:val="auto"/>
          <w:sz w:val="24"/>
        </w:rPr>
        <w:t>货物交付期限、地点和方式</w:t>
      </w:r>
      <w:bookmarkEnd w:id="410"/>
      <w:bookmarkEnd w:id="411"/>
      <w:bookmarkEnd w:id="412"/>
    </w:p>
    <w:p>
      <w:pPr>
        <w:snapToGrid w:val="0"/>
        <w:spacing w:line="360" w:lineRule="auto"/>
        <w:ind w:firstLine="480" w:firstLineChars="200"/>
        <w:rPr>
          <w:rFonts w:ascii="仿宋" w:hAnsi="仿宋" w:eastAsia="仿宋"/>
          <w:color w:val="auto"/>
          <w:sz w:val="24"/>
          <w:u w:val="single"/>
        </w:rPr>
      </w:pPr>
      <w:r>
        <w:rPr>
          <w:rFonts w:ascii="仿宋" w:hAnsi="仿宋" w:eastAsia="仿宋"/>
          <w:color w:val="auto"/>
          <w:sz w:val="24"/>
        </w:rPr>
        <w:t xml:space="preserve">1.5.1 </w:t>
      </w:r>
      <w:r>
        <w:rPr>
          <w:rFonts w:hint="eastAsia" w:ascii="仿宋" w:hAnsi="仿宋" w:eastAsia="仿宋"/>
          <w:color w:val="auto"/>
          <w:sz w:val="24"/>
        </w:rPr>
        <w:t>交付期限：</w:t>
      </w:r>
      <w:r>
        <w:rPr>
          <w:rFonts w:ascii="仿宋" w:hAnsi="仿宋" w:eastAsia="仿宋"/>
          <w:color w:val="auto"/>
          <w:sz w:val="24"/>
        </w:rPr>
        <w:t>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1.5.2 </w:t>
      </w:r>
      <w:r>
        <w:rPr>
          <w:rFonts w:hint="eastAsia" w:ascii="仿宋" w:hAnsi="仿宋" w:eastAsia="仿宋"/>
          <w:color w:val="auto"/>
          <w:sz w:val="24"/>
        </w:rPr>
        <w:t>交付地点：</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1.5.3 </w:t>
      </w:r>
      <w:r>
        <w:rPr>
          <w:rFonts w:hint="eastAsia" w:ascii="仿宋" w:hAnsi="仿宋" w:eastAsia="仿宋"/>
          <w:color w:val="auto"/>
          <w:sz w:val="24"/>
        </w:rPr>
        <w:t>交付方式：</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napToGrid w:val="0"/>
        <w:spacing w:line="360" w:lineRule="auto"/>
        <w:ind w:firstLine="482" w:firstLineChars="200"/>
        <w:outlineLvl w:val="0"/>
        <w:rPr>
          <w:rFonts w:ascii="仿宋" w:hAnsi="仿宋" w:eastAsia="仿宋"/>
          <w:b/>
          <w:color w:val="auto"/>
          <w:sz w:val="24"/>
        </w:rPr>
      </w:pPr>
      <w:bookmarkStart w:id="413" w:name="_Toc27250"/>
      <w:bookmarkStart w:id="414" w:name="_Toc21423"/>
      <w:bookmarkStart w:id="415" w:name="_Toc19554"/>
    </w:p>
    <w:p>
      <w:pPr>
        <w:snapToGrid w:val="0"/>
        <w:spacing w:line="360" w:lineRule="auto"/>
        <w:ind w:firstLine="482" w:firstLineChars="200"/>
        <w:outlineLvl w:val="0"/>
        <w:rPr>
          <w:rFonts w:ascii="仿宋" w:hAnsi="仿宋" w:eastAsia="仿宋"/>
          <w:b/>
          <w:color w:val="auto"/>
          <w:sz w:val="24"/>
        </w:rPr>
      </w:pPr>
      <w:r>
        <w:rPr>
          <w:rFonts w:ascii="仿宋" w:hAnsi="仿宋" w:eastAsia="仿宋"/>
          <w:b/>
          <w:color w:val="auto"/>
          <w:sz w:val="24"/>
        </w:rPr>
        <w:t xml:space="preserve">1.6 </w:t>
      </w:r>
      <w:r>
        <w:rPr>
          <w:rFonts w:hint="eastAsia" w:ascii="仿宋" w:hAnsi="仿宋" w:eastAsia="仿宋"/>
          <w:b/>
          <w:color w:val="auto"/>
          <w:sz w:val="24"/>
        </w:rPr>
        <w:t>违约责任</w:t>
      </w:r>
      <w:bookmarkEnd w:id="413"/>
      <w:bookmarkEnd w:id="414"/>
      <w:bookmarkEnd w:id="415"/>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1.6.1 </w:t>
      </w:r>
      <w:r>
        <w:rPr>
          <w:rFonts w:hint="eastAsia" w:ascii="仿宋" w:hAnsi="仿宋" w:eastAsia="仿宋"/>
          <w:color w:val="auto"/>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%；迟延交付货物的违约金计算数额达到前述最高限额之日起，甲方有权在要求乙方支付违约金的同时，书面通知乙方解除本合同；</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1.6.2 </w:t>
      </w:r>
      <w:r>
        <w:rPr>
          <w:rFonts w:hint="eastAsia" w:ascii="仿宋" w:hAnsi="仿宋" w:eastAsia="仿宋"/>
          <w:color w:val="auto"/>
          <w:sz w:val="24"/>
        </w:rPr>
        <w:t>除不可抗力外，如果甲方没有按照本合同约定的付款方式付款，那么乙方可要求甲方支付违约金，违约金按每迟延付款一日的应付而未付款的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%；迟延付款的违约金计算数额达到前述最高限额之日起，乙方有权在要求甲方支付违约金的同时，书面通知甲方解除本合同；</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1.6.3 </w:t>
      </w:r>
      <w:r>
        <w:rPr>
          <w:rFonts w:hint="eastAsia" w:ascii="仿宋" w:hAnsi="仿宋" w:eastAsia="仿宋"/>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1.6.4 </w:t>
      </w:r>
      <w:r>
        <w:rPr>
          <w:rFonts w:hint="eastAsia" w:ascii="仿宋" w:hAnsi="仿宋" w:eastAsia="仿宋"/>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1.6.5 </w:t>
      </w:r>
      <w:r>
        <w:rPr>
          <w:rFonts w:hint="eastAsia" w:ascii="仿宋" w:hAnsi="仿宋" w:eastAsia="仿宋"/>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1.6.6 </w:t>
      </w:r>
      <w:r>
        <w:rPr>
          <w:rFonts w:hint="eastAsia" w:ascii="仿宋" w:hAnsi="仿宋" w:eastAsia="仿宋"/>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napToGrid w:val="0"/>
        <w:spacing w:line="360" w:lineRule="auto"/>
        <w:ind w:left="-420" w:leftChars="-200" w:right="-420" w:rightChars="-200" w:firstLine="960" w:firstLineChars="400"/>
        <w:rPr>
          <w:color w:val="auto"/>
        </w:rPr>
      </w:pPr>
      <w:r>
        <w:rPr>
          <w:rFonts w:hint="eastAsia" w:ascii="仿宋" w:hAnsi="仿宋" w:eastAsia="仿宋"/>
          <w:color w:val="auto"/>
          <w:sz w:val="24"/>
        </w:rPr>
        <w:t>1.6.7违约责任</w:t>
      </w:r>
      <w:r>
        <w:rPr>
          <w:rFonts w:hint="eastAsia" w:ascii="仿宋" w:hAnsi="仿宋" w:eastAsia="仿宋"/>
          <w:b/>
          <w:i/>
          <w:color w:val="auto"/>
          <w:sz w:val="24"/>
          <w:u w:val="single"/>
        </w:rPr>
        <w:t>合同专用条款</w:t>
      </w:r>
      <w:r>
        <w:rPr>
          <w:rFonts w:hint="eastAsia" w:ascii="仿宋" w:hAnsi="仿宋" w:eastAsia="仿宋"/>
          <w:color w:val="auto"/>
          <w:sz w:val="24"/>
        </w:rPr>
        <w:t>另有约定的，从其约定。</w:t>
      </w:r>
    </w:p>
    <w:p>
      <w:pPr>
        <w:snapToGrid w:val="0"/>
        <w:spacing w:line="360" w:lineRule="auto"/>
        <w:ind w:firstLine="482" w:firstLineChars="200"/>
        <w:outlineLvl w:val="0"/>
        <w:rPr>
          <w:rFonts w:ascii="仿宋" w:hAnsi="仿宋" w:eastAsia="仿宋"/>
          <w:b/>
          <w:color w:val="auto"/>
          <w:sz w:val="24"/>
        </w:rPr>
      </w:pPr>
      <w:bookmarkStart w:id="416" w:name="_Toc28375"/>
      <w:bookmarkStart w:id="417" w:name="_Toc15583"/>
      <w:bookmarkStart w:id="418" w:name="_Toc16021"/>
    </w:p>
    <w:p>
      <w:pPr>
        <w:snapToGrid w:val="0"/>
        <w:spacing w:line="360" w:lineRule="auto"/>
        <w:ind w:firstLine="482" w:firstLineChars="200"/>
        <w:outlineLvl w:val="0"/>
        <w:rPr>
          <w:rFonts w:ascii="仿宋" w:hAnsi="仿宋" w:eastAsia="仿宋"/>
          <w:b/>
          <w:color w:val="auto"/>
          <w:sz w:val="24"/>
        </w:rPr>
      </w:pPr>
      <w:r>
        <w:rPr>
          <w:rFonts w:ascii="仿宋" w:hAnsi="仿宋" w:eastAsia="仿宋"/>
          <w:b/>
          <w:color w:val="auto"/>
          <w:sz w:val="24"/>
        </w:rPr>
        <w:t xml:space="preserve">1.7 </w:t>
      </w:r>
      <w:r>
        <w:rPr>
          <w:rFonts w:hint="eastAsia" w:ascii="仿宋" w:hAnsi="仿宋" w:eastAsia="仿宋"/>
          <w:b/>
          <w:color w:val="auto"/>
          <w:sz w:val="24"/>
        </w:rPr>
        <w:t>合同争议的解决</w:t>
      </w:r>
      <w:bookmarkEnd w:id="416"/>
      <w:bookmarkEnd w:id="417"/>
      <w:bookmarkEnd w:id="418"/>
    </w:p>
    <w:p>
      <w:pPr>
        <w:snapToGrid w:val="0"/>
        <w:spacing w:line="360" w:lineRule="auto"/>
        <w:ind w:left="-61" w:leftChars="-29" w:right="-420" w:rightChars="-200" w:firstLine="240" w:firstLineChars="100"/>
        <w:rPr>
          <w:rFonts w:ascii="仿宋" w:hAnsi="仿宋" w:eastAsia="仿宋"/>
          <w:color w:val="auto"/>
          <w:sz w:val="24"/>
        </w:rPr>
      </w:pPr>
      <w:r>
        <w:rPr>
          <w:rFonts w:hint="eastAsia" w:ascii="仿宋" w:hAnsi="仿宋" w:eastAsia="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u w:val="single"/>
        </w:rPr>
        <w:t xml:space="preserve"> 合同专用条款  </w:t>
      </w:r>
      <w:r>
        <w:rPr>
          <w:rFonts w:hint="eastAsia" w:ascii="仿宋" w:hAnsi="仿宋" w:eastAsia="仿宋"/>
          <w:color w:val="auto"/>
          <w:sz w:val="24"/>
        </w:rPr>
        <w:t>条款规定的方式解决：</w:t>
      </w:r>
    </w:p>
    <w:p>
      <w:pPr>
        <w:snapToGrid w:val="0"/>
        <w:spacing w:line="360" w:lineRule="auto"/>
        <w:ind w:left="-420" w:leftChars="-200" w:right="-420" w:rightChars="-200" w:firstLine="600" w:firstLineChars="250"/>
        <w:rPr>
          <w:rFonts w:ascii="仿宋" w:hAnsi="仿宋" w:eastAsia="仿宋"/>
          <w:color w:val="auto"/>
          <w:sz w:val="24"/>
        </w:rPr>
      </w:pPr>
      <w:r>
        <w:rPr>
          <w:rFonts w:ascii="仿宋" w:hAnsi="仿宋" w:eastAsia="仿宋"/>
          <w:color w:val="auto"/>
          <w:sz w:val="24"/>
        </w:rPr>
        <w:t xml:space="preserve">1.7.1 </w:t>
      </w:r>
      <w:r>
        <w:rPr>
          <w:rFonts w:hint="eastAsia" w:ascii="仿宋" w:hAnsi="仿宋" w:eastAsia="仿宋"/>
          <w:color w:val="auto"/>
          <w:sz w:val="24"/>
        </w:rPr>
        <w:t>将争议提交</w:t>
      </w:r>
      <w:r>
        <w:rPr>
          <w:rFonts w:hint="eastAsia" w:ascii="仿宋" w:hAnsi="仿宋" w:eastAsia="仿宋"/>
          <w:b/>
          <w:i/>
          <w:color w:val="auto"/>
          <w:sz w:val="24"/>
          <w:u w:val="single"/>
        </w:rPr>
        <w:t>合同专用条款</w:t>
      </w:r>
      <w:r>
        <w:rPr>
          <w:rFonts w:hint="eastAsia" w:ascii="仿宋" w:hAnsi="仿宋" w:eastAsia="仿宋"/>
          <w:color w:val="auto"/>
          <w:sz w:val="24"/>
        </w:rPr>
        <w:t>仲裁委员会依申请仲裁时其现行有效的仲裁规则裁决；</w:t>
      </w:r>
    </w:p>
    <w:p>
      <w:pPr>
        <w:snapToGrid w:val="0"/>
        <w:spacing w:line="360" w:lineRule="auto"/>
        <w:ind w:left="-420" w:leftChars="-200" w:right="-420" w:rightChars="-200" w:firstLine="600" w:firstLineChars="250"/>
        <w:rPr>
          <w:rFonts w:ascii="仿宋" w:hAnsi="仿宋" w:eastAsia="仿宋"/>
          <w:color w:val="auto"/>
          <w:sz w:val="24"/>
        </w:rPr>
      </w:pPr>
      <w:r>
        <w:rPr>
          <w:rFonts w:ascii="仿宋" w:hAnsi="仿宋" w:eastAsia="仿宋"/>
          <w:color w:val="auto"/>
          <w:sz w:val="24"/>
        </w:rPr>
        <w:t xml:space="preserve">1.7.2 </w:t>
      </w:r>
      <w:r>
        <w:rPr>
          <w:rFonts w:hint="eastAsia" w:ascii="仿宋" w:hAnsi="仿宋" w:eastAsia="仿宋"/>
          <w:color w:val="auto"/>
          <w:sz w:val="24"/>
        </w:rPr>
        <w:t>向</w:t>
      </w:r>
      <w:r>
        <w:rPr>
          <w:rFonts w:hint="eastAsia" w:ascii="仿宋" w:hAnsi="仿宋" w:eastAsia="仿宋"/>
          <w:b/>
          <w:i/>
          <w:color w:val="auto"/>
          <w:sz w:val="24"/>
          <w:u w:val="single"/>
        </w:rPr>
        <w:t>合同专用条款</w:t>
      </w:r>
      <w:r>
        <w:rPr>
          <w:rFonts w:hint="eastAsia" w:ascii="仿宋" w:hAnsi="仿宋" w:eastAsia="仿宋"/>
          <w:color w:val="auto"/>
          <w:sz w:val="24"/>
        </w:rPr>
        <w:t>人民法院起诉。</w:t>
      </w:r>
    </w:p>
    <w:p>
      <w:pPr>
        <w:snapToGrid w:val="0"/>
        <w:spacing w:line="360" w:lineRule="auto"/>
        <w:ind w:firstLine="482" w:firstLineChars="200"/>
        <w:outlineLvl w:val="0"/>
        <w:rPr>
          <w:rFonts w:ascii="仿宋" w:hAnsi="仿宋" w:eastAsia="仿宋"/>
          <w:b/>
          <w:color w:val="auto"/>
          <w:sz w:val="24"/>
        </w:rPr>
      </w:pPr>
      <w:bookmarkStart w:id="419" w:name="_Toc15322"/>
      <w:bookmarkStart w:id="420" w:name="_Toc7245"/>
      <w:bookmarkStart w:id="421" w:name="_Toc11173"/>
    </w:p>
    <w:p>
      <w:pPr>
        <w:snapToGrid w:val="0"/>
        <w:spacing w:line="360" w:lineRule="auto"/>
        <w:ind w:firstLine="482" w:firstLineChars="200"/>
        <w:outlineLvl w:val="0"/>
        <w:rPr>
          <w:rFonts w:ascii="仿宋" w:hAnsi="仿宋" w:eastAsia="仿宋"/>
          <w:b/>
          <w:color w:val="auto"/>
          <w:sz w:val="24"/>
        </w:rPr>
      </w:pPr>
      <w:r>
        <w:rPr>
          <w:rFonts w:ascii="仿宋" w:hAnsi="仿宋" w:eastAsia="仿宋"/>
          <w:b/>
          <w:color w:val="auto"/>
          <w:sz w:val="24"/>
        </w:rPr>
        <w:t xml:space="preserve">1.8 </w:t>
      </w:r>
      <w:r>
        <w:rPr>
          <w:rFonts w:hint="eastAsia" w:ascii="仿宋" w:hAnsi="仿宋" w:eastAsia="仿宋"/>
          <w:b/>
          <w:color w:val="auto"/>
          <w:sz w:val="24"/>
        </w:rPr>
        <w:t>合同生效</w:t>
      </w:r>
      <w:bookmarkEnd w:id="419"/>
      <w:bookmarkEnd w:id="420"/>
      <w:bookmarkEnd w:id="421"/>
    </w:p>
    <w:p>
      <w:pPr>
        <w:snapToGrid w:val="0"/>
        <w:spacing w:line="360" w:lineRule="auto"/>
        <w:ind w:firstLine="480" w:firstLineChars="200"/>
        <w:rPr>
          <w:rFonts w:ascii="仿宋" w:hAnsi="仿宋" w:eastAsia="仿宋"/>
          <w:b/>
          <w:color w:val="auto"/>
          <w:sz w:val="24"/>
        </w:rPr>
      </w:pPr>
      <w:r>
        <w:rPr>
          <w:rFonts w:hint="eastAsia" w:ascii="仿宋" w:hAnsi="仿宋" w:eastAsia="仿宋"/>
          <w:color w:val="auto"/>
          <w:sz w:val="24"/>
        </w:rPr>
        <w:t>本合同自双方当事人盖章或者签字时生效。</w:t>
      </w:r>
    </w:p>
    <w:p>
      <w:pPr>
        <w:autoSpaceDE w:val="0"/>
        <w:autoSpaceDN w:val="0"/>
        <w:spacing w:line="560" w:lineRule="exact"/>
        <w:rPr>
          <w:rFonts w:ascii="仿宋" w:hAnsi="仿宋" w:eastAsia="仿宋"/>
          <w:color w:val="auto"/>
          <w:sz w:val="24"/>
          <w:lang w:val="zh-CN"/>
        </w:rPr>
      </w:pPr>
    </w:p>
    <w:p>
      <w:pPr>
        <w:autoSpaceDE w:val="0"/>
        <w:autoSpaceDN w:val="0"/>
        <w:snapToGrid w:val="0"/>
        <w:spacing w:line="360" w:lineRule="auto"/>
        <w:rPr>
          <w:rFonts w:ascii="仿宋" w:hAnsi="仿宋" w:eastAsia="仿宋"/>
          <w:color w:val="auto"/>
          <w:sz w:val="24"/>
          <w:lang w:val="zh-CN"/>
        </w:rPr>
      </w:pPr>
      <w:r>
        <w:rPr>
          <w:rFonts w:hint="eastAsia" w:ascii="仿宋" w:hAnsi="仿宋" w:eastAsia="仿宋"/>
          <w:b/>
          <w:color w:val="auto"/>
          <w:sz w:val="24"/>
          <w:lang w:val="zh-CN"/>
        </w:rPr>
        <w:t>甲方</w:t>
      </w:r>
      <w:r>
        <w:rPr>
          <w:rFonts w:hint="eastAsia" w:ascii="仿宋" w:hAnsi="仿宋" w:eastAsia="仿宋"/>
          <w:color w:val="auto"/>
          <w:sz w:val="24"/>
          <w:lang w:val="zh-CN"/>
        </w:rPr>
        <w:t>：</w:t>
      </w:r>
      <w:r>
        <w:rPr>
          <w:rFonts w:ascii="仿宋" w:hAnsi="仿宋" w:eastAsia="仿宋"/>
          <w:color w:val="auto"/>
          <w:sz w:val="24"/>
          <w:lang w:val="zh-CN"/>
        </w:rPr>
        <w:t xml:space="preserve">                             </w:t>
      </w:r>
      <w:r>
        <w:rPr>
          <w:rFonts w:ascii="仿宋" w:hAnsi="仿宋" w:eastAsia="仿宋"/>
          <w:b/>
          <w:color w:val="auto"/>
          <w:sz w:val="24"/>
          <w:lang w:val="zh-CN"/>
        </w:rPr>
        <w:t xml:space="preserve">      乙方</w:t>
      </w:r>
      <w:r>
        <w:rPr>
          <w:rFonts w:hint="eastAsia" w:ascii="仿宋" w:hAnsi="仿宋" w:eastAsia="仿宋"/>
          <w:color w:val="auto"/>
          <w:sz w:val="24"/>
          <w:lang w:val="zh-CN"/>
        </w:rPr>
        <w:t>：</w:t>
      </w:r>
    </w:p>
    <w:p>
      <w:pPr>
        <w:autoSpaceDE w:val="0"/>
        <w:autoSpaceDN w:val="0"/>
        <w:snapToGrid w:val="0"/>
        <w:spacing w:line="360" w:lineRule="auto"/>
        <w:rPr>
          <w:rFonts w:ascii="仿宋" w:hAnsi="仿宋" w:eastAsia="仿宋"/>
          <w:color w:val="auto"/>
          <w:sz w:val="24"/>
          <w:lang w:val="zh-CN"/>
        </w:rPr>
      </w:pPr>
      <w:r>
        <w:rPr>
          <w:rFonts w:hint="eastAsia" w:ascii="仿宋" w:hAnsi="仿宋" w:eastAsia="仿宋"/>
          <w:color w:val="auto"/>
          <w:sz w:val="24"/>
          <w:lang w:val="zh-CN"/>
        </w:rPr>
        <w:t>统一社会信用代码：</w:t>
      </w:r>
      <w:r>
        <w:rPr>
          <w:rFonts w:ascii="仿宋" w:hAnsi="仿宋" w:eastAsia="仿宋"/>
          <w:color w:val="auto"/>
          <w:sz w:val="24"/>
          <w:lang w:val="zh-CN"/>
        </w:rPr>
        <w:t xml:space="preserve">                        </w:t>
      </w:r>
      <w:r>
        <w:rPr>
          <w:rFonts w:hint="eastAsia" w:ascii="仿宋" w:hAnsi="仿宋" w:eastAsia="仿宋"/>
          <w:color w:val="auto"/>
          <w:sz w:val="24"/>
          <w:lang w:val="zh-CN"/>
        </w:rPr>
        <w:t>统一社会信用代码或身份证号码：</w:t>
      </w:r>
    </w:p>
    <w:p>
      <w:pPr>
        <w:autoSpaceDE w:val="0"/>
        <w:autoSpaceDN w:val="0"/>
        <w:snapToGrid w:val="0"/>
        <w:spacing w:line="360" w:lineRule="auto"/>
        <w:rPr>
          <w:rFonts w:ascii="仿宋" w:hAnsi="仿宋" w:eastAsia="仿宋"/>
          <w:color w:val="auto"/>
          <w:sz w:val="24"/>
          <w:lang w:val="zh-CN"/>
        </w:rPr>
      </w:pPr>
    </w:p>
    <w:p>
      <w:pPr>
        <w:autoSpaceDE w:val="0"/>
        <w:autoSpaceDN w:val="0"/>
        <w:snapToGrid w:val="0"/>
        <w:spacing w:line="360" w:lineRule="auto"/>
        <w:rPr>
          <w:rFonts w:ascii="仿宋" w:hAnsi="仿宋" w:eastAsia="仿宋"/>
          <w:color w:val="auto"/>
          <w:sz w:val="24"/>
          <w:lang w:val="zh-CN"/>
        </w:rPr>
      </w:pPr>
      <w:r>
        <w:rPr>
          <w:rFonts w:hint="eastAsia" w:ascii="仿宋" w:hAnsi="仿宋" w:eastAsia="仿宋"/>
          <w:color w:val="auto"/>
          <w:sz w:val="24"/>
          <w:lang w:val="zh-CN"/>
        </w:rPr>
        <w:t>住所：</w:t>
      </w:r>
      <w:r>
        <w:rPr>
          <w:rFonts w:ascii="仿宋" w:hAnsi="仿宋" w:eastAsia="仿宋"/>
          <w:color w:val="auto"/>
          <w:sz w:val="24"/>
          <w:lang w:val="zh-CN"/>
        </w:rPr>
        <w:t xml:space="preserve">                                   </w:t>
      </w:r>
      <w:r>
        <w:rPr>
          <w:rFonts w:hint="eastAsia" w:ascii="仿宋" w:hAnsi="仿宋" w:eastAsia="仿宋"/>
          <w:color w:val="auto"/>
          <w:sz w:val="24"/>
          <w:lang w:val="zh-CN"/>
        </w:rPr>
        <w:t>住所：</w:t>
      </w:r>
    </w:p>
    <w:p>
      <w:pPr>
        <w:autoSpaceDE w:val="0"/>
        <w:autoSpaceDN w:val="0"/>
        <w:snapToGrid w:val="0"/>
        <w:spacing w:line="360" w:lineRule="auto"/>
        <w:rPr>
          <w:rFonts w:ascii="仿宋" w:hAnsi="仿宋" w:eastAsia="仿宋"/>
          <w:color w:val="auto"/>
          <w:sz w:val="24"/>
          <w:lang w:val="zh-CN"/>
        </w:rPr>
      </w:pPr>
      <w:r>
        <w:rPr>
          <w:rFonts w:hint="eastAsia" w:ascii="仿宋" w:hAnsi="仿宋" w:eastAsia="仿宋"/>
          <w:color w:val="auto"/>
          <w:sz w:val="24"/>
          <w:lang w:val="zh-CN"/>
        </w:rPr>
        <w:t>法定代表人或</w:t>
      </w:r>
      <w:r>
        <w:rPr>
          <w:rFonts w:ascii="仿宋" w:hAnsi="仿宋" w:eastAsia="仿宋"/>
          <w:color w:val="auto"/>
          <w:sz w:val="24"/>
          <w:lang w:val="zh-CN"/>
        </w:rPr>
        <w:t xml:space="preserve">                             </w:t>
      </w:r>
      <w:r>
        <w:rPr>
          <w:rFonts w:hint="eastAsia" w:ascii="仿宋" w:hAnsi="仿宋" w:eastAsia="仿宋"/>
          <w:color w:val="auto"/>
          <w:sz w:val="24"/>
          <w:lang w:val="zh-CN"/>
        </w:rPr>
        <w:t>法定代表人</w:t>
      </w:r>
    </w:p>
    <w:p>
      <w:pPr>
        <w:autoSpaceDE w:val="0"/>
        <w:autoSpaceDN w:val="0"/>
        <w:snapToGrid w:val="0"/>
        <w:spacing w:line="360" w:lineRule="auto"/>
        <w:rPr>
          <w:rFonts w:ascii="仿宋" w:hAnsi="仿宋" w:eastAsia="仿宋"/>
          <w:color w:val="auto"/>
          <w:sz w:val="24"/>
          <w:lang w:val="zh-CN"/>
        </w:rPr>
      </w:pPr>
      <w:r>
        <w:rPr>
          <w:rFonts w:hint="eastAsia" w:ascii="仿宋" w:hAnsi="仿宋" w:eastAsia="仿宋"/>
          <w:color w:val="auto"/>
          <w:sz w:val="24"/>
          <w:lang w:val="zh-CN"/>
        </w:rPr>
        <w:t>授权代表（签字）：</w:t>
      </w:r>
      <w:r>
        <w:rPr>
          <w:rFonts w:ascii="仿宋" w:hAnsi="仿宋" w:eastAsia="仿宋"/>
          <w:color w:val="auto"/>
          <w:sz w:val="24"/>
          <w:lang w:val="zh-CN"/>
        </w:rPr>
        <w:t xml:space="preserve">                        或授权代表（签字）: </w:t>
      </w:r>
    </w:p>
    <w:p>
      <w:pPr>
        <w:autoSpaceDE w:val="0"/>
        <w:autoSpaceDN w:val="0"/>
        <w:snapToGrid w:val="0"/>
        <w:spacing w:line="360" w:lineRule="auto"/>
        <w:rPr>
          <w:rFonts w:ascii="仿宋" w:hAnsi="仿宋" w:eastAsia="仿宋"/>
          <w:color w:val="auto"/>
          <w:sz w:val="24"/>
          <w:lang w:val="zh-CN"/>
        </w:rPr>
      </w:pPr>
      <w:r>
        <w:rPr>
          <w:rFonts w:hint="eastAsia" w:ascii="仿宋" w:hAnsi="仿宋" w:eastAsia="仿宋"/>
          <w:color w:val="auto"/>
          <w:sz w:val="24"/>
          <w:lang w:val="zh-CN"/>
        </w:rPr>
        <w:t>联系人：</w:t>
      </w:r>
      <w:r>
        <w:rPr>
          <w:rFonts w:ascii="仿宋" w:hAnsi="仿宋" w:eastAsia="仿宋"/>
          <w:color w:val="auto"/>
          <w:sz w:val="24"/>
          <w:lang w:val="zh-CN"/>
        </w:rPr>
        <w:t xml:space="preserve">                                 </w:t>
      </w:r>
      <w:r>
        <w:rPr>
          <w:rFonts w:hint="eastAsia" w:ascii="仿宋" w:hAnsi="仿宋" w:eastAsia="仿宋"/>
          <w:color w:val="auto"/>
          <w:sz w:val="24"/>
          <w:lang w:val="zh-CN"/>
        </w:rPr>
        <w:t>联系人：</w:t>
      </w:r>
    </w:p>
    <w:p>
      <w:pPr>
        <w:autoSpaceDE w:val="0"/>
        <w:autoSpaceDN w:val="0"/>
        <w:snapToGrid w:val="0"/>
        <w:spacing w:line="360" w:lineRule="auto"/>
        <w:rPr>
          <w:rFonts w:ascii="仿宋" w:hAnsi="仿宋" w:eastAsia="仿宋"/>
          <w:color w:val="auto"/>
          <w:sz w:val="24"/>
          <w:lang w:val="zh-CN"/>
        </w:rPr>
      </w:pPr>
      <w:r>
        <w:rPr>
          <w:rFonts w:hint="eastAsia" w:ascii="仿宋" w:hAnsi="仿宋" w:eastAsia="仿宋"/>
          <w:color w:val="auto"/>
          <w:sz w:val="24"/>
          <w:lang w:val="zh-CN"/>
        </w:rPr>
        <w:t>约定送达地址：</w:t>
      </w:r>
      <w:r>
        <w:rPr>
          <w:rFonts w:ascii="仿宋" w:hAnsi="仿宋" w:eastAsia="仿宋"/>
          <w:color w:val="auto"/>
          <w:sz w:val="24"/>
          <w:lang w:val="zh-CN"/>
        </w:rPr>
        <w:t xml:space="preserve">                           </w:t>
      </w:r>
      <w:r>
        <w:rPr>
          <w:rFonts w:hint="eastAsia" w:ascii="仿宋" w:hAnsi="仿宋" w:eastAsia="仿宋"/>
          <w:color w:val="auto"/>
          <w:sz w:val="24"/>
          <w:lang w:val="zh-CN"/>
        </w:rPr>
        <w:t>约定送达地址：</w:t>
      </w:r>
    </w:p>
    <w:p>
      <w:pPr>
        <w:autoSpaceDE w:val="0"/>
        <w:autoSpaceDN w:val="0"/>
        <w:snapToGrid w:val="0"/>
        <w:spacing w:line="360" w:lineRule="auto"/>
        <w:rPr>
          <w:rFonts w:ascii="仿宋" w:hAnsi="仿宋" w:eastAsia="仿宋"/>
          <w:color w:val="auto"/>
          <w:sz w:val="24"/>
          <w:lang w:val="zh-CN"/>
        </w:rPr>
      </w:pPr>
      <w:r>
        <w:rPr>
          <w:rFonts w:hint="eastAsia" w:ascii="仿宋" w:hAnsi="仿宋" w:eastAsia="仿宋"/>
          <w:color w:val="auto"/>
          <w:sz w:val="24"/>
          <w:lang w:val="zh-CN"/>
        </w:rPr>
        <w:t>邮政编码：</w:t>
      </w:r>
      <w:r>
        <w:rPr>
          <w:rFonts w:ascii="仿宋" w:hAnsi="仿宋" w:eastAsia="仿宋"/>
          <w:color w:val="auto"/>
          <w:sz w:val="24"/>
          <w:lang w:val="zh-CN"/>
        </w:rPr>
        <w:t xml:space="preserve">                               </w:t>
      </w:r>
      <w:r>
        <w:rPr>
          <w:rFonts w:hint="eastAsia" w:ascii="仿宋" w:hAnsi="仿宋" w:eastAsia="仿宋"/>
          <w:color w:val="auto"/>
          <w:sz w:val="24"/>
          <w:lang w:val="zh-CN"/>
        </w:rPr>
        <w:t>邮政编码：</w:t>
      </w:r>
    </w:p>
    <w:p>
      <w:pPr>
        <w:autoSpaceDE w:val="0"/>
        <w:autoSpaceDN w:val="0"/>
        <w:snapToGrid w:val="0"/>
        <w:spacing w:line="360" w:lineRule="auto"/>
        <w:rPr>
          <w:rFonts w:ascii="仿宋" w:hAnsi="仿宋" w:eastAsia="仿宋"/>
          <w:color w:val="auto"/>
          <w:sz w:val="24"/>
          <w:lang w:val="zh-CN"/>
        </w:rPr>
      </w:pPr>
      <w:r>
        <w:rPr>
          <w:rFonts w:hint="eastAsia" w:ascii="仿宋" w:hAnsi="仿宋" w:eastAsia="仿宋"/>
          <w:color w:val="auto"/>
          <w:sz w:val="24"/>
          <w:lang w:val="zh-CN"/>
        </w:rPr>
        <w:t>电话</w:t>
      </w:r>
      <w:r>
        <w:rPr>
          <w:rFonts w:ascii="仿宋" w:hAnsi="仿宋" w:eastAsia="仿宋"/>
          <w:color w:val="auto"/>
          <w:sz w:val="24"/>
          <w:lang w:val="zh-CN"/>
        </w:rPr>
        <w:t xml:space="preserve">:                                    电话: </w:t>
      </w:r>
    </w:p>
    <w:p>
      <w:pPr>
        <w:autoSpaceDE w:val="0"/>
        <w:autoSpaceDN w:val="0"/>
        <w:snapToGrid w:val="0"/>
        <w:spacing w:line="360" w:lineRule="auto"/>
        <w:rPr>
          <w:rFonts w:ascii="仿宋" w:hAnsi="仿宋" w:eastAsia="仿宋"/>
          <w:color w:val="auto"/>
          <w:sz w:val="24"/>
          <w:lang w:val="zh-CN"/>
        </w:rPr>
      </w:pPr>
      <w:r>
        <w:rPr>
          <w:rFonts w:hint="eastAsia" w:ascii="仿宋" w:hAnsi="仿宋" w:eastAsia="仿宋"/>
          <w:color w:val="auto"/>
          <w:sz w:val="24"/>
          <w:lang w:val="zh-CN"/>
        </w:rPr>
        <w:t>传真</w:t>
      </w:r>
      <w:r>
        <w:rPr>
          <w:rFonts w:ascii="仿宋" w:hAnsi="仿宋" w:eastAsia="仿宋"/>
          <w:color w:val="auto"/>
          <w:sz w:val="24"/>
          <w:lang w:val="zh-CN"/>
        </w:rPr>
        <w:t xml:space="preserve">:                                    </w:t>
      </w:r>
      <w:r>
        <w:rPr>
          <w:rFonts w:hint="eastAsia" w:ascii="仿宋" w:hAnsi="仿宋" w:eastAsia="仿宋"/>
          <w:color w:val="auto"/>
          <w:sz w:val="24"/>
          <w:lang w:val="zh-CN"/>
        </w:rPr>
        <w:t>传真</w:t>
      </w:r>
      <w:r>
        <w:rPr>
          <w:rFonts w:ascii="仿宋" w:hAnsi="仿宋" w:eastAsia="仿宋"/>
          <w:color w:val="auto"/>
          <w:sz w:val="24"/>
          <w:lang w:val="zh-CN"/>
        </w:rPr>
        <w:t>:</w:t>
      </w:r>
    </w:p>
    <w:p>
      <w:pPr>
        <w:autoSpaceDE w:val="0"/>
        <w:autoSpaceDN w:val="0"/>
        <w:snapToGrid w:val="0"/>
        <w:spacing w:line="360" w:lineRule="auto"/>
        <w:rPr>
          <w:rFonts w:ascii="仿宋" w:hAnsi="仿宋" w:eastAsia="仿宋"/>
          <w:color w:val="auto"/>
          <w:sz w:val="24"/>
        </w:rPr>
      </w:pPr>
      <w:r>
        <w:rPr>
          <w:rFonts w:hint="eastAsia" w:ascii="仿宋" w:hAnsi="仿宋" w:eastAsia="仿宋"/>
          <w:color w:val="auto"/>
          <w:sz w:val="24"/>
          <w:lang w:val="zh-CN"/>
        </w:rPr>
        <w:t>电子邮箱：</w:t>
      </w:r>
      <w:r>
        <w:rPr>
          <w:rFonts w:ascii="仿宋" w:hAnsi="仿宋" w:eastAsia="仿宋"/>
          <w:color w:val="auto"/>
          <w:sz w:val="24"/>
          <w:lang w:val="zh-CN"/>
        </w:rPr>
        <w:t xml:space="preserve">                               </w:t>
      </w:r>
      <w:r>
        <w:rPr>
          <w:rFonts w:hint="eastAsia" w:ascii="仿宋" w:hAnsi="仿宋" w:eastAsia="仿宋"/>
          <w:color w:val="auto"/>
          <w:sz w:val="24"/>
          <w:lang w:val="zh-CN"/>
        </w:rPr>
        <w:t>电子邮箱：</w:t>
      </w:r>
    </w:p>
    <w:p>
      <w:pPr>
        <w:autoSpaceDE w:val="0"/>
        <w:autoSpaceDN w:val="0"/>
        <w:snapToGrid w:val="0"/>
        <w:spacing w:line="360" w:lineRule="auto"/>
        <w:rPr>
          <w:rFonts w:ascii="仿宋" w:hAnsi="仿宋" w:eastAsia="仿宋"/>
          <w:color w:val="auto"/>
          <w:sz w:val="24"/>
        </w:rPr>
      </w:pPr>
      <w:r>
        <w:rPr>
          <w:rFonts w:hint="eastAsia" w:ascii="仿宋" w:hAnsi="仿宋" w:eastAsia="仿宋"/>
          <w:color w:val="auto"/>
          <w:sz w:val="24"/>
        </w:rPr>
        <w:t>开户银行：</w:t>
      </w:r>
      <w:r>
        <w:rPr>
          <w:rFonts w:ascii="仿宋" w:hAnsi="仿宋" w:eastAsia="仿宋"/>
          <w:color w:val="auto"/>
          <w:sz w:val="24"/>
        </w:rPr>
        <w:t xml:space="preserve">                               开户银行： </w:t>
      </w:r>
    </w:p>
    <w:p>
      <w:pPr>
        <w:autoSpaceDE w:val="0"/>
        <w:autoSpaceDN w:val="0"/>
        <w:snapToGrid w:val="0"/>
        <w:spacing w:line="360" w:lineRule="auto"/>
        <w:rPr>
          <w:rFonts w:ascii="仿宋" w:hAnsi="仿宋" w:eastAsia="仿宋"/>
          <w:color w:val="auto"/>
          <w:sz w:val="24"/>
        </w:rPr>
      </w:pPr>
      <w:r>
        <w:rPr>
          <w:rFonts w:hint="eastAsia" w:ascii="仿宋" w:hAnsi="仿宋" w:eastAsia="仿宋"/>
          <w:color w:val="auto"/>
          <w:sz w:val="24"/>
        </w:rPr>
        <w:t>开户名称：</w:t>
      </w:r>
      <w:r>
        <w:rPr>
          <w:rFonts w:ascii="仿宋" w:hAnsi="仿宋" w:eastAsia="仿宋"/>
          <w:color w:val="auto"/>
          <w:sz w:val="24"/>
        </w:rPr>
        <w:t xml:space="preserve">                               开户名称： </w:t>
      </w:r>
    </w:p>
    <w:p>
      <w:pPr>
        <w:autoSpaceDE w:val="0"/>
        <w:autoSpaceDN w:val="0"/>
        <w:snapToGrid w:val="0"/>
        <w:spacing w:line="360" w:lineRule="auto"/>
        <w:rPr>
          <w:rFonts w:ascii="仿宋" w:hAnsi="仿宋" w:eastAsia="仿宋"/>
          <w:color w:val="auto"/>
          <w:sz w:val="24"/>
        </w:rPr>
      </w:pPr>
      <w:r>
        <w:rPr>
          <w:rFonts w:hint="eastAsia" w:ascii="仿宋" w:hAnsi="仿宋" w:eastAsia="仿宋"/>
          <w:color w:val="auto"/>
          <w:sz w:val="24"/>
        </w:rPr>
        <w:t>开户账号：</w:t>
      </w:r>
      <w:r>
        <w:rPr>
          <w:rFonts w:ascii="仿宋" w:hAnsi="仿宋" w:eastAsia="仿宋"/>
          <w:color w:val="auto"/>
          <w:sz w:val="24"/>
          <w:lang w:val="zh-CN"/>
        </w:rPr>
        <w:t xml:space="preserve">                               </w:t>
      </w:r>
      <w:r>
        <w:rPr>
          <w:rFonts w:hint="eastAsia" w:ascii="仿宋" w:hAnsi="仿宋" w:eastAsia="仿宋"/>
          <w:color w:val="auto"/>
          <w:sz w:val="24"/>
        </w:rPr>
        <w:t>开户账号：</w:t>
      </w:r>
    </w:p>
    <w:p>
      <w:pPr>
        <w:rPr>
          <w:rFonts w:ascii="仿宋" w:hAnsi="仿宋" w:eastAsia="仿宋"/>
          <w:b/>
          <w:color w:val="auto"/>
        </w:rPr>
      </w:pPr>
      <w:bookmarkStart w:id="422" w:name="_Toc331685783"/>
      <w:r>
        <w:rPr>
          <w:rFonts w:hint="eastAsia" w:ascii="仿宋" w:hAnsi="仿宋" w:eastAsia="仿宋"/>
          <w:b/>
          <w:color w:val="auto"/>
        </w:rPr>
        <w:br w:type="page"/>
      </w:r>
    </w:p>
    <w:p>
      <w:pPr>
        <w:pStyle w:val="700"/>
        <w:spacing w:line="560" w:lineRule="exact"/>
        <w:ind w:left="0" w:leftChars="0" w:firstLine="0" w:firstLineChars="0"/>
        <w:jc w:val="center"/>
        <w:rPr>
          <w:rFonts w:ascii="仿宋" w:hAnsi="仿宋" w:eastAsia="仿宋"/>
          <w:b/>
          <w:color w:val="auto"/>
          <w:szCs w:val="24"/>
        </w:rPr>
      </w:pPr>
      <w:r>
        <w:rPr>
          <w:rFonts w:hint="eastAsia" w:ascii="仿宋" w:hAnsi="仿宋" w:eastAsia="仿宋"/>
          <w:b/>
          <w:color w:val="auto"/>
          <w:szCs w:val="24"/>
        </w:rPr>
        <w:t>第二部分</w:t>
      </w:r>
      <w:r>
        <w:rPr>
          <w:rFonts w:ascii="仿宋" w:hAnsi="仿宋" w:eastAsia="仿宋"/>
          <w:b/>
          <w:color w:val="auto"/>
          <w:szCs w:val="24"/>
        </w:rPr>
        <w:t xml:space="preserve"> </w:t>
      </w:r>
      <w:r>
        <w:rPr>
          <w:rFonts w:hint="eastAsia" w:ascii="仿宋" w:hAnsi="仿宋" w:eastAsia="仿宋"/>
          <w:b/>
          <w:color w:val="auto"/>
          <w:szCs w:val="24"/>
        </w:rPr>
        <w:t>合同一般条款</w:t>
      </w:r>
      <w:bookmarkEnd w:id="422"/>
    </w:p>
    <w:p>
      <w:pPr>
        <w:snapToGrid w:val="0"/>
        <w:spacing w:line="360" w:lineRule="auto"/>
        <w:ind w:firstLine="482" w:firstLineChars="200"/>
        <w:outlineLvl w:val="0"/>
        <w:rPr>
          <w:rFonts w:ascii="仿宋" w:hAnsi="仿宋" w:eastAsia="仿宋"/>
          <w:b/>
          <w:color w:val="auto"/>
          <w:sz w:val="24"/>
        </w:rPr>
      </w:pPr>
      <w:bookmarkStart w:id="423" w:name="_Ref467379205"/>
      <w:bookmarkStart w:id="424" w:name="_Ref467378463"/>
      <w:bookmarkStart w:id="425" w:name="_Toc259093669"/>
      <w:bookmarkStart w:id="426" w:name="_Toc16917"/>
      <w:bookmarkStart w:id="427" w:name="_Ref467379101"/>
      <w:bookmarkStart w:id="428" w:name="_Ref467378499"/>
      <w:bookmarkStart w:id="429" w:name="_Toc28763"/>
      <w:bookmarkStart w:id="430" w:name="_Ref467379109"/>
      <w:bookmarkStart w:id="431" w:name="_Toc487900349"/>
      <w:bookmarkStart w:id="432" w:name="_Toc19614"/>
      <w:bookmarkStart w:id="433" w:name="_Toc279701240"/>
      <w:bookmarkStart w:id="434" w:name="_Ref467378404"/>
      <w:bookmarkStart w:id="435" w:name="_Ref467379094"/>
      <w:bookmarkStart w:id="436" w:name="_Ref467379225"/>
      <w:bookmarkStart w:id="437" w:name="_Ref467379195"/>
      <w:bookmarkStart w:id="438" w:name="_Ref467379214"/>
      <w:r>
        <w:rPr>
          <w:rFonts w:ascii="仿宋" w:hAnsi="仿宋" w:eastAsia="仿宋"/>
          <w:b/>
          <w:color w:val="auto"/>
          <w:sz w:val="24"/>
        </w:rPr>
        <w:t xml:space="preserve">2.1 </w:t>
      </w:r>
      <w:r>
        <w:rPr>
          <w:rFonts w:hint="eastAsia" w:ascii="仿宋" w:hAnsi="仿宋" w:eastAsia="仿宋"/>
          <w:b/>
          <w:color w:val="auto"/>
          <w:sz w:val="24"/>
        </w:rPr>
        <w:t>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本合同中的下列词语应按以下内容进行解释：</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2.1.1 </w:t>
      </w:r>
      <w:r>
        <w:rPr>
          <w:rFonts w:hint="eastAsia" w:ascii="仿宋" w:hAnsi="仿宋" w:eastAsia="仿宋"/>
          <w:color w:val="auto"/>
          <w:sz w:val="24"/>
        </w:rPr>
        <w:t>“合同”系指采购人和中标供应商签订的载明双方当事人所达成的协议，并包括所有的附件、附录和构成合同的其他文件。</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2.1.2 </w:t>
      </w:r>
      <w:r>
        <w:rPr>
          <w:rFonts w:hint="eastAsia" w:ascii="仿宋" w:hAnsi="仿宋" w:eastAsia="仿宋"/>
          <w:color w:val="auto"/>
          <w:sz w:val="24"/>
        </w:rPr>
        <w:t>“合同价”系指根据合同约定，中标供应商在完全履行合同义务后，采购人应支付给中标供应商的价格。</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2.1.3 </w:t>
      </w:r>
      <w:r>
        <w:rPr>
          <w:rFonts w:hint="eastAsia" w:ascii="仿宋" w:hAnsi="仿宋" w:eastAsia="仿宋"/>
          <w:color w:val="auto"/>
          <w:sz w:val="24"/>
        </w:rPr>
        <w:t>“货物”系指中标供应商根据合同约定应向采购人交付的一切各种形态和种类的物品，包括原材料、燃料、设备、机械、仪表、备件、计算机软件、产品等，并包括工具、手册等其他相关资料。</w:t>
      </w:r>
    </w:p>
    <w:p>
      <w:pPr>
        <w:snapToGrid w:val="0"/>
        <w:spacing w:line="360" w:lineRule="auto"/>
        <w:ind w:firstLine="480" w:firstLineChars="200"/>
        <w:rPr>
          <w:rFonts w:ascii="仿宋" w:hAnsi="仿宋" w:eastAsia="仿宋"/>
          <w:color w:val="auto"/>
          <w:sz w:val="24"/>
        </w:rPr>
      </w:pPr>
      <w:bookmarkStart w:id="439" w:name="_Ref467378840"/>
      <w:r>
        <w:rPr>
          <w:rFonts w:ascii="仿宋" w:hAnsi="仿宋" w:eastAsia="仿宋"/>
          <w:color w:val="auto"/>
          <w:sz w:val="24"/>
        </w:rPr>
        <w:t xml:space="preserve">2.1.4 </w:t>
      </w:r>
      <w:r>
        <w:rPr>
          <w:rFonts w:hint="eastAsia" w:ascii="仿宋" w:hAnsi="仿宋" w:eastAsia="仿宋"/>
          <w:color w:val="auto"/>
          <w:sz w:val="24"/>
        </w:rPr>
        <w:t>“甲方”系指与中标供应商签署合同的采购人</w:t>
      </w:r>
      <w:bookmarkEnd w:id="439"/>
      <w:r>
        <w:rPr>
          <w:rFonts w:hint="eastAsia" w:ascii="仿宋" w:hAnsi="仿宋" w:eastAsia="仿宋"/>
          <w:color w:val="auto"/>
          <w:sz w:val="24"/>
        </w:rPr>
        <w:t>；采购人委托采购代理机构代表其与乙方签订合同的，采购人的授权委托书作为合同附件。</w:t>
      </w:r>
    </w:p>
    <w:p>
      <w:pPr>
        <w:snapToGrid w:val="0"/>
        <w:spacing w:line="360" w:lineRule="auto"/>
        <w:ind w:firstLine="480" w:firstLineChars="200"/>
        <w:rPr>
          <w:rFonts w:ascii="仿宋" w:hAnsi="仿宋" w:eastAsia="仿宋"/>
          <w:color w:val="auto"/>
          <w:sz w:val="24"/>
        </w:rPr>
      </w:pPr>
      <w:bookmarkStart w:id="440" w:name="_Ref467379400"/>
      <w:r>
        <w:rPr>
          <w:rFonts w:ascii="仿宋" w:hAnsi="仿宋" w:eastAsia="仿宋"/>
          <w:color w:val="auto"/>
          <w:sz w:val="24"/>
        </w:rPr>
        <w:t xml:space="preserve">2.1.5 </w:t>
      </w:r>
      <w:r>
        <w:rPr>
          <w:rFonts w:hint="eastAsia" w:ascii="仿宋" w:hAnsi="仿宋" w:eastAsia="仿宋"/>
          <w:color w:val="auto"/>
          <w:sz w:val="24"/>
        </w:rPr>
        <w:t>“乙方”系指根据合同约定交付货物的中标供应商</w:t>
      </w:r>
      <w:bookmarkEnd w:id="440"/>
      <w:r>
        <w:rPr>
          <w:rFonts w:hint="eastAsia" w:ascii="仿宋" w:hAnsi="仿宋" w:eastAsia="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line="360" w:lineRule="auto"/>
        <w:ind w:firstLine="480" w:firstLineChars="200"/>
        <w:rPr>
          <w:rFonts w:ascii="仿宋" w:hAnsi="仿宋" w:eastAsia="仿宋"/>
          <w:color w:val="auto"/>
          <w:sz w:val="24"/>
        </w:rPr>
      </w:pPr>
      <w:bookmarkStart w:id="441" w:name="_Ref467379436"/>
      <w:r>
        <w:rPr>
          <w:rFonts w:ascii="仿宋" w:hAnsi="仿宋" w:eastAsia="仿宋"/>
          <w:color w:val="auto"/>
          <w:sz w:val="24"/>
        </w:rPr>
        <w:t xml:space="preserve">2.1.6 </w:t>
      </w:r>
      <w:r>
        <w:rPr>
          <w:rFonts w:hint="eastAsia" w:ascii="仿宋" w:hAnsi="仿宋" w:eastAsia="仿宋"/>
          <w:color w:val="auto"/>
          <w:sz w:val="24"/>
        </w:rPr>
        <w:t>“现场”系指合同约定货物将要运至或者安装的地点。</w:t>
      </w:r>
      <w:bookmarkEnd w:id="441"/>
    </w:p>
    <w:p>
      <w:pPr>
        <w:snapToGrid w:val="0"/>
        <w:spacing w:line="360" w:lineRule="auto"/>
        <w:ind w:firstLine="482" w:firstLineChars="200"/>
        <w:outlineLvl w:val="0"/>
        <w:rPr>
          <w:rFonts w:ascii="仿宋" w:hAnsi="仿宋" w:eastAsia="仿宋"/>
          <w:b/>
          <w:color w:val="auto"/>
          <w:sz w:val="24"/>
        </w:rPr>
      </w:pPr>
      <w:bookmarkStart w:id="442" w:name="_Toc259093670"/>
      <w:bookmarkStart w:id="443" w:name="_Toc27635"/>
      <w:bookmarkStart w:id="444" w:name="_Toc487900350"/>
      <w:bookmarkStart w:id="445" w:name="_Toc32504"/>
      <w:bookmarkStart w:id="446" w:name="_Toc13336"/>
      <w:bookmarkStart w:id="447" w:name="_Toc279701241"/>
      <w:r>
        <w:rPr>
          <w:rFonts w:ascii="仿宋" w:hAnsi="仿宋" w:eastAsia="仿宋"/>
          <w:b/>
          <w:color w:val="auto"/>
          <w:sz w:val="24"/>
        </w:rPr>
        <w:t xml:space="preserve">2.2 </w:t>
      </w:r>
      <w:r>
        <w:rPr>
          <w:rFonts w:hint="eastAsia" w:ascii="仿宋" w:hAnsi="仿宋" w:eastAsia="仿宋"/>
          <w:b/>
          <w:color w:val="auto"/>
          <w:sz w:val="24"/>
        </w:rPr>
        <w:t>技术规范</w:t>
      </w:r>
      <w:bookmarkEnd w:id="442"/>
      <w:bookmarkEnd w:id="443"/>
      <w:bookmarkEnd w:id="444"/>
      <w:bookmarkEnd w:id="445"/>
      <w:bookmarkEnd w:id="446"/>
      <w:bookmarkEnd w:id="447"/>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货物所应遵守的技术规范应与</w:t>
      </w:r>
      <w:r>
        <w:rPr>
          <w:rFonts w:hint="eastAsia" w:ascii="仿宋" w:hAnsi="仿宋" w:eastAsia="仿宋"/>
          <w:color w:val="auto"/>
          <w:sz w:val="24"/>
          <w:lang w:eastAsia="zh-CN"/>
        </w:rPr>
        <w:t>招标文件</w:t>
      </w:r>
      <w:r>
        <w:rPr>
          <w:rFonts w:hint="eastAsia" w:ascii="仿宋" w:hAnsi="仿宋" w:eastAsia="仿宋"/>
          <w:color w:val="auto"/>
          <w:sz w:val="24"/>
        </w:rPr>
        <w:t>规定的技术规范和技术规范附件</w:t>
      </w:r>
      <w:r>
        <w:rPr>
          <w:rFonts w:ascii="仿宋" w:hAnsi="仿宋" w:eastAsia="仿宋"/>
          <w:color w:val="auto"/>
          <w:sz w:val="24"/>
        </w:rPr>
        <w:t>(如果有的话)及其技术规范偏差表(如果被甲方接受的话)相一致；如果</w:t>
      </w:r>
      <w:r>
        <w:rPr>
          <w:rFonts w:hint="eastAsia" w:ascii="仿宋" w:hAnsi="仿宋" w:eastAsia="仿宋"/>
          <w:color w:val="auto"/>
          <w:sz w:val="24"/>
          <w:lang w:eastAsia="zh-CN"/>
        </w:rPr>
        <w:t>招标文件</w:t>
      </w:r>
      <w:r>
        <w:rPr>
          <w:rFonts w:ascii="仿宋" w:hAnsi="仿宋" w:eastAsia="仿宋"/>
          <w:color w:val="auto"/>
          <w:sz w:val="24"/>
        </w:rPr>
        <w:t>中没有技术规范的相应说明，那么应以国家有关部门最新颁布的相应标准和规范为准。</w:t>
      </w:r>
    </w:p>
    <w:p>
      <w:pPr>
        <w:snapToGrid w:val="0"/>
        <w:spacing w:line="360" w:lineRule="auto"/>
        <w:ind w:firstLine="482" w:firstLineChars="200"/>
        <w:outlineLvl w:val="0"/>
        <w:rPr>
          <w:rFonts w:ascii="仿宋" w:hAnsi="仿宋" w:eastAsia="仿宋"/>
          <w:b/>
          <w:color w:val="auto"/>
          <w:sz w:val="24"/>
        </w:rPr>
      </w:pPr>
      <w:bookmarkStart w:id="448" w:name="_Toc9829"/>
      <w:bookmarkStart w:id="449" w:name="_Toc279701242"/>
      <w:bookmarkStart w:id="450" w:name="_Toc31634"/>
      <w:bookmarkStart w:id="451" w:name="_Toc259093671"/>
      <w:bookmarkStart w:id="452" w:name="_Toc27853"/>
      <w:bookmarkStart w:id="453" w:name="_Toc487900351"/>
      <w:r>
        <w:rPr>
          <w:rFonts w:ascii="仿宋" w:hAnsi="仿宋" w:eastAsia="仿宋"/>
          <w:b/>
          <w:color w:val="auto"/>
          <w:sz w:val="24"/>
        </w:rPr>
        <w:t xml:space="preserve">2.3 </w:t>
      </w:r>
      <w:r>
        <w:rPr>
          <w:rFonts w:hint="eastAsia" w:ascii="仿宋" w:hAnsi="仿宋" w:eastAsia="仿宋"/>
          <w:b/>
          <w:color w:val="auto"/>
          <w:sz w:val="24"/>
        </w:rPr>
        <w:t>知识产权</w:t>
      </w:r>
      <w:bookmarkEnd w:id="448"/>
      <w:bookmarkEnd w:id="449"/>
      <w:bookmarkEnd w:id="450"/>
      <w:bookmarkEnd w:id="451"/>
      <w:bookmarkEnd w:id="452"/>
      <w:bookmarkEnd w:id="453"/>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2.3.1 </w:t>
      </w:r>
      <w:r>
        <w:rPr>
          <w:rFonts w:hint="eastAsia" w:ascii="仿宋" w:hAnsi="仿宋" w:eastAsia="仿宋"/>
          <w:color w:val="auto"/>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2.3.2具有知识产权的计算机软件等货物的知识产权归属，详见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napToGrid w:val="0"/>
        <w:spacing w:line="360" w:lineRule="auto"/>
        <w:ind w:firstLine="482" w:firstLineChars="200"/>
        <w:outlineLvl w:val="0"/>
        <w:rPr>
          <w:rFonts w:ascii="仿宋" w:hAnsi="仿宋" w:eastAsia="仿宋"/>
          <w:b/>
          <w:color w:val="auto"/>
          <w:sz w:val="24"/>
        </w:rPr>
      </w:pPr>
      <w:bookmarkStart w:id="454" w:name="_Toc4194"/>
      <w:bookmarkStart w:id="455" w:name="_Toc11932"/>
      <w:bookmarkStart w:id="456" w:name="_Toc29149"/>
      <w:r>
        <w:rPr>
          <w:rFonts w:ascii="仿宋" w:hAnsi="仿宋" w:eastAsia="仿宋"/>
          <w:b/>
          <w:color w:val="auto"/>
          <w:sz w:val="24"/>
        </w:rPr>
        <w:t xml:space="preserve">2.4 </w:t>
      </w:r>
      <w:r>
        <w:rPr>
          <w:rFonts w:hint="eastAsia" w:ascii="仿宋" w:hAnsi="仿宋" w:eastAsia="仿宋"/>
          <w:b/>
          <w:color w:val="auto"/>
          <w:sz w:val="24"/>
        </w:rPr>
        <w:t>包装和装运</w:t>
      </w:r>
      <w:bookmarkEnd w:id="454"/>
      <w:bookmarkEnd w:id="455"/>
      <w:bookmarkEnd w:id="456"/>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2.4.1除</w:t>
      </w:r>
      <w:r>
        <w:rPr>
          <w:rFonts w:hint="eastAsia" w:ascii="仿宋" w:hAnsi="仿宋" w:eastAsia="仿宋"/>
          <w:b/>
          <w:i/>
          <w:color w:val="auto"/>
          <w:sz w:val="24"/>
          <w:u w:val="single"/>
        </w:rPr>
        <w:t>合同专用条款</w:t>
      </w:r>
      <w:r>
        <w:rPr>
          <w:rFonts w:hint="eastAsia" w:ascii="仿宋" w:hAnsi="仿宋" w:eastAsia="仿宋"/>
          <w:color w:val="auto"/>
          <w:sz w:val="24"/>
        </w:rPr>
        <w:t>另有约定外</w:t>
      </w:r>
      <w:r>
        <w:rPr>
          <w:rFonts w:ascii="仿宋" w:hAnsi="仿宋" w:eastAsia="仿宋"/>
          <w:color w:val="auto"/>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2.4.2 </w:t>
      </w:r>
      <w:r>
        <w:rPr>
          <w:rFonts w:hint="eastAsia" w:ascii="仿宋" w:hAnsi="仿宋" w:eastAsia="仿宋"/>
          <w:color w:val="auto"/>
          <w:sz w:val="24"/>
        </w:rPr>
        <w:t>装运货物的要求和通知，详见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napToGrid w:val="0"/>
        <w:spacing w:line="360" w:lineRule="auto"/>
        <w:ind w:firstLine="482" w:firstLineChars="200"/>
        <w:outlineLvl w:val="0"/>
        <w:rPr>
          <w:rFonts w:ascii="仿宋" w:hAnsi="仿宋" w:eastAsia="仿宋"/>
          <w:b/>
          <w:color w:val="auto"/>
          <w:sz w:val="24"/>
        </w:rPr>
      </w:pPr>
      <w:bookmarkStart w:id="457" w:name="_Toc259093674"/>
      <w:bookmarkStart w:id="458" w:name="_Toc487900354"/>
      <w:bookmarkStart w:id="459" w:name="_Toc279701245"/>
      <w:bookmarkStart w:id="460" w:name="_Ref467378541"/>
      <w:bookmarkStart w:id="461" w:name="_Ref467379536"/>
      <w:bookmarkStart w:id="462" w:name="_Ref467379542"/>
      <w:bookmarkStart w:id="463" w:name="_Ref467378591"/>
      <w:bookmarkStart w:id="464" w:name="_Ref467379527"/>
      <w:bookmarkStart w:id="465" w:name="_Toc26182"/>
      <w:bookmarkStart w:id="466" w:name="_Toc19074"/>
      <w:bookmarkStart w:id="467" w:name="_Toc30272"/>
      <w:r>
        <w:rPr>
          <w:rFonts w:ascii="仿宋" w:hAnsi="仿宋" w:eastAsia="仿宋"/>
          <w:b/>
          <w:color w:val="auto"/>
          <w:sz w:val="24"/>
        </w:rPr>
        <w:t>2.</w:t>
      </w:r>
      <w:bookmarkEnd w:id="457"/>
      <w:bookmarkEnd w:id="458"/>
      <w:bookmarkEnd w:id="459"/>
      <w:bookmarkEnd w:id="460"/>
      <w:bookmarkEnd w:id="461"/>
      <w:bookmarkEnd w:id="462"/>
      <w:bookmarkEnd w:id="463"/>
      <w:bookmarkEnd w:id="464"/>
      <w:r>
        <w:rPr>
          <w:rFonts w:ascii="仿宋" w:hAnsi="仿宋" w:eastAsia="仿宋"/>
          <w:b/>
          <w:color w:val="auto"/>
          <w:sz w:val="24"/>
        </w:rPr>
        <w:t xml:space="preserve">5 </w:t>
      </w:r>
      <w:r>
        <w:rPr>
          <w:rFonts w:hint="eastAsia" w:ascii="仿宋" w:hAnsi="仿宋" w:eastAsia="仿宋"/>
          <w:b/>
          <w:color w:val="auto"/>
          <w:sz w:val="24"/>
        </w:rPr>
        <w:t>履约检查和问题反馈</w:t>
      </w:r>
      <w:bookmarkEnd w:id="465"/>
      <w:bookmarkEnd w:id="466"/>
      <w:bookmarkEnd w:id="467"/>
    </w:p>
    <w:p>
      <w:pPr>
        <w:snapToGrid w:val="0"/>
        <w:spacing w:line="360" w:lineRule="auto"/>
        <w:ind w:firstLine="480" w:firstLineChars="200"/>
        <w:rPr>
          <w:rFonts w:ascii="仿宋" w:hAnsi="仿宋" w:eastAsia="仿宋"/>
          <w:color w:val="auto"/>
          <w:sz w:val="24"/>
        </w:rPr>
      </w:pPr>
      <w:bookmarkStart w:id="468" w:name="_Ref467379657"/>
      <w:r>
        <w:rPr>
          <w:rFonts w:ascii="仿宋" w:hAnsi="仿宋" w:eastAsia="仿宋"/>
          <w:color w:val="auto"/>
          <w:sz w:val="24"/>
        </w:rPr>
        <w:t>2.5.1</w:t>
      </w:r>
      <w:bookmarkEnd w:id="468"/>
      <w:bookmarkStart w:id="469" w:name="_Toc186431854"/>
      <w:bookmarkStart w:id="470" w:name="_Ref467379793"/>
      <w:bookmarkStart w:id="471" w:name="_Toc487900357"/>
      <w:bookmarkStart w:id="472" w:name="_Toc259093676"/>
      <w:bookmarkStart w:id="473" w:name="_Ref467379807"/>
      <w:bookmarkStart w:id="474" w:name="_Toc279701247"/>
      <w:r>
        <w:rPr>
          <w:rFonts w:hint="eastAsia" w:ascii="仿宋" w:hAnsi="仿宋" w:eastAsia="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2.5.2 </w:t>
      </w:r>
      <w:r>
        <w:rPr>
          <w:rFonts w:hint="eastAsia" w:ascii="仿宋" w:hAnsi="仿宋" w:eastAsia="仿宋"/>
          <w:color w:val="auto"/>
          <w:sz w:val="24"/>
        </w:rPr>
        <w:t>合同履行期间，甲方有权将履行过程中出现的问题反馈给乙方，双方当事人应以书面形式约定需要完善和改进的内容</w:t>
      </w:r>
      <w:bookmarkEnd w:id="469"/>
      <w:bookmarkStart w:id="475" w:name="_Toc186431855"/>
      <w:r>
        <w:rPr>
          <w:rFonts w:hint="eastAsia" w:ascii="仿宋" w:hAnsi="仿宋" w:eastAsia="仿宋"/>
          <w:color w:val="auto"/>
          <w:sz w:val="24"/>
        </w:rPr>
        <w:t>。</w:t>
      </w:r>
    </w:p>
    <w:bookmarkEnd w:id="470"/>
    <w:bookmarkEnd w:id="471"/>
    <w:bookmarkEnd w:id="472"/>
    <w:bookmarkEnd w:id="473"/>
    <w:bookmarkEnd w:id="474"/>
    <w:bookmarkEnd w:id="475"/>
    <w:p>
      <w:pPr>
        <w:snapToGrid w:val="0"/>
        <w:spacing w:line="360" w:lineRule="auto"/>
        <w:ind w:firstLine="482" w:firstLineChars="200"/>
        <w:outlineLvl w:val="0"/>
        <w:rPr>
          <w:rFonts w:ascii="仿宋" w:hAnsi="仿宋" w:eastAsia="仿宋"/>
          <w:b/>
          <w:color w:val="auto"/>
          <w:sz w:val="24"/>
        </w:rPr>
      </w:pPr>
      <w:bookmarkStart w:id="476" w:name="_Toc279701248"/>
      <w:bookmarkStart w:id="477" w:name="_Ref467379923"/>
      <w:bookmarkStart w:id="478" w:name="_Ref467379863"/>
      <w:bookmarkStart w:id="479" w:name="_Ref467379852"/>
      <w:bookmarkStart w:id="480" w:name="_Toc259093677"/>
      <w:bookmarkStart w:id="481" w:name="_Toc487900358"/>
      <w:bookmarkStart w:id="482" w:name="_Toc16110"/>
      <w:bookmarkStart w:id="483" w:name="_Toc774"/>
      <w:bookmarkStart w:id="484" w:name="_Toc3225"/>
      <w:r>
        <w:rPr>
          <w:rFonts w:ascii="仿宋" w:hAnsi="仿宋" w:eastAsia="仿宋"/>
          <w:b/>
          <w:color w:val="auto"/>
          <w:sz w:val="24"/>
        </w:rPr>
        <w:t xml:space="preserve">2.6 </w:t>
      </w:r>
      <w:r>
        <w:rPr>
          <w:rFonts w:hint="eastAsia" w:ascii="仿宋" w:hAnsi="仿宋" w:eastAsia="仿宋"/>
          <w:b/>
          <w:color w:val="auto"/>
          <w:sz w:val="24"/>
        </w:rPr>
        <w:t>技术资料</w:t>
      </w:r>
      <w:bookmarkEnd w:id="476"/>
      <w:bookmarkEnd w:id="477"/>
      <w:bookmarkEnd w:id="478"/>
      <w:bookmarkEnd w:id="479"/>
      <w:bookmarkEnd w:id="480"/>
      <w:bookmarkEnd w:id="481"/>
      <w:r>
        <w:rPr>
          <w:rFonts w:hint="eastAsia" w:ascii="仿宋" w:hAnsi="仿宋" w:eastAsia="仿宋"/>
          <w:b/>
          <w:color w:val="auto"/>
          <w:sz w:val="24"/>
        </w:rPr>
        <w:t>和保密义务</w:t>
      </w:r>
      <w:bookmarkEnd w:id="482"/>
      <w:bookmarkEnd w:id="483"/>
      <w:bookmarkEnd w:id="484"/>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2.6.1 </w:t>
      </w:r>
      <w:r>
        <w:rPr>
          <w:rFonts w:hint="eastAsia" w:ascii="仿宋" w:hAnsi="仿宋" w:eastAsia="仿宋"/>
          <w:color w:val="auto"/>
          <w:sz w:val="24"/>
        </w:rPr>
        <w:t>乙方有权依据合同约定和项目需要，向甲方了解有关情况，调阅有关资料等，甲方应予积极配合；</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2.6.2 </w:t>
      </w:r>
      <w:r>
        <w:rPr>
          <w:rFonts w:hint="eastAsia" w:ascii="仿宋" w:hAnsi="仿宋" w:eastAsia="仿宋"/>
          <w:color w:val="auto"/>
          <w:sz w:val="24"/>
        </w:rPr>
        <w:t>乙方有义务妥善保管和保护由甲方提供的前款信息和资料等；</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2.6.3 </w:t>
      </w:r>
      <w:r>
        <w:rPr>
          <w:rFonts w:hint="eastAsia" w:ascii="仿宋" w:hAnsi="仿宋" w:eastAsia="仿宋"/>
          <w:color w:val="auto"/>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napToGrid w:val="0"/>
        <w:spacing w:line="360" w:lineRule="auto"/>
        <w:ind w:firstLine="482" w:firstLineChars="200"/>
        <w:outlineLvl w:val="0"/>
        <w:rPr>
          <w:rFonts w:ascii="仿宋" w:hAnsi="仿宋" w:eastAsia="仿宋"/>
          <w:b/>
          <w:color w:val="auto"/>
          <w:sz w:val="24"/>
        </w:rPr>
      </w:pPr>
      <w:bookmarkStart w:id="485" w:name="_Toc7860"/>
      <w:r>
        <w:rPr>
          <w:rFonts w:ascii="仿宋" w:hAnsi="仿宋" w:eastAsia="仿宋"/>
          <w:b/>
          <w:color w:val="auto"/>
          <w:sz w:val="24"/>
        </w:rPr>
        <w:t xml:space="preserve">2.7 </w:t>
      </w:r>
      <w:r>
        <w:rPr>
          <w:rFonts w:hint="eastAsia" w:ascii="仿宋" w:hAnsi="仿宋" w:eastAsia="仿宋"/>
          <w:b/>
          <w:color w:val="auto"/>
          <w:sz w:val="24"/>
        </w:rPr>
        <w:t>质量保证</w:t>
      </w:r>
      <w:bookmarkEnd w:id="485"/>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2.7.1 </w:t>
      </w:r>
      <w:r>
        <w:rPr>
          <w:rFonts w:hint="eastAsia" w:ascii="仿宋" w:hAnsi="仿宋" w:eastAsia="仿宋"/>
          <w:color w:val="auto"/>
          <w:sz w:val="24"/>
        </w:rPr>
        <w:t>乙方应建立和完善履行合同的内部质量保证体系，并提供相关内部规章制度给甲方，以便甲方进行监督检查；</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2.7.2 </w:t>
      </w:r>
      <w:r>
        <w:rPr>
          <w:rFonts w:hint="eastAsia" w:ascii="仿宋" w:hAnsi="仿宋" w:eastAsia="仿宋"/>
          <w:color w:val="auto"/>
          <w:sz w:val="24"/>
        </w:rPr>
        <w:t>乙方应保证履行合同的人员数量和素质、软件和硬件设备的配置、场地、环境和设施等满足全面履行合同的要求，并应接受甲方的监督检查。</w:t>
      </w:r>
    </w:p>
    <w:p>
      <w:pPr>
        <w:snapToGrid w:val="0"/>
        <w:spacing w:line="360" w:lineRule="auto"/>
        <w:ind w:firstLine="482" w:firstLineChars="200"/>
        <w:outlineLvl w:val="0"/>
        <w:rPr>
          <w:rFonts w:ascii="仿宋" w:hAnsi="仿宋" w:eastAsia="仿宋"/>
          <w:b/>
          <w:color w:val="auto"/>
          <w:sz w:val="24"/>
        </w:rPr>
      </w:pPr>
      <w:bookmarkStart w:id="486" w:name="_Toc17244"/>
      <w:bookmarkStart w:id="487" w:name="_Toc259093681"/>
      <w:bookmarkStart w:id="488" w:name="_Toc487900362"/>
      <w:bookmarkStart w:id="489" w:name="_Toc279701252"/>
      <w:r>
        <w:rPr>
          <w:rFonts w:ascii="仿宋" w:hAnsi="仿宋" w:eastAsia="仿宋"/>
          <w:b/>
          <w:color w:val="auto"/>
          <w:sz w:val="24"/>
        </w:rPr>
        <w:t xml:space="preserve">2.8 </w:t>
      </w:r>
      <w:r>
        <w:rPr>
          <w:rFonts w:hint="eastAsia" w:ascii="仿宋" w:hAnsi="仿宋" w:eastAsia="仿宋"/>
          <w:b/>
          <w:color w:val="auto"/>
          <w:sz w:val="24"/>
        </w:rPr>
        <w:t>货物的风险负担</w:t>
      </w:r>
      <w:bookmarkEnd w:id="486"/>
    </w:p>
    <w:p>
      <w:pPr>
        <w:snapToGrid w:val="0"/>
        <w:spacing w:line="360" w:lineRule="auto"/>
        <w:ind w:firstLine="480" w:firstLineChars="200"/>
        <w:rPr>
          <w:rFonts w:ascii="仿宋" w:hAnsi="仿宋" w:eastAsia="仿宋"/>
          <w:b/>
          <w:color w:val="auto"/>
          <w:sz w:val="24"/>
        </w:rPr>
      </w:pPr>
      <w:r>
        <w:rPr>
          <w:rFonts w:hint="eastAsia" w:ascii="仿宋" w:hAnsi="仿宋" w:eastAsia="仿宋"/>
          <w:color w:val="auto"/>
          <w:sz w:val="24"/>
        </w:rPr>
        <w:t>货物或者在途货物或者交付给第一承运人后的货物毁损、灭失的风险负担详见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napToGrid w:val="0"/>
        <w:spacing w:line="360" w:lineRule="auto"/>
        <w:ind w:firstLine="482" w:firstLineChars="200"/>
        <w:outlineLvl w:val="0"/>
        <w:rPr>
          <w:rFonts w:ascii="仿宋" w:hAnsi="仿宋" w:eastAsia="仿宋"/>
          <w:b/>
          <w:color w:val="auto"/>
          <w:sz w:val="24"/>
        </w:rPr>
      </w:pPr>
      <w:bookmarkStart w:id="490" w:name="_Toc14055"/>
      <w:r>
        <w:rPr>
          <w:rFonts w:ascii="仿宋" w:hAnsi="仿宋" w:eastAsia="仿宋"/>
          <w:b/>
          <w:color w:val="auto"/>
          <w:sz w:val="24"/>
        </w:rPr>
        <w:t xml:space="preserve">2.9 </w:t>
      </w:r>
      <w:r>
        <w:rPr>
          <w:rFonts w:hint="eastAsia" w:ascii="仿宋" w:hAnsi="仿宋" w:eastAsia="仿宋"/>
          <w:b/>
          <w:color w:val="auto"/>
          <w:sz w:val="24"/>
        </w:rPr>
        <w:t>延迟交货</w:t>
      </w:r>
      <w:bookmarkEnd w:id="487"/>
      <w:bookmarkEnd w:id="488"/>
      <w:bookmarkEnd w:id="489"/>
      <w:bookmarkEnd w:id="490"/>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napToGrid w:val="0"/>
        <w:spacing w:line="360" w:lineRule="auto"/>
        <w:ind w:firstLine="482" w:firstLineChars="200"/>
        <w:outlineLvl w:val="0"/>
        <w:rPr>
          <w:rFonts w:ascii="仿宋" w:hAnsi="仿宋" w:eastAsia="仿宋"/>
          <w:b/>
          <w:color w:val="auto"/>
          <w:sz w:val="24"/>
        </w:rPr>
      </w:pPr>
      <w:bookmarkStart w:id="491" w:name="_Toc7502"/>
      <w:bookmarkStart w:id="492" w:name="_Toc259093683"/>
      <w:bookmarkStart w:id="493" w:name="_Ref467378121"/>
      <w:bookmarkStart w:id="494" w:name="_Toc279701254"/>
      <w:bookmarkStart w:id="495" w:name="_Toc487900364"/>
      <w:r>
        <w:rPr>
          <w:rFonts w:ascii="仿宋" w:hAnsi="仿宋" w:eastAsia="仿宋"/>
          <w:b/>
          <w:color w:val="auto"/>
          <w:sz w:val="24"/>
        </w:rPr>
        <w:t xml:space="preserve">2.10 </w:t>
      </w:r>
      <w:r>
        <w:rPr>
          <w:rFonts w:hint="eastAsia" w:ascii="仿宋" w:hAnsi="仿宋" w:eastAsia="仿宋"/>
          <w:b/>
          <w:color w:val="auto"/>
          <w:sz w:val="24"/>
        </w:rPr>
        <w:t>合同变更</w:t>
      </w:r>
      <w:bookmarkEnd w:id="491"/>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合同继续履行将损害国家利益和社会公共利益的，双方当事人应当以书面形式变更合同。有过错的一方应当承担赔偿责任，双方当事人都有过错的，各自承担相应的责任。</w:t>
      </w:r>
      <w:bookmarkStart w:id="496" w:name="_Toc487900369"/>
      <w:bookmarkStart w:id="497" w:name="_Toc279701259"/>
      <w:bookmarkStart w:id="498" w:name="_Toc259093688"/>
    </w:p>
    <w:p>
      <w:pPr>
        <w:snapToGrid w:val="0"/>
        <w:spacing w:line="360" w:lineRule="auto"/>
        <w:ind w:firstLine="482" w:firstLineChars="200"/>
        <w:outlineLvl w:val="0"/>
        <w:rPr>
          <w:rFonts w:ascii="仿宋" w:hAnsi="仿宋" w:eastAsia="仿宋"/>
          <w:b/>
          <w:color w:val="auto"/>
          <w:sz w:val="24"/>
        </w:rPr>
      </w:pPr>
      <w:bookmarkStart w:id="499" w:name="_Toc10366"/>
      <w:bookmarkStart w:id="500" w:name="_Toc15237"/>
      <w:bookmarkStart w:id="501" w:name="_Toc22955"/>
      <w:r>
        <w:rPr>
          <w:rFonts w:ascii="仿宋" w:hAnsi="仿宋" w:eastAsia="仿宋"/>
          <w:b/>
          <w:color w:val="auto"/>
          <w:sz w:val="24"/>
        </w:rPr>
        <w:t xml:space="preserve">2.11 </w:t>
      </w:r>
      <w:r>
        <w:rPr>
          <w:rFonts w:hint="eastAsia" w:ascii="仿宋" w:hAnsi="仿宋" w:eastAsia="仿宋"/>
          <w:b/>
          <w:color w:val="auto"/>
          <w:sz w:val="24"/>
        </w:rPr>
        <w:t>合同转让</w:t>
      </w:r>
      <w:bookmarkEnd w:id="496"/>
      <w:bookmarkEnd w:id="497"/>
      <w:bookmarkEnd w:id="498"/>
      <w:r>
        <w:rPr>
          <w:rFonts w:hint="eastAsia" w:ascii="仿宋" w:hAnsi="仿宋" w:eastAsia="仿宋"/>
          <w:b/>
          <w:color w:val="auto"/>
          <w:sz w:val="24"/>
        </w:rPr>
        <w:t>和分包</w:t>
      </w:r>
      <w:bookmarkEnd w:id="499"/>
      <w:bookmarkEnd w:id="500"/>
      <w:bookmarkEnd w:id="501"/>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2.11.2乙方采取分包方式履行合同的，甲方可直接向分包供应商支付款项。</w:t>
      </w:r>
    </w:p>
    <w:p>
      <w:pPr>
        <w:snapToGrid w:val="0"/>
        <w:spacing w:line="360" w:lineRule="auto"/>
        <w:ind w:firstLine="482" w:firstLineChars="200"/>
        <w:outlineLvl w:val="0"/>
        <w:rPr>
          <w:rFonts w:ascii="仿宋" w:hAnsi="仿宋" w:eastAsia="仿宋"/>
          <w:b/>
          <w:color w:val="auto"/>
          <w:sz w:val="24"/>
        </w:rPr>
      </w:pPr>
      <w:bookmarkStart w:id="502" w:name="_Toc16508"/>
      <w:bookmarkStart w:id="503" w:name="_Toc13566"/>
      <w:bookmarkStart w:id="504" w:name="_Toc14066"/>
      <w:r>
        <w:rPr>
          <w:rFonts w:ascii="仿宋" w:hAnsi="仿宋" w:eastAsia="仿宋"/>
          <w:b/>
          <w:color w:val="auto"/>
          <w:sz w:val="24"/>
        </w:rPr>
        <w:t xml:space="preserve">2.12 </w:t>
      </w:r>
      <w:r>
        <w:rPr>
          <w:rFonts w:hint="eastAsia" w:ascii="仿宋" w:hAnsi="仿宋" w:eastAsia="仿宋"/>
          <w:b/>
          <w:color w:val="auto"/>
          <w:sz w:val="24"/>
        </w:rPr>
        <w:t>不可抗力</w:t>
      </w:r>
      <w:bookmarkEnd w:id="502"/>
      <w:bookmarkEnd w:id="503"/>
      <w:bookmarkEnd w:id="504"/>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2.12.1如果任何一方遭遇法律规定的不可抗力，致使合同履行受阻时，履行合同的期限应予延长，延长的期限应相当于不可抗力所影响的时间；</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2.12.2 </w:t>
      </w:r>
      <w:r>
        <w:rPr>
          <w:rFonts w:hint="eastAsia" w:ascii="仿宋" w:hAnsi="仿宋" w:eastAsia="仿宋"/>
          <w:color w:val="auto"/>
          <w:sz w:val="24"/>
        </w:rPr>
        <w:t>因不可抗力致使不能实现合同目的的，当事人可以解除合同；</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2.12.3 </w:t>
      </w:r>
      <w:r>
        <w:rPr>
          <w:rFonts w:hint="eastAsia" w:ascii="仿宋" w:hAnsi="仿宋" w:eastAsia="仿宋"/>
          <w:color w:val="auto"/>
          <w:sz w:val="24"/>
        </w:rPr>
        <w:t>因不可抗力致使合同有变更必要的，双方当事人应在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约定时间内以书面形式变更合同；</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2.12.4受不可抗力影响的一方在不可抗力发生后，应在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约定时间内以书面形式通知对方当事人，并在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约定时间内，将有关部门出具的证明文件送达对方当事人。</w:t>
      </w:r>
    </w:p>
    <w:p>
      <w:pPr>
        <w:snapToGrid w:val="0"/>
        <w:spacing w:line="360" w:lineRule="auto"/>
        <w:ind w:firstLine="482" w:firstLineChars="200"/>
        <w:outlineLvl w:val="0"/>
        <w:rPr>
          <w:rFonts w:ascii="仿宋" w:hAnsi="仿宋" w:eastAsia="仿宋"/>
          <w:b/>
          <w:color w:val="auto"/>
          <w:sz w:val="24"/>
        </w:rPr>
      </w:pPr>
      <w:bookmarkStart w:id="505" w:name="_Toc259093684"/>
      <w:bookmarkStart w:id="506" w:name="_Toc279701255"/>
      <w:bookmarkStart w:id="507" w:name="_Toc487900365"/>
      <w:bookmarkStart w:id="508" w:name="_Toc6969"/>
      <w:bookmarkStart w:id="509" w:name="_Toc30676"/>
      <w:bookmarkStart w:id="510" w:name="_Toc689"/>
      <w:r>
        <w:rPr>
          <w:rFonts w:ascii="仿宋" w:hAnsi="仿宋" w:eastAsia="仿宋"/>
          <w:b/>
          <w:color w:val="auto"/>
          <w:sz w:val="24"/>
        </w:rPr>
        <w:t xml:space="preserve">2.13 </w:t>
      </w:r>
      <w:r>
        <w:rPr>
          <w:rFonts w:hint="eastAsia" w:ascii="仿宋" w:hAnsi="仿宋" w:eastAsia="仿宋"/>
          <w:b/>
          <w:color w:val="auto"/>
          <w:sz w:val="24"/>
        </w:rPr>
        <w:t>税费</w:t>
      </w:r>
      <w:bookmarkEnd w:id="505"/>
      <w:bookmarkEnd w:id="506"/>
      <w:bookmarkEnd w:id="507"/>
      <w:bookmarkEnd w:id="508"/>
      <w:bookmarkEnd w:id="509"/>
      <w:bookmarkEnd w:id="510"/>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与合同有关的一切税费，均按照中华人民共和国法律的相关规定。</w:t>
      </w:r>
    </w:p>
    <w:p>
      <w:pPr>
        <w:snapToGrid w:val="0"/>
        <w:spacing w:line="360" w:lineRule="auto"/>
        <w:ind w:firstLine="482" w:firstLineChars="200"/>
        <w:outlineLvl w:val="0"/>
        <w:rPr>
          <w:rFonts w:ascii="仿宋" w:hAnsi="仿宋" w:eastAsia="仿宋"/>
          <w:b/>
          <w:color w:val="auto"/>
          <w:sz w:val="24"/>
        </w:rPr>
      </w:pPr>
      <w:bookmarkStart w:id="511" w:name="_Toc7102"/>
      <w:bookmarkStart w:id="512" w:name="_Toc16959"/>
      <w:bookmarkStart w:id="513" w:name="_Toc279701258"/>
      <w:bookmarkStart w:id="514" w:name="_Toc259093687"/>
      <w:bookmarkStart w:id="515" w:name="_Toc8298"/>
      <w:bookmarkStart w:id="516" w:name="_Toc487900368"/>
      <w:r>
        <w:rPr>
          <w:rFonts w:ascii="仿宋" w:hAnsi="仿宋" w:eastAsia="仿宋"/>
          <w:b/>
          <w:color w:val="auto"/>
          <w:sz w:val="24"/>
        </w:rPr>
        <w:t>2.14乙方破产</w:t>
      </w:r>
      <w:bookmarkEnd w:id="511"/>
      <w:bookmarkEnd w:id="512"/>
      <w:bookmarkEnd w:id="513"/>
      <w:bookmarkEnd w:id="514"/>
      <w:bookmarkEnd w:id="515"/>
      <w:bookmarkEnd w:id="516"/>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napToGrid w:val="0"/>
        <w:spacing w:line="360" w:lineRule="auto"/>
        <w:ind w:firstLine="482" w:firstLineChars="200"/>
        <w:outlineLvl w:val="0"/>
        <w:rPr>
          <w:rFonts w:ascii="仿宋" w:hAnsi="仿宋" w:eastAsia="仿宋"/>
          <w:b/>
          <w:color w:val="auto"/>
          <w:sz w:val="24"/>
        </w:rPr>
      </w:pPr>
      <w:bookmarkStart w:id="517" w:name="_Toc15387"/>
      <w:bookmarkStart w:id="518" w:name="_Toc6134"/>
      <w:bookmarkStart w:id="519" w:name="_Toc29333"/>
      <w:r>
        <w:rPr>
          <w:rFonts w:ascii="仿宋" w:hAnsi="仿宋" w:eastAsia="仿宋"/>
          <w:b/>
          <w:color w:val="auto"/>
          <w:sz w:val="24"/>
        </w:rPr>
        <w:t xml:space="preserve">2.15 </w:t>
      </w:r>
      <w:r>
        <w:rPr>
          <w:rFonts w:hint="eastAsia" w:ascii="仿宋" w:hAnsi="仿宋" w:eastAsia="仿宋"/>
          <w:b/>
          <w:color w:val="auto"/>
          <w:sz w:val="24"/>
        </w:rPr>
        <w:t>合同中止、终止</w:t>
      </w:r>
      <w:bookmarkEnd w:id="517"/>
      <w:bookmarkEnd w:id="518"/>
      <w:bookmarkEnd w:id="519"/>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2.15.1 </w:t>
      </w:r>
      <w:r>
        <w:rPr>
          <w:rFonts w:hint="eastAsia" w:ascii="仿宋" w:hAnsi="仿宋" w:eastAsia="仿宋"/>
          <w:color w:val="auto"/>
          <w:sz w:val="24"/>
        </w:rPr>
        <w:t>双方当事人不得擅自中止或者终止合同；</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2.15.2合同继续履行将损害国家利益和社会公共利益的，双方当事人应当中止或者终止合同。有过错的一方应当承担赔偿责任，双方当事人都有过错的，各自承担相应的责任。</w:t>
      </w:r>
    </w:p>
    <w:p>
      <w:pPr>
        <w:snapToGrid w:val="0"/>
        <w:spacing w:line="360" w:lineRule="auto"/>
        <w:ind w:firstLine="482" w:firstLineChars="200"/>
        <w:outlineLvl w:val="0"/>
        <w:rPr>
          <w:rFonts w:ascii="仿宋" w:hAnsi="仿宋" w:eastAsia="仿宋"/>
          <w:b/>
          <w:color w:val="auto"/>
          <w:sz w:val="24"/>
        </w:rPr>
      </w:pPr>
      <w:bookmarkStart w:id="520" w:name="_Toc14563"/>
      <w:bookmarkStart w:id="521" w:name="_Toc6596"/>
      <w:bookmarkStart w:id="522" w:name="_Toc1125"/>
      <w:r>
        <w:rPr>
          <w:rFonts w:ascii="仿宋" w:hAnsi="仿宋" w:eastAsia="仿宋"/>
          <w:b/>
          <w:color w:val="auto"/>
          <w:sz w:val="24"/>
        </w:rPr>
        <w:t>2.16检验和验收</w:t>
      </w:r>
      <w:bookmarkEnd w:id="520"/>
      <w:bookmarkEnd w:id="521"/>
      <w:bookmarkEnd w:id="522"/>
    </w:p>
    <w:p>
      <w:pPr>
        <w:tabs>
          <w:tab w:val="left" w:pos="360"/>
          <w:tab w:val="left" w:pos="540"/>
          <w:tab w:val="left" w:pos="1080"/>
        </w:tabs>
        <w:snapToGrid w:val="0"/>
        <w:spacing w:line="360" w:lineRule="auto"/>
        <w:ind w:firstLine="480" w:firstLineChars="200"/>
        <w:rPr>
          <w:rFonts w:ascii="仿宋" w:hAnsi="仿宋" w:eastAsia="仿宋"/>
          <w:color w:val="auto"/>
          <w:sz w:val="24"/>
        </w:rPr>
      </w:pPr>
      <w:r>
        <w:rPr>
          <w:rFonts w:ascii="仿宋" w:hAnsi="仿宋" w:eastAsia="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约定时间内组织验收，并可依法邀请相关方参加，验收应出具验收书。</w:t>
      </w:r>
    </w:p>
    <w:p>
      <w:pPr>
        <w:tabs>
          <w:tab w:val="left" w:pos="360"/>
          <w:tab w:val="left" w:pos="540"/>
          <w:tab w:val="left" w:pos="1080"/>
        </w:tabs>
        <w:snapToGrid w:val="0"/>
        <w:spacing w:line="360" w:lineRule="auto"/>
        <w:ind w:firstLine="480" w:firstLineChars="200"/>
        <w:rPr>
          <w:rFonts w:ascii="仿宋" w:hAnsi="仿宋" w:eastAsia="仿宋"/>
          <w:color w:val="auto"/>
          <w:sz w:val="24"/>
        </w:rPr>
      </w:pPr>
      <w:r>
        <w:rPr>
          <w:rFonts w:ascii="仿宋" w:hAnsi="仿宋" w:eastAsia="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2.16.3 </w:t>
      </w:r>
      <w:r>
        <w:rPr>
          <w:rFonts w:hint="eastAsia" w:ascii="仿宋" w:hAnsi="仿宋" w:eastAsia="仿宋"/>
          <w:color w:val="auto"/>
          <w:sz w:val="24"/>
        </w:rPr>
        <w:t>检验和验收标准、程序等具体内容以及前述验收书的效力详见</w:t>
      </w:r>
      <w:r>
        <w:rPr>
          <w:rFonts w:hint="eastAsia" w:ascii="仿宋" w:hAnsi="仿宋" w:eastAsia="仿宋"/>
          <w:b/>
          <w:i/>
          <w:color w:val="auto"/>
          <w:sz w:val="24"/>
          <w:u w:val="single"/>
        </w:rPr>
        <w:t>合同专用条款</w:t>
      </w:r>
      <w:r>
        <w:rPr>
          <w:rFonts w:hint="eastAsia" w:ascii="仿宋" w:hAnsi="仿宋" w:eastAsia="仿宋"/>
          <w:i/>
          <w:color w:val="auto"/>
          <w:sz w:val="24"/>
        </w:rPr>
        <w:t>。</w:t>
      </w:r>
    </w:p>
    <w:bookmarkEnd w:id="492"/>
    <w:bookmarkEnd w:id="493"/>
    <w:bookmarkEnd w:id="494"/>
    <w:bookmarkEnd w:id="495"/>
    <w:p>
      <w:pPr>
        <w:snapToGrid w:val="0"/>
        <w:spacing w:line="360" w:lineRule="auto"/>
        <w:ind w:firstLine="482" w:firstLineChars="200"/>
        <w:outlineLvl w:val="0"/>
        <w:rPr>
          <w:rFonts w:ascii="仿宋" w:hAnsi="仿宋" w:eastAsia="仿宋"/>
          <w:b/>
          <w:color w:val="auto"/>
          <w:sz w:val="24"/>
        </w:rPr>
      </w:pPr>
      <w:bookmarkStart w:id="523" w:name="_Toc487900371"/>
      <w:bookmarkStart w:id="524" w:name="_Toc259093690"/>
      <w:bookmarkStart w:id="525" w:name="_Toc279701261"/>
      <w:bookmarkStart w:id="526" w:name="_Toc19604"/>
      <w:bookmarkStart w:id="527" w:name="_Toc25182"/>
      <w:bookmarkStart w:id="528" w:name="_Toc11284"/>
      <w:r>
        <w:rPr>
          <w:rFonts w:ascii="仿宋" w:hAnsi="仿宋" w:eastAsia="仿宋"/>
          <w:b/>
          <w:color w:val="auto"/>
          <w:sz w:val="24"/>
        </w:rPr>
        <w:t xml:space="preserve">2.17 </w:t>
      </w:r>
      <w:r>
        <w:rPr>
          <w:rFonts w:hint="eastAsia" w:ascii="仿宋" w:hAnsi="仿宋" w:eastAsia="仿宋"/>
          <w:b/>
          <w:color w:val="auto"/>
          <w:sz w:val="24"/>
        </w:rPr>
        <w:t>通知</w:t>
      </w:r>
      <w:bookmarkEnd w:id="523"/>
      <w:bookmarkEnd w:id="524"/>
      <w:bookmarkEnd w:id="525"/>
      <w:r>
        <w:rPr>
          <w:rFonts w:hint="eastAsia" w:ascii="仿宋" w:hAnsi="仿宋" w:eastAsia="仿宋"/>
          <w:b/>
          <w:color w:val="auto"/>
          <w:sz w:val="24"/>
        </w:rPr>
        <w:t>和送达</w:t>
      </w:r>
      <w:bookmarkEnd w:id="526"/>
      <w:bookmarkEnd w:id="527"/>
      <w:bookmarkEnd w:id="528"/>
    </w:p>
    <w:p>
      <w:pPr>
        <w:snapToGrid w:val="0"/>
        <w:spacing w:line="360" w:lineRule="auto"/>
        <w:ind w:firstLine="480" w:firstLineChars="200"/>
        <w:rPr>
          <w:rFonts w:ascii="仿宋" w:hAnsi="仿宋" w:eastAsia="仿宋"/>
          <w:color w:val="auto"/>
          <w:sz w:val="24"/>
        </w:rPr>
      </w:pPr>
      <w:bookmarkStart w:id="529" w:name="_Toc3135"/>
      <w:bookmarkStart w:id="530" w:name="_Toc6698"/>
      <w:bookmarkStart w:id="531" w:name="_Toc279701262"/>
      <w:bookmarkStart w:id="532" w:name="_Toc259093691"/>
      <w:bookmarkStart w:id="533" w:name="_Toc487900372"/>
      <w:r>
        <w:rPr>
          <w:rFonts w:ascii="仿宋" w:hAnsi="仿宋" w:eastAsia="仿宋"/>
          <w:color w:val="auto"/>
          <w:sz w:val="24"/>
        </w:rPr>
        <w:t>2.17.1</w:t>
      </w:r>
      <w:r>
        <w:rPr>
          <w:rFonts w:hint="eastAsia" w:ascii="仿宋" w:hAnsi="仿宋" w:eastAsia="仿宋"/>
          <w:color w:val="auto"/>
          <w:sz w:val="24"/>
        </w:rPr>
        <w:t>任何一方因履行合同而以合同第一部分尾部所列明的传真或电子邮件</w:t>
      </w:r>
      <w:r>
        <w:rPr>
          <w:rFonts w:ascii="仿宋" w:hAnsi="仿宋" w:eastAsia="仿宋"/>
          <w:color w:val="auto"/>
          <w:sz w:val="24"/>
        </w:rPr>
        <w:t xml:space="preserve"> </w:t>
      </w:r>
      <w:r>
        <w:rPr>
          <w:rFonts w:ascii="仿宋" w:hAnsi="仿宋" w:eastAsia="仿宋"/>
          <w:color w:val="auto"/>
          <w:sz w:val="24"/>
          <w:u w:val="single"/>
        </w:rPr>
        <w:t xml:space="preserve">       </w:t>
      </w:r>
      <w:r>
        <w:rPr>
          <w:rFonts w:hint="eastAsia" w:ascii="仿宋" w:hAnsi="仿宋" w:eastAsia="仿宋"/>
          <w:color w:val="auto"/>
          <w:sz w:val="24"/>
        </w:rPr>
        <w:t>发出的所有通知、文件、材料，均视为已向对方当事人送达；任何一方变更上述送达方式或者地址的，应于</w:t>
      </w:r>
      <w:r>
        <w:rPr>
          <w:rFonts w:hint="eastAsia" w:ascii="仿宋" w:hAnsi="仿宋" w:eastAsia="仿宋"/>
          <w:color w:val="auto"/>
          <w:sz w:val="24"/>
          <w:u w:val="single"/>
        </w:rPr>
        <w:t>3</w:t>
      </w:r>
      <w:r>
        <w:rPr>
          <w:rFonts w:hint="eastAsia" w:ascii="仿宋" w:hAnsi="仿宋" w:eastAsia="仿宋"/>
          <w:color w:val="auto"/>
          <w:sz w:val="24"/>
        </w:rPr>
        <w:t>个工作日内书面通知对方当事人，在对方当事人收到有关变更通知之前，变更前的约定送达方式或者地址仍视为有效。</w:t>
      </w:r>
      <w:bookmarkEnd w:id="529"/>
      <w:bookmarkEnd w:id="530"/>
    </w:p>
    <w:p>
      <w:pPr>
        <w:snapToGrid w:val="0"/>
        <w:spacing w:line="360" w:lineRule="auto"/>
        <w:ind w:firstLine="480" w:firstLineChars="200"/>
        <w:rPr>
          <w:rFonts w:ascii="仿宋" w:hAnsi="仿宋" w:eastAsia="仿宋"/>
          <w:color w:val="auto"/>
          <w:sz w:val="24"/>
        </w:rPr>
      </w:pPr>
      <w:bookmarkStart w:id="534" w:name="_Toc23294"/>
      <w:bookmarkStart w:id="535" w:name="_Toc23128"/>
      <w:r>
        <w:rPr>
          <w:rFonts w:ascii="仿宋" w:hAnsi="仿宋" w:eastAsia="仿宋"/>
          <w:color w:val="auto"/>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rPr>
        <w:t>的，邮件挂号寄出或者交邮之日之次日视为送达。</w:t>
      </w:r>
      <w:bookmarkEnd w:id="534"/>
      <w:bookmarkEnd w:id="535"/>
    </w:p>
    <w:p>
      <w:pPr>
        <w:snapToGrid w:val="0"/>
        <w:spacing w:line="360" w:lineRule="auto"/>
        <w:ind w:firstLine="482" w:firstLineChars="200"/>
        <w:outlineLvl w:val="0"/>
        <w:rPr>
          <w:rFonts w:ascii="仿宋" w:hAnsi="仿宋" w:eastAsia="仿宋"/>
          <w:b/>
          <w:color w:val="auto"/>
          <w:sz w:val="24"/>
        </w:rPr>
      </w:pPr>
      <w:bookmarkStart w:id="536" w:name="_Toc30599"/>
      <w:bookmarkStart w:id="537" w:name="_Toc18540"/>
      <w:bookmarkStart w:id="538" w:name="_Toc4355"/>
      <w:r>
        <w:rPr>
          <w:rFonts w:ascii="仿宋" w:hAnsi="仿宋" w:eastAsia="仿宋"/>
          <w:b/>
          <w:color w:val="auto"/>
          <w:sz w:val="24"/>
        </w:rPr>
        <w:t xml:space="preserve">2.18 </w:t>
      </w:r>
      <w:r>
        <w:rPr>
          <w:rFonts w:hint="eastAsia" w:ascii="仿宋" w:hAnsi="仿宋" w:eastAsia="仿宋"/>
          <w:b/>
          <w:color w:val="auto"/>
          <w:sz w:val="24"/>
        </w:rPr>
        <w:t>计量单位</w:t>
      </w:r>
      <w:bookmarkEnd w:id="531"/>
      <w:bookmarkEnd w:id="532"/>
      <w:bookmarkEnd w:id="533"/>
      <w:bookmarkEnd w:id="536"/>
      <w:bookmarkEnd w:id="537"/>
      <w:bookmarkEnd w:id="538"/>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除技术规范中另有规定外</w:t>
      </w:r>
      <w:r>
        <w:rPr>
          <w:rFonts w:ascii="仿宋" w:hAnsi="仿宋" w:eastAsia="仿宋"/>
          <w:color w:val="auto"/>
          <w:sz w:val="24"/>
        </w:rPr>
        <w:t>,合同的计量单位均使用国家法定计量单位。</w:t>
      </w:r>
    </w:p>
    <w:p>
      <w:pPr>
        <w:snapToGrid w:val="0"/>
        <w:spacing w:line="360" w:lineRule="auto"/>
        <w:ind w:firstLine="482" w:firstLineChars="200"/>
        <w:outlineLvl w:val="0"/>
        <w:rPr>
          <w:rFonts w:ascii="仿宋" w:hAnsi="仿宋" w:eastAsia="仿宋"/>
          <w:b/>
          <w:color w:val="auto"/>
          <w:sz w:val="24"/>
        </w:rPr>
      </w:pPr>
      <w:bookmarkStart w:id="539" w:name="_Toc259093692"/>
      <w:bookmarkStart w:id="540" w:name="_Toc12773"/>
      <w:bookmarkStart w:id="541" w:name="_Toc18567"/>
      <w:bookmarkStart w:id="542" w:name="_Toc279701263"/>
      <w:bookmarkStart w:id="543" w:name="_Toc10330"/>
      <w:bookmarkStart w:id="544" w:name="_Toc487900373"/>
      <w:r>
        <w:rPr>
          <w:rFonts w:ascii="仿宋" w:hAnsi="仿宋" w:eastAsia="仿宋"/>
          <w:b/>
          <w:color w:val="auto"/>
          <w:sz w:val="24"/>
        </w:rPr>
        <w:t xml:space="preserve">2.19 </w:t>
      </w:r>
      <w:r>
        <w:rPr>
          <w:rFonts w:hint="eastAsia" w:ascii="仿宋" w:hAnsi="仿宋" w:eastAsia="仿宋"/>
          <w:b/>
          <w:color w:val="auto"/>
          <w:sz w:val="24"/>
        </w:rPr>
        <w:t>合同使用的文字和适用的法律</w:t>
      </w:r>
      <w:bookmarkEnd w:id="539"/>
      <w:bookmarkEnd w:id="540"/>
      <w:bookmarkEnd w:id="541"/>
      <w:bookmarkEnd w:id="542"/>
      <w:bookmarkEnd w:id="543"/>
      <w:bookmarkEnd w:id="544"/>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2.19.1 </w:t>
      </w:r>
      <w:r>
        <w:rPr>
          <w:rFonts w:hint="eastAsia" w:ascii="仿宋" w:hAnsi="仿宋" w:eastAsia="仿宋"/>
          <w:color w:val="auto"/>
          <w:sz w:val="24"/>
        </w:rPr>
        <w:t>合同使用汉语书就、变更和解释；</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2.19.2 </w:t>
      </w:r>
      <w:r>
        <w:rPr>
          <w:rFonts w:hint="eastAsia" w:ascii="仿宋" w:hAnsi="仿宋" w:eastAsia="仿宋"/>
          <w:color w:val="auto"/>
          <w:sz w:val="24"/>
        </w:rPr>
        <w:t>合同适用中华人民共和国法律。</w:t>
      </w:r>
    </w:p>
    <w:p>
      <w:pPr>
        <w:snapToGrid w:val="0"/>
        <w:spacing w:line="360" w:lineRule="auto"/>
        <w:ind w:firstLine="482" w:firstLineChars="200"/>
        <w:outlineLvl w:val="0"/>
        <w:rPr>
          <w:rFonts w:ascii="仿宋" w:hAnsi="仿宋" w:eastAsia="仿宋"/>
          <w:b/>
          <w:color w:val="auto"/>
          <w:sz w:val="24"/>
        </w:rPr>
      </w:pPr>
      <w:bookmarkStart w:id="545" w:name="_Toc3148"/>
      <w:bookmarkStart w:id="546" w:name="_Toc259093693"/>
      <w:bookmarkStart w:id="547" w:name="_Toc12004"/>
      <w:bookmarkStart w:id="548" w:name="_Toc279701264"/>
      <w:bookmarkStart w:id="549" w:name="_Toc16673"/>
      <w:bookmarkStart w:id="550" w:name="_Toc487900374"/>
      <w:r>
        <w:rPr>
          <w:rFonts w:ascii="仿宋" w:hAnsi="仿宋" w:eastAsia="仿宋"/>
          <w:b/>
          <w:color w:val="auto"/>
          <w:sz w:val="24"/>
        </w:rPr>
        <w:t xml:space="preserve">2.20 </w:t>
      </w:r>
      <w:r>
        <w:rPr>
          <w:rFonts w:hint="eastAsia" w:ascii="仿宋" w:hAnsi="仿宋" w:eastAsia="仿宋"/>
          <w:b/>
          <w:color w:val="auto"/>
          <w:sz w:val="24"/>
        </w:rPr>
        <w:t>履约保证金</w:t>
      </w:r>
      <w:bookmarkEnd w:id="545"/>
      <w:bookmarkEnd w:id="546"/>
      <w:bookmarkEnd w:id="547"/>
      <w:bookmarkEnd w:id="548"/>
      <w:bookmarkEnd w:id="549"/>
    </w:p>
    <w:p>
      <w:pPr>
        <w:pStyle w:val="958"/>
        <w:adjustRightInd w:val="0"/>
        <w:snapToGrid w:val="0"/>
        <w:spacing w:before="0" w:beforeAutospacing="0" w:after="0" w:afterAutospacing="0" w:line="360" w:lineRule="auto"/>
        <w:ind w:firstLine="420"/>
        <w:rPr>
          <w:rFonts w:ascii="仿宋" w:hAnsi="仿宋" w:eastAsia="仿宋"/>
          <w:color w:val="auto"/>
        </w:rPr>
      </w:pPr>
      <w:r>
        <w:rPr>
          <w:rFonts w:ascii="仿宋" w:hAnsi="仿宋" w:eastAsia="仿宋"/>
          <w:color w:val="auto"/>
        </w:rPr>
        <w:t xml:space="preserve">2.20.1 </w:t>
      </w:r>
      <w:r>
        <w:rPr>
          <w:rFonts w:hint="eastAsia" w:ascii="仿宋" w:hAnsi="仿宋" w:eastAsia="仿宋"/>
          <w:color w:val="auto"/>
          <w:lang w:eastAsia="zh-CN"/>
        </w:rPr>
        <w:t>招标文件</w:t>
      </w:r>
      <w:r>
        <w:rPr>
          <w:rFonts w:hint="eastAsia" w:ascii="仿宋" w:hAnsi="仿宋" w:eastAsia="仿宋"/>
          <w:color w:val="auto"/>
        </w:rPr>
        <w:t>要求乙方提交履约保证金的，乙方应按</w:t>
      </w:r>
      <w:r>
        <w:rPr>
          <w:rFonts w:hint="eastAsia" w:ascii="仿宋" w:hAnsi="仿宋" w:eastAsia="仿宋"/>
          <w:b/>
          <w:i/>
          <w:color w:val="auto"/>
          <w:u w:val="single"/>
        </w:rPr>
        <w:t>合同专用条款</w:t>
      </w:r>
      <w:r>
        <w:rPr>
          <w:rFonts w:hint="eastAsia" w:ascii="仿宋" w:hAnsi="仿宋" w:eastAsia="仿宋"/>
          <w:color w:val="auto"/>
        </w:rPr>
        <w:t>约定的方式，以支票、汇票、本票或者金融机构、担保机构出具的保函等非现金形式，提交不超过合同金额</w:t>
      </w:r>
      <w:r>
        <w:rPr>
          <w:rFonts w:hint="eastAsia" w:ascii="仿宋" w:hAnsi="仿宋" w:eastAsia="仿宋"/>
          <w:color w:val="auto"/>
          <w:lang w:eastAsia="zh-CN"/>
        </w:rPr>
        <w:t>2.5%</w:t>
      </w:r>
      <w:r>
        <w:rPr>
          <w:rFonts w:ascii="仿宋" w:hAnsi="仿宋" w:eastAsia="仿宋"/>
          <w:color w:val="auto"/>
        </w:rPr>
        <w:t>的履约保证金；鼓励和支持乙方以银行、保险公司出具的保函形式提供履约保证。</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2.20.2  </w:t>
      </w:r>
      <w:r>
        <w:rPr>
          <w:rFonts w:hint="eastAsia" w:ascii="仿宋" w:hAnsi="仿宋" w:eastAsia="仿宋"/>
          <w:color w:val="auto"/>
          <w:sz w:val="24"/>
        </w:rPr>
        <w:t>履约保证金在</w:t>
      </w:r>
      <w:r>
        <w:rPr>
          <w:rFonts w:hint="eastAsia" w:ascii="仿宋" w:hAnsi="仿宋" w:eastAsia="仿宋"/>
          <w:b/>
          <w:i/>
          <w:color w:val="auto"/>
          <w:sz w:val="24"/>
          <w:u w:val="single"/>
        </w:rPr>
        <w:t>合同专用条款</w:t>
      </w:r>
      <w:r>
        <w:rPr>
          <w:rFonts w:hint="eastAsia" w:ascii="仿宋" w:hAnsi="仿宋" w:eastAsia="仿宋"/>
          <w:color w:val="auto"/>
          <w:sz w:val="24"/>
        </w:rPr>
        <w:t>约定期间内不予退还。乙方在前述约定期间届满前能履行完合同约定义务事项的，甲方在前述约定期间届满之日起</w:t>
      </w:r>
      <w:r>
        <w:rPr>
          <w:rFonts w:ascii="仿宋" w:hAnsi="仿宋" w:eastAsia="仿宋"/>
          <w:color w:val="auto"/>
          <w:sz w:val="24"/>
          <w:u w:val="single"/>
        </w:rPr>
        <w:t xml:space="preserve"> </w:t>
      </w:r>
      <w:r>
        <w:rPr>
          <w:rFonts w:hint="eastAsia" w:ascii="仿宋" w:hAnsi="仿宋" w:eastAsia="仿宋"/>
          <w:color w:val="auto"/>
          <w:sz w:val="24"/>
          <w:u w:val="single"/>
        </w:rPr>
        <w:t>5</w:t>
      </w:r>
      <w:r>
        <w:rPr>
          <w:rFonts w:ascii="仿宋" w:hAnsi="仿宋" w:eastAsia="仿宋"/>
          <w:color w:val="auto"/>
          <w:sz w:val="24"/>
          <w:u w:val="single"/>
        </w:rPr>
        <w:t xml:space="preserve"> </w:t>
      </w:r>
      <w:r>
        <w:rPr>
          <w:rFonts w:hint="eastAsia" w:ascii="仿宋" w:hAnsi="仿宋" w:eastAsia="仿宋"/>
          <w:color w:val="auto"/>
          <w:sz w:val="24"/>
        </w:rPr>
        <w:t>个工作日内，按</w:t>
      </w:r>
      <w:r>
        <w:rPr>
          <w:rFonts w:hint="eastAsia" w:ascii="仿宋" w:hAnsi="仿宋" w:eastAsia="仿宋"/>
          <w:b/>
          <w:i/>
          <w:color w:val="auto"/>
          <w:sz w:val="24"/>
          <w:u w:val="single"/>
        </w:rPr>
        <w:t>合同专用条款</w:t>
      </w:r>
      <w:r>
        <w:rPr>
          <w:rFonts w:hint="eastAsia" w:ascii="仿宋" w:hAnsi="仿宋" w:eastAsia="仿宋"/>
          <w:color w:val="auto"/>
          <w:sz w:val="24"/>
        </w:rPr>
        <w:t>约定的方式将履约保证金退还乙方，逾期退还的，乙方可要求甲方支付违约金，违约金按每迟延退还一日的应退还而未退还金额的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%计算，最高限额为本合同履约保证金的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 xml:space="preserve">%； </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 xml:space="preserve">2.20.3 </w:t>
      </w:r>
      <w:r>
        <w:rPr>
          <w:rFonts w:hint="eastAsia" w:ascii="仿宋" w:hAnsi="仿宋" w:eastAsia="仿宋"/>
          <w:color w:val="auto"/>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0</w:t>
      </w:r>
      <w:r>
        <w:rPr>
          <w:rFonts w:ascii="仿宋" w:hAnsi="仿宋" w:eastAsia="仿宋"/>
          <w:color w:val="auto"/>
          <w:sz w:val="24"/>
        </w:rPr>
        <w:t>.4</w:t>
      </w:r>
      <w:r>
        <w:rPr>
          <w:rFonts w:hint="eastAsia" w:ascii="仿宋" w:hAnsi="仿宋" w:eastAsia="仿宋"/>
          <w:color w:val="auto"/>
          <w:sz w:val="24"/>
        </w:rPr>
        <w:t> 甲方根据杭州市政府采购网公布的供应商履约评价情况减免履约保证金。乙方履约验收评价总分为</w:t>
      </w:r>
      <w:r>
        <w:rPr>
          <w:rFonts w:ascii="仿宋" w:hAnsi="仿宋" w:eastAsia="仿宋"/>
          <w:color w:val="auto"/>
          <w:sz w:val="24"/>
        </w:rPr>
        <w:t>100分的，甲方免收履约保证金；评价总分在90分以上的，收取履约保证金</w:t>
      </w:r>
      <w:r>
        <w:rPr>
          <w:rFonts w:hint="eastAsia" w:ascii="仿宋" w:hAnsi="仿宋" w:eastAsia="仿宋"/>
          <w:color w:val="auto"/>
          <w:sz w:val="24"/>
        </w:rPr>
        <w:t>为</w:t>
      </w:r>
      <w:r>
        <w:rPr>
          <w:rFonts w:ascii="仿宋" w:hAnsi="仿宋" w:eastAsia="仿宋"/>
          <w:color w:val="auto"/>
          <w:sz w:val="24"/>
        </w:rPr>
        <w:t>合同金额2%；评价总分在不满90分或者暂无评分的，收取履约保证金</w:t>
      </w:r>
      <w:r>
        <w:rPr>
          <w:rFonts w:hint="eastAsia" w:ascii="仿宋" w:hAnsi="仿宋" w:eastAsia="仿宋"/>
          <w:color w:val="auto"/>
          <w:sz w:val="24"/>
        </w:rPr>
        <w:t>为</w:t>
      </w:r>
      <w:r>
        <w:rPr>
          <w:rFonts w:ascii="仿宋" w:hAnsi="仿宋" w:eastAsia="仿宋"/>
          <w:color w:val="auto"/>
          <w:sz w:val="24"/>
        </w:rPr>
        <w:t>合同金额</w:t>
      </w:r>
      <w:r>
        <w:rPr>
          <w:rFonts w:hint="eastAsia" w:ascii="仿宋" w:hAnsi="仿宋" w:eastAsia="仿宋"/>
          <w:color w:val="auto"/>
          <w:sz w:val="24"/>
          <w:lang w:eastAsia="zh-CN"/>
        </w:rPr>
        <w:t>2.5%</w:t>
      </w:r>
      <w:r>
        <w:rPr>
          <w:rFonts w:ascii="仿宋" w:hAnsi="仿宋" w:eastAsia="仿宋"/>
          <w:color w:val="auto"/>
          <w:sz w:val="24"/>
        </w:rPr>
        <w:t>。</w:t>
      </w:r>
    </w:p>
    <w:p>
      <w:pPr>
        <w:snapToGrid w:val="0"/>
        <w:spacing w:line="360" w:lineRule="auto"/>
        <w:ind w:firstLine="480" w:firstLineChars="200"/>
        <w:rPr>
          <w:color w:val="auto"/>
        </w:rPr>
      </w:pPr>
      <w:r>
        <w:rPr>
          <w:rFonts w:ascii="仿宋" w:hAnsi="仿宋" w:eastAsia="仿宋"/>
          <w:color w:val="auto"/>
          <w:sz w:val="24"/>
        </w:rPr>
        <w:t>2.2</w:t>
      </w:r>
      <w:r>
        <w:rPr>
          <w:rFonts w:hint="eastAsia" w:ascii="仿宋" w:hAnsi="仿宋" w:eastAsia="仿宋"/>
          <w:color w:val="auto"/>
          <w:sz w:val="24"/>
        </w:rPr>
        <w:t>0</w:t>
      </w:r>
      <w:r>
        <w:rPr>
          <w:rFonts w:ascii="仿宋" w:hAnsi="仿宋" w:eastAsia="仿宋"/>
          <w:color w:val="auto"/>
          <w:sz w:val="24"/>
        </w:rPr>
        <w:t>.5</w:t>
      </w:r>
      <w:r>
        <w:rPr>
          <w:rFonts w:hint="eastAsia" w:ascii="仿宋" w:hAnsi="仿宋" w:eastAsia="仿宋"/>
          <w:color w:val="auto"/>
          <w:sz w:val="24"/>
        </w:rPr>
        <w:t>甲方</w:t>
      </w:r>
      <w:r>
        <w:rPr>
          <w:rFonts w:ascii="仿宋" w:hAnsi="仿宋" w:eastAsia="仿宋"/>
          <w:color w:val="auto"/>
          <w:sz w:val="24"/>
        </w:rPr>
        <w:t>在</w:t>
      </w:r>
      <w:r>
        <w:rPr>
          <w:rFonts w:hint="eastAsia" w:ascii="仿宋" w:hAnsi="仿宋" w:eastAsia="仿宋"/>
          <w:color w:val="auto"/>
          <w:sz w:val="24"/>
        </w:rPr>
        <w:t>乙方</w:t>
      </w:r>
      <w:r>
        <w:rPr>
          <w:rFonts w:ascii="仿宋" w:hAnsi="仿宋" w:eastAsia="仿宋"/>
          <w:color w:val="auto"/>
          <w:sz w:val="24"/>
        </w:rPr>
        <w:t>履行完合同约定义务事项后及时退还，延迟退还的，应当按照合同约定和法律规定承担相应的赔偿责任。</w:t>
      </w:r>
    </w:p>
    <w:p>
      <w:pPr>
        <w:snapToGrid w:val="0"/>
        <w:spacing w:line="360" w:lineRule="auto"/>
        <w:ind w:firstLine="480" w:firstLineChars="20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1</w:t>
      </w:r>
      <w:r>
        <w:rPr>
          <w:rFonts w:ascii="仿宋" w:hAnsi="仿宋" w:eastAsia="仿宋"/>
          <w:color w:val="auto"/>
          <w:sz w:val="24"/>
        </w:rPr>
        <w:t>对于因甲方原因导致变更、中止或者终止政府采购合同的，甲方应当依照合同约定对供应商受到的损失予以赔偿或者补偿。</w:t>
      </w:r>
    </w:p>
    <w:bookmarkEnd w:id="550"/>
    <w:p>
      <w:pPr>
        <w:snapToGrid w:val="0"/>
        <w:spacing w:line="360" w:lineRule="auto"/>
        <w:ind w:firstLine="482" w:firstLineChars="200"/>
        <w:outlineLvl w:val="0"/>
        <w:rPr>
          <w:rFonts w:ascii="仿宋" w:hAnsi="仿宋" w:eastAsia="仿宋"/>
          <w:b/>
          <w:color w:val="auto"/>
          <w:sz w:val="24"/>
        </w:rPr>
      </w:pPr>
      <w:bookmarkStart w:id="551" w:name="_Toc19890"/>
      <w:bookmarkStart w:id="552" w:name="_Toc14001"/>
      <w:bookmarkStart w:id="553" w:name="_Toc6885"/>
      <w:r>
        <w:rPr>
          <w:rFonts w:ascii="仿宋" w:hAnsi="仿宋" w:eastAsia="仿宋"/>
          <w:b/>
          <w:color w:val="auto"/>
          <w:sz w:val="24"/>
        </w:rPr>
        <w:t>2.2</w:t>
      </w:r>
      <w:r>
        <w:rPr>
          <w:rFonts w:hint="eastAsia" w:ascii="仿宋" w:hAnsi="仿宋" w:eastAsia="仿宋"/>
          <w:b/>
          <w:color w:val="auto"/>
          <w:sz w:val="24"/>
        </w:rPr>
        <w:t>2合同份数</w:t>
      </w:r>
      <w:bookmarkEnd w:id="551"/>
      <w:bookmarkEnd w:id="552"/>
      <w:bookmarkEnd w:id="553"/>
    </w:p>
    <w:p>
      <w:pPr>
        <w:snapToGrid w:val="0"/>
        <w:spacing w:line="360" w:lineRule="auto"/>
        <w:ind w:firstLine="480" w:firstLineChars="200"/>
        <w:rPr>
          <w:rFonts w:ascii="仿宋" w:hAnsi="仿宋" w:eastAsia="仿宋"/>
          <w:color w:val="auto"/>
          <w:sz w:val="24"/>
        </w:rPr>
      </w:pPr>
      <w:r>
        <w:rPr>
          <w:rFonts w:hint="eastAsia" w:ascii="仿宋" w:hAnsi="仿宋" w:eastAsia="仿宋"/>
          <w:color w:val="auto"/>
          <w:sz w:val="24"/>
        </w:rPr>
        <w:t>合同份数按</w:t>
      </w:r>
      <w:r>
        <w:rPr>
          <w:rFonts w:hint="eastAsia" w:ascii="仿宋" w:hAnsi="仿宋" w:eastAsia="仿宋"/>
          <w:b/>
          <w:i/>
          <w:color w:val="auto"/>
          <w:sz w:val="24"/>
          <w:u w:val="single"/>
        </w:rPr>
        <w:t>合同专用条款</w:t>
      </w:r>
      <w:r>
        <w:rPr>
          <w:rFonts w:hint="eastAsia" w:ascii="仿宋" w:hAnsi="仿宋" w:eastAsia="仿宋"/>
          <w:color w:val="auto"/>
          <w:sz w:val="24"/>
        </w:rPr>
        <w:t>规定，每份均具有同等法律效力。</w:t>
      </w:r>
    </w:p>
    <w:p>
      <w:pPr>
        <w:rPr>
          <w:rFonts w:ascii="仿宋" w:hAnsi="仿宋" w:eastAsia="仿宋"/>
          <w:b/>
          <w:color w:val="auto"/>
        </w:rPr>
      </w:pPr>
      <w:r>
        <w:rPr>
          <w:rFonts w:hint="eastAsia" w:ascii="仿宋" w:hAnsi="仿宋" w:eastAsia="仿宋"/>
          <w:b/>
          <w:color w:val="auto"/>
        </w:rPr>
        <w:br w:type="page"/>
      </w:r>
    </w:p>
    <w:p>
      <w:pPr>
        <w:pStyle w:val="700"/>
        <w:spacing w:line="560" w:lineRule="exact"/>
        <w:ind w:left="0" w:leftChars="0" w:firstLine="0" w:firstLineChars="0"/>
        <w:jc w:val="center"/>
        <w:rPr>
          <w:rFonts w:ascii="仿宋" w:hAnsi="仿宋" w:eastAsia="仿宋"/>
          <w:b/>
          <w:color w:val="auto"/>
          <w:szCs w:val="24"/>
        </w:rPr>
      </w:pPr>
      <w:r>
        <w:rPr>
          <w:rFonts w:hint="eastAsia" w:ascii="仿宋" w:hAnsi="仿宋" w:eastAsia="仿宋"/>
          <w:b/>
          <w:color w:val="auto"/>
          <w:szCs w:val="24"/>
        </w:rPr>
        <w:t>第三部分</w:t>
      </w:r>
      <w:r>
        <w:rPr>
          <w:rFonts w:ascii="仿宋" w:hAnsi="仿宋" w:eastAsia="仿宋"/>
          <w:b/>
          <w:color w:val="auto"/>
          <w:szCs w:val="24"/>
        </w:rPr>
        <w:t xml:space="preserve">  </w:t>
      </w:r>
      <w:r>
        <w:rPr>
          <w:rFonts w:hint="eastAsia" w:ascii="仿宋" w:hAnsi="仿宋" w:eastAsia="仿宋"/>
          <w:b/>
          <w:color w:val="auto"/>
          <w:szCs w:val="24"/>
        </w:rPr>
        <w:t>合同专用条款</w:t>
      </w:r>
    </w:p>
    <w:p>
      <w:pPr>
        <w:snapToGrid w:val="0"/>
        <w:spacing w:line="360" w:lineRule="auto"/>
        <w:ind w:left="-420" w:leftChars="-200" w:right="-420" w:rightChars="-200" w:firstLine="480" w:firstLineChars="200"/>
        <w:rPr>
          <w:color w:val="auto"/>
        </w:rPr>
      </w:pPr>
      <w:r>
        <w:rPr>
          <w:rFonts w:hint="eastAsia" w:ascii="仿宋" w:hAnsi="仿宋" w:eastAsia="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条款号</w:t>
            </w:r>
          </w:p>
        </w:tc>
        <w:tc>
          <w:tcPr>
            <w:tcW w:w="4534" w:type="pct"/>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1.4.4</w:t>
            </w:r>
          </w:p>
        </w:tc>
        <w:tc>
          <w:tcPr>
            <w:tcW w:w="4534" w:type="pct"/>
            <w:vAlign w:val="center"/>
          </w:tcPr>
          <w:p>
            <w:pPr>
              <w:spacing w:line="360" w:lineRule="auto"/>
              <w:rPr>
                <w:rFonts w:ascii="仿宋" w:hAnsi="仿宋" w:eastAsia="仿宋"/>
                <w:color w:val="auto"/>
                <w:sz w:val="24"/>
              </w:rPr>
            </w:pPr>
            <w:r>
              <w:rPr>
                <w:rFonts w:hint="eastAsia" w:ascii="宋体" w:hAnsi="宋体"/>
                <w:color w:val="auto"/>
                <w:sz w:val="24"/>
                <w:u w:val="single"/>
              </w:rPr>
              <w:t>合同总价为包干价，</w:t>
            </w:r>
            <w:r>
              <w:rPr>
                <w:rFonts w:hint="eastAsia" w:ascii="仿宋" w:hAnsi="仿宋" w:eastAsia="仿宋"/>
                <w:color w:val="auto"/>
                <w:sz w:val="24"/>
              </w:rPr>
              <w:t>合同签订后7日内，甲方支付合同总额40%的预付款；项目交货完成、安装调试完成并验收后，付清余款。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1.5.1 </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合同签订后90日历天，且满足总包施工进度要求。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1.5.2</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新湾校区项目地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1.5.3 </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货到工地，包安装、调试、验收等交钥匙项目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1.6.7</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如产品质量未达到投标承诺技术要求及品牌、型号的；采购人将退货处理，乙方承担项目总额20%的违约金。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1.7.2(诉讼)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1.7.1</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1.7.2</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2.3.2</w:t>
            </w:r>
          </w:p>
        </w:tc>
        <w:tc>
          <w:tcPr>
            <w:tcW w:w="4534" w:type="pct"/>
            <w:vAlign w:val="center"/>
          </w:tcPr>
          <w:p>
            <w:pP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归乙方所有，但针对本项目，甲方有无限使用权。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2.4.1</w:t>
            </w:r>
          </w:p>
        </w:tc>
        <w:tc>
          <w:tcPr>
            <w:tcW w:w="4534" w:type="pct"/>
            <w:vAlign w:val="center"/>
          </w:tcPr>
          <w:p>
            <w:pP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按行业及通用条款要求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2.4.2</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装运货物的要求和通知，乙方应提前7天通知甲方并协调设备的卸货及安装事宜。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color w:val="auto"/>
                <w:sz w:val="24"/>
              </w:rPr>
            </w:pPr>
            <w:r>
              <w:rPr>
                <w:rFonts w:hint="eastAsia" w:ascii="仿宋" w:hAnsi="仿宋" w:eastAsia="仿宋"/>
                <w:color w:val="auto"/>
                <w:sz w:val="24"/>
              </w:rPr>
              <w:t xml:space="preserve">2.8 </w:t>
            </w:r>
          </w:p>
        </w:tc>
        <w:tc>
          <w:tcPr>
            <w:tcW w:w="4534" w:type="pct"/>
          </w:tcPr>
          <w:p>
            <w:pPr>
              <w:spacing w:line="360" w:lineRule="auto"/>
              <w:rPr>
                <w:rFonts w:ascii="仿宋" w:hAnsi="仿宋" w:eastAsia="仿宋"/>
                <w:color w:val="auto"/>
                <w:sz w:val="24"/>
              </w:rPr>
            </w:pPr>
            <w:r>
              <w:rPr>
                <w:rFonts w:hint="eastAsia" w:ascii="仿宋" w:hAnsi="仿宋" w:eastAsia="仿宋"/>
                <w:color w:val="auto"/>
                <w:sz w:val="24"/>
              </w:rPr>
              <w:t>货物或者在途货物或者交付给第一承运人后的货物毁损、灭失的风险负担均由乙方负责，并承担延期交货的违约责任。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2.12.3</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不可抗力时间发生后7天内以书面形式变更合同。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2.12.4</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不可抗力时间发生后7天内。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2.16.1</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不可抗力时间发生后7天内。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2.16.3</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color w:val="auto"/>
                <w:sz w:val="24"/>
              </w:rPr>
            </w:pPr>
            <w:r>
              <w:rPr>
                <w:rFonts w:hint="eastAsia" w:ascii="仿宋" w:hAnsi="仿宋" w:eastAsia="仿宋"/>
                <w:color w:val="auto"/>
                <w:sz w:val="24"/>
              </w:rPr>
              <w:t>2.20.1</w:t>
            </w:r>
          </w:p>
        </w:tc>
        <w:tc>
          <w:tcPr>
            <w:tcW w:w="4534" w:type="pct"/>
          </w:tcPr>
          <w:p>
            <w:pPr>
              <w:spacing w:line="360" w:lineRule="auto"/>
              <w:rPr>
                <w:rFonts w:ascii="仿宋" w:hAnsi="仿宋" w:eastAsia="仿宋"/>
                <w:color w:val="auto"/>
                <w:sz w:val="24"/>
              </w:rPr>
            </w:pPr>
            <w:r>
              <w:rPr>
                <w:rFonts w:hint="eastAsia" w:ascii="仿宋" w:hAnsi="仿宋" w:eastAsia="仿宋"/>
                <w:color w:val="auto"/>
                <w:sz w:val="24"/>
              </w:rPr>
              <w:t>合同金额的</w:t>
            </w:r>
            <w:r>
              <w:rPr>
                <w:rFonts w:hint="eastAsia" w:ascii="仿宋" w:hAnsi="仿宋" w:eastAsia="仿宋"/>
                <w:color w:val="auto"/>
                <w:sz w:val="24"/>
                <w:lang w:val="en-US" w:eastAsia="zh-CN"/>
              </w:rPr>
              <w:t>2.</w:t>
            </w:r>
            <w:r>
              <w:rPr>
                <w:rFonts w:hint="eastAsia" w:ascii="仿宋" w:hAnsi="仿宋" w:eastAsia="仿宋"/>
                <w:color w:val="auto"/>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2.20.2 </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合同验收后30天前。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2</w:t>
            </w:r>
            <w:r>
              <w:rPr>
                <w:rFonts w:ascii="仿宋" w:hAnsi="仿宋" w:eastAsia="仿宋"/>
                <w:color w:val="auto"/>
                <w:sz w:val="24"/>
              </w:rPr>
              <w:t xml:space="preserve"> </w:t>
            </w:r>
          </w:p>
        </w:tc>
        <w:tc>
          <w:tcPr>
            <w:tcW w:w="4534" w:type="pct"/>
            <w:vAlign w:val="center"/>
          </w:tcPr>
          <w:p>
            <w:pPr>
              <w:spacing w:line="360" w:lineRule="auto"/>
              <w:rPr>
                <w:rFonts w:ascii="仿宋" w:hAnsi="仿宋" w:eastAsia="仿宋"/>
                <w:color w:val="auto"/>
                <w:sz w:val="24"/>
              </w:rPr>
            </w:pPr>
            <w:r>
              <w:rPr>
                <w:rFonts w:hint="eastAsia" w:ascii="仿宋" w:hAnsi="仿宋" w:eastAsia="仿宋"/>
                <w:color w:val="auto"/>
                <w:sz w:val="24"/>
              </w:rPr>
              <w:t>6份。</w:t>
            </w:r>
          </w:p>
        </w:tc>
      </w:tr>
    </w:tbl>
    <w:p>
      <w:pPr>
        <w:spacing w:line="240" w:lineRule="auto"/>
        <w:jc w:val="center"/>
        <w:outlineLvl w:val="9"/>
        <w:rPr>
          <w:rFonts w:ascii="仿宋" w:hAnsi="仿宋" w:eastAsia="仿宋" w:cs="仿宋_GB2312"/>
          <w:b/>
          <w:color w:val="auto"/>
          <w:sz w:val="36"/>
          <w:szCs w:val="20"/>
        </w:rPr>
      </w:pPr>
      <w:r>
        <w:rPr>
          <w:rFonts w:hint="eastAsia" w:ascii="仿宋" w:hAnsi="仿宋" w:eastAsia="仿宋" w:cs="仿宋_GB2312"/>
          <w:b/>
          <w:color w:val="auto"/>
          <w:sz w:val="36"/>
          <w:szCs w:val="20"/>
        </w:rPr>
        <w:t>第六部分</w:t>
      </w:r>
      <w:bookmarkEnd w:id="396"/>
      <w:r>
        <w:rPr>
          <w:rFonts w:ascii="仿宋" w:hAnsi="仿宋" w:eastAsia="仿宋" w:cs="仿宋_GB2312"/>
          <w:b/>
          <w:color w:val="auto"/>
          <w:sz w:val="36"/>
          <w:szCs w:val="20"/>
        </w:rPr>
        <w:t xml:space="preserve"> </w:t>
      </w:r>
      <w:bookmarkEnd w:id="397"/>
      <w:r>
        <w:rPr>
          <w:rFonts w:hint="eastAsia" w:ascii="仿宋" w:hAnsi="仿宋" w:eastAsia="仿宋" w:cs="仿宋_GB2312"/>
          <w:b/>
          <w:color w:val="auto"/>
          <w:sz w:val="36"/>
          <w:szCs w:val="20"/>
        </w:rPr>
        <w:t>应提交的有关格式范例</w:t>
      </w:r>
    </w:p>
    <w:p>
      <w:pPr>
        <w:spacing w:line="360" w:lineRule="auto"/>
        <w:jc w:val="center"/>
        <w:outlineLvl w:val="0"/>
        <w:rPr>
          <w:rFonts w:ascii="仿宋_GB2312" w:hAnsi="仿宋" w:eastAsia="仿宋_GB2312" w:cs="仿宋_GB2312"/>
          <w:b/>
          <w:color w:val="auto"/>
          <w:kern w:val="0"/>
          <w:sz w:val="36"/>
          <w:szCs w:val="36"/>
        </w:r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1）符合参加政府采购活动应当具备的一般条件的承诺函……</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2）落实政府采购政策需满足的资格要求……</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3）本项目的特定资格要求……</w:t>
      </w:r>
      <w:r>
        <w:rPr>
          <w:rFonts w:hint="eastAsia" w:ascii="仿宋_GB2312" w:hAnsi="仿宋" w:eastAsia="仿宋_GB2312" w:cs="仿宋_GB2312"/>
          <w:color w:val="auto"/>
          <w:sz w:val="24"/>
        </w:rPr>
        <w:t>…………………………………………（页码）</w:t>
      </w:r>
    </w:p>
    <w:p>
      <w:pPr>
        <w:snapToGrid w:val="0"/>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snapToGrid w:val="0"/>
        <w:spacing w:line="360" w:lineRule="auto"/>
        <w:ind w:right="480"/>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br w:type="page"/>
      </w:r>
      <w:r>
        <w:rPr>
          <w:rFonts w:ascii="仿宋_GB2312" w:hAnsi="仿宋" w:eastAsia="仿宋_GB2312" w:cs="仿宋_GB2312"/>
          <w:b/>
          <w:color w:val="auto"/>
          <w:kern w:val="0"/>
          <w:sz w:val="32"/>
          <w:szCs w:val="32"/>
        </w:rPr>
        <w:t>一、 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u w:val="single"/>
        </w:rPr>
        <w:t>浙江省杭州第四中学新湾学校、</w:t>
      </w:r>
      <w:r>
        <w:rPr>
          <w:rFonts w:hint="eastAsia" w:ascii="仿宋_GB2312" w:hAnsi="仿宋" w:eastAsia="仿宋_GB2312" w:cs="仿宋_GB2312"/>
          <w:color w:val="auto"/>
          <w:sz w:val="24"/>
          <w:u w:val="single"/>
          <w:lang w:eastAsia="zh-CN"/>
        </w:rPr>
        <w:t>浙江国际招投标有限公司</w:t>
      </w:r>
      <w:r>
        <w:rPr>
          <w:rFonts w:hint="eastAsia" w:ascii="仿宋_GB2312" w:hAnsi="仿宋" w:eastAsia="仿宋_GB2312" w:cs="仿宋_GB2312"/>
          <w:color w:val="auto"/>
          <w:sz w:val="24"/>
        </w:rPr>
        <w:t>：</w:t>
      </w:r>
    </w:p>
    <w:p>
      <w:pPr>
        <w:snapToGrid w:val="0"/>
        <w:spacing w:line="360" w:lineRule="auto"/>
        <w:ind w:firstLine="420"/>
        <w:rPr>
          <w:rFonts w:ascii="仿宋_GB2312" w:hAnsi="仿宋" w:eastAsia="仿宋_GB2312" w:cs="仿宋_GB2312"/>
          <w:color w:val="auto"/>
          <w:sz w:val="24"/>
        </w:rPr>
      </w:pPr>
      <w:r>
        <w:rPr>
          <w:rFonts w:hint="eastAsia" w:ascii="仿宋_GB2312" w:hAnsi="仿宋" w:eastAsia="仿宋_GB2312" w:cs="仿宋_GB2312"/>
          <w:color w:val="auto"/>
          <w:sz w:val="24"/>
        </w:rPr>
        <w:t>我方参与</w:t>
      </w:r>
      <w:r>
        <w:rPr>
          <w:rFonts w:hint="eastAsia" w:ascii="仿宋_GB2312" w:hAnsi="仿宋" w:eastAsia="仿宋_GB2312" w:cs="仿宋_GB2312"/>
          <w:color w:val="auto"/>
          <w:sz w:val="24"/>
          <w:lang w:eastAsia="zh-CN"/>
        </w:rPr>
        <w:t>杭州第四中学新湾学校校园网络及综合布线项目</w:t>
      </w:r>
      <w:r>
        <w:rPr>
          <w:rFonts w:hint="eastAsia" w:ascii="仿宋_GB2312" w:hAnsi="仿宋" w:eastAsia="仿宋_GB2312" w:cs="仿宋_GB2312"/>
          <w:color w:val="auto"/>
          <w:sz w:val="24"/>
        </w:rPr>
        <w:t>【招标编号：</w:t>
      </w:r>
      <w:r>
        <w:rPr>
          <w:rFonts w:hint="eastAsia" w:ascii="仿宋_GB2312" w:hAnsi="仿宋" w:eastAsia="仿宋_GB2312"/>
          <w:color w:val="auto"/>
          <w:sz w:val="24"/>
        </w:rPr>
        <w:t>ZJ-2163197</w:t>
      </w:r>
      <w:r>
        <w:rPr>
          <w:rFonts w:hint="eastAsia" w:ascii="仿宋_GB2312" w:hAnsi="仿宋" w:eastAsia="仿宋_GB2312" w:cs="仿宋_GB2312"/>
          <w:color w:val="auto"/>
          <w:sz w:val="24"/>
        </w:rPr>
        <w:t>】政府采购活动，郑重承诺：</w:t>
      </w:r>
    </w:p>
    <w:p>
      <w:pP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具有独立承担民事责任的能力；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ascii="仿宋_GB2312" w:hAnsi="仿宋" w:eastAsia="仿宋_GB2312"/>
          <w:color w:val="auto"/>
          <w:sz w:val="24"/>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具有履行合同所必需的设备和专业技术能力；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ascii="仿宋_GB2312" w:hAnsi="仿宋" w:eastAsia="仿宋_GB2312"/>
          <w:color w:val="auto"/>
          <w:sz w:val="24"/>
        </w:rPr>
        <w:t>有依法缴纳税收和社会保障资金的良好记录；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ascii="仿宋_GB2312" w:hAnsi="仿宋" w:eastAsia="仿宋_GB2312"/>
          <w:color w:val="auto"/>
          <w:sz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ascii="仿宋_GB2312" w:hAnsi="仿宋" w:eastAsia="仿宋_GB2312"/>
          <w:color w:val="auto"/>
          <w:sz w:val="24"/>
        </w:rPr>
        <w:t>具有法律、行政法规规定的其他条件。</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pStyle w:val="2"/>
        <w:rPr>
          <w:rFonts w:ascii="仿宋_GB2312" w:hAnsi="仿宋" w:eastAsia="仿宋_GB2312" w:cs="仿宋_GB2312"/>
          <w:color w:val="auto"/>
        </w:rPr>
      </w:pPr>
    </w:p>
    <w:p>
      <w:pPr>
        <w:rPr>
          <w:color w:val="auto"/>
        </w:rPr>
      </w:pPr>
    </w:p>
    <w:p>
      <w:pP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二、落实政府采购政策需满足的资格要求</w:t>
      </w:r>
    </w:p>
    <w:p>
      <w:pPr>
        <w:spacing w:line="360" w:lineRule="auto"/>
        <w:rPr>
          <w:rFonts w:ascii="仿宋_GB2312" w:hAnsi="仿宋" w:eastAsia="仿宋_GB2312"/>
          <w:color w:val="auto"/>
          <w:sz w:val="24"/>
        </w:rPr>
      </w:pPr>
      <w:r>
        <w:rPr>
          <w:rFonts w:hint="eastAsia" w:ascii="仿宋_GB2312" w:hAnsi="仿宋" w:eastAsia="仿宋_GB2312" w:cs="仿宋_GB2312"/>
          <w:color w:val="auto"/>
          <w:sz w:val="24"/>
        </w:rPr>
        <w:t>（根据招标公告</w:t>
      </w:r>
      <w:r>
        <w:rPr>
          <w:rFonts w:hint="eastAsia" w:ascii="仿宋_GB2312" w:hAnsi="仿宋" w:eastAsia="仿宋_GB2312"/>
          <w:color w:val="auto"/>
          <w:sz w:val="24"/>
        </w:rPr>
        <w:t>落实政府采购政策需满足的资格要求选择提供相应的材料；未要求的，无需提供</w:t>
      </w:r>
      <w:r>
        <w:rPr>
          <w:rFonts w:hint="eastAsia" w:ascii="仿宋_GB2312" w:hAnsi="仿宋" w:eastAsia="仿宋_GB2312" w:cs="仿宋_GB2312"/>
          <w:color w:val="auto"/>
          <w:sz w:val="24"/>
        </w:rPr>
        <w:t>）</w:t>
      </w:r>
    </w:p>
    <w:p>
      <w:pPr>
        <w:snapToGrid w:val="0"/>
        <w:spacing w:before="50" w:after="50"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A</w:t>
      </w:r>
      <w:r>
        <w:rPr>
          <w:rFonts w:ascii="仿宋_GB2312" w:hAnsi="仿宋" w:eastAsia="仿宋_GB2312" w:cs="仿宋_GB2312"/>
          <w:color w:val="auto"/>
          <w:sz w:val="24"/>
        </w:rPr>
        <w:t>.</w:t>
      </w:r>
      <w:r>
        <w:rPr>
          <w:rFonts w:hint="eastAsia" w:ascii="仿宋_GB2312" w:hAnsi="仿宋" w:eastAsia="仿宋_GB2312" w:cs="仿宋_GB2312"/>
          <w:color w:val="auto"/>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w:t>
      </w:r>
      <w:r>
        <w:rPr>
          <w:rFonts w:ascii="仿宋_GB2312" w:hAnsi="仿宋" w:eastAsia="仿宋_GB2312" w:cs="仿宋_GB2312"/>
          <w:color w:val="auto"/>
          <w:sz w:val="24"/>
        </w:rPr>
        <w:t xml:space="preserve"> </w:t>
      </w:r>
    </w:p>
    <w:p>
      <w:pPr>
        <w:widowControl/>
        <w:spacing w:line="360" w:lineRule="auto"/>
        <w:ind w:firstLine="480"/>
        <w:jc w:val="left"/>
        <w:rPr>
          <w:rFonts w:ascii="仿宋_GB2312" w:hAnsi="宋体" w:eastAsia="仿宋_GB2312"/>
          <w:color w:val="auto"/>
          <w:sz w:val="24"/>
        </w:rPr>
      </w:pPr>
    </w:p>
    <w:p>
      <w:pPr>
        <w:rPr>
          <w:rFonts w:ascii="仿宋_GB2312" w:hAnsi="仿宋" w:eastAsia="仿宋_GB2312" w:cs="仿宋_GB2312"/>
          <w:b/>
          <w:color w:val="auto"/>
          <w:sz w:val="24"/>
        </w:rPr>
      </w:pPr>
      <w:r>
        <w:rPr>
          <w:rFonts w:ascii="仿宋_GB2312" w:hAnsi="仿宋" w:eastAsia="仿宋_GB2312" w:cs="仿宋_GB2312"/>
          <w:b/>
          <w:color w:val="auto"/>
          <w:sz w:val="24"/>
        </w:rPr>
        <w:br w:type="page"/>
      </w:r>
    </w:p>
    <w:p>
      <w:pPr>
        <w:widowControl/>
        <w:spacing w:line="360" w:lineRule="auto"/>
        <w:ind w:firstLine="472" w:firstLineChars="196"/>
        <w:jc w:val="left"/>
        <w:rPr>
          <w:rFonts w:ascii="仿宋_GB2312" w:hAnsi="仿宋" w:eastAsia="仿宋_GB2312" w:cs="仿宋_GB2312"/>
          <w:b/>
          <w:color w:val="auto"/>
          <w:sz w:val="24"/>
        </w:rPr>
      </w:pPr>
      <w:r>
        <w:rPr>
          <w:rFonts w:ascii="仿宋_GB2312" w:hAnsi="仿宋" w:eastAsia="仿宋_GB2312" w:cs="仿宋_GB2312"/>
          <w:b/>
          <w:color w:val="auto"/>
          <w:sz w:val="24"/>
        </w:rPr>
        <w:t>B.</w:t>
      </w:r>
      <w:r>
        <w:rPr>
          <w:rFonts w:hint="eastAsia" w:ascii="仿宋_GB2312" w:hAnsi="仿宋" w:eastAsia="仿宋_GB2312" w:cs="仿宋_GB2312"/>
          <w:color w:val="auto"/>
          <w:sz w:val="24"/>
        </w:rPr>
        <w:t>要求以联合体形式参加的，提供联合协议和中小企业声明函（附件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联合协议</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lang w:eastAsia="zh-CN"/>
        </w:rPr>
        <w:t>杭州第四中学新湾学校校园网络及综合布线项目</w:t>
      </w:r>
      <w:r>
        <w:rPr>
          <w:rFonts w:hint="eastAsia" w:ascii="仿宋_GB2312" w:hAnsi="仿宋" w:eastAsia="仿宋_GB2312" w:cs="仿宋_GB2312"/>
          <w:color w:val="auto"/>
          <w:sz w:val="24"/>
        </w:rPr>
        <w:t>【招标编号：</w:t>
      </w:r>
      <w:r>
        <w:rPr>
          <w:rFonts w:hint="eastAsia" w:ascii="仿宋_GB2312" w:hAnsi="仿宋" w:eastAsia="仿宋_GB2312"/>
          <w:color w:val="auto"/>
          <w:sz w:val="24"/>
        </w:rPr>
        <w:t>ZJ-2163197</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napToGrid w:val="0"/>
        <w:spacing w:line="360" w:lineRule="auto"/>
        <w:ind w:firstLine="482" w:firstLineChars="200"/>
        <w:rPr>
          <w:rFonts w:ascii="仿宋" w:hAnsi="仿宋" w:eastAsia="仿宋"/>
          <w:color w:val="auto"/>
          <w:sz w:val="24"/>
        </w:rPr>
      </w:pPr>
      <w:r>
        <w:rPr>
          <w:rFonts w:ascii="仿宋_GB2312" w:hAnsi="仿宋" w:eastAsia="仿宋_GB2312" w:cs="仿宋_GB2312"/>
          <w:b/>
          <w:color w:val="auto"/>
          <w:sz w:val="24"/>
        </w:rPr>
        <w:t>C、</w:t>
      </w:r>
      <w:r>
        <w:rPr>
          <w:rFonts w:hint="eastAsia" w:ascii="仿宋_GB2312" w:hAnsi="仿宋" w:eastAsia="仿宋_GB2312" w:cs="仿宋_GB2312"/>
          <w:color w:val="auto"/>
          <w:sz w:val="24"/>
        </w:rPr>
        <w:t>要求合同分包的，提供分包意向协议和中小企业声明函（附件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分包意向协议</w:t>
      </w:r>
    </w:p>
    <w:p>
      <w:pPr>
        <w:widowControl/>
        <w:snapToGrid w:val="0"/>
        <w:spacing w:line="360" w:lineRule="auto"/>
        <w:ind w:firstLine="42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lang w:eastAsia="zh-CN"/>
        </w:rPr>
        <w:t>杭州第四中学新湾学校校园网络及综合布线项目</w:t>
      </w:r>
      <w:r>
        <w:rPr>
          <w:rFonts w:hint="eastAsia" w:ascii="仿宋_GB2312" w:hAnsi="仿宋" w:eastAsia="仿宋_GB2312" w:cs="仿宋_GB2312"/>
          <w:color w:val="auto"/>
          <w:sz w:val="24"/>
        </w:rPr>
        <w:t>【招标编号：</w:t>
      </w:r>
      <w:r>
        <w:rPr>
          <w:rFonts w:hint="eastAsia" w:ascii="仿宋_GB2312" w:hAnsi="仿宋" w:eastAsia="仿宋_GB2312"/>
          <w:color w:val="auto"/>
          <w:sz w:val="24"/>
        </w:rPr>
        <w:t>ZJ-2163197</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4"/>
        <w:adjustRightInd w:val="0"/>
        <w:snapToGrid w:val="0"/>
        <w:ind w:left="664" w:leftChars="316" w:firstLine="229" w:firstLineChars="95"/>
        <w:rPr>
          <w:color w:val="auto"/>
        </w:rPr>
      </w:pPr>
      <w:r>
        <w:rPr>
          <w:rFonts w:hint="eastAsia" w:cs="仿宋_GB2312"/>
          <w:color w:val="auto"/>
          <w:kern w:val="0"/>
          <w:sz w:val="24"/>
          <w:szCs w:val="24"/>
        </w:rPr>
        <w:t>……</w:t>
      </w:r>
    </w:p>
    <w:p>
      <w:pPr>
        <w:snapToGrid w:val="0"/>
        <w:spacing w:line="440" w:lineRule="exact"/>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440" w:lineRule="exact"/>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440" w:lineRule="exact"/>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440" w:lineRule="exact"/>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440" w:lineRule="exact"/>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440" w:lineRule="exact"/>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440" w:lineRule="exact"/>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440" w:lineRule="exact"/>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440" w:lineRule="exact"/>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440" w:lineRule="exact"/>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440" w:lineRule="exact"/>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440" w:lineRule="exact"/>
        <w:ind w:left="5758" w:leftChars="342" w:hanging="5040" w:hangingChars="2100"/>
        <w:rPr>
          <w:rFonts w:ascii="仿宋_GB2312" w:hAnsi="仿宋" w:eastAsia="仿宋_GB2312" w:cs="仿宋_GB2312"/>
          <w:color w:val="auto"/>
          <w:kern w:val="0"/>
          <w:sz w:val="24"/>
          <w:lang w:val="zh-CN"/>
        </w:rPr>
      </w:pP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ascii="仿宋_GB2312" w:hAnsi="仿宋" w:eastAsia="仿宋_GB2312" w:cs="仿宋_GB2312"/>
          <w:color w:val="auto"/>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rPr>
      </w:pPr>
    </w:p>
    <w:p>
      <w:pPr>
        <w:widowControl/>
        <w:spacing w:line="360" w:lineRule="auto"/>
        <w:ind w:left="15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三、本项目的特定资格要求</w:t>
      </w:r>
    </w:p>
    <w:p>
      <w:pPr>
        <w:spacing w:line="360" w:lineRule="auto"/>
        <w:jc w:val="center"/>
        <w:rPr>
          <w:rFonts w:ascii="仿宋_GB2312" w:hAnsi="仿宋" w:eastAsia="仿宋_GB2312"/>
          <w:color w:val="auto"/>
          <w:sz w:val="24"/>
        </w:rPr>
      </w:pPr>
      <w:r>
        <w:rPr>
          <w:rFonts w:hint="eastAsia" w:ascii="仿宋_GB2312" w:hAnsi="仿宋" w:eastAsia="仿宋_GB2312" w:cs="仿宋_GB2312"/>
          <w:color w:val="auto"/>
          <w:sz w:val="24"/>
        </w:rPr>
        <w:t>（根据招标公告本项目的特定资格要求</w:t>
      </w:r>
      <w:r>
        <w:rPr>
          <w:rFonts w:hint="eastAsia" w:ascii="仿宋_GB2312" w:hAnsi="仿宋" w:eastAsia="仿宋_GB2312"/>
          <w:color w:val="auto"/>
          <w:sz w:val="24"/>
        </w:rPr>
        <w:t>提供相应的材料；未要求的，无需提供</w:t>
      </w:r>
      <w:r>
        <w:rPr>
          <w:rFonts w:hint="eastAsia" w:ascii="仿宋_GB2312" w:hAnsi="仿宋" w:eastAsia="仿宋_GB2312" w:cs="仿宋_GB2312"/>
          <w:color w:val="auto"/>
          <w:sz w:val="24"/>
        </w:rPr>
        <w:t>）</w:t>
      </w: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br w:type="page"/>
      </w:r>
    </w:p>
    <w:p>
      <w:pPr>
        <w:spacing w:line="360" w:lineRule="auto"/>
        <w:ind w:right="420"/>
        <w:jc w:val="center"/>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商务技术文件部分</w:t>
      </w:r>
    </w:p>
    <w:p>
      <w:pPr>
        <w:spacing w:line="360" w:lineRule="auto"/>
        <w:jc w:val="center"/>
        <w:outlineLvl w:val="0"/>
        <w:rPr>
          <w:rFonts w:ascii="仿宋_GB2312" w:hAnsi="仿宋" w:eastAsia="仿宋_GB2312" w:cs="仿宋_GB2312"/>
          <w:b/>
          <w:color w:val="auto"/>
          <w:kern w:val="0"/>
          <w:sz w:val="24"/>
        </w:rPr>
      </w:pPr>
    </w:p>
    <w:p>
      <w:pPr>
        <w:spacing w:line="360" w:lineRule="auto"/>
        <w:jc w:val="center"/>
        <w:outlineLvl w:val="0"/>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目录</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1）投标函</w:t>
      </w:r>
      <w:r>
        <w:rPr>
          <w:rFonts w:hint="eastAsia" w:cs="仿宋_GB2312"/>
          <w:color w:val="auto"/>
        </w:rPr>
        <w:t>…………………………………………………………………………………（页码）</w:t>
      </w:r>
      <w:r>
        <w:rPr>
          <w:rFonts w:hint="eastAsia" w:ascii="仿宋_GB2312" w:hAnsi="仿宋" w:eastAsia="仿宋_GB2312" w:cs="仿宋_GB2312"/>
          <w:color w:val="auto"/>
          <w:sz w:val="24"/>
        </w:rPr>
        <w:t>（</w:t>
      </w:r>
      <w:r>
        <w:rPr>
          <w:rFonts w:ascii="仿宋_GB2312" w:hAnsi="仿宋" w:eastAsia="仿宋_GB2312" w:cs="仿宋_GB2312"/>
          <w:color w:val="auto"/>
          <w:sz w:val="24"/>
        </w:rPr>
        <w:t>2）授权委托书或法定代表人（单位负责人、自然人本人）身份证明</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3）联合协议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4）分包意向协议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5）符合性审查资料</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6）评标标准相应的商务技术资料</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7）商务技术偏离表</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r>
        <w:rPr>
          <w:rFonts w:hint="eastAsia" w:cs="仿宋_GB2312"/>
          <w:color w:val="auto"/>
        </w:rPr>
        <w:t>…………………………………………………（页码）</w:t>
      </w: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rPr>
          <w:color w:val="auto"/>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rPr>
        <w:t>一、投标</w:t>
      </w:r>
      <w:r>
        <w:rPr>
          <w:rFonts w:hint="eastAsia" w:ascii="仿宋_GB2312" w:hAnsi="仿宋" w:eastAsia="仿宋_GB2312" w:cs="仿宋_GB2312"/>
          <w:b/>
          <w:color w:val="auto"/>
          <w:sz w:val="32"/>
          <w:szCs w:val="32"/>
        </w:rPr>
        <w:t>函</w:t>
      </w:r>
    </w:p>
    <w:p>
      <w:pPr>
        <w:snapToGrid w:val="0"/>
        <w:spacing w:line="400" w:lineRule="exact"/>
        <w:rPr>
          <w:rFonts w:ascii="仿宋_GB2312" w:hAnsi="仿宋" w:eastAsia="仿宋_GB2312" w:cs="仿宋_GB2312"/>
          <w:color w:val="auto"/>
          <w:sz w:val="24"/>
        </w:rPr>
      </w:pPr>
      <w:r>
        <w:rPr>
          <w:rFonts w:hint="eastAsia" w:ascii="仿宋_GB2312" w:hAnsi="仿宋" w:eastAsia="仿宋_GB2312" w:cs="仿宋_GB2312"/>
          <w:color w:val="auto"/>
          <w:sz w:val="24"/>
          <w:u w:val="single"/>
        </w:rPr>
        <w:t>浙江省杭州第四中学新湾学校、</w:t>
      </w:r>
      <w:r>
        <w:rPr>
          <w:rFonts w:hint="eastAsia" w:ascii="仿宋_GB2312" w:hAnsi="仿宋" w:eastAsia="仿宋_GB2312" w:cs="仿宋_GB2312"/>
          <w:color w:val="auto"/>
          <w:sz w:val="24"/>
          <w:u w:val="single"/>
          <w:lang w:eastAsia="zh-CN"/>
        </w:rPr>
        <w:t>浙江国际招投标有限公司</w:t>
      </w:r>
      <w:r>
        <w:rPr>
          <w:rFonts w:hint="eastAsia" w:ascii="仿宋_GB2312" w:hAnsi="仿宋" w:eastAsia="仿宋_GB2312" w:cs="仿宋_GB2312"/>
          <w:color w:val="auto"/>
          <w:sz w:val="24"/>
        </w:rPr>
        <w:t>：</w:t>
      </w:r>
    </w:p>
    <w:p>
      <w:pPr>
        <w:snapToGrid w:val="0"/>
        <w:spacing w:line="400" w:lineRule="exact"/>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w:t>
      </w:r>
      <w:r>
        <w:rPr>
          <w:rFonts w:hint="eastAsia" w:ascii="仿宋_GB2312" w:hAnsi="仿宋" w:eastAsia="仿宋_GB2312" w:cs="仿宋_GB2312"/>
          <w:color w:val="auto"/>
          <w:sz w:val="24"/>
          <w:lang w:eastAsia="zh-CN"/>
        </w:rPr>
        <w:t>杭州第四中学新湾学校校园网络及综合布线项目</w:t>
      </w:r>
      <w:r>
        <w:rPr>
          <w:rFonts w:hint="eastAsia" w:ascii="仿宋_GB2312" w:hAnsi="仿宋" w:eastAsia="仿宋_GB2312" w:cs="仿宋_GB2312"/>
          <w:color w:val="auto"/>
          <w:sz w:val="24"/>
        </w:rPr>
        <w:t>【招标编号：</w:t>
      </w:r>
      <w:r>
        <w:rPr>
          <w:rFonts w:hint="eastAsia" w:ascii="仿宋_GB2312" w:hAnsi="仿宋" w:eastAsia="仿宋_GB2312"/>
          <w:color w:val="auto"/>
          <w:sz w:val="24"/>
        </w:rPr>
        <w:t>ZJ-2163197</w:t>
      </w:r>
      <w:r>
        <w:rPr>
          <w:rFonts w:hint="eastAsia" w:ascii="仿宋_GB2312" w:hAnsi="仿宋" w:eastAsia="仿宋_GB2312" w:cs="仿宋_GB2312"/>
          <w:color w:val="auto"/>
          <w:sz w:val="24"/>
        </w:rPr>
        <w:t>】招标的有关活动，并对此项目进行投标。为此：</w:t>
      </w:r>
    </w:p>
    <w:p>
      <w:pPr>
        <w:snapToGrid w:val="0"/>
        <w:spacing w:line="400" w:lineRule="exact"/>
        <w:ind w:firstLine="420"/>
        <w:rPr>
          <w:rFonts w:ascii="仿宋_GB2312" w:hAnsi="仿宋" w:eastAsia="仿宋_GB2312" w:cs="仿宋_GB2312"/>
          <w:color w:val="auto"/>
          <w:sz w:val="24"/>
        </w:rPr>
      </w:pPr>
      <w:r>
        <w:rPr>
          <w:rFonts w:ascii="仿宋_GB2312" w:hAnsi="仿宋" w:eastAsia="仿宋_GB2312" w:cs="仿宋_GB2312"/>
          <w:color w:val="auto"/>
          <w:sz w:val="24"/>
        </w:rPr>
        <w:t>1、我方承诺投标有效期从提交投标文件的截止之日起</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snapToGrid w:val="0"/>
        <w:spacing w:line="400" w:lineRule="exact"/>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2、我方的投标文件包括以下内容：</w:t>
      </w:r>
    </w:p>
    <w:p>
      <w:pPr>
        <w:snapToGrid w:val="0"/>
        <w:spacing w:line="40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2.1资格文件：</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2.1.1</w:t>
      </w:r>
      <w:r>
        <w:rPr>
          <w:rFonts w:hint="eastAsia" w:ascii="仿宋_GB2312" w:hAnsi="仿宋" w:eastAsia="仿宋_GB2312" w:cs="仿宋_GB2312"/>
          <w:color w:val="auto"/>
          <w:sz w:val="24"/>
        </w:rPr>
        <w:t>承诺函；</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2.1.2落实政府采购政策需满足的资格要求</w:t>
      </w:r>
      <w:r>
        <w:rPr>
          <w:rFonts w:hint="eastAsia" w:ascii="仿宋_GB2312" w:hAnsi="仿宋" w:eastAsia="仿宋_GB2312" w:cs="仿宋_GB2312"/>
          <w:color w:val="auto"/>
          <w:sz w:val="24"/>
        </w:rPr>
        <w:t>（如果有）；</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2.1.3本项目的特定资格要求</w:t>
      </w:r>
      <w:r>
        <w:rPr>
          <w:rFonts w:hint="eastAsia" w:ascii="仿宋_GB2312" w:hAnsi="仿宋" w:eastAsia="仿宋_GB2312" w:cs="仿宋_GB2312"/>
          <w:color w:val="auto"/>
          <w:sz w:val="24"/>
        </w:rPr>
        <w:t>（如果有）。</w:t>
      </w:r>
    </w:p>
    <w:p>
      <w:pPr>
        <w:snapToGrid w:val="0"/>
        <w:spacing w:line="400" w:lineRule="exact"/>
        <w:ind w:left="210" w:leftChars="1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2.2.1投标函；</w:t>
      </w:r>
      <w:r>
        <w:rPr>
          <w:rFonts w:ascii="仿宋_GB2312" w:hAnsi="仿宋" w:eastAsia="仿宋_GB2312" w:cs="仿宋_GB2312"/>
          <w:color w:val="auto"/>
          <w:sz w:val="24"/>
          <w:lang w:val="zh-CN"/>
        </w:rPr>
        <w:t xml:space="preserve"> </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2.2.2授权委托书或法定代表人（单位负责人）身份证明；</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2.2.3联合协议</w:t>
      </w:r>
      <w:r>
        <w:rPr>
          <w:rFonts w:hint="eastAsia" w:ascii="仿宋_GB2312" w:hAnsi="仿宋" w:eastAsia="仿宋_GB2312" w:cs="仿宋_GB2312"/>
          <w:color w:val="auto"/>
          <w:sz w:val="24"/>
        </w:rPr>
        <w:t>（如果有）；</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2.2.4分包意向协议</w:t>
      </w:r>
      <w:r>
        <w:rPr>
          <w:rFonts w:hint="eastAsia" w:ascii="仿宋_GB2312" w:hAnsi="仿宋" w:eastAsia="仿宋_GB2312" w:cs="仿宋_GB2312"/>
          <w:color w:val="auto"/>
          <w:sz w:val="24"/>
        </w:rPr>
        <w:t>（如果有）；</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2.2.5符合性审查资料；</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2.2.6评标标准相应的商务技术资料；</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2.2.7商务技术偏离表；</w:t>
      </w:r>
    </w:p>
    <w:p>
      <w:pPr>
        <w:snapToGrid w:val="0"/>
        <w:spacing w:line="400" w:lineRule="exact"/>
        <w:ind w:left="420" w:leftChars="2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40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snapToGrid w:val="0"/>
        <w:spacing w:line="40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2.3.2中小企业声明函</w:t>
      </w:r>
      <w:r>
        <w:rPr>
          <w:rFonts w:hint="eastAsia" w:ascii="仿宋_GB2312" w:hAnsi="仿宋" w:eastAsia="仿宋_GB2312" w:cs="仿宋_GB2312"/>
          <w:color w:val="auto"/>
          <w:sz w:val="24"/>
        </w:rPr>
        <w:t>（如果有）。</w:t>
      </w:r>
    </w:p>
    <w:p>
      <w:pPr>
        <w:snapToGrid w:val="0"/>
        <w:spacing w:line="400" w:lineRule="exact"/>
        <w:ind w:firstLine="420"/>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snapToGrid w:val="0"/>
        <w:spacing w:line="400" w:lineRule="exact"/>
        <w:ind w:firstLine="420"/>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snapToGrid w:val="0"/>
        <w:spacing w:line="40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snapToGrid w:val="0"/>
        <w:spacing w:line="40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snapToGrid w:val="0"/>
        <w:spacing w:line="40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snapToGrid w:val="0"/>
        <w:spacing w:line="40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snapToGrid w:val="0"/>
        <w:spacing w:line="40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snapToGrid w:val="0"/>
        <w:spacing w:line="400" w:lineRule="exact"/>
        <w:ind w:firstLine="3600" w:firstLineChars="1500"/>
        <w:rPr>
          <w:rFonts w:ascii="仿宋_GB2312" w:hAnsi="仿宋" w:eastAsia="仿宋_GB2312" w:cs="仿宋_GB2312"/>
          <w:color w:val="auto"/>
          <w:sz w:val="24"/>
        </w:rPr>
      </w:pPr>
    </w:p>
    <w:p>
      <w:pPr>
        <w:snapToGrid w:val="0"/>
        <w:spacing w:line="400" w:lineRule="exact"/>
        <w:ind w:firstLine="3600" w:firstLineChars="1500"/>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r>
        <w:rPr>
          <w:rFonts w:ascii="仿宋_GB2312" w:hAnsi="仿宋" w:eastAsia="仿宋_GB2312" w:cs="仿宋_GB2312"/>
          <w:color w:val="auto"/>
          <w:sz w:val="24"/>
        </w:rPr>
        <w:t xml:space="preserve">                          </w:t>
      </w:r>
    </w:p>
    <w:p>
      <w:pPr>
        <w:snapToGrid w:val="0"/>
        <w:spacing w:line="400" w:lineRule="exact"/>
        <w:jc w:val="center"/>
        <w:rPr>
          <w:rFonts w:ascii="仿宋_GB2312" w:hAnsi="仿宋" w:eastAsia="仿宋_GB2312" w:cs="仿宋_GB2312"/>
          <w:color w:val="auto"/>
          <w:kern w:val="0"/>
          <w:sz w:val="24"/>
          <w:u w:val="single"/>
          <w:lang w:val="zh-CN"/>
        </w:rPr>
      </w:pPr>
      <w:r>
        <w:rPr>
          <w:rFonts w:ascii="仿宋_GB2312" w:hAnsi="仿宋" w:eastAsia="仿宋_GB2312" w:cs="仿宋_GB2312"/>
          <w:color w:val="auto"/>
          <w:sz w:val="24"/>
        </w:rPr>
        <w:t xml:space="preserve">     日期：  年   月   日</w:t>
      </w:r>
    </w:p>
    <w:p>
      <w:pP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br w:type="page"/>
      </w: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napToGrid w:val="0"/>
        <w:spacing w:line="360" w:lineRule="auto"/>
        <w:ind w:firstLine="2872" w:firstLineChars="894"/>
        <w:rPr>
          <w:color w:val="auto"/>
        </w:rPr>
      </w:pPr>
      <w:r>
        <w:rPr>
          <w:rFonts w:hint="eastAsia" w:ascii="仿宋_GB2312" w:hAnsi="仿宋" w:eastAsia="仿宋_GB2312" w:cs="仿宋_GB2312"/>
          <w:b/>
          <w:color w:val="auto"/>
          <w:kern w:val="0"/>
          <w:sz w:val="32"/>
          <w:szCs w:val="32"/>
          <w:lang w:val="zh-CN"/>
        </w:rPr>
        <w:t>授权委托书（适用于非联合体投标）</w:t>
      </w:r>
      <w:r>
        <w:rPr>
          <w:color w:val="auto"/>
        </w:rPr>
        <w:t xml:space="preserve">                               </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浙江省杭州第四中学新湾学校、</w:t>
      </w:r>
      <w:r>
        <w:rPr>
          <w:rFonts w:hint="eastAsia" w:ascii="仿宋_GB2312" w:hAnsi="仿宋" w:eastAsia="仿宋_GB2312" w:cs="仿宋_GB2312"/>
          <w:color w:val="auto"/>
          <w:sz w:val="24"/>
          <w:lang w:eastAsia="zh-CN"/>
        </w:rPr>
        <w:t>浙江国际招投标有限公司</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lang w:eastAsia="zh-CN"/>
        </w:rPr>
        <w:t>杭州第四中学新湾学校校园网络及综合布线项目</w:t>
      </w:r>
      <w:r>
        <w:rPr>
          <w:rFonts w:hint="eastAsia" w:ascii="仿宋_GB2312" w:hAnsi="仿宋" w:eastAsia="仿宋_GB2312" w:cs="仿宋_GB2312"/>
          <w:color w:val="auto"/>
          <w:sz w:val="24"/>
        </w:rPr>
        <w:t>【招标编号：</w:t>
      </w:r>
      <w:r>
        <w:rPr>
          <w:rFonts w:hint="eastAsia" w:ascii="仿宋_GB2312" w:hAnsi="仿宋" w:eastAsia="仿宋_GB2312"/>
          <w:color w:val="auto"/>
          <w:sz w:val="24"/>
        </w:rPr>
        <w:t>ZJ-2163197</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投标人名称(电子签名)：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签发日期：  年  月   日</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lang w:val="zh-CN"/>
        </w:rPr>
        <w:t xml:space="preserve">      </w:t>
      </w:r>
      <w:r>
        <w:rPr>
          <w:rFonts w:ascii="仿宋_GB2312" w:hAnsi="仿宋" w:eastAsia="仿宋_GB2312" w:cs="仿宋_GB2312"/>
          <w:b/>
          <w:color w:val="auto"/>
          <w:kern w:val="0"/>
          <w:sz w:val="32"/>
          <w:szCs w:val="32"/>
        </w:rPr>
        <w:t xml:space="preserve"> </w:t>
      </w:r>
      <w:r>
        <w:rPr>
          <w:rFonts w:hint="eastAsia" w:ascii="仿宋_GB2312" w:hAnsi="仿宋" w:eastAsia="仿宋_GB2312" w:cs="仿宋_GB2312"/>
          <w:b/>
          <w:color w:val="auto"/>
          <w:kern w:val="0"/>
          <w:sz w:val="32"/>
          <w:szCs w:val="32"/>
          <w:lang w:val="zh-CN"/>
        </w:rPr>
        <w:t>授权委托书（适用于联合体投标）</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浙江省杭州第四中学新湾学校、</w:t>
      </w:r>
      <w:r>
        <w:rPr>
          <w:rFonts w:hint="eastAsia" w:ascii="仿宋_GB2312" w:hAnsi="仿宋" w:eastAsia="仿宋_GB2312" w:cs="仿宋_GB2312"/>
          <w:color w:val="auto"/>
          <w:sz w:val="24"/>
          <w:lang w:eastAsia="zh-CN"/>
        </w:rPr>
        <w:t>浙江国际招投标有限公司</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lang w:eastAsia="zh-CN"/>
        </w:rPr>
        <w:t>杭州第四中学新湾学校校园网络及综合布线项目</w:t>
      </w:r>
      <w:r>
        <w:rPr>
          <w:rFonts w:hint="eastAsia" w:ascii="仿宋_GB2312" w:hAnsi="仿宋" w:eastAsia="仿宋_GB2312" w:cs="仿宋_GB2312"/>
          <w:color w:val="auto"/>
          <w:sz w:val="24"/>
        </w:rPr>
        <w:t>【招标编号：</w:t>
      </w:r>
      <w:r>
        <w:rPr>
          <w:rFonts w:hint="eastAsia" w:ascii="仿宋_GB2312" w:hAnsi="仿宋" w:eastAsia="仿宋_GB2312"/>
          <w:color w:val="auto"/>
          <w:sz w:val="24"/>
        </w:rPr>
        <w:t>ZJ-2163197</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color w:val="auto"/>
        </w:rPr>
      </w:pP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br w:type="page"/>
      </w:r>
    </w:p>
    <w:p>
      <w:pPr>
        <w:autoSpaceDE w:val="0"/>
        <w:autoSpaceDN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kern w:val="0"/>
          <w:sz w:val="32"/>
          <w:szCs w:val="32"/>
          <w:lang w:val="zh-CN"/>
        </w:rPr>
        <w:t>法定代表人、单位负责人或自然人本人</w:t>
      </w:r>
      <w:r>
        <w:rPr>
          <w:rFonts w:hint="eastAsia" w:ascii="仿宋_GB2312" w:hAnsi="仿宋" w:eastAsia="仿宋_GB2312" w:cs="仿宋_GB2312"/>
          <w:b/>
          <w:color w:val="auto"/>
          <w:sz w:val="30"/>
          <w:szCs w:val="30"/>
        </w:rPr>
        <w:t>的身份证明（适用于法定代表人、单位负责人或者自然人本人代表投标人参加投标）</w:t>
      </w:r>
    </w:p>
    <w:p>
      <w:pPr>
        <w:pStyle w:val="146"/>
        <w:spacing w:line="360" w:lineRule="auto"/>
        <w:rPr>
          <w:rFonts w:ascii="仿宋_GB2312" w:hAnsi="仿宋" w:eastAsia="仿宋_GB2312"/>
          <w:bCs/>
          <w:color w:val="auto"/>
          <w:sz w:val="24"/>
        </w:rPr>
      </w:pPr>
      <w:r>
        <w:rPr>
          <w:rFonts w:hint="eastAsia" w:ascii="仿宋_GB2312" w:hAnsi="仿宋" w:eastAsia="仿宋_GB2312"/>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color w:val="auto"/>
                <w:sz w:val="24"/>
              </w:rPr>
            </w:pPr>
            <w:r>
              <w:rPr>
                <w:rFonts w:hint="eastAsia" w:ascii="仿宋_GB2312" w:hAnsi="仿宋" w:eastAsia="仿宋_GB2312"/>
                <w:bCs/>
                <w:color w:val="auto"/>
                <w:sz w:val="24"/>
              </w:rPr>
              <w:t>正面：</w:t>
            </w:r>
            <w:r>
              <w:rPr>
                <w:rFonts w:ascii="仿宋_GB2312" w:hAnsi="仿宋" w:eastAsia="仿宋_GB2312"/>
                <w:bCs/>
                <w:color w:val="auto"/>
                <w:sz w:val="24"/>
              </w:rPr>
              <w:t xml:space="preserve">                                 </w:t>
            </w:r>
            <w:r>
              <w:rPr>
                <w:rFonts w:hint="eastAsia" w:ascii="仿宋_GB2312" w:hAnsi="仿宋" w:eastAsia="仿宋_GB2312"/>
                <w:bCs/>
                <w:color w:val="auto"/>
                <w:sz w:val="24"/>
              </w:rPr>
              <w:t>反面：</w:t>
            </w:r>
          </w:p>
          <w:p>
            <w:pPr>
              <w:pStyle w:val="146"/>
              <w:adjustRightInd w:val="0"/>
              <w:spacing w:line="360" w:lineRule="auto"/>
              <w:rPr>
                <w:rFonts w:ascii="仿宋_GB2312" w:hAnsi="仿宋" w:eastAsia="仿宋_GB2312"/>
                <w:bCs/>
                <w:color w:val="auto"/>
                <w:sz w:val="24"/>
              </w:rPr>
            </w:pPr>
          </w:p>
        </w:tc>
      </w:tr>
    </w:tbl>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w:t>
      </w:r>
    </w:p>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                              </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rPr>
        <w:t>三、</w:t>
      </w:r>
      <w:r>
        <w:rPr>
          <w:rFonts w:hint="eastAsia" w:ascii="仿宋_GB2312" w:hAnsi="仿宋" w:eastAsia="仿宋_GB2312" w:cs="仿宋_GB2312"/>
          <w:b/>
          <w:color w:val="auto"/>
          <w:kern w:val="0"/>
          <w:sz w:val="32"/>
          <w:szCs w:val="32"/>
          <w:lang w:val="zh-CN"/>
        </w:rPr>
        <w:t>联合协议</w:t>
      </w:r>
    </w:p>
    <w:p>
      <w:pPr>
        <w:widowControl/>
        <w:spacing w:line="360" w:lineRule="auto"/>
        <w:ind w:firstLine="482" w:firstLineChars="20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lang w:eastAsia="zh-CN"/>
        </w:rPr>
        <w:t>杭州第四中学新湾学校校园网络及综合布线项目</w:t>
      </w:r>
      <w:r>
        <w:rPr>
          <w:rFonts w:hint="eastAsia" w:ascii="仿宋_GB2312" w:hAnsi="仿宋" w:eastAsia="仿宋_GB2312" w:cs="仿宋_GB2312"/>
          <w:color w:val="auto"/>
          <w:sz w:val="24"/>
        </w:rPr>
        <w:t>【招标编号：</w:t>
      </w:r>
      <w:r>
        <w:rPr>
          <w:rFonts w:hint="eastAsia" w:ascii="仿宋_GB2312" w:hAnsi="仿宋" w:eastAsia="仿宋_GB2312"/>
          <w:color w:val="auto"/>
          <w:sz w:val="24"/>
        </w:rPr>
        <w:t>ZJ-2163197</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rPr>
        <w:t>提供的全部货物由小微企业制造，其合同份额占到合同总金额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，对联合体报价给予</w:t>
      </w:r>
      <w:r>
        <w:rPr>
          <w:rFonts w:ascii="仿宋_GB2312" w:hAnsi="仿宋" w:eastAsia="仿宋_GB2312" w:cs="仿宋_GB2312"/>
          <w:b/>
          <w:color w:val="auto"/>
          <w:kern w:val="0"/>
          <w:sz w:val="24"/>
          <w:lang w:val="zh-CN"/>
        </w:rPr>
        <w:t>3%的扣除</w:t>
      </w:r>
      <w:r>
        <w:rPr>
          <w:rFonts w:hint="eastAsia" w:ascii="仿宋_GB2312" w:hAnsi="仿宋" w:eastAsia="仿宋_GB2312" w:cs="仿宋_GB2312"/>
          <w:b/>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lang w:val="zh-CN"/>
        </w:rPr>
        <w:t xml:space="preserve">                                               日期：  年  月   日</w:t>
      </w: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四、分包意向协议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lang w:eastAsia="zh-CN"/>
        </w:rPr>
        <w:t>杭州第四中学新湾学校校园网络及综合布线项目</w:t>
      </w:r>
      <w:r>
        <w:rPr>
          <w:rFonts w:hint="eastAsia" w:ascii="仿宋_GB2312" w:hAnsi="仿宋" w:eastAsia="仿宋_GB2312" w:cs="仿宋_GB2312"/>
          <w:color w:val="auto"/>
          <w:sz w:val="24"/>
        </w:rPr>
        <w:t>【招标编号：</w:t>
      </w:r>
      <w:r>
        <w:rPr>
          <w:rFonts w:hint="eastAsia" w:ascii="仿宋_GB2312" w:hAnsi="仿宋" w:eastAsia="仿宋_GB2312"/>
          <w:color w:val="auto"/>
          <w:sz w:val="24"/>
        </w:rPr>
        <w:t>ZJ-2163197</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4"/>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u w:val="single"/>
        </w:rPr>
        <w:t>（分包供应商名称）提供的货物全部由小微企业制造，</w:t>
      </w:r>
      <w:r>
        <w:rPr>
          <w:rFonts w:hint="eastAsia" w:ascii="仿宋_GB2312" w:hAnsi="仿宋" w:eastAsia="仿宋_GB2312" w:cs="仿宋_GB2312"/>
          <w:color w:val="auto"/>
          <w:kern w:val="0"/>
          <w:sz w:val="24"/>
        </w:rPr>
        <w:t>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olor w:val="auto"/>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的，对大中型企业的报价给予</w:t>
      </w:r>
      <w:r>
        <w:rPr>
          <w:rFonts w:ascii="仿宋_GB2312" w:hAnsi="仿宋" w:eastAsia="仿宋_GB2312" w:cs="仿宋_GB2312"/>
          <w:b/>
          <w:color w:val="auto"/>
          <w:kern w:val="0"/>
          <w:sz w:val="24"/>
          <w:lang w:val="zh-CN"/>
        </w:rPr>
        <w:t>3%的扣除</w:t>
      </w:r>
      <w:r>
        <w:rPr>
          <w:rFonts w:hint="eastAsia" w:ascii="仿宋_GB2312" w:hAnsi="仿宋" w:eastAsia="仿宋_GB2312" w:cs="仿宋_GB2312"/>
          <w:b/>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五、符合性审查资料</w:t>
      </w:r>
    </w:p>
    <w:p>
      <w:pPr>
        <w:jc w:val="center"/>
        <w:rPr>
          <w:rFonts w:ascii="仿宋_GB2312" w:hAnsi="仿宋" w:eastAsia="仿宋_GB2312" w:cs="仿宋_GB2312"/>
          <w:b/>
          <w:color w:val="auto"/>
          <w:kern w:val="0"/>
          <w:sz w:val="32"/>
          <w:szCs w:val="32"/>
        </w:rPr>
      </w:pPr>
    </w:p>
    <w:tbl>
      <w:tblPr>
        <w:tblStyle w:val="62"/>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b/>
                <w:color w:val="auto"/>
                <w:sz w:val="24"/>
              </w:rPr>
            </w:pPr>
            <w:r>
              <w:rPr>
                <w:rFonts w:hint="eastAsia" w:ascii="仿宋" w:hAnsi="仿宋" w:eastAsia="仿宋"/>
                <w:b/>
                <w:color w:val="auto"/>
                <w:sz w:val="24"/>
              </w:rPr>
              <w:t>序号</w:t>
            </w:r>
          </w:p>
        </w:tc>
        <w:tc>
          <w:tcPr>
            <w:tcW w:w="4245" w:type="dxa"/>
            <w:vAlign w:val="center"/>
          </w:tcPr>
          <w:p>
            <w:pPr>
              <w:snapToGrid w:val="0"/>
              <w:spacing w:line="400" w:lineRule="exact"/>
              <w:jc w:val="center"/>
              <w:rPr>
                <w:rFonts w:ascii="仿宋" w:hAnsi="仿宋" w:eastAsia="仿宋"/>
                <w:b/>
                <w:color w:val="auto"/>
                <w:sz w:val="24"/>
              </w:rPr>
            </w:pPr>
            <w:r>
              <w:rPr>
                <w:rFonts w:hint="eastAsia" w:ascii="仿宋" w:hAnsi="仿宋" w:eastAsia="仿宋"/>
                <w:b/>
                <w:color w:val="auto"/>
                <w:sz w:val="24"/>
              </w:rPr>
              <w:t>实质性要求</w:t>
            </w:r>
          </w:p>
        </w:tc>
        <w:tc>
          <w:tcPr>
            <w:tcW w:w="2551" w:type="dxa"/>
            <w:vAlign w:val="center"/>
          </w:tcPr>
          <w:p>
            <w:pPr>
              <w:snapToGrid w:val="0"/>
              <w:spacing w:line="400" w:lineRule="exact"/>
              <w:jc w:val="center"/>
              <w:rPr>
                <w:rFonts w:ascii="仿宋" w:hAnsi="仿宋" w:eastAsia="仿宋"/>
                <w:b/>
                <w:color w:val="auto"/>
                <w:sz w:val="24"/>
              </w:rPr>
            </w:pPr>
            <w:r>
              <w:rPr>
                <w:rFonts w:hint="eastAsia" w:ascii="仿宋" w:hAnsi="仿宋" w:eastAsia="仿宋"/>
                <w:b/>
                <w:color w:val="auto"/>
                <w:sz w:val="24"/>
              </w:rPr>
              <w:t>需要提供的符合性审查资料</w:t>
            </w:r>
          </w:p>
        </w:tc>
        <w:tc>
          <w:tcPr>
            <w:tcW w:w="1672" w:type="dxa"/>
            <w:vAlign w:val="center"/>
          </w:tcPr>
          <w:p>
            <w:pPr>
              <w:snapToGrid w:val="0"/>
              <w:spacing w:line="400" w:lineRule="exact"/>
              <w:jc w:val="center"/>
              <w:rPr>
                <w:rFonts w:ascii="仿宋" w:hAnsi="仿宋" w:eastAsia="仿宋"/>
                <w:b/>
                <w:color w:val="auto"/>
                <w:sz w:val="24"/>
              </w:rPr>
            </w:pPr>
            <w:r>
              <w:rPr>
                <w:rFonts w:hint="eastAsia" w:ascii="仿宋" w:hAnsi="仿宋" w:eastAsia="仿宋"/>
                <w:b/>
                <w:color w:val="auto"/>
                <w:sz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auto"/>
                <w:sz w:val="24"/>
              </w:rPr>
            </w:pPr>
            <w:r>
              <w:rPr>
                <w:rFonts w:hint="eastAsia" w:ascii="仿宋" w:hAnsi="仿宋" w:eastAsia="仿宋"/>
                <w:bCs/>
                <w:color w:val="auto"/>
                <w:sz w:val="24"/>
              </w:rPr>
              <w:t>1</w:t>
            </w:r>
          </w:p>
        </w:tc>
        <w:tc>
          <w:tcPr>
            <w:tcW w:w="4245" w:type="dxa"/>
            <w:vAlign w:val="center"/>
          </w:tcPr>
          <w:p>
            <w:pPr>
              <w:snapToGrid w:val="0"/>
              <w:spacing w:line="400" w:lineRule="exact"/>
              <w:rPr>
                <w:rFonts w:ascii="仿宋_GB2312" w:hAnsi="仿宋" w:eastAsia="仿宋_GB2312" w:cs="仿宋_GB2312"/>
                <w:color w:val="auto"/>
                <w:sz w:val="24"/>
              </w:rPr>
            </w:pPr>
            <w:r>
              <w:rPr>
                <w:rFonts w:hint="eastAsia" w:ascii="仿宋_GB2312" w:hAnsi="仿宋" w:eastAsia="仿宋_GB2312" w:cs="仿宋_GB2312"/>
                <w:color w:val="auto"/>
                <w:sz w:val="24"/>
              </w:rPr>
              <w:t>投标文件按照招标文件要求签署、盖章。</w:t>
            </w:r>
          </w:p>
        </w:tc>
        <w:tc>
          <w:tcPr>
            <w:tcW w:w="2551" w:type="dxa"/>
            <w:vAlign w:val="center"/>
          </w:tcPr>
          <w:p>
            <w:pPr>
              <w:snapToGrid w:val="0"/>
              <w:spacing w:line="400" w:lineRule="exact"/>
              <w:rPr>
                <w:rFonts w:ascii="仿宋" w:hAnsi="仿宋" w:eastAsia="仿宋"/>
                <w:color w:val="auto"/>
                <w:sz w:val="24"/>
              </w:rPr>
            </w:pPr>
            <w:r>
              <w:rPr>
                <w:rFonts w:hint="eastAsia" w:ascii="仿宋" w:hAnsi="仿宋" w:eastAsia="仿宋"/>
                <w:color w:val="auto"/>
                <w:sz w:val="24"/>
              </w:rPr>
              <w:t>需要使用电子签名或者签字盖章的投标文件的组成部分</w:t>
            </w:r>
          </w:p>
        </w:tc>
        <w:tc>
          <w:tcPr>
            <w:tcW w:w="1672" w:type="dxa"/>
            <w:vAlign w:val="center"/>
          </w:tcPr>
          <w:p>
            <w:pPr>
              <w:snapToGrid w:val="0"/>
              <w:spacing w:line="400" w:lineRule="exact"/>
              <w:rPr>
                <w:rFonts w:ascii="仿宋" w:hAnsi="仿宋" w:eastAsia="仿宋" w:cs="仿宋_GB2312"/>
                <w:color w:val="auto"/>
                <w:sz w:val="24"/>
              </w:rPr>
            </w:pPr>
          </w:p>
          <w:p>
            <w:pPr>
              <w:snapToGrid w:val="0"/>
              <w:spacing w:line="400" w:lineRule="exact"/>
              <w:rPr>
                <w:rFonts w:ascii="仿宋" w:hAnsi="仿宋" w:eastAsia="仿宋" w:cs="仿宋_GB2312"/>
                <w:color w:val="auto"/>
                <w:sz w:val="24"/>
              </w:rPr>
            </w:pPr>
            <w:r>
              <w:rPr>
                <w:rFonts w:hint="eastAsia" w:ascii="仿宋" w:hAnsi="仿宋" w:eastAsia="仿宋" w:cs="仿宋_GB2312"/>
                <w:color w:val="auto"/>
                <w:sz w:val="24"/>
              </w:rPr>
              <w:t>见投标文件</w:t>
            </w:r>
          </w:p>
          <w:p>
            <w:pPr>
              <w:snapToGrid w:val="0"/>
              <w:spacing w:line="400" w:lineRule="exact"/>
              <w:rPr>
                <w:color w:val="auto"/>
              </w:rPr>
            </w:pPr>
            <w:r>
              <w:rPr>
                <w:rFonts w:hint="eastAsia" w:ascii="仿宋" w:eastAsia="仿宋" w:cs="仿宋_GB2312"/>
                <w:color w:val="auto"/>
                <w:sz w:val="24"/>
              </w:rPr>
              <w:t>第</w:t>
            </w:r>
            <w:r>
              <w:rPr>
                <w:rFonts w:ascii="仿宋" w:eastAsia="仿宋" w:cs="仿宋_GB2312"/>
                <w:color w:val="auto"/>
                <w:sz w:val="24"/>
                <w:u w:val="single"/>
              </w:rPr>
              <w:t xml:space="preserve">  </w:t>
            </w:r>
            <w:r>
              <w:rPr>
                <w:rFonts w:hint="eastAsia" w:asci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auto"/>
                <w:sz w:val="24"/>
              </w:rPr>
            </w:pPr>
            <w:r>
              <w:rPr>
                <w:rFonts w:hint="eastAsia" w:ascii="仿宋" w:hAnsi="仿宋" w:eastAsia="仿宋"/>
                <w:bCs/>
                <w:color w:val="auto"/>
                <w:sz w:val="24"/>
              </w:rPr>
              <w:t>2</w:t>
            </w:r>
          </w:p>
        </w:tc>
        <w:tc>
          <w:tcPr>
            <w:tcW w:w="4245" w:type="dxa"/>
            <w:vAlign w:val="center"/>
          </w:tcPr>
          <w:p>
            <w:pPr>
              <w:snapToGrid w:val="0"/>
              <w:spacing w:line="400" w:lineRule="exact"/>
              <w:rPr>
                <w:rFonts w:ascii="仿宋_GB2312" w:hAnsi="仿宋" w:eastAsia="仿宋_GB2312"/>
                <w:color w:val="auto"/>
                <w:sz w:val="24"/>
              </w:rPr>
            </w:pPr>
            <w:r>
              <w:rPr>
                <w:rFonts w:hint="eastAsia" w:ascii="仿宋_GB2312" w:hAnsi="仿宋" w:eastAsia="仿宋_GB2312"/>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napToGrid w:val="0"/>
              <w:spacing w:line="400" w:lineRule="exact"/>
              <w:rPr>
                <w:rFonts w:ascii="仿宋" w:hAnsi="仿宋" w:eastAsia="仿宋"/>
                <w:color w:val="auto"/>
                <w:sz w:val="24"/>
              </w:rPr>
            </w:pPr>
            <w:r>
              <w:rPr>
                <w:rFonts w:hint="eastAsia" w:ascii="仿宋_GB2312" w:hAnsi="仿宋" w:eastAsia="仿宋_GB2312" w:cs="仿宋_GB2312"/>
                <w:color w:val="auto"/>
                <w:sz w:val="24"/>
              </w:rPr>
              <w:t>节能产品认证证书（本项目</w:t>
            </w:r>
            <w:r>
              <w:rPr>
                <w:rFonts w:hint="eastAsia" w:ascii="仿宋_GB2312" w:hAnsi="仿宋" w:eastAsia="仿宋_GB2312"/>
                <w:color w:val="auto"/>
                <w:sz w:val="24"/>
              </w:rPr>
              <w:t>拟采购的产品不属于政府强制采购的节能产品品目清单范围的</w:t>
            </w:r>
            <w:r>
              <w:rPr>
                <w:rFonts w:hint="eastAsia" w:ascii="仿宋_GB2312" w:hAnsi="仿宋" w:eastAsia="仿宋_GB2312" w:cs="仿宋_GB2312"/>
                <w:color w:val="auto"/>
                <w:sz w:val="24"/>
              </w:rPr>
              <w:t>，无需提供）</w:t>
            </w:r>
          </w:p>
        </w:tc>
        <w:tc>
          <w:tcPr>
            <w:tcW w:w="1672" w:type="dxa"/>
            <w:vAlign w:val="center"/>
          </w:tcPr>
          <w:p>
            <w:pPr>
              <w:snapToGrid w:val="0"/>
              <w:spacing w:line="400" w:lineRule="exact"/>
              <w:rPr>
                <w:rFonts w:ascii="仿宋" w:hAnsi="仿宋" w:eastAsia="仿宋" w:cs="仿宋_GB2312"/>
                <w:color w:val="auto"/>
                <w:sz w:val="24"/>
              </w:rPr>
            </w:pPr>
            <w:r>
              <w:rPr>
                <w:rFonts w:hint="eastAsia" w:ascii="仿宋" w:hAnsi="仿宋" w:eastAsia="仿宋" w:cs="仿宋_GB2312"/>
                <w:color w:val="auto"/>
                <w:sz w:val="24"/>
              </w:rPr>
              <w:t>见投标文件</w:t>
            </w:r>
          </w:p>
          <w:p>
            <w:pPr>
              <w:pStyle w:val="4"/>
              <w:keepNext w:val="0"/>
              <w:keepLines w:val="0"/>
              <w:adjustRightInd w:val="0"/>
              <w:snapToGrid w:val="0"/>
              <w:spacing w:line="400" w:lineRule="exact"/>
              <w:jc w:val="both"/>
              <w:rPr>
                <w:color w:val="auto"/>
                <w:lang w:val="en-US"/>
              </w:rPr>
            </w:pPr>
            <w:r>
              <w:rPr>
                <w:rFonts w:hint="eastAsia" w:ascii="仿宋" w:eastAsia="仿宋" w:cs="仿宋_GB2312"/>
                <w:b w:val="0"/>
                <w:bCs w:val="0"/>
                <w:color w:val="auto"/>
                <w:sz w:val="24"/>
                <w:szCs w:val="24"/>
                <w:lang w:val="en-US"/>
              </w:rPr>
              <w:t>第</w:t>
            </w:r>
            <w:r>
              <w:rPr>
                <w:rFonts w:ascii="仿宋" w:eastAsia="仿宋" w:cs="仿宋_GB2312"/>
                <w:b w:val="0"/>
                <w:bCs w:val="0"/>
                <w:color w:val="auto"/>
                <w:sz w:val="24"/>
                <w:szCs w:val="24"/>
                <w:u w:val="single"/>
                <w:lang w:val="en-US"/>
              </w:rPr>
              <w:t xml:space="preserve">  </w:t>
            </w:r>
            <w:r>
              <w:rPr>
                <w:rFonts w:hint="eastAsia" w:ascii="仿宋" w:eastAsia="仿宋" w:cs="仿宋_GB2312"/>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auto"/>
                <w:sz w:val="24"/>
              </w:rPr>
            </w:pPr>
            <w:r>
              <w:rPr>
                <w:rFonts w:hint="eastAsia" w:ascii="仿宋" w:hAnsi="仿宋" w:eastAsia="仿宋"/>
                <w:bCs/>
                <w:color w:val="auto"/>
                <w:sz w:val="24"/>
              </w:rPr>
              <w:t>3</w:t>
            </w:r>
          </w:p>
        </w:tc>
        <w:tc>
          <w:tcPr>
            <w:tcW w:w="4245" w:type="dxa"/>
            <w:vAlign w:val="center"/>
          </w:tcPr>
          <w:p>
            <w:pPr>
              <w:snapToGrid w:val="0"/>
              <w:spacing w:line="400" w:lineRule="exact"/>
              <w:rPr>
                <w:rFonts w:ascii="仿宋_GB2312" w:hAnsi="仿宋" w:eastAsia="仿宋_GB2312" w:cs="仿宋_GB2312"/>
                <w:color w:val="auto"/>
                <w:sz w:val="24"/>
              </w:rPr>
            </w:pPr>
            <w:r>
              <w:rPr>
                <w:rFonts w:hint="eastAsia" w:ascii="仿宋_GB2312" w:hAnsi="仿宋" w:eastAsia="仿宋_GB2312"/>
                <w:color w:val="auto"/>
                <w:sz w:val="24"/>
              </w:rPr>
              <w:t>投标文件中承诺的投标有效期不少于招标文件中载明的投标有效期。</w:t>
            </w:r>
          </w:p>
        </w:tc>
        <w:tc>
          <w:tcPr>
            <w:tcW w:w="2551" w:type="dxa"/>
            <w:vAlign w:val="center"/>
          </w:tcPr>
          <w:p>
            <w:pPr>
              <w:snapToGrid w:val="0"/>
              <w:spacing w:line="400" w:lineRule="exact"/>
              <w:rPr>
                <w:rFonts w:ascii="仿宋" w:hAnsi="仿宋" w:eastAsia="仿宋"/>
                <w:color w:val="auto"/>
                <w:sz w:val="24"/>
              </w:rPr>
            </w:pPr>
            <w:r>
              <w:rPr>
                <w:rFonts w:hint="eastAsia" w:ascii="仿宋" w:hAnsi="仿宋" w:eastAsia="仿宋"/>
                <w:color w:val="auto"/>
                <w:sz w:val="24"/>
              </w:rPr>
              <w:t>投标函</w:t>
            </w:r>
          </w:p>
        </w:tc>
        <w:tc>
          <w:tcPr>
            <w:tcW w:w="1672" w:type="dxa"/>
            <w:vAlign w:val="center"/>
          </w:tcPr>
          <w:p>
            <w:pPr>
              <w:snapToGrid w:val="0"/>
              <w:spacing w:line="400" w:lineRule="exact"/>
              <w:rPr>
                <w:rFonts w:ascii="仿宋" w:hAnsi="仿宋" w:eastAsia="仿宋" w:cs="仿宋_GB2312"/>
                <w:color w:val="auto"/>
                <w:sz w:val="24"/>
              </w:rPr>
            </w:pPr>
            <w:r>
              <w:rPr>
                <w:rFonts w:hint="eastAsia" w:ascii="仿宋" w:hAnsi="仿宋" w:eastAsia="仿宋" w:cs="仿宋_GB2312"/>
                <w:color w:val="auto"/>
                <w:sz w:val="24"/>
              </w:rPr>
              <w:t>见投标文件</w:t>
            </w:r>
          </w:p>
          <w:p>
            <w:pPr>
              <w:snapToGrid w:val="0"/>
              <w:spacing w:line="400" w:lineRule="exact"/>
              <w:rPr>
                <w:color w:val="auto"/>
              </w:rPr>
            </w:pPr>
            <w:r>
              <w:rPr>
                <w:rFonts w:hint="eastAsia" w:ascii="仿宋" w:hAnsi="仿宋" w:eastAsia="仿宋" w:cs="仿宋_GB2312"/>
                <w:color w:val="auto"/>
                <w:sz w:val="24"/>
              </w:rPr>
              <w:t>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auto"/>
                <w:sz w:val="24"/>
              </w:rPr>
            </w:pPr>
            <w:r>
              <w:rPr>
                <w:rFonts w:hint="eastAsia" w:ascii="仿宋" w:hAnsi="仿宋" w:eastAsia="仿宋"/>
                <w:bCs/>
                <w:color w:val="auto"/>
                <w:sz w:val="24"/>
              </w:rPr>
              <w:t>4</w:t>
            </w:r>
          </w:p>
        </w:tc>
        <w:tc>
          <w:tcPr>
            <w:tcW w:w="4245" w:type="dxa"/>
            <w:vAlign w:val="center"/>
          </w:tcPr>
          <w:p>
            <w:pPr>
              <w:snapToGrid w:val="0"/>
              <w:spacing w:line="400" w:lineRule="exact"/>
              <w:rPr>
                <w:rFonts w:ascii="仿宋_GB2312" w:hAnsi="仿宋" w:eastAsia="仿宋_GB2312"/>
                <w:color w:val="auto"/>
                <w:sz w:val="24"/>
              </w:rPr>
            </w:pPr>
            <w:r>
              <w:rPr>
                <w:rFonts w:hint="eastAsia" w:ascii="仿宋_GB2312" w:hAnsi="仿宋" w:eastAsia="仿宋_GB2312"/>
                <w:color w:val="auto"/>
                <w:sz w:val="24"/>
              </w:rPr>
              <w:t>投标文件满足招标文件的其它实质性要求。</w:t>
            </w:r>
          </w:p>
        </w:tc>
        <w:tc>
          <w:tcPr>
            <w:tcW w:w="2551" w:type="dxa"/>
            <w:vAlign w:val="center"/>
          </w:tcPr>
          <w:p>
            <w:pPr>
              <w:snapToGrid w:val="0"/>
              <w:spacing w:line="400" w:lineRule="exact"/>
              <w:rPr>
                <w:rFonts w:ascii="仿宋" w:hAnsi="仿宋" w:eastAsia="仿宋"/>
                <w:color w:val="auto"/>
                <w:sz w:val="24"/>
              </w:rPr>
            </w:pPr>
            <w:r>
              <w:rPr>
                <w:rFonts w:hint="eastAsia" w:ascii="仿宋_GB2312" w:hAnsi="仿宋" w:eastAsia="仿宋_GB2312" w:cs="仿宋_GB2312"/>
                <w:color w:val="auto"/>
                <w:kern w:val="0"/>
                <w:sz w:val="24"/>
              </w:rPr>
              <w:t>招标文件其它实质性要求相应的材料（“▲”</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系指实质性要求条款，招标文件无其它实质性要求的，无需提供）</w:t>
            </w:r>
          </w:p>
        </w:tc>
        <w:tc>
          <w:tcPr>
            <w:tcW w:w="1672" w:type="dxa"/>
            <w:vAlign w:val="center"/>
          </w:tcPr>
          <w:p>
            <w:pPr>
              <w:snapToGrid w:val="0"/>
              <w:spacing w:line="400" w:lineRule="exact"/>
              <w:rPr>
                <w:rFonts w:ascii="仿宋" w:hAnsi="仿宋" w:eastAsia="仿宋" w:cs="仿宋_GB2312"/>
                <w:color w:val="auto"/>
                <w:sz w:val="24"/>
              </w:rPr>
            </w:pPr>
            <w:r>
              <w:rPr>
                <w:rFonts w:hint="eastAsia" w:ascii="仿宋" w:hAnsi="仿宋" w:eastAsia="仿宋" w:cs="仿宋_GB2312"/>
                <w:color w:val="auto"/>
                <w:sz w:val="24"/>
              </w:rPr>
              <w:t>见投标文件</w:t>
            </w:r>
          </w:p>
          <w:p>
            <w:pPr>
              <w:snapToGrid w:val="0"/>
              <w:spacing w:line="400" w:lineRule="exact"/>
              <w:rPr>
                <w:color w:val="auto"/>
              </w:rPr>
            </w:pPr>
            <w:r>
              <w:rPr>
                <w:rFonts w:hint="eastAsia" w:ascii="仿宋" w:hAnsi="仿宋" w:eastAsia="仿宋" w:cs="仿宋_GB2312"/>
                <w:color w:val="auto"/>
                <w:sz w:val="24"/>
              </w:rPr>
              <w:t>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bl>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 xml:space="preserve">            </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jc w:val="center"/>
        <w:rPr>
          <w:color w:val="auto"/>
        </w:rPr>
      </w:pPr>
      <w:r>
        <w:rPr>
          <w:rFonts w:hint="eastAsia" w:ascii="仿宋_GB2312" w:hAnsi="仿宋" w:eastAsia="仿宋_GB2312" w:cs="仿宋_GB2312"/>
          <w:b/>
          <w:color w:val="auto"/>
          <w:kern w:val="0"/>
          <w:sz w:val="32"/>
          <w:szCs w:val="32"/>
        </w:rPr>
        <w:t>六、评标标准相应的商务技术资料</w:t>
      </w:r>
    </w:p>
    <w:p>
      <w:pPr>
        <w:snapToGrid w:val="0"/>
        <w:spacing w:line="360" w:lineRule="auto"/>
        <w:jc w:val="left"/>
        <w:rPr>
          <w:rFonts w:ascii="仿宋_GB2312" w:hAnsi="仿宋" w:eastAsia="仿宋_GB2312" w:cs="仿宋_GB2312"/>
          <w:b/>
          <w:color w:val="auto"/>
          <w:sz w:val="24"/>
        </w:rPr>
      </w:pPr>
    </w:p>
    <w:p>
      <w:pPr>
        <w:snapToGrid w:val="0"/>
        <w:spacing w:line="360" w:lineRule="auto"/>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七、商务技术偏离表</w:t>
      </w:r>
    </w:p>
    <w:p>
      <w:pPr>
        <w:jc w:val="center"/>
        <w:rPr>
          <w:rFonts w:ascii="仿宋_GB2312" w:hAnsi="仿宋" w:eastAsia="仿宋_GB2312"/>
          <w:b/>
          <w:bCs/>
          <w:color w:val="auto"/>
          <w:sz w:val="24"/>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vAlign w:val="center"/>
          </w:tcPr>
          <w:p>
            <w:pPr>
              <w:snapToGrid w:val="0"/>
              <w:spacing w:line="400" w:lineRule="exact"/>
              <w:jc w:val="center"/>
              <w:rPr>
                <w:rFonts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vAlign w:val="center"/>
          </w:tcPr>
          <w:p>
            <w:pPr>
              <w:snapToGrid w:val="0"/>
              <w:spacing w:line="400" w:lineRule="exact"/>
              <w:jc w:val="center"/>
              <w:rPr>
                <w:rFonts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vAlign w:val="center"/>
          </w:tcPr>
          <w:p>
            <w:pPr>
              <w:snapToGrid w:val="0"/>
              <w:spacing w:line="400" w:lineRule="exact"/>
              <w:jc w:val="center"/>
              <w:rPr>
                <w:rFonts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1</w:t>
            </w:r>
          </w:p>
        </w:tc>
        <w:tc>
          <w:tcPr>
            <w:tcW w:w="3683"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3546"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1276" w:type="dxa"/>
            <w:vAlign w:val="center"/>
          </w:tcPr>
          <w:p>
            <w:pPr>
              <w:snapToGrid w:val="0"/>
              <w:spacing w:line="400" w:lineRule="exact"/>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2</w:t>
            </w:r>
          </w:p>
        </w:tc>
        <w:tc>
          <w:tcPr>
            <w:tcW w:w="3683"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3546"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1276" w:type="dxa"/>
            <w:vAlign w:val="center"/>
          </w:tcPr>
          <w:p>
            <w:pPr>
              <w:snapToGrid w:val="0"/>
              <w:spacing w:line="400" w:lineRule="exact"/>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3546"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1276" w:type="dxa"/>
            <w:vAlign w:val="center"/>
          </w:tcPr>
          <w:p>
            <w:pPr>
              <w:snapToGrid w:val="0"/>
              <w:spacing w:line="400" w:lineRule="exact"/>
              <w:jc w:val="center"/>
              <w:rPr>
                <w:rFonts w:ascii="仿宋_GB2312" w:hAnsi="仿宋" w:eastAsia="仿宋_GB2312" w:cs="仿宋_GB2312"/>
                <w:b/>
                <w:color w:val="auto"/>
                <w:kern w:val="0"/>
                <w:sz w:val="32"/>
                <w:szCs w:val="32"/>
              </w:rPr>
            </w:pPr>
          </w:p>
        </w:tc>
      </w:tr>
    </w:tbl>
    <w:p>
      <w:pPr>
        <w:jc w:val="left"/>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ind w:firstLine="1911" w:firstLineChars="595"/>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八、</w:t>
      </w:r>
      <w:r>
        <w:rPr>
          <w:rFonts w:hint="eastAsia" w:ascii="仿宋_GB2312" w:hAnsi="仿宋" w:eastAsia="仿宋_GB2312" w:cs="仿宋_GB2312"/>
          <w:b/>
          <w:color w:val="auto"/>
          <w:kern w:val="0"/>
          <w:sz w:val="32"/>
          <w:szCs w:val="32"/>
          <w:lang w:val="zh-CN"/>
        </w:rPr>
        <w:t>政府采购供应商廉洁自律承诺书</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u w:val="single"/>
        </w:rPr>
        <w:t>浙江省杭州第四中学新湾学校、</w:t>
      </w:r>
      <w:r>
        <w:rPr>
          <w:rFonts w:hint="eastAsia" w:ascii="仿宋_GB2312" w:hAnsi="仿宋" w:eastAsia="仿宋_GB2312" w:cs="仿宋_GB2312"/>
          <w:color w:val="auto"/>
          <w:sz w:val="24"/>
          <w:u w:val="single"/>
          <w:lang w:eastAsia="zh-CN"/>
        </w:rPr>
        <w:t>浙江国际招投标有限公司</w:t>
      </w:r>
      <w:r>
        <w:rPr>
          <w:rFonts w:hint="eastAsia" w:ascii="仿宋_GB2312" w:hAnsi="仿宋"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r>
        <w:rPr>
          <w:rFonts w:ascii="仿宋_GB2312" w:hAnsi="仿宋_GB2312" w:eastAsia="仿宋_GB2312" w:cs="仿宋_GB2312"/>
          <w:color w:val="auto"/>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br w:type="page"/>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报价文件部分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numPr>
          <w:ilvl w:val="0"/>
          <w:numId w:val="7"/>
        </w:numPr>
        <w:snapToGrid w:val="0"/>
        <w:spacing w:line="360" w:lineRule="auto"/>
        <w:rPr>
          <w:rFonts w:hint="eastAsia" w:ascii="仿宋_GB2312" w:hAnsi="仿宋" w:eastAsia="仿宋_GB2312" w:cs="仿宋_GB2312"/>
          <w:color w:val="auto"/>
          <w:sz w:val="24"/>
        </w:rPr>
      </w:pPr>
      <w:r>
        <w:rPr>
          <w:rFonts w:ascii="仿宋_GB2312" w:hAnsi="仿宋" w:eastAsia="仿宋_GB2312" w:cs="仿宋_GB2312"/>
          <w:color w:val="auto"/>
          <w:sz w:val="24"/>
        </w:rPr>
        <w:t>开标一览表（报价表）……</w:t>
      </w:r>
      <w:r>
        <w:rPr>
          <w:rFonts w:hint="eastAsia" w:ascii="仿宋_GB2312" w:hAnsi="仿宋" w:eastAsia="仿宋_GB2312" w:cs="仿宋_GB2312"/>
          <w:color w:val="auto"/>
          <w:sz w:val="24"/>
        </w:rPr>
        <w:t>…………………………………………………（页码）</w:t>
      </w:r>
    </w:p>
    <w:p>
      <w:pPr>
        <w:numPr>
          <w:ilvl w:val="0"/>
          <w:numId w:val="7"/>
        </w:numPr>
        <w:snapToGrid w:val="0"/>
        <w:spacing w:line="360" w:lineRule="auto"/>
        <w:rPr>
          <w:rFonts w:ascii="仿宋_GB2312" w:hAnsi="仿宋" w:eastAsia="仿宋_GB2312" w:cs="仿宋_GB2312"/>
          <w:color w:val="auto"/>
          <w:sz w:val="24"/>
        </w:rPr>
      </w:pPr>
      <w:r>
        <w:rPr>
          <w:rFonts w:ascii="仿宋_GB2312" w:hAnsi="仿宋" w:eastAsia="仿宋_GB2312" w:cs="仿宋_GB2312"/>
          <w:color w:val="auto"/>
          <w:sz w:val="24"/>
        </w:rPr>
        <w:t>开标一览表（报价</w:t>
      </w:r>
      <w:r>
        <w:rPr>
          <w:rFonts w:hint="eastAsia" w:ascii="仿宋_GB2312" w:hAnsi="仿宋" w:eastAsia="仿宋_GB2312" w:cs="仿宋_GB2312"/>
          <w:color w:val="auto"/>
          <w:sz w:val="24"/>
          <w:lang w:eastAsia="zh-CN"/>
        </w:rPr>
        <w:t>明细</w:t>
      </w:r>
      <w:r>
        <w:rPr>
          <w:rFonts w:ascii="仿宋_GB2312" w:hAnsi="仿宋" w:eastAsia="仿宋_GB2312" w:cs="仿宋_GB2312"/>
          <w:color w:val="auto"/>
          <w:sz w:val="24"/>
        </w:rPr>
        <w:t>表）……</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val="en-US" w:eastAsia="zh-CN"/>
        </w:rPr>
        <w:t>3</w:t>
      </w:r>
      <w:r>
        <w:rPr>
          <w:rFonts w:ascii="仿宋_GB2312" w:hAnsi="仿宋" w:eastAsia="仿宋_GB2312" w:cs="仿宋_GB2312"/>
          <w:color w:val="auto"/>
          <w:sz w:val="24"/>
        </w:rPr>
        <w:t>）中小企业声明函……</w:t>
      </w:r>
      <w:r>
        <w:rPr>
          <w:rFonts w:hint="eastAsia" w:ascii="仿宋_GB2312" w:hAnsi="仿宋" w:eastAsia="仿宋_GB2312" w:cs="仿宋_GB2312"/>
          <w:color w:val="auto"/>
          <w:sz w:val="24"/>
        </w:rPr>
        <w:t>…………………………………………………………（页码）</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rPr>
        <w:sectPr>
          <w:headerReference r:id="rId9" w:type="first"/>
          <w:footerReference r:id="rId11" w:type="first"/>
          <w:headerReference r:id="rId8" w:type="default"/>
          <w:footerReference r:id="rId10" w:type="default"/>
          <w:type w:val="continuous"/>
          <w:pgSz w:w="11906" w:h="16838"/>
          <w:pgMar w:top="1276" w:right="1418" w:bottom="1247" w:left="1418" w:header="851" w:footer="992" w:gutter="0"/>
          <w:cols w:space="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rPr>
      </w:pPr>
      <w:r>
        <w:rPr>
          <w:rFonts w:hint="eastAsia" w:ascii="仿宋_GB2312" w:hAnsi="仿宋" w:eastAsia="仿宋_GB2312" w:cs="仿宋_GB2312"/>
          <w:color w:val="auto"/>
          <w:kern w:val="2"/>
          <w:sz w:val="32"/>
          <w:szCs w:val="32"/>
        </w:rPr>
        <w:t>一、开标一览表（报价表）</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u w:val="single"/>
        </w:rPr>
        <w:t>浙江省杭州第四中学新湾学校、</w:t>
      </w:r>
      <w:r>
        <w:rPr>
          <w:rFonts w:hint="eastAsia" w:ascii="仿宋_GB2312" w:hAnsi="仿宋" w:eastAsia="仿宋_GB2312" w:cs="仿宋_GB2312"/>
          <w:color w:val="auto"/>
          <w:sz w:val="24"/>
          <w:u w:val="single"/>
          <w:lang w:eastAsia="zh-CN"/>
        </w:rPr>
        <w:t>浙江国际招投标有限公司</w:t>
      </w:r>
      <w:r>
        <w:rPr>
          <w:rFonts w:hint="eastAsia" w:ascii="仿宋_GB2312" w:hAnsi="仿宋" w:eastAsia="仿宋_GB2312" w:cs="仿宋_GB2312"/>
          <w:color w:val="auto"/>
          <w:kern w:val="0"/>
          <w:sz w:val="24"/>
          <w:lang w:val="zh-CN"/>
        </w:rPr>
        <w:t>：</w:t>
      </w:r>
    </w:p>
    <w:p>
      <w:pPr>
        <w:snapToGrid w:val="0"/>
        <w:spacing w:line="360" w:lineRule="auto"/>
        <w:ind w:firstLine="482"/>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lang w:eastAsia="zh-CN"/>
        </w:rPr>
        <w:t>杭州第四中学新湾学校校园网络及综合布线项目</w:t>
      </w:r>
      <w:r>
        <w:rPr>
          <w:rFonts w:hint="eastAsia" w:ascii="仿宋_GB2312" w:hAnsi="仿宋" w:eastAsia="仿宋_GB2312" w:cs="仿宋_GB2312"/>
          <w:color w:val="auto"/>
          <w:kern w:val="0"/>
          <w:sz w:val="24"/>
          <w:lang w:val="zh-CN"/>
        </w:rPr>
        <w:t>【招标编号：</w:t>
      </w:r>
      <w:r>
        <w:rPr>
          <w:rFonts w:hint="eastAsia" w:ascii="仿宋_GB2312" w:hAnsi="仿宋" w:eastAsia="仿宋_GB2312"/>
          <w:color w:val="auto"/>
          <w:sz w:val="24"/>
        </w:rPr>
        <w:t>ZJ-2163197</w:t>
      </w:r>
      <w:r>
        <w:rPr>
          <w:rFonts w:hint="eastAsia" w:ascii="仿宋_GB2312" w:hAnsi="仿宋" w:eastAsia="仿宋_GB2312" w:cs="仿宋_GB2312"/>
          <w:color w:val="auto"/>
          <w:sz w:val="24"/>
        </w:rPr>
        <w:t>】的实施</w:t>
      </w:r>
      <w:r>
        <w:rPr>
          <w:rFonts w:hint="eastAsia" w:ascii="仿宋_GB2312" w:hAnsi="仿宋" w:eastAsia="仿宋_GB2312" w:cs="仿宋_GB2312"/>
          <w:color w:val="auto"/>
          <w:kern w:val="0"/>
          <w:sz w:val="24"/>
          <w:lang w:val="zh-CN"/>
        </w:rPr>
        <w:t>。</w:t>
      </w:r>
    </w:p>
    <w:p>
      <w:pPr>
        <w:spacing w:line="360" w:lineRule="auto"/>
        <w:jc w:val="center"/>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开标一览表（报价表）</w:t>
      </w:r>
      <w:r>
        <w:rPr>
          <w:rFonts w:ascii="仿宋_GB2312" w:hAnsi="仿宋" w:eastAsia="仿宋_GB2312" w:cs="仿宋_GB2312"/>
          <w:b/>
          <w:color w:val="auto"/>
          <w:kern w:val="0"/>
          <w:sz w:val="24"/>
          <w:lang w:val="zh-CN"/>
        </w:rPr>
        <w:t>(单位均为人民币元)</w:t>
      </w: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2"/>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037" w:type="pct"/>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投标报价（小写）</w:t>
            </w:r>
          </w:p>
        </w:tc>
        <w:tc>
          <w:tcPr>
            <w:tcW w:w="2962" w:type="pct"/>
            <w:vAlign w:val="center"/>
          </w:tcPr>
          <w:p>
            <w:pPr>
              <w:snapToGrid w:val="0"/>
              <w:spacing w:line="400" w:lineRule="exact"/>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37" w:type="pct"/>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投标报价（大写）</w:t>
            </w:r>
          </w:p>
        </w:tc>
        <w:tc>
          <w:tcPr>
            <w:tcW w:w="2962" w:type="pct"/>
            <w:vAlign w:val="center"/>
          </w:tcPr>
          <w:p>
            <w:pPr>
              <w:snapToGrid w:val="0"/>
              <w:spacing w:line="400" w:lineRule="exact"/>
              <w:jc w:val="center"/>
              <w:rPr>
                <w:rFonts w:ascii="仿宋_GB2312" w:hAnsi="仿宋" w:eastAsia="仿宋_GB2312" w:cs="仿宋_GB2312"/>
                <w:color w:val="auto"/>
                <w:sz w:val="24"/>
              </w:rPr>
            </w:pPr>
          </w:p>
        </w:tc>
      </w:tr>
    </w:tbl>
    <w:p>
      <w:pPr>
        <w:snapToGrid w:val="0"/>
        <w:spacing w:line="360" w:lineRule="auto"/>
        <w:ind w:left="480"/>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注：</w:t>
      </w:r>
    </w:p>
    <w:p>
      <w:pPr>
        <w:snapToGrid w:val="0"/>
        <w:spacing w:line="360" w:lineRule="auto"/>
        <w:ind w:left="-2" w:leftChars="-1"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1、投标人需按本表格式填写，不得自行更改。</w:t>
      </w:r>
    </w:p>
    <w:p>
      <w:pPr>
        <w:snapToGrid w:val="0"/>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2、有关本项目实施所涉及的一切费用均计入报价。</w:t>
      </w:r>
      <w:r>
        <w:rPr>
          <w:rFonts w:hint="eastAsia" w:ascii="仿宋_GB2312" w:hAnsi="仿宋" w:eastAsia="仿宋_GB2312" w:cs="仿宋_GB2312"/>
          <w:b/>
          <w:color w:val="auto"/>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不得出现“</w:t>
      </w:r>
      <w:r>
        <w:rPr>
          <w:rFonts w:ascii="仿宋_GB2312" w:hAnsi="仿宋" w:eastAsia="仿宋_GB2312" w:cs="仿宋_GB2312"/>
          <w:b/>
          <w:color w:val="auto"/>
          <w:kern w:val="0"/>
          <w:sz w:val="24"/>
          <w:lang w:val="zh-CN"/>
        </w:rPr>
        <w:t>0元”“免费赠送”等形式的无偿报价</w:t>
      </w:r>
      <w:r>
        <w:rPr>
          <w:rFonts w:hint="eastAsia" w:ascii="仿宋_GB2312" w:hAnsi="仿宋" w:eastAsia="仿宋_GB2312" w:cs="仿宋_GB2312"/>
          <w:b/>
          <w:color w:val="auto"/>
          <w:kern w:val="0"/>
          <w:sz w:val="24"/>
          <w:lang w:val="zh-CN"/>
        </w:rPr>
        <w:t>，</w:t>
      </w:r>
      <w:r>
        <w:rPr>
          <w:rFonts w:hint="eastAsia" w:ascii="仿宋_GB2312" w:hAnsi="仿宋" w:eastAsia="仿宋_GB2312" w:cs="仿宋_GB2312"/>
          <w:b/>
          <w:color w:val="auto"/>
          <w:kern w:val="0"/>
          <w:sz w:val="24"/>
        </w:rPr>
        <w:t>否则视为</w:t>
      </w:r>
      <w:r>
        <w:rPr>
          <w:rFonts w:hint="eastAsia" w:ascii="仿宋_GB2312" w:hAnsi="仿宋" w:eastAsia="仿宋_GB2312"/>
          <w:b/>
          <w:color w:val="auto"/>
          <w:sz w:val="24"/>
        </w:rPr>
        <w:t>投标文件含有采购人不能接受的附加条件的，投标无效</w:t>
      </w:r>
      <w:r>
        <w:rPr>
          <w:rFonts w:hint="eastAsia" w:ascii="仿宋_GB2312" w:hAnsi="仿宋" w:eastAsia="仿宋_GB2312" w:cs="仿宋_GB2312"/>
          <w:b/>
          <w:color w:val="auto"/>
          <w:kern w:val="0"/>
          <w:sz w:val="24"/>
          <w:lang w:val="zh-CN"/>
        </w:rPr>
        <w:t>。</w:t>
      </w:r>
    </w:p>
    <w:p>
      <w:pPr>
        <w:snapToGrid w:val="0"/>
        <w:spacing w:line="360" w:lineRule="auto"/>
        <w:ind w:firstLine="480" w:firstLineChars="200"/>
        <w:jc w:val="left"/>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szCs w:val="22"/>
          <w:lang w:val="zh-CN"/>
        </w:rPr>
        <w:t>5、</w:t>
      </w:r>
      <w:r>
        <w:rPr>
          <w:rFonts w:hint="eastAsia" w:ascii="仿宋_GB2312" w:hAnsi="仿宋" w:eastAsia="仿宋_GB2312" w:cs="仿宋_GB2312"/>
          <w:color w:val="auto"/>
          <w:kern w:val="0"/>
          <w:sz w:val="24"/>
          <w:lang w:val="zh-CN"/>
        </w:rPr>
        <w:t>符合招标文件中列明的可享受中小企业扶持政策的投标人，请填写中小企业声明函。注：投标人</w:t>
      </w:r>
      <w:r>
        <w:rPr>
          <w:rFonts w:ascii="仿宋_GB2312" w:hAnsi="仿宋" w:eastAsia="仿宋_GB2312" w:cs="仿宋_GB2312"/>
          <w:color w:val="auto"/>
          <w:kern w:val="0"/>
          <w:sz w:val="24"/>
          <w:lang w:val="zh-CN"/>
        </w:rPr>
        <w:t>提供</w:t>
      </w:r>
      <w:r>
        <w:rPr>
          <w:rFonts w:hint="eastAsia" w:ascii="仿宋_GB2312" w:hAnsi="仿宋" w:eastAsia="仿宋_GB2312" w:cs="仿宋_GB2312"/>
          <w:color w:val="auto"/>
          <w:kern w:val="0"/>
          <w:sz w:val="24"/>
          <w:lang w:val="zh-CN"/>
        </w:rPr>
        <w:t>的中小企业</w:t>
      </w:r>
      <w:r>
        <w:rPr>
          <w:rFonts w:ascii="仿宋_GB2312" w:hAnsi="仿宋" w:eastAsia="仿宋_GB2312" w:cs="仿宋_GB2312"/>
          <w:color w:val="auto"/>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auto"/>
          <w:kern w:val="0"/>
          <w:sz w:val="24"/>
        </w:rPr>
      </w:pPr>
    </w:p>
    <w:p>
      <w:pPr>
        <w:autoSpaceDE w:val="0"/>
        <w:autoSpaceDN w:val="0"/>
        <w:spacing w:line="360" w:lineRule="auto"/>
        <w:ind w:right="1120" w:firstLine="3840" w:firstLineChars="16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rPr>
        <w:sectPr>
          <w:pgSz w:w="11906" w:h="16838"/>
          <w:pgMar w:top="1247" w:right="1418" w:bottom="1276"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jc w:val="both"/>
        <w:outlineLvl w:val="9"/>
        <w:rPr>
          <w:rFonts w:hint="eastAsia" w:ascii="仿宋_GB2312" w:hAnsi="仿宋" w:eastAsia="仿宋_GB2312" w:cs="仿宋_GB2312"/>
          <w:color w:val="auto"/>
          <w:kern w:val="2"/>
          <w:sz w:val="32"/>
          <w:szCs w:val="32"/>
          <w:lang w:eastAsia="zh-CN"/>
        </w:rPr>
      </w:pPr>
      <w:r>
        <w:rPr>
          <w:rFonts w:hint="eastAsia" w:ascii="仿宋_GB2312" w:hAnsi="仿宋" w:eastAsia="仿宋_GB2312" w:cs="仿宋_GB2312"/>
          <w:color w:val="auto"/>
          <w:kern w:val="2"/>
          <w:sz w:val="32"/>
          <w:szCs w:val="32"/>
          <w:lang w:eastAsia="zh-CN"/>
        </w:rPr>
        <w:t>二、</w:t>
      </w:r>
      <w:r>
        <w:rPr>
          <w:rFonts w:hint="eastAsia" w:ascii="仿宋_GB2312" w:hAnsi="仿宋" w:eastAsia="仿宋_GB2312" w:cs="仿宋_GB2312"/>
          <w:color w:val="auto"/>
          <w:kern w:val="2"/>
          <w:sz w:val="32"/>
          <w:szCs w:val="32"/>
          <w:lang w:val="zh-CN" w:eastAsia="zh-CN"/>
        </w:rPr>
        <w:t>开标一览表附表</w:t>
      </w:r>
    </w:p>
    <w:p>
      <w:pPr>
        <w:pStyle w:val="2"/>
        <w:spacing w:line="600" w:lineRule="exact"/>
        <w:ind w:firstLine="0"/>
        <w:jc w:val="center"/>
        <w:rPr>
          <w:rFonts w:hint="eastAsia" w:ascii="仿宋" w:hAnsi="仿宋" w:eastAsia="仿宋" w:cs="仿宋"/>
          <w:b/>
          <w:bCs/>
          <w:snapToGrid w:val="0"/>
          <w:color w:val="auto"/>
          <w:kern w:val="0"/>
          <w:sz w:val="28"/>
          <w:szCs w:val="28"/>
        </w:rPr>
      </w:pPr>
      <w:r>
        <w:rPr>
          <w:rFonts w:hint="eastAsia" w:ascii="仿宋" w:hAnsi="仿宋" w:eastAsia="仿宋" w:cs="仿宋"/>
          <w:b/>
          <w:bCs/>
          <w:snapToGrid w:val="0"/>
          <w:color w:val="auto"/>
          <w:kern w:val="0"/>
          <w:sz w:val="28"/>
          <w:szCs w:val="28"/>
        </w:rPr>
        <w:t>投标报价明细表</w:t>
      </w:r>
    </w:p>
    <w:p>
      <w:pPr>
        <w:adjustRightInd w:val="0"/>
        <w:spacing w:line="360" w:lineRule="auto"/>
        <w:jc w:val="left"/>
        <w:rPr>
          <w:rFonts w:hint="eastAsia" w:ascii="仿宋" w:hAnsi="仿宋" w:eastAsia="仿宋" w:cs="仿宋"/>
          <w:color w:val="auto"/>
          <w:szCs w:val="21"/>
        </w:rPr>
      </w:pPr>
    </w:p>
    <w:p>
      <w:pPr>
        <w:adjustRightInd w:val="0"/>
        <w:spacing w:line="360" w:lineRule="auto"/>
        <w:rPr>
          <w:rFonts w:hint="eastAsia" w:ascii="仿宋" w:hAnsi="仿宋" w:eastAsia="仿宋" w:cs="仿宋"/>
          <w:color w:val="auto"/>
          <w:szCs w:val="21"/>
        </w:rPr>
      </w:pPr>
      <w:r>
        <w:rPr>
          <w:rFonts w:hint="eastAsia" w:ascii="仿宋" w:hAnsi="仿宋" w:eastAsia="仿宋" w:cs="仿宋"/>
          <w:color w:val="auto"/>
          <w:szCs w:val="21"/>
        </w:rPr>
        <w:t xml:space="preserve">项目名称：杭州第四中学新湾学校校园网络及综合布线项目   </w:t>
      </w:r>
    </w:p>
    <w:p>
      <w:pPr>
        <w:pStyle w:val="24"/>
        <w:rPr>
          <w:rFonts w:hint="eastAsia" w:ascii="仿宋" w:hAnsi="仿宋" w:eastAsia="仿宋" w:cs="仿宋"/>
          <w:color w:val="auto"/>
          <w:szCs w:val="21"/>
        </w:rPr>
      </w:pPr>
      <w:r>
        <w:rPr>
          <w:rFonts w:hint="eastAsia" w:ascii="仿宋" w:hAnsi="仿宋" w:eastAsia="仿宋" w:cs="仿宋"/>
          <w:color w:val="auto"/>
          <w:szCs w:val="21"/>
        </w:rPr>
        <w:t>采购编号：ZJ-2163197</w:t>
      </w:r>
    </w:p>
    <w:tbl>
      <w:tblPr>
        <w:tblStyle w:val="6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917"/>
        <w:gridCol w:w="1277"/>
        <w:gridCol w:w="1535"/>
        <w:gridCol w:w="943"/>
        <w:gridCol w:w="923"/>
        <w:gridCol w:w="923"/>
        <w:gridCol w:w="923"/>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493" w:type="pct"/>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b/>
                <w:color w:val="auto"/>
                <w:sz w:val="24"/>
              </w:rPr>
              <w:t>序号</w:t>
            </w:r>
          </w:p>
        </w:tc>
        <w:tc>
          <w:tcPr>
            <w:tcW w:w="494" w:type="pct"/>
            <w:vAlign w:val="center"/>
          </w:tcPr>
          <w:p>
            <w:pPr>
              <w:snapToGrid w:val="0"/>
              <w:spacing w:line="400" w:lineRule="exact"/>
              <w:jc w:val="center"/>
              <w:rPr>
                <w:rFonts w:hint="eastAsia" w:ascii="仿宋_GB2312" w:hAnsi="仿宋" w:eastAsia="仿宋_GB2312" w:cs="仿宋_GB2312"/>
                <w:b/>
                <w:color w:val="auto"/>
                <w:sz w:val="24"/>
              </w:rPr>
            </w:pPr>
            <w:r>
              <w:rPr>
                <w:rFonts w:hint="eastAsia" w:ascii="仿宋_GB2312" w:hAnsi="仿宋" w:eastAsia="仿宋_GB2312" w:cs="仿宋_GB2312"/>
                <w:b/>
                <w:color w:val="auto"/>
                <w:sz w:val="24"/>
              </w:rPr>
              <w:t>名称</w:t>
            </w:r>
          </w:p>
        </w:tc>
        <w:tc>
          <w:tcPr>
            <w:tcW w:w="688" w:type="pct"/>
            <w:vAlign w:val="center"/>
          </w:tcPr>
          <w:p>
            <w:pPr>
              <w:snapToGrid w:val="0"/>
              <w:spacing w:line="400" w:lineRule="exact"/>
              <w:jc w:val="center"/>
              <w:rPr>
                <w:rFonts w:hint="eastAsia" w:ascii="仿宋_GB2312" w:hAnsi="仿宋" w:eastAsia="仿宋_GB2312" w:cs="仿宋_GB2312"/>
                <w:b/>
                <w:color w:val="auto"/>
                <w:sz w:val="24"/>
              </w:rPr>
            </w:pPr>
            <w:r>
              <w:rPr>
                <w:rFonts w:hint="eastAsia" w:ascii="仿宋_GB2312" w:hAnsi="仿宋" w:eastAsia="仿宋_GB2312" w:cs="仿宋_GB2312"/>
                <w:b/>
                <w:color w:val="auto"/>
                <w:sz w:val="24"/>
              </w:rPr>
              <w:t>品牌</w:t>
            </w:r>
          </w:p>
          <w:p>
            <w:pPr>
              <w:snapToGrid w:val="0"/>
              <w:spacing w:line="400" w:lineRule="exact"/>
              <w:jc w:val="center"/>
              <w:rPr>
                <w:rFonts w:hint="eastAsia" w:ascii="仿宋_GB2312" w:hAnsi="仿宋" w:eastAsia="仿宋_GB2312" w:cs="仿宋_GB2312"/>
                <w:b/>
                <w:color w:val="auto"/>
                <w:sz w:val="24"/>
              </w:rPr>
            </w:pPr>
            <w:r>
              <w:rPr>
                <w:rFonts w:hint="eastAsia" w:ascii="仿宋_GB2312" w:hAnsi="仿宋" w:eastAsia="仿宋_GB2312" w:cs="仿宋_GB2312"/>
                <w:b/>
                <w:color w:val="auto"/>
                <w:sz w:val="24"/>
              </w:rPr>
              <w:t>（如有）</w:t>
            </w:r>
          </w:p>
        </w:tc>
        <w:tc>
          <w:tcPr>
            <w:tcW w:w="827" w:type="pct"/>
            <w:vAlign w:val="center"/>
          </w:tcPr>
          <w:p>
            <w:pPr>
              <w:snapToGrid w:val="0"/>
              <w:spacing w:line="400" w:lineRule="exact"/>
              <w:jc w:val="center"/>
              <w:rPr>
                <w:rFonts w:hint="eastAsia" w:ascii="仿宋_GB2312" w:hAnsi="仿宋" w:eastAsia="仿宋_GB2312" w:cs="仿宋_GB2312"/>
                <w:b/>
                <w:color w:val="auto"/>
                <w:sz w:val="24"/>
              </w:rPr>
            </w:pPr>
            <w:r>
              <w:rPr>
                <w:rFonts w:hint="eastAsia" w:ascii="仿宋_GB2312" w:hAnsi="仿宋" w:eastAsia="仿宋_GB2312" w:cs="仿宋_GB2312"/>
                <w:b/>
                <w:color w:val="auto"/>
                <w:sz w:val="24"/>
              </w:rPr>
              <w:t>规格型号</w:t>
            </w:r>
          </w:p>
        </w:tc>
        <w:tc>
          <w:tcPr>
            <w:tcW w:w="505" w:type="pct"/>
            <w:vAlign w:val="center"/>
          </w:tcPr>
          <w:p>
            <w:pPr>
              <w:snapToGrid w:val="0"/>
              <w:spacing w:line="400" w:lineRule="exact"/>
              <w:jc w:val="center"/>
              <w:rPr>
                <w:rFonts w:hint="eastAsia" w:ascii="仿宋_GB2312" w:hAnsi="仿宋" w:eastAsia="仿宋_GB2312" w:cs="仿宋_GB2312"/>
                <w:b/>
                <w:color w:val="auto"/>
                <w:sz w:val="24"/>
              </w:rPr>
            </w:pPr>
            <w:r>
              <w:rPr>
                <w:rFonts w:hint="eastAsia" w:ascii="仿宋_GB2312" w:hAnsi="仿宋" w:eastAsia="仿宋_GB2312" w:cs="仿宋_GB2312"/>
                <w:b/>
                <w:color w:val="auto"/>
                <w:sz w:val="24"/>
              </w:rPr>
              <w:t>参数</w:t>
            </w:r>
          </w:p>
        </w:tc>
        <w:tc>
          <w:tcPr>
            <w:tcW w:w="497" w:type="pct"/>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b/>
                <w:color w:val="auto"/>
                <w:sz w:val="24"/>
              </w:rPr>
              <w:t>数量</w:t>
            </w:r>
          </w:p>
        </w:tc>
        <w:tc>
          <w:tcPr>
            <w:tcW w:w="497" w:type="pct"/>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b/>
                <w:color w:val="auto"/>
                <w:sz w:val="24"/>
              </w:rPr>
              <w:t>单价</w:t>
            </w:r>
          </w:p>
        </w:tc>
        <w:tc>
          <w:tcPr>
            <w:tcW w:w="497" w:type="pct"/>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b/>
                <w:color w:val="auto"/>
                <w:sz w:val="24"/>
              </w:rPr>
              <w:t>总价</w:t>
            </w:r>
          </w:p>
        </w:tc>
        <w:tc>
          <w:tcPr>
            <w:tcW w:w="497" w:type="pct"/>
            <w:vAlign w:val="center"/>
          </w:tcPr>
          <w:p>
            <w:pPr>
              <w:snapToGrid w:val="0"/>
              <w:spacing w:line="400" w:lineRule="exact"/>
              <w:jc w:val="center"/>
              <w:rPr>
                <w:rFonts w:ascii="仿宋_GB2312" w:hAnsi="仿宋" w:eastAsia="仿宋_GB2312"/>
                <w:b/>
                <w:color w:val="auto"/>
                <w:sz w:val="24"/>
              </w:rPr>
            </w:pPr>
            <w:r>
              <w:rPr>
                <w:rFonts w:hint="eastAsia" w:ascii="仿宋_GB2312" w:hAnsi="仿宋" w:eastAsia="仿宋_GB2312"/>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93" w:type="pct"/>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494" w:type="pct"/>
            <w:vAlign w:val="center"/>
          </w:tcPr>
          <w:p>
            <w:pPr>
              <w:snapToGrid w:val="0"/>
              <w:spacing w:line="400" w:lineRule="exact"/>
              <w:jc w:val="center"/>
              <w:rPr>
                <w:rFonts w:ascii="仿宋_GB2312" w:hAnsi="仿宋" w:eastAsia="仿宋_GB2312" w:cs="仿宋_GB2312"/>
                <w:color w:val="auto"/>
                <w:sz w:val="24"/>
              </w:rPr>
            </w:pPr>
          </w:p>
        </w:tc>
        <w:tc>
          <w:tcPr>
            <w:tcW w:w="688" w:type="pct"/>
            <w:vAlign w:val="center"/>
          </w:tcPr>
          <w:p>
            <w:pPr>
              <w:snapToGrid w:val="0"/>
              <w:spacing w:line="400" w:lineRule="exact"/>
              <w:jc w:val="center"/>
              <w:rPr>
                <w:rFonts w:ascii="仿宋_GB2312" w:hAnsi="仿宋" w:eastAsia="仿宋_GB2312" w:cs="仿宋_GB2312"/>
                <w:color w:val="auto"/>
                <w:sz w:val="24"/>
              </w:rPr>
            </w:pPr>
          </w:p>
        </w:tc>
        <w:tc>
          <w:tcPr>
            <w:tcW w:w="827" w:type="pct"/>
            <w:vAlign w:val="center"/>
          </w:tcPr>
          <w:p>
            <w:pPr>
              <w:snapToGrid w:val="0"/>
              <w:spacing w:line="400" w:lineRule="exact"/>
              <w:jc w:val="center"/>
              <w:rPr>
                <w:rFonts w:ascii="仿宋_GB2312" w:hAnsi="仿宋" w:eastAsia="仿宋_GB2312" w:cs="仿宋_GB2312"/>
                <w:color w:val="auto"/>
                <w:sz w:val="24"/>
              </w:rPr>
            </w:pPr>
          </w:p>
        </w:tc>
        <w:tc>
          <w:tcPr>
            <w:tcW w:w="505"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93" w:type="pct"/>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2</w:t>
            </w:r>
          </w:p>
        </w:tc>
        <w:tc>
          <w:tcPr>
            <w:tcW w:w="494" w:type="pct"/>
            <w:vAlign w:val="center"/>
          </w:tcPr>
          <w:p>
            <w:pPr>
              <w:snapToGrid w:val="0"/>
              <w:spacing w:line="400" w:lineRule="exact"/>
              <w:jc w:val="center"/>
              <w:rPr>
                <w:rFonts w:ascii="仿宋_GB2312" w:hAnsi="仿宋" w:eastAsia="仿宋_GB2312" w:cs="仿宋_GB2312"/>
                <w:color w:val="auto"/>
                <w:sz w:val="24"/>
              </w:rPr>
            </w:pPr>
          </w:p>
        </w:tc>
        <w:tc>
          <w:tcPr>
            <w:tcW w:w="688" w:type="pct"/>
            <w:vAlign w:val="center"/>
          </w:tcPr>
          <w:p>
            <w:pPr>
              <w:snapToGrid w:val="0"/>
              <w:spacing w:line="400" w:lineRule="exact"/>
              <w:jc w:val="center"/>
              <w:rPr>
                <w:rFonts w:ascii="仿宋_GB2312" w:hAnsi="仿宋" w:eastAsia="仿宋_GB2312" w:cs="仿宋_GB2312"/>
                <w:color w:val="auto"/>
                <w:sz w:val="24"/>
              </w:rPr>
            </w:pPr>
          </w:p>
        </w:tc>
        <w:tc>
          <w:tcPr>
            <w:tcW w:w="827" w:type="pct"/>
            <w:vAlign w:val="center"/>
          </w:tcPr>
          <w:p>
            <w:pPr>
              <w:snapToGrid w:val="0"/>
              <w:spacing w:line="400" w:lineRule="exact"/>
              <w:jc w:val="center"/>
              <w:rPr>
                <w:rFonts w:ascii="仿宋_GB2312" w:hAnsi="仿宋" w:eastAsia="仿宋_GB2312" w:cs="仿宋_GB2312"/>
                <w:color w:val="auto"/>
                <w:sz w:val="24"/>
              </w:rPr>
            </w:pPr>
          </w:p>
        </w:tc>
        <w:tc>
          <w:tcPr>
            <w:tcW w:w="505"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93" w:type="pct"/>
            <w:vAlign w:val="center"/>
          </w:tcPr>
          <w:p>
            <w:pPr>
              <w:snapToGrid w:val="0"/>
              <w:spacing w:line="400" w:lineRule="exact"/>
              <w:jc w:val="center"/>
              <w:rPr>
                <w:rFonts w:ascii="仿宋_GB2312" w:hAnsi="仿宋" w:eastAsia="仿宋_GB2312" w:cs="仿宋_GB2312"/>
                <w:color w:val="auto"/>
                <w:sz w:val="24"/>
              </w:rPr>
            </w:pPr>
            <w:r>
              <w:rPr>
                <w:rFonts w:hint="eastAsia" w:ascii="仿宋_GB2312" w:hAnsi="仿宋" w:eastAsia="仿宋_GB2312" w:cs="仿宋_GB2312"/>
                <w:color w:val="auto"/>
                <w:sz w:val="24"/>
              </w:rPr>
              <w:t>…</w:t>
            </w:r>
          </w:p>
        </w:tc>
        <w:tc>
          <w:tcPr>
            <w:tcW w:w="494" w:type="pct"/>
            <w:vAlign w:val="center"/>
          </w:tcPr>
          <w:p>
            <w:pPr>
              <w:snapToGrid w:val="0"/>
              <w:spacing w:line="400" w:lineRule="exact"/>
              <w:jc w:val="center"/>
              <w:rPr>
                <w:rFonts w:ascii="仿宋_GB2312" w:hAnsi="仿宋" w:eastAsia="仿宋_GB2312" w:cs="仿宋_GB2312"/>
                <w:color w:val="auto"/>
                <w:sz w:val="24"/>
              </w:rPr>
            </w:pPr>
          </w:p>
        </w:tc>
        <w:tc>
          <w:tcPr>
            <w:tcW w:w="688" w:type="pct"/>
            <w:vAlign w:val="center"/>
          </w:tcPr>
          <w:p>
            <w:pPr>
              <w:snapToGrid w:val="0"/>
              <w:spacing w:line="400" w:lineRule="exact"/>
              <w:jc w:val="center"/>
              <w:rPr>
                <w:rFonts w:ascii="仿宋_GB2312" w:hAnsi="仿宋" w:eastAsia="仿宋_GB2312" w:cs="仿宋_GB2312"/>
                <w:color w:val="auto"/>
                <w:sz w:val="24"/>
              </w:rPr>
            </w:pPr>
          </w:p>
        </w:tc>
        <w:tc>
          <w:tcPr>
            <w:tcW w:w="827" w:type="pct"/>
            <w:vAlign w:val="center"/>
          </w:tcPr>
          <w:p>
            <w:pPr>
              <w:snapToGrid w:val="0"/>
              <w:spacing w:line="400" w:lineRule="exact"/>
              <w:jc w:val="center"/>
              <w:rPr>
                <w:rFonts w:ascii="仿宋_GB2312" w:hAnsi="仿宋" w:eastAsia="仿宋_GB2312" w:cs="仿宋_GB2312"/>
                <w:color w:val="auto"/>
                <w:sz w:val="24"/>
              </w:rPr>
            </w:pPr>
          </w:p>
        </w:tc>
        <w:tc>
          <w:tcPr>
            <w:tcW w:w="505"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93" w:type="pct"/>
            <w:vAlign w:val="center"/>
          </w:tcPr>
          <w:p>
            <w:pPr>
              <w:snapToGrid w:val="0"/>
              <w:spacing w:line="400" w:lineRule="exact"/>
              <w:jc w:val="center"/>
              <w:rPr>
                <w:rFonts w:ascii="仿宋_GB2312" w:hAnsi="仿宋" w:eastAsia="仿宋_GB2312" w:cs="仿宋_GB2312"/>
                <w:color w:val="auto"/>
                <w:sz w:val="24"/>
              </w:rPr>
            </w:pPr>
          </w:p>
        </w:tc>
        <w:tc>
          <w:tcPr>
            <w:tcW w:w="494" w:type="pct"/>
            <w:vAlign w:val="center"/>
          </w:tcPr>
          <w:p>
            <w:pPr>
              <w:snapToGrid w:val="0"/>
              <w:spacing w:line="400" w:lineRule="exact"/>
              <w:jc w:val="center"/>
              <w:rPr>
                <w:rFonts w:ascii="仿宋_GB2312" w:hAnsi="仿宋" w:eastAsia="仿宋_GB2312" w:cs="仿宋_GB2312"/>
                <w:color w:val="auto"/>
                <w:sz w:val="24"/>
              </w:rPr>
            </w:pPr>
          </w:p>
        </w:tc>
        <w:tc>
          <w:tcPr>
            <w:tcW w:w="688" w:type="pct"/>
            <w:vAlign w:val="center"/>
          </w:tcPr>
          <w:p>
            <w:pPr>
              <w:snapToGrid w:val="0"/>
              <w:spacing w:line="400" w:lineRule="exact"/>
              <w:jc w:val="center"/>
              <w:rPr>
                <w:rFonts w:ascii="仿宋_GB2312" w:hAnsi="仿宋" w:eastAsia="仿宋_GB2312" w:cs="仿宋_GB2312"/>
                <w:color w:val="auto"/>
                <w:sz w:val="24"/>
              </w:rPr>
            </w:pPr>
          </w:p>
        </w:tc>
        <w:tc>
          <w:tcPr>
            <w:tcW w:w="827" w:type="pct"/>
            <w:vAlign w:val="center"/>
          </w:tcPr>
          <w:p>
            <w:pPr>
              <w:snapToGrid w:val="0"/>
              <w:spacing w:line="400" w:lineRule="exact"/>
              <w:jc w:val="center"/>
              <w:rPr>
                <w:rFonts w:ascii="仿宋_GB2312" w:hAnsi="仿宋" w:eastAsia="仿宋_GB2312" w:cs="仿宋_GB2312"/>
                <w:color w:val="auto"/>
                <w:sz w:val="24"/>
              </w:rPr>
            </w:pPr>
          </w:p>
        </w:tc>
        <w:tc>
          <w:tcPr>
            <w:tcW w:w="505"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93" w:type="pct"/>
            <w:vAlign w:val="center"/>
          </w:tcPr>
          <w:p>
            <w:pPr>
              <w:snapToGrid w:val="0"/>
              <w:spacing w:line="400" w:lineRule="exact"/>
              <w:jc w:val="center"/>
              <w:rPr>
                <w:rFonts w:ascii="仿宋_GB2312" w:hAnsi="仿宋" w:eastAsia="仿宋_GB2312" w:cs="仿宋_GB2312"/>
                <w:color w:val="auto"/>
                <w:sz w:val="24"/>
              </w:rPr>
            </w:pPr>
          </w:p>
        </w:tc>
        <w:tc>
          <w:tcPr>
            <w:tcW w:w="494" w:type="pct"/>
            <w:vAlign w:val="center"/>
          </w:tcPr>
          <w:p>
            <w:pPr>
              <w:snapToGrid w:val="0"/>
              <w:spacing w:line="400" w:lineRule="exact"/>
              <w:jc w:val="center"/>
              <w:rPr>
                <w:rFonts w:ascii="仿宋_GB2312" w:hAnsi="仿宋" w:eastAsia="仿宋_GB2312" w:cs="仿宋_GB2312"/>
                <w:color w:val="auto"/>
                <w:sz w:val="24"/>
              </w:rPr>
            </w:pPr>
          </w:p>
        </w:tc>
        <w:tc>
          <w:tcPr>
            <w:tcW w:w="688" w:type="pct"/>
            <w:vAlign w:val="center"/>
          </w:tcPr>
          <w:p>
            <w:pPr>
              <w:snapToGrid w:val="0"/>
              <w:spacing w:line="400" w:lineRule="exact"/>
              <w:jc w:val="center"/>
              <w:rPr>
                <w:rFonts w:ascii="仿宋_GB2312" w:hAnsi="仿宋" w:eastAsia="仿宋_GB2312" w:cs="仿宋_GB2312"/>
                <w:color w:val="auto"/>
                <w:sz w:val="24"/>
              </w:rPr>
            </w:pPr>
          </w:p>
        </w:tc>
        <w:tc>
          <w:tcPr>
            <w:tcW w:w="827" w:type="pct"/>
            <w:vAlign w:val="center"/>
          </w:tcPr>
          <w:p>
            <w:pPr>
              <w:snapToGrid w:val="0"/>
              <w:spacing w:line="400" w:lineRule="exact"/>
              <w:jc w:val="center"/>
              <w:rPr>
                <w:rFonts w:ascii="仿宋_GB2312" w:hAnsi="仿宋" w:eastAsia="仿宋_GB2312" w:cs="仿宋_GB2312"/>
                <w:color w:val="auto"/>
                <w:sz w:val="24"/>
              </w:rPr>
            </w:pPr>
          </w:p>
        </w:tc>
        <w:tc>
          <w:tcPr>
            <w:tcW w:w="505"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c>
          <w:tcPr>
            <w:tcW w:w="497" w:type="pct"/>
            <w:vAlign w:val="center"/>
          </w:tcPr>
          <w:p>
            <w:pPr>
              <w:snapToGrid w:val="0"/>
              <w:spacing w:line="400" w:lineRule="exact"/>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10" w:type="pct"/>
            <w:gridSpan w:val="5"/>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投标报价（小写）</w:t>
            </w:r>
          </w:p>
        </w:tc>
        <w:tc>
          <w:tcPr>
            <w:tcW w:w="1989" w:type="pct"/>
            <w:gridSpan w:val="4"/>
            <w:vAlign w:val="center"/>
          </w:tcPr>
          <w:p>
            <w:pPr>
              <w:snapToGrid w:val="0"/>
              <w:spacing w:line="400" w:lineRule="exact"/>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010" w:type="pct"/>
            <w:gridSpan w:val="5"/>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投标报价（大写）</w:t>
            </w:r>
          </w:p>
        </w:tc>
        <w:tc>
          <w:tcPr>
            <w:tcW w:w="1989" w:type="pct"/>
            <w:gridSpan w:val="4"/>
            <w:vAlign w:val="center"/>
          </w:tcPr>
          <w:p>
            <w:pPr>
              <w:snapToGrid w:val="0"/>
              <w:spacing w:line="400" w:lineRule="exact"/>
              <w:jc w:val="center"/>
              <w:rPr>
                <w:rFonts w:ascii="仿宋_GB2312" w:hAnsi="仿宋" w:eastAsia="仿宋_GB2312" w:cs="仿宋_GB2312"/>
                <w:color w:val="auto"/>
                <w:sz w:val="24"/>
              </w:rPr>
            </w:pPr>
          </w:p>
        </w:tc>
      </w:tr>
    </w:tbl>
    <w:p>
      <w:pPr>
        <w:pStyle w:val="2"/>
        <w:rPr>
          <w:rFonts w:hint="eastAsia" w:ascii="仿宋" w:hAnsi="仿宋" w:eastAsia="仿宋" w:cs="仿宋"/>
          <w:color w:val="auto"/>
          <w:szCs w:val="21"/>
        </w:rPr>
      </w:pPr>
      <w:r>
        <w:rPr>
          <w:rFonts w:hint="eastAsia" w:ascii="仿宋" w:hAnsi="仿宋" w:eastAsia="仿宋" w:cs="仿宋"/>
          <w:color w:val="auto"/>
          <w:szCs w:val="21"/>
        </w:rPr>
        <w:t>（</w:t>
      </w:r>
      <w:r>
        <w:rPr>
          <w:rFonts w:hint="eastAsia" w:ascii="仿宋" w:hAnsi="仿宋" w:eastAsia="仿宋" w:cs="仿宋"/>
          <w:color w:val="auto"/>
          <w:szCs w:val="21"/>
          <w:lang w:eastAsia="zh-CN"/>
        </w:rPr>
        <w:t>内容</w:t>
      </w:r>
      <w:r>
        <w:rPr>
          <w:rFonts w:hint="eastAsia" w:ascii="仿宋" w:hAnsi="仿宋" w:eastAsia="仿宋" w:cs="仿宋"/>
          <w:color w:val="auto"/>
          <w:szCs w:val="21"/>
        </w:rPr>
        <w:t>按采购清单）</w:t>
      </w:r>
    </w:p>
    <w:p>
      <w:pPr>
        <w:rPr>
          <w:rFonts w:hint="eastAsia"/>
          <w:color w:val="auto"/>
        </w:rPr>
      </w:pPr>
    </w:p>
    <w:p>
      <w:pPr>
        <w:snapToGrid w:val="0"/>
        <w:spacing w:line="360" w:lineRule="auto"/>
        <w:ind w:left="-2" w:leftChars="-1" w:firstLine="420" w:firstLineChars="200"/>
        <w:rPr>
          <w:rFonts w:ascii="仿宋_GB2312" w:hAnsi="仿宋" w:eastAsia="仿宋_GB2312" w:cs="仿宋_GB2312"/>
          <w:color w:val="auto"/>
          <w:kern w:val="0"/>
          <w:sz w:val="24"/>
          <w:lang w:val="zh-CN"/>
        </w:rPr>
      </w:pPr>
      <w:r>
        <w:rPr>
          <w:rFonts w:hint="eastAsia" w:ascii="仿宋" w:hAnsi="仿宋" w:eastAsia="仿宋" w:cs="仿宋"/>
          <w:color w:val="auto"/>
        </w:rPr>
        <w:t>注：</w:t>
      </w:r>
      <w:r>
        <w:rPr>
          <w:rFonts w:ascii="仿宋_GB2312" w:hAnsi="仿宋" w:eastAsia="仿宋_GB2312" w:cs="仿宋_GB2312"/>
          <w:color w:val="auto"/>
          <w:kern w:val="0"/>
          <w:sz w:val="24"/>
          <w:lang w:val="zh-CN"/>
        </w:rPr>
        <w:t>1、投标人需按本表格式填写，不得自行更改。</w:t>
      </w:r>
    </w:p>
    <w:p>
      <w:pPr>
        <w:snapToGrid w:val="0"/>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2、有关本项目实施所涉及的一切费用均计入报价。</w:t>
      </w:r>
      <w:r>
        <w:rPr>
          <w:rFonts w:hint="eastAsia" w:ascii="仿宋_GB2312" w:hAnsi="仿宋" w:eastAsia="仿宋_GB2312" w:cs="仿宋_GB2312"/>
          <w:b/>
          <w:color w:val="auto"/>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不得出现“</w:t>
      </w:r>
      <w:r>
        <w:rPr>
          <w:rFonts w:ascii="仿宋_GB2312" w:hAnsi="仿宋" w:eastAsia="仿宋_GB2312" w:cs="仿宋_GB2312"/>
          <w:b/>
          <w:color w:val="auto"/>
          <w:kern w:val="0"/>
          <w:sz w:val="24"/>
          <w:lang w:val="zh-CN"/>
        </w:rPr>
        <w:t>0元”“免费赠送”等形式的无偿报价</w:t>
      </w:r>
      <w:r>
        <w:rPr>
          <w:rFonts w:hint="eastAsia" w:ascii="仿宋_GB2312" w:hAnsi="仿宋" w:eastAsia="仿宋_GB2312" w:cs="仿宋_GB2312"/>
          <w:b/>
          <w:color w:val="auto"/>
          <w:kern w:val="0"/>
          <w:sz w:val="24"/>
          <w:lang w:val="zh-CN"/>
        </w:rPr>
        <w:t>，</w:t>
      </w:r>
      <w:r>
        <w:rPr>
          <w:rFonts w:hint="eastAsia" w:ascii="仿宋_GB2312" w:hAnsi="仿宋" w:eastAsia="仿宋_GB2312" w:cs="仿宋_GB2312"/>
          <w:b/>
          <w:color w:val="auto"/>
          <w:kern w:val="0"/>
          <w:sz w:val="24"/>
        </w:rPr>
        <w:t>否则视为</w:t>
      </w:r>
      <w:r>
        <w:rPr>
          <w:rFonts w:hint="eastAsia" w:ascii="仿宋_GB2312" w:hAnsi="仿宋" w:eastAsia="仿宋_GB2312"/>
          <w:b/>
          <w:color w:val="auto"/>
          <w:sz w:val="24"/>
        </w:rPr>
        <w:t>投标文件含有采购人不能接受的附加条件的，投标无效</w:t>
      </w:r>
      <w:r>
        <w:rPr>
          <w:rFonts w:hint="eastAsia" w:ascii="仿宋_GB2312" w:hAnsi="仿宋" w:eastAsia="仿宋_GB2312" w:cs="仿宋_GB2312"/>
          <w:b/>
          <w:color w:val="auto"/>
          <w:kern w:val="0"/>
          <w:sz w:val="24"/>
          <w:lang w:val="zh-CN"/>
        </w:rPr>
        <w:t>。</w:t>
      </w:r>
    </w:p>
    <w:p>
      <w:pPr>
        <w:snapToGrid w:val="0"/>
        <w:spacing w:line="360" w:lineRule="auto"/>
        <w:ind w:firstLine="480" w:firstLineChars="200"/>
        <w:jc w:val="left"/>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lang w:val="zh-CN"/>
        </w:rPr>
        <w:t>的名称、规格型号、数量、单价、服务要求等予以公示。</w:t>
      </w:r>
    </w:p>
    <w:p>
      <w:pPr>
        <w:spacing w:line="360" w:lineRule="auto"/>
        <w:rPr>
          <w:rFonts w:hint="eastAsia" w:ascii="仿宋" w:hAnsi="仿宋" w:eastAsia="仿宋" w:cs="仿宋"/>
          <w:color w:val="auto"/>
        </w:rPr>
      </w:pPr>
      <w:r>
        <w:rPr>
          <w:rFonts w:ascii="仿宋_GB2312" w:hAnsi="仿宋" w:eastAsia="仿宋_GB2312" w:cs="仿宋_GB2312"/>
          <w:color w:val="auto"/>
          <w:kern w:val="0"/>
          <w:sz w:val="24"/>
          <w:szCs w:val="22"/>
          <w:lang w:val="zh-CN"/>
        </w:rPr>
        <w:t>5、</w:t>
      </w:r>
      <w:r>
        <w:rPr>
          <w:rFonts w:hint="eastAsia" w:ascii="仿宋_GB2312" w:hAnsi="仿宋" w:eastAsia="仿宋_GB2312" w:cs="仿宋_GB2312"/>
          <w:color w:val="auto"/>
          <w:kern w:val="0"/>
          <w:sz w:val="24"/>
          <w:lang w:val="zh-CN"/>
        </w:rPr>
        <w:t>符合招标文件中列明的可享受中小企业扶持政策的投标人，请填写中小企业声明函。注：投标人</w:t>
      </w:r>
      <w:r>
        <w:rPr>
          <w:rFonts w:ascii="仿宋_GB2312" w:hAnsi="仿宋" w:eastAsia="仿宋_GB2312" w:cs="仿宋_GB2312"/>
          <w:color w:val="auto"/>
          <w:kern w:val="0"/>
          <w:sz w:val="24"/>
          <w:lang w:val="zh-CN"/>
        </w:rPr>
        <w:t>提供</w:t>
      </w:r>
      <w:r>
        <w:rPr>
          <w:rFonts w:hint="eastAsia" w:ascii="仿宋_GB2312" w:hAnsi="仿宋" w:eastAsia="仿宋_GB2312" w:cs="仿宋_GB2312"/>
          <w:color w:val="auto"/>
          <w:kern w:val="0"/>
          <w:sz w:val="24"/>
          <w:lang w:val="zh-CN"/>
        </w:rPr>
        <w:t>的中小企业</w:t>
      </w:r>
      <w:r>
        <w:rPr>
          <w:rFonts w:ascii="仿宋_GB2312" w:hAnsi="仿宋" w:eastAsia="仿宋_GB2312" w:cs="仿宋_GB2312"/>
          <w:color w:val="auto"/>
          <w:kern w:val="0"/>
          <w:sz w:val="24"/>
          <w:lang w:val="zh-CN"/>
        </w:rPr>
        <w:t>声明函内容不实的，属于提供虚假材料谋取中标、成交，依照《中华人民共和国政府采购法》等国家有关规定追究相应责任。</w:t>
      </w:r>
      <w:r>
        <w:rPr>
          <w:rFonts w:hint="eastAsia" w:ascii="仿宋" w:hAnsi="仿宋" w:eastAsia="仿宋" w:cs="仿宋"/>
          <w:color w:val="auto"/>
        </w:rPr>
        <w:t>。</w:t>
      </w: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pacing w:line="360" w:lineRule="auto"/>
        <w:ind w:left="4620" w:leftChars="2200"/>
        <w:rPr>
          <w:rFonts w:hint="eastAsia" w:ascii="仿宋_GB2312" w:hAnsi="仿宋" w:eastAsia="仿宋_GB2312" w:cs="仿宋_GB2312"/>
          <w:color w:val="auto"/>
          <w:kern w:val="2"/>
          <w:sz w:val="32"/>
          <w:szCs w:val="32"/>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rPr>
          <w:rFonts w:hint="eastAsia" w:ascii="仿宋_GB2312" w:hAnsi="仿宋" w:eastAsia="仿宋_GB2312" w:cs="仿宋_GB2312"/>
          <w:color w:val="auto"/>
          <w:kern w:val="2"/>
          <w:sz w:val="32"/>
          <w:szCs w:val="32"/>
        </w:rPr>
      </w:pPr>
      <w:r>
        <w:rPr>
          <w:rFonts w:hint="eastAsia" w:ascii="仿宋_GB2312" w:hAnsi="仿宋" w:eastAsia="仿宋_GB2312" w:cs="仿宋_GB2312"/>
          <w:color w:val="auto"/>
          <w:kern w:val="2"/>
          <w:sz w:val="32"/>
          <w:szCs w:val="32"/>
        </w:rPr>
        <w:br w:type="page"/>
      </w:r>
    </w:p>
    <w:p>
      <w:pPr>
        <w:pStyle w:val="691"/>
        <w:keepNext w:val="0"/>
        <w:pageBreakBefore w:val="0"/>
        <w:tabs>
          <w:tab w:val="clear" w:pos="720"/>
        </w:tabs>
        <w:snapToGrid w:val="0"/>
        <w:spacing w:before="120" w:after="120"/>
        <w:ind w:firstLine="643"/>
        <w:outlineLvl w:val="9"/>
        <w:rPr>
          <w:rFonts w:ascii="仿宋_GB2312" w:hAnsi="宋体" w:eastAsia="仿宋_GB2312"/>
          <w:color w:val="auto"/>
          <w:sz w:val="32"/>
          <w:szCs w:val="32"/>
        </w:rPr>
      </w:pPr>
      <w:r>
        <w:rPr>
          <w:rFonts w:hint="eastAsia" w:ascii="仿宋_GB2312" w:hAnsi="仿宋" w:eastAsia="仿宋_GB2312" w:cs="仿宋_GB2312"/>
          <w:color w:val="auto"/>
          <w:kern w:val="2"/>
          <w:sz w:val="32"/>
          <w:szCs w:val="32"/>
        </w:rPr>
        <w:t>二、</w:t>
      </w:r>
      <w:r>
        <w:rPr>
          <w:rFonts w:hint="eastAsia" w:ascii="仿宋_GB2312" w:hAnsi="宋体" w:eastAsia="仿宋_GB2312"/>
          <w:color w:val="auto"/>
          <w:sz w:val="32"/>
          <w:szCs w:val="32"/>
        </w:rPr>
        <w:t>中小企业声明函</w:t>
      </w:r>
    </w:p>
    <w:p>
      <w:pPr>
        <w:widowControl/>
        <w:spacing w:line="360" w:lineRule="auto"/>
        <w:ind w:firstLine="120" w:firstLineChars="5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rPr>
        <w:t>5）。</w:t>
      </w:r>
      <w:r>
        <w:rPr>
          <w:rFonts w:hint="eastAsia" w:ascii="仿宋_GB2312" w:hAnsi="仿宋" w:eastAsia="仿宋_GB2312" w:cs="仿宋_GB2312"/>
          <w:b/>
          <w:color w:val="auto"/>
          <w:sz w:val="24"/>
        </w:rPr>
        <w:t>]</w:t>
      </w:r>
    </w:p>
    <w:p>
      <w:pPr>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br w:type="page"/>
      </w:r>
    </w:p>
    <w:p>
      <w:pPr>
        <w:tabs>
          <w:tab w:val="left" w:pos="8085"/>
        </w:tabs>
        <w:spacing w:line="360" w:lineRule="auto"/>
        <w:jc w:val="center"/>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t>政府采购支持中小企业信用融资相关事项通知</w:t>
      </w:r>
    </w:p>
    <w:p>
      <w:pPr>
        <w:spacing w:line="360" w:lineRule="auto"/>
        <w:ind w:firstLine="480" w:firstLineChars="200"/>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一、适用对象</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二、相关信息获取方式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三、　政府采购信用融资操作流程：</w:t>
      </w:r>
    </w:p>
    <w:p>
      <w:pPr>
        <w:spacing w:line="360" w:lineRule="auto"/>
        <w:ind w:firstLine="960" w:firstLineChars="400"/>
        <w:rPr>
          <w:rFonts w:ascii="仿宋" w:hAnsi="仿宋" w:eastAsia="仿宋"/>
          <w:color w:val="auto"/>
          <w:sz w:val="24"/>
        </w:rPr>
      </w:pPr>
      <w:r>
        <w:rPr>
          <w:rFonts w:hint="eastAsia" w:ascii="仿宋" w:hAnsi="仿宋" w:eastAsia="仿宋"/>
          <w:color w:val="auto"/>
          <w:sz w:val="24"/>
        </w:rPr>
        <w:t>（一）线上融资模式：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2.供应商中标后，可通过杭州市政府采购网或“浙里办”测算授信额度；</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4.审批通过后，在线办理放贷手续。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（二）线下融资模式：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（三）杭州e融平台申请融资</w:t>
      </w:r>
    </w:p>
    <w:p>
      <w:pPr>
        <w:pStyle w:val="4"/>
        <w:numPr>
          <w:ilvl w:val="255"/>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四、注意事项</w:t>
      </w:r>
    </w:p>
    <w:p>
      <w:pPr>
        <w:spacing w:line="360" w:lineRule="auto"/>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rPr>
      </w:pPr>
      <w:r>
        <w:rPr>
          <w:rFonts w:ascii="仿宋" w:hAnsi="仿宋" w:eastAsia="仿宋"/>
          <w:color w:val="auto"/>
          <w:sz w:val="24"/>
        </w:rPr>
        <w:t>2</w:t>
      </w:r>
      <w:r>
        <w:rPr>
          <w:rFonts w:hint="eastAsia" w:ascii="仿宋" w:hAnsi="仿宋" w:eastAsia="仿宋"/>
          <w:color w:val="auto"/>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rPr>
        <w:t>。</w:t>
      </w:r>
    </w:p>
    <w:p>
      <w:pPr>
        <w:spacing w:line="360" w:lineRule="auto"/>
        <w:ind w:left="5060" w:hanging="5060" w:hangingChars="2100"/>
        <w:jc w:val="center"/>
        <w:rPr>
          <w:rFonts w:ascii="仿宋_GB2312" w:hAnsi="仿宋" w:eastAsia="仿宋_GB2312" w:cs="仿宋_GB2312"/>
          <w:b/>
          <w:bCs/>
          <w:color w:val="auto"/>
          <w:kern w:val="0"/>
          <w:sz w:val="24"/>
        </w:rPr>
      </w:pPr>
    </w:p>
    <w:p>
      <w:pPr>
        <w:pStyle w:val="3"/>
        <w:keepNext w:val="0"/>
        <w:keepLines w:val="0"/>
        <w:pageBreakBefore/>
        <w:widowControl/>
        <w:spacing w:before="100" w:beforeAutospacing="1" w:after="100" w:afterAutospacing="1" w:line="360" w:lineRule="auto"/>
        <w:jc w:val="center"/>
        <w:rPr>
          <w:rFonts w:ascii="仿宋_GB2312" w:hAnsi="仿宋" w:eastAsia="仿宋_GB2312"/>
          <w:color w:val="auto"/>
        </w:rPr>
      </w:pPr>
      <w:bookmarkStart w:id="554" w:name="_Toc465665161"/>
      <w:r>
        <w:rPr>
          <w:rFonts w:hint="eastAsia" w:ascii="仿宋_GB2312" w:hAnsi="仿宋" w:eastAsia="仿宋_GB2312"/>
          <w:color w:val="auto"/>
        </w:rPr>
        <w:t>附件</w:t>
      </w:r>
      <w:bookmarkEnd w:id="554"/>
    </w:p>
    <w:p>
      <w:pPr>
        <w:spacing w:line="360" w:lineRule="auto"/>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1：</w:t>
      </w:r>
    </w:p>
    <w:p>
      <w:pPr>
        <w:spacing w:line="360" w:lineRule="auto"/>
        <w:jc w:val="center"/>
        <w:rPr>
          <w:rFonts w:ascii="仿宋_GB2312" w:hAnsi="仿宋" w:eastAsia="仿宋_GB2312"/>
          <w:b/>
          <w:color w:val="auto"/>
          <w:spacing w:val="6"/>
          <w:sz w:val="32"/>
          <w:szCs w:val="32"/>
        </w:rPr>
      </w:pPr>
      <w:bookmarkStart w:id="555" w:name="OLE_LINK13"/>
      <w:bookmarkStart w:id="556" w:name="OLE_LINK14"/>
      <w:r>
        <w:rPr>
          <w:rFonts w:hint="eastAsia" w:ascii="仿宋_GB2312" w:hAnsi="仿宋" w:eastAsia="仿宋_GB2312"/>
          <w:b/>
          <w:color w:val="auto"/>
          <w:spacing w:val="6"/>
          <w:sz w:val="32"/>
          <w:szCs w:val="32"/>
        </w:rPr>
        <w:t>残疾人福利性单位声明函</w:t>
      </w:r>
    </w:p>
    <w:bookmarkEnd w:id="555"/>
    <w:bookmarkEnd w:id="556"/>
    <w:p>
      <w:pPr>
        <w:spacing w:line="360" w:lineRule="auto"/>
        <w:rPr>
          <w:rFonts w:ascii="仿宋_GB2312" w:hAnsi="仿宋" w:eastAsia="仿宋_GB2312"/>
          <w:b/>
          <w:color w:val="auto"/>
          <w:spacing w:val="6"/>
          <w:sz w:val="30"/>
          <w:szCs w:val="30"/>
        </w:rPr>
      </w:pP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民政部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spacing w:line="360" w:lineRule="auto"/>
        <w:ind w:firstLine="480" w:firstLineChars="200"/>
        <w:rPr>
          <w:rFonts w:ascii="仿宋_GB2312" w:hAnsi="仿宋" w:eastAsia="仿宋_GB2312" w:cs="仿宋_GB2312"/>
          <w:color w:val="auto"/>
          <w:sz w:val="24"/>
        </w:rPr>
      </w:pPr>
    </w:p>
    <w:p>
      <w:pP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br w:type="page"/>
      </w: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2：质疑函范本及制作说明</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质疑函范本</w:t>
      </w:r>
    </w:p>
    <w:p>
      <w:pP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r>
        <w:rPr>
          <w:rFonts w:ascii="仿宋_GB2312" w:hAnsi="仿宋" w:eastAsia="仿宋_GB2312" w:cs="仿宋"/>
          <w:color w:val="auto"/>
          <w:sz w:val="24"/>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rPr>
        <w:t xml:space="preserve"> </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包号：</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lang w:eastAsia="zh-CN"/>
        </w:rPr>
        <w:t>招标文件</w:t>
      </w:r>
      <w:r>
        <w:rPr>
          <w:rFonts w:hint="eastAsia" w:ascii="仿宋_GB2312" w:hAnsi="仿宋" w:eastAsia="仿宋_GB2312" w:cs="仿宋"/>
          <w:color w:val="auto"/>
          <w:sz w:val="24"/>
        </w:rPr>
        <w:t>获取日期：</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r>
        <w:rPr>
          <w:rFonts w:ascii="仿宋_GB2312" w:hAnsi="仿宋" w:eastAsia="仿宋_GB2312" w:cs="仿宋"/>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jc w:val="center"/>
        <w:rPr>
          <w:rFonts w:ascii="仿宋_GB2312" w:hAnsi="仿宋" w:eastAsia="仿宋_GB2312" w:cs="仿宋"/>
          <w:b/>
          <w:bCs/>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hint="eastAsia" w:ascii="仿宋_GB2312" w:hAnsi="仿宋" w:eastAsia="仿宋_GB2312"/>
          <w:color w:val="auto"/>
          <w:sz w:val="24"/>
          <w:u w:val="dotted"/>
        </w:rPr>
        <w:t>：</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w:t>
      </w:r>
      <w:r>
        <w:rPr>
          <w:rFonts w:ascii="仿宋_GB2312" w:hAnsi="仿宋" w:eastAsia="仿宋_GB2312"/>
          <w:color w:val="auto"/>
          <w:sz w:val="24"/>
          <w:u w:val="dotted"/>
        </w:rPr>
        <w:t xml:space="preserve">                 </w:t>
      </w:r>
      <w:r>
        <w:rPr>
          <w:rFonts w:hint="eastAsia" w:ascii="仿宋_GB2312" w:hAnsi="仿宋" w:eastAsia="仿宋_GB2312"/>
          <w:color w:val="auto"/>
          <w:sz w:val="24"/>
        </w:rPr>
        <w:t>包号：</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lang w:eastAsia="zh-CN"/>
        </w:rPr>
        <w:t>招标文件</w:t>
      </w:r>
      <w:r>
        <w:rPr>
          <w:rFonts w:hint="eastAsia" w:ascii="仿宋_GB2312" w:hAnsi="仿宋" w:eastAsia="仿宋_GB2312"/>
          <w:color w:val="auto"/>
          <w:sz w:val="24"/>
        </w:rPr>
        <w:t>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,向</w:t>
      </w:r>
      <w:r>
        <w:rPr>
          <w:rFonts w:ascii="仿宋_GB2312" w:hAnsi="仿宋" w:eastAsia="仿宋_GB2312"/>
          <w:color w:val="auto"/>
          <w:sz w:val="24"/>
          <w:u w:val="dotted"/>
        </w:rPr>
        <w:t xml:space="preserve">                   </w:t>
      </w:r>
      <w:r>
        <w:rPr>
          <w:rFonts w:hint="eastAsia" w:ascii="仿宋_GB2312" w:hAnsi="仿宋" w:eastAsia="仿宋_GB2312"/>
          <w:color w:val="auto"/>
          <w:sz w:val="24"/>
        </w:rPr>
        <w:t>提出质疑，质疑事项为：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事实依据：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请求：</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u w:val="single"/>
        </w:rPr>
      </w:pP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4：</w:t>
      </w:r>
      <w:r>
        <w:rPr>
          <w:rFonts w:hint="eastAsia" w:ascii="仿宋" w:hAnsi="仿宋" w:eastAsia="仿宋"/>
          <w:b/>
          <w:bCs/>
          <w:color w:val="auto"/>
          <w:sz w:val="32"/>
          <w:szCs w:val="32"/>
        </w:rPr>
        <w:t>业务专用章使用说明函</w:t>
      </w:r>
    </w:p>
    <w:p>
      <w:pPr>
        <w:spacing w:line="360" w:lineRule="auto"/>
        <w:rPr>
          <w:rFonts w:hint="eastAsia" w:ascii="仿宋" w:hAnsi="仿宋" w:eastAsia="仿宋"/>
          <w:color w:val="auto"/>
          <w:sz w:val="24"/>
          <w:lang w:eastAsia="zh-CN"/>
        </w:rPr>
      </w:pPr>
      <w:r>
        <w:rPr>
          <w:rFonts w:hint="eastAsia" w:ascii="仿宋" w:hAnsi="仿宋" w:eastAsia="仿宋" w:cs="仿宋_GB2312"/>
          <w:color w:val="auto"/>
          <w:sz w:val="24"/>
          <w:u w:val="single"/>
        </w:rPr>
        <w:t>浙江省杭州第四中学新湾学校、</w:t>
      </w:r>
      <w:r>
        <w:rPr>
          <w:rFonts w:hint="eastAsia" w:ascii="仿宋" w:hAnsi="仿宋" w:eastAsia="仿宋" w:cs="仿宋_GB2312"/>
          <w:color w:val="auto"/>
          <w:sz w:val="24"/>
          <w:u w:val="single"/>
          <w:lang w:eastAsia="zh-CN"/>
        </w:rPr>
        <w:t>浙江国际招投标有限公司</w:t>
      </w:r>
    </w:p>
    <w:p>
      <w:pPr>
        <w:spacing w:line="360" w:lineRule="auto"/>
        <w:ind w:firstLine="480" w:firstLineChars="200"/>
        <w:rPr>
          <w:rFonts w:ascii="仿宋" w:hAnsi="仿宋" w:eastAsia="仿宋" w:cs="宋体"/>
          <w:color w:val="auto"/>
          <w:sz w:val="24"/>
        </w:rPr>
      </w:pPr>
      <w:r>
        <w:rPr>
          <w:rFonts w:hint="eastAsia" w:ascii="仿宋" w:hAnsi="仿宋" w:eastAsia="仿宋" w:cs="仿宋_GB2312"/>
          <w:color w:val="auto"/>
          <w:kern w:val="0"/>
          <w:sz w:val="24"/>
          <w:lang w:val="zh-CN"/>
        </w:rPr>
        <w:t>我方</w:t>
      </w:r>
      <w:r>
        <w:rPr>
          <w:rFonts w:ascii="仿宋" w:hAnsi="仿宋" w:eastAsia="仿宋" w:cs="仿宋_GB2312"/>
          <w:color w:val="auto"/>
          <w:kern w:val="0"/>
          <w:sz w:val="24"/>
          <w:u w:val="single"/>
          <w:lang w:val="zh-CN"/>
        </w:rPr>
        <w:t xml:space="preserve">                         </w:t>
      </w:r>
      <w:r>
        <w:rPr>
          <w:rFonts w:ascii="仿宋" w:hAnsi="仿宋" w:eastAsia="仿宋" w:cs="仿宋_GB2312"/>
          <w:color w:val="auto"/>
          <w:sz w:val="24"/>
        </w:rPr>
        <w:t>(投标人全称)</w:t>
      </w:r>
      <w:r>
        <w:rPr>
          <w:rFonts w:hint="eastAsia" w:ascii="仿宋" w:hAnsi="仿宋" w:eastAsia="仿宋"/>
          <w:color w:val="auto"/>
          <w:sz w:val="24"/>
        </w:rPr>
        <w:t>是中华人民共和国依法登记注册的合法企业，</w:t>
      </w:r>
      <w:r>
        <w:rPr>
          <w:rFonts w:hint="eastAsia" w:ascii="仿宋" w:hAnsi="仿宋" w:eastAsia="仿宋" w:cs="宋体"/>
          <w:bCs/>
          <w:color w:val="auto"/>
          <w:sz w:val="24"/>
        </w:rPr>
        <w:t>在参加</w:t>
      </w:r>
      <w:r>
        <w:rPr>
          <w:rFonts w:hint="eastAsia" w:ascii="仿宋" w:hAnsi="仿宋" w:eastAsia="仿宋" w:cs="仿宋_GB2312"/>
          <w:color w:val="auto"/>
          <w:sz w:val="24"/>
        </w:rPr>
        <w:t>你方组织的</w:t>
      </w:r>
      <w:r>
        <w:rPr>
          <w:rFonts w:hint="eastAsia" w:ascii="仿宋_GB2312" w:hAnsi="仿宋" w:eastAsia="仿宋_GB2312" w:cs="仿宋_GB2312"/>
          <w:color w:val="auto"/>
          <w:sz w:val="24"/>
          <w:lang w:eastAsia="zh-CN"/>
        </w:rPr>
        <w:t>杭州第四中学新湾学校校园网络及综合布线项目</w:t>
      </w:r>
      <w:r>
        <w:rPr>
          <w:rFonts w:hint="eastAsia" w:ascii="仿宋_GB2312" w:hAnsi="仿宋" w:eastAsia="仿宋_GB2312" w:cs="仿宋_GB2312"/>
          <w:color w:val="auto"/>
          <w:sz w:val="24"/>
        </w:rPr>
        <w:t>项目</w:t>
      </w:r>
      <w:r>
        <w:rPr>
          <w:rFonts w:hint="eastAsia" w:ascii="仿宋" w:hAnsi="仿宋" w:eastAsia="仿宋" w:cs="仿宋_GB2312"/>
          <w:color w:val="auto"/>
          <w:sz w:val="24"/>
        </w:rPr>
        <w:t>【招标编号：ZJ-2163197</w:t>
      </w:r>
      <w:r>
        <w:rPr>
          <w:rFonts w:ascii="仿宋" w:hAnsi="仿宋" w:eastAsia="仿宋" w:cs="仿宋_GB2312"/>
          <w:color w:val="auto"/>
          <w:sz w:val="24"/>
        </w:rPr>
        <w:t>】</w:t>
      </w:r>
      <w:r>
        <w:rPr>
          <w:rFonts w:hint="eastAsia" w:ascii="仿宋" w:hAnsi="仿宋" w:eastAsia="仿宋" w:cs="宋体"/>
          <w:bCs/>
          <w:color w:val="auto"/>
          <w:sz w:val="24"/>
        </w:rPr>
        <w:t>投标活动中作如下说明：</w:t>
      </w:r>
      <w:r>
        <w:rPr>
          <w:rFonts w:hint="eastAsia" w:ascii="仿宋" w:hAnsi="仿宋" w:eastAsia="仿宋" w:cs="宋体"/>
          <w:color w:val="auto"/>
          <w:sz w:val="24"/>
        </w:rPr>
        <w:t>我方所使用的“</w:t>
      </w:r>
      <w:r>
        <w:rPr>
          <w:rFonts w:ascii="仿宋" w:hAnsi="仿宋" w:eastAsia="仿宋" w:cs="仿宋_GB2312"/>
          <w:color w:val="auto"/>
          <w:sz w:val="24"/>
        </w:rPr>
        <w:t>XX</w:t>
      </w:r>
      <w:r>
        <w:rPr>
          <w:rFonts w:hint="eastAsia" w:ascii="仿宋" w:hAnsi="仿宋" w:eastAsia="仿宋" w:cs="宋体"/>
          <w:color w:val="auto"/>
          <w:sz w:val="24"/>
        </w:rPr>
        <w:t>专用章”与法定名称章具有同等的法律效力，对使用“</w:t>
      </w:r>
      <w:r>
        <w:rPr>
          <w:rFonts w:ascii="仿宋" w:hAnsi="仿宋" w:eastAsia="仿宋" w:cs="仿宋_GB2312"/>
          <w:color w:val="auto"/>
          <w:sz w:val="24"/>
        </w:rPr>
        <w:t>XX</w:t>
      </w:r>
      <w:r>
        <w:rPr>
          <w:rFonts w:hint="eastAsia" w:ascii="仿宋" w:hAnsi="仿宋" w:eastAsia="仿宋" w:cs="宋体"/>
          <w:color w:val="auto"/>
          <w:sz w:val="24"/>
        </w:rPr>
        <w:t>专用章”的行为予以完全承认，并愿意承担相应责任。</w:t>
      </w:r>
      <w:r>
        <w:rPr>
          <w:rFonts w:ascii="仿宋" w:hAnsi="仿宋" w:eastAsia="仿宋" w:cs="宋体"/>
          <w:color w:val="auto"/>
          <w:sz w:val="24"/>
        </w:rPr>
        <w:t xml:space="preserve">   </w:t>
      </w:r>
    </w:p>
    <w:p>
      <w:pPr>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特此说明。</w:t>
      </w: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right="480" w:firstLine="4080" w:firstLineChars="1700"/>
        <w:rPr>
          <w:rFonts w:ascii="仿宋" w:hAnsi="仿宋" w:eastAsia="仿宋" w:cs="宋体"/>
          <w:color w:val="auto"/>
          <w:sz w:val="24"/>
        </w:rPr>
      </w:pPr>
      <w:r>
        <w:rPr>
          <w:rFonts w:hint="eastAsia" w:ascii="仿宋" w:hAnsi="仿宋" w:eastAsia="仿宋" w:cs="宋体"/>
          <w:color w:val="auto"/>
          <w:sz w:val="24"/>
        </w:rPr>
        <w:t>投标单位（法定名称章）：</w:t>
      </w:r>
    </w:p>
    <w:p>
      <w:pPr>
        <w:ind w:right="1440" w:firstLine="494"/>
        <w:jc w:val="center"/>
        <w:rPr>
          <w:rFonts w:ascii="仿宋" w:hAnsi="仿宋" w:eastAsia="仿宋" w:cs="宋体"/>
          <w:color w:val="auto"/>
          <w:sz w:val="24"/>
        </w:rPr>
      </w:pPr>
      <w:r>
        <w:rPr>
          <w:rFonts w:ascii="仿宋" w:hAnsi="仿宋" w:eastAsia="仿宋" w:cs="宋体"/>
          <w:color w:val="auto"/>
          <w:sz w:val="24"/>
        </w:rPr>
        <w:t xml:space="preserve">                              日期：       年     月     日</w:t>
      </w:r>
    </w:p>
    <w:p>
      <w:pPr>
        <w:rPr>
          <w:rFonts w:ascii="仿宋" w:hAnsi="仿宋" w:eastAsia="仿宋" w:cs="宋体"/>
          <w:color w:val="auto"/>
          <w:sz w:val="24"/>
        </w:rPr>
      </w:pPr>
      <w:r>
        <w:rPr>
          <w:rFonts w:hint="eastAsia" w:ascii="仿宋" w:hAnsi="仿宋" w:eastAsia="仿宋" w:cs="宋体"/>
          <w:b/>
          <w:bCs/>
          <w:color w:val="auto"/>
          <w:sz w:val="24"/>
        </w:rPr>
        <w:t>附：</w:t>
      </w:r>
    </w:p>
    <w:p>
      <w:pPr>
        <w:spacing w:line="360" w:lineRule="auto"/>
        <w:rPr>
          <w:rFonts w:ascii="仿宋" w:hAnsi="仿宋" w:eastAsia="仿宋"/>
          <w:bCs/>
          <w:color w:val="auto"/>
          <w:sz w:val="24"/>
        </w:rPr>
      </w:pPr>
      <w:r>
        <w:rPr>
          <w:rFonts w:ascii="仿宋" w:hAnsi="仿宋" w:eastAsia="仿宋"/>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auto"/>
          <w:sz w:val="24"/>
        </w:rPr>
        <w:t>投标单位法定名称章（印模）</w:t>
      </w:r>
      <w:r>
        <w:rPr>
          <w:rFonts w:ascii="仿宋" w:hAnsi="仿宋" w:eastAsia="仿宋" w:cs="宋体"/>
          <w:color w:val="auto"/>
          <w:sz w:val="24"/>
        </w:rPr>
        <w:t xml:space="preserve">                </w:t>
      </w:r>
      <w:r>
        <w:rPr>
          <w:rFonts w:hint="eastAsia" w:ascii="仿宋" w:hAnsi="仿宋" w:eastAsia="仿宋" w:cs="宋体"/>
          <w:color w:val="auto"/>
          <w:sz w:val="24"/>
        </w:rPr>
        <w:t>投标单位“</w:t>
      </w:r>
      <w:r>
        <w:rPr>
          <w:rFonts w:ascii="仿宋" w:hAnsi="仿宋" w:eastAsia="仿宋" w:cs="仿宋_GB2312"/>
          <w:color w:val="auto"/>
          <w:sz w:val="24"/>
        </w:rPr>
        <w:t>XX</w:t>
      </w:r>
      <w:r>
        <w:rPr>
          <w:rFonts w:hint="eastAsia" w:ascii="仿宋" w:hAnsi="仿宋" w:eastAsia="仿宋" w:cs="宋体"/>
          <w:color w:val="auto"/>
          <w:sz w:val="24"/>
        </w:rPr>
        <w:t>专用章”（印模）</w:t>
      </w: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rPr>
          <w:rFonts w:ascii="仿宋" w:hAnsi="仿宋" w:eastAsia="仿宋"/>
          <w:b/>
          <w:color w:val="auto"/>
          <w:spacing w:val="6"/>
          <w:sz w:val="32"/>
          <w:szCs w:val="32"/>
        </w:rPr>
      </w:pPr>
      <w:r>
        <w:rPr>
          <w:rFonts w:hint="eastAsia" w:ascii="仿宋" w:hAnsi="仿宋" w:eastAsia="仿宋"/>
          <w:b/>
          <w:color w:val="auto"/>
          <w:spacing w:val="6"/>
          <w:sz w:val="32"/>
          <w:szCs w:val="32"/>
        </w:rPr>
        <w:br w:type="page"/>
      </w: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5</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p>
    <w:p>
      <w:pPr>
        <w:spacing w:line="360" w:lineRule="auto"/>
        <w:jc w:val="center"/>
        <w:rPr>
          <w:rFonts w:ascii="仿宋" w:hAnsi="仿宋" w:eastAsia="仿宋" w:cs="仿宋_GB2312"/>
          <w:color w:val="auto"/>
          <w:sz w:val="24"/>
          <w:u w:val="single"/>
        </w:rPr>
      </w:pPr>
    </w:p>
    <w:p>
      <w:pPr>
        <w:spacing w:line="360" w:lineRule="auto"/>
        <w:jc w:val="center"/>
        <w:rPr>
          <w:rFonts w:ascii="仿宋_GB2312" w:hAnsi="宋体" w:eastAsia="仿宋_GB2312"/>
          <w:b/>
          <w:color w:val="auto"/>
          <w:sz w:val="32"/>
          <w:szCs w:val="32"/>
        </w:rPr>
      </w:pPr>
      <w:r>
        <w:rPr>
          <w:rFonts w:hint="eastAsia" w:ascii="仿宋_GB2312" w:hAnsi="宋体" w:eastAsia="仿宋_GB2312"/>
          <w:b/>
          <w:color w:val="auto"/>
          <w:sz w:val="32"/>
          <w:szCs w:val="32"/>
        </w:rPr>
        <w:t>中小企业声明函（货物）</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hint="eastAsia" w:ascii="宋体" w:hAnsi="宋体" w:cs="宋体"/>
          <w:color w:val="auto"/>
          <w:sz w:val="24"/>
        </w:rPr>
        <w:t>﹝</w:t>
      </w:r>
      <w:r>
        <w:rPr>
          <w:rFonts w:ascii="仿宋_GB2312" w:hAnsi="宋体" w:eastAsia="仿宋_GB2312"/>
          <w:color w:val="auto"/>
          <w:sz w:val="24"/>
        </w:rPr>
        <w:t>2020</w:t>
      </w:r>
      <w:r>
        <w:rPr>
          <w:rFonts w:hint="eastAsia" w:ascii="宋体" w:hAnsi="宋体" w:cs="宋体"/>
          <w:color w:val="auto"/>
          <w:sz w:val="24"/>
        </w:rPr>
        <w:t>﹞</w:t>
      </w:r>
      <w:r>
        <w:rPr>
          <w:rFonts w:ascii="仿宋_GB2312" w:hAnsi="宋体" w:eastAsia="仿宋_GB2312"/>
          <w:color w:val="auto"/>
          <w:sz w:val="24"/>
        </w:rPr>
        <w:t xml:space="preserve">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lang w:eastAsia="zh-CN"/>
        </w:rPr>
        <w:t>杭州第四中学新湾学校校园网络及综合布线项目</w:t>
      </w:r>
      <w:r>
        <w:rPr>
          <w:rFonts w:ascii="仿宋_GB2312" w:hAnsi="宋体" w:eastAsia="仿宋_GB2312"/>
          <w:color w:val="auto"/>
          <w:sz w:val="24"/>
        </w:rPr>
        <w:t xml:space="preserve"> </w:t>
      </w:r>
      <w:r>
        <w:rPr>
          <w:rFonts w:hint="eastAsia" w:ascii="仿宋_GB2312" w:hAnsi="宋体" w:eastAsia="仿宋_GB2312"/>
          <w:color w:val="auto"/>
          <w:sz w:val="24"/>
        </w:rPr>
        <w:t>采购活动，提供的货物全部由符合政策要求的中小企业制造。相关企业（含联合体中的中小企业、签订分包意向协议的中小企业）的具体情况如下：</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
        <w:gridCol w:w="1408"/>
        <w:gridCol w:w="764"/>
        <w:gridCol w:w="806"/>
        <w:gridCol w:w="1191"/>
        <w:gridCol w:w="1200"/>
        <w:gridCol w:w="1205"/>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序号</w:t>
            </w:r>
          </w:p>
        </w:tc>
        <w:tc>
          <w:tcPr>
            <w:tcW w:w="1408" w:type="dxa"/>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 w:val="18"/>
                <w:szCs w:val="18"/>
                <w:highlight w:val="none"/>
                <w:lang w:bidi="ar"/>
              </w:rPr>
              <w:t>设备名称</w:t>
            </w:r>
          </w:p>
        </w:tc>
        <w:tc>
          <w:tcPr>
            <w:tcW w:w="7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b/>
                <w:bCs/>
                <w:color w:val="auto"/>
                <w:sz w:val="18"/>
                <w:szCs w:val="18"/>
                <w:highlight w:val="none"/>
                <w:lang w:eastAsia="zh-CN"/>
              </w:rPr>
            </w:pPr>
            <w:r>
              <w:rPr>
                <w:rFonts w:hint="eastAsia" w:ascii="宋体" w:hAnsi="宋体" w:eastAsia="宋体" w:cs="宋体"/>
                <w:color w:val="auto"/>
                <w:sz w:val="18"/>
                <w:szCs w:val="18"/>
                <w:highlight w:val="none"/>
              </w:rPr>
              <w:t>属于</w:t>
            </w:r>
            <w:r>
              <w:rPr>
                <w:rFonts w:hint="eastAsia" w:ascii="宋体" w:hAnsi="宋体" w:eastAsia="宋体" w:cs="宋体"/>
                <w:color w:val="auto"/>
                <w:sz w:val="18"/>
                <w:szCs w:val="18"/>
                <w:highlight w:val="none"/>
                <w:lang w:eastAsia="zh-CN"/>
              </w:rPr>
              <w:t>行业</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b/>
                <w:bCs/>
                <w:color w:val="auto"/>
                <w:sz w:val="18"/>
                <w:szCs w:val="18"/>
                <w:highlight w:val="none"/>
                <w:lang w:eastAsia="zh-CN"/>
              </w:rPr>
            </w:pPr>
            <w:r>
              <w:rPr>
                <w:rFonts w:hint="eastAsia" w:ascii="宋体" w:hAnsi="宋体" w:eastAsia="宋体" w:cs="宋体"/>
                <w:color w:val="auto"/>
                <w:w w:val="99"/>
                <w:sz w:val="18"/>
                <w:szCs w:val="18"/>
                <w:highlight w:val="none"/>
              </w:rPr>
              <w:t>制造商</w:t>
            </w:r>
            <w:r>
              <w:rPr>
                <w:rFonts w:hint="eastAsia" w:ascii="宋体" w:hAnsi="宋体" w:eastAsia="宋体" w:cs="宋体"/>
                <w:color w:val="auto"/>
                <w:w w:val="99"/>
                <w:sz w:val="18"/>
                <w:szCs w:val="18"/>
                <w:highlight w:val="none"/>
                <w:lang w:eastAsia="zh-CN"/>
              </w:rPr>
              <w:t>名称</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b/>
                <w:bCs/>
                <w:color w:val="auto"/>
                <w:sz w:val="18"/>
                <w:szCs w:val="18"/>
                <w:highlight w:val="none"/>
              </w:rPr>
            </w:pPr>
            <w:r>
              <w:rPr>
                <w:rFonts w:hint="eastAsia" w:ascii="宋体" w:hAnsi="宋体" w:eastAsia="宋体" w:cs="宋体"/>
                <w:color w:val="auto"/>
                <w:w w:val="99"/>
                <w:sz w:val="18"/>
                <w:szCs w:val="18"/>
                <w:highlight w:val="none"/>
              </w:rPr>
              <w:t>从业人员</w:t>
            </w:r>
            <w:r>
              <w:rPr>
                <w:rFonts w:hint="eastAsia" w:ascii="宋体" w:hAnsi="宋体" w:eastAsia="宋体" w:cs="宋体"/>
                <w:color w:val="auto"/>
                <w:w w:val="99"/>
                <w:sz w:val="18"/>
                <w:szCs w:val="18"/>
                <w:highlight w:val="none"/>
                <w:lang w:eastAsia="zh-CN"/>
              </w:rPr>
              <w:t>（人数）</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b/>
                <w:bCs/>
                <w:color w:val="auto"/>
                <w:sz w:val="18"/>
                <w:szCs w:val="18"/>
                <w:highlight w:val="none"/>
                <w:lang w:eastAsia="zh-CN"/>
              </w:rPr>
            </w:pPr>
            <w:r>
              <w:rPr>
                <w:rFonts w:hint="eastAsia" w:ascii="宋体" w:hAnsi="宋体" w:eastAsia="宋体" w:cs="宋体"/>
                <w:color w:val="auto"/>
                <w:w w:val="99"/>
                <w:sz w:val="18"/>
                <w:szCs w:val="18"/>
                <w:highlight w:val="none"/>
              </w:rPr>
              <w:t>营业收</w:t>
            </w:r>
            <w:r>
              <w:rPr>
                <w:rFonts w:hint="eastAsia" w:ascii="宋体" w:hAnsi="宋体" w:eastAsia="宋体" w:cs="宋体"/>
                <w:color w:val="auto"/>
                <w:sz w:val="18"/>
                <w:szCs w:val="18"/>
                <w:highlight w:val="none"/>
              </w:rPr>
              <w:t>入</w:t>
            </w:r>
            <w:r>
              <w:rPr>
                <w:rFonts w:hint="eastAsia" w:ascii="宋体" w:hAnsi="宋体" w:eastAsia="宋体" w:cs="宋体"/>
                <w:color w:val="auto"/>
                <w:sz w:val="18"/>
                <w:szCs w:val="18"/>
                <w:highlight w:val="none"/>
                <w:lang w:eastAsia="zh-CN"/>
              </w:rPr>
              <w:t>（万元）</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b/>
                <w:bCs/>
                <w:color w:val="auto"/>
                <w:kern w:val="0"/>
                <w:sz w:val="18"/>
                <w:szCs w:val="18"/>
                <w:highlight w:val="none"/>
                <w:lang w:eastAsia="zh-CN" w:bidi="ar"/>
              </w:rPr>
            </w:pPr>
            <w:r>
              <w:rPr>
                <w:rFonts w:hint="eastAsia" w:ascii="宋体" w:hAnsi="宋体" w:eastAsia="宋体" w:cs="宋体"/>
                <w:color w:val="auto"/>
                <w:sz w:val="18"/>
                <w:szCs w:val="18"/>
                <w:highlight w:val="none"/>
              </w:rPr>
              <w:t>资产总额</w:t>
            </w:r>
            <w:r>
              <w:rPr>
                <w:rFonts w:hint="eastAsia" w:ascii="宋体" w:hAnsi="宋体" w:eastAsia="宋体" w:cs="宋体"/>
                <w:color w:val="auto"/>
                <w:sz w:val="18"/>
                <w:szCs w:val="18"/>
                <w:highlight w:val="none"/>
                <w:lang w:eastAsia="zh-CN"/>
              </w:rPr>
              <w:t>（万元）</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color w:val="auto"/>
                <w:sz w:val="18"/>
                <w:szCs w:val="18"/>
                <w:highlight w:val="none"/>
              </w:rPr>
              <w:t>属于</w:t>
            </w:r>
            <w:r>
              <w:rPr>
                <w:rFonts w:hint="eastAsia" w:ascii="宋体" w:hAnsi="宋体" w:eastAsia="宋体" w:cs="宋体"/>
                <w:i/>
                <w:color w:val="auto"/>
                <w:sz w:val="18"/>
                <w:szCs w:val="18"/>
                <w:highlight w:val="none"/>
                <w:u w:val="single"/>
              </w:rPr>
              <w:t>（中型企业、小</w:t>
            </w:r>
            <w:r>
              <w:rPr>
                <w:rFonts w:hint="eastAsia" w:ascii="宋体" w:hAnsi="宋体" w:eastAsia="宋体" w:cs="宋体"/>
                <w:i/>
                <w:color w:val="auto"/>
                <w:w w:val="96"/>
                <w:sz w:val="18"/>
                <w:szCs w:val="18"/>
                <w:highlight w:val="none"/>
                <w:u w:val="single"/>
              </w:rPr>
              <w:t>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auto"/>
                <w:sz w:val="18"/>
                <w:szCs w:val="18"/>
                <w:highlight w:val="none"/>
              </w:rPr>
            </w:pPr>
          </w:p>
        </w:tc>
        <w:tc>
          <w:tcPr>
            <w:tcW w:w="7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工业</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auto"/>
                <w:sz w:val="18"/>
                <w:szCs w:val="18"/>
                <w:highlight w:val="none"/>
              </w:rPr>
            </w:pPr>
          </w:p>
        </w:tc>
        <w:tc>
          <w:tcPr>
            <w:tcW w:w="7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工业</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auto"/>
                <w:sz w:val="18"/>
                <w:szCs w:val="18"/>
                <w:highlight w:val="none"/>
              </w:rPr>
            </w:pPr>
          </w:p>
        </w:tc>
        <w:tc>
          <w:tcPr>
            <w:tcW w:w="7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工业</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auto"/>
                <w:sz w:val="18"/>
                <w:szCs w:val="18"/>
                <w:highlight w:val="none"/>
              </w:rPr>
            </w:pPr>
          </w:p>
        </w:tc>
        <w:tc>
          <w:tcPr>
            <w:tcW w:w="7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工业</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5</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auto"/>
                <w:sz w:val="18"/>
                <w:szCs w:val="18"/>
                <w:highlight w:val="none"/>
              </w:rPr>
            </w:pPr>
          </w:p>
        </w:tc>
        <w:tc>
          <w:tcPr>
            <w:tcW w:w="7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工业</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kern w:val="0"/>
                <w:sz w:val="18"/>
                <w:szCs w:val="18"/>
                <w:highlight w:val="none"/>
                <w:lang w:val="en-US" w:eastAsia="zh-CN" w:bidi="ar"/>
              </w:rPr>
              <w:t>6</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auto"/>
                <w:sz w:val="18"/>
                <w:szCs w:val="18"/>
                <w:highlight w:val="none"/>
              </w:rPr>
            </w:pPr>
          </w:p>
        </w:tc>
        <w:tc>
          <w:tcPr>
            <w:tcW w:w="7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工业</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lang w:val="en-US" w:eastAsia="zh-CN" w:bidi="ar"/>
              </w:rPr>
              <w:t>7</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auto"/>
                <w:sz w:val="18"/>
                <w:szCs w:val="18"/>
                <w:highlight w:val="none"/>
              </w:rPr>
            </w:pPr>
          </w:p>
        </w:tc>
        <w:tc>
          <w:tcPr>
            <w:tcW w:w="7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工业</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kern w:val="0"/>
                <w:sz w:val="18"/>
                <w:szCs w:val="18"/>
                <w:highlight w:val="none"/>
                <w:lang w:val="en-US" w:eastAsia="zh-CN" w:bidi="ar"/>
              </w:rPr>
            </w:pP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auto"/>
                <w:sz w:val="18"/>
                <w:szCs w:val="18"/>
                <w:highlight w:val="none"/>
                <w:lang w:val="en-US" w:eastAsia="zh-CN"/>
              </w:rPr>
            </w:pPr>
            <w:r>
              <w:rPr>
                <w:rFonts w:hint="default" w:ascii="Arial" w:hAnsi="Arial" w:eastAsia="宋体" w:cs="Arial"/>
                <w:color w:val="auto"/>
                <w:sz w:val="18"/>
                <w:szCs w:val="18"/>
                <w:highlight w:val="none"/>
                <w:lang w:val="en-US" w:eastAsia="zh-CN"/>
              </w:rPr>
              <w:t>…</w:t>
            </w:r>
          </w:p>
        </w:tc>
        <w:tc>
          <w:tcPr>
            <w:tcW w:w="7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lang w:eastAsia="zh-CN"/>
              </w:rPr>
            </w:pP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c>
          <w:tcPr>
            <w:tcW w:w="0" w:type="auto"/>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auto"/>
                <w:sz w:val="18"/>
                <w:szCs w:val="18"/>
                <w:highlight w:val="none"/>
              </w:rPr>
            </w:pPr>
          </w:p>
        </w:tc>
      </w:tr>
    </w:tbl>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pacing w:line="360" w:lineRule="auto"/>
        <w:ind w:firstLine="482" w:firstLineChars="200"/>
        <w:jc w:val="left"/>
        <w:rPr>
          <w:rFonts w:hint="eastAsia" w:ascii="仿宋_GB2312" w:hAnsi="宋体" w:eastAsia="仿宋_GB2312"/>
          <w:b/>
          <w:bCs/>
          <w:color w:val="auto"/>
          <w:sz w:val="18"/>
          <w:szCs w:val="18"/>
          <w:u w:val="single"/>
          <w:lang w:eastAsia="zh-CN"/>
        </w:rPr>
      </w:pPr>
      <w:r>
        <w:rPr>
          <w:rFonts w:hint="eastAsia" w:ascii="仿宋_GB2312" w:hAnsi="仿宋" w:eastAsia="仿宋_GB2312" w:cs="Arial"/>
          <w:b/>
          <w:bCs/>
          <w:color w:val="auto"/>
          <w:kern w:val="0"/>
          <w:sz w:val="24"/>
          <w:u w:val="single"/>
        </w:rPr>
        <w:t>中小企业声明函中，每种设备都需要注明设备的制造商，该制造商的从业人员人数，营业收入，资产总额，属于中小企业类别</w:t>
      </w:r>
      <w:r>
        <w:rPr>
          <w:rFonts w:hint="eastAsia" w:ascii="仿宋_GB2312" w:hAnsi="仿宋" w:eastAsia="仿宋_GB2312" w:cs="Arial"/>
          <w:b/>
          <w:bCs/>
          <w:color w:val="auto"/>
          <w:kern w:val="0"/>
          <w:sz w:val="24"/>
          <w:u w:val="single"/>
          <w:lang w:eastAsia="zh-CN"/>
        </w:rPr>
        <w:t>；有缺漏或填写不完整的均视为非</w:t>
      </w:r>
      <w:r>
        <w:rPr>
          <w:rFonts w:hint="eastAsia" w:ascii="仿宋_GB2312" w:hAnsi="仿宋" w:eastAsia="仿宋_GB2312" w:cs="Arial"/>
          <w:b/>
          <w:bCs/>
          <w:color w:val="auto"/>
          <w:kern w:val="0"/>
          <w:sz w:val="24"/>
          <w:u w:val="single"/>
        </w:rPr>
        <w:t>中小企业。只有所有设备制造商属于小微企业的，才享受价格扣除政策</w:t>
      </w:r>
      <w:r>
        <w:rPr>
          <w:rFonts w:hint="eastAsia" w:ascii="仿宋_GB2312" w:hAnsi="仿宋" w:eastAsia="仿宋_GB2312" w:cs="Arial"/>
          <w:b/>
          <w:bCs/>
          <w:color w:val="auto"/>
          <w:kern w:val="0"/>
          <w:sz w:val="24"/>
          <w:u w:val="single"/>
          <w:lang w:eastAsia="zh-CN"/>
        </w:rPr>
        <w:t>。</w:t>
      </w:r>
    </w:p>
    <w:p>
      <w:pPr>
        <w:spacing w:line="360" w:lineRule="auto"/>
        <w:jc w:val="left"/>
        <w:rPr>
          <w:rFonts w:ascii="仿宋_GB2312" w:hAnsi="宋体" w:eastAsia="仿宋_GB2312"/>
          <w:color w:val="auto"/>
          <w:sz w:val="18"/>
          <w:szCs w:val="18"/>
        </w:rPr>
      </w:pPr>
    </w:p>
    <w:p>
      <w:pPr>
        <w:spacing w:line="360" w:lineRule="auto"/>
        <w:jc w:val="left"/>
        <w:rPr>
          <w:rFonts w:ascii="仿宋_GB2312" w:hAnsi="宋体" w:eastAsia="仿宋_GB2312"/>
          <w:color w:val="auto"/>
          <w:sz w:val="18"/>
          <w:szCs w:val="18"/>
        </w:rPr>
      </w:pPr>
      <w:r>
        <w:rPr>
          <w:rFonts w:hint="eastAsia" w:ascii="仿宋_GB2312" w:hAnsi="宋体" w:eastAsia="仿宋_GB2312"/>
          <w:color w:val="auto"/>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br w:type="page"/>
      </w: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中小企业声明函</w:t>
      </w:r>
      <w:r>
        <w:rPr>
          <w:rFonts w:hint="eastAsia" w:ascii="仿宋_GB2312" w:hAnsi="宋体" w:eastAsia="仿宋_GB2312"/>
          <w:b/>
          <w:color w:val="auto"/>
          <w:sz w:val="32"/>
          <w:szCs w:val="32"/>
        </w:rPr>
        <w:t>（工程、服务）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lang w:eastAsia="zh-CN"/>
        </w:rPr>
        <w:t>杭州第四中学新湾学校校园网络及综合布线项目</w:t>
      </w:r>
      <w:r>
        <w:rPr>
          <w:rFonts w:ascii="仿宋_GB2312" w:hAnsi="宋体" w:eastAsia="仿宋_GB2312"/>
          <w:color w:val="auto"/>
          <w:sz w:val="24"/>
        </w:rPr>
        <w:t xml:space="preserve"> </w:t>
      </w:r>
      <w:r>
        <w:rPr>
          <w:rFonts w:hint="eastAsia" w:ascii="仿宋_GB2312" w:hAnsi="宋体" w:eastAsia="仿宋_GB2312"/>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w:t>
      </w:r>
      <w:r>
        <w:rPr>
          <w:rFonts w:hint="eastAsia" w:ascii="仿宋_GB2312" w:hAnsi="宋体" w:eastAsia="仿宋_GB2312"/>
          <w:color w:val="auto"/>
          <w:sz w:val="24"/>
          <w:u w:val="single"/>
          <w:lang w:eastAsia="zh-CN"/>
        </w:rPr>
        <w:t>招标文件</w:t>
      </w:r>
      <w:r>
        <w:rPr>
          <w:rFonts w:hint="eastAsia" w:ascii="仿宋_GB2312" w:hAnsi="宋体" w:eastAsia="仿宋_GB2312"/>
          <w:color w:val="auto"/>
          <w:sz w:val="24"/>
          <w:u w:val="single"/>
        </w:rPr>
        <w:t>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w:t>
      </w:r>
      <w:r>
        <w:rPr>
          <w:rFonts w:hint="eastAsia" w:ascii="仿宋_GB2312" w:hAnsi="宋体" w:eastAsia="仿宋_GB2312"/>
          <w:color w:val="auto"/>
          <w:sz w:val="24"/>
          <w:u w:val="single"/>
          <w:lang w:eastAsia="zh-CN"/>
        </w:rPr>
        <w:t>招标文件</w:t>
      </w:r>
      <w:r>
        <w:rPr>
          <w:rFonts w:hint="eastAsia" w:ascii="仿宋_GB2312" w:hAnsi="宋体" w:eastAsia="仿宋_GB2312"/>
          <w:color w:val="auto"/>
          <w:sz w:val="24"/>
          <w:u w:val="single"/>
        </w:rPr>
        <w:t>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firstLine="310" w:firstLineChars="147"/>
        <w:jc w:val="left"/>
        <w:rPr>
          <w:rFonts w:ascii="仿宋_GB2312" w:hAnsi="宋体" w:eastAsia="仿宋_GB2312"/>
          <w:b/>
          <w:color w:val="auto"/>
          <w:szCs w:val="21"/>
        </w:rPr>
      </w:pPr>
    </w:p>
    <w:p>
      <w:pPr>
        <w:spacing w:line="360" w:lineRule="auto"/>
        <w:ind w:firstLine="310" w:firstLineChars="147"/>
        <w:jc w:val="left"/>
        <w:rPr>
          <w:rFonts w:ascii="仿宋_GB2312" w:hAnsi="宋体" w:eastAsia="仿宋_GB2312"/>
          <w:b/>
          <w:color w:val="auto"/>
          <w:szCs w:val="21"/>
        </w:rPr>
      </w:pPr>
      <w:r>
        <w:rPr>
          <w:rFonts w:hint="eastAsia" w:ascii="仿宋_GB2312" w:hAnsi="宋体" w:eastAsia="仿宋_GB2312"/>
          <w:b/>
          <w:color w:val="auto"/>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rPr>
      </w:pPr>
    </w:p>
    <w:p>
      <w:pPr>
        <w:spacing w:line="360" w:lineRule="auto"/>
        <w:ind w:right="420"/>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pacing w:line="240" w:lineRule="auto"/>
        <w:ind w:right="0"/>
        <w:rPr>
          <w:rFonts w:ascii="仿宋_GB2312" w:hAnsi="仿宋" w:eastAsia="仿宋_GB2312" w:cs="仿宋_GB2312"/>
          <w:color w:val="auto"/>
          <w:sz w:val="24"/>
        </w:rPr>
      </w:pPr>
      <w:r>
        <w:rPr>
          <w:rFonts w:ascii="仿宋_GB2312" w:hAnsi="仿宋" w:eastAsia="仿宋_GB2312" w:cs="仿宋_GB2312"/>
          <w:color w:val="auto"/>
          <w:sz w:val="24"/>
        </w:rPr>
        <w:br w:type="page"/>
      </w:r>
    </w:p>
    <w:p>
      <w:pPr>
        <w:spacing w:line="360" w:lineRule="auto"/>
        <w:ind w:right="420"/>
        <w:rPr>
          <w:rFonts w:ascii="仿宋_GB2312" w:hAnsi="仿宋" w:eastAsia="仿宋_GB2312" w:cs="仿宋_GB2312"/>
          <w:color w:val="auto"/>
          <w:sz w:val="24"/>
        </w:rPr>
      </w:pPr>
      <w:r>
        <w:rPr>
          <w:rFonts w:ascii="仿宋_GB2312" w:hAnsi="仿宋" w:eastAsia="仿宋_GB2312" w:cs="仿宋_GB2312"/>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color w:val="auto"/>
          <w:lang w:val="en-US"/>
        </w:rPr>
      </w:pPr>
    </w:p>
    <w:p>
      <w:pPr>
        <w:spacing w:line="360" w:lineRule="auto"/>
        <w:ind w:right="420"/>
        <w:rPr>
          <w:color w:val="auto"/>
        </w:rPr>
      </w:pPr>
    </w:p>
    <w:p>
      <w:pPr>
        <w:spacing w:line="360" w:lineRule="auto"/>
        <w:rPr>
          <w:rFonts w:ascii="仿宋" w:hAnsi="仿宋" w:eastAsia="仿宋"/>
          <w:bCs/>
          <w:color w:val="auto"/>
          <w:sz w:val="24"/>
        </w:rPr>
      </w:pP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119</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110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119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119</w:t>
    </w:r>
    <w:r>
      <w:rPr>
        <w:rFonts w:hint="eastAsia" w:ascii="仿宋_GB2312" w:eastAsia="仿宋_GB2312"/>
        <w:kern w:val="0"/>
        <w:szCs w:val="21"/>
      </w:rPr>
      <w:fldChar w:fldCharType="end"/>
    </w:r>
    <w:bookmarkStart w:id="557" w:name="_Toc164085800"/>
    <w:bookmarkStart w:id="558" w:name="_Toc131845147"/>
    <w:bookmarkStart w:id="559" w:name="_Toc36110187"/>
    <w:bookmarkStart w:id="560" w:name="_Toc91899912"/>
    <w:r>
      <w:rPr>
        <w:rFonts w:hint="eastAsia" w:ascii="仿宋_GB2312" w:eastAsia="仿宋_GB2312"/>
        <w:kern w:val="0"/>
        <w:szCs w:val="21"/>
      </w:rPr>
      <w:t xml:space="preserve"> 页</w:t>
    </w:r>
    <w:bookmarkEnd w:id="557"/>
    <w:bookmarkEnd w:id="558"/>
    <w:bookmarkEnd w:id="559"/>
    <w:bookmarkEnd w:id="56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69DDE"/>
    <w:multiLevelType w:val="singleLevel"/>
    <w:tmpl w:val="C2A69DDE"/>
    <w:lvl w:ilvl="0" w:tentative="0">
      <w:start w:val="1"/>
      <w:numFmt w:val="chineseCounting"/>
      <w:suff w:val="nothing"/>
      <w:lvlText w:val="%1、"/>
      <w:lvlJc w:val="left"/>
      <w:pPr>
        <w:ind w:left="0" w:firstLine="420"/>
      </w:pPr>
      <w:rPr>
        <w:rFonts w:hint="eastAsia"/>
      </w:rPr>
    </w:lvl>
  </w:abstractNum>
  <w:abstractNum w:abstractNumId="1">
    <w:nsid w:val="CDB3996B"/>
    <w:multiLevelType w:val="singleLevel"/>
    <w:tmpl w:val="CDB3996B"/>
    <w:lvl w:ilvl="0" w:tentative="0">
      <w:start w:val="1"/>
      <w:numFmt w:val="decimal"/>
      <w:suff w:val="nothing"/>
      <w:lvlText w:val="%1、"/>
      <w:lvlJc w:val="left"/>
      <w:pPr>
        <w:ind w:left="420" w:firstLine="0"/>
      </w:pPr>
    </w:lvl>
  </w:abstractNum>
  <w:abstractNum w:abstractNumId="2">
    <w:nsid w:val="D9EC99C5"/>
    <w:multiLevelType w:val="singleLevel"/>
    <w:tmpl w:val="D9EC99C5"/>
    <w:lvl w:ilvl="0" w:tentative="0">
      <w:start w:val="1"/>
      <w:numFmt w:val="decimal"/>
      <w:lvlText w:val="(%1)"/>
      <w:lvlJc w:val="left"/>
      <w:pPr>
        <w:ind w:left="425" w:hanging="425"/>
      </w:pPr>
      <w:rPr>
        <w:rFonts w:hint="default"/>
      </w:rPr>
    </w:lvl>
  </w:abstractNum>
  <w:abstractNum w:abstractNumId="3">
    <w:nsid w:val="28B37505"/>
    <w:multiLevelType w:val="singleLevel"/>
    <w:tmpl w:val="28B37505"/>
    <w:lvl w:ilvl="0" w:tentative="0">
      <w:start w:val="1"/>
      <w:numFmt w:val="decimal"/>
      <w:suff w:val="nothing"/>
      <w:lvlText w:val="（%1）"/>
      <w:lvlJc w:val="left"/>
    </w:lvl>
  </w:abstractNum>
  <w:abstractNum w:abstractNumId="4">
    <w:nsid w:val="2CE3D490"/>
    <w:multiLevelType w:val="singleLevel"/>
    <w:tmpl w:val="2CE3D490"/>
    <w:lvl w:ilvl="0" w:tentative="0">
      <w:start w:val="3"/>
      <w:numFmt w:val="chineseCounting"/>
      <w:suff w:val="nothing"/>
      <w:lvlText w:val="%1）"/>
      <w:lvlJc w:val="left"/>
      <w:rPr>
        <w:rFonts w:hint="eastAsia"/>
      </w:rPr>
    </w:lvl>
  </w:abstractNum>
  <w:abstractNum w:abstractNumId="5">
    <w:nsid w:val="34446DA2"/>
    <w:multiLevelType w:val="singleLevel"/>
    <w:tmpl w:val="34446DA2"/>
    <w:lvl w:ilvl="0" w:tentative="0">
      <w:start w:val="1"/>
      <w:numFmt w:val="decimal"/>
      <w:suff w:val="nothing"/>
      <w:lvlText w:val="%1、"/>
      <w:lvlJc w:val="left"/>
    </w:lvl>
  </w:abstractNum>
  <w:abstractNum w:abstractNumId="6">
    <w:nsid w:val="3CB1DB19"/>
    <w:multiLevelType w:val="singleLevel"/>
    <w:tmpl w:val="3CB1DB19"/>
    <w:lvl w:ilvl="0" w:tentative="0">
      <w:start w:val="4"/>
      <w:numFmt w:val="decimal"/>
      <w:lvlText w:val="%1."/>
      <w:lvlJc w:val="left"/>
      <w:pPr>
        <w:tabs>
          <w:tab w:val="left" w:pos="312"/>
        </w:tabs>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5DC"/>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A97"/>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4F"/>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1FCF"/>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3D61"/>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5DEE"/>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4CA"/>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3AC"/>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2E99"/>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276"/>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04C"/>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48E"/>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1904"/>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53A"/>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0FAC"/>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38"/>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4A8"/>
    <w:rsid w:val="00F906F4"/>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47A59"/>
    <w:rsid w:val="0156177E"/>
    <w:rsid w:val="019F7441"/>
    <w:rsid w:val="01A41C9E"/>
    <w:rsid w:val="01B37585"/>
    <w:rsid w:val="01D55165"/>
    <w:rsid w:val="01DF6BF8"/>
    <w:rsid w:val="01EC2C57"/>
    <w:rsid w:val="02292243"/>
    <w:rsid w:val="02502671"/>
    <w:rsid w:val="026B2E25"/>
    <w:rsid w:val="02824D4D"/>
    <w:rsid w:val="02931E56"/>
    <w:rsid w:val="02B12E0A"/>
    <w:rsid w:val="02C559D7"/>
    <w:rsid w:val="02DC4B10"/>
    <w:rsid w:val="02DD76CE"/>
    <w:rsid w:val="02F36323"/>
    <w:rsid w:val="02F5619C"/>
    <w:rsid w:val="03117649"/>
    <w:rsid w:val="0326446A"/>
    <w:rsid w:val="032D5555"/>
    <w:rsid w:val="03624F89"/>
    <w:rsid w:val="036634D2"/>
    <w:rsid w:val="03A37BC9"/>
    <w:rsid w:val="03B848D9"/>
    <w:rsid w:val="03D66BA6"/>
    <w:rsid w:val="03DD35E4"/>
    <w:rsid w:val="04076900"/>
    <w:rsid w:val="041A5A3B"/>
    <w:rsid w:val="042311BA"/>
    <w:rsid w:val="042B157A"/>
    <w:rsid w:val="04673CA2"/>
    <w:rsid w:val="048F51B7"/>
    <w:rsid w:val="048F763B"/>
    <w:rsid w:val="04925EED"/>
    <w:rsid w:val="049802FF"/>
    <w:rsid w:val="049F330E"/>
    <w:rsid w:val="04AA775C"/>
    <w:rsid w:val="04AB05F1"/>
    <w:rsid w:val="04AF1889"/>
    <w:rsid w:val="04D81085"/>
    <w:rsid w:val="04DD7DB1"/>
    <w:rsid w:val="04E17AB4"/>
    <w:rsid w:val="04F66F48"/>
    <w:rsid w:val="05251E14"/>
    <w:rsid w:val="055F589D"/>
    <w:rsid w:val="05690F92"/>
    <w:rsid w:val="05A16594"/>
    <w:rsid w:val="05A7762D"/>
    <w:rsid w:val="05D709B3"/>
    <w:rsid w:val="05F11A75"/>
    <w:rsid w:val="06036D2F"/>
    <w:rsid w:val="0608414F"/>
    <w:rsid w:val="060E5941"/>
    <w:rsid w:val="06110FAF"/>
    <w:rsid w:val="06493CA7"/>
    <w:rsid w:val="0652248E"/>
    <w:rsid w:val="065A6178"/>
    <w:rsid w:val="066F1CF3"/>
    <w:rsid w:val="06930BB8"/>
    <w:rsid w:val="06D3333F"/>
    <w:rsid w:val="06D373CC"/>
    <w:rsid w:val="06FA3939"/>
    <w:rsid w:val="0708176C"/>
    <w:rsid w:val="07245D42"/>
    <w:rsid w:val="07264C62"/>
    <w:rsid w:val="073D2C3C"/>
    <w:rsid w:val="07757DF4"/>
    <w:rsid w:val="0779354C"/>
    <w:rsid w:val="07E22FE2"/>
    <w:rsid w:val="08061376"/>
    <w:rsid w:val="082223BA"/>
    <w:rsid w:val="08273E74"/>
    <w:rsid w:val="08452D77"/>
    <w:rsid w:val="086401F8"/>
    <w:rsid w:val="08751CAA"/>
    <w:rsid w:val="087A1BF2"/>
    <w:rsid w:val="087E4C40"/>
    <w:rsid w:val="08D66AD6"/>
    <w:rsid w:val="08DA33A3"/>
    <w:rsid w:val="08E80F13"/>
    <w:rsid w:val="090A4A0E"/>
    <w:rsid w:val="09335624"/>
    <w:rsid w:val="0944690F"/>
    <w:rsid w:val="09535675"/>
    <w:rsid w:val="095F057D"/>
    <w:rsid w:val="09642282"/>
    <w:rsid w:val="09733572"/>
    <w:rsid w:val="09772C16"/>
    <w:rsid w:val="098353B5"/>
    <w:rsid w:val="09862078"/>
    <w:rsid w:val="09911D12"/>
    <w:rsid w:val="09A6526C"/>
    <w:rsid w:val="09A92330"/>
    <w:rsid w:val="09B06B87"/>
    <w:rsid w:val="09C13146"/>
    <w:rsid w:val="09DB008B"/>
    <w:rsid w:val="09E04166"/>
    <w:rsid w:val="0A0C0F2A"/>
    <w:rsid w:val="0A1C0718"/>
    <w:rsid w:val="0A27015B"/>
    <w:rsid w:val="0A2B76A7"/>
    <w:rsid w:val="0A31076B"/>
    <w:rsid w:val="0A39591E"/>
    <w:rsid w:val="0A3E7710"/>
    <w:rsid w:val="0A5B7E63"/>
    <w:rsid w:val="0A615CA6"/>
    <w:rsid w:val="0A9114C7"/>
    <w:rsid w:val="0A9C57A3"/>
    <w:rsid w:val="0AA374A5"/>
    <w:rsid w:val="0AAB7649"/>
    <w:rsid w:val="0ABC5606"/>
    <w:rsid w:val="0B156B9A"/>
    <w:rsid w:val="0B30404E"/>
    <w:rsid w:val="0B4C6C14"/>
    <w:rsid w:val="0B5E758A"/>
    <w:rsid w:val="0B5F1DB6"/>
    <w:rsid w:val="0B631A88"/>
    <w:rsid w:val="0B683D45"/>
    <w:rsid w:val="0B7F3F11"/>
    <w:rsid w:val="0B884417"/>
    <w:rsid w:val="0BD924B3"/>
    <w:rsid w:val="0BF6188C"/>
    <w:rsid w:val="0BF73C91"/>
    <w:rsid w:val="0C170175"/>
    <w:rsid w:val="0C390E70"/>
    <w:rsid w:val="0C571A41"/>
    <w:rsid w:val="0C5C1171"/>
    <w:rsid w:val="0C5E1CBC"/>
    <w:rsid w:val="0C615B50"/>
    <w:rsid w:val="0C7476C0"/>
    <w:rsid w:val="0C7D1DA1"/>
    <w:rsid w:val="0C8445DA"/>
    <w:rsid w:val="0C87121B"/>
    <w:rsid w:val="0CC007F7"/>
    <w:rsid w:val="0CF114FB"/>
    <w:rsid w:val="0CF73705"/>
    <w:rsid w:val="0CFE707A"/>
    <w:rsid w:val="0D063BDA"/>
    <w:rsid w:val="0D08375F"/>
    <w:rsid w:val="0D0E07CA"/>
    <w:rsid w:val="0D184CFB"/>
    <w:rsid w:val="0D3D5172"/>
    <w:rsid w:val="0D4A7419"/>
    <w:rsid w:val="0D5648B3"/>
    <w:rsid w:val="0D7A1B05"/>
    <w:rsid w:val="0D7E40CA"/>
    <w:rsid w:val="0D827401"/>
    <w:rsid w:val="0D84094E"/>
    <w:rsid w:val="0D8A00E9"/>
    <w:rsid w:val="0D8D589E"/>
    <w:rsid w:val="0D976AFE"/>
    <w:rsid w:val="0DA01C73"/>
    <w:rsid w:val="0DCC4665"/>
    <w:rsid w:val="0DD63300"/>
    <w:rsid w:val="0DE26837"/>
    <w:rsid w:val="0DEB033A"/>
    <w:rsid w:val="0DF50604"/>
    <w:rsid w:val="0DF702FE"/>
    <w:rsid w:val="0E060E51"/>
    <w:rsid w:val="0E2203A6"/>
    <w:rsid w:val="0E5604B2"/>
    <w:rsid w:val="0E617FDA"/>
    <w:rsid w:val="0E6D5D79"/>
    <w:rsid w:val="0E9C2C46"/>
    <w:rsid w:val="0E9D0089"/>
    <w:rsid w:val="0EA16002"/>
    <w:rsid w:val="0EB803EE"/>
    <w:rsid w:val="0EF94D4B"/>
    <w:rsid w:val="0F4958DC"/>
    <w:rsid w:val="0F515DF7"/>
    <w:rsid w:val="0F596BA8"/>
    <w:rsid w:val="0F6248D2"/>
    <w:rsid w:val="0F693536"/>
    <w:rsid w:val="0F7B0511"/>
    <w:rsid w:val="0F7B76D9"/>
    <w:rsid w:val="0F81030D"/>
    <w:rsid w:val="0F816ACD"/>
    <w:rsid w:val="0F9832DB"/>
    <w:rsid w:val="0FBF3FD2"/>
    <w:rsid w:val="0FBF7FF3"/>
    <w:rsid w:val="0FFA234C"/>
    <w:rsid w:val="1019280C"/>
    <w:rsid w:val="10646583"/>
    <w:rsid w:val="106B68C8"/>
    <w:rsid w:val="107A6F87"/>
    <w:rsid w:val="107D27D1"/>
    <w:rsid w:val="107D4B15"/>
    <w:rsid w:val="108A3C80"/>
    <w:rsid w:val="10BE10ED"/>
    <w:rsid w:val="10C26171"/>
    <w:rsid w:val="10F33360"/>
    <w:rsid w:val="10FC16EA"/>
    <w:rsid w:val="110F1D40"/>
    <w:rsid w:val="111B2954"/>
    <w:rsid w:val="11260656"/>
    <w:rsid w:val="11266F33"/>
    <w:rsid w:val="11575C7F"/>
    <w:rsid w:val="118963A1"/>
    <w:rsid w:val="118A5224"/>
    <w:rsid w:val="11C6522A"/>
    <w:rsid w:val="11E104CC"/>
    <w:rsid w:val="11E20309"/>
    <w:rsid w:val="12255233"/>
    <w:rsid w:val="12530213"/>
    <w:rsid w:val="12614144"/>
    <w:rsid w:val="127723A9"/>
    <w:rsid w:val="12862074"/>
    <w:rsid w:val="12883966"/>
    <w:rsid w:val="129D5809"/>
    <w:rsid w:val="129E45B4"/>
    <w:rsid w:val="12AE58A6"/>
    <w:rsid w:val="12D22C2E"/>
    <w:rsid w:val="12D81596"/>
    <w:rsid w:val="13022984"/>
    <w:rsid w:val="13072A44"/>
    <w:rsid w:val="1340228E"/>
    <w:rsid w:val="134F2AF9"/>
    <w:rsid w:val="135F4BE2"/>
    <w:rsid w:val="138666B5"/>
    <w:rsid w:val="13901116"/>
    <w:rsid w:val="13936861"/>
    <w:rsid w:val="139B1A0A"/>
    <w:rsid w:val="139D25C7"/>
    <w:rsid w:val="13BF3CE4"/>
    <w:rsid w:val="13F804A3"/>
    <w:rsid w:val="13FA068E"/>
    <w:rsid w:val="140C03C2"/>
    <w:rsid w:val="141008D8"/>
    <w:rsid w:val="14125FE6"/>
    <w:rsid w:val="146D271E"/>
    <w:rsid w:val="14982588"/>
    <w:rsid w:val="149A5AD9"/>
    <w:rsid w:val="14A7619D"/>
    <w:rsid w:val="150536C3"/>
    <w:rsid w:val="150C1963"/>
    <w:rsid w:val="151447A0"/>
    <w:rsid w:val="154A6454"/>
    <w:rsid w:val="15762120"/>
    <w:rsid w:val="15D078F9"/>
    <w:rsid w:val="15DA0777"/>
    <w:rsid w:val="16096967"/>
    <w:rsid w:val="165322D8"/>
    <w:rsid w:val="167F76E2"/>
    <w:rsid w:val="16933115"/>
    <w:rsid w:val="1697343C"/>
    <w:rsid w:val="16A8729C"/>
    <w:rsid w:val="16B33777"/>
    <w:rsid w:val="16BC70A7"/>
    <w:rsid w:val="16C6339E"/>
    <w:rsid w:val="16CC6411"/>
    <w:rsid w:val="17062EEA"/>
    <w:rsid w:val="17092D7A"/>
    <w:rsid w:val="172C5003"/>
    <w:rsid w:val="172F2D79"/>
    <w:rsid w:val="17314F46"/>
    <w:rsid w:val="173160E1"/>
    <w:rsid w:val="1751381D"/>
    <w:rsid w:val="17557BEF"/>
    <w:rsid w:val="17731E6B"/>
    <w:rsid w:val="179A1849"/>
    <w:rsid w:val="17B172B6"/>
    <w:rsid w:val="17B52FAD"/>
    <w:rsid w:val="17D349C1"/>
    <w:rsid w:val="17FD0E3A"/>
    <w:rsid w:val="1830729E"/>
    <w:rsid w:val="186500A0"/>
    <w:rsid w:val="1870062C"/>
    <w:rsid w:val="18817102"/>
    <w:rsid w:val="18830A15"/>
    <w:rsid w:val="18852B28"/>
    <w:rsid w:val="188B5321"/>
    <w:rsid w:val="18E11E1D"/>
    <w:rsid w:val="19121FD6"/>
    <w:rsid w:val="19173A91"/>
    <w:rsid w:val="192A144A"/>
    <w:rsid w:val="192E03AA"/>
    <w:rsid w:val="19522F9A"/>
    <w:rsid w:val="19932372"/>
    <w:rsid w:val="19A20DD5"/>
    <w:rsid w:val="19AE03F1"/>
    <w:rsid w:val="1A071A03"/>
    <w:rsid w:val="1A1F16AE"/>
    <w:rsid w:val="1A3B5C77"/>
    <w:rsid w:val="1A8F156D"/>
    <w:rsid w:val="1A984BAD"/>
    <w:rsid w:val="1AB8220E"/>
    <w:rsid w:val="1AD45714"/>
    <w:rsid w:val="1AE4166C"/>
    <w:rsid w:val="1AF06CFB"/>
    <w:rsid w:val="1AF11B8D"/>
    <w:rsid w:val="1B11359C"/>
    <w:rsid w:val="1B2A271F"/>
    <w:rsid w:val="1B530544"/>
    <w:rsid w:val="1B713184"/>
    <w:rsid w:val="1B853E23"/>
    <w:rsid w:val="1BA209CF"/>
    <w:rsid w:val="1BA814F5"/>
    <w:rsid w:val="1BB4777D"/>
    <w:rsid w:val="1BD75AB8"/>
    <w:rsid w:val="1BE05C37"/>
    <w:rsid w:val="1BE304AB"/>
    <w:rsid w:val="1C0459C2"/>
    <w:rsid w:val="1C1B3B4A"/>
    <w:rsid w:val="1C4D1DA9"/>
    <w:rsid w:val="1C617FE7"/>
    <w:rsid w:val="1C88086E"/>
    <w:rsid w:val="1CB05D8E"/>
    <w:rsid w:val="1CE26962"/>
    <w:rsid w:val="1D142F37"/>
    <w:rsid w:val="1D266CE1"/>
    <w:rsid w:val="1D3963AF"/>
    <w:rsid w:val="1D4D7A81"/>
    <w:rsid w:val="1D6A673C"/>
    <w:rsid w:val="1D9247AE"/>
    <w:rsid w:val="1D9A5B6B"/>
    <w:rsid w:val="1DB567EC"/>
    <w:rsid w:val="1DD121FC"/>
    <w:rsid w:val="1DD733A8"/>
    <w:rsid w:val="1DF51A98"/>
    <w:rsid w:val="1E0A723B"/>
    <w:rsid w:val="1E2A40E0"/>
    <w:rsid w:val="1E3D060F"/>
    <w:rsid w:val="1E3F7D2E"/>
    <w:rsid w:val="1E4134E4"/>
    <w:rsid w:val="1E480248"/>
    <w:rsid w:val="1E5062B3"/>
    <w:rsid w:val="1E523514"/>
    <w:rsid w:val="1E5C4699"/>
    <w:rsid w:val="1E714A66"/>
    <w:rsid w:val="1E802593"/>
    <w:rsid w:val="1E9C78F8"/>
    <w:rsid w:val="1EA20F54"/>
    <w:rsid w:val="1EA703CC"/>
    <w:rsid w:val="1EB7330C"/>
    <w:rsid w:val="1ECA6EAF"/>
    <w:rsid w:val="1F0A0FF3"/>
    <w:rsid w:val="1F152820"/>
    <w:rsid w:val="1F176598"/>
    <w:rsid w:val="1F4924CA"/>
    <w:rsid w:val="1F5771FF"/>
    <w:rsid w:val="1F7A2683"/>
    <w:rsid w:val="1FD47FE6"/>
    <w:rsid w:val="1FE65F6B"/>
    <w:rsid w:val="1FE868A9"/>
    <w:rsid w:val="20034907"/>
    <w:rsid w:val="20173E4B"/>
    <w:rsid w:val="201B5C14"/>
    <w:rsid w:val="2020322B"/>
    <w:rsid w:val="2046707A"/>
    <w:rsid w:val="204E48BC"/>
    <w:rsid w:val="208921B3"/>
    <w:rsid w:val="20945E01"/>
    <w:rsid w:val="20973DEB"/>
    <w:rsid w:val="20B26522"/>
    <w:rsid w:val="20B44310"/>
    <w:rsid w:val="211116EB"/>
    <w:rsid w:val="213F14E3"/>
    <w:rsid w:val="216133FC"/>
    <w:rsid w:val="216929AF"/>
    <w:rsid w:val="216962C9"/>
    <w:rsid w:val="21A03F0F"/>
    <w:rsid w:val="21B3420D"/>
    <w:rsid w:val="21D56769"/>
    <w:rsid w:val="21E52EF3"/>
    <w:rsid w:val="21FB5D7B"/>
    <w:rsid w:val="220B1C3D"/>
    <w:rsid w:val="220B1CB9"/>
    <w:rsid w:val="221D1D20"/>
    <w:rsid w:val="22334A87"/>
    <w:rsid w:val="22715FC0"/>
    <w:rsid w:val="22A420D9"/>
    <w:rsid w:val="22BE6801"/>
    <w:rsid w:val="22E83DA8"/>
    <w:rsid w:val="22ED0549"/>
    <w:rsid w:val="233500BF"/>
    <w:rsid w:val="23377FF7"/>
    <w:rsid w:val="235D4796"/>
    <w:rsid w:val="236B425F"/>
    <w:rsid w:val="23836192"/>
    <w:rsid w:val="23901F29"/>
    <w:rsid w:val="239C0061"/>
    <w:rsid w:val="23A40136"/>
    <w:rsid w:val="23A8475F"/>
    <w:rsid w:val="23B90077"/>
    <w:rsid w:val="23B908A4"/>
    <w:rsid w:val="23E95BEF"/>
    <w:rsid w:val="23FD0064"/>
    <w:rsid w:val="242073ED"/>
    <w:rsid w:val="245375B0"/>
    <w:rsid w:val="245E2667"/>
    <w:rsid w:val="24642C0A"/>
    <w:rsid w:val="24B22173"/>
    <w:rsid w:val="24B95AD9"/>
    <w:rsid w:val="24BE24DA"/>
    <w:rsid w:val="24CF5825"/>
    <w:rsid w:val="24D31676"/>
    <w:rsid w:val="24D663E6"/>
    <w:rsid w:val="24D77F2B"/>
    <w:rsid w:val="251C31E3"/>
    <w:rsid w:val="258B00E2"/>
    <w:rsid w:val="25A917A6"/>
    <w:rsid w:val="25B14925"/>
    <w:rsid w:val="25BE27CC"/>
    <w:rsid w:val="25C97C51"/>
    <w:rsid w:val="25F74A5C"/>
    <w:rsid w:val="26030C8B"/>
    <w:rsid w:val="2628662C"/>
    <w:rsid w:val="262D45DE"/>
    <w:rsid w:val="263E3BDF"/>
    <w:rsid w:val="26873123"/>
    <w:rsid w:val="269E134D"/>
    <w:rsid w:val="26A53EF9"/>
    <w:rsid w:val="26A94201"/>
    <w:rsid w:val="26AC274F"/>
    <w:rsid w:val="26F77D8A"/>
    <w:rsid w:val="26FC5414"/>
    <w:rsid w:val="27044A29"/>
    <w:rsid w:val="271D34C8"/>
    <w:rsid w:val="276071A3"/>
    <w:rsid w:val="276142BF"/>
    <w:rsid w:val="27753CFA"/>
    <w:rsid w:val="27783712"/>
    <w:rsid w:val="27907362"/>
    <w:rsid w:val="27985037"/>
    <w:rsid w:val="27A91D58"/>
    <w:rsid w:val="27D07129"/>
    <w:rsid w:val="2808134F"/>
    <w:rsid w:val="281F7264"/>
    <w:rsid w:val="28333E1D"/>
    <w:rsid w:val="28454BD6"/>
    <w:rsid w:val="28455253"/>
    <w:rsid w:val="28491BE5"/>
    <w:rsid w:val="28497C06"/>
    <w:rsid w:val="28551971"/>
    <w:rsid w:val="285B1C53"/>
    <w:rsid w:val="289F7086"/>
    <w:rsid w:val="28B02C6A"/>
    <w:rsid w:val="28C32028"/>
    <w:rsid w:val="28CC490F"/>
    <w:rsid w:val="28DE40AA"/>
    <w:rsid w:val="28ED036A"/>
    <w:rsid w:val="29345E77"/>
    <w:rsid w:val="294C65AD"/>
    <w:rsid w:val="2968714D"/>
    <w:rsid w:val="29806583"/>
    <w:rsid w:val="298B3C4C"/>
    <w:rsid w:val="298C1931"/>
    <w:rsid w:val="299222C3"/>
    <w:rsid w:val="29CE019B"/>
    <w:rsid w:val="29F26D24"/>
    <w:rsid w:val="2A15033F"/>
    <w:rsid w:val="2A1662C1"/>
    <w:rsid w:val="2A1C7367"/>
    <w:rsid w:val="2A2815FA"/>
    <w:rsid w:val="2A3D2C2B"/>
    <w:rsid w:val="2A4E45E1"/>
    <w:rsid w:val="2A52255C"/>
    <w:rsid w:val="2A6D6092"/>
    <w:rsid w:val="2A7D76B4"/>
    <w:rsid w:val="2B437463"/>
    <w:rsid w:val="2B7807EE"/>
    <w:rsid w:val="2B8576F3"/>
    <w:rsid w:val="2BBF00EC"/>
    <w:rsid w:val="2BC37CFD"/>
    <w:rsid w:val="2BD5237F"/>
    <w:rsid w:val="2BE536CE"/>
    <w:rsid w:val="2BE758D9"/>
    <w:rsid w:val="2BF81500"/>
    <w:rsid w:val="2C025EDA"/>
    <w:rsid w:val="2C09049E"/>
    <w:rsid w:val="2C0A653C"/>
    <w:rsid w:val="2C191F85"/>
    <w:rsid w:val="2C98683F"/>
    <w:rsid w:val="2CD64C91"/>
    <w:rsid w:val="2CE82D6F"/>
    <w:rsid w:val="2D256324"/>
    <w:rsid w:val="2D343236"/>
    <w:rsid w:val="2D6578D6"/>
    <w:rsid w:val="2DD15014"/>
    <w:rsid w:val="2DF72DE4"/>
    <w:rsid w:val="2E0220AF"/>
    <w:rsid w:val="2E4B082A"/>
    <w:rsid w:val="2E5D4E86"/>
    <w:rsid w:val="2E5D790B"/>
    <w:rsid w:val="2E6F45D9"/>
    <w:rsid w:val="2E9A3C18"/>
    <w:rsid w:val="2EBB0FEE"/>
    <w:rsid w:val="2EC63002"/>
    <w:rsid w:val="2ECE0708"/>
    <w:rsid w:val="2EE16C20"/>
    <w:rsid w:val="2F00578C"/>
    <w:rsid w:val="2F0A6B38"/>
    <w:rsid w:val="2F807842"/>
    <w:rsid w:val="2F946CCB"/>
    <w:rsid w:val="2FBF32FD"/>
    <w:rsid w:val="2FD25781"/>
    <w:rsid w:val="2FE222AB"/>
    <w:rsid w:val="2FF1216E"/>
    <w:rsid w:val="2FFD7934"/>
    <w:rsid w:val="300125AB"/>
    <w:rsid w:val="3039006F"/>
    <w:rsid w:val="30733ACD"/>
    <w:rsid w:val="308306FC"/>
    <w:rsid w:val="308C3862"/>
    <w:rsid w:val="309379D8"/>
    <w:rsid w:val="30A270F7"/>
    <w:rsid w:val="30DF1478"/>
    <w:rsid w:val="30EC586F"/>
    <w:rsid w:val="317C04DD"/>
    <w:rsid w:val="31971012"/>
    <w:rsid w:val="319C6071"/>
    <w:rsid w:val="31AC537E"/>
    <w:rsid w:val="31E3679B"/>
    <w:rsid w:val="31E732FD"/>
    <w:rsid w:val="31F462C5"/>
    <w:rsid w:val="322E6EE9"/>
    <w:rsid w:val="32517576"/>
    <w:rsid w:val="32BE5C2C"/>
    <w:rsid w:val="32C07FFA"/>
    <w:rsid w:val="32FB6478"/>
    <w:rsid w:val="33254C33"/>
    <w:rsid w:val="33263B3F"/>
    <w:rsid w:val="336963EB"/>
    <w:rsid w:val="33816EEB"/>
    <w:rsid w:val="33B026C0"/>
    <w:rsid w:val="33BF2720"/>
    <w:rsid w:val="33EB55CD"/>
    <w:rsid w:val="33EC4C02"/>
    <w:rsid w:val="340D2360"/>
    <w:rsid w:val="3410665D"/>
    <w:rsid w:val="34211214"/>
    <w:rsid w:val="342E63AB"/>
    <w:rsid w:val="343520A9"/>
    <w:rsid w:val="34525525"/>
    <w:rsid w:val="34950E68"/>
    <w:rsid w:val="34986E94"/>
    <w:rsid w:val="34A42B7B"/>
    <w:rsid w:val="34AF62C9"/>
    <w:rsid w:val="34BF7644"/>
    <w:rsid w:val="34CB4388"/>
    <w:rsid w:val="34FA6E12"/>
    <w:rsid w:val="354E5036"/>
    <w:rsid w:val="358D5588"/>
    <w:rsid w:val="35AA386B"/>
    <w:rsid w:val="35ED6FE7"/>
    <w:rsid w:val="35EF127D"/>
    <w:rsid w:val="35FF348B"/>
    <w:rsid w:val="360709F2"/>
    <w:rsid w:val="363A3B40"/>
    <w:rsid w:val="365302AE"/>
    <w:rsid w:val="36607A0A"/>
    <w:rsid w:val="366E227C"/>
    <w:rsid w:val="366F2E0D"/>
    <w:rsid w:val="367A2117"/>
    <w:rsid w:val="367B6A5C"/>
    <w:rsid w:val="36A74ADA"/>
    <w:rsid w:val="36AD60D5"/>
    <w:rsid w:val="36B224F9"/>
    <w:rsid w:val="36E83F1F"/>
    <w:rsid w:val="36EC0CC9"/>
    <w:rsid w:val="3709636F"/>
    <w:rsid w:val="371122E6"/>
    <w:rsid w:val="371B2546"/>
    <w:rsid w:val="372F1B4E"/>
    <w:rsid w:val="373F410B"/>
    <w:rsid w:val="374B6987"/>
    <w:rsid w:val="377D73C8"/>
    <w:rsid w:val="379D271C"/>
    <w:rsid w:val="37EE7094"/>
    <w:rsid w:val="38045B46"/>
    <w:rsid w:val="38296C89"/>
    <w:rsid w:val="383002EB"/>
    <w:rsid w:val="38586797"/>
    <w:rsid w:val="386053D3"/>
    <w:rsid w:val="38926838"/>
    <w:rsid w:val="38BC0149"/>
    <w:rsid w:val="38D87D1C"/>
    <w:rsid w:val="38FE5DD1"/>
    <w:rsid w:val="39033292"/>
    <w:rsid w:val="39092BF1"/>
    <w:rsid w:val="39636459"/>
    <w:rsid w:val="396B7F6C"/>
    <w:rsid w:val="397320CF"/>
    <w:rsid w:val="39973FE5"/>
    <w:rsid w:val="39AB7BB1"/>
    <w:rsid w:val="39B417A9"/>
    <w:rsid w:val="39FC5695"/>
    <w:rsid w:val="3A006D8E"/>
    <w:rsid w:val="3A244600"/>
    <w:rsid w:val="3A3651E5"/>
    <w:rsid w:val="3A744481"/>
    <w:rsid w:val="3A8C7BEF"/>
    <w:rsid w:val="3A8F49E0"/>
    <w:rsid w:val="3A906246"/>
    <w:rsid w:val="3AAA7E69"/>
    <w:rsid w:val="3AE94D93"/>
    <w:rsid w:val="3B1932E2"/>
    <w:rsid w:val="3B2349B7"/>
    <w:rsid w:val="3B3A1CDA"/>
    <w:rsid w:val="3B5E0734"/>
    <w:rsid w:val="3B616CFF"/>
    <w:rsid w:val="3B6259F6"/>
    <w:rsid w:val="3B976654"/>
    <w:rsid w:val="3BA90120"/>
    <w:rsid w:val="3BC01EFC"/>
    <w:rsid w:val="3BCA786A"/>
    <w:rsid w:val="3BD31E2F"/>
    <w:rsid w:val="3BF15831"/>
    <w:rsid w:val="3BF85CB6"/>
    <w:rsid w:val="3BF97579"/>
    <w:rsid w:val="3C105946"/>
    <w:rsid w:val="3C2022F0"/>
    <w:rsid w:val="3C471448"/>
    <w:rsid w:val="3C5F759A"/>
    <w:rsid w:val="3C6A3D54"/>
    <w:rsid w:val="3C6C525A"/>
    <w:rsid w:val="3CCA0042"/>
    <w:rsid w:val="3CCE23CB"/>
    <w:rsid w:val="3CD17D17"/>
    <w:rsid w:val="3CE533DA"/>
    <w:rsid w:val="3D1C5822"/>
    <w:rsid w:val="3D35166B"/>
    <w:rsid w:val="3D3C7F39"/>
    <w:rsid w:val="3D440F09"/>
    <w:rsid w:val="3D4504A0"/>
    <w:rsid w:val="3D8734BB"/>
    <w:rsid w:val="3D9A11D4"/>
    <w:rsid w:val="3D9A4901"/>
    <w:rsid w:val="3DA16D89"/>
    <w:rsid w:val="3DA364BE"/>
    <w:rsid w:val="3DE041CB"/>
    <w:rsid w:val="3DF17AD8"/>
    <w:rsid w:val="3E0D48F6"/>
    <w:rsid w:val="3E1868B4"/>
    <w:rsid w:val="3E377251"/>
    <w:rsid w:val="3E4203B8"/>
    <w:rsid w:val="3E42664B"/>
    <w:rsid w:val="3E55633E"/>
    <w:rsid w:val="3E5A7334"/>
    <w:rsid w:val="3E7B5D6B"/>
    <w:rsid w:val="3E7E10AE"/>
    <w:rsid w:val="3E843E66"/>
    <w:rsid w:val="3E8F51FE"/>
    <w:rsid w:val="3E926F87"/>
    <w:rsid w:val="3E927592"/>
    <w:rsid w:val="3E9A59DE"/>
    <w:rsid w:val="3EAF4836"/>
    <w:rsid w:val="3EB81455"/>
    <w:rsid w:val="3EC33DFA"/>
    <w:rsid w:val="3F060E16"/>
    <w:rsid w:val="3F1D1096"/>
    <w:rsid w:val="3F2F0234"/>
    <w:rsid w:val="3F464A29"/>
    <w:rsid w:val="3F6363FE"/>
    <w:rsid w:val="3F756B8F"/>
    <w:rsid w:val="3F95482B"/>
    <w:rsid w:val="3FB93E87"/>
    <w:rsid w:val="400242A3"/>
    <w:rsid w:val="401069C0"/>
    <w:rsid w:val="40167D4F"/>
    <w:rsid w:val="4019356B"/>
    <w:rsid w:val="40397614"/>
    <w:rsid w:val="40592157"/>
    <w:rsid w:val="406E1CAE"/>
    <w:rsid w:val="40A0133A"/>
    <w:rsid w:val="40C31A53"/>
    <w:rsid w:val="40C77AEB"/>
    <w:rsid w:val="40FF545D"/>
    <w:rsid w:val="410067C8"/>
    <w:rsid w:val="41355011"/>
    <w:rsid w:val="417871EC"/>
    <w:rsid w:val="418F0D2A"/>
    <w:rsid w:val="419C7ECA"/>
    <w:rsid w:val="41AA395D"/>
    <w:rsid w:val="41D01505"/>
    <w:rsid w:val="41F43261"/>
    <w:rsid w:val="42295B17"/>
    <w:rsid w:val="4230100D"/>
    <w:rsid w:val="42474939"/>
    <w:rsid w:val="424C3C57"/>
    <w:rsid w:val="42613FF3"/>
    <w:rsid w:val="42660D96"/>
    <w:rsid w:val="428667D2"/>
    <w:rsid w:val="42CD1CE0"/>
    <w:rsid w:val="42E1381E"/>
    <w:rsid w:val="42ED6459"/>
    <w:rsid w:val="42F446F5"/>
    <w:rsid w:val="42FE58DD"/>
    <w:rsid w:val="430B7F49"/>
    <w:rsid w:val="43174B3D"/>
    <w:rsid w:val="432D7D97"/>
    <w:rsid w:val="434B790E"/>
    <w:rsid w:val="4360274F"/>
    <w:rsid w:val="4391606A"/>
    <w:rsid w:val="43977AB6"/>
    <w:rsid w:val="43A23DD3"/>
    <w:rsid w:val="43A3342B"/>
    <w:rsid w:val="43B86640"/>
    <w:rsid w:val="43C77C27"/>
    <w:rsid w:val="43DE09EE"/>
    <w:rsid w:val="44002FAD"/>
    <w:rsid w:val="444C1F91"/>
    <w:rsid w:val="445F0B62"/>
    <w:rsid w:val="449101DD"/>
    <w:rsid w:val="449A0364"/>
    <w:rsid w:val="44A70634"/>
    <w:rsid w:val="44DE1391"/>
    <w:rsid w:val="45127DA6"/>
    <w:rsid w:val="451B225C"/>
    <w:rsid w:val="452410C9"/>
    <w:rsid w:val="45317DFB"/>
    <w:rsid w:val="456C0F7F"/>
    <w:rsid w:val="456D3CE4"/>
    <w:rsid w:val="4579042C"/>
    <w:rsid w:val="457F0571"/>
    <w:rsid w:val="45851176"/>
    <w:rsid w:val="45A24498"/>
    <w:rsid w:val="45C63B94"/>
    <w:rsid w:val="460E7DA5"/>
    <w:rsid w:val="462F56C6"/>
    <w:rsid w:val="46333408"/>
    <w:rsid w:val="46422483"/>
    <w:rsid w:val="4659254A"/>
    <w:rsid w:val="465B0637"/>
    <w:rsid w:val="465E3F0D"/>
    <w:rsid w:val="466A16E6"/>
    <w:rsid w:val="46893F2B"/>
    <w:rsid w:val="46C4686E"/>
    <w:rsid w:val="470D5A07"/>
    <w:rsid w:val="47174AD8"/>
    <w:rsid w:val="473A375A"/>
    <w:rsid w:val="475A49C5"/>
    <w:rsid w:val="477B778F"/>
    <w:rsid w:val="477D20A4"/>
    <w:rsid w:val="478203EC"/>
    <w:rsid w:val="47841A42"/>
    <w:rsid w:val="47AD2C6C"/>
    <w:rsid w:val="47B025FA"/>
    <w:rsid w:val="47C15863"/>
    <w:rsid w:val="47D14C87"/>
    <w:rsid w:val="4809698F"/>
    <w:rsid w:val="48114A0D"/>
    <w:rsid w:val="4811697D"/>
    <w:rsid w:val="481827E8"/>
    <w:rsid w:val="487A3E25"/>
    <w:rsid w:val="488B5503"/>
    <w:rsid w:val="48937E21"/>
    <w:rsid w:val="489A0361"/>
    <w:rsid w:val="48B1094E"/>
    <w:rsid w:val="48B94FF3"/>
    <w:rsid w:val="48C87DEC"/>
    <w:rsid w:val="48E37AAB"/>
    <w:rsid w:val="48FD4B4C"/>
    <w:rsid w:val="490A68E0"/>
    <w:rsid w:val="491055FE"/>
    <w:rsid w:val="49112E8B"/>
    <w:rsid w:val="4941408E"/>
    <w:rsid w:val="495F5B3E"/>
    <w:rsid w:val="496F77D7"/>
    <w:rsid w:val="49753D38"/>
    <w:rsid w:val="497654FD"/>
    <w:rsid w:val="49B64211"/>
    <w:rsid w:val="49D5623E"/>
    <w:rsid w:val="49F6167F"/>
    <w:rsid w:val="49FE0DA4"/>
    <w:rsid w:val="4A064FA0"/>
    <w:rsid w:val="4A160FF5"/>
    <w:rsid w:val="4A16615C"/>
    <w:rsid w:val="4A2D4630"/>
    <w:rsid w:val="4A4424D7"/>
    <w:rsid w:val="4A471230"/>
    <w:rsid w:val="4A8C6BDB"/>
    <w:rsid w:val="4AB82D0F"/>
    <w:rsid w:val="4AD61C2E"/>
    <w:rsid w:val="4AEB7664"/>
    <w:rsid w:val="4AFD7C19"/>
    <w:rsid w:val="4B0567D1"/>
    <w:rsid w:val="4B075FB9"/>
    <w:rsid w:val="4B0C3CFC"/>
    <w:rsid w:val="4B236AAE"/>
    <w:rsid w:val="4B3D1373"/>
    <w:rsid w:val="4B606CD6"/>
    <w:rsid w:val="4B707271"/>
    <w:rsid w:val="4B9739F7"/>
    <w:rsid w:val="4BD6230A"/>
    <w:rsid w:val="4BEE2503"/>
    <w:rsid w:val="4C090196"/>
    <w:rsid w:val="4C151729"/>
    <w:rsid w:val="4C245A30"/>
    <w:rsid w:val="4C455E2F"/>
    <w:rsid w:val="4C911270"/>
    <w:rsid w:val="4CB32F8E"/>
    <w:rsid w:val="4CB6685F"/>
    <w:rsid w:val="4CC367FE"/>
    <w:rsid w:val="4CD67ABD"/>
    <w:rsid w:val="4CE71027"/>
    <w:rsid w:val="4D077F3C"/>
    <w:rsid w:val="4D0B7988"/>
    <w:rsid w:val="4D123355"/>
    <w:rsid w:val="4D2A3B31"/>
    <w:rsid w:val="4D312C52"/>
    <w:rsid w:val="4D4B4AF5"/>
    <w:rsid w:val="4D6A028E"/>
    <w:rsid w:val="4D905305"/>
    <w:rsid w:val="4D907392"/>
    <w:rsid w:val="4D964A72"/>
    <w:rsid w:val="4D9C1254"/>
    <w:rsid w:val="4DA02890"/>
    <w:rsid w:val="4DCB4D33"/>
    <w:rsid w:val="4DDF7D0B"/>
    <w:rsid w:val="4E2A5615"/>
    <w:rsid w:val="4E75677C"/>
    <w:rsid w:val="4E793892"/>
    <w:rsid w:val="4E800872"/>
    <w:rsid w:val="4E985C9F"/>
    <w:rsid w:val="4E9E163B"/>
    <w:rsid w:val="4EAF63C9"/>
    <w:rsid w:val="4EC569ED"/>
    <w:rsid w:val="4ECE2EEB"/>
    <w:rsid w:val="4ED50EA1"/>
    <w:rsid w:val="4EEC050C"/>
    <w:rsid w:val="4F0516BA"/>
    <w:rsid w:val="4F104EC3"/>
    <w:rsid w:val="4F195165"/>
    <w:rsid w:val="4F290B44"/>
    <w:rsid w:val="4F47354A"/>
    <w:rsid w:val="4F560397"/>
    <w:rsid w:val="4F756840"/>
    <w:rsid w:val="4F911C54"/>
    <w:rsid w:val="4FE625E0"/>
    <w:rsid w:val="50084580"/>
    <w:rsid w:val="5021480F"/>
    <w:rsid w:val="504832C1"/>
    <w:rsid w:val="5058252E"/>
    <w:rsid w:val="507E08BE"/>
    <w:rsid w:val="50962ECB"/>
    <w:rsid w:val="50A42E38"/>
    <w:rsid w:val="50A4577F"/>
    <w:rsid w:val="50B73D1F"/>
    <w:rsid w:val="50BD5BC9"/>
    <w:rsid w:val="50C11EEE"/>
    <w:rsid w:val="50DD469C"/>
    <w:rsid w:val="50E97CFC"/>
    <w:rsid w:val="50F87728"/>
    <w:rsid w:val="50FA4028"/>
    <w:rsid w:val="510D65B7"/>
    <w:rsid w:val="511157AB"/>
    <w:rsid w:val="511A36B0"/>
    <w:rsid w:val="5142540C"/>
    <w:rsid w:val="515457AD"/>
    <w:rsid w:val="516232F9"/>
    <w:rsid w:val="517B2107"/>
    <w:rsid w:val="518832C8"/>
    <w:rsid w:val="518A6A6A"/>
    <w:rsid w:val="51A0432A"/>
    <w:rsid w:val="51A86090"/>
    <w:rsid w:val="51B7396D"/>
    <w:rsid w:val="51C650B7"/>
    <w:rsid w:val="522E4CC3"/>
    <w:rsid w:val="5244713B"/>
    <w:rsid w:val="5245419A"/>
    <w:rsid w:val="52615633"/>
    <w:rsid w:val="52667E7D"/>
    <w:rsid w:val="52977FD4"/>
    <w:rsid w:val="529F6D0C"/>
    <w:rsid w:val="52A25790"/>
    <w:rsid w:val="52A96B6F"/>
    <w:rsid w:val="52AF2B74"/>
    <w:rsid w:val="52B45975"/>
    <w:rsid w:val="52D94AA4"/>
    <w:rsid w:val="52EA3A62"/>
    <w:rsid w:val="52EC506B"/>
    <w:rsid w:val="52F50BB8"/>
    <w:rsid w:val="53097272"/>
    <w:rsid w:val="53293B36"/>
    <w:rsid w:val="53544462"/>
    <w:rsid w:val="5375174B"/>
    <w:rsid w:val="5397158E"/>
    <w:rsid w:val="53C31853"/>
    <w:rsid w:val="54013861"/>
    <w:rsid w:val="54241A7F"/>
    <w:rsid w:val="54487265"/>
    <w:rsid w:val="544D6070"/>
    <w:rsid w:val="545C1D7C"/>
    <w:rsid w:val="54605E1E"/>
    <w:rsid w:val="54B3506A"/>
    <w:rsid w:val="54CA0D16"/>
    <w:rsid w:val="54DD4057"/>
    <w:rsid w:val="54E7490F"/>
    <w:rsid w:val="54F16968"/>
    <w:rsid w:val="54FA611B"/>
    <w:rsid w:val="550764A4"/>
    <w:rsid w:val="550B2BF6"/>
    <w:rsid w:val="552010D5"/>
    <w:rsid w:val="55214EB5"/>
    <w:rsid w:val="55364EFD"/>
    <w:rsid w:val="554051FA"/>
    <w:rsid w:val="55456CB4"/>
    <w:rsid w:val="555A0DDC"/>
    <w:rsid w:val="555D4828"/>
    <w:rsid w:val="555F7C09"/>
    <w:rsid w:val="557A4C8B"/>
    <w:rsid w:val="558931E1"/>
    <w:rsid w:val="55923347"/>
    <w:rsid w:val="55925180"/>
    <w:rsid w:val="55942830"/>
    <w:rsid w:val="55945DCF"/>
    <w:rsid w:val="55983B1B"/>
    <w:rsid w:val="55A8376B"/>
    <w:rsid w:val="55D32EED"/>
    <w:rsid w:val="55DC29B6"/>
    <w:rsid w:val="55DD4241"/>
    <w:rsid w:val="55E70D0E"/>
    <w:rsid w:val="55F73C2C"/>
    <w:rsid w:val="560E566E"/>
    <w:rsid w:val="564B654C"/>
    <w:rsid w:val="56625644"/>
    <w:rsid w:val="566B6D1E"/>
    <w:rsid w:val="56805672"/>
    <w:rsid w:val="56A10AB3"/>
    <w:rsid w:val="56C96553"/>
    <w:rsid w:val="56E15755"/>
    <w:rsid w:val="56EF512A"/>
    <w:rsid w:val="56F20776"/>
    <w:rsid w:val="56FE6BB5"/>
    <w:rsid w:val="57032A2C"/>
    <w:rsid w:val="570F5219"/>
    <w:rsid w:val="575D12B5"/>
    <w:rsid w:val="57610A87"/>
    <w:rsid w:val="577B1140"/>
    <w:rsid w:val="577B7F21"/>
    <w:rsid w:val="577F181B"/>
    <w:rsid w:val="57921984"/>
    <w:rsid w:val="579737F0"/>
    <w:rsid w:val="579B705F"/>
    <w:rsid w:val="57AB7B30"/>
    <w:rsid w:val="57AF5251"/>
    <w:rsid w:val="57B26373"/>
    <w:rsid w:val="57B63F04"/>
    <w:rsid w:val="57BF6CE2"/>
    <w:rsid w:val="57CD20C2"/>
    <w:rsid w:val="57D675AB"/>
    <w:rsid w:val="57D95FDD"/>
    <w:rsid w:val="580619A4"/>
    <w:rsid w:val="583E2CB1"/>
    <w:rsid w:val="58792A56"/>
    <w:rsid w:val="58917D2F"/>
    <w:rsid w:val="5894085C"/>
    <w:rsid w:val="58AE4F0C"/>
    <w:rsid w:val="58B85899"/>
    <w:rsid w:val="58E363A9"/>
    <w:rsid w:val="59396B30"/>
    <w:rsid w:val="594867E1"/>
    <w:rsid w:val="595C45CC"/>
    <w:rsid w:val="595E1678"/>
    <w:rsid w:val="596D5BD4"/>
    <w:rsid w:val="597614C6"/>
    <w:rsid w:val="597E3DD8"/>
    <w:rsid w:val="598A51FE"/>
    <w:rsid w:val="59926240"/>
    <w:rsid w:val="599A24BF"/>
    <w:rsid w:val="59BA1FB3"/>
    <w:rsid w:val="59ED0F25"/>
    <w:rsid w:val="59F80043"/>
    <w:rsid w:val="5A09252F"/>
    <w:rsid w:val="5A0B2778"/>
    <w:rsid w:val="5A2A7C7B"/>
    <w:rsid w:val="5A3E2560"/>
    <w:rsid w:val="5A5D3B6E"/>
    <w:rsid w:val="5A637A76"/>
    <w:rsid w:val="5A645341"/>
    <w:rsid w:val="5A6D33BA"/>
    <w:rsid w:val="5A792B1F"/>
    <w:rsid w:val="5A874767"/>
    <w:rsid w:val="5AAD6F28"/>
    <w:rsid w:val="5AD128FB"/>
    <w:rsid w:val="5AD63A24"/>
    <w:rsid w:val="5B1433B1"/>
    <w:rsid w:val="5B2E1A1D"/>
    <w:rsid w:val="5B843A1C"/>
    <w:rsid w:val="5B873E3F"/>
    <w:rsid w:val="5BAA161F"/>
    <w:rsid w:val="5C02690E"/>
    <w:rsid w:val="5C0C22DA"/>
    <w:rsid w:val="5C196DA7"/>
    <w:rsid w:val="5C2A048C"/>
    <w:rsid w:val="5C60311E"/>
    <w:rsid w:val="5C80234E"/>
    <w:rsid w:val="5C8A680C"/>
    <w:rsid w:val="5C961BA3"/>
    <w:rsid w:val="5CD6287B"/>
    <w:rsid w:val="5D0000CA"/>
    <w:rsid w:val="5D0C4701"/>
    <w:rsid w:val="5D0F0395"/>
    <w:rsid w:val="5D221076"/>
    <w:rsid w:val="5D397964"/>
    <w:rsid w:val="5D417D61"/>
    <w:rsid w:val="5D46181B"/>
    <w:rsid w:val="5D5A391C"/>
    <w:rsid w:val="5D5F10C0"/>
    <w:rsid w:val="5D665A1A"/>
    <w:rsid w:val="5D891B7B"/>
    <w:rsid w:val="5D8F1753"/>
    <w:rsid w:val="5DAD38EE"/>
    <w:rsid w:val="5DBA281D"/>
    <w:rsid w:val="5DC87D5F"/>
    <w:rsid w:val="5DE468ED"/>
    <w:rsid w:val="5DE66B5A"/>
    <w:rsid w:val="5DEF1EB3"/>
    <w:rsid w:val="5E006862"/>
    <w:rsid w:val="5E0207B9"/>
    <w:rsid w:val="5E0F55F4"/>
    <w:rsid w:val="5E1834A1"/>
    <w:rsid w:val="5E261785"/>
    <w:rsid w:val="5E4A7017"/>
    <w:rsid w:val="5E552BBA"/>
    <w:rsid w:val="5E611C10"/>
    <w:rsid w:val="5E6C52B2"/>
    <w:rsid w:val="5E7B1421"/>
    <w:rsid w:val="5E84188B"/>
    <w:rsid w:val="5EBA5DA1"/>
    <w:rsid w:val="5EDA66BF"/>
    <w:rsid w:val="5EF7101F"/>
    <w:rsid w:val="5EFC7377"/>
    <w:rsid w:val="5F06174D"/>
    <w:rsid w:val="5F304818"/>
    <w:rsid w:val="5F3A3602"/>
    <w:rsid w:val="5F6277C6"/>
    <w:rsid w:val="5F6D0B1D"/>
    <w:rsid w:val="5F791191"/>
    <w:rsid w:val="5F7E172D"/>
    <w:rsid w:val="5F80208F"/>
    <w:rsid w:val="5F8D0B82"/>
    <w:rsid w:val="5FAD5B82"/>
    <w:rsid w:val="5FCB6008"/>
    <w:rsid w:val="5FCC5339"/>
    <w:rsid w:val="5FE34A5B"/>
    <w:rsid w:val="5FFE1E36"/>
    <w:rsid w:val="60232584"/>
    <w:rsid w:val="602A5424"/>
    <w:rsid w:val="607330CE"/>
    <w:rsid w:val="60825176"/>
    <w:rsid w:val="609F196E"/>
    <w:rsid w:val="609F2AC4"/>
    <w:rsid w:val="60B6140E"/>
    <w:rsid w:val="60D77471"/>
    <w:rsid w:val="60FA2EE8"/>
    <w:rsid w:val="61001944"/>
    <w:rsid w:val="61054A27"/>
    <w:rsid w:val="610A52BC"/>
    <w:rsid w:val="611D2366"/>
    <w:rsid w:val="61421856"/>
    <w:rsid w:val="615227C4"/>
    <w:rsid w:val="61654E3F"/>
    <w:rsid w:val="6171498D"/>
    <w:rsid w:val="6182292A"/>
    <w:rsid w:val="61903065"/>
    <w:rsid w:val="619F7F92"/>
    <w:rsid w:val="61B4476C"/>
    <w:rsid w:val="61E17D65"/>
    <w:rsid w:val="61F94C26"/>
    <w:rsid w:val="62000E56"/>
    <w:rsid w:val="624F3E49"/>
    <w:rsid w:val="62632286"/>
    <w:rsid w:val="62885958"/>
    <w:rsid w:val="629073DF"/>
    <w:rsid w:val="6296078B"/>
    <w:rsid w:val="62A414BE"/>
    <w:rsid w:val="62AE40EB"/>
    <w:rsid w:val="62EF200D"/>
    <w:rsid w:val="62F40B65"/>
    <w:rsid w:val="62FC2CFE"/>
    <w:rsid w:val="63024505"/>
    <w:rsid w:val="63241D3C"/>
    <w:rsid w:val="635B1DB5"/>
    <w:rsid w:val="636664A7"/>
    <w:rsid w:val="63711FED"/>
    <w:rsid w:val="63880DDC"/>
    <w:rsid w:val="638D750D"/>
    <w:rsid w:val="63A728E8"/>
    <w:rsid w:val="63AC6CC0"/>
    <w:rsid w:val="63AC7EFE"/>
    <w:rsid w:val="63BC3520"/>
    <w:rsid w:val="63DE4777"/>
    <w:rsid w:val="64055776"/>
    <w:rsid w:val="64240056"/>
    <w:rsid w:val="643E143A"/>
    <w:rsid w:val="644427D8"/>
    <w:rsid w:val="647C3D75"/>
    <w:rsid w:val="648B6EEF"/>
    <w:rsid w:val="64C158BF"/>
    <w:rsid w:val="64CE2EAA"/>
    <w:rsid w:val="653C3090"/>
    <w:rsid w:val="65854376"/>
    <w:rsid w:val="658767BE"/>
    <w:rsid w:val="65892531"/>
    <w:rsid w:val="66195831"/>
    <w:rsid w:val="66293A88"/>
    <w:rsid w:val="662E75B1"/>
    <w:rsid w:val="66342C2E"/>
    <w:rsid w:val="663E784C"/>
    <w:rsid w:val="666F0C16"/>
    <w:rsid w:val="6687662E"/>
    <w:rsid w:val="668B6A45"/>
    <w:rsid w:val="66955A73"/>
    <w:rsid w:val="66A575B3"/>
    <w:rsid w:val="66C177C5"/>
    <w:rsid w:val="66F612F8"/>
    <w:rsid w:val="671D183F"/>
    <w:rsid w:val="672F3F24"/>
    <w:rsid w:val="673E055F"/>
    <w:rsid w:val="6752767C"/>
    <w:rsid w:val="67551CE3"/>
    <w:rsid w:val="67775A10"/>
    <w:rsid w:val="678B49AC"/>
    <w:rsid w:val="678E0B8C"/>
    <w:rsid w:val="679B2764"/>
    <w:rsid w:val="67A22552"/>
    <w:rsid w:val="67B22DCC"/>
    <w:rsid w:val="67BE71AA"/>
    <w:rsid w:val="67CA73AD"/>
    <w:rsid w:val="67D90273"/>
    <w:rsid w:val="67DE5875"/>
    <w:rsid w:val="67E55852"/>
    <w:rsid w:val="67EB1AB4"/>
    <w:rsid w:val="67FA1285"/>
    <w:rsid w:val="681F0645"/>
    <w:rsid w:val="682B7F8C"/>
    <w:rsid w:val="68551F4F"/>
    <w:rsid w:val="687C10C9"/>
    <w:rsid w:val="68840C16"/>
    <w:rsid w:val="68876EFB"/>
    <w:rsid w:val="68884654"/>
    <w:rsid w:val="689F444F"/>
    <w:rsid w:val="68A42692"/>
    <w:rsid w:val="68B96DBB"/>
    <w:rsid w:val="68CA2805"/>
    <w:rsid w:val="68D66051"/>
    <w:rsid w:val="68DF3C2B"/>
    <w:rsid w:val="68E937A3"/>
    <w:rsid w:val="692C7B17"/>
    <w:rsid w:val="693E15D3"/>
    <w:rsid w:val="694B7F95"/>
    <w:rsid w:val="69627681"/>
    <w:rsid w:val="69764841"/>
    <w:rsid w:val="6977531D"/>
    <w:rsid w:val="69CC2BFF"/>
    <w:rsid w:val="69FD55B8"/>
    <w:rsid w:val="6A0B1C62"/>
    <w:rsid w:val="6A2406C8"/>
    <w:rsid w:val="6A325601"/>
    <w:rsid w:val="6A4B221F"/>
    <w:rsid w:val="6A582B8E"/>
    <w:rsid w:val="6A6A2960"/>
    <w:rsid w:val="6A815C41"/>
    <w:rsid w:val="6A883694"/>
    <w:rsid w:val="6AC917D7"/>
    <w:rsid w:val="6ADE0BD1"/>
    <w:rsid w:val="6AE96859"/>
    <w:rsid w:val="6AF26B3F"/>
    <w:rsid w:val="6B015FC4"/>
    <w:rsid w:val="6B0C45F1"/>
    <w:rsid w:val="6B147746"/>
    <w:rsid w:val="6B160A7F"/>
    <w:rsid w:val="6B24787C"/>
    <w:rsid w:val="6B3213BD"/>
    <w:rsid w:val="6B573233"/>
    <w:rsid w:val="6B5B166D"/>
    <w:rsid w:val="6B5B6274"/>
    <w:rsid w:val="6B861C08"/>
    <w:rsid w:val="6B935D53"/>
    <w:rsid w:val="6BFB58D2"/>
    <w:rsid w:val="6C0B5C57"/>
    <w:rsid w:val="6C196F71"/>
    <w:rsid w:val="6C226FCB"/>
    <w:rsid w:val="6C31226F"/>
    <w:rsid w:val="6C552F0B"/>
    <w:rsid w:val="6C757A27"/>
    <w:rsid w:val="6C8C67B7"/>
    <w:rsid w:val="6C9D744C"/>
    <w:rsid w:val="6D167928"/>
    <w:rsid w:val="6D22638E"/>
    <w:rsid w:val="6D26299B"/>
    <w:rsid w:val="6D4772EC"/>
    <w:rsid w:val="6D837F14"/>
    <w:rsid w:val="6D9078AF"/>
    <w:rsid w:val="6DAA3FEF"/>
    <w:rsid w:val="6DC0172B"/>
    <w:rsid w:val="6DCB690C"/>
    <w:rsid w:val="6DD41A5B"/>
    <w:rsid w:val="6DD903BA"/>
    <w:rsid w:val="6DF43C2E"/>
    <w:rsid w:val="6DF51CA3"/>
    <w:rsid w:val="6DFB706A"/>
    <w:rsid w:val="6E207854"/>
    <w:rsid w:val="6E2A4841"/>
    <w:rsid w:val="6E421B8B"/>
    <w:rsid w:val="6E4249D7"/>
    <w:rsid w:val="6E8335BD"/>
    <w:rsid w:val="6E8E12EF"/>
    <w:rsid w:val="6E972936"/>
    <w:rsid w:val="6ED446C5"/>
    <w:rsid w:val="6EED7D9E"/>
    <w:rsid w:val="6F2A7D94"/>
    <w:rsid w:val="6F574DFD"/>
    <w:rsid w:val="6F8064AA"/>
    <w:rsid w:val="6F8331F1"/>
    <w:rsid w:val="6F8C7A54"/>
    <w:rsid w:val="6FAE1A09"/>
    <w:rsid w:val="6FBE5DE9"/>
    <w:rsid w:val="6FD75BF8"/>
    <w:rsid w:val="6FD772B6"/>
    <w:rsid w:val="6FFD41A8"/>
    <w:rsid w:val="70074E3A"/>
    <w:rsid w:val="70156034"/>
    <w:rsid w:val="702E0619"/>
    <w:rsid w:val="707723D0"/>
    <w:rsid w:val="70775271"/>
    <w:rsid w:val="70E21403"/>
    <w:rsid w:val="70E8035E"/>
    <w:rsid w:val="70E951A3"/>
    <w:rsid w:val="70EB02B8"/>
    <w:rsid w:val="70F5661B"/>
    <w:rsid w:val="71123A97"/>
    <w:rsid w:val="711B4938"/>
    <w:rsid w:val="71211F2C"/>
    <w:rsid w:val="71360107"/>
    <w:rsid w:val="713A2FED"/>
    <w:rsid w:val="713B688E"/>
    <w:rsid w:val="71506BA0"/>
    <w:rsid w:val="717E2EDA"/>
    <w:rsid w:val="718D136F"/>
    <w:rsid w:val="71A212BE"/>
    <w:rsid w:val="71D43752"/>
    <w:rsid w:val="71F1796A"/>
    <w:rsid w:val="72154626"/>
    <w:rsid w:val="721D6B97"/>
    <w:rsid w:val="72262B5D"/>
    <w:rsid w:val="72283FF7"/>
    <w:rsid w:val="722E7212"/>
    <w:rsid w:val="72324F6F"/>
    <w:rsid w:val="723A0474"/>
    <w:rsid w:val="725923E4"/>
    <w:rsid w:val="72844B2C"/>
    <w:rsid w:val="72864BF7"/>
    <w:rsid w:val="729023FC"/>
    <w:rsid w:val="729809DA"/>
    <w:rsid w:val="73171E04"/>
    <w:rsid w:val="73C0646E"/>
    <w:rsid w:val="740B6EE0"/>
    <w:rsid w:val="742222F5"/>
    <w:rsid w:val="74476126"/>
    <w:rsid w:val="7455379E"/>
    <w:rsid w:val="745B4602"/>
    <w:rsid w:val="745D43B8"/>
    <w:rsid w:val="74706664"/>
    <w:rsid w:val="747F3682"/>
    <w:rsid w:val="74962C31"/>
    <w:rsid w:val="749C4185"/>
    <w:rsid w:val="74C34D42"/>
    <w:rsid w:val="74CA4688"/>
    <w:rsid w:val="74F8368C"/>
    <w:rsid w:val="750617CB"/>
    <w:rsid w:val="75067759"/>
    <w:rsid w:val="752E6DCD"/>
    <w:rsid w:val="7551380D"/>
    <w:rsid w:val="75600BE5"/>
    <w:rsid w:val="7564475C"/>
    <w:rsid w:val="7581743D"/>
    <w:rsid w:val="7583797F"/>
    <w:rsid w:val="75BC2223"/>
    <w:rsid w:val="75D20F1D"/>
    <w:rsid w:val="75DA2C18"/>
    <w:rsid w:val="75F54412"/>
    <w:rsid w:val="761D08E0"/>
    <w:rsid w:val="765D347C"/>
    <w:rsid w:val="76826699"/>
    <w:rsid w:val="76C3316E"/>
    <w:rsid w:val="76C87133"/>
    <w:rsid w:val="76CD08D5"/>
    <w:rsid w:val="76DB4B92"/>
    <w:rsid w:val="77052AA4"/>
    <w:rsid w:val="77084E58"/>
    <w:rsid w:val="77136511"/>
    <w:rsid w:val="77340A39"/>
    <w:rsid w:val="77351FD0"/>
    <w:rsid w:val="77366005"/>
    <w:rsid w:val="77472422"/>
    <w:rsid w:val="774D3D80"/>
    <w:rsid w:val="77764653"/>
    <w:rsid w:val="777F31F2"/>
    <w:rsid w:val="77D1700D"/>
    <w:rsid w:val="77EC04CC"/>
    <w:rsid w:val="782B7A5A"/>
    <w:rsid w:val="78707EE7"/>
    <w:rsid w:val="78775729"/>
    <w:rsid w:val="78A42DB0"/>
    <w:rsid w:val="78A51694"/>
    <w:rsid w:val="78A656AB"/>
    <w:rsid w:val="78B2245C"/>
    <w:rsid w:val="78E172CC"/>
    <w:rsid w:val="78EA1D1F"/>
    <w:rsid w:val="7904172F"/>
    <w:rsid w:val="790F7E27"/>
    <w:rsid w:val="791A69E7"/>
    <w:rsid w:val="792A231A"/>
    <w:rsid w:val="79316829"/>
    <w:rsid w:val="79584959"/>
    <w:rsid w:val="795C6034"/>
    <w:rsid w:val="797E66A9"/>
    <w:rsid w:val="79A97383"/>
    <w:rsid w:val="79CD0EA3"/>
    <w:rsid w:val="79DA2B09"/>
    <w:rsid w:val="79E27E8B"/>
    <w:rsid w:val="79F850CE"/>
    <w:rsid w:val="79FD443C"/>
    <w:rsid w:val="7A1D1975"/>
    <w:rsid w:val="7A3E5150"/>
    <w:rsid w:val="7A4670D6"/>
    <w:rsid w:val="7A534B63"/>
    <w:rsid w:val="7A615382"/>
    <w:rsid w:val="7A67303B"/>
    <w:rsid w:val="7AAB1D04"/>
    <w:rsid w:val="7AAD1CFF"/>
    <w:rsid w:val="7ABA4368"/>
    <w:rsid w:val="7AD05746"/>
    <w:rsid w:val="7AF639D4"/>
    <w:rsid w:val="7B257FFD"/>
    <w:rsid w:val="7B343476"/>
    <w:rsid w:val="7B5A2978"/>
    <w:rsid w:val="7B5A7E4C"/>
    <w:rsid w:val="7B667AF9"/>
    <w:rsid w:val="7B7468F8"/>
    <w:rsid w:val="7B8E6410"/>
    <w:rsid w:val="7BEE0103"/>
    <w:rsid w:val="7C01581E"/>
    <w:rsid w:val="7C0A0FE4"/>
    <w:rsid w:val="7C254906"/>
    <w:rsid w:val="7C590818"/>
    <w:rsid w:val="7C620BC9"/>
    <w:rsid w:val="7C7C10F6"/>
    <w:rsid w:val="7C853BEA"/>
    <w:rsid w:val="7C881368"/>
    <w:rsid w:val="7CA13F21"/>
    <w:rsid w:val="7CBB1486"/>
    <w:rsid w:val="7CE27788"/>
    <w:rsid w:val="7CF130FA"/>
    <w:rsid w:val="7D0C32F1"/>
    <w:rsid w:val="7D0F408D"/>
    <w:rsid w:val="7D172435"/>
    <w:rsid w:val="7D175C45"/>
    <w:rsid w:val="7D3134F6"/>
    <w:rsid w:val="7D491C6C"/>
    <w:rsid w:val="7D5429C0"/>
    <w:rsid w:val="7D66043F"/>
    <w:rsid w:val="7D6E6D43"/>
    <w:rsid w:val="7D7B0C16"/>
    <w:rsid w:val="7D931759"/>
    <w:rsid w:val="7DB57A34"/>
    <w:rsid w:val="7DDE4961"/>
    <w:rsid w:val="7DE60973"/>
    <w:rsid w:val="7DEF0916"/>
    <w:rsid w:val="7E0B01EB"/>
    <w:rsid w:val="7E183CF9"/>
    <w:rsid w:val="7E1E5218"/>
    <w:rsid w:val="7E290672"/>
    <w:rsid w:val="7E9A4E1F"/>
    <w:rsid w:val="7EA7723A"/>
    <w:rsid w:val="7EC108AA"/>
    <w:rsid w:val="7EE30820"/>
    <w:rsid w:val="7EF56FBB"/>
    <w:rsid w:val="7F0768EB"/>
    <w:rsid w:val="7F1135E0"/>
    <w:rsid w:val="7F143BEC"/>
    <w:rsid w:val="7F495B19"/>
    <w:rsid w:val="7F565496"/>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263"/>
    <w:qFormat/>
    <w:uiPriority w:val="0"/>
    <w:pPr>
      <w:spacing w:line="480" w:lineRule="exact"/>
      <w:ind w:firstLine="480" w:firstLineChars="200"/>
    </w:pPr>
    <w:rPr>
      <w:rFonts w:ascii="宋体" w:hAnsi="宋体"/>
      <w:sz w:val="24"/>
    </w:rPr>
  </w:style>
  <w:style w:type="paragraph" w:styleId="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1"/>
    <w:qFormat/>
    <w:uiPriority w:val="99"/>
    <w:pPr>
      <w:tabs>
        <w:tab w:val="center" w:pos="4153"/>
        <w:tab w:val="right" w:pos="8306"/>
      </w:tabs>
      <w:snapToGrid w:val="0"/>
      <w:jc w:val="left"/>
    </w:pPr>
    <w:rPr>
      <w:sz w:val="18"/>
      <w:szCs w:val="18"/>
    </w:rPr>
  </w:style>
  <w:style w:type="paragraph" w:styleId="40">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308"/>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0"/>
    <w:qFormat/>
    <w:uiPriority w:val="0"/>
    <w:pPr>
      <w:spacing w:after="120" w:line="480" w:lineRule="auto"/>
    </w:pPr>
  </w:style>
  <w:style w:type="paragraph" w:styleId="5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4"/>
    <w:link w:val="319"/>
    <w:qFormat/>
    <w:uiPriority w:val="0"/>
    <w:pPr>
      <w:ind w:firstLine="420"/>
    </w:pPr>
    <w:rPr>
      <w:rFonts w:hAnsi="Calibri" w:cs="Times New Roman"/>
      <w:snapToGrid/>
      <w:szCs w:val="20"/>
    </w:rPr>
  </w:style>
  <w:style w:type="paragraph" w:styleId="61">
    <w:name w:val="Body Text First Indent 2"/>
    <w:basedOn w:val="2"/>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next w:val="233"/>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8"/>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8"/>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6"/>
    <w:qFormat/>
    <w:uiPriority w:val="0"/>
    <w:rPr>
      <w:rFonts w:ascii="黑体" w:hAnsi="Courier New" w:eastAsia="黑体"/>
    </w:rPr>
  </w:style>
  <w:style w:type="character" w:customStyle="1" w:styleId="300">
    <w:name w:val="正文文本 2 Char1"/>
    <w:link w:val="55"/>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0"/>
    <w:qFormat/>
    <w:uiPriority w:val="0"/>
    <w:rPr>
      <w:b/>
      <w:bCs/>
      <w:kern w:val="2"/>
      <w:sz w:val="24"/>
      <w:szCs w:val="24"/>
    </w:rPr>
  </w:style>
  <w:style w:type="character" w:customStyle="1" w:styleId="306">
    <w:name w:val="正文文本缩进 2 Char"/>
    <w:link w:val="36"/>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49"/>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0"/>
    <w:rPr>
      <w:kern w:val="2"/>
      <w:sz w:val="21"/>
      <w:szCs w:val="24"/>
    </w:rPr>
  </w:style>
  <w:style w:type="character" w:customStyle="1" w:styleId="343">
    <w:name w:val="签名 Char"/>
    <w:link w:val="41"/>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39"/>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0"/>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2"/>
    <w:next w:val="232"/>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2"/>
    <w:next w:val="232"/>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7"/>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bjh-p"/>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8A0C6-A588-4371-9C54-487C243A738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Pages>
  <Words>10232</Words>
  <Characters>58328</Characters>
  <Lines>486</Lines>
  <Paragraphs>136</Paragraphs>
  <TotalTime>6</TotalTime>
  <ScaleCrop>false</ScaleCrop>
  <LinksUpToDate>false</LinksUpToDate>
  <CharactersWithSpaces>68424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2022-01-27T01:09:00Z</dcterms:created>
  <dc:creator>玥</dc:creator>
  <cp:lastModifiedBy>子豪粑粑</cp:lastModifiedBy>
  <cp:lastPrinted>2021-12-27T03:06:00Z</cp:lastPrinted>
  <dcterms:modified xsi:type="dcterms:W3CDTF">2022-01-29T09:48:41Z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C8D5A088644F427B9A8B6B14708606A4</vt:lpwstr>
  </property>
</Properties>
</file>