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3"/>
        <w:widowControl w:val="0"/>
        <w:snapToGrid w:val="0"/>
        <w:spacing w:line="470" w:lineRule="atLeast"/>
        <w:ind w:firstLine="0"/>
        <w:jc w:val="right"/>
        <w:rPr>
          <w:rFonts w:hint="eastAsia" w:ascii="宋体" w:hAnsi="宋体" w:cs="宋体"/>
          <w:b w:val="0"/>
          <w:color w:val="auto"/>
          <w:sz w:val="36"/>
          <w:szCs w:val="36"/>
          <w:highlight w:val="none"/>
          <w:u w:val="none" w:color="auto"/>
        </w:rPr>
      </w:pPr>
      <w:bookmarkStart w:id="71" w:name="_GoBack"/>
      <w:bookmarkEnd w:id="71"/>
    </w:p>
    <w:p>
      <w:pPr>
        <w:pStyle w:val="113"/>
        <w:widowControl w:val="0"/>
        <w:snapToGrid w:val="0"/>
        <w:spacing w:line="470" w:lineRule="atLeast"/>
        <w:ind w:firstLine="0"/>
        <w:jc w:val="center"/>
        <w:rPr>
          <w:rFonts w:hint="eastAsia" w:ascii="宋体" w:hAnsi="宋体" w:cs="宋体"/>
          <w:b w:val="0"/>
          <w:color w:val="auto"/>
          <w:sz w:val="36"/>
          <w:highlight w:val="none"/>
          <w:u w:val="none" w:color="auto"/>
        </w:rPr>
      </w:pPr>
    </w:p>
    <w:p>
      <w:pPr>
        <w:pStyle w:val="113"/>
        <w:widowControl w:val="0"/>
        <w:snapToGrid w:val="0"/>
        <w:spacing w:line="470" w:lineRule="atLeast"/>
        <w:ind w:firstLine="0"/>
        <w:jc w:val="center"/>
        <w:rPr>
          <w:rFonts w:hint="eastAsia" w:ascii="宋体" w:hAnsi="宋体" w:cs="宋体"/>
          <w:b w:val="0"/>
          <w:color w:val="auto"/>
          <w:sz w:val="36"/>
          <w:highlight w:val="none"/>
          <w:u w:val="none" w:color="auto"/>
        </w:rPr>
      </w:pPr>
    </w:p>
    <w:p>
      <w:pPr>
        <w:pStyle w:val="113"/>
        <w:widowControl w:val="0"/>
        <w:snapToGrid w:val="0"/>
        <w:spacing w:line="470" w:lineRule="atLeast"/>
        <w:ind w:firstLine="0"/>
        <w:jc w:val="center"/>
        <w:rPr>
          <w:rFonts w:hint="eastAsia" w:ascii="宋体" w:hAnsi="宋体" w:cs="宋体"/>
          <w:b w:val="0"/>
          <w:color w:val="auto"/>
          <w:sz w:val="72"/>
          <w:highlight w:val="none"/>
        </w:rPr>
      </w:pPr>
      <w:r>
        <w:rPr>
          <w:rFonts w:hint="eastAsia" w:ascii="宋体" w:hAnsi="宋体" w:cs="宋体"/>
          <w:b w:val="0"/>
          <w:color w:val="auto"/>
          <w:sz w:val="72"/>
          <w:highlight w:val="none"/>
        </w:rPr>
        <w:t>竞争性磋商文件</w:t>
      </w:r>
    </w:p>
    <w:p>
      <w:pPr>
        <w:pStyle w:val="113"/>
        <w:widowControl w:val="0"/>
        <w:snapToGrid w:val="0"/>
        <w:spacing w:line="470" w:lineRule="atLeast"/>
        <w:ind w:firstLine="0"/>
        <w:jc w:val="center"/>
        <w:rPr>
          <w:rFonts w:hint="eastAsia" w:ascii="宋体" w:hAnsi="宋体" w:cs="宋体"/>
          <w:b w:val="0"/>
          <w:color w:val="auto"/>
          <w:sz w:val="32"/>
          <w:highlight w:val="none"/>
        </w:rPr>
      </w:pPr>
    </w:p>
    <w:p>
      <w:pPr>
        <w:pStyle w:val="113"/>
        <w:widowControl w:val="0"/>
        <w:snapToGrid w:val="0"/>
        <w:spacing w:line="360" w:lineRule="auto"/>
        <w:ind w:firstLine="2400" w:firstLineChars="750"/>
        <w:rPr>
          <w:rFonts w:hint="eastAsia" w:ascii="宋体" w:hAnsi="宋体" w:cs="宋体"/>
          <w:b w:val="0"/>
          <w:color w:val="auto"/>
          <w:sz w:val="32"/>
          <w:highlight w:val="none"/>
          <w:u w:val="none" w:color="auto"/>
        </w:rPr>
      </w:pPr>
    </w:p>
    <w:p>
      <w:pPr>
        <w:pStyle w:val="113"/>
        <w:widowControl w:val="0"/>
        <w:snapToGrid w:val="0"/>
        <w:spacing w:line="360" w:lineRule="auto"/>
        <w:ind w:firstLine="2400" w:firstLineChars="750"/>
        <w:rPr>
          <w:rFonts w:hint="eastAsia" w:ascii="宋体" w:hAnsi="宋体" w:cs="宋体"/>
          <w:b w:val="0"/>
          <w:color w:val="auto"/>
          <w:sz w:val="32"/>
          <w:highlight w:val="none"/>
          <w:u w:val="none" w:color="auto"/>
        </w:rPr>
      </w:pPr>
    </w:p>
    <w:p>
      <w:pPr>
        <w:pStyle w:val="113"/>
        <w:widowControl w:val="0"/>
        <w:snapToGrid w:val="0"/>
        <w:spacing w:line="360" w:lineRule="auto"/>
        <w:ind w:firstLine="2400" w:firstLineChars="750"/>
        <w:rPr>
          <w:rFonts w:hint="eastAsia" w:ascii="宋体" w:hAnsi="宋体" w:cs="宋体"/>
          <w:b w:val="0"/>
          <w:color w:val="auto"/>
          <w:sz w:val="32"/>
          <w:highlight w:val="none"/>
          <w:u w:val="none" w:color="auto"/>
        </w:rPr>
      </w:pPr>
    </w:p>
    <w:p>
      <w:pPr>
        <w:pStyle w:val="113"/>
        <w:widowControl w:val="0"/>
        <w:snapToGrid w:val="0"/>
        <w:spacing w:line="360" w:lineRule="auto"/>
        <w:ind w:firstLine="1920" w:firstLineChars="600"/>
        <w:rPr>
          <w:rFonts w:hint="eastAsia" w:ascii="宋体" w:hAnsi="宋体" w:eastAsia="宋体" w:cs="宋体"/>
          <w:b w:val="0"/>
          <w:color w:val="auto"/>
          <w:sz w:val="32"/>
          <w:szCs w:val="32"/>
          <w:highlight w:val="none"/>
          <w:u w:val="none" w:color="auto"/>
          <w:lang w:eastAsia="zh-CN"/>
        </w:rPr>
      </w:pPr>
      <w:r>
        <w:rPr>
          <w:rFonts w:hint="eastAsia" w:ascii="宋体" w:hAnsi="宋体" w:cs="宋体"/>
          <w:b w:val="0"/>
          <w:color w:val="auto"/>
          <w:sz w:val="32"/>
          <w:szCs w:val="32"/>
          <w:highlight w:val="none"/>
          <w:u w:val="none" w:color="auto"/>
        </w:rPr>
        <w:t>采购编号：ZJ-</w:t>
      </w:r>
      <w:r>
        <w:rPr>
          <w:rFonts w:hint="eastAsia" w:ascii="宋体" w:hAnsi="宋体" w:cs="宋体"/>
          <w:b w:val="0"/>
          <w:color w:val="auto"/>
          <w:sz w:val="32"/>
          <w:szCs w:val="32"/>
          <w:highlight w:val="none"/>
          <w:u w:val="none" w:color="auto"/>
          <w:lang w:eastAsia="zh-CN"/>
        </w:rPr>
        <w:t>2232193</w:t>
      </w:r>
    </w:p>
    <w:p>
      <w:pPr>
        <w:pStyle w:val="113"/>
        <w:widowControl w:val="0"/>
        <w:snapToGrid w:val="0"/>
        <w:spacing w:line="360" w:lineRule="auto"/>
        <w:ind w:firstLine="1920" w:firstLineChars="600"/>
        <w:rPr>
          <w:rFonts w:hint="eastAsia" w:ascii="宋体" w:hAnsi="宋体" w:eastAsia="宋体" w:cs="宋体"/>
          <w:b w:val="0"/>
          <w:color w:val="auto"/>
          <w:sz w:val="32"/>
          <w:szCs w:val="32"/>
          <w:highlight w:val="none"/>
          <w:u w:val="none" w:color="auto"/>
          <w:lang w:eastAsia="zh-CN"/>
        </w:rPr>
      </w:pPr>
      <w:r>
        <w:rPr>
          <w:rFonts w:hint="eastAsia" w:ascii="宋体" w:hAnsi="宋体" w:cs="宋体"/>
          <w:b w:val="0"/>
          <w:color w:val="auto"/>
          <w:sz w:val="32"/>
          <w:szCs w:val="32"/>
          <w:highlight w:val="none"/>
          <w:u w:val="none" w:color="auto"/>
        </w:rPr>
        <w:t>项目名称：</w:t>
      </w:r>
      <w:r>
        <w:rPr>
          <w:rFonts w:hint="eastAsia" w:ascii="宋体" w:hAnsi="宋体" w:cs="宋体"/>
          <w:b w:val="0"/>
          <w:color w:val="auto"/>
          <w:sz w:val="32"/>
          <w:szCs w:val="32"/>
          <w:highlight w:val="none"/>
          <w:u w:val="none" w:color="auto"/>
          <w:lang w:eastAsia="zh-CN"/>
        </w:rPr>
        <w:t>11#直线加速器机房改造</w:t>
      </w:r>
    </w:p>
    <w:p>
      <w:pPr>
        <w:pStyle w:val="113"/>
        <w:widowControl w:val="0"/>
        <w:snapToGrid w:val="0"/>
        <w:spacing w:line="470" w:lineRule="atLeast"/>
        <w:ind w:firstLine="0"/>
        <w:jc w:val="center"/>
        <w:rPr>
          <w:rFonts w:hint="eastAsia" w:ascii="宋体" w:hAnsi="宋体" w:cs="宋体"/>
          <w:color w:val="auto"/>
          <w:sz w:val="32"/>
          <w:szCs w:val="32"/>
          <w:highlight w:val="none"/>
        </w:rPr>
      </w:pPr>
    </w:p>
    <w:p>
      <w:pPr>
        <w:pStyle w:val="113"/>
        <w:widowControl w:val="0"/>
        <w:snapToGrid w:val="0"/>
        <w:spacing w:line="470" w:lineRule="atLeast"/>
        <w:ind w:firstLine="0"/>
        <w:jc w:val="center"/>
        <w:rPr>
          <w:rFonts w:hint="eastAsia" w:ascii="宋体" w:hAnsi="宋体" w:cs="宋体"/>
          <w:color w:val="auto"/>
          <w:sz w:val="32"/>
          <w:szCs w:val="32"/>
          <w:highlight w:val="none"/>
        </w:rPr>
      </w:pPr>
    </w:p>
    <w:p>
      <w:pPr>
        <w:pStyle w:val="113"/>
        <w:widowControl w:val="0"/>
        <w:snapToGrid w:val="0"/>
        <w:spacing w:line="470" w:lineRule="atLeast"/>
        <w:ind w:firstLine="0"/>
        <w:rPr>
          <w:rFonts w:hint="eastAsia" w:ascii="宋体" w:hAnsi="宋体" w:cs="宋体"/>
          <w:color w:val="auto"/>
          <w:sz w:val="32"/>
          <w:szCs w:val="32"/>
          <w:highlight w:val="none"/>
        </w:rPr>
      </w:pPr>
    </w:p>
    <w:p>
      <w:pPr>
        <w:pStyle w:val="113"/>
        <w:widowControl w:val="0"/>
        <w:snapToGrid w:val="0"/>
        <w:spacing w:line="470" w:lineRule="atLeast"/>
        <w:ind w:firstLine="0"/>
        <w:rPr>
          <w:rFonts w:hint="eastAsia" w:ascii="宋体" w:hAnsi="宋体" w:cs="宋体"/>
          <w:color w:val="auto"/>
          <w:sz w:val="32"/>
          <w:szCs w:val="32"/>
          <w:highlight w:val="none"/>
        </w:rPr>
      </w:pPr>
    </w:p>
    <w:p>
      <w:pPr>
        <w:pStyle w:val="113"/>
        <w:spacing w:line="700" w:lineRule="exact"/>
        <w:ind w:firstLine="320" w:firstLineChars="100"/>
        <w:rPr>
          <w:rFonts w:hint="eastAsia" w:ascii="宋体" w:hAnsi="宋体" w:cs="宋体"/>
          <w:b w:val="0"/>
          <w:color w:val="auto"/>
          <w:sz w:val="32"/>
          <w:szCs w:val="32"/>
          <w:highlight w:val="none"/>
        </w:rPr>
      </w:pPr>
    </w:p>
    <w:p>
      <w:pPr>
        <w:pStyle w:val="113"/>
        <w:spacing w:line="700" w:lineRule="exact"/>
        <w:ind w:firstLine="320" w:firstLineChars="100"/>
        <w:rPr>
          <w:rFonts w:hint="eastAsia" w:ascii="宋体" w:hAnsi="宋体" w:cs="宋体"/>
          <w:b w:val="0"/>
          <w:color w:val="auto"/>
          <w:sz w:val="32"/>
          <w:szCs w:val="32"/>
          <w:highlight w:val="none"/>
        </w:rPr>
      </w:pPr>
    </w:p>
    <w:p>
      <w:pPr>
        <w:pStyle w:val="113"/>
        <w:spacing w:line="700" w:lineRule="exact"/>
        <w:ind w:firstLine="320" w:firstLineChars="100"/>
        <w:rPr>
          <w:rFonts w:hint="eastAsia" w:ascii="宋体" w:hAnsi="宋体" w:cs="宋体"/>
          <w:b w:val="0"/>
          <w:color w:val="auto"/>
          <w:sz w:val="32"/>
          <w:szCs w:val="32"/>
          <w:highlight w:val="none"/>
        </w:rPr>
      </w:pPr>
    </w:p>
    <w:p>
      <w:pPr>
        <w:pStyle w:val="113"/>
        <w:spacing w:line="480" w:lineRule="auto"/>
        <w:ind w:firstLine="0"/>
        <w:jc w:val="center"/>
        <w:rPr>
          <w:rFonts w:hint="eastAsia" w:ascii="宋体" w:hAnsi="宋体" w:cs="宋体"/>
          <w:b w:val="0"/>
          <w:color w:val="auto"/>
          <w:sz w:val="32"/>
          <w:szCs w:val="32"/>
          <w:highlight w:val="none"/>
        </w:rPr>
      </w:pPr>
      <w:r>
        <w:rPr>
          <w:rFonts w:hint="eastAsia" w:ascii="宋体" w:hAnsi="宋体" w:cs="宋体"/>
          <w:b w:val="0"/>
          <w:color w:val="auto"/>
          <w:sz w:val="32"/>
          <w:szCs w:val="32"/>
          <w:highlight w:val="none"/>
        </w:rPr>
        <w:t>浙江省肿瘤医院</w:t>
      </w:r>
    </w:p>
    <w:p>
      <w:pPr>
        <w:pStyle w:val="113"/>
        <w:spacing w:line="480" w:lineRule="auto"/>
        <w:ind w:firstLine="0"/>
        <w:jc w:val="center"/>
        <w:rPr>
          <w:rFonts w:hint="eastAsia" w:ascii="宋体" w:hAnsi="宋体" w:cs="宋体"/>
          <w:b w:val="0"/>
          <w:color w:val="auto"/>
          <w:sz w:val="32"/>
          <w:szCs w:val="32"/>
          <w:highlight w:val="none"/>
        </w:rPr>
      </w:pPr>
      <w:r>
        <w:rPr>
          <w:rFonts w:hint="eastAsia" w:ascii="宋体" w:hAnsi="宋体" w:cs="宋体"/>
          <w:b w:val="0"/>
          <w:color w:val="auto"/>
          <w:sz w:val="32"/>
          <w:szCs w:val="32"/>
          <w:highlight w:val="none"/>
        </w:rPr>
        <w:t>浙江国际招投标有限公司</w:t>
      </w:r>
    </w:p>
    <w:p>
      <w:pPr>
        <w:pStyle w:val="113"/>
        <w:widowControl w:val="0"/>
        <w:snapToGrid w:val="0"/>
        <w:spacing w:line="700" w:lineRule="exact"/>
        <w:ind w:firstLine="0"/>
        <w:jc w:val="center"/>
        <w:rPr>
          <w:rFonts w:hint="eastAsia" w:ascii="宋体" w:hAnsi="宋体" w:cs="宋体"/>
          <w:b w:val="0"/>
          <w:color w:val="auto"/>
          <w:sz w:val="32"/>
          <w:szCs w:val="32"/>
          <w:highlight w:val="none"/>
        </w:rPr>
      </w:pPr>
      <w:r>
        <w:rPr>
          <w:rFonts w:hint="eastAsia" w:ascii="宋体" w:hAnsi="宋体" w:cs="宋体"/>
          <w:b w:val="0"/>
          <w:color w:val="auto"/>
          <w:sz w:val="32"/>
          <w:szCs w:val="32"/>
          <w:highlight w:val="none"/>
        </w:rPr>
        <w:t>2022年</w:t>
      </w:r>
      <w:r>
        <w:rPr>
          <w:rFonts w:hint="eastAsia" w:ascii="宋体" w:hAnsi="宋体" w:cs="宋体"/>
          <w:b w:val="0"/>
          <w:color w:val="auto"/>
          <w:sz w:val="32"/>
          <w:szCs w:val="32"/>
          <w:highlight w:val="none"/>
          <w:lang w:val="en-US" w:eastAsia="zh-CN"/>
        </w:rPr>
        <w:t>8</w:t>
      </w:r>
      <w:r>
        <w:rPr>
          <w:rFonts w:hint="eastAsia" w:ascii="宋体" w:hAnsi="宋体" w:cs="宋体"/>
          <w:b w:val="0"/>
          <w:color w:val="auto"/>
          <w:sz w:val="32"/>
          <w:szCs w:val="32"/>
          <w:highlight w:val="none"/>
        </w:rPr>
        <w:t>月</w:t>
      </w:r>
    </w:p>
    <w:p>
      <w:pPr>
        <w:pStyle w:val="113"/>
        <w:widowControl w:val="0"/>
        <w:snapToGrid w:val="0"/>
        <w:spacing w:line="442" w:lineRule="atLeast"/>
        <w:ind w:right="-176" w:rightChars="-84" w:firstLine="0"/>
        <w:jc w:val="center"/>
        <w:rPr>
          <w:rFonts w:hint="eastAsia" w:ascii="宋体" w:hAnsi="宋体" w:cs="宋体"/>
          <w:color w:val="auto"/>
          <w:sz w:val="32"/>
          <w:highlight w:val="none"/>
        </w:rPr>
      </w:pPr>
      <w:r>
        <w:rPr>
          <w:rFonts w:hint="eastAsia" w:ascii="宋体" w:hAnsi="宋体" w:cs="宋体"/>
          <w:color w:val="auto"/>
          <w:sz w:val="32"/>
          <w:highlight w:val="none"/>
        </w:rPr>
        <w:br w:type="page"/>
      </w:r>
      <w:r>
        <w:rPr>
          <w:rFonts w:hint="eastAsia" w:ascii="宋体" w:hAnsi="宋体" w:cs="宋体"/>
          <w:color w:val="auto"/>
          <w:sz w:val="32"/>
          <w:highlight w:val="none"/>
        </w:rPr>
        <w:t>目  录</w:t>
      </w:r>
    </w:p>
    <w:p>
      <w:pPr>
        <w:pStyle w:val="113"/>
        <w:widowControl w:val="0"/>
        <w:snapToGrid w:val="0"/>
        <w:spacing w:line="442" w:lineRule="atLeast"/>
        <w:ind w:right="-176" w:rightChars="-84" w:firstLine="0"/>
        <w:jc w:val="center"/>
        <w:rPr>
          <w:rFonts w:hint="eastAsia" w:ascii="宋体" w:hAnsi="宋体" w:cs="宋体"/>
          <w:color w:val="auto"/>
          <w:sz w:val="32"/>
          <w:highlight w:val="none"/>
        </w:rPr>
      </w:pPr>
    </w:p>
    <w:p>
      <w:pPr>
        <w:pStyle w:val="25"/>
        <w:tabs>
          <w:tab w:val="right" w:leader="dot" w:pos="8681"/>
        </w:tabs>
        <w:spacing w:line="360" w:lineRule="auto"/>
        <w:ind w:firstLine="120"/>
        <w:rPr>
          <w:rFonts w:hint="eastAsia" w:cs="宋体"/>
          <w:caps w:val="0"/>
          <w:snapToGrid/>
          <w:color w:val="auto"/>
          <w:kern w:val="2"/>
          <w:sz w:val="24"/>
          <w:szCs w:val="24"/>
          <w:highlight w:val="none"/>
          <w:lang/>
        </w:rPr>
      </w:pPr>
      <w:r>
        <w:rPr>
          <w:rFonts w:hint="eastAsia" w:cs="宋体"/>
          <w:color w:val="auto"/>
          <w:sz w:val="24"/>
          <w:szCs w:val="24"/>
          <w:highlight w:val="none"/>
        </w:rPr>
        <w:fldChar w:fldCharType="begin"/>
      </w:r>
      <w:r>
        <w:rPr>
          <w:rFonts w:hint="eastAsia" w:cs="宋体"/>
          <w:color w:val="auto"/>
          <w:sz w:val="24"/>
          <w:szCs w:val="24"/>
          <w:highlight w:val="none"/>
        </w:rPr>
        <w:instrText xml:space="preserve"> TOC \o "1-3" \h \z \u </w:instrText>
      </w:r>
      <w:r>
        <w:rPr>
          <w:rFonts w:hint="eastAsia" w:cs="宋体"/>
          <w:color w:val="auto"/>
          <w:sz w:val="24"/>
          <w:szCs w:val="24"/>
          <w:highlight w:val="none"/>
        </w:rPr>
        <w:fldChar w:fldCharType="separate"/>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w:instrText>
      </w:r>
      <w:r>
        <w:rPr>
          <w:rFonts w:hint="eastAsia" w:cs="宋体"/>
          <w:color w:val="auto"/>
          <w:sz w:val="24"/>
          <w:szCs w:val="24"/>
          <w:highlight w:val="none"/>
          <w:lang/>
        </w:rPr>
        <w:instrText xml:space="preserve">HYPERLINK \l "_Toc472544470"</w:instrText>
      </w:r>
      <w:r>
        <w:rPr>
          <w:rStyle w:val="40"/>
          <w:rFonts w:hint="eastAsia" w:cs="宋体"/>
          <w:color w:val="auto"/>
          <w:sz w:val="24"/>
          <w:szCs w:val="24"/>
          <w:highlight w:val="none"/>
          <w:lang/>
        </w:rPr>
        <w:instrText xml:space="preserve">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第一部分  竞争性磋商公告</w:t>
      </w:r>
      <w:r>
        <w:rPr>
          <w:rFonts w:hint="eastAsia" w:cs="宋体"/>
          <w:color w:val="auto"/>
          <w:sz w:val="24"/>
          <w:szCs w:val="24"/>
          <w:highlight w:val="none"/>
          <w:lang/>
        </w:rPr>
        <w:tab/>
      </w:r>
      <w:r>
        <w:rPr>
          <w:rFonts w:hint="eastAsia" w:cs="宋体"/>
          <w:color w:val="auto"/>
          <w:sz w:val="24"/>
          <w:szCs w:val="24"/>
          <w:highlight w:val="none"/>
          <w:lang/>
        </w:rPr>
        <w:fldChar w:fldCharType="begin"/>
      </w:r>
      <w:r>
        <w:rPr>
          <w:rFonts w:hint="eastAsia" w:cs="宋体"/>
          <w:color w:val="auto"/>
          <w:sz w:val="24"/>
          <w:szCs w:val="24"/>
          <w:highlight w:val="none"/>
          <w:lang/>
        </w:rPr>
        <w:instrText xml:space="preserve"> PAGEREF _Toc472544470 \h </w:instrText>
      </w:r>
      <w:r>
        <w:rPr>
          <w:rFonts w:hint="eastAsia" w:cs="宋体"/>
          <w:color w:val="auto"/>
          <w:sz w:val="24"/>
          <w:szCs w:val="24"/>
          <w:highlight w:val="none"/>
          <w:lang/>
        </w:rPr>
        <w:fldChar w:fldCharType="separate"/>
      </w:r>
      <w:r>
        <w:rPr>
          <w:rFonts w:hint="eastAsia" w:cs="宋体"/>
          <w:color w:val="auto"/>
          <w:sz w:val="24"/>
          <w:szCs w:val="24"/>
          <w:highlight w:val="none"/>
          <w:lang/>
        </w:rPr>
        <w:t>3</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Fonts w:hint="eastAsia" w:cs="宋体"/>
          <w:caps w:val="0"/>
          <w:snapToGrid/>
          <w:color w:val="auto"/>
          <w:kern w:val="2"/>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w:instrText>
      </w:r>
      <w:r>
        <w:rPr>
          <w:rFonts w:hint="eastAsia" w:cs="宋体"/>
          <w:color w:val="auto"/>
          <w:sz w:val="24"/>
          <w:szCs w:val="24"/>
          <w:highlight w:val="none"/>
          <w:lang/>
        </w:rPr>
        <w:instrText xml:space="preserve">HYPERLINK \l "_Toc472544471"</w:instrText>
      </w:r>
      <w:r>
        <w:rPr>
          <w:rStyle w:val="40"/>
          <w:rFonts w:hint="eastAsia" w:cs="宋体"/>
          <w:color w:val="auto"/>
          <w:sz w:val="24"/>
          <w:szCs w:val="24"/>
          <w:highlight w:val="none"/>
          <w:lang/>
        </w:rPr>
        <w:instrText xml:space="preserve">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第二部分  磋商须知</w:t>
      </w:r>
      <w:r>
        <w:rPr>
          <w:rFonts w:hint="eastAsia" w:cs="宋体"/>
          <w:color w:val="auto"/>
          <w:sz w:val="24"/>
          <w:szCs w:val="24"/>
          <w:highlight w:val="none"/>
          <w:lang/>
        </w:rPr>
        <w:tab/>
      </w:r>
      <w:r>
        <w:rPr>
          <w:rFonts w:hint="eastAsia" w:cs="宋体"/>
          <w:color w:val="auto"/>
          <w:sz w:val="24"/>
          <w:szCs w:val="24"/>
          <w:highlight w:val="none"/>
          <w:lang/>
        </w:rPr>
        <w:fldChar w:fldCharType="begin"/>
      </w:r>
      <w:r>
        <w:rPr>
          <w:rFonts w:hint="eastAsia" w:cs="宋体"/>
          <w:color w:val="auto"/>
          <w:sz w:val="24"/>
          <w:szCs w:val="24"/>
          <w:highlight w:val="none"/>
          <w:lang/>
        </w:rPr>
        <w:instrText xml:space="preserve"> PAGEREF _Toc472544471 \h </w:instrText>
      </w:r>
      <w:r>
        <w:rPr>
          <w:rFonts w:hint="eastAsia" w:cs="宋体"/>
          <w:color w:val="auto"/>
          <w:sz w:val="24"/>
          <w:szCs w:val="24"/>
          <w:highlight w:val="none"/>
          <w:lang/>
        </w:rPr>
        <w:fldChar w:fldCharType="separate"/>
      </w:r>
      <w:r>
        <w:rPr>
          <w:rFonts w:hint="eastAsia" w:cs="宋体"/>
          <w:color w:val="auto"/>
          <w:sz w:val="24"/>
          <w:szCs w:val="24"/>
          <w:highlight w:val="none"/>
          <w:lang/>
        </w:rPr>
        <w:t>13</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Fonts w:hint="eastAsia" w:cs="宋体"/>
          <w:snapToGrid/>
          <w:color w:val="auto"/>
          <w:kern w:val="2"/>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w:instrText>
      </w:r>
      <w:r>
        <w:rPr>
          <w:rFonts w:hint="eastAsia" w:cs="宋体"/>
          <w:color w:val="auto"/>
          <w:sz w:val="24"/>
          <w:szCs w:val="24"/>
          <w:highlight w:val="none"/>
          <w:lang/>
        </w:rPr>
        <w:instrText xml:space="preserve">HYPERLINK \l "_Toc472544472"</w:instrText>
      </w:r>
      <w:r>
        <w:rPr>
          <w:rStyle w:val="40"/>
          <w:rFonts w:hint="eastAsia" w:cs="宋体"/>
          <w:color w:val="auto"/>
          <w:sz w:val="24"/>
          <w:szCs w:val="24"/>
          <w:highlight w:val="none"/>
          <w:lang/>
        </w:rPr>
        <w:instrText xml:space="preserve">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一、总则</w:t>
      </w:r>
      <w:r>
        <w:rPr>
          <w:rFonts w:hint="eastAsia" w:cs="宋体"/>
          <w:color w:val="auto"/>
          <w:sz w:val="24"/>
          <w:szCs w:val="24"/>
          <w:highlight w:val="none"/>
          <w:lang/>
        </w:rPr>
        <w:tab/>
      </w:r>
      <w:r>
        <w:rPr>
          <w:rFonts w:hint="eastAsia" w:cs="宋体"/>
          <w:color w:val="auto"/>
          <w:sz w:val="24"/>
          <w:szCs w:val="24"/>
          <w:highlight w:val="none"/>
          <w:lang/>
        </w:rPr>
        <w:fldChar w:fldCharType="begin"/>
      </w:r>
      <w:r>
        <w:rPr>
          <w:rFonts w:hint="eastAsia" w:cs="宋体"/>
          <w:color w:val="auto"/>
          <w:sz w:val="24"/>
          <w:szCs w:val="24"/>
          <w:highlight w:val="none"/>
          <w:lang/>
        </w:rPr>
        <w:instrText xml:space="preserve"> PAGEREF _Toc472544472 \h </w:instrText>
      </w:r>
      <w:r>
        <w:rPr>
          <w:rFonts w:hint="eastAsia" w:cs="宋体"/>
          <w:color w:val="auto"/>
          <w:sz w:val="24"/>
          <w:szCs w:val="24"/>
          <w:highlight w:val="none"/>
          <w:lang/>
        </w:rPr>
        <w:fldChar w:fldCharType="separate"/>
      </w:r>
      <w:r>
        <w:rPr>
          <w:rFonts w:hint="eastAsia" w:cs="宋体"/>
          <w:color w:val="auto"/>
          <w:sz w:val="24"/>
          <w:szCs w:val="24"/>
          <w:highlight w:val="none"/>
          <w:lang/>
        </w:rPr>
        <w:t>13</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"_Toc472544473"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二、竞争性磋商文件</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_Toc472544473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14</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"_Toc472544474"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三、响应文件编制要求</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_Toc472544474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15</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"_Toc472544475"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四、响应文件的递交</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_Toc472544475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18</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"_Toc472544476"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五、开启响应文件</w:t>
      </w:r>
      <w:r>
        <w:rPr>
          <w:rStyle w:val="40"/>
          <w:rFonts w:hint="eastAsia" w:cs="宋体"/>
          <w:color w:val="auto"/>
          <w:sz w:val="24"/>
          <w:szCs w:val="24"/>
          <w:highlight w:val="none"/>
          <w:lang/>
        </w:rPr>
        <w:tab/>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"_Toc472544477"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六、磋商人员及相关原则</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_Toc472544477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19</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"_Toc472544478"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七、磋商程序</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_Toc472544478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20</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"_Toc472544479"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八、确定成交供应商</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_Toc472544479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26</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"_Toc472544480"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九、签订合同</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_Toc472544480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26</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"_Toc472544481"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十、终止竞争性磋商采购活动</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_Toc472544481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26</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"_Toc472544483"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第三部分  用户需求书</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_Toc472544483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26</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Style w:val="40"/>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"_Toc472544484"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第四部分  合同主要条款</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_Toc472544484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35</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25"/>
        <w:tabs>
          <w:tab w:val="right" w:leader="dot" w:pos="8681"/>
        </w:tabs>
        <w:spacing w:line="360" w:lineRule="auto"/>
        <w:ind w:firstLine="120"/>
        <w:rPr>
          <w:rFonts w:hint="eastAsia" w:cs="宋体"/>
          <w:color w:val="auto"/>
          <w:sz w:val="24"/>
          <w:szCs w:val="24"/>
          <w:highlight w:val="none"/>
          <w:lang/>
        </w:rPr>
      </w:pP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HYPERLINK \l "_Toc472544485"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第五部分  附件（响应文件格式）</w:t>
      </w:r>
      <w:r>
        <w:rPr>
          <w:rStyle w:val="40"/>
          <w:rFonts w:hint="eastAsia" w:cs="宋体"/>
          <w:color w:val="auto"/>
          <w:sz w:val="24"/>
          <w:szCs w:val="24"/>
          <w:highlight w:val="none"/>
          <w:lang/>
        </w:rPr>
        <w:tab/>
      </w:r>
      <w:r>
        <w:rPr>
          <w:rFonts w:hint="eastAsia" w:cs="宋体"/>
          <w:color w:val="auto"/>
          <w:sz w:val="24"/>
          <w:szCs w:val="24"/>
          <w:highlight w:val="none"/>
          <w:lang/>
        </w:rPr>
        <w:fldChar w:fldCharType="begin"/>
      </w:r>
      <w:r>
        <w:rPr>
          <w:rStyle w:val="40"/>
          <w:rFonts w:hint="eastAsia" w:cs="宋体"/>
          <w:color w:val="auto"/>
          <w:sz w:val="24"/>
          <w:szCs w:val="24"/>
          <w:highlight w:val="none"/>
          <w:lang/>
        </w:rPr>
        <w:instrText xml:space="preserve"> PAGEREF _Toc472544485 \h </w:instrText>
      </w:r>
      <w:r>
        <w:rPr>
          <w:rFonts w:hint="eastAsia" w:cs="宋体"/>
          <w:color w:val="auto"/>
          <w:sz w:val="24"/>
          <w:szCs w:val="24"/>
          <w:highlight w:val="none"/>
          <w:lang/>
        </w:rPr>
        <w:fldChar w:fldCharType="separate"/>
      </w:r>
      <w:r>
        <w:rPr>
          <w:rStyle w:val="40"/>
          <w:rFonts w:hint="eastAsia" w:cs="宋体"/>
          <w:color w:val="auto"/>
          <w:sz w:val="24"/>
          <w:szCs w:val="24"/>
          <w:highlight w:val="none"/>
          <w:lang/>
        </w:rPr>
        <w:t>59</w:t>
      </w:r>
      <w:r>
        <w:rPr>
          <w:rFonts w:hint="eastAsia" w:cs="宋体"/>
          <w:color w:val="auto"/>
          <w:sz w:val="24"/>
          <w:szCs w:val="24"/>
          <w:highlight w:val="none"/>
          <w:lang/>
        </w:rPr>
        <w:fldChar w:fldCharType="end"/>
      </w:r>
      <w:r>
        <w:rPr>
          <w:rFonts w:hint="eastAsia" w:cs="宋体"/>
          <w:color w:val="auto"/>
          <w:sz w:val="24"/>
          <w:szCs w:val="24"/>
          <w:highlight w:val="none"/>
          <w:lang/>
        </w:rPr>
        <w:fldChar w:fldCharType="end"/>
      </w:r>
    </w:p>
    <w:p>
      <w:pPr>
        <w:pStyle w:val="3"/>
        <w:tabs>
          <w:tab w:val="right" w:leader="dot" w:pos="9000"/>
        </w:tabs>
        <w:snapToGrid w:val="0"/>
        <w:spacing w:before="0" w:after="0"/>
        <w:rPr>
          <w:rFonts w:hint="eastAsia" w:ascii="宋体" w:hAnsi="宋体" w:eastAsia="宋体" w:cs="宋体"/>
          <w:color w:val="auto"/>
          <w:sz w:val="32"/>
          <w:highlight w:val="none"/>
        </w:rPr>
      </w:pPr>
      <w:r>
        <w:rPr>
          <w:rFonts w:hint="eastAsia" w:ascii="宋体" w:hAnsi="宋体" w:eastAsia="宋体" w:cs="宋体"/>
          <w:b w:val="0"/>
          <w:color w:val="auto"/>
          <w:sz w:val="24"/>
          <w:szCs w:val="24"/>
          <w:highlight w:val="none"/>
        </w:rPr>
        <w:fldChar w:fldCharType="end"/>
      </w:r>
      <w:r>
        <w:rPr>
          <w:rFonts w:hint="eastAsia" w:ascii="宋体" w:hAnsi="宋体" w:eastAsia="宋体" w:cs="宋体"/>
          <w:color w:val="auto"/>
          <w:sz w:val="24"/>
          <w:highlight w:val="none"/>
        </w:rPr>
        <w:br w:type="page"/>
      </w:r>
      <w:bookmarkStart w:id="0" w:name="_Toc118516209"/>
      <w:bookmarkStart w:id="1" w:name="_Toc472544470"/>
      <w:bookmarkStart w:id="2" w:name="_Toc171394907"/>
      <w:r>
        <w:rPr>
          <w:rFonts w:hint="eastAsia" w:ascii="宋体" w:hAnsi="宋体" w:eastAsia="宋体" w:cs="宋体"/>
          <w:color w:val="auto"/>
          <w:sz w:val="32"/>
          <w:highlight w:val="none"/>
        </w:rPr>
        <w:t>第一部分</w:t>
      </w:r>
      <w:bookmarkEnd w:id="0"/>
      <w:r>
        <w:rPr>
          <w:rFonts w:hint="eastAsia" w:ascii="宋体" w:hAnsi="宋体" w:eastAsia="宋体" w:cs="宋体"/>
          <w:color w:val="auto"/>
          <w:sz w:val="32"/>
          <w:highlight w:val="none"/>
        </w:rPr>
        <w:t xml:space="preserve">  竞争性磋商公告</w:t>
      </w:r>
      <w:bookmarkEnd w:id="1"/>
      <w:bookmarkEnd w:id="2"/>
    </w:p>
    <w:p>
      <w:pPr>
        <w:spacing w:line="360" w:lineRule="auto"/>
        <w:rPr>
          <w:rFonts w:hint="eastAsia" w:ascii="宋体" w:hAnsi="宋体" w:cs="宋体"/>
          <w:color w:val="auto"/>
          <w:highlight w:val="none"/>
        </w:rPr>
      </w:pPr>
      <w:bookmarkStart w:id="3" w:name="_Toc171394913"/>
      <w:r>
        <w:rPr>
          <w:rFonts w:hint="eastAsia" w:ascii="宋体" w:hAnsi="宋体" w:cs="宋体"/>
          <w:color w:val="auto"/>
          <w:highlight w:val="none"/>
        </w:rPr>
        <w:t>项目概况                          </w:t>
      </w:r>
    </w:p>
    <w:p>
      <w:pPr>
        <w:spacing w:line="360" w:lineRule="auto"/>
        <w:ind w:firstLine="630" w:firstLineChars="300"/>
        <w:rPr>
          <w:rFonts w:hint="eastAsia" w:ascii="宋体" w:hAnsi="宋体" w:cs="宋体"/>
          <w:color w:val="auto"/>
          <w:highlight w:val="none"/>
        </w:rPr>
      </w:pPr>
      <w:r>
        <w:rPr>
          <w:rFonts w:hint="eastAsia" w:ascii="宋体" w:hAnsi="宋体" w:cs="宋体"/>
          <w:color w:val="auto"/>
          <w:szCs w:val="22"/>
          <w:highlight w:val="none"/>
        </w:rPr>
        <w:t>浙江省肿瘤医院</w:t>
      </w:r>
      <w:r>
        <w:rPr>
          <w:rFonts w:hint="eastAsia" w:ascii="宋体" w:hAnsi="宋体" w:cs="宋体"/>
          <w:color w:val="auto"/>
          <w:szCs w:val="22"/>
          <w:highlight w:val="none"/>
          <w:lang w:eastAsia="zh-CN"/>
        </w:rPr>
        <w:t>11#直线加速器机房改造</w:t>
      </w:r>
      <w:r>
        <w:rPr>
          <w:rFonts w:hint="eastAsia" w:ascii="宋体" w:hAnsi="宋体" w:cs="宋体"/>
          <w:color w:val="auto"/>
          <w:szCs w:val="22"/>
          <w:highlight w:val="none"/>
        </w:rPr>
        <w:t>的潜在供应商应在政府采购云平台（www.zcygov.cn）获取（下载）磋商文件，并于2022年</w:t>
      </w:r>
      <w:r>
        <w:rPr>
          <w:rFonts w:hint="eastAsia" w:ascii="宋体" w:hAnsi="宋体" w:cs="宋体"/>
          <w:color w:val="auto"/>
          <w:szCs w:val="22"/>
          <w:highlight w:val="none"/>
          <w:lang w:val="en-US" w:eastAsia="zh-CN"/>
        </w:rPr>
        <w:t>9月7</w:t>
      </w:r>
      <w:r>
        <w:rPr>
          <w:rFonts w:hint="eastAsia" w:ascii="宋体" w:hAnsi="宋体" w:cs="宋体"/>
          <w:color w:val="auto"/>
          <w:szCs w:val="22"/>
          <w:highlight w:val="none"/>
        </w:rPr>
        <w:t xml:space="preserve">日 </w:t>
      </w:r>
      <w:r>
        <w:rPr>
          <w:rFonts w:hint="eastAsia" w:ascii="宋体" w:hAnsi="宋体" w:cs="宋体"/>
          <w:color w:val="auto"/>
          <w:szCs w:val="22"/>
          <w:highlight w:val="none"/>
          <w:lang w:eastAsia="zh-CN"/>
        </w:rPr>
        <w:t>9:00</w:t>
      </w:r>
      <w:r>
        <w:rPr>
          <w:rFonts w:hint="eastAsia" w:ascii="宋体" w:hAnsi="宋体" w:cs="宋体"/>
          <w:color w:val="auto"/>
          <w:szCs w:val="22"/>
          <w:highlight w:val="none"/>
        </w:rPr>
        <w:t>（北京时间）前提交（上传）响应文件。</w:t>
      </w:r>
    </w:p>
    <w:p>
      <w:pPr>
        <w:spacing w:line="360" w:lineRule="auto"/>
        <w:rPr>
          <w:rFonts w:hint="eastAsia" w:ascii="宋体" w:hAnsi="宋体" w:cs="宋体"/>
          <w:color w:val="auto"/>
          <w:highlight w:val="none"/>
        </w:rPr>
      </w:pPr>
      <w:r>
        <w:rPr>
          <w:rFonts w:hint="eastAsia" w:ascii="宋体" w:hAnsi="宋体" w:cs="宋体"/>
          <w:color w:val="auto"/>
          <w:highlight w:val="none"/>
        </w:rPr>
        <w:t>一、项目基本情况</w:t>
      </w:r>
    </w:p>
    <w:p>
      <w:pPr>
        <w:spacing w:line="360" w:lineRule="auto"/>
        <w:rPr>
          <w:rFonts w:hint="eastAsia" w:ascii="宋体" w:hAnsi="宋体" w:eastAsia="宋体" w:cs="宋体"/>
          <w:color w:val="auto"/>
          <w:highlight w:val="none"/>
        </w:rPr>
      </w:pPr>
      <w:r>
        <w:rPr>
          <w:rFonts w:hint="eastAsia" w:ascii="宋体" w:hAnsi="宋体" w:cs="宋体"/>
          <w:color w:val="auto"/>
          <w:highlight w:val="none"/>
        </w:rPr>
        <w:t>    项</w:t>
      </w:r>
      <w:r>
        <w:rPr>
          <w:rFonts w:hint="eastAsia" w:ascii="宋体" w:hAnsi="宋体" w:eastAsia="宋体" w:cs="宋体"/>
          <w:color w:val="auto"/>
          <w:highlight w:val="none"/>
        </w:rPr>
        <w:t>目编号：ZJ-</w:t>
      </w:r>
      <w:r>
        <w:rPr>
          <w:rFonts w:hint="eastAsia" w:ascii="宋体" w:hAnsi="宋体" w:eastAsia="宋体" w:cs="宋体"/>
          <w:color w:val="auto"/>
          <w:highlight w:val="none"/>
          <w:lang w:eastAsia="zh-CN"/>
        </w:rPr>
        <w:t>2232193</w:t>
      </w:r>
      <w:r>
        <w:rPr>
          <w:rFonts w:hint="eastAsia" w:ascii="宋体" w:hAnsi="宋体" w:eastAsia="宋体" w:cs="宋体"/>
          <w:color w:val="auto"/>
          <w:highlight w:val="none"/>
        </w:rPr>
        <w:t>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项目名称： </w:t>
      </w:r>
      <w:r>
        <w:rPr>
          <w:rFonts w:hint="eastAsia" w:ascii="宋体" w:hAnsi="宋体" w:eastAsia="宋体" w:cs="宋体"/>
          <w:color w:val="auto"/>
          <w:highlight w:val="none"/>
          <w:lang w:eastAsia="zh-CN"/>
        </w:rPr>
        <w:t>11#直线加速器机房改造</w:t>
      </w:r>
      <w:r>
        <w:rPr>
          <w:rFonts w:hint="eastAsia" w:ascii="宋体" w:hAnsi="宋体" w:eastAsia="宋体" w:cs="宋体"/>
          <w:color w:val="auto"/>
          <w:highlight w:val="none"/>
        </w:rPr>
        <w:t>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采购方式：竞争性磋商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预算金额（元）：</w:t>
      </w:r>
      <w:r>
        <w:rPr>
          <w:rFonts w:hint="eastAsia" w:ascii="宋体" w:hAnsi="宋体" w:eastAsia="宋体" w:cs="宋体"/>
          <w:color w:val="auto"/>
          <w:highlight w:val="none"/>
          <w:lang w:val="en-US" w:eastAsia="zh-CN"/>
        </w:rPr>
        <w:t>3970000</w:t>
      </w:r>
      <w:r>
        <w:rPr>
          <w:rFonts w:hint="eastAsia" w:ascii="宋体" w:hAnsi="宋体" w:eastAsia="宋体" w:cs="宋体"/>
          <w:color w:val="auto"/>
          <w:highlight w:val="none"/>
        </w:rPr>
        <w:t>元</w:t>
      </w:r>
    </w:p>
    <w:p>
      <w:pPr>
        <w:spacing w:line="360" w:lineRule="auto"/>
        <w:rPr>
          <w:rFonts w:hint="default" w:ascii="宋体" w:hAnsi="宋体" w:eastAsia="宋体" w:cs="宋体"/>
          <w:color w:val="auto"/>
          <w:highlight w:val="none"/>
          <w:lang w:val="en-US"/>
        </w:rPr>
      </w:pPr>
      <w:r>
        <w:rPr>
          <w:rFonts w:hint="eastAsia" w:ascii="宋体" w:hAnsi="宋体" w:eastAsia="宋体" w:cs="宋体"/>
          <w:color w:val="auto"/>
          <w:highlight w:val="none"/>
        </w:rPr>
        <w:t>    最高限价（元）：</w:t>
      </w:r>
      <w:r>
        <w:rPr>
          <w:rFonts w:hint="eastAsia" w:ascii="宋体" w:hAnsi="宋体" w:eastAsia="宋体" w:cs="宋体"/>
          <w:color w:val="auto"/>
          <w:highlight w:val="none"/>
          <w:lang w:val="en-US" w:eastAsia="zh-CN"/>
        </w:rPr>
        <w:t>3970000</w:t>
      </w:r>
      <w:r>
        <w:rPr>
          <w:rFonts w:hint="eastAsia" w:ascii="宋体" w:hAnsi="宋体" w:eastAsia="宋体" w:cs="宋体"/>
          <w:color w:val="auto"/>
          <w:highlight w:val="none"/>
        </w:rPr>
        <w:t>元</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采购需求：</w:t>
      </w:r>
    </w:p>
    <w:p>
      <w:pPr>
        <w:spacing w:line="360" w:lineRule="auto"/>
        <w:ind w:firstLine="630"/>
        <w:rPr>
          <w:rFonts w:hint="eastAsia" w:ascii="宋体" w:hAnsi="宋体" w:cs="宋体"/>
          <w:color w:val="auto"/>
          <w:highlight w:val="none"/>
        </w:rPr>
      </w:pPr>
      <w:r>
        <w:rPr>
          <w:rFonts w:hint="eastAsia" w:ascii="宋体" w:hAnsi="宋体" w:cs="宋体"/>
          <w:color w:val="auto"/>
          <w:highlight w:val="none"/>
        </w:rPr>
        <w:t>数量：1 </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   预算金额（元）：</w:t>
      </w:r>
      <w:r>
        <w:rPr>
          <w:rFonts w:hint="eastAsia" w:ascii="宋体" w:hAnsi="宋体" w:eastAsia="宋体" w:cs="宋体"/>
          <w:color w:val="auto"/>
          <w:highlight w:val="none"/>
          <w:lang w:val="en-US" w:eastAsia="zh-CN"/>
        </w:rPr>
        <w:t>3970000元</w:t>
      </w:r>
    </w:p>
    <w:p>
      <w:pPr>
        <w:spacing w:line="360" w:lineRule="auto"/>
        <w:rPr>
          <w:rFonts w:hint="eastAsia" w:ascii="宋体" w:hAnsi="宋体" w:eastAsia="宋体" w:cs="宋体"/>
          <w:color w:val="auto"/>
          <w:szCs w:val="22"/>
          <w:highlight w:val="none"/>
          <w:lang w:eastAsia="zh-CN"/>
        </w:rPr>
      </w:pPr>
      <w:r>
        <w:rPr>
          <w:rFonts w:hint="eastAsia" w:ascii="宋体" w:hAnsi="宋体" w:cs="宋体"/>
          <w:color w:val="auto"/>
          <w:highlight w:val="none"/>
        </w:rPr>
        <w:t>   </w:t>
      </w:r>
      <w:r>
        <w:rPr>
          <w:rFonts w:hint="eastAsia" w:ascii="宋体" w:hAnsi="宋体" w:cs="宋体"/>
          <w:color w:val="auto"/>
          <w:szCs w:val="22"/>
          <w:highlight w:val="none"/>
        </w:rPr>
        <w:t>单位：</w:t>
      </w:r>
      <w:r>
        <w:rPr>
          <w:rFonts w:hint="eastAsia" w:ascii="宋体" w:hAnsi="宋体" w:cs="宋体"/>
          <w:color w:val="auto"/>
          <w:szCs w:val="22"/>
          <w:highlight w:val="none"/>
          <w:lang w:val="en-US" w:eastAsia="zh-CN"/>
        </w:rPr>
        <w:t>项</w:t>
      </w:r>
    </w:p>
    <w:p>
      <w:pPr>
        <w:spacing w:line="360" w:lineRule="auto"/>
        <w:rPr>
          <w:rFonts w:hint="eastAsia" w:ascii="宋体" w:hAnsi="宋体" w:eastAsia="宋体" w:cs="宋体"/>
          <w:color w:val="auto"/>
          <w:szCs w:val="22"/>
          <w:highlight w:val="none"/>
        </w:rPr>
      </w:pPr>
      <w:r>
        <w:rPr>
          <w:rFonts w:hint="eastAsia" w:ascii="宋体" w:hAnsi="宋体" w:cs="宋体"/>
          <w:color w:val="auto"/>
          <w:szCs w:val="22"/>
          <w:highlight w:val="none"/>
        </w:rPr>
        <w:t>   简</w:t>
      </w:r>
      <w:r>
        <w:rPr>
          <w:rFonts w:hint="eastAsia" w:ascii="宋体" w:hAnsi="宋体" w:eastAsia="宋体" w:cs="宋体"/>
          <w:color w:val="auto"/>
          <w:szCs w:val="22"/>
          <w:highlight w:val="none"/>
        </w:rPr>
        <w:t>要规格描述：包含原建筑拆除，新建机房及附属用房土建、安装</w:t>
      </w:r>
      <w:r>
        <w:rPr>
          <w:rFonts w:hint="eastAsia" w:ascii="宋体" w:hAnsi="宋体" w:eastAsia="宋体" w:cs="宋体"/>
          <w:color w:val="auto"/>
          <w:szCs w:val="22"/>
          <w:highlight w:val="none"/>
          <w:lang w:eastAsia="zh-CN"/>
        </w:rPr>
        <w:t>、防护、</w:t>
      </w:r>
      <w:r>
        <w:rPr>
          <w:rFonts w:hint="eastAsia" w:ascii="宋体" w:hAnsi="宋体" w:eastAsia="宋体" w:cs="宋体"/>
          <w:color w:val="auto"/>
          <w:szCs w:val="22"/>
          <w:highlight w:val="none"/>
        </w:rPr>
        <w:t>装饰、</w:t>
      </w:r>
      <w:r>
        <w:rPr>
          <w:rFonts w:hint="eastAsia" w:ascii="宋体" w:hAnsi="宋体" w:eastAsia="宋体" w:cs="宋体"/>
          <w:color w:val="auto"/>
          <w:szCs w:val="22"/>
          <w:highlight w:val="none"/>
          <w:lang w:eastAsia="zh-CN"/>
        </w:rPr>
        <w:t>钢结构、</w:t>
      </w:r>
      <w:r>
        <w:rPr>
          <w:rFonts w:hint="eastAsia" w:ascii="宋体" w:hAnsi="宋体" w:eastAsia="宋体" w:cs="宋体"/>
          <w:color w:val="auto"/>
          <w:szCs w:val="22"/>
          <w:highlight w:val="none"/>
        </w:rPr>
        <w:t>强弱电、暖通</w:t>
      </w:r>
      <w:r>
        <w:rPr>
          <w:rFonts w:hint="eastAsia" w:ascii="宋体" w:hAnsi="宋体" w:eastAsia="宋体" w:cs="宋体"/>
          <w:color w:val="auto"/>
          <w:szCs w:val="22"/>
          <w:highlight w:val="none"/>
          <w:lang w:eastAsia="zh-CN"/>
        </w:rPr>
        <w:t>、电梯</w:t>
      </w:r>
      <w:r>
        <w:rPr>
          <w:rFonts w:hint="eastAsia" w:ascii="宋体" w:hAnsi="宋体" w:eastAsia="宋体" w:cs="宋体"/>
          <w:color w:val="auto"/>
          <w:szCs w:val="22"/>
          <w:highlight w:val="none"/>
          <w:lang w:val="en-US" w:eastAsia="zh-CN"/>
        </w:rPr>
        <w:t>及附属设备</w:t>
      </w:r>
      <w:r>
        <w:rPr>
          <w:rFonts w:hint="eastAsia" w:ascii="宋体" w:hAnsi="宋体" w:eastAsia="宋体" w:cs="宋体"/>
          <w:color w:val="auto"/>
          <w:szCs w:val="22"/>
          <w:highlight w:val="none"/>
        </w:rPr>
        <w:t>等内容，具体内容见图纸和工程量清单。 </w:t>
      </w:r>
    </w:p>
    <w:p>
      <w:p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备注： </w:t>
      </w:r>
    </w:p>
    <w:p>
      <w:p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合同履约期限：标项 1，</w:t>
      </w:r>
      <w:r>
        <w:rPr>
          <w:rFonts w:hint="eastAsia" w:ascii="宋体" w:hAnsi="宋体" w:eastAsia="宋体" w:cs="宋体"/>
          <w:color w:val="auto"/>
          <w:szCs w:val="22"/>
          <w:highlight w:val="none"/>
          <w:lang w:val="en-US" w:eastAsia="zh-CN"/>
        </w:rPr>
        <w:t>90日历天</w:t>
      </w:r>
      <w:r>
        <w:rPr>
          <w:rFonts w:hint="eastAsia" w:ascii="宋体" w:hAnsi="宋体" w:eastAsia="宋体" w:cs="宋体"/>
          <w:color w:val="auto"/>
          <w:szCs w:val="22"/>
          <w:highlight w:val="none"/>
        </w:rPr>
        <w:t>。  </w:t>
      </w:r>
    </w:p>
    <w:p>
      <w:p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本项目（</w:t>
      </w:r>
      <w:r>
        <w:rPr>
          <w:rFonts w:hint="eastAsia" w:ascii="宋体" w:hAnsi="宋体" w:eastAsia="宋体" w:cs="宋体"/>
          <w:color w:val="auto"/>
          <w:szCs w:val="22"/>
          <w:highlight w:val="none"/>
          <w:lang w:eastAsia="zh-CN"/>
        </w:rPr>
        <w:t>是</w:t>
      </w:r>
      <w:r>
        <w:rPr>
          <w:rFonts w:hint="eastAsia" w:ascii="宋体" w:hAnsi="宋体" w:eastAsia="宋体" w:cs="宋体"/>
          <w:color w:val="auto"/>
          <w:szCs w:val="22"/>
          <w:highlight w:val="none"/>
        </w:rPr>
        <w:t>）接受联合体投标。</w:t>
      </w:r>
    </w:p>
    <w:p>
      <w:pPr>
        <w:spacing w:line="360" w:lineRule="auto"/>
        <w:rPr>
          <w:rFonts w:hint="eastAsia" w:ascii="宋体" w:hAnsi="宋体" w:cs="宋体"/>
          <w:color w:val="auto"/>
          <w:highlight w:val="none"/>
        </w:rPr>
      </w:pPr>
      <w:r>
        <w:rPr>
          <w:rFonts w:hint="eastAsia" w:ascii="宋体" w:hAnsi="宋体" w:cs="宋体"/>
          <w:color w:val="auto"/>
          <w:highlight w:val="none"/>
        </w:rPr>
        <w:t>二、申请人的资格要求：</w:t>
      </w:r>
    </w:p>
    <w:p>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2.落实政府采购政策需满足的资格要求：本项目专门面向中小企业采购（监狱企业及残疾人福利性单位视同小型、微型企业）</w:t>
      </w:r>
    </w:p>
    <w:p>
      <w:p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3.本项目的特定资格要求：</w:t>
      </w:r>
      <w:r>
        <w:rPr>
          <w:rFonts w:hint="eastAsia" w:ascii="宋体" w:hAnsi="宋体" w:eastAsia="宋体" w:cs="宋体"/>
          <w:color w:val="auto"/>
          <w:szCs w:val="22"/>
          <w:highlight w:val="none"/>
          <w:lang w:eastAsia="zh-CN"/>
        </w:rPr>
        <w:t>具有建筑工程施工总承包三级及以上资质</w:t>
      </w:r>
      <w:r>
        <w:rPr>
          <w:rFonts w:hint="eastAsia" w:ascii="宋体" w:hAnsi="宋体" w:eastAsia="宋体" w:cs="宋体"/>
          <w:color w:val="auto"/>
          <w:szCs w:val="22"/>
          <w:highlight w:val="none"/>
        </w:rPr>
        <w:t>，有效的安全生产许可证。</w:t>
      </w:r>
    </w:p>
    <w:p>
      <w:pPr>
        <w:spacing w:line="360" w:lineRule="auto"/>
        <w:rPr>
          <w:rFonts w:hint="eastAsia" w:ascii="宋体" w:hAnsi="宋体" w:cs="宋体"/>
          <w:color w:val="auto"/>
          <w:highlight w:val="none"/>
        </w:rPr>
      </w:pPr>
      <w:r>
        <w:rPr>
          <w:rFonts w:hint="eastAsia" w:ascii="宋体" w:hAnsi="宋体" w:cs="宋体"/>
          <w:color w:val="auto"/>
          <w:highlight w:val="none"/>
        </w:rPr>
        <w:t>三、获取（下载）磋商文件</w:t>
      </w:r>
    </w:p>
    <w:p>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时间：/至2022年</w:t>
      </w:r>
      <w:r>
        <w:rPr>
          <w:rFonts w:hint="eastAsia" w:ascii="宋体" w:hAnsi="宋体" w:cs="宋体"/>
          <w:color w:val="auto"/>
          <w:highlight w:val="none"/>
          <w:lang w:eastAsia="zh-CN"/>
        </w:rPr>
        <w:t>9月7</w:t>
      </w:r>
      <w:r>
        <w:rPr>
          <w:rFonts w:hint="eastAsia" w:ascii="宋体" w:hAnsi="宋体" w:cs="宋体"/>
          <w:color w:val="auto"/>
          <w:highlight w:val="none"/>
        </w:rPr>
        <w:t>日</w:t>
      </w:r>
      <w:r>
        <w:rPr>
          <w:rFonts w:hint="eastAsia" w:ascii="宋体" w:hAnsi="宋体" w:cs="宋体"/>
          <w:color w:val="auto"/>
          <w:szCs w:val="22"/>
          <w:highlight w:val="none"/>
        </w:rPr>
        <w:t xml:space="preserve"> </w:t>
      </w:r>
      <w:r>
        <w:rPr>
          <w:rFonts w:hint="eastAsia" w:ascii="宋体" w:hAnsi="宋体" w:cs="宋体"/>
          <w:color w:val="auto"/>
          <w:highlight w:val="none"/>
        </w:rPr>
        <w:t>，每天上午00:00至12:00，下午12:00至23:59（北京时间，线上获取法定节假日均可，线下获取文件法定节假日除外）</w:t>
      </w:r>
    </w:p>
    <w:p>
      <w:pPr>
        <w:spacing w:line="360" w:lineRule="auto"/>
        <w:rPr>
          <w:rFonts w:hint="eastAsia" w:ascii="宋体" w:hAnsi="宋体" w:cs="宋体"/>
          <w:color w:val="auto"/>
          <w:highlight w:val="none"/>
        </w:rPr>
      </w:pPr>
      <w:r>
        <w:rPr>
          <w:rFonts w:hint="eastAsia" w:ascii="宋体" w:hAnsi="宋体" w:cs="宋体"/>
          <w:color w:val="auto"/>
          <w:highlight w:val="none"/>
        </w:rPr>
        <w:t>    地点（网址）：政府采购云平台（www.zcygov.cn） </w:t>
      </w:r>
    </w:p>
    <w:p>
      <w:pPr>
        <w:spacing w:line="360" w:lineRule="auto"/>
        <w:rPr>
          <w:rFonts w:hint="eastAsia" w:ascii="宋体" w:hAnsi="宋体" w:cs="宋体"/>
          <w:color w:val="auto"/>
          <w:highlight w:val="none"/>
        </w:rPr>
      </w:pPr>
      <w:r>
        <w:rPr>
          <w:rFonts w:hint="eastAsia" w:ascii="宋体" w:hAnsi="宋体" w:cs="宋体"/>
          <w:color w:val="auto"/>
          <w:highlight w:val="none"/>
        </w:rPr>
        <w:t>    方式：自行下载  </w:t>
      </w:r>
    </w:p>
    <w:p>
      <w:pPr>
        <w:spacing w:line="360" w:lineRule="auto"/>
        <w:rPr>
          <w:rFonts w:hint="eastAsia" w:ascii="宋体" w:hAnsi="宋体" w:cs="宋体"/>
          <w:color w:val="auto"/>
          <w:highlight w:val="none"/>
        </w:rPr>
      </w:pPr>
      <w:r>
        <w:rPr>
          <w:rFonts w:hint="eastAsia" w:ascii="宋体" w:hAnsi="宋体" w:cs="宋体"/>
          <w:color w:val="auto"/>
          <w:highlight w:val="none"/>
        </w:rPr>
        <w:t>    售价（元）：0 </w:t>
      </w:r>
    </w:p>
    <w:p>
      <w:pPr>
        <w:spacing w:line="360" w:lineRule="auto"/>
        <w:rPr>
          <w:rFonts w:hint="eastAsia" w:ascii="宋体" w:hAnsi="宋体" w:cs="宋体"/>
          <w:color w:val="auto"/>
          <w:highlight w:val="none"/>
        </w:rPr>
      </w:pPr>
      <w:r>
        <w:rPr>
          <w:rFonts w:hint="eastAsia" w:ascii="宋体" w:hAnsi="宋体" w:cs="宋体"/>
          <w:color w:val="auto"/>
          <w:highlight w:val="none"/>
        </w:rPr>
        <w:t>四、响应文件提交（上传） </w:t>
      </w:r>
    </w:p>
    <w:p>
      <w:pPr>
        <w:spacing w:line="360" w:lineRule="auto"/>
        <w:rPr>
          <w:rFonts w:hint="eastAsia" w:ascii="宋体" w:hAnsi="宋体" w:cs="宋体"/>
          <w:color w:val="auto"/>
          <w:highlight w:val="none"/>
        </w:rPr>
      </w:pPr>
      <w:r>
        <w:rPr>
          <w:rFonts w:hint="eastAsia" w:ascii="宋体" w:hAnsi="宋体" w:cs="宋体"/>
          <w:color w:val="auto"/>
          <w:highlight w:val="none"/>
        </w:rPr>
        <w:t>    截止时间：2022年</w:t>
      </w:r>
      <w:r>
        <w:rPr>
          <w:rFonts w:hint="eastAsia" w:ascii="宋体" w:hAnsi="宋体" w:cs="宋体"/>
          <w:color w:val="auto"/>
          <w:highlight w:val="none"/>
          <w:lang w:eastAsia="zh-CN"/>
        </w:rPr>
        <w:t>9月7</w:t>
      </w:r>
      <w:r>
        <w:rPr>
          <w:rFonts w:hint="eastAsia" w:ascii="宋体" w:hAnsi="宋体" w:cs="宋体"/>
          <w:color w:val="auto"/>
          <w:highlight w:val="none"/>
        </w:rPr>
        <w:t>日</w:t>
      </w:r>
      <w:r>
        <w:rPr>
          <w:rFonts w:hint="eastAsia" w:ascii="宋体" w:hAnsi="宋体" w:cs="宋体"/>
          <w:color w:val="auto"/>
          <w:szCs w:val="22"/>
          <w:highlight w:val="none"/>
          <w:lang w:eastAsia="zh-CN"/>
        </w:rPr>
        <w:t>9:00</w:t>
      </w:r>
      <w:r>
        <w:rPr>
          <w:rFonts w:hint="eastAsia" w:ascii="宋体" w:hAnsi="宋体" w:cs="宋体"/>
          <w:color w:val="auto"/>
          <w:highlight w:val="none"/>
        </w:rPr>
        <w:t>（北京时间）</w:t>
      </w:r>
    </w:p>
    <w:p>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    地点（网址）：在政府采购云平台（www.zcygov.cn）上传响应文件</w:t>
      </w:r>
    </w:p>
    <w:p>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五、响应文件开启 </w:t>
      </w:r>
    </w:p>
    <w:p>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    开启时间：2022年</w:t>
      </w:r>
      <w:r>
        <w:rPr>
          <w:rFonts w:hint="eastAsia" w:ascii="宋体" w:hAnsi="宋体" w:cs="宋体"/>
          <w:color w:val="auto"/>
          <w:szCs w:val="22"/>
          <w:highlight w:val="none"/>
          <w:lang w:eastAsia="zh-CN"/>
        </w:rPr>
        <w:t>9月7</w:t>
      </w:r>
      <w:r>
        <w:rPr>
          <w:rFonts w:hint="eastAsia" w:ascii="宋体" w:hAnsi="宋体" w:cs="宋体"/>
          <w:color w:val="auto"/>
          <w:szCs w:val="22"/>
          <w:highlight w:val="none"/>
        </w:rPr>
        <w:t xml:space="preserve">日 </w:t>
      </w:r>
      <w:r>
        <w:rPr>
          <w:rFonts w:hint="eastAsia" w:ascii="宋体" w:hAnsi="宋体" w:cs="宋体"/>
          <w:color w:val="auto"/>
          <w:szCs w:val="22"/>
          <w:highlight w:val="none"/>
          <w:lang w:eastAsia="zh-CN"/>
        </w:rPr>
        <w:t>9:00</w:t>
      </w:r>
      <w:r>
        <w:rPr>
          <w:rFonts w:hint="eastAsia" w:ascii="宋体" w:hAnsi="宋体" w:cs="宋体"/>
          <w:color w:val="auto"/>
          <w:szCs w:val="22"/>
          <w:highlight w:val="none"/>
        </w:rPr>
        <w:t>（北京时间）</w:t>
      </w:r>
    </w:p>
    <w:p>
      <w:pPr>
        <w:spacing w:line="360" w:lineRule="auto"/>
        <w:rPr>
          <w:rFonts w:hint="eastAsia" w:ascii="宋体" w:hAnsi="宋体" w:cs="宋体"/>
          <w:color w:val="auto"/>
          <w:szCs w:val="22"/>
          <w:highlight w:val="none"/>
        </w:rPr>
      </w:pPr>
      <w:r>
        <w:rPr>
          <w:rFonts w:hint="eastAsia" w:ascii="宋体" w:hAnsi="宋体" w:cs="宋体"/>
          <w:color w:val="auto"/>
          <w:szCs w:val="22"/>
          <w:highlight w:val="none"/>
        </w:rPr>
        <w:t>    地点（网址）：在政府采购云平台（www.zcygov.cn）上开启响应文件；供应商应按磋商文件规定的方式和时间在线解密</w:t>
      </w:r>
    </w:p>
    <w:p>
      <w:pPr>
        <w:spacing w:line="360" w:lineRule="auto"/>
        <w:rPr>
          <w:rFonts w:hint="eastAsia" w:ascii="宋体" w:hAnsi="宋体" w:cs="宋体"/>
          <w:color w:val="auto"/>
          <w:highlight w:val="none"/>
        </w:rPr>
      </w:pPr>
      <w:r>
        <w:rPr>
          <w:rFonts w:hint="eastAsia" w:ascii="宋体" w:hAnsi="宋体" w:cs="宋体"/>
          <w:color w:val="auto"/>
          <w:highlight w:val="none"/>
        </w:rPr>
        <w:t>六、公告期限</w:t>
      </w:r>
    </w:p>
    <w:p>
      <w:pPr>
        <w:spacing w:line="360" w:lineRule="auto"/>
        <w:rPr>
          <w:rFonts w:hint="eastAsia" w:ascii="宋体" w:hAnsi="宋体" w:cs="宋体"/>
          <w:color w:val="auto"/>
          <w:highlight w:val="none"/>
        </w:rPr>
      </w:pPr>
      <w:r>
        <w:rPr>
          <w:rFonts w:hint="eastAsia" w:ascii="宋体" w:hAnsi="宋体" w:cs="宋体"/>
          <w:color w:val="auto"/>
          <w:highlight w:val="none"/>
        </w:rPr>
        <w:t>    自本公告发布之日起3个工作日。</w:t>
      </w:r>
    </w:p>
    <w:p>
      <w:pPr>
        <w:spacing w:line="360" w:lineRule="auto"/>
        <w:rPr>
          <w:rFonts w:hint="eastAsia" w:ascii="宋体" w:hAnsi="宋体" w:cs="宋体"/>
          <w:color w:val="auto"/>
          <w:highlight w:val="none"/>
        </w:rPr>
      </w:pPr>
      <w:r>
        <w:rPr>
          <w:rFonts w:hint="eastAsia" w:ascii="宋体" w:hAnsi="宋体" w:cs="宋体"/>
          <w:color w:val="auto"/>
          <w:highlight w:val="none"/>
        </w:rPr>
        <w:t>七、其他补充事宜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认为磋商文件使自己的权益受到损害的，可以自获取磋商文件之日或者采购公告期限届满之日（公告期限届满后获取磋商文件的，以公告期限届满之日为准）起7个工作日内，对磋商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（3）单位负责人为同一人或者存在直接控股、管理关系的不同供应商，不得同时参加同一合同项下的投标。</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（4）为项目提供整体设计、规范编制或者项目管理、监理、检测等服务的供应商，不得参加该项目的投标。</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（5）本项目磋商文件公告期限为本公告发布之日起5个工作日。</w:t>
      </w:r>
    </w:p>
    <w:p>
      <w:pPr>
        <w:spacing w:line="360" w:lineRule="auto"/>
        <w:rPr>
          <w:rFonts w:hint="eastAsia" w:ascii="宋体" w:hAnsi="宋体" w:cs="宋体"/>
          <w:color w:val="auto"/>
          <w:highlight w:val="none"/>
        </w:rPr>
      </w:pPr>
      <w:r>
        <w:rPr>
          <w:rFonts w:hint="eastAsia" w:ascii="宋体" w:hAnsi="宋体" w:cs="宋体"/>
          <w:color w:val="auto"/>
          <w:highlight w:val="none"/>
        </w:rPr>
        <w:t>八、凡对本次采购提出询问、质疑、投诉，请按以下方式联系</w:t>
      </w:r>
    </w:p>
    <w:p>
      <w:pPr>
        <w:spacing w:line="360" w:lineRule="auto"/>
        <w:rPr>
          <w:rFonts w:hint="eastAsia" w:ascii="宋体" w:hAnsi="宋体" w:cs="宋体"/>
          <w:color w:val="auto"/>
          <w:highlight w:val="none"/>
        </w:rPr>
      </w:pPr>
      <w:r>
        <w:rPr>
          <w:rFonts w:hint="eastAsia" w:ascii="宋体" w:hAnsi="宋体" w:cs="宋体"/>
          <w:color w:val="auto"/>
          <w:highlight w:val="none"/>
        </w:rPr>
        <w:t>    1.采购人信息</w:t>
      </w:r>
    </w:p>
    <w:p>
      <w:pPr>
        <w:spacing w:line="360" w:lineRule="auto"/>
        <w:rPr>
          <w:rFonts w:hint="eastAsia"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名    称：浙江省肿瘤医院 </w:t>
      </w:r>
    </w:p>
    <w:p>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 xml:space="preserve">地    址：杭州市拱墅区半山东路1号 </w:t>
      </w:r>
    </w:p>
    <w:p>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 xml:space="preserve">项目联系人（询问）：席先生 </w:t>
      </w:r>
    </w:p>
    <w:p>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项目联系方式（询问）：0571-88128109</w:t>
      </w:r>
    </w:p>
    <w:p>
      <w:pPr>
        <w:spacing w:line="360" w:lineRule="auto"/>
        <w:ind w:firstLine="630" w:firstLineChars="300"/>
        <w:rPr>
          <w:rFonts w:hint="eastAsia" w:ascii="宋体" w:hAnsi="宋体" w:cs="宋体"/>
          <w:color w:val="auto"/>
          <w:highlight w:val="none"/>
          <w:lang w:val="en-US" w:eastAsia="zh-CN"/>
        </w:rPr>
      </w:pPr>
      <w:r>
        <w:rPr>
          <w:rFonts w:hint="eastAsia" w:ascii="宋体" w:hAnsi="宋体" w:cs="宋体"/>
          <w:color w:val="auto"/>
          <w:highlight w:val="none"/>
        </w:rPr>
        <w:t>质疑联系人：徐</w:t>
      </w:r>
      <w:r>
        <w:rPr>
          <w:rFonts w:hint="eastAsia" w:ascii="宋体" w:hAnsi="宋体" w:cs="宋体"/>
          <w:color w:val="auto"/>
          <w:highlight w:val="none"/>
          <w:lang w:val="en-US" w:eastAsia="zh-CN"/>
        </w:rPr>
        <w:t>女士</w:t>
      </w:r>
    </w:p>
    <w:p>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质疑联系方式：0571-88122523</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br w:type="textWrapping"/>
      </w:r>
      <w:r>
        <w:rPr>
          <w:rFonts w:hint="eastAsia" w:ascii="宋体" w:hAnsi="宋体" w:cs="宋体"/>
          <w:color w:val="auto"/>
          <w:highlight w:val="none"/>
        </w:rPr>
        <w:t>    2.采购代理机构信息</w:t>
      </w:r>
    </w:p>
    <w:p>
      <w:pPr>
        <w:spacing w:line="360" w:lineRule="auto"/>
        <w:rPr>
          <w:rFonts w:hint="eastAsia" w:ascii="宋体" w:hAnsi="宋体" w:cs="宋体"/>
          <w:color w:val="auto"/>
          <w:highlight w:val="none"/>
        </w:rPr>
      </w:pPr>
      <w:r>
        <w:rPr>
          <w:rFonts w:hint="eastAsia" w:ascii="宋体" w:hAnsi="宋体" w:cs="宋体"/>
          <w:color w:val="auto"/>
          <w:highlight w:val="none"/>
        </w:rPr>
        <w:t>    名    称：浙江国际招投标有限公司 </w:t>
      </w:r>
    </w:p>
    <w:p>
      <w:pPr>
        <w:spacing w:line="360" w:lineRule="auto"/>
        <w:rPr>
          <w:rFonts w:hint="eastAsia" w:ascii="宋体" w:hAnsi="宋体" w:cs="宋体"/>
          <w:color w:val="auto"/>
          <w:highlight w:val="none"/>
        </w:rPr>
      </w:pPr>
      <w:r>
        <w:rPr>
          <w:rFonts w:hint="eastAsia" w:ascii="宋体" w:hAnsi="宋体" w:cs="宋体"/>
          <w:color w:val="auto"/>
          <w:highlight w:val="none"/>
        </w:rPr>
        <w:t>    地    址：杭州市文三路90号东部软件园1号楼3楼 </w:t>
      </w:r>
    </w:p>
    <w:p>
      <w:pPr>
        <w:spacing w:line="360" w:lineRule="auto"/>
        <w:rPr>
          <w:rFonts w:hint="eastAsia" w:ascii="宋体" w:hAnsi="宋体" w:cs="宋体"/>
          <w:color w:val="auto"/>
          <w:highlight w:val="none"/>
        </w:rPr>
      </w:pPr>
      <w:r>
        <w:rPr>
          <w:rFonts w:hint="eastAsia" w:ascii="宋体" w:hAnsi="宋体" w:cs="宋体"/>
          <w:color w:val="auto"/>
          <w:highlight w:val="none"/>
        </w:rPr>
        <w:t>    项目联系人（询问）：苑洪春、李博 </w:t>
      </w:r>
    </w:p>
    <w:p>
      <w:pPr>
        <w:spacing w:line="360" w:lineRule="auto"/>
        <w:rPr>
          <w:rFonts w:ascii="宋体" w:hAnsi="宋体" w:cs="宋体"/>
          <w:color w:val="auto"/>
          <w:highlight w:val="none"/>
        </w:rPr>
      </w:pPr>
      <w:r>
        <w:rPr>
          <w:rFonts w:hint="eastAsia" w:ascii="宋体" w:hAnsi="宋体" w:cs="宋体"/>
          <w:color w:val="auto"/>
          <w:highlight w:val="none"/>
        </w:rPr>
        <w:t>    项目联系方式（询问）：0571-81061814，0571-81061817</w:t>
      </w:r>
    </w:p>
    <w:p>
      <w:pPr>
        <w:spacing w:line="360" w:lineRule="auto"/>
        <w:rPr>
          <w:rFonts w:hint="eastAsia" w:ascii="宋体" w:hAnsi="宋体" w:cs="宋体"/>
          <w:color w:val="auto"/>
          <w:highlight w:val="none"/>
        </w:rPr>
      </w:pPr>
      <w:r>
        <w:rPr>
          <w:rFonts w:hint="eastAsia" w:ascii="宋体" w:hAnsi="宋体" w:cs="宋体"/>
          <w:color w:val="auto"/>
          <w:highlight w:val="none"/>
        </w:rPr>
        <w:t>    质疑联系人：张域</w:t>
      </w:r>
    </w:p>
    <w:p>
      <w:pPr>
        <w:spacing w:line="360" w:lineRule="auto"/>
        <w:rPr>
          <w:rFonts w:hint="eastAsia" w:ascii="宋体" w:hAnsi="宋体" w:cs="宋体"/>
          <w:color w:val="auto"/>
          <w:highlight w:val="none"/>
        </w:rPr>
      </w:pPr>
      <w:r>
        <w:rPr>
          <w:rFonts w:hint="eastAsia" w:ascii="宋体" w:hAnsi="宋体" w:cs="宋体"/>
          <w:color w:val="auto"/>
          <w:highlight w:val="none"/>
        </w:rPr>
        <w:t>    质疑联系方式：0571-81061813 </w:t>
      </w:r>
    </w:p>
    <w:p>
      <w:pPr>
        <w:spacing w:line="360" w:lineRule="auto"/>
        <w:rPr>
          <w:rFonts w:hint="eastAsia"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br w:type="textWrapping"/>
      </w:r>
      <w:r>
        <w:rPr>
          <w:rFonts w:hint="eastAsia" w:ascii="宋体" w:hAnsi="宋体" w:cs="宋体"/>
          <w:color w:val="auto"/>
          <w:highlight w:val="none"/>
        </w:rPr>
        <w:t>    3.同级政府采购监督管理部门</w:t>
      </w:r>
    </w:p>
    <w:p>
      <w:pPr>
        <w:spacing w:line="360" w:lineRule="auto"/>
        <w:rPr>
          <w:rFonts w:hint="eastAsia" w:ascii="宋体" w:hAnsi="宋体" w:cs="宋体"/>
          <w:color w:val="auto"/>
          <w:highlight w:val="none"/>
        </w:rPr>
      </w:pPr>
      <w:r>
        <w:rPr>
          <w:rFonts w:hint="eastAsia" w:ascii="宋体" w:hAnsi="宋体" w:cs="宋体"/>
          <w:color w:val="auto"/>
          <w:highlight w:val="none"/>
        </w:rPr>
        <w:t>    名    称：浙江省财政厅政府采购监管处 </w:t>
      </w:r>
    </w:p>
    <w:p>
      <w:pPr>
        <w:spacing w:line="360" w:lineRule="auto"/>
        <w:rPr>
          <w:rFonts w:hint="eastAsia" w:ascii="宋体" w:hAnsi="宋体" w:cs="宋体"/>
          <w:color w:val="auto"/>
          <w:highlight w:val="none"/>
        </w:rPr>
      </w:pPr>
      <w:r>
        <w:rPr>
          <w:rFonts w:hint="eastAsia" w:ascii="宋体" w:hAnsi="宋体" w:cs="宋体"/>
          <w:color w:val="auto"/>
          <w:highlight w:val="none"/>
        </w:rPr>
        <w:t>    地    址：杭州市环城西路37号 </w:t>
      </w:r>
    </w:p>
    <w:p>
      <w:pPr>
        <w:spacing w:line="360" w:lineRule="auto"/>
        <w:rPr>
          <w:rFonts w:hint="eastAsia" w:ascii="宋体" w:hAnsi="宋体" w:cs="宋体"/>
          <w:color w:val="auto"/>
          <w:highlight w:val="none"/>
        </w:rPr>
      </w:pPr>
      <w:r>
        <w:rPr>
          <w:rFonts w:hint="eastAsia" w:ascii="宋体" w:hAnsi="宋体" w:cs="宋体"/>
          <w:color w:val="auto"/>
          <w:highlight w:val="none"/>
        </w:rPr>
        <w:t>    传    真：/ </w:t>
      </w:r>
    </w:p>
    <w:p>
      <w:pPr>
        <w:spacing w:line="360" w:lineRule="auto"/>
        <w:rPr>
          <w:rFonts w:hint="eastAsia" w:ascii="宋体" w:hAnsi="宋体" w:cs="宋体"/>
          <w:color w:val="auto"/>
          <w:highlight w:val="none"/>
        </w:rPr>
      </w:pPr>
      <w:r>
        <w:rPr>
          <w:rFonts w:hint="eastAsia" w:ascii="宋体" w:hAnsi="宋体" w:cs="宋体"/>
          <w:color w:val="auto"/>
          <w:highlight w:val="none"/>
        </w:rPr>
        <w:t>    联系人 ：倪文良、吴聪瑜 </w:t>
      </w:r>
    </w:p>
    <w:p>
      <w:pPr>
        <w:spacing w:line="360" w:lineRule="auto"/>
        <w:rPr>
          <w:rFonts w:hint="eastAsia" w:ascii="宋体" w:hAnsi="宋体" w:cs="宋体"/>
          <w:color w:val="auto"/>
          <w:highlight w:val="none"/>
        </w:rPr>
      </w:pPr>
      <w:r>
        <w:rPr>
          <w:rFonts w:hint="eastAsia" w:ascii="宋体" w:hAnsi="宋体" w:cs="宋体"/>
          <w:color w:val="auto"/>
          <w:highlight w:val="none"/>
        </w:rPr>
        <w:t>    监督投诉电话：0571-87057615、87058489</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hint="eastAsia" w:ascii="宋体" w:hAnsi="宋体" w:cs="宋体"/>
          <w:color w:val="auto"/>
          <w:highlight w:val="none"/>
        </w:rPr>
      </w:pPr>
      <w:r>
        <w:rPr>
          <w:rFonts w:hint="eastAsia" w:ascii="宋体" w:hAnsi="宋体" w:cs="宋体"/>
          <w:color w:val="auto"/>
          <w:highlight w:val="none"/>
        </w:rPr>
        <w:t>CA问题联系电话（人工）：汇信CA 400-888-4636；天谷CA 400-087-8198。</w:t>
      </w:r>
    </w:p>
    <w:p>
      <w:pPr>
        <w:adjustRightInd w:val="0"/>
        <w:snapToGrid w:val="0"/>
        <w:spacing w:line="360" w:lineRule="auto"/>
        <w:ind w:right="480"/>
        <w:jc w:val="center"/>
        <w:rPr>
          <w:rFonts w:hint="eastAsia" w:ascii="宋体" w:hAnsi="宋体" w:cs="宋体"/>
          <w:b/>
          <w:color w:val="auto"/>
          <w:sz w:val="32"/>
          <w:highlight w:val="none"/>
        </w:rPr>
      </w:pPr>
      <w:r>
        <w:rPr>
          <w:rFonts w:hint="eastAsia" w:ascii="宋体" w:hAnsi="宋体" w:cs="宋体"/>
          <w:color w:val="auto"/>
          <w:sz w:val="24"/>
          <w:highlight w:val="none"/>
        </w:rPr>
        <w:br w:type="page"/>
      </w:r>
      <w:r>
        <w:rPr>
          <w:rFonts w:hint="eastAsia" w:ascii="宋体" w:hAnsi="宋体" w:cs="宋体"/>
          <w:b/>
          <w:color w:val="auto"/>
          <w:sz w:val="32"/>
          <w:highlight w:val="none"/>
        </w:rPr>
        <w:t>前附表</w:t>
      </w:r>
      <w:bookmarkEnd w:id="3"/>
      <w:bookmarkStart w:id="4" w:name="_Toc183786414"/>
      <w:bookmarkStart w:id="5" w:name="_Toc118516210"/>
      <w:bookmarkStart w:id="6" w:name="_Toc171394914"/>
    </w:p>
    <w:tbl>
      <w:tblPr>
        <w:tblStyle w:val="33"/>
        <w:tblW w:w="957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0"/>
        <w:gridCol w:w="2315"/>
        <w:gridCol w:w="62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序号</w:t>
            </w:r>
          </w:p>
        </w:tc>
        <w:tc>
          <w:tcPr>
            <w:tcW w:w="2315"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名称</w:t>
            </w:r>
          </w:p>
        </w:tc>
        <w:tc>
          <w:tcPr>
            <w:tcW w:w="6299"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w:t>
            </w:r>
          </w:p>
        </w:tc>
        <w:tc>
          <w:tcPr>
            <w:tcW w:w="2315" w:type="dxa"/>
            <w:noWrap w:val="0"/>
            <w:vAlign w:val="center"/>
          </w:tcPr>
          <w:p>
            <w:pPr>
              <w:widowControl/>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6299" w:type="dxa"/>
            <w:noWrap w:val="0"/>
            <w:vAlign w:val="center"/>
          </w:tcPr>
          <w:p>
            <w:pPr>
              <w:widowControl/>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采购人：浙江省肿瘤医院</w:t>
            </w:r>
          </w:p>
          <w:p>
            <w:pPr>
              <w:widowControl/>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采购人地址：杭州市拱墅区半山东路1号</w:t>
            </w:r>
          </w:p>
          <w:p>
            <w:pPr>
              <w:widowControl/>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highlight w:val="none"/>
              </w:rPr>
              <w:t xml:space="preserve"> 席先生</w:t>
            </w:r>
          </w:p>
          <w:p>
            <w:pPr>
              <w:widowControl/>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联系电话：0571-88128109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采购代理机构</w:t>
            </w:r>
          </w:p>
        </w:tc>
        <w:tc>
          <w:tcPr>
            <w:tcW w:w="6299" w:type="dxa"/>
            <w:noWrap w:val="0"/>
            <w:vAlign w:val="center"/>
          </w:tcPr>
          <w:p>
            <w:pPr>
              <w:pStyle w:val="88"/>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名称：浙江国际招投标有限公司</w:t>
            </w:r>
          </w:p>
          <w:p>
            <w:pPr>
              <w:pStyle w:val="88"/>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地址：杭州市文三路90号东部软件园1号楼3楼</w:t>
            </w:r>
          </w:p>
          <w:p>
            <w:pPr>
              <w:pStyle w:val="88"/>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联系人：苑洪春、李博</w:t>
            </w:r>
          </w:p>
          <w:p>
            <w:pPr>
              <w:pStyle w:val="88"/>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联系电话：0571-81061814、0571-81061817、13065702633</w:t>
            </w:r>
          </w:p>
          <w:p>
            <w:pPr>
              <w:pStyle w:val="88"/>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邮编：310012  </w:t>
            </w:r>
          </w:p>
          <w:p>
            <w:pPr>
              <w:pStyle w:val="88"/>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踏勘现场</w:t>
            </w:r>
          </w:p>
        </w:tc>
        <w:tc>
          <w:tcPr>
            <w:tcW w:w="6299" w:type="dxa"/>
            <w:noWrap w:val="0"/>
            <w:vAlign w:val="center"/>
          </w:tcPr>
          <w:p>
            <w:pPr>
              <w:pStyle w:val="88"/>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自行踏勘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联系人：</w:t>
            </w:r>
            <w:r>
              <w:rPr>
                <w:rFonts w:hint="eastAsia" w:ascii="宋体" w:hAnsi="宋体" w:cs="宋体"/>
              </w:rPr>
              <w:t>朱工</w:t>
            </w:r>
            <w:r>
              <w:rPr>
                <w:rFonts w:hint="eastAsia" w:ascii="宋体" w:hAnsi="宋体" w:cs="宋体"/>
                <w:szCs w:val="21"/>
              </w:rPr>
              <w:t>，电话：0571-</w:t>
            </w:r>
            <w:r>
              <w:rPr>
                <w:rFonts w:ascii="宋体" w:hAnsi="宋体" w:cs="宋体"/>
                <w:szCs w:val="21"/>
              </w:rPr>
              <w:t>88128019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资金来源</w:t>
            </w:r>
          </w:p>
        </w:tc>
        <w:tc>
          <w:tcPr>
            <w:tcW w:w="6299" w:type="dxa"/>
            <w:noWrap w:val="0"/>
            <w:vAlign w:val="center"/>
          </w:tcPr>
          <w:p>
            <w:pPr>
              <w:pStyle w:val="88"/>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5</w:t>
            </w:r>
          </w:p>
        </w:tc>
        <w:tc>
          <w:tcPr>
            <w:tcW w:w="2315" w:type="dxa"/>
            <w:noWrap w:val="0"/>
            <w:vAlign w:val="center"/>
          </w:tcPr>
          <w:p>
            <w:pPr>
              <w:pStyle w:val="88"/>
              <w:snapToGrid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环境标志产品</w:t>
            </w:r>
          </w:p>
          <w:p>
            <w:pPr>
              <w:pStyle w:val="88"/>
              <w:snapToGrid w:val="0"/>
              <w:spacing w:line="360" w:lineRule="auto"/>
              <w:ind w:firstLine="0" w:firstLineChars="0"/>
              <w:jc w:val="left"/>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color w:val="auto"/>
                <w:sz w:val="21"/>
                <w:szCs w:val="21"/>
                <w:highlight w:val="none"/>
              </w:rPr>
              <w:t>节能产品</w:t>
            </w:r>
          </w:p>
        </w:tc>
        <w:tc>
          <w:tcPr>
            <w:tcW w:w="6299" w:type="dxa"/>
            <w:noWrap w:val="0"/>
            <w:vAlign w:val="center"/>
          </w:tcPr>
          <w:p>
            <w:pPr>
              <w:autoSpaceDE w:val="0"/>
              <w:autoSpaceDN w:val="0"/>
              <w:adjustRightInd w:val="0"/>
              <w:snapToGrid w:val="0"/>
              <w:spacing w:line="360" w:lineRule="auto"/>
              <w:ind w:right="105" w:rightChars="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优先采购环境标志产品政策，</w:t>
            </w:r>
            <w:r>
              <w:rPr>
                <w:rFonts w:hint="eastAsia" w:ascii="宋体" w:hAnsi="宋体" w:eastAsia="宋体" w:cs="宋体"/>
                <w:color w:val="auto"/>
                <w:sz w:val="21"/>
                <w:szCs w:val="21"/>
                <w:highlight w:val="none"/>
              </w:rPr>
              <w:t>节能产品政策</w:t>
            </w:r>
          </w:p>
          <w:p>
            <w:pPr>
              <w:autoSpaceDE w:val="0"/>
              <w:autoSpaceDN w:val="0"/>
              <w:adjustRightInd w:val="0"/>
              <w:snapToGrid w:val="0"/>
              <w:spacing w:line="360" w:lineRule="auto"/>
              <w:ind w:right="105" w:rightChars="5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 xml:space="preserve">适用  </w:t>
            </w:r>
            <w:r>
              <w:rPr>
                <w:rFonts w:hint="eastAsia" w:ascii="宋体" w:hAnsi="宋体" w:eastAsia="宋体" w:cs="宋体"/>
                <w:snapToGrid w:val="0"/>
                <w:color w:val="auto"/>
                <w:sz w:val="21"/>
                <w:szCs w:val="21"/>
                <w:highlight w:val="none"/>
                <w:lang w:val="en-US" w:eastAsia="zh-CN"/>
              </w:rPr>
              <w:fldChar w:fldCharType="begin"/>
            </w:r>
            <w:r>
              <w:rPr>
                <w:rFonts w:hint="eastAsia" w:ascii="宋体" w:hAnsi="宋体" w:eastAsia="宋体" w:cs="宋体"/>
                <w:snapToGrid w:val="0"/>
                <w:color w:val="auto"/>
                <w:sz w:val="21"/>
                <w:szCs w:val="21"/>
                <w:highlight w:val="none"/>
                <w:lang w:val="en-US" w:eastAsia="zh-CN"/>
              </w:rPr>
              <w:instrText xml:space="preserve"> eq \o\ac(</w:instrText>
            </w:r>
            <w:r>
              <w:rPr>
                <w:rFonts w:hint="eastAsia" w:ascii="宋体" w:hAnsi="宋体" w:eastAsia="宋体" w:cs="宋体"/>
                <w:snapToGrid w:val="0"/>
                <w:color w:val="auto"/>
                <w:position w:val="-4"/>
                <w:sz w:val="31"/>
                <w:szCs w:val="21"/>
                <w:highlight w:val="none"/>
                <w:lang w:val="en-US" w:eastAsia="zh-CN"/>
              </w:rPr>
              <w:instrText xml:space="preserve">□</w:instrText>
            </w:r>
            <w:r>
              <w:rPr>
                <w:rFonts w:hint="eastAsia" w:ascii="宋体" w:hAnsi="宋体" w:eastAsia="宋体" w:cs="宋体"/>
                <w:snapToGrid w:val="0"/>
                <w:color w:val="auto"/>
                <w:position w:val="0"/>
                <w:sz w:val="21"/>
                <w:szCs w:val="21"/>
                <w:highlight w:val="none"/>
                <w:lang w:val="en-US" w:eastAsia="zh-CN"/>
              </w:rPr>
              <w:instrText xml:space="preserve">,√)</w:instrText>
            </w:r>
            <w:r>
              <w:rPr>
                <w:rFonts w:hint="eastAsia" w:ascii="宋体" w:hAnsi="宋体" w:eastAsia="宋体" w:cs="宋体"/>
                <w:snapToGrid w:val="0"/>
                <w:color w:val="auto"/>
                <w:sz w:val="21"/>
                <w:szCs w:val="21"/>
                <w:highlight w:val="none"/>
                <w:lang w:val="en-US" w:eastAsia="zh-CN"/>
              </w:rPr>
              <w:fldChar w:fldCharType="end"/>
            </w:r>
            <w:r>
              <w:rPr>
                <w:rFonts w:hint="eastAsia" w:ascii="宋体" w:hAnsi="宋体" w:eastAsia="宋体" w:cs="宋体"/>
                <w:color w:val="auto"/>
                <w:kern w:val="0"/>
                <w:sz w:val="21"/>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6</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投标产品主体</w:t>
            </w:r>
          </w:p>
        </w:tc>
        <w:tc>
          <w:tcPr>
            <w:tcW w:w="6299" w:type="dxa"/>
            <w:noWrap w:val="0"/>
            <w:vAlign w:val="center"/>
          </w:tcPr>
          <w:p>
            <w:pPr>
              <w:autoSpaceDE w:val="0"/>
              <w:autoSpaceDN w:val="0"/>
              <w:adjustRightInd w:val="0"/>
              <w:snapToGrid w:val="0"/>
              <w:spacing w:line="360" w:lineRule="auto"/>
              <w:ind w:right="105" w:rightChars="5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7</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响应保证金</w:t>
            </w:r>
          </w:p>
        </w:tc>
        <w:tc>
          <w:tcPr>
            <w:tcW w:w="6299" w:type="dxa"/>
            <w:noWrap w:val="0"/>
            <w:vAlign w:val="center"/>
          </w:tcPr>
          <w:p>
            <w:pPr>
              <w:pStyle w:val="88"/>
              <w:snapToGrid w:val="0"/>
              <w:spacing w:line="360" w:lineRule="auto"/>
              <w:ind w:firstLine="0" w:firstLineChars="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w:t>
            </w:r>
            <w:r>
              <w:rPr>
                <w:rFonts w:hint="eastAsia" w:ascii="宋体" w:hAnsi="宋体" w:cs="宋体"/>
                <w:bCs/>
                <w:snapToGrid w:val="0"/>
                <w:color w:val="auto"/>
                <w:szCs w:val="21"/>
                <w:highlight w:val="none"/>
              </w:rPr>
              <w:t xml:space="preserve">适用  </w:t>
            </w:r>
            <w:r>
              <w:rPr>
                <w:rFonts w:hint="eastAsia" w:ascii="宋体" w:hAnsi="宋体" w:cs="宋体"/>
                <w:snapToGrid w:val="0"/>
                <w:color w:val="auto"/>
                <w:szCs w:val="21"/>
                <w:highlight w:val="none"/>
              </w:rPr>
              <w:fldChar w:fldCharType="begin"/>
            </w:r>
            <w:r>
              <w:rPr>
                <w:rFonts w:hint="eastAsia" w:ascii="宋体" w:hAnsi="宋体" w:cs="宋体"/>
                <w:snapToGrid w:val="0"/>
                <w:color w:val="auto"/>
                <w:szCs w:val="21"/>
                <w:highlight w:val="none"/>
              </w:rPr>
              <w:instrText xml:space="preserve"> eq \o\ac(</w:instrText>
            </w:r>
            <w:r>
              <w:rPr>
                <w:rFonts w:hint="eastAsia" w:ascii="宋体" w:hAnsi="宋体" w:cs="宋体"/>
                <w:snapToGrid w:val="0"/>
                <w:color w:val="auto"/>
                <w:position w:val="-4"/>
                <w:sz w:val="31"/>
                <w:szCs w:val="21"/>
                <w:highlight w:val="none"/>
              </w:rPr>
              <w:instrText xml:space="preserve">□</w:instrText>
            </w:r>
            <w:r>
              <w:rPr>
                <w:rFonts w:hint="eastAsia" w:ascii="宋体" w:hAnsi="宋体" w:cs="宋体"/>
                <w:snapToGrid w:val="0"/>
                <w:color w:val="auto"/>
                <w:szCs w:val="21"/>
                <w:highlight w:val="none"/>
              </w:rPr>
              <w:instrText xml:space="preserve">,√)</w:instrText>
            </w:r>
            <w:r>
              <w:rPr>
                <w:rFonts w:hint="eastAsia" w:ascii="宋体" w:hAnsi="宋体" w:cs="宋体"/>
                <w:snapToGrid w:val="0"/>
                <w:color w:val="auto"/>
                <w:szCs w:val="21"/>
                <w:highlight w:val="none"/>
              </w:rPr>
              <w:fldChar w:fldCharType="end"/>
            </w:r>
            <w:r>
              <w:rPr>
                <w:rFonts w:hint="eastAsia" w:ascii="宋体" w:hAnsi="宋体" w:cs="宋体"/>
                <w:snapToGrid w:val="0"/>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8</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响应文件有效期</w:t>
            </w:r>
          </w:p>
        </w:tc>
        <w:tc>
          <w:tcPr>
            <w:tcW w:w="6299" w:type="dxa"/>
            <w:noWrap w:val="0"/>
            <w:vAlign w:val="center"/>
          </w:tcPr>
          <w:p>
            <w:pPr>
              <w:widowControl/>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自磋商截止时间起90天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9</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bCs/>
                <w:snapToGrid w:val="0"/>
                <w:color w:val="auto"/>
                <w:szCs w:val="21"/>
                <w:highlight w:val="none"/>
              </w:rPr>
              <w:t>提交首次响应文件截止时间</w:t>
            </w:r>
          </w:p>
        </w:tc>
        <w:tc>
          <w:tcPr>
            <w:tcW w:w="6299" w:type="dxa"/>
            <w:noWrap w:val="0"/>
            <w:vAlign w:val="center"/>
          </w:tcPr>
          <w:p>
            <w:pPr>
              <w:pStyle w:val="88"/>
              <w:snapToGrid w:val="0"/>
              <w:spacing w:line="360" w:lineRule="auto"/>
              <w:ind w:firstLine="0" w:firstLineChars="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10</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响应文件递交地点</w:t>
            </w:r>
          </w:p>
        </w:tc>
        <w:tc>
          <w:tcPr>
            <w:tcW w:w="6299" w:type="dxa"/>
            <w:noWrap w:val="0"/>
            <w:vAlign w:val="center"/>
          </w:tcPr>
          <w:p>
            <w:pPr>
              <w:pStyle w:val="88"/>
              <w:snapToGrid w:val="0"/>
              <w:spacing w:line="360" w:lineRule="auto"/>
              <w:ind w:firstLine="0" w:firstLineChars="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11</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响应文件开启时间</w:t>
            </w:r>
          </w:p>
        </w:tc>
        <w:tc>
          <w:tcPr>
            <w:tcW w:w="6299" w:type="dxa"/>
            <w:noWrap w:val="0"/>
            <w:vAlign w:val="center"/>
          </w:tcPr>
          <w:p>
            <w:pPr>
              <w:pStyle w:val="88"/>
              <w:snapToGrid w:val="0"/>
              <w:spacing w:line="360" w:lineRule="auto"/>
              <w:ind w:firstLine="0" w:firstLineChars="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12</w:t>
            </w:r>
          </w:p>
        </w:tc>
        <w:tc>
          <w:tcPr>
            <w:tcW w:w="2315" w:type="dxa"/>
            <w:noWrap w:val="0"/>
            <w:vAlign w:val="center"/>
          </w:tcPr>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磋商答疑</w:t>
            </w:r>
          </w:p>
        </w:tc>
        <w:tc>
          <w:tcPr>
            <w:tcW w:w="6299"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供应商如认为磋商文件表述不清晰的，请于2022年</w:t>
            </w:r>
            <w:r>
              <w:rPr>
                <w:rFonts w:hint="eastAsia" w:ascii="宋体" w:hAnsi="宋体" w:cs="宋体"/>
                <w:color w:val="auto"/>
                <w:szCs w:val="21"/>
                <w:highlight w:val="none"/>
                <w:lang w:val="en-US" w:eastAsia="zh-CN"/>
              </w:rPr>
              <w:t>9月2</w:t>
            </w:r>
            <w:r>
              <w:rPr>
                <w:rFonts w:hint="eastAsia" w:ascii="宋体" w:hAnsi="宋体" w:cs="宋体"/>
                <w:color w:val="auto"/>
                <w:szCs w:val="21"/>
                <w:highlight w:val="none"/>
              </w:rPr>
              <w:t>日16：00之前将疑问发送至该电子邮件（邮箱14847913@qq.com）。答疑回复内容是磋商文件的组成部份，并将以更正公告的形式在本采购公告发布的同一媒体发布，请供应商密切关注更正公告。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13</w:t>
            </w:r>
          </w:p>
        </w:tc>
        <w:tc>
          <w:tcPr>
            <w:tcW w:w="2315" w:type="dxa"/>
            <w:noWrap w:val="0"/>
            <w:vAlign w:val="center"/>
          </w:tcPr>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磋商文件的澄清与修改</w:t>
            </w:r>
          </w:p>
        </w:tc>
        <w:tc>
          <w:tcPr>
            <w:tcW w:w="6299"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或者采购代理机构可以对已发出的磋商文件进行必要的澄清或者修改。澄清或者修改的内容可能影响响应文件编制的，采购人或者采购代理机构应当在磋商截止时间至少5日前，将以更正公告的形式在采购公告发布的同一媒体发布。磋商文件的修改和澄清（答疑）答复的文件作为采购磋商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14</w:t>
            </w:r>
          </w:p>
        </w:tc>
        <w:tc>
          <w:tcPr>
            <w:tcW w:w="2315"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响应文件形式</w:t>
            </w:r>
          </w:p>
        </w:tc>
        <w:tc>
          <w:tcPr>
            <w:tcW w:w="6299"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本项目实行电子投标。</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供应商应准备两种种形式的响应文件：电子加密响应文件、以介质存储的数据电文形式的备份响应文件。</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（1）“电子加密响应文件”是指通过“政采云电子交易客户端”完成响应文件编制后生成并加密的数据电文形式的响应文件（后缀格式为.jmbs）</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15</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响应文件的上传和递交</w:t>
            </w:r>
          </w:p>
        </w:tc>
        <w:tc>
          <w:tcPr>
            <w:tcW w:w="6299"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（1）电子加密响应文件：响应文件制作完成并生成加密文件，在磋商截止时间前，供应商需将加密的响应文件上传至浙江政府采购网，到达开标时间后，进行解密。</w:t>
            </w:r>
          </w:p>
          <w:p>
            <w:pPr>
              <w:pStyle w:val="88"/>
              <w:snapToGrid w:val="0"/>
              <w:spacing w:line="360" w:lineRule="auto"/>
              <w:ind w:firstLine="0" w:firstLineChars="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供应商未能在磋商截止时间前成功上传电子加密响应文件的投标无效。</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（2）备份响应文件：磋商截止时间前，供应商应将备份响应文件递交至开标地点，以便电子加密响应文件解密异常时应急使用。</w:t>
            </w:r>
          </w:p>
          <w:p>
            <w:pPr>
              <w:pStyle w:val="88"/>
              <w:snapToGrid w:val="0"/>
              <w:spacing w:line="360" w:lineRule="auto"/>
              <w:ind w:firstLine="0" w:firstLineChars="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备份响应文件递交要求：供应商须将备份响应文件以U盘形式单独放在密封袋中，密封后并在密封袋上注明投标项目名称、供应商名称并加盖公章。未密封包装或者逾期送达的“备份响应文件”将不予接收。</w:t>
            </w:r>
          </w:p>
          <w:p>
            <w:pPr>
              <w:pStyle w:val="88"/>
              <w:numPr>
                <w:ilvl w:val="0"/>
                <w:numId w:val="1"/>
              </w:numPr>
              <w:snapToGrid w:val="0"/>
              <w:spacing w:line="360" w:lineRule="auto"/>
              <w:ind w:firstLine="0" w:firstLineChars="0"/>
              <w:rPr>
                <w:rFonts w:hint="eastAsia" w:ascii="宋体" w:hAnsi="宋体" w:cs="宋体"/>
                <w:snapToGrid w:val="0"/>
                <w:color w:val="auto"/>
                <w:szCs w:val="21"/>
                <w:highlight w:val="none"/>
              </w:rPr>
            </w:pPr>
            <w:r>
              <w:rPr>
                <w:rFonts w:hint="eastAsia" w:ascii="宋体" w:hAnsi="宋体" w:cs="宋体"/>
                <w:bCs/>
                <w:color w:val="auto"/>
                <w:szCs w:val="21"/>
                <w:highlight w:val="none"/>
              </w:rPr>
              <w:t>供应商若选择非开标当天递交，请确保在</w:t>
            </w:r>
            <w:r>
              <w:rPr>
                <w:rFonts w:hint="eastAsia" w:ascii="宋体" w:hAnsi="宋体" w:cs="宋体"/>
                <w:color w:val="auto"/>
                <w:szCs w:val="21"/>
                <w:highlight w:val="none"/>
              </w:rPr>
              <w:t>磋商截止时间前一个工作日</w:t>
            </w:r>
            <w:r>
              <w:rPr>
                <w:rFonts w:hint="eastAsia" w:ascii="宋体" w:hAnsi="宋体" w:cs="宋体"/>
                <w:bCs/>
                <w:color w:val="auto"/>
                <w:szCs w:val="21"/>
                <w:highlight w:val="none"/>
              </w:rPr>
              <w:t>将备份响应文件通过快递形式或直接送达采购代理机构处，以便标书解密异常时应急使用（地址：杭州市文三路90号东部软件园1号楼307室，接收人：苑洪春，电话：13065702633）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16</w:t>
            </w:r>
          </w:p>
        </w:tc>
        <w:tc>
          <w:tcPr>
            <w:tcW w:w="2315" w:type="dxa"/>
            <w:noWrap w:val="0"/>
            <w:vAlign w:val="center"/>
          </w:tcPr>
          <w:p>
            <w:pPr>
              <w:pStyle w:val="88"/>
              <w:snapToGrid w:val="0"/>
              <w:spacing w:line="360" w:lineRule="auto"/>
              <w:ind w:firstLine="0" w:firstLineChars="0"/>
              <w:jc w:val="left"/>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询标澄清</w:t>
            </w:r>
          </w:p>
        </w:tc>
        <w:tc>
          <w:tcPr>
            <w:tcW w:w="6299" w:type="dxa"/>
            <w:noWrap w:val="0"/>
            <w:vAlign w:val="center"/>
          </w:tcPr>
          <w:p>
            <w:pPr>
              <w:pStyle w:val="88"/>
              <w:snapToGrid w:val="0"/>
              <w:spacing w:line="360" w:lineRule="auto"/>
              <w:ind w:firstLine="0" w:firstLineChars="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在评标过程中，如评审小组对响应文件有疑问，由评审组长</w:t>
            </w:r>
            <w:r>
              <w:rPr>
                <w:rFonts w:hint="eastAsia" w:ascii="宋体" w:hAnsi="宋体" w:cs="宋体"/>
                <w:color w:val="auto"/>
                <w:szCs w:val="21"/>
                <w:highlight w:val="none"/>
              </w:rPr>
              <w:t>或代理机构代为</w:t>
            </w:r>
            <w:r>
              <w:rPr>
                <w:rFonts w:hint="eastAsia" w:ascii="宋体" w:hAnsi="宋体" w:cs="宋体"/>
                <w:snapToGrid w:val="0"/>
                <w:color w:val="auto"/>
                <w:szCs w:val="21"/>
                <w:highlight w:val="none"/>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17</w:t>
            </w:r>
          </w:p>
        </w:tc>
        <w:tc>
          <w:tcPr>
            <w:tcW w:w="2315" w:type="dxa"/>
            <w:noWrap w:val="0"/>
            <w:vAlign w:val="center"/>
          </w:tcPr>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质疑</w:t>
            </w:r>
          </w:p>
        </w:tc>
        <w:tc>
          <w:tcPr>
            <w:tcW w:w="6299" w:type="dxa"/>
            <w:noWrap w:val="0"/>
            <w:vAlign w:val="center"/>
          </w:tcPr>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第五十二条的规定，供应商认为磋商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政府采购法第五十二条规定的供应商应知其权益受到损害之日，是指：</w:t>
            </w:r>
          </w:p>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（一）对可以质疑的磋商文件提出质疑的，为收到磋商文件之日或者磋商文件公告期限届满之日；</w:t>
            </w:r>
          </w:p>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（二）对采购过程提出质疑的，为各采购程序环节结束之日；</w:t>
            </w:r>
          </w:p>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（三）对中标或者成交结果提出质疑的，为中标或者成交结果公告期限届满之日。</w:t>
            </w:r>
          </w:p>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18</w:t>
            </w:r>
          </w:p>
        </w:tc>
        <w:tc>
          <w:tcPr>
            <w:tcW w:w="2315" w:type="dxa"/>
            <w:noWrap w:val="0"/>
            <w:vAlign w:val="center"/>
          </w:tcPr>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投诉</w:t>
            </w:r>
          </w:p>
        </w:tc>
        <w:tc>
          <w:tcPr>
            <w:tcW w:w="6299"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19</w:t>
            </w:r>
          </w:p>
        </w:tc>
        <w:tc>
          <w:tcPr>
            <w:tcW w:w="2315"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样品</w:t>
            </w:r>
          </w:p>
        </w:tc>
        <w:tc>
          <w:tcPr>
            <w:tcW w:w="6299"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20</w:t>
            </w:r>
          </w:p>
        </w:tc>
        <w:tc>
          <w:tcPr>
            <w:tcW w:w="2315"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演示</w:t>
            </w:r>
          </w:p>
        </w:tc>
        <w:tc>
          <w:tcPr>
            <w:tcW w:w="6299"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vMerge w:val="restart"/>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21</w:t>
            </w:r>
          </w:p>
        </w:tc>
        <w:tc>
          <w:tcPr>
            <w:tcW w:w="2315" w:type="dxa"/>
            <w:vMerge w:val="restart"/>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磋商程序</w:t>
            </w:r>
          </w:p>
        </w:tc>
        <w:tc>
          <w:tcPr>
            <w:tcW w:w="6299" w:type="dxa"/>
            <w:noWrap w:val="0"/>
            <w:vAlign w:val="center"/>
          </w:tcPr>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1.对所有响应文件的初审</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初审包括资格条件、有效性和完整性进行审查。审查不合格的，其磋商响应将无效，不再进行后续磋商。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具体审查内容见磋商须知第20条。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vMerge w:val="continue"/>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p>
        </w:tc>
        <w:tc>
          <w:tcPr>
            <w:tcW w:w="2315" w:type="dxa"/>
            <w:vMerge w:val="continue"/>
            <w:noWrap w:val="0"/>
            <w:vAlign w:val="center"/>
          </w:tcPr>
          <w:p>
            <w:pPr>
              <w:snapToGrid w:val="0"/>
              <w:spacing w:line="360" w:lineRule="auto"/>
              <w:jc w:val="center"/>
              <w:rPr>
                <w:rFonts w:hint="eastAsia" w:ascii="宋体" w:hAnsi="宋体" w:cs="宋体"/>
                <w:color w:val="auto"/>
                <w:szCs w:val="21"/>
                <w:highlight w:val="none"/>
              </w:rPr>
            </w:pPr>
          </w:p>
        </w:tc>
        <w:tc>
          <w:tcPr>
            <w:tcW w:w="6299" w:type="dxa"/>
            <w:noWrap w:val="0"/>
            <w:vAlign w:val="center"/>
          </w:tcPr>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2.磋商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（1）磋商顺序：按供应商响应文件解密的先后顺序进行磋商；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（2）磋商程序：</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A.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B.在磋商过程中，磋商小组可以根据磋商文件和磋商情况实质性变动采购需求中的技术、服务要求以及合同草案条款，但不得变动磋商文件中的其他内容。实质性变动的内容，须经采购人代表确认。在此情况下，磋商小组将在线（以书面形式完成的需扫描上传）将修改内容同时通知所有参加磋商的供应商。对磋商文件作出的实质性变动是磋商文件的有效组成部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C.供应商应当按照磋商文件的变动情况和磋商小组的要求重新提交响应文件，并由授权代表签字或者加盖公章后扫描上传（或直接在线加盖电子签章后提交）。</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电子交易有相关规定的，按电子交易的程序、流程操作。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vMerge w:val="continue"/>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p>
        </w:tc>
        <w:tc>
          <w:tcPr>
            <w:tcW w:w="2315" w:type="dxa"/>
            <w:vMerge w:val="continue"/>
            <w:noWrap w:val="0"/>
            <w:vAlign w:val="center"/>
          </w:tcPr>
          <w:p>
            <w:pPr>
              <w:snapToGrid w:val="0"/>
              <w:spacing w:line="360" w:lineRule="auto"/>
              <w:jc w:val="center"/>
              <w:rPr>
                <w:rFonts w:hint="eastAsia" w:ascii="宋体" w:hAnsi="宋体" w:cs="宋体"/>
                <w:color w:val="auto"/>
                <w:szCs w:val="21"/>
                <w:highlight w:val="none"/>
              </w:rPr>
            </w:pPr>
          </w:p>
        </w:tc>
        <w:tc>
          <w:tcPr>
            <w:tcW w:w="6299" w:type="dxa"/>
            <w:noWrap w:val="0"/>
            <w:vAlign w:val="center"/>
          </w:tcPr>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3.商务技术评分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经磋商确定最终采购需求后，由磋商小组对各供应商的技术商务充分审核、讨论及评议后，依据评审标准进行独立评分，并对商务技术评分进行汇总。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vMerge w:val="continue"/>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p>
        </w:tc>
        <w:tc>
          <w:tcPr>
            <w:tcW w:w="2315" w:type="dxa"/>
            <w:vMerge w:val="continue"/>
            <w:noWrap w:val="0"/>
            <w:vAlign w:val="center"/>
          </w:tcPr>
          <w:p>
            <w:pPr>
              <w:snapToGrid w:val="0"/>
              <w:spacing w:line="360" w:lineRule="auto"/>
              <w:jc w:val="center"/>
              <w:rPr>
                <w:rFonts w:hint="eastAsia" w:ascii="宋体" w:hAnsi="宋体" w:cs="宋体"/>
                <w:color w:val="auto"/>
                <w:szCs w:val="21"/>
                <w:highlight w:val="none"/>
              </w:rPr>
            </w:pPr>
          </w:p>
        </w:tc>
        <w:tc>
          <w:tcPr>
            <w:tcW w:w="6299" w:type="dxa"/>
            <w:noWrap w:val="0"/>
            <w:vAlign w:val="center"/>
          </w:tcPr>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4.报价评审</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商务技术磋商结束后，磋商小组要求所有实质性响应的供应商的报价文件进行磋商，包括报价文件的有效性及报价的合理性、准确性等。</w:t>
            </w:r>
          </w:p>
          <w:p>
            <w:pPr>
              <w:pStyle w:val="13"/>
              <w:snapToGrid w:val="0"/>
              <w:spacing w:line="360" w:lineRule="auto"/>
              <w:ind w:firstLine="210"/>
              <w:rPr>
                <w:rFonts w:hint="eastAsia" w:ascii="宋体" w:hAnsi="宋体" w:cs="宋体"/>
                <w:color w:val="auto"/>
                <w:szCs w:val="21"/>
                <w:highlight w:val="none"/>
              </w:rPr>
            </w:pPr>
            <w:r>
              <w:rPr>
                <w:rFonts w:hint="eastAsia" w:ascii="宋体" w:hAnsi="宋体" w:cs="宋体"/>
                <w:color w:val="auto"/>
                <w:szCs w:val="21"/>
                <w:highlight w:val="none"/>
              </w:rPr>
              <w:t>磋商文件能够详细列明采购标的的技术、服务要求的，磋商结束后，磋商小组应当要求所有实质性响应的供应商在规定时间内提交最后报价，提交最后报价的供应商不得少于3家。</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已提交响应文件的供应商，在提交最后报价之前，可以根据磋商情况退出磋商。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最后报价时间过后，供应商不得对报价进行修改、撤回或撤销。最后报价是供应商响应文件的有效组成部分。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vMerge w:val="continue"/>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p>
        </w:tc>
        <w:tc>
          <w:tcPr>
            <w:tcW w:w="2315" w:type="dxa"/>
            <w:vMerge w:val="continue"/>
            <w:noWrap w:val="0"/>
            <w:vAlign w:val="center"/>
          </w:tcPr>
          <w:p>
            <w:pPr>
              <w:snapToGrid w:val="0"/>
              <w:spacing w:line="360" w:lineRule="auto"/>
              <w:jc w:val="center"/>
              <w:rPr>
                <w:rFonts w:hint="eastAsia" w:ascii="宋体" w:hAnsi="宋体" w:cs="宋体"/>
                <w:color w:val="auto"/>
                <w:szCs w:val="21"/>
                <w:highlight w:val="none"/>
              </w:rPr>
            </w:pPr>
          </w:p>
        </w:tc>
        <w:tc>
          <w:tcPr>
            <w:tcW w:w="6299" w:type="dxa"/>
            <w:noWrap w:val="0"/>
            <w:vAlign w:val="center"/>
          </w:tcPr>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5.得分汇总、结果公布</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供应商可通过在线平台查看评审结果。</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说明：供应商在磋商过程中如遇政采云平台原因无法实现在线操作的，可通过邮件、传真等形式补充提交。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22</w:t>
            </w:r>
          </w:p>
        </w:tc>
        <w:tc>
          <w:tcPr>
            <w:tcW w:w="2315" w:type="dxa"/>
            <w:noWrap w:val="0"/>
            <w:vAlign w:val="center"/>
          </w:tcPr>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支持中小企业</w:t>
            </w:r>
          </w:p>
        </w:tc>
        <w:tc>
          <w:tcPr>
            <w:tcW w:w="6299"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1.说明</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（1）中小企业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响应文件中须同时出具《政府采购促进中小企业发展管理办法》【财库（2020）46号】规定的《中小企业声明函》，否则不得享受价格扣除。</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（2）残疾人福利性单位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符合《关于促进残疾人就业政府采购政策的通知》（财库〔2017〕141号）规定的条件并提供提供《残疾人福利性单位声明函》的残疾人福利性单位视同小型、微型企业；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（3）监狱企业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2.价格扣除：</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本项目对符合规定的小微企业（含小型企业）报价给予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%的扣除。（本项目不适用）</w:t>
            </w:r>
          </w:p>
          <w:p>
            <w:pPr>
              <w:pStyle w:val="101"/>
              <w:spacing w:line="360" w:lineRule="auto"/>
              <w:ind w:left="0" w:leftChars="0" w:firstLine="0" w:firstLineChars="0"/>
              <w:rPr>
                <w:rFonts w:hint="eastAsia" w:ascii="宋体" w:hAnsi="宋体" w:cs="宋体"/>
                <w:color w:val="auto"/>
                <w:highlight w:val="none"/>
              </w:rPr>
            </w:pPr>
            <w:r>
              <w:rPr>
                <w:rFonts w:hint="eastAsia" w:ascii="宋体" w:hAnsi="宋体" w:cs="宋体"/>
                <w:b w:val="0"/>
                <w:bCs w:val="0"/>
                <w:color w:val="auto"/>
                <w:highlight w:val="none"/>
              </w:rPr>
              <w:t>3.本项目采购标的所属行业为：</w:t>
            </w:r>
            <w:r>
              <w:rPr>
                <w:rFonts w:hint="eastAsia" w:ascii="宋体" w:hAnsi="宋体" w:cs="宋体"/>
                <w:b w:val="0"/>
                <w:bCs w:val="0"/>
                <w:color w:val="auto"/>
                <w:highlight w:val="none"/>
                <w:u w:val="single"/>
              </w:rPr>
              <w:t>建筑业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0" w:type="dxa"/>
            <w:noWrap w:val="0"/>
            <w:vAlign w:val="center"/>
          </w:tcPr>
          <w:p>
            <w:pPr>
              <w:pStyle w:val="88"/>
              <w:snapToGrid w:val="0"/>
              <w:spacing w:line="360" w:lineRule="auto"/>
              <w:ind w:firstLine="0" w:firstLineChars="0"/>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23</w:t>
            </w:r>
          </w:p>
        </w:tc>
        <w:tc>
          <w:tcPr>
            <w:tcW w:w="2315"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299" w:type="dxa"/>
            <w:noWrap w:val="0"/>
            <w:vAlign w:val="center"/>
          </w:tcPr>
          <w:p>
            <w:pPr>
              <w:pStyle w:val="19"/>
              <w:adjustRightInd w:val="0"/>
              <w:snapToGrid w:val="0"/>
              <w:spacing w:line="360" w:lineRule="auto"/>
              <w:rPr>
                <w:rFonts w:hint="eastAsia" w:hAnsi="宋体" w:cs="宋体"/>
                <w:snapToGrid w:val="0"/>
                <w:color w:val="auto"/>
                <w:sz w:val="21"/>
                <w:szCs w:val="21"/>
                <w:highlight w:val="none"/>
              </w:rPr>
            </w:pPr>
            <w:r>
              <w:rPr>
                <w:rFonts w:hint="eastAsia" w:hAnsi="宋体" w:cs="宋体"/>
                <w:color w:val="auto"/>
                <w:sz w:val="21"/>
                <w:szCs w:val="21"/>
                <w:highlight w:val="none"/>
              </w:rPr>
              <w:t>（1）</w:t>
            </w:r>
            <w:r>
              <w:rPr>
                <w:rFonts w:hint="eastAsia" w:hAnsi="宋体" w:cs="宋体"/>
                <w:snapToGrid w:val="0"/>
                <w:color w:val="auto"/>
                <w:sz w:val="21"/>
                <w:szCs w:val="21"/>
                <w:highlight w:val="none"/>
              </w:rPr>
              <w:t>磋商文件中凡标注“▲”的条款均为实质性要求，不响应的响应文件将作无效标处理。</w:t>
            </w:r>
          </w:p>
          <w:p>
            <w:pPr>
              <w:pStyle w:val="19"/>
              <w:adjustRightInd w:val="0"/>
              <w:snapToGrid w:val="0"/>
              <w:spacing w:line="360" w:lineRule="auto"/>
              <w:rPr>
                <w:rFonts w:hint="eastAsia" w:hAnsi="宋体" w:cs="宋体"/>
                <w:color w:val="auto"/>
                <w:sz w:val="21"/>
                <w:szCs w:val="21"/>
                <w:highlight w:val="none"/>
              </w:rPr>
            </w:pPr>
            <w:r>
              <w:rPr>
                <w:rFonts w:hint="eastAsia" w:hAnsi="宋体" w:cs="宋体"/>
                <w:snapToGrid w:val="0"/>
                <w:color w:val="auto"/>
                <w:sz w:val="21"/>
                <w:szCs w:val="21"/>
                <w:highlight w:val="none"/>
              </w:rPr>
              <w:t>（2）供应商上传了</w:t>
            </w:r>
            <w:r>
              <w:rPr>
                <w:rFonts w:hint="eastAsia" w:hAnsi="宋体" w:cs="宋体"/>
                <w:color w:val="auto"/>
                <w:sz w:val="21"/>
                <w:szCs w:val="21"/>
                <w:highlight w:val="none"/>
              </w:rPr>
              <w:t>电子加密响应文件，未提供备份响应文件，解密出现问题后，由此导致对该供应商无法评审的，其后果由该供应商自行承担。</w:t>
            </w:r>
          </w:p>
          <w:p>
            <w:pPr>
              <w:pStyle w:val="19"/>
              <w:adjustRightInd w:val="0"/>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（3）各供应商自行在浙江政府采购网下载或查阅磋商文件和相关更正公告等，不另行通知，如有遗漏采购人、采购代理机构概不负责。</w:t>
            </w:r>
          </w:p>
          <w:p>
            <w:pPr>
              <w:pStyle w:val="19"/>
              <w:adjustRightInd w:val="0"/>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（4）两家或两家以上供应商提供的响应文件出自同一终端设备的，或在相同Internet主机分配地址（相同IP地址）报名或网上投标的，后果由供应商自行承担。</w:t>
            </w:r>
          </w:p>
        </w:tc>
      </w:tr>
    </w:tbl>
    <w:p>
      <w:pPr>
        <w:pStyle w:val="3"/>
        <w:snapToGrid w:val="0"/>
        <w:spacing w:before="240" w:after="240" w:line="240" w:lineRule="auto"/>
        <w:rPr>
          <w:rFonts w:hint="eastAsia" w:ascii="宋体" w:hAnsi="宋体" w:eastAsia="宋体" w:cs="宋体"/>
          <w:color w:val="auto"/>
          <w:highlight w:val="none"/>
        </w:rPr>
      </w:pPr>
      <w:r>
        <w:rPr>
          <w:rFonts w:hint="eastAsia" w:ascii="宋体" w:hAnsi="宋体" w:eastAsia="宋体" w:cs="宋体"/>
          <w:color w:val="auto"/>
          <w:sz w:val="32"/>
          <w:highlight w:val="none"/>
        </w:rPr>
        <w:br w:type="page"/>
      </w:r>
      <w:bookmarkStart w:id="7" w:name="_Toc472544471"/>
      <w:r>
        <w:rPr>
          <w:rFonts w:hint="eastAsia" w:ascii="宋体" w:hAnsi="宋体" w:eastAsia="宋体" w:cs="宋体"/>
          <w:color w:val="auto"/>
          <w:sz w:val="32"/>
          <w:highlight w:val="none"/>
        </w:rPr>
        <w:t>第二部分  磋商须知</w:t>
      </w:r>
      <w:bookmarkEnd w:id="4"/>
      <w:bookmarkEnd w:id="7"/>
    </w:p>
    <w:p>
      <w:pPr>
        <w:pStyle w:val="4"/>
        <w:spacing w:before="0" w:after="0" w:line="360" w:lineRule="auto"/>
        <w:rPr>
          <w:rFonts w:hint="eastAsia" w:ascii="宋体" w:hAnsi="宋体" w:eastAsia="宋体" w:cs="宋体"/>
          <w:b/>
          <w:color w:val="auto"/>
          <w:sz w:val="21"/>
          <w:szCs w:val="21"/>
          <w:highlight w:val="none"/>
        </w:rPr>
      </w:pPr>
      <w:bookmarkStart w:id="8" w:name="_Toc472544472"/>
      <w:bookmarkStart w:id="9" w:name="_Toc183786415"/>
      <w:r>
        <w:rPr>
          <w:rFonts w:hint="eastAsia" w:ascii="宋体" w:hAnsi="宋体" w:eastAsia="宋体" w:cs="宋体"/>
          <w:b/>
          <w:color w:val="auto"/>
          <w:sz w:val="21"/>
          <w:szCs w:val="21"/>
          <w:highlight w:val="none"/>
        </w:rPr>
        <w:t>一、总则</w:t>
      </w:r>
      <w:bookmarkEnd w:id="8"/>
      <w:bookmarkEnd w:id="9"/>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1．适用范围</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1.1本次磋商工作仅适用于本项目。</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1.2本项目采购方式采用竞争性磋商方式。</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2．定义</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2.1采购人系浙江省肿瘤医院。采购人委托浙江国际招投标有限公司为本项目采购代理机构。</w:t>
      </w:r>
    </w:p>
    <w:p>
      <w:pPr>
        <w:adjustRightInd w:val="0"/>
        <w:spacing w:line="360" w:lineRule="auto"/>
        <w:ind w:firstLine="420" w:firstLineChars="200"/>
        <w:rPr>
          <w:rFonts w:hint="eastAsia" w:ascii="宋体" w:hAnsi="宋体" w:cs="宋体"/>
          <w:color w:val="auto"/>
          <w:szCs w:val="21"/>
          <w:highlight w:val="none"/>
          <w:u w:val="single"/>
          <w:shd w:val="pct10" w:color="auto" w:fill="FFFFFF"/>
        </w:rPr>
      </w:pPr>
      <w:r>
        <w:rPr>
          <w:rFonts w:hint="eastAsia" w:ascii="宋体" w:hAnsi="宋体" w:cs="宋体"/>
          <w:color w:val="auto"/>
          <w:szCs w:val="21"/>
          <w:highlight w:val="none"/>
        </w:rPr>
        <w:t>2.2磋商供应商：响应本次采购，参加本次竞争性磋商的供应商。</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2.3货物：系指磋商供应商按磋商文件或合同要求，须向采购人提供的一切材料、设备、机械、仪器、备件、配件、工具、手册及其他技术资料和文字材料。</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2.4服务：系指磋商文件或合同规定磋商供应商须承担的设计、安装、调试、试运行、技术协助、培训、售后服务以及其他类似的义务。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2.5“实质性条款”系指磋商文件条款前标注“▲”标识的条款。</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2.6电子签章：本文件所提及电子签章系指各供应商通过CA锁对响应文件中对应内容进行签章，表明签名人认可其中的内容。</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2.7公章：系指单位法定名称章。</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2.8官方指定网站公示的内容视为书面告知。</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3．采购项目概况</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详见竞争性磋商公告相关内容，主要要求参见本文件第三部分。</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4．合格的磋商供应商</w:t>
      </w:r>
    </w:p>
    <w:p>
      <w:pPr>
        <w:adjustRightInd w:val="0"/>
        <w:spacing w:line="360" w:lineRule="auto"/>
        <w:ind w:firstLine="420" w:firstLineChars="200"/>
        <w:rPr>
          <w:rFonts w:hint="eastAsia" w:ascii="宋体" w:hAnsi="宋体" w:cs="宋体"/>
          <w:color w:val="auto"/>
          <w:szCs w:val="21"/>
          <w:highlight w:val="none"/>
        </w:rPr>
      </w:pPr>
      <w:bookmarkStart w:id="10" w:name="_Toc193523219"/>
      <w:bookmarkStart w:id="11" w:name="_Toc211412066"/>
      <w:bookmarkStart w:id="12" w:name="_Toc209435242"/>
      <w:bookmarkStart w:id="13" w:name="_Toc207946571"/>
      <w:bookmarkStart w:id="14" w:name="_Toc208913145"/>
      <w:bookmarkStart w:id="15" w:name="_Toc197053926"/>
      <w:bookmarkStart w:id="16" w:name="_Toc209504018"/>
      <w:bookmarkStart w:id="17" w:name="_Toc197163261"/>
      <w:bookmarkStart w:id="18" w:name="_Toc208287611"/>
      <w:bookmarkStart w:id="19" w:name="_Toc197156227"/>
      <w:bookmarkStart w:id="20" w:name="_Toc197657950"/>
      <w:bookmarkStart w:id="21" w:name="_Toc204683265"/>
      <w:bookmarkStart w:id="22" w:name="_Toc209520993"/>
      <w:bookmarkStart w:id="23" w:name="_Toc193538208"/>
      <w:r>
        <w:rPr>
          <w:rFonts w:hint="eastAsia" w:ascii="宋体" w:hAnsi="宋体" w:cs="宋体"/>
          <w:color w:val="auto"/>
          <w:szCs w:val="21"/>
          <w:highlight w:val="none"/>
        </w:rPr>
        <w:t>详见竞争性磋商采购公告磋商供应商的资格要求规定。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4.1合格的磋商供应商，详见采购公告第二条规定的供应商必须具备的资格条件并经采购人或采购代理机构审查通过的。</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4.2对供应商的限制</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单位负责人（指法定代表人或者法律、行政法规规定代表单位行使职权的主要负责人）为同一人或者存在直接控股、管理关系的不同供应商不得分别参加同一合同项下的采购活动。违反本条规定的，相关供应商响应无效；</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4.2.2为本项目提供过整体设计、规范编制或者项目管理、监理、检测等服务的供应商，不得再参加该采购项目的其他采购活动（不包括为该项目提供整体设计、规范编制或者项目管理、监理、检测等服务）；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4.2.3为证明供应商拥有的业绩、荣誉、知识产权、项目案例等而在响应文件中提供的证明材料必须为磋商供应商自身所有。不同法人、其他组织的资料与磋商供应商无关。</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5．磋商费用</w:t>
      </w:r>
    </w:p>
    <w:p>
      <w:pPr>
        <w:adjustRightInd w:val="0"/>
        <w:spacing w:line="360" w:lineRule="auto"/>
        <w:ind w:firstLine="420" w:firstLineChars="200"/>
        <w:rPr>
          <w:rFonts w:hint="eastAsia" w:ascii="宋体" w:hAnsi="宋体" w:cs="宋体"/>
          <w:color w:val="auto"/>
          <w:szCs w:val="21"/>
          <w:highlight w:val="none"/>
        </w:rPr>
      </w:pPr>
      <w:bookmarkStart w:id="24" w:name="_Toc183786416"/>
      <w:r>
        <w:rPr>
          <w:rFonts w:hint="eastAsia" w:ascii="宋体" w:hAnsi="宋体" w:cs="宋体"/>
          <w:color w:val="auto"/>
          <w:szCs w:val="21"/>
          <w:highlight w:val="none"/>
        </w:rPr>
        <w:t>磋商供应商应承担其参加磋商所涉及的一切费用，不管结果如何，采购人对上述费用不负任何责任。</w:t>
      </w:r>
    </w:p>
    <w:p>
      <w:pPr>
        <w:pStyle w:val="4"/>
        <w:spacing w:before="0" w:after="0" w:line="360" w:lineRule="auto"/>
        <w:rPr>
          <w:rFonts w:hint="eastAsia" w:ascii="宋体" w:hAnsi="宋体" w:eastAsia="宋体" w:cs="宋体"/>
          <w:b/>
          <w:color w:val="auto"/>
          <w:sz w:val="21"/>
          <w:szCs w:val="21"/>
          <w:highlight w:val="none"/>
        </w:rPr>
      </w:pPr>
      <w:bookmarkStart w:id="25" w:name="_Toc472544473"/>
      <w:r>
        <w:rPr>
          <w:rFonts w:hint="eastAsia" w:ascii="宋体" w:hAnsi="宋体" w:eastAsia="宋体" w:cs="宋体"/>
          <w:b/>
          <w:color w:val="auto"/>
          <w:sz w:val="21"/>
          <w:szCs w:val="21"/>
          <w:highlight w:val="none"/>
        </w:rPr>
        <w:t>二、</w:t>
      </w:r>
      <w:bookmarkEnd w:id="24"/>
      <w:r>
        <w:rPr>
          <w:rFonts w:hint="eastAsia" w:ascii="宋体" w:hAnsi="宋体" w:eastAsia="宋体" w:cs="宋体"/>
          <w:b/>
          <w:color w:val="auto"/>
          <w:sz w:val="21"/>
          <w:szCs w:val="21"/>
          <w:highlight w:val="none"/>
        </w:rPr>
        <w:t>竞争性磋商文件</w:t>
      </w:r>
      <w:bookmarkEnd w:id="25"/>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6.磋商文件的组成</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6.1本磋商文件包括目录所示内容及所有按本须知发出的补充资料。</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6.2除上述所列内容外，采购人及采购代理机构的任何工作人员对磋商供应商所作的任何口头解释、介绍、答复，只能供磋商供应商参考，对采购人和磋商供应商无任何约束力。</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6.3磋商供应商应仔细阅读磋商文件的所有内容，按照文件要求提交响应文件，并保证所提交的全部资料的真实性。不按磋商文件的要求提供的响应文件和资料，可能导致磋商被拒绝。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7．磋商文件的澄清与修改</w:t>
      </w:r>
    </w:p>
    <w:p>
      <w:pPr>
        <w:adjustRightInd w:val="0"/>
        <w:spacing w:line="360" w:lineRule="auto"/>
        <w:ind w:firstLine="420" w:firstLineChars="200"/>
        <w:rPr>
          <w:rFonts w:hint="eastAsia" w:ascii="宋体" w:hAnsi="宋体" w:cs="宋体"/>
          <w:color w:val="auto"/>
          <w:szCs w:val="22"/>
          <w:highlight w:val="none"/>
        </w:rPr>
      </w:pPr>
      <w:bookmarkStart w:id="26" w:name="_Toc183786417"/>
      <w:r>
        <w:rPr>
          <w:rFonts w:hint="eastAsia" w:ascii="宋体" w:hAnsi="宋体" w:cs="宋体"/>
          <w:color w:val="auto"/>
          <w:szCs w:val="22"/>
          <w:highlight w:val="none"/>
        </w:rPr>
        <w:t>见供应商须知前附表“磋商文件的澄清和修改”。</w:t>
      </w:r>
    </w:p>
    <w:p>
      <w:pPr>
        <w:adjustRightInd w:val="0"/>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7.1磋商供应商在获取竞争性磋商文件后，若有问题需要澄清或认为有必要与采购人进行技术交流，应于前附表规定时间前，将问题传真至浙江国际招投标有限公司，同时将问题发电子邮件至14847913@qq.com。</w:t>
      </w:r>
      <w:r>
        <w:rPr>
          <w:rFonts w:hint="eastAsia" w:ascii="宋体" w:hAnsi="宋体" w:cs="宋体"/>
          <w:color w:val="auto"/>
          <w:szCs w:val="22"/>
          <w:highlight w:val="none"/>
          <w:lang w:val="zh-CN"/>
        </w:rPr>
        <w:t>（电子邮件只作方便工作之用，与书面文件有不一致的，以书面文件为准）。截止期后的疑问将不予受理、答复。</w:t>
      </w:r>
    </w:p>
    <w:p>
      <w:pPr>
        <w:adjustRightInd w:val="0"/>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7.2磋商供应商要求解释或澄清的问题应以书面形式，并加盖公章、写明日期。</w:t>
      </w:r>
    </w:p>
    <w:p>
      <w:pPr>
        <w:adjustRightInd w:val="0"/>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7.3上传响应文件截止之日前，采购人、采购代理机构或者磋商小组可以对已发出的磋商文件进行必要的澄清或者修改，澄清或者修改的内容作为磋商文件的组成部分。</w:t>
      </w:r>
    </w:p>
    <w:p>
      <w:pPr>
        <w:adjustRightInd w:val="0"/>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7.4竞争性磋商文件的澄清修改文件，将以更正公告的形式通知所有获取竞争性磋商文件的供应商，并对其具有约束力。供应商须随时关注网站的最新信息。</w:t>
      </w:r>
    </w:p>
    <w:p>
      <w:pPr>
        <w:adjustRightInd w:val="0"/>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7.5澄清或者修改的内容可能影响响应文件编制的，采购人、采购代理机构将在上传响应文件截止时间至少5日前，以更正公告的形式通知所有获取磋商文件的供应商；不足5日的，采购人、采购代理机构可能会顺延上传响应文件截止时间。澄清或者修改的内容未对原磋商文件作出重大修改或不会影响响应文件编制的，上传响应文件截止时间不变。</w:t>
      </w:r>
    </w:p>
    <w:p>
      <w:pPr>
        <w:adjustRightInd w:val="0"/>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7.6竞争性磋商文件澄清、答复、修改、补充的内容为竞争性磋商文件的组成部分。</w:t>
      </w:r>
    </w:p>
    <w:p>
      <w:pPr>
        <w:pStyle w:val="4"/>
        <w:spacing w:before="0" w:after="0" w:line="360" w:lineRule="auto"/>
        <w:rPr>
          <w:rFonts w:hint="eastAsia" w:ascii="宋体" w:hAnsi="宋体" w:eastAsia="宋体" w:cs="宋体"/>
          <w:b/>
          <w:color w:val="auto"/>
          <w:sz w:val="21"/>
          <w:szCs w:val="21"/>
          <w:highlight w:val="none"/>
        </w:rPr>
      </w:pPr>
      <w:bookmarkStart w:id="27" w:name="_Toc472544474"/>
      <w:r>
        <w:rPr>
          <w:rFonts w:hint="eastAsia" w:ascii="宋体" w:hAnsi="宋体" w:eastAsia="宋体" w:cs="宋体"/>
          <w:b/>
          <w:color w:val="auto"/>
          <w:sz w:val="21"/>
          <w:szCs w:val="21"/>
          <w:highlight w:val="none"/>
        </w:rPr>
        <w:t>三、响应文件</w:t>
      </w:r>
      <w:bookmarkEnd w:id="26"/>
      <w:r>
        <w:rPr>
          <w:rFonts w:hint="eastAsia" w:ascii="宋体" w:hAnsi="宋体" w:eastAsia="宋体" w:cs="宋体"/>
          <w:b/>
          <w:color w:val="auto"/>
          <w:sz w:val="21"/>
          <w:szCs w:val="21"/>
          <w:highlight w:val="none"/>
        </w:rPr>
        <w:t>编制要求</w:t>
      </w:r>
      <w:bookmarkEnd w:id="27"/>
    </w:p>
    <w:p>
      <w:pPr>
        <w:adjustRightInd w:val="0"/>
        <w:spacing w:line="360" w:lineRule="auto"/>
        <w:ind w:firstLine="481" w:firstLineChars="228"/>
        <w:rPr>
          <w:rFonts w:hint="eastAsia" w:ascii="宋体" w:hAnsi="宋体" w:cs="宋体"/>
          <w:b/>
          <w:color w:val="auto"/>
          <w:szCs w:val="21"/>
          <w:highlight w:val="none"/>
        </w:rPr>
      </w:pPr>
      <w:r>
        <w:rPr>
          <w:rFonts w:hint="eastAsia" w:ascii="宋体" w:hAnsi="宋体" w:cs="宋体"/>
          <w:b/>
          <w:color w:val="auto"/>
          <w:szCs w:val="21"/>
          <w:highlight w:val="none"/>
        </w:rPr>
        <w:t>8．响应文件的组成</w:t>
      </w:r>
    </w:p>
    <w:p>
      <w:pPr>
        <w:autoSpaceDE w:val="0"/>
        <w:autoSpaceDN w:val="0"/>
        <w:spacing w:line="360" w:lineRule="auto"/>
        <w:ind w:firstLine="570"/>
        <w:textAlignment w:val="bottom"/>
        <w:rPr>
          <w:rFonts w:hint="eastAsia" w:ascii="宋体" w:hAnsi="宋体" w:cs="宋体"/>
          <w:color w:val="auto"/>
          <w:szCs w:val="21"/>
          <w:highlight w:val="none"/>
        </w:rPr>
      </w:pPr>
      <w:r>
        <w:rPr>
          <w:rFonts w:hint="eastAsia" w:ascii="宋体" w:hAnsi="宋体" w:cs="宋体"/>
          <w:color w:val="auto"/>
          <w:szCs w:val="21"/>
          <w:highlight w:val="none"/>
        </w:rPr>
        <w:t>磋商供应商向采购人递交的书面响应文件（以下简称响应文件）由报价文件、资格和商务技术文件三部分组成，具体如下：</w:t>
      </w:r>
    </w:p>
    <w:p>
      <w:pPr>
        <w:adjustRightInd w:val="0"/>
        <w:spacing w:line="360" w:lineRule="auto"/>
        <w:ind w:firstLine="481" w:firstLineChars="228"/>
        <w:rPr>
          <w:rFonts w:hint="eastAsia" w:ascii="宋体" w:hAnsi="宋体" w:cs="宋体"/>
          <w:b/>
          <w:color w:val="auto"/>
          <w:szCs w:val="21"/>
          <w:highlight w:val="none"/>
        </w:rPr>
      </w:pPr>
      <w:r>
        <w:rPr>
          <w:rFonts w:hint="eastAsia" w:ascii="宋体" w:hAnsi="宋体" w:cs="宋体"/>
          <w:b/>
          <w:color w:val="auto"/>
          <w:szCs w:val="21"/>
          <w:highlight w:val="none"/>
        </w:rPr>
        <w:t>8.1报价文件</w:t>
      </w:r>
    </w:p>
    <w:p>
      <w:pPr>
        <w:numPr>
          <w:ilvl w:val="0"/>
          <w:numId w:val="2"/>
        </w:numPr>
        <w:adjustRightInd w:val="0"/>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磋商响应初始报价一览表；</w:t>
      </w:r>
    </w:p>
    <w:p>
      <w:pPr>
        <w:numPr>
          <w:ilvl w:val="0"/>
          <w:numId w:val="2"/>
        </w:numPr>
        <w:adjustRightIn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报价相关表单；</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（3）磋商供应商认为需要提供的其他文件及资料。</w:t>
      </w:r>
    </w:p>
    <w:p>
      <w:pPr>
        <w:adjustRightInd w:val="0"/>
        <w:spacing w:line="360" w:lineRule="auto"/>
        <w:ind w:firstLine="481" w:firstLineChars="228"/>
        <w:rPr>
          <w:rFonts w:hint="eastAsia" w:ascii="宋体" w:hAnsi="宋体" w:cs="宋体"/>
          <w:b/>
          <w:color w:val="auto"/>
          <w:szCs w:val="21"/>
          <w:highlight w:val="none"/>
        </w:rPr>
      </w:pPr>
      <w:r>
        <w:rPr>
          <w:rFonts w:hint="eastAsia" w:ascii="宋体" w:hAnsi="宋体" w:cs="宋体"/>
          <w:b/>
          <w:color w:val="auto"/>
          <w:szCs w:val="21"/>
          <w:highlight w:val="none"/>
        </w:rPr>
        <w:t>8.2资格响应文件</w:t>
      </w:r>
    </w:p>
    <w:p>
      <w:pPr>
        <w:pStyle w:val="88"/>
        <w:snapToGrid w:val="0"/>
        <w:spacing w:line="360" w:lineRule="auto"/>
        <w:ind w:firstLine="420"/>
        <w:rPr>
          <w:rFonts w:hint="eastAsia" w:ascii="宋体" w:hAnsi="宋体" w:cs="宋体"/>
          <w:color w:val="auto"/>
          <w:highlight w:val="none"/>
        </w:rPr>
      </w:pPr>
      <w:bookmarkStart w:id="28" w:name="_Hlk514025268"/>
      <w:r>
        <w:rPr>
          <w:rFonts w:hint="eastAsia" w:ascii="宋体" w:hAnsi="宋体" w:cs="宋体"/>
          <w:color w:val="auto"/>
          <w:highlight w:val="none"/>
        </w:rPr>
        <w:t>（1）符合《中华人民共和国政府采购法》第二十二条规定的相关证明材料；</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各磋商供应商须在投标文件中出具对应证明材料。（商业信誉可提前自查，投标文件中可不提供）</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a.具有独立承担民事责任能力的证明材料；</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磋商供应商须在投标文件中出具符合以下情况的证明材料复印件（五选一）：</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①　如磋商供应商是企业（包括合伙企业），提供在工商部门注册的有效“企业法人营业执照”或“营业执照”；</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②　如磋商供应商是事业单位，提供有效的“事业单位法人证书”；</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③　如磋商供应商是非企业专业服务机构的，提供执业许可证等证明文件；</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④　如磋商供应商是个体工商户，提供有效的“个体工商户营业执照”；</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⑤　如磋商供应商是自然人，提供有效的自然人身份证明（居民身份证正反面或公安机关出具的临时居民身份证正反面或港澳台胞证或护照）。</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b.符合参与政府采购活动资格条件的承诺函；参考格式见本文件第五部分；已完成信用修复的“缴纳税收和社会保障等方面的失信记录”不包含在《承诺函》第3点所述情形内（属于重大违法纪录情形的除外）</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c.商业信誉：至本项目磋商截止时间止未列入失信被执行人、重大税收违法案件当事人名单、政府采购严重违法失信行为记录名单。（代理机构以磋商当日在“信用中国”网站（www.creditchina.gov.cn）、中国政府采购网（www.ccgp.gov.cn）网页查询记录为准）</w:t>
      </w:r>
    </w:p>
    <w:p>
      <w:pPr>
        <w:pStyle w:val="88"/>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highlight w:val="none"/>
        </w:rPr>
      </w:pPr>
      <w:r>
        <w:rPr>
          <w:rFonts w:hint="eastAsia" w:ascii="宋体" w:hAnsi="宋体" w:cs="宋体"/>
          <w:color w:val="auto"/>
          <w:highlight w:val="none"/>
        </w:rPr>
        <w:t>（经查询列入失信被执行人、重大税收违法案件当事人名单、政府采购严重违法失信行为记录名单，截至本项目磋商截止日前三年内因违法经营收到刑事处罚或者责令停产停业、吊销许可证或者执照、较大数额罚款等行政处罚的，其磋商响应无效，无效供应商的信用记录查询结果截图将作为项目材料的组成部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（2）特定资格条件：</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lang w:eastAsia="zh-CN"/>
        </w:rPr>
        <w:t>建筑工程施工总承包</w:t>
      </w:r>
      <w:r>
        <w:rPr>
          <w:rFonts w:hint="eastAsia" w:ascii="宋体" w:hAnsi="宋体" w:cs="宋体"/>
          <w:color w:val="auto"/>
          <w:szCs w:val="21"/>
          <w:highlight w:val="none"/>
        </w:rPr>
        <w:t>等级证书</w:t>
      </w:r>
      <w:r>
        <w:rPr>
          <w:rFonts w:hint="eastAsia" w:ascii="宋体" w:hAnsi="宋体" w:cs="宋体"/>
          <w:color w:val="auto"/>
          <w:szCs w:val="24"/>
          <w:highlight w:val="none"/>
        </w:rPr>
        <w:t>及有效的安全生产许可证复印件。</w:t>
      </w:r>
    </w:p>
    <w:p>
      <w:pPr>
        <w:pStyle w:val="88"/>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highlight w:val="none"/>
        </w:rPr>
      </w:pPr>
      <w:r>
        <w:rPr>
          <w:rFonts w:hint="eastAsia" w:ascii="宋体" w:hAnsi="宋体" w:cs="宋体"/>
          <w:color w:val="auto"/>
          <w:highlight w:val="none"/>
        </w:rPr>
        <w:t>（3）落实政府采购政策需满足的资格要求所对应的证明材料：供应商应为中小企业，或监狱企业，或残疾人福利性单位</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1）中小企业声明函；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中小企业应当按照《政府采购促进中小企业发展管理办法》规定和《中小企业划型标准规定》（工信部联企业〔2011〕300号），如实填写并提交《中小企业声明函》。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投标人在填写声明函前，须先自查本企业是否满足中小企业认定标准（可通过国务院客户端和工业和信息化部网站上的自测小程序进行自查）。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中小企业对其声明内容的真实性负责，声明函内容不实的，属于提供虚假材料谋取中标、成交，依照《中华人民共和国政府采购法》等国家有关规定追究相应责任。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2）投标人为监狱企业的证明文件：省级以上监狱管理局、戒毒管理局（含新疆生产建设兵团）出具（如有）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3）投标人如符合《财政部、民政部、中国残疾人联合会关于促进残疾人就业政府采购政策的通知》（财库〔2017〕141号）政策规定的，须提供《残疾人福利性单位声明函》；（如有）</w:t>
      </w:r>
    </w:p>
    <w:bookmarkEnd w:id="28"/>
    <w:p>
      <w:pPr>
        <w:adjustRightInd w:val="0"/>
        <w:spacing w:line="360" w:lineRule="auto"/>
        <w:ind w:firstLine="481" w:firstLineChars="228"/>
        <w:rPr>
          <w:rFonts w:hint="eastAsia" w:ascii="宋体" w:hAnsi="宋体" w:cs="宋体"/>
          <w:b/>
          <w:color w:val="auto"/>
          <w:szCs w:val="21"/>
          <w:highlight w:val="none"/>
        </w:rPr>
      </w:pPr>
      <w:r>
        <w:rPr>
          <w:rFonts w:hint="eastAsia" w:ascii="宋体" w:hAnsi="宋体" w:cs="宋体"/>
          <w:b/>
          <w:color w:val="auto"/>
          <w:szCs w:val="21"/>
          <w:highlight w:val="none"/>
        </w:rPr>
        <w:t>8.3商务技术文件</w:t>
      </w:r>
    </w:p>
    <w:p>
      <w:pPr>
        <w:adjustRightInd w:val="0"/>
        <w:snapToGrid w:val="0"/>
        <w:spacing w:line="360" w:lineRule="auto"/>
        <w:ind w:firstLine="478" w:firstLineChars="228"/>
        <w:rPr>
          <w:rFonts w:hint="eastAsia" w:ascii="宋体" w:hAnsi="宋体" w:cs="宋体"/>
          <w:color w:val="auto"/>
          <w:szCs w:val="21"/>
          <w:highlight w:val="none"/>
        </w:rPr>
      </w:pPr>
      <w:r>
        <w:rPr>
          <w:rFonts w:hint="eastAsia" w:ascii="宋体" w:hAnsi="宋体" w:cs="宋体"/>
          <w:color w:val="auto"/>
          <w:szCs w:val="21"/>
          <w:highlight w:val="none"/>
        </w:rPr>
        <w:t>内容可以是资料，图表或说明，必须包含但不仅限于以下内容：</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（1）磋商响应函；</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（2）授权委托书，同时须附授权委托人的有效身份证复印件；</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（3）政府采购供应商廉洁自律承诺书；</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（4）中标服务费支付承诺书；</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（5）供应商简介、供应商基本情况；</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供应商</w:t>
      </w:r>
      <w:r>
        <w:rPr>
          <w:rFonts w:hint="eastAsia" w:ascii="宋体" w:hAnsi="宋体" w:cs="宋体"/>
          <w:color w:val="auto"/>
          <w:highlight w:val="none"/>
        </w:rPr>
        <w:t>证书：供应商</w:t>
      </w:r>
      <w:r>
        <w:rPr>
          <w:rFonts w:hint="eastAsia" w:ascii="宋体" w:hAnsi="宋体" w:cs="宋体"/>
          <w:color w:val="auto"/>
          <w:szCs w:val="21"/>
          <w:highlight w:val="none"/>
        </w:rPr>
        <w:t>具有ISO质量体系认证、环境管理体系认证、职业健康体系认证，</w:t>
      </w:r>
      <w:r>
        <w:rPr>
          <w:rFonts w:hint="eastAsia" w:ascii="宋体" w:hAnsi="宋体" w:cs="宋体"/>
          <w:color w:val="auto"/>
          <w:highlight w:val="none"/>
        </w:rPr>
        <w:t>提供有效证书复印件；</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（7）业绩：</w:t>
      </w:r>
      <w:r>
        <w:rPr>
          <w:rFonts w:hint="eastAsia" w:ascii="宋体" w:hAnsi="宋体" w:cs="宋体"/>
          <w:color w:val="auto"/>
          <w:szCs w:val="21"/>
          <w:highlight w:val="none"/>
        </w:rPr>
        <w:t>2019年1月1日以来（以合同签订时间为准）</w:t>
      </w:r>
      <w:r>
        <w:rPr>
          <w:rFonts w:hint="eastAsia" w:ascii="宋体" w:hAnsi="宋体" w:cs="宋体"/>
          <w:color w:val="auto"/>
          <w:szCs w:val="21"/>
          <w:highlight w:val="none"/>
          <w:lang w:eastAsia="zh-CN"/>
        </w:rPr>
        <w:t>的</w:t>
      </w:r>
      <w:r>
        <w:rPr>
          <w:rFonts w:hint="eastAsia"/>
          <w:color w:val="auto"/>
          <w:highlight w:val="none"/>
          <w:lang w:eastAsia="zh-CN"/>
        </w:rPr>
        <w:t>防辐射工程施工业绩，</w:t>
      </w:r>
      <w:r>
        <w:rPr>
          <w:rFonts w:hint="eastAsia" w:ascii="宋体" w:hAnsi="宋体" w:cs="宋体"/>
          <w:color w:val="auto"/>
          <w:highlight w:val="none"/>
          <w:lang w:eastAsia="zh-CN"/>
        </w:rPr>
        <w:t>提供竣（交）工验收报告或合同复印件加盖供应商单位公章</w:t>
      </w:r>
      <w:r>
        <w:rPr>
          <w:rFonts w:hint="eastAsia" w:ascii="宋体" w:hAnsi="宋体" w:cs="宋体"/>
          <w:color w:val="auto"/>
          <w:highlight w:val="none"/>
        </w:rPr>
        <w:t>；</w:t>
      </w:r>
    </w:p>
    <w:p>
      <w:pPr>
        <w:pStyle w:val="88"/>
        <w:snapToGrid w:val="0"/>
        <w:spacing w:line="360" w:lineRule="auto"/>
        <w:ind w:firstLine="420"/>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主材品牌表；</w:t>
      </w:r>
    </w:p>
    <w:p>
      <w:pPr>
        <w:pStyle w:val="88"/>
        <w:snapToGrid w:val="0"/>
        <w:spacing w:line="360" w:lineRule="auto"/>
        <w:ind w:firstLine="42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szCs w:val="21"/>
          <w:highlight w:val="none"/>
          <w:lang w:eastAsia="zh-CN"/>
        </w:rPr>
        <w:t>项目经理执业和职称证书复印件及业绩证明资料</w:t>
      </w:r>
      <w:r>
        <w:rPr>
          <w:rFonts w:hint="eastAsia" w:ascii="宋体" w:hAnsi="宋体" w:cs="宋体"/>
          <w:color w:val="auto"/>
          <w:highlight w:val="none"/>
        </w:rPr>
        <w:t>；</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cs="宋体"/>
          <w:color w:val="auto"/>
          <w:highlight w:val="none"/>
        </w:rPr>
        <w:t>（10）</w:t>
      </w:r>
      <w:r>
        <w:rPr>
          <w:rFonts w:hint="eastAsia" w:ascii="宋体" w:hAnsi="宋体" w:cs="宋体"/>
          <w:color w:val="auto"/>
          <w:szCs w:val="21"/>
          <w:highlight w:val="none"/>
        </w:rPr>
        <w:t>实施方案</w:t>
      </w:r>
      <w:r>
        <w:rPr>
          <w:rFonts w:hint="eastAsia" w:ascii="宋体" w:hAnsi="宋体" w:cs="宋体"/>
          <w:color w:val="auto"/>
          <w:szCs w:val="21"/>
          <w:highlight w:val="none"/>
          <w:lang w:eastAsia="zh-CN"/>
        </w:rPr>
        <w:t>；</w:t>
      </w:r>
    </w:p>
    <w:p>
      <w:pPr>
        <w:pStyle w:val="88"/>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针对本项目医疗场所特殊施工环境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以及配合设备厂家等参建单位</w:t>
      </w:r>
      <w:r>
        <w:rPr>
          <w:rFonts w:hint="eastAsia" w:ascii="宋体" w:hAnsi="宋体" w:cs="宋体"/>
          <w:color w:val="auto"/>
          <w:szCs w:val="21"/>
          <w:highlight w:val="none"/>
        </w:rPr>
        <w:t>需要采取的专</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的施工技术和组织措施</w:t>
      </w:r>
      <w:r>
        <w:rPr>
          <w:rFonts w:hint="eastAsia" w:ascii="宋体" w:hAnsi="宋体" w:cs="宋体"/>
          <w:color w:val="auto"/>
          <w:szCs w:val="21"/>
          <w:highlight w:val="none"/>
          <w:lang w:eastAsia="zh-CN"/>
        </w:rPr>
        <w:t>；</w:t>
      </w:r>
    </w:p>
    <w:p>
      <w:pPr>
        <w:pStyle w:val="88"/>
        <w:snapToGrid w:val="0"/>
        <w:spacing w:line="360" w:lineRule="auto"/>
        <w:ind w:firstLine="420"/>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原有房屋的拆除方案和周边建筑物保护措施</w:t>
      </w:r>
      <w:r>
        <w:rPr>
          <w:rFonts w:hint="eastAsia" w:ascii="宋体" w:hAnsi="宋体"/>
          <w:color w:val="auto"/>
          <w:szCs w:val="21"/>
          <w:highlight w:val="none"/>
          <w:lang w:val="en-US" w:eastAsia="zh-CN"/>
        </w:rPr>
        <w:t>；</w:t>
      </w:r>
    </w:p>
    <w:p>
      <w:pPr>
        <w:pStyle w:val="88"/>
        <w:snapToGrid w:val="0"/>
        <w:spacing w:line="360" w:lineRule="auto"/>
        <w:ind w:firstLine="420"/>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eastAsia="宋体" w:cs="宋体"/>
          <w:color w:val="auto"/>
          <w:szCs w:val="21"/>
          <w:highlight w:val="none"/>
        </w:rPr>
        <w:t>防护</w:t>
      </w:r>
      <w:r>
        <w:rPr>
          <w:rFonts w:hint="eastAsia" w:ascii="宋体" w:hAnsi="宋体" w:eastAsia="宋体" w:cs="宋体"/>
          <w:color w:val="auto"/>
          <w:szCs w:val="21"/>
          <w:highlight w:val="none"/>
          <w:lang w:val="en-US" w:eastAsia="zh-CN"/>
        </w:rPr>
        <w:t>专项施工方案</w:t>
      </w:r>
      <w:r>
        <w:rPr>
          <w:rFonts w:hint="eastAsia" w:ascii="宋体" w:hAnsi="宋体" w:eastAsia="宋体" w:cs="宋体"/>
          <w:color w:val="auto"/>
          <w:szCs w:val="21"/>
          <w:highlight w:val="none"/>
        </w:rPr>
        <w:t>，针对本项目施工图纸的要求，</w:t>
      </w:r>
      <w:r>
        <w:rPr>
          <w:rFonts w:hint="eastAsia" w:ascii="宋体" w:hAnsi="宋体" w:eastAsia="宋体" w:cs="宋体"/>
          <w:color w:val="auto"/>
          <w:szCs w:val="21"/>
          <w:highlight w:val="none"/>
          <w:lang w:val="en-US" w:eastAsia="zh-CN"/>
        </w:rPr>
        <w:t>对</w:t>
      </w:r>
      <w:r>
        <w:rPr>
          <w:rFonts w:hint="eastAsia" w:ascii="宋体" w:hAnsi="宋体" w:eastAsia="宋体" w:cs="宋体"/>
          <w:color w:val="auto"/>
          <w:szCs w:val="21"/>
          <w:highlight w:val="none"/>
        </w:rPr>
        <w:t>施工的重点、难点</w:t>
      </w:r>
      <w:r>
        <w:rPr>
          <w:rFonts w:hint="eastAsia"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rPr>
        <w:t>分析，</w:t>
      </w:r>
      <w:r>
        <w:rPr>
          <w:rFonts w:hint="eastAsia" w:ascii="宋体" w:hAnsi="宋体" w:eastAsia="宋体" w:cs="宋体"/>
          <w:color w:val="auto"/>
          <w:szCs w:val="21"/>
          <w:highlight w:val="none"/>
          <w:lang w:val="en-US" w:eastAsia="zh-CN"/>
        </w:rPr>
        <w:t>提出</w:t>
      </w:r>
      <w:r>
        <w:rPr>
          <w:rFonts w:hint="eastAsia" w:ascii="宋体" w:hAnsi="宋体" w:eastAsia="宋体" w:cs="宋体"/>
          <w:color w:val="auto"/>
          <w:szCs w:val="21"/>
          <w:highlight w:val="none"/>
        </w:rPr>
        <w:t>相应的解决措施</w:t>
      </w:r>
      <w:r>
        <w:rPr>
          <w:rFonts w:hint="eastAsia" w:ascii="宋体" w:hAnsi="宋体" w:cs="宋体"/>
          <w:color w:val="auto"/>
          <w:szCs w:val="21"/>
          <w:highlight w:val="none"/>
          <w:lang w:val="en-US" w:eastAsia="zh-CN"/>
        </w:rPr>
        <w:t>；</w:t>
      </w:r>
    </w:p>
    <w:p>
      <w:pPr>
        <w:pStyle w:val="88"/>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电梯安装方案和措施</w:t>
      </w:r>
      <w:r>
        <w:rPr>
          <w:rFonts w:hint="eastAsia" w:ascii="宋体" w:hAnsi="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主要施工设备</w:t>
      </w:r>
      <w:r>
        <w:rPr>
          <w:rFonts w:hint="eastAsia" w:ascii="宋体" w:hAnsi="宋体" w:eastAsia="宋体" w:cs="宋体"/>
          <w:color w:val="auto"/>
          <w:szCs w:val="21"/>
          <w:highlight w:val="none"/>
          <w:lang w:val="en-US" w:eastAsia="zh-CN"/>
        </w:rPr>
        <w:t>情况；</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项目实施管理人员</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现场</w:t>
      </w:r>
      <w:r>
        <w:rPr>
          <w:rFonts w:hint="eastAsia" w:ascii="宋体" w:hAnsi="宋体" w:eastAsia="宋体" w:cs="Times New Roman"/>
          <w:color w:val="auto"/>
          <w:szCs w:val="21"/>
          <w:highlight w:val="none"/>
        </w:rPr>
        <w:t>施工人员模式对项目实施有保障且有技术支撑</w:t>
      </w:r>
      <w:r>
        <w:rPr>
          <w:rFonts w:hint="eastAsia" w:ascii="宋体" w:hAnsi="宋体" w:eastAsia="宋体" w:cs="Times New Roman"/>
          <w:color w:val="auto"/>
          <w:szCs w:val="21"/>
          <w:highlight w:val="none"/>
          <w:lang w:val="en-US" w:eastAsia="zh-CN"/>
        </w:rPr>
        <w:t>及</w:t>
      </w:r>
      <w:r>
        <w:rPr>
          <w:rFonts w:hint="eastAsia" w:ascii="宋体" w:hAnsi="宋体" w:cs="宋体"/>
          <w:color w:val="auto"/>
          <w:szCs w:val="21"/>
          <w:highlight w:val="none"/>
        </w:rPr>
        <w:t>安排</w:t>
      </w:r>
      <w:r>
        <w:rPr>
          <w:rFonts w:hint="eastAsia" w:ascii="宋体" w:hAnsi="宋体" w:cs="宋体"/>
          <w:color w:val="auto"/>
          <w:szCs w:val="21"/>
          <w:highlight w:val="none"/>
          <w:lang w:val="en-US" w:eastAsia="zh-CN"/>
        </w:rPr>
        <w:t>等；</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大体积混凝土浇筑及养护方案和模板搭设方案；</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8）现场施工围挡及保障正常医疗秩序安全通道搭设安装方案措施；</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施工质量目标明确，质量控制措施</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安全、文明施工及市政、市容、环保、消防等的保证措施</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检验与验收方案</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材料的进货渠道及质量保障方案</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针对目前疫情防控措施</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rPr>
        <w:t>承诺及合理化建议</w:t>
      </w:r>
      <w:r>
        <w:rPr>
          <w:rFonts w:hint="eastAsia" w:ascii="宋体" w:hAnsi="宋体" w:cs="宋体"/>
          <w:color w:val="auto"/>
          <w:szCs w:val="21"/>
          <w:highlight w:val="none"/>
          <w:lang w:eastAsia="zh-CN"/>
        </w:rPr>
        <w:t>；</w:t>
      </w:r>
    </w:p>
    <w:p>
      <w:pPr>
        <w:pStyle w:val="88"/>
        <w:snapToGrid w:val="0"/>
        <w:spacing w:line="360" w:lineRule="auto"/>
        <w:ind w:firstLine="420"/>
        <w:rPr>
          <w:rFonts w:hint="eastAsia" w:ascii="Times New Roman" w:hAnsi="Times New Roman"/>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w:t>
      </w:r>
      <w:r>
        <w:rPr>
          <w:rFonts w:hint="eastAsia" w:ascii="Times New Roman" w:hAnsi="Times New Roman"/>
          <w:color w:val="auto"/>
          <w:highlight w:val="none"/>
          <w:lang w:eastAsia="zh-CN"/>
        </w:rPr>
        <w:t>所投产品</w:t>
      </w:r>
      <w:r>
        <w:rPr>
          <w:rFonts w:ascii="Times New Roman" w:hAnsi="Times New Roman"/>
          <w:color w:val="auto"/>
          <w:highlight w:val="none"/>
        </w:rPr>
        <w:t>列入节能产品证明资料、</w:t>
      </w:r>
      <w:r>
        <w:rPr>
          <w:rFonts w:hint="eastAsia" w:ascii="Times New Roman" w:hAnsi="Times New Roman"/>
          <w:color w:val="auto"/>
          <w:highlight w:val="none"/>
          <w:lang w:eastAsia="zh-CN"/>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lang w:eastAsia="zh-CN"/>
        </w:rPr>
        <w:t>，</w:t>
      </w:r>
      <w:r>
        <w:rPr>
          <w:rFonts w:hint="eastAsia" w:ascii="宋体" w:hAnsi="宋体" w:cs="宋体"/>
          <w:bCs/>
          <w:i w:val="0"/>
          <w:iCs w:val="0"/>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13</w:t>
      </w:r>
      <w:r>
        <w:rPr>
          <w:rFonts w:hint="eastAsia" w:ascii="宋体" w:hAnsi="宋体" w:cs="宋体"/>
          <w:color w:val="auto"/>
          <w:highlight w:val="none"/>
        </w:rPr>
        <w:t>）供应商认为有必要提供的其它文件。</w:t>
      </w:r>
    </w:p>
    <w:p>
      <w:pPr>
        <w:pStyle w:val="88"/>
        <w:snapToGrid w:val="0"/>
        <w:spacing w:line="360" w:lineRule="auto"/>
        <w:ind w:firstLine="420"/>
        <w:rPr>
          <w:rFonts w:hint="eastAsia" w:ascii="宋体" w:hAnsi="宋体" w:cs="宋体"/>
          <w:color w:val="auto"/>
          <w:szCs w:val="22"/>
          <w:highlight w:val="none"/>
        </w:rPr>
      </w:pPr>
      <w:r>
        <w:rPr>
          <w:rFonts w:hint="eastAsia" w:ascii="宋体" w:hAnsi="宋体" w:cs="宋体"/>
          <w:color w:val="auto"/>
          <w:szCs w:val="21"/>
          <w:highlight w:val="none"/>
        </w:rPr>
        <w:t>注：以上内容为复印件的应加盖磋商供应商公章，</w:t>
      </w:r>
      <w:r>
        <w:rPr>
          <w:rFonts w:hint="eastAsia" w:ascii="宋体" w:hAnsi="宋体" w:cs="宋体"/>
          <w:color w:val="auto"/>
          <w:szCs w:val="22"/>
          <w:highlight w:val="none"/>
        </w:rPr>
        <w:t>附件中有参考格式的，参照格式，没有参考格式的，磋商供应商根据磋商文件要求自行编制。</w:t>
      </w:r>
    </w:p>
    <w:p>
      <w:pPr>
        <w:tabs>
          <w:tab w:val="left" w:pos="900"/>
        </w:tabs>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8.4磋商货币</w:t>
      </w:r>
    </w:p>
    <w:p>
      <w:pPr>
        <w:tabs>
          <w:tab w:val="left" w:pos="900"/>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本次磋商项目货币为人民币。</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8.5 磋商供应商应仔细阅读磋商文件中的所有内容，按照磋商文件的相关要求，详细编制响应文件，并保证响应文件的正确性和真实性。</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8.6 不按磋商文件的要求提供的响应文件可能导致被拒绝。</w:t>
      </w:r>
    </w:p>
    <w:p>
      <w:pPr>
        <w:snapToGrid w:val="0"/>
        <w:spacing w:line="360" w:lineRule="auto"/>
        <w:ind w:left="480"/>
        <w:rPr>
          <w:rFonts w:hint="eastAsia" w:ascii="宋体" w:hAnsi="宋体" w:cs="宋体"/>
          <w:b/>
          <w:color w:val="auto"/>
          <w:szCs w:val="21"/>
          <w:highlight w:val="none"/>
        </w:rPr>
      </w:pPr>
      <w:r>
        <w:rPr>
          <w:rFonts w:hint="eastAsia" w:ascii="宋体" w:hAnsi="宋体" w:cs="宋体"/>
          <w:b/>
          <w:color w:val="auto"/>
          <w:szCs w:val="21"/>
          <w:highlight w:val="none"/>
        </w:rPr>
        <w:t>9．报价要求</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bookmarkStart w:id="29" w:name="_Hlk514025443"/>
      <w:r>
        <w:rPr>
          <w:rFonts w:hint="eastAsia" w:ascii="宋体" w:hAnsi="宋体" w:cs="宋体"/>
          <w:color w:val="auto"/>
          <w:szCs w:val="21"/>
          <w:highlight w:val="none"/>
        </w:rPr>
        <w:t>9.1 本项目的的磋商报价采用固定单价的方式进行报价；磋商报价中应包括完成该工程的人工、机械、水电、劳务、管理、主材、辅材、运输、安装、保修、垃圾清运、措施（如临时措施、环境保护、成品保护等）、保险、利润、税金、政策性文件规定及合同包含的所有风险、责任等各项应有费用。供应商应根据竞争性磋商文件要求、采购人组织的现场踏勘实际情况、自身的综合实力，自由竞报磋商报价并承担相应的风险责任。响应供应商应认真计算可能发生的各相关费用并计入投标报价内，在项目实施过程中不得藉此要求增加任何费用。</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如上述没有提及但该项目仍需要的内容，请响应供应商自行考虑一并计入磋商报价中（未计入的，视为响应供应商的优惠）。</w:t>
      </w:r>
    </w:p>
    <w:bookmarkEnd w:id="29"/>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9.2 磋商供应商应对磋商文件内所要采购的全部内容进行报价，只</w:t>
      </w:r>
      <w:r>
        <w:rPr>
          <w:rFonts w:hint="eastAsia" w:ascii="宋体" w:hAnsi="宋体" w:cs="宋体"/>
          <w:color w:val="auto"/>
          <w:szCs w:val="21"/>
          <w:highlight w:val="none"/>
          <w:lang w:eastAsia="zh-CN"/>
        </w:rPr>
        <w:t>选择</w:t>
      </w:r>
      <w:r>
        <w:rPr>
          <w:rFonts w:hint="eastAsia" w:ascii="宋体" w:hAnsi="宋体" w:cs="宋体"/>
          <w:color w:val="auto"/>
          <w:szCs w:val="21"/>
          <w:highlight w:val="none"/>
        </w:rPr>
        <w:t>其中部分内容者，其响应文件将被拒绝。</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9.3 磋商内容只允许一个报价，采购人不接受任何有选择性的磋商报价。</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9.4 成交供应商需向采购代理机构支付采购代理服务费。</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结算方式及时间为：在领取成交通知书时由成交供应商一次性向采购代理机构付清。</w:t>
      </w:r>
    </w:p>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采购代理服务收费按计价【2002】1980号文规定的70%（见下）收取：</w:t>
      </w:r>
    </w:p>
    <w:tbl>
      <w:tblPr>
        <w:tblStyle w:val="3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top"/>
          </w:tcPr>
          <w:p>
            <w:pPr>
              <w:widowControl/>
              <w:spacing w:after="156"/>
              <w:jc w:val="center"/>
              <w:rPr>
                <w:rFonts w:hint="eastAsia" w:ascii="宋体" w:hAnsi="宋体" w:cs="宋体"/>
                <w:color w:val="auto"/>
                <w:szCs w:val="21"/>
                <w:highlight w:val="none"/>
              </w:rPr>
            </w:pPr>
            <w:r>
              <w:rPr>
                <w:rFonts w:hint="eastAsia" w:ascii="宋体" w:hAnsi="宋体" w:cs="宋体"/>
                <w:color w:val="auto"/>
                <w:szCs w:val="21"/>
                <w:highlight w:val="none"/>
              </w:rPr>
              <w:t>中标金额</w:t>
            </w:r>
            <w:r>
              <w:rPr>
                <w:rFonts w:hint="eastAsia" w:ascii="宋体" w:hAnsi="宋体" w:cs="宋体"/>
                <w:color w:val="auto"/>
                <w:spacing w:val="20"/>
                <w:szCs w:val="21"/>
                <w:highlight w:val="none"/>
              </w:rPr>
              <w:t>P</w:t>
            </w:r>
            <w:r>
              <w:rPr>
                <w:rFonts w:hint="eastAsia" w:ascii="宋体" w:hAnsi="宋体" w:cs="宋体"/>
                <w:color w:val="auto"/>
                <w:szCs w:val="21"/>
                <w:highlight w:val="none"/>
              </w:rPr>
              <w:t>（万元人民币）</w:t>
            </w:r>
          </w:p>
        </w:tc>
        <w:tc>
          <w:tcPr>
            <w:tcW w:w="3336" w:type="dxa"/>
            <w:noWrap w:val="0"/>
            <w:vAlign w:val="top"/>
          </w:tcPr>
          <w:p>
            <w:pPr>
              <w:widowControl/>
              <w:spacing w:after="156"/>
              <w:jc w:val="center"/>
              <w:rPr>
                <w:rFonts w:hint="eastAsia" w:ascii="宋体" w:hAnsi="宋体" w:cs="宋体"/>
                <w:color w:val="auto"/>
                <w:szCs w:val="21"/>
                <w:highlight w:val="none"/>
              </w:rPr>
            </w:pPr>
            <w:r>
              <w:rPr>
                <w:rFonts w:hint="eastAsia" w:ascii="宋体" w:hAnsi="宋体" w:cs="宋体"/>
                <w:color w:val="auto"/>
                <w:szCs w:val="21"/>
                <w:highlight w:val="none"/>
              </w:rPr>
              <w:t>工程采购服务费（万元人民币）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center"/>
          </w:tcPr>
          <w:p>
            <w:pPr>
              <w:widowControl/>
              <w:spacing w:after="156"/>
              <w:jc w:val="center"/>
              <w:rPr>
                <w:rFonts w:hint="eastAsia" w:ascii="宋体" w:hAnsi="宋体" w:cs="宋体"/>
                <w:color w:val="auto"/>
                <w:szCs w:val="21"/>
                <w:highlight w:val="none"/>
              </w:rPr>
            </w:pPr>
            <w:r>
              <w:rPr>
                <w:color w:val="auto"/>
                <w:szCs w:val="21"/>
                <w:highlight w:val="none"/>
              </w:rPr>
              <w:t>100以下</w:t>
            </w:r>
          </w:p>
        </w:tc>
        <w:tc>
          <w:tcPr>
            <w:tcW w:w="3336" w:type="dxa"/>
            <w:noWrap w:val="0"/>
            <w:vAlign w:val="center"/>
          </w:tcPr>
          <w:p>
            <w:pPr>
              <w:tabs>
                <w:tab w:val="left" w:pos="0"/>
              </w:tabs>
              <w:spacing w:line="360" w:lineRule="auto"/>
              <w:jc w:val="center"/>
              <w:rPr>
                <w:rFonts w:hint="eastAsia" w:ascii="宋体" w:hAnsi="宋体" w:cs="宋体"/>
                <w:color w:val="auto"/>
                <w:szCs w:val="21"/>
                <w:highlight w:val="none"/>
              </w:rPr>
            </w:pPr>
            <w:r>
              <w:rPr>
                <w:color w:val="auto"/>
                <w:spacing w:val="20"/>
                <w:szCs w:val="21"/>
                <w:highlight w:val="none"/>
              </w:rPr>
              <w:t>P*1.0%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center"/>
          </w:tcPr>
          <w:p>
            <w:pPr>
              <w:widowControl/>
              <w:spacing w:after="156"/>
              <w:jc w:val="center"/>
              <w:rPr>
                <w:rFonts w:ascii="宋体" w:hAnsi="宋体" w:cs="宋体"/>
                <w:color w:val="auto"/>
                <w:szCs w:val="21"/>
                <w:highlight w:val="none"/>
              </w:rPr>
            </w:pPr>
            <w:r>
              <w:rPr>
                <w:color w:val="auto"/>
                <w:szCs w:val="21"/>
                <w:highlight w:val="none"/>
              </w:rPr>
              <w:t>100-500</w:t>
            </w:r>
          </w:p>
        </w:tc>
        <w:tc>
          <w:tcPr>
            <w:tcW w:w="3336" w:type="dxa"/>
            <w:noWrap w:val="0"/>
            <w:vAlign w:val="center"/>
          </w:tcPr>
          <w:p>
            <w:pPr>
              <w:tabs>
                <w:tab w:val="left" w:pos="0"/>
              </w:tabs>
              <w:spacing w:line="360" w:lineRule="auto"/>
              <w:jc w:val="center"/>
              <w:rPr>
                <w:rFonts w:hint="eastAsia" w:ascii="宋体" w:hAnsi="宋体" w:cs="宋体"/>
                <w:color w:val="auto"/>
                <w:spacing w:val="20"/>
                <w:szCs w:val="21"/>
                <w:highlight w:val="none"/>
              </w:rPr>
            </w:pPr>
            <w:r>
              <w:rPr>
                <w:color w:val="auto"/>
                <w:spacing w:val="20"/>
                <w:szCs w:val="21"/>
                <w:highlight w:val="none"/>
              </w:rPr>
              <w:t>0.3+P*0.7%</w:t>
            </w:r>
          </w:p>
        </w:tc>
      </w:tr>
    </w:tbl>
    <w:p>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9.5 磋商过程中所发生的一切费用均包含在磋商总价中。</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10．磋商保证金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10.1本项目不收取磋商保证金。</w:t>
      </w:r>
    </w:p>
    <w:p>
      <w:pPr>
        <w:pStyle w:val="15"/>
        <w:snapToGrid w:val="0"/>
        <w:ind w:firstLine="422" w:firstLineChars="200"/>
        <w:jc w:val="both"/>
        <w:rPr>
          <w:rFonts w:cs="宋体"/>
          <w:b/>
          <w:color w:val="auto"/>
          <w:sz w:val="21"/>
          <w:szCs w:val="21"/>
          <w:highlight w:val="none"/>
        </w:rPr>
      </w:pPr>
      <w:r>
        <w:rPr>
          <w:rFonts w:cs="宋体"/>
          <w:b/>
          <w:color w:val="auto"/>
          <w:sz w:val="21"/>
          <w:szCs w:val="21"/>
          <w:highlight w:val="none"/>
        </w:rPr>
        <w:t>11．响应文件的有效期</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kern w:val="2"/>
          <w:szCs w:val="21"/>
          <w:highlight w:val="none"/>
          <w:lang w:val="zh-CN"/>
        </w:rPr>
        <w:t>响应文件的有效期为</w:t>
      </w:r>
      <w:r>
        <w:rPr>
          <w:rFonts w:hint="eastAsia" w:ascii="宋体" w:hAnsi="宋体" w:cs="宋体"/>
          <w:color w:val="auto"/>
          <w:szCs w:val="21"/>
          <w:highlight w:val="none"/>
        </w:rPr>
        <w:t>磋商截止时间</w:t>
      </w:r>
      <w:r>
        <w:rPr>
          <w:rFonts w:hint="eastAsia" w:ascii="宋体" w:hAnsi="宋体" w:cs="宋体"/>
          <w:color w:val="auto"/>
          <w:kern w:val="2"/>
          <w:szCs w:val="21"/>
          <w:highlight w:val="none"/>
          <w:lang w:val="zh-CN"/>
        </w:rPr>
        <w:t>之日后90日历天。不足有效期的视为非实质性响应，其磋商将被拒绝。</w:t>
      </w:r>
    </w:p>
    <w:p>
      <w:pPr>
        <w:tabs>
          <w:tab w:val="left" w:pos="90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11.2在原定有效期满之前，如果出现特殊情况，采购人可以以书面形式向磋商供应商提出延长磋商有效期的要求，磋商供应商对此须以书面形式予以答复。同意延长有效期的磋商供应商不能修改响应文件。</w:t>
      </w:r>
    </w:p>
    <w:p>
      <w:pPr>
        <w:numPr>
          <w:ilvl w:val="0"/>
          <w:numId w:val="3"/>
        </w:numPr>
        <w:snapToGrid w:val="0"/>
        <w:spacing w:line="360" w:lineRule="auto"/>
        <w:ind w:firstLine="422" w:firstLineChars="200"/>
        <w:rPr>
          <w:rFonts w:hint="eastAsia" w:ascii="宋体" w:hAnsi="宋体" w:cs="宋体"/>
          <w:b/>
          <w:color w:val="auto"/>
          <w:szCs w:val="21"/>
          <w:highlight w:val="none"/>
        </w:rPr>
      </w:pPr>
      <w:bookmarkStart w:id="30" w:name="_Toc183786418"/>
      <w:r>
        <w:rPr>
          <w:rFonts w:hint="eastAsia" w:ascii="宋体" w:hAnsi="宋体" w:cs="宋体"/>
          <w:b/>
          <w:color w:val="auto"/>
          <w:szCs w:val="21"/>
          <w:highlight w:val="none"/>
        </w:rPr>
        <w:t>响应文件的规定</w:t>
      </w:r>
    </w:p>
    <w:p>
      <w:pPr>
        <w:tabs>
          <w:tab w:val="left" w:pos="900"/>
        </w:tabs>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12.1响应文件的形式</w:t>
      </w:r>
    </w:p>
    <w:p>
      <w:pPr>
        <w:tabs>
          <w:tab w:val="left" w:pos="90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详见前附表。</w:t>
      </w:r>
    </w:p>
    <w:p>
      <w:pPr>
        <w:tabs>
          <w:tab w:val="left" w:pos="900"/>
        </w:tabs>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12.2响应文件的份数</w:t>
      </w:r>
    </w:p>
    <w:p>
      <w:pPr>
        <w:tabs>
          <w:tab w:val="left" w:pos="900"/>
        </w:tabs>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详见前附表。</w:t>
      </w:r>
    </w:p>
    <w:p>
      <w:pPr>
        <w:tabs>
          <w:tab w:val="left" w:pos="900"/>
        </w:tabs>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12.3特别说明：</w:t>
      </w:r>
    </w:p>
    <w:p>
      <w:pPr>
        <w:tabs>
          <w:tab w:val="left" w:pos="900"/>
        </w:tabs>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供应商应根据“政采云供应商项目采购-电子招投标操作指南”及本磋商文件规定的格式和顺序编制电子响应文件并进行关联定位。以便磋商小组在谈判过程中，点击评分项，可直接定位到该评分项内容。</w:t>
      </w:r>
    </w:p>
    <w:p>
      <w:pPr>
        <w:tabs>
          <w:tab w:val="left" w:pos="90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对磋商文件的某项要求，供应商上传的响应文件未能提供相应的内容与其对应，则磋商小组在对该内容进行评分时会提示供应商未对此项采购要求提供相应内容。由此可能导致相关评分项不得分，该后果由供应商自行承担。</w:t>
      </w:r>
    </w:p>
    <w:p>
      <w:pPr>
        <w:pStyle w:val="4"/>
        <w:spacing w:before="0" w:after="0" w:line="360" w:lineRule="auto"/>
        <w:rPr>
          <w:rFonts w:hint="eastAsia" w:ascii="宋体" w:hAnsi="宋体" w:eastAsia="宋体" w:cs="宋体"/>
          <w:b/>
          <w:color w:val="auto"/>
          <w:sz w:val="21"/>
          <w:szCs w:val="21"/>
          <w:highlight w:val="none"/>
        </w:rPr>
      </w:pPr>
      <w:bookmarkStart w:id="31" w:name="_Toc472544475"/>
      <w:r>
        <w:rPr>
          <w:rFonts w:hint="eastAsia" w:ascii="宋体" w:hAnsi="宋体" w:eastAsia="宋体" w:cs="宋体"/>
          <w:b/>
          <w:color w:val="auto"/>
          <w:sz w:val="21"/>
          <w:szCs w:val="21"/>
          <w:highlight w:val="none"/>
        </w:rPr>
        <w:t>四、响应文件的递交</w:t>
      </w:r>
      <w:bookmarkEnd w:id="30"/>
      <w:bookmarkEnd w:id="31"/>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13.响应文件的上传和递交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见供应商须知前附表“响应文件的上传和递交”。</w:t>
      </w:r>
    </w:p>
    <w:p>
      <w:pPr>
        <w:adjustRightInd w:val="0"/>
        <w:snapToGrid w:val="0"/>
        <w:spacing w:line="360" w:lineRule="auto"/>
        <w:ind w:firstLine="422" w:firstLineChars="200"/>
        <w:rPr>
          <w:rFonts w:hint="eastAsia" w:ascii="宋体" w:hAnsi="宋体" w:cs="宋体"/>
          <w:b/>
          <w:color w:val="auto"/>
          <w:szCs w:val="21"/>
          <w:highlight w:val="none"/>
        </w:rPr>
      </w:pPr>
      <w:bookmarkStart w:id="32" w:name="_Toc183786419"/>
      <w:bookmarkStart w:id="33" w:name="_Toc472544477"/>
      <w:r>
        <w:rPr>
          <w:rFonts w:hint="eastAsia" w:ascii="宋体" w:hAnsi="宋体" w:cs="宋体"/>
          <w:b/>
          <w:color w:val="auto"/>
          <w:szCs w:val="21"/>
          <w:highlight w:val="none"/>
        </w:rPr>
        <w:t>14．磋商截止时间</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14.1磋商截止时间即上传响应文件截止时间。在磋商截止时间以后送达或上传的响应文件均为无效文件，采购人、采购代理机构、磋商小组拒绝接收。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14.2采购人因故推迟磋商截止时间，将以书面形式通知所有磋商供应商。在这种情况下，采购人和磋商供应商的权利和义务将受到新的截止时间的约束。</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15．响应文件的修改与撤回</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成功上传的，视为响应文件撤回，磋商无效。</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在磋商响应截止期之后，除磋商小组要求供应商做出必要的澄清、说明、更正，或者因采购人对采购需求调整导致响应文件修改外，供应商不得自行对其响应文件作任何修改。</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从磋商截止期至磋商有效期期满这段时间内，供应商不得撤回其响应文件。</w:t>
      </w:r>
    </w:p>
    <w:p>
      <w:pPr>
        <w:pStyle w:val="4"/>
        <w:spacing w:before="0" w:after="0" w:line="360" w:lineRule="auto"/>
        <w:rPr>
          <w:rFonts w:hint="eastAsia" w:ascii="宋体" w:hAnsi="宋体" w:eastAsia="宋体" w:cs="宋体"/>
          <w:color w:val="auto"/>
          <w:sz w:val="21"/>
          <w:szCs w:val="21"/>
          <w:highlight w:val="none"/>
        </w:rPr>
      </w:pPr>
      <w:bookmarkStart w:id="34" w:name="_Toc8199"/>
      <w:bookmarkStart w:id="35" w:name="_Toc207550884"/>
      <w:bookmarkStart w:id="36" w:name="_Toc11666"/>
      <w:r>
        <w:rPr>
          <w:rFonts w:hint="eastAsia" w:ascii="宋体" w:hAnsi="宋体" w:eastAsia="宋体" w:cs="宋体"/>
          <w:color w:val="auto"/>
          <w:sz w:val="21"/>
          <w:szCs w:val="21"/>
          <w:highlight w:val="none"/>
        </w:rPr>
        <w:t>五、开启响应文件</w:t>
      </w:r>
      <w:bookmarkEnd w:id="34"/>
      <w:bookmarkEnd w:id="35"/>
      <w:bookmarkEnd w:id="36"/>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采购组织机构将按照磋商文件规定的时间通过“政府采购云平台”组织开标、开启响应文件，所有供应商均应当准时在线参加，因未在线或未在规定时间内解密响应文件导致磋商无效等一切后果由供应商自己承担。</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16.2响应文件开启程序详见前附表。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16.3响应文件有下列情况之一的将不予接受：</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（1）未能磋商截止时间前成功上传电子加密响应文件的；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（2）仅提交备份响应文件的。</w:t>
      </w:r>
    </w:p>
    <w:p>
      <w:pPr>
        <w:pStyle w:val="4"/>
        <w:spacing w:before="0"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w:t>
      </w:r>
      <w:bookmarkEnd w:id="32"/>
      <w:r>
        <w:rPr>
          <w:rFonts w:hint="eastAsia" w:ascii="宋体" w:hAnsi="宋体" w:eastAsia="宋体" w:cs="宋体"/>
          <w:b/>
          <w:color w:val="auto"/>
          <w:sz w:val="21"/>
          <w:szCs w:val="21"/>
          <w:highlight w:val="none"/>
        </w:rPr>
        <w:t>磋商人员及相关原则</w:t>
      </w:r>
      <w:bookmarkEnd w:id="33"/>
    </w:p>
    <w:p>
      <w:pPr>
        <w:spacing w:line="360" w:lineRule="auto"/>
        <w:ind w:firstLine="482"/>
        <w:rPr>
          <w:rFonts w:hint="eastAsia" w:ascii="宋体" w:hAnsi="宋体" w:cs="宋体"/>
          <w:b/>
          <w:color w:val="auto"/>
          <w:szCs w:val="21"/>
          <w:highlight w:val="none"/>
        </w:rPr>
      </w:pPr>
      <w:bookmarkStart w:id="37" w:name="_Toc183786420"/>
      <w:r>
        <w:rPr>
          <w:rFonts w:hint="eastAsia" w:ascii="宋体" w:hAnsi="宋体" w:cs="宋体"/>
          <w:b/>
          <w:color w:val="auto"/>
          <w:szCs w:val="21"/>
          <w:highlight w:val="none"/>
        </w:rPr>
        <w:t>17．参加磋商人员</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17.1供应商应派授权代表在线参加磋商。该授权代表须与电子响应文件中出具的授权委托书（格式详见第五章）中明确的人员一致。</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17.2电子响应文件中未能出示授权委托书或者缺少授权代表的有效身份证复印件的，磋商小组将拒绝与该供应商磋商。</w:t>
      </w:r>
    </w:p>
    <w:p>
      <w:pPr>
        <w:tabs>
          <w:tab w:val="left" w:pos="7140"/>
        </w:tabs>
        <w:spacing w:line="360" w:lineRule="auto"/>
        <w:ind w:firstLine="480"/>
        <w:rPr>
          <w:rFonts w:hint="eastAsia" w:ascii="宋体" w:hAnsi="宋体" w:cs="宋体"/>
          <w:b/>
          <w:color w:val="auto"/>
          <w:szCs w:val="21"/>
          <w:highlight w:val="none"/>
        </w:rPr>
      </w:pPr>
      <w:r>
        <w:rPr>
          <w:rFonts w:hint="eastAsia" w:ascii="宋体" w:hAnsi="宋体" w:cs="宋体"/>
          <w:b/>
          <w:color w:val="auto"/>
          <w:szCs w:val="21"/>
          <w:highlight w:val="none"/>
        </w:rPr>
        <w:t>18.磋商小组</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18.1磋商小组由采购人代表和评审专家共3人及以上单数组成，其中评审专家人数不少于磋商小组成员总数的2/3。</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18.2评审专家应当遵守评审工作纪律，不得泄露评审情况和评审中获悉的商业秘密。</w:t>
      </w:r>
    </w:p>
    <w:p>
      <w:pPr>
        <w:spacing w:line="360" w:lineRule="auto"/>
        <w:ind w:firstLine="420" w:firstLineChars="200"/>
        <w:rPr>
          <w:rFonts w:hint="eastAsia" w:ascii="宋体" w:hAnsi="宋体" w:cs="宋体"/>
          <w:color w:val="auto"/>
          <w:kern w:val="2"/>
          <w:szCs w:val="21"/>
          <w:highlight w:val="none"/>
          <w:lang w:val="zh-CN"/>
        </w:rPr>
      </w:pPr>
      <w:r>
        <w:rPr>
          <w:rFonts w:hint="eastAsia" w:ascii="宋体" w:hAnsi="宋体" w:cs="宋体"/>
          <w:color w:val="auto"/>
          <w:szCs w:val="21"/>
          <w:highlight w:val="none"/>
        </w:rPr>
        <w:t>18.3</w:t>
      </w:r>
      <w:r>
        <w:rPr>
          <w:rFonts w:hint="eastAsia" w:ascii="宋体" w:hAnsi="宋体" w:cs="宋体"/>
          <w:color w:val="auto"/>
          <w:kern w:val="2"/>
          <w:szCs w:val="21"/>
          <w:highlight w:val="none"/>
        </w:rPr>
        <w:t>磋商小组在评审过程中发现供应商有行贿、提供虚假材料或者串通等违法行为的，应当及时向财政部门报告。</w:t>
      </w:r>
    </w:p>
    <w:p>
      <w:pPr>
        <w:spacing w:line="360" w:lineRule="auto"/>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18.4评审专家在评审过程中受到非法干涉的，应当及时向财政、监察等部门举报。</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19．磋商评审原则</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19.1磋商小组成员应当按照客观、公正、审慎的原则，根据磋商文件规定的评审程序、评审方法和评审标准进行独立评审。</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19.2客观、公正的对待所有供应商，对所有供应商均采用相同的程序和标准，依据磋商评审程序列。</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19.3在磋商期间，磋商供应商不得向磋商小组成员询问与其无关的磋商情况，不得进行旨在影响磋商结果的活动，否则将取消其磋商资格。</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19.4在磋商过程中，评审专家不得与磋商供应商私下交换意见，在竞争性磋商工作结束后，评审专家或知情者应严格保密，不得将磋商评审情况告诉与之无关的人（包括磋商供应商）。</w:t>
      </w:r>
    </w:p>
    <w:p>
      <w:pPr>
        <w:spacing w:line="360" w:lineRule="auto"/>
        <w:ind w:firstLine="480"/>
        <w:rPr>
          <w:rFonts w:hint="eastAsia" w:ascii="宋体" w:hAnsi="宋体" w:cs="宋体"/>
          <w:color w:val="auto"/>
          <w:kern w:val="2"/>
          <w:szCs w:val="21"/>
          <w:highlight w:val="none"/>
          <w:lang w:val="zh-CN"/>
        </w:rPr>
      </w:pPr>
      <w:r>
        <w:rPr>
          <w:rFonts w:hint="eastAsia" w:ascii="宋体" w:hAnsi="宋体" w:cs="宋体"/>
          <w:color w:val="auto"/>
          <w:kern w:val="2"/>
          <w:szCs w:val="21"/>
          <w:highlight w:val="none"/>
          <w:lang w:val="zh-CN"/>
        </w:rPr>
        <w:t>19.5在磋商和评定成交供应商的过程中履约，如有磋商供应商联合故意抬高报价或其他不正当行为，采购人有权中止磋商。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19.6采购人不向未成交供应商解释原因，不退还响应文件，不符合密封、装订要求而被拒绝的响应文件除外。</w:t>
      </w:r>
    </w:p>
    <w:p>
      <w:pPr>
        <w:pStyle w:val="4"/>
        <w:spacing w:before="0" w:after="0" w:line="360" w:lineRule="auto"/>
        <w:rPr>
          <w:rFonts w:hint="eastAsia" w:ascii="宋体" w:hAnsi="宋体" w:eastAsia="宋体" w:cs="宋体"/>
          <w:b/>
          <w:color w:val="auto"/>
          <w:sz w:val="21"/>
          <w:szCs w:val="21"/>
          <w:highlight w:val="none"/>
        </w:rPr>
      </w:pPr>
      <w:bookmarkStart w:id="38" w:name="_Toc472544478"/>
      <w:r>
        <w:rPr>
          <w:rFonts w:hint="eastAsia" w:ascii="宋体" w:hAnsi="宋体" w:eastAsia="宋体" w:cs="宋体"/>
          <w:b/>
          <w:color w:val="auto"/>
          <w:sz w:val="21"/>
          <w:szCs w:val="21"/>
          <w:highlight w:val="none"/>
        </w:rPr>
        <w:t>七、磋商程序</w:t>
      </w:r>
      <w:bookmarkEnd w:id="38"/>
    </w:p>
    <w:p>
      <w:pPr>
        <w:snapToGrid w:val="0"/>
        <w:spacing w:line="360" w:lineRule="auto"/>
        <w:ind w:firstLine="480"/>
        <w:rPr>
          <w:rFonts w:hint="eastAsia" w:ascii="宋体" w:hAnsi="宋体" w:cs="宋体"/>
          <w:b/>
          <w:color w:val="auto"/>
          <w:szCs w:val="21"/>
          <w:highlight w:val="none"/>
        </w:rPr>
      </w:pPr>
      <w:r>
        <w:rPr>
          <w:rFonts w:hint="eastAsia" w:ascii="宋体" w:hAnsi="宋体" w:cs="宋体"/>
          <w:b/>
          <w:color w:val="auto"/>
          <w:szCs w:val="21"/>
          <w:highlight w:val="none"/>
        </w:rPr>
        <w:t>20. 对所有响应文件的初审</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20.1初审包括资格条件、有效性和完整性进行审查。审查不合格的，其磋商响应将无效，不再进行后续磋商。</w:t>
      </w:r>
    </w:p>
    <w:p>
      <w:pPr>
        <w:pStyle w:val="15"/>
        <w:snapToGrid w:val="0"/>
        <w:ind w:firstLine="420" w:firstLineChars="200"/>
        <w:rPr>
          <w:rFonts w:cs="宋体"/>
          <w:color w:val="auto"/>
          <w:sz w:val="21"/>
          <w:szCs w:val="21"/>
          <w:highlight w:val="none"/>
        </w:rPr>
      </w:pPr>
      <w:r>
        <w:rPr>
          <w:rFonts w:cs="宋体"/>
          <w:color w:val="auto"/>
          <w:sz w:val="21"/>
          <w:szCs w:val="21"/>
          <w:highlight w:val="none"/>
        </w:rPr>
        <w:t>20.2采购人或采购代理机构将依法对供应商的资格进行审查。</w:t>
      </w:r>
    </w:p>
    <w:p>
      <w:pPr>
        <w:pStyle w:val="15"/>
        <w:snapToGrid w:val="0"/>
        <w:ind w:firstLine="420" w:firstLineChars="200"/>
        <w:rPr>
          <w:rFonts w:cs="宋体"/>
          <w:color w:val="auto"/>
          <w:sz w:val="21"/>
          <w:szCs w:val="21"/>
          <w:highlight w:val="none"/>
        </w:rPr>
      </w:pPr>
      <w:r>
        <w:rPr>
          <w:rFonts w:cs="宋体"/>
          <w:color w:val="auto"/>
          <w:sz w:val="21"/>
          <w:szCs w:val="21"/>
          <w:highlight w:val="none"/>
        </w:rPr>
        <w:t>供应商未按照磋商文件磋商须知要求提供与基本资格条件、落实政府采购政策需满足的资格要求及特定资格条件相应证明材料的，视为供应商不具备磋商文件中规定的资格要求，其资格审查不通过。</w:t>
      </w:r>
    </w:p>
    <w:p>
      <w:pPr>
        <w:pStyle w:val="15"/>
        <w:snapToGrid w:val="0"/>
        <w:ind w:firstLine="420" w:firstLineChars="200"/>
        <w:rPr>
          <w:rFonts w:cs="宋体"/>
          <w:color w:val="auto"/>
          <w:sz w:val="21"/>
          <w:szCs w:val="21"/>
          <w:highlight w:val="none"/>
        </w:rPr>
      </w:pPr>
      <w:r>
        <w:rPr>
          <w:rFonts w:cs="宋体"/>
          <w:color w:val="auto"/>
          <w:sz w:val="21"/>
          <w:szCs w:val="21"/>
          <w:highlight w:val="none"/>
        </w:rPr>
        <w:t>20.3符合性审查</w:t>
      </w:r>
    </w:p>
    <w:p>
      <w:pPr>
        <w:pStyle w:val="15"/>
        <w:snapToGrid w:val="0"/>
        <w:ind w:firstLine="420" w:firstLineChars="200"/>
        <w:rPr>
          <w:rFonts w:cs="宋体"/>
          <w:color w:val="auto"/>
          <w:sz w:val="21"/>
          <w:szCs w:val="21"/>
          <w:highlight w:val="none"/>
        </w:rPr>
      </w:pPr>
      <w:r>
        <w:rPr>
          <w:rFonts w:cs="宋体"/>
          <w:color w:val="auto"/>
          <w:sz w:val="21"/>
          <w:szCs w:val="21"/>
          <w:highlight w:val="none"/>
        </w:rPr>
        <w:t>20.3.1磋商小组负责对响应文件的有效性、完整性和响应程度进行审查。审查过程中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磋商小组要求供应商澄清、说明或者更正响应文件通过“政府采购云平台”在线答复形式提交，</w:t>
      </w:r>
      <w:r>
        <w:rPr>
          <w:rFonts w:hint="eastAsia" w:ascii="宋体" w:hAnsi="宋体" w:cs="宋体"/>
          <w:color w:val="auto"/>
          <w:highlight w:val="none"/>
        </w:rPr>
        <w:t>并进行电子签章后上传提交（或通过平台上传经授权代表签字或加盖公章的扫描件）</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授权代表对澄清、说明或者补正内容未签字确认的，将自行承担由此可能导致的对其不利的评审结果，磋商小组按少数服从多数原则对相关内容进行评判。</w:t>
      </w:r>
    </w:p>
    <w:p>
      <w:pPr>
        <w:pStyle w:val="15"/>
        <w:snapToGrid w:val="0"/>
        <w:ind w:firstLine="420" w:firstLineChars="200"/>
        <w:rPr>
          <w:rFonts w:cs="宋体"/>
          <w:color w:val="auto"/>
          <w:sz w:val="21"/>
          <w:szCs w:val="21"/>
          <w:highlight w:val="none"/>
        </w:rPr>
      </w:pPr>
      <w:r>
        <w:rPr>
          <w:rFonts w:cs="宋体"/>
          <w:color w:val="auto"/>
          <w:sz w:val="21"/>
          <w:szCs w:val="21"/>
          <w:highlight w:val="none"/>
        </w:rPr>
        <w:t>20.3.2磋商无效的认定</w:t>
      </w:r>
    </w:p>
    <w:p>
      <w:pPr>
        <w:pStyle w:val="15"/>
        <w:snapToGrid w:val="0"/>
        <w:ind w:firstLine="420" w:firstLineChars="200"/>
        <w:rPr>
          <w:rFonts w:cs="宋体"/>
          <w:color w:val="auto"/>
          <w:sz w:val="21"/>
          <w:szCs w:val="21"/>
          <w:highlight w:val="none"/>
        </w:rPr>
      </w:pPr>
      <w:r>
        <w:rPr>
          <w:rFonts w:cs="宋体"/>
          <w:color w:val="auto"/>
          <w:sz w:val="21"/>
          <w:szCs w:val="21"/>
          <w:highlight w:val="none"/>
        </w:rPr>
        <w:t>20.3.1.1商务技术响应文件存在下列情形之一的，将作无效标处理：</w:t>
      </w:r>
    </w:p>
    <w:p>
      <w:pPr>
        <w:pStyle w:val="15"/>
        <w:snapToGrid w:val="0"/>
        <w:ind w:firstLine="420" w:firstLineChars="200"/>
        <w:rPr>
          <w:rFonts w:cs="宋体"/>
          <w:color w:val="auto"/>
          <w:sz w:val="21"/>
          <w:szCs w:val="21"/>
          <w:highlight w:val="none"/>
        </w:rPr>
      </w:pPr>
      <w:r>
        <w:rPr>
          <w:rFonts w:cs="宋体"/>
          <w:color w:val="auto"/>
          <w:sz w:val="21"/>
          <w:szCs w:val="21"/>
          <w:highlight w:val="none"/>
        </w:rPr>
        <w:t>（1）响应文件未按磋商文件要求盖章的；</w:t>
      </w:r>
    </w:p>
    <w:p>
      <w:pPr>
        <w:pStyle w:val="15"/>
        <w:snapToGrid w:val="0"/>
        <w:ind w:firstLine="420" w:firstLineChars="200"/>
        <w:rPr>
          <w:rFonts w:cs="宋体"/>
          <w:color w:val="auto"/>
          <w:sz w:val="21"/>
          <w:szCs w:val="21"/>
          <w:highlight w:val="none"/>
        </w:rPr>
      </w:pPr>
      <w:r>
        <w:rPr>
          <w:rFonts w:cs="宋体"/>
          <w:color w:val="auto"/>
          <w:sz w:val="21"/>
          <w:szCs w:val="21"/>
          <w:highlight w:val="none"/>
        </w:rPr>
        <w:t>（2）响应文件中授权委托书所载内容与本项目内容有异的或者授权委托书未按照磋商文件要求签署、盖章的；</w:t>
      </w:r>
    </w:p>
    <w:p>
      <w:pPr>
        <w:pStyle w:val="15"/>
        <w:snapToGrid w:val="0"/>
        <w:ind w:firstLine="420" w:firstLineChars="200"/>
        <w:rPr>
          <w:rFonts w:cs="宋体"/>
          <w:color w:val="auto"/>
          <w:sz w:val="21"/>
          <w:szCs w:val="21"/>
          <w:highlight w:val="none"/>
        </w:rPr>
      </w:pPr>
      <w:r>
        <w:rPr>
          <w:rFonts w:cs="宋体"/>
          <w:color w:val="auto"/>
          <w:sz w:val="21"/>
          <w:szCs w:val="21"/>
          <w:highlight w:val="none"/>
        </w:rPr>
        <w:t>（3）仅提交“备份响应文件”的；</w:t>
      </w:r>
    </w:p>
    <w:p>
      <w:pPr>
        <w:pStyle w:val="15"/>
        <w:snapToGrid w:val="0"/>
        <w:ind w:firstLine="420" w:firstLineChars="200"/>
        <w:rPr>
          <w:rFonts w:cs="宋体"/>
          <w:color w:val="auto"/>
          <w:sz w:val="21"/>
          <w:szCs w:val="21"/>
          <w:highlight w:val="none"/>
        </w:rPr>
      </w:pPr>
      <w:r>
        <w:rPr>
          <w:rFonts w:cs="宋体"/>
          <w:color w:val="auto"/>
          <w:sz w:val="21"/>
          <w:szCs w:val="21"/>
          <w:highlight w:val="none"/>
        </w:rPr>
        <w:t>（4）响应文件有效期不足的；</w:t>
      </w:r>
    </w:p>
    <w:p>
      <w:pPr>
        <w:pStyle w:val="15"/>
        <w:snapToGrid w:val="0"/>
        <w:ind w:firstLine="420" w:firstLineChars="200"/>
        <w:rPr>
          <w:rFonts w:cs="宋体"/>
          <w:color w:val="auto"/>
          <w:sz w:val="21"/>
          <w:szCs w:val="21"/>
          <w:highlight w:val="none"/>
        </w:rPr>
      </w:pPr>
      <w:r>
        <w:rPr>
          <w:rFonts w:cs="宋体"/>
          <w:color w:val="auto"/>
          <w:sz w:val="21"/>
          <w:szCs w:val="21"/>
          <w:highlight w:val="none"/>
        </w:rPr>
        <w:t>（5）响应文件内容虚假的；</w:t>
      </w:r>
    </w:p>
    <w:p>
      <w:pPr>
        <w:pStyle w:val="15"/>
        <w:snapToGrid w:val="0"/>
        <w:ind w:firstLine="420" w:firstLineChars="200"/>
        <w:rPr>
          <w:rFonts w:cs="宋体"/>
          <w:color w:val="auto"/>
          <w:sz w:val="21"/>
          <w:szCs w:val="21"/>
          <w:highlight w:val="none"/>
        </w:rPr>
      </w:pPr>
      <w:r>
        <w:rPr>
          <w:rFonts w:cs="宋体"/>
          <w:color w:val="auto"/>
          <w:sz w:val="21"/>
          <w:szCs w:val="21"/>
          <w:highlight w:val="none"/>
        </w:rPr>
        <w:t>（6）响应文件有采购人不能接受的附加条件的；</w:t>
      </w:r>
    </w:p>
    <w:p>
      <w:pPr>
        <w:pStyle w:val="15"/>
        <w:snapToGrid w:val="0"/>
        <w:ind w:firstLine="420" w:firstLineChars="200"/>
        <w:rPr>
          <w:rFonts w:cs="宋体"/>
          <w:color w:val="auto"/>
          <w:sz w:val="21"/>
          <w:szCs w:val="21"/>
          <w:highlight w:val="none"/>
        </w:rPr>
      </w:pPr>
      <w:r>
        <w:rPr>
          <w:rFonts w:cs="宋体"/>
          <w:color w:val="auto"/>
          <w:sz w:val="21"/>
          <w:szCs w:val="21"/>
          <w:highlight w:val="none"/>
        </w:rPr>
        <w:t>（7）未对磋商文件实质性要求和条件（标注▲条款）作出响应的；</w:t>
      </w:r>
    </w:p>
    <w:p>
      <w:pPr>
        <w:pStyle w:val="15"/>
        <w:snapToGrid w:val="0"/>
        <w:ind w:firstLine="420" w:firstLineChars="200"/>
        <w:rPr>
          <w:rFonts w:cs="宋体"/>
          <w:color w:val="auto"/>
          <w:sz w:val="21"/>
          <w:szCs w:val="21"/>
          <w:highlight w:val="none"/>
        </w:rPr>
      </w:pPr>
      <w:r>
        <w:rPr>
          <w:rFonts w:cs="宋体"/>
          <w:color w:val="auto"/>
          <w:sz w:val="21"/>
          <w:szCs w:val="21"/>
          <w:highlight w:val="none"/>
        </w:rPr>
        <w:t>（8）不符合法律、法规和本磋商文件规定的其他实质性要求的。</w:t>
      </w:r>
    </w:p>
    <w:p>
      <w:pPr>
        <w:pStyle w:val="15"/>
        <w:snapToGrid w:val="0"/>
        <w:ind w:firstLine="420" w:firstLineChars="200"/>
        <w:rPr>
          <w:rFonts w:cs="宋体"/>
          <w:color w:val="auto"/>
          <w:sz w:val="21"/>
          <w:szCs w:val="21"/>
          <w:highlight w:val="none"/>
        </w:rPr>
      </w:pPr>
      <w:r>
        <w:rPr>
          <w:rFonts w:cs="宋体"/>
          <w:color w:val="auto"/>
          <w:sz w:val="21"/>
          <w:szCs w:val="21"/>
          <w:highlight w:val="none"/>
        </w:rPr>
        <w:t>20.3.1.2报价响应文件存在下列情形之一的，将作无效标处理：</w:t>
      </w:r>
    </w:p>
    <w:p>
      <w:pPr>
        <w:pStyle w:val="15"/>
        <w:numPr>
          <w:ilvl w:val="0"/>
          <w:numId w:val="4"/>
        </w:numPr>
        <w:snapToGrid w:val="0"/>
        <w:ind w:firstLine="420" w:firstLineChars="200"/>
        <w:rPr>
          <w:rFonts w:cs="宋体"/>
          <w:color w:val="auto"/>
          <w:sz w:val="21"/>
          <w:szCs w:val="21"/>
          <w:highlight w:val="none"/>
        </w:rPr>
      </w:pPr>
      <w:r>
        <w:rPr>
          <w:rFonts w:cs="宋体"/>
          <w:color w:val="auto"/>
          <w:sz w:val="21"/>
          <w:szCs w:val="21"/>
          <w:highlight w:val="none"/>
        </w:rPr>
        <w:t>响应文件未按磋商文件要求盖章的；</w:t>
      </w:r>
    </w:p>
    <w:p>
      <w:pPr>
        <w:pStyle w:val="15"/>
        <w:numPr>
          <w:ilvl w:val="0"/>
          <w:numId w:val="4"/>
        </w:numPr>
        <w:snapToGrid w:val="0"/>
        <w:ind w:firstLine="420" w:firstLineChars="200"/>
        <w:rPr>
          <w:rFonts w:cs="宋体"/>
          <w:color w:val="auto"/>
          <w:sz w:val="21"/>
          <w:szCs w:val="21"/>
          <w:highlight w:val="none"/>
        </w:rPr>
      </w:pPr>
      <w:r>
        <w:rPr>
          <w:rFonts w:cs="宋体"/>
          <w:color w:val="auto"/>
          <w:sz w:val="21"/>
          <w:szCs w:val="21"/>
          <w:highlight w:val="none"/>
        </w:rPr>
        <w:t>供应商的磋商总报价（最后报价）超过了本项目采购预算或最高限价的；</w:t>
      </w:r>
    </w:p>
    <w:p>
      <w:pPr>
        <w:pStyle w:val="15"/>
        <w:numPr>
          <w:ilvl w:val="0"/>
          <w:numId w:val="4"/>
        </w:numPr>
        <w:snapToGrid w:val="0"/>
        <w:ind w:firstLine="420" w:firstLineChars="200"/>
        <w:rPr>
          <w:rFonts w:cs="宋体"/>
          <w:color w:val="auto"/>
          <w:sz w:val="21"/>
          <w:szCs w:val="21"/>
          <w:highlight w:val="none"/>
        </w:rPr>
      </w:pPr>
      <w:r>
        <w:rPr>
          <w:rFonts w:cs="宋体"/>
          <w:color w:val="auto"/>
          <w:sz w:val="21"/>
          <w:szCs w:val="21"/>
          <w:highlight w:val="none"/>
        </w:rPr>
        <w:t>改变工程量清单数量和内容的；</w:t>
      </w:r>
    </w:p>
    <w:p>
      <w:pPr>
        <w:pStyle w:val="15"/>
        <w:numPr>
          <w:ilvl w:val="0"/>
          <w:numId w:val="4"/>
        </w:numPr>
        <w:snapToGrid w:val="0"/>
        <w:ind w:firstLine="420" w:firstLineChars="200"/>
        <w:rPr>
          <w:rFonts w:cs="宋体"/>
          <w:color w:val="auto"/>
          <w:sz w:val="21"/>
          <w:szCs w:val="21"/>
          <w:highlight w:val="none"/>
        </w:rPr>
      </w:pPr>
      <w:r>
        <w:rPr>
          <w:rFonts w:cs="宋体"/>
          <w:color w:val="auto"/>
          <w:sz w:val="21"/>
          <w:szCs w:val="21"/>
          <w:highlight w:val="none"/>
        </w:rPr>
        <w:t>供应商的报价明显低于该标项其他通过符合性审查供应商的报价，有可能影响服务质量或者不能诚信履约，未按磋商小组要求在磋商现场合理的时间内提供书面说明及相关证明材料以证明其报价合理性的；</w:t>
      </w:r>
    </w:p>
    <w:p>
      <w:pPr>
        <w:pStyle w:val="15"/>
        <w:numPr>
          <w:ilvl w:val="0"/>
          <w:numId w:val="4"/>
        </w:numPr>
        <w:snapToGrid w:val="0"/>
        <w:ind w:firstLine="420" w:firstLineChars="200"/>
        <w:rPr>
          <w:rFonts w:cs="宋体"/>
          <w:color w:val="auto"/>
          <w:sz w:val="21"/>
          <w:szCs w:val="21"/>
          <w:highlight w:val="none"/>
        </w:rPr>
      </w:pPr>
      <w:r>
        <w:rPr>
          <w:rFonts w:cs="宋体"/>
          <w:color w:val="auto"/>
          <w:sz w:val="21"/>
          <w:szCs w:val="21"/>
          <w:highlight w:val="none"/>
        </w:rPr>
        <w:t>响应文件有采购人不能接受的附加条件的；</w:t>
      </w:r>
    </w:p>
    <w:p>
      <w:pPr>
        <w:pStyle w:val="15"/>
        <w:numPr>
          <w:ilvl w:val="0"/>
          <w:numId w:val="4"/>
        </w:numPr>
        <w:snapToGrid w:val="0"/>
        <w:ind w:firstLine="420" w:firstLineChars="200"/>
        <w:rPr>
          <w:rFonts w:cs="宋体"/>
          <w:color w:val="auto"/>
          <w:sz w:val="21"/>
          <w:szCs w:val="21"/>
          <w:highlight w:val="none"/>
        </w:rPr>
      </w:pPr>
      <w:r>
        <w:rPr>
          <w:rFonts w:cs="宋体"/>
          <w:color w:val="auto"/>
          <w:sz w:val="21"/>
          <w:szCs w:val="21"/>
          <w:highlight w:val="none"/>
        </w:rPr>
        <w:t>不符合法律、法规和本磋商文件规定的其他实质性要求的。</w:t>
      </w:r>
    </w:p>
    <w:p>
      <w:pPr>
        <w:snapToGrid w:val="0"/>
        <w:spacing w:line="360" w:lineRule="auto"/>
        <w:ind w:firstLine="480"/>
        <w:rPr>
          <w:rFonts w:hint="eastAsia" w:ascii="宋体" w:hAnsi="宋体" w:cs="宋体"/>
          <w:b/>
          <w:bCs/>
          <w:color w:val="auto"/>
          <w:szCs w:val="21"/>
          <w:highlight w:val="none"/>
        </w:rPr>
      </w:pPr>
      <w:r>
        <w:rPr>
          <w:rFonts w:hint="eastAsia" w:ascii="宋体" w:hAnsi="宋体" w:cs="宋体"/>
          <w:b/>
          <w:bCs/>
          <w:color w:val="auto"/>
          <w:szCs w:val="21"/>
          <w:highlight w:val="none"/>
          <w:lang w:val="zh-CN"/>
        </w:rPr>
        <w:t>21.磋商</w:t>
      </w:r>
      <w:r>
        <w:rPr>
          <w:rFonts w:hint="eastAsia" w:ascii="宋体" w:hAnsi="宋体" w:cs="宋体"/>
          <w:b/>
          <w:bCs/>
          <w:color w:val="auto"/>
          <w:szCs w:val="21"/>
          <w:highlight w:val="none"/>
        </w:rPr>
        <w:t>过程</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21.1初审合格的供应商进入下一步的磋商活动。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21.2磋商程序</w:t>
      </w:r>
    </w:p>
    <w:p>
      <w:pPr>
        <w:pStyle w:val="13"/>
        <w:adjustRightInd w:val="0"/>
        <w:snapToGrid w:val="0"/>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详见前附表。</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22.综合评分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22.1经磋商确定最终采购需求和提交最后报价的供应商后，由磋商小组采用综合评分法对提交最后报价的供应商的响应文件和最后报价进行综合评分。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22.2评审时，磋商小组各成员应当独立对每个有效响应的文件进行评价、打分，然后汇总每个供应商每项评分因素的得分。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对各供应商的商务技术充分审核、讨论及评议后，每人一份评分表，进行独自打分并签名。在统计得分时，如发现某一单项评分超过评分细则规定的分值范围，则该张评分表无效。供应商技术部分的得分为磋商小组各成员有效评分的算术平均值。</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属于客观评审因素的，各供应商得分应当一致，如果在评审过程中，磋商小组成员对某一客观评审因素认定或者评分存在争议，磋商小组成员可分别阐述自己的观点，然后按照少数服从多数的原则进行处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在汇总各位磋商小组成员得分时，发现客观评审因素评分存在不一致的，磋商小组全体成员进行复核，如属于个别成员失误造成，应由该成员予以纠正；如是各成员对某一客观评审因素理解不一致或者存在争议的，则按照少数服从多数的原则确定该评审因素评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最后报价：磋商结束后，磋商小组应当要求所有实质性响应的供应商在规定时间内提交最后报价。最后报价是供应商响应文件的有效组成部分。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已上传电子响应文件的供应商，在上传最后报价之前，若因磋商文件实质性变动导致供应商无法满足采购需求的，允许供应商退出磋商。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22.3磋商报价错误修正：</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磋商小组将对确定为实质上响应磋商文件要求的响应文件进行校核，看其是否有计算上、累计上或表达上的错误，修正错误的原则如下:</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（1）报价文件中的大写金额和小写金额不一致的，以大写金额为准；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（2）如分项价格或单价有遗报，应视作已含在磋商总价中；其磋商总价不予调整。其分项价或单价由磋商小组在磋商总价不变的前提下根据合理的原则对其予以确定；</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（3）当单价与数量的乘积与合价不一致时，以单价为准，除非磋商小组认为单价有明显的小数点错误，此时应以标出的合价为准，并修改单价。</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（4）如有多报、重报，其磋商总价在评审过程中不予调整。如其成交，其合同价按其磋商单价予以调整；</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（5）单价金额小数点有明显错位的，应以总价为准，并修改单价。</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（6）政采云平台填报的开标一览表中的价格与上传的报价响应文件中开标一览表的报价不一致的，以上传的报价响应文件中开标一览表的价格为准，修正平台上的报价。</w:t>
      </w:r>
    </w:p>
    <w:p>
      <w:pPr>
        <w:adjustRightInd w:val="0"/>
        <w:snapToGrid w:val="0"/>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1"/>
          <w:highlight w:val="none"/>
        </w:rPr>
        <w:t>按上述修正错误的原则及方法调整或修正响应文件的磋商报价，供应商同意后，调整后的磋商报价对供应商起约束作用。如果供应商不接受修正后的报价，则其磋商将被拒绝，但不影响评审继续进行</w:t>
      </w:r>
      <w:r>
        <w:rPr>
          <w:rFonts w:hint="eastAsia" w:ascii="宋体" w:hAnsi="宋体" w:cs="宋体"/>
          <w:color w:val="auto"/>
          <w:sz w:val="24"/>
          <w:szCs w:val="24"/>
          <w:highlight w:val="none"/>
        </w:rPr>
        <w:t>。</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 评审因素</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商务资信技术部分（满分70分）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对各磋商响应供应商的技术和服务方案、资信业绩充分审核、讨论及评议后，每人一份评分表，进行独自打分并签名。在统计得分时，如发现某一单项评分超过评分细则规定的分值范围，则该张评分表无效。磋商响应供应商技术部分的得分为磋商小组各成员的有效评分的算术平均值。</w:t>
      </w:r>
    </w:p>
    <w:tbl>
      <w:tblPr>
        <w:tblStyle w:val="33"/>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60"/>
        <w:gridCol w:w="5943"/>
        <w:gridCol w:w="8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60"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评审项目</w:t>
            </w:r>
          </w:p>
        </w:tc>
        <w:tc>
          <w:tcPr>
            <w:tcW w:w="5943"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877"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vMerge w:val="restart"/>
            <w:noWrap w:val="0"/>
            <w:vAlign w:val="center"/>
          </w:tcPr>
          <w:p>
            <w:pPr>
              <w:adjustRightInd w:val="0"/>
              <w:snapToGrid w:val="0"/>
              <w:spacing w:line="360" w:lineRule="auto"/>
              <w:rPr>
                <w:rStyle w:val="82"/>
                <w:rFonts w:hint="eastAsia" w:ascii="宋体" w:hAnsi="宋体" w:cs="宋体"/>
                <w:color w:val="auto"/>
                <w:szCs w:val="21"/>
                <w:highlight w:val="none"/>
              </w:rPr>
            </w:pPr>
            <w:r>
              <w:rPr>
                <w:rStyle w:val="82"/>
                <w:rFonts w:hint="eastAsia" w:ascii="宋体" w:hAnsi="宋体" w:cs="宋体"/>
                <w:color w:val="auto"/>
                <w:szCs w:val="21"/>
                <w:highlight w:val="none"/>
              </w:rPr>
              <w:t>商务资信部分</w:t>
            </w:r>
          </w:p>
        </w:tc>
        <w:tc>
          <w:tcPr>
            <w:tcW w:w="5943" w:type="dxa"/>
            <w:noWrap w:val="0"/>
            <w:vAlign w:val="center"/>
          </w:tcPr>
          <w:p>
            <w:pPr>
              <w:adjustRightInd w:val="0"/>
              <w:snapToGrid w:val="0"/>
              <w:spacing w:line="360" w:lineRule="auto"/>
              <w:rPr>
                <w:rFonts w:hint="eastAsia" w:ascii="宋体" w:hAnsi="宋体" w:cs="宋体"/>
                <w:snapToGrid w:val="0"/>
                <w:color w:val="auto"/>
                <w:sz w:val="21"/>
                <w:szCs w:val="21"/>
                <w:highlight w:val="none"/>
                <w:lang w:val="en-US" w:eastAsia="zh-CN" w:bidi="ar-SA"/>
              </w:rPr>
            </w:pPr>
            <w:r>
              <w:rPr>
                <w:rFonts w:hint="eastAsia" w:ascii="宋体" w:hAnsi="宋体" w:cs="宋体"/>
                <w:color w:val="auto"/>
                <w:szCs w:val="21"/>
                <w:highlight w:val="none"/>
              </w:rPr>
              <w:t>供应商具有有效的质量体系认证、环境体系认证、职业健康体系认证，每个证书得1份，最多得3分。（提供有效证书复印件加盖公章为证明材料）</w:t>
            </w:r>
          </w:p>
        </w:tc>
        <w:tc>
          <w:tcPr>
            <w:tcW w:w="877" w:type="dxa"/>
            <w:noWrap w:val="0"/>
            <w:vAlign w:val="center"/>
          </w:tcPr>
          <w:p>
            <w:pPr>
              <w:adjustRightInd w:val="0"/>
              <w:snapToGrid w:val="0"/>
              <w:spacing w:line="360" w:lineRule="auto"/>
              <w:jc w:val="center"/>
              <w:rPr>
                <w:rFonts w:hint="eastAsia" w:ascii="宋体" w:hAnsi="宋体" w:cs="宋体"/>
                <w:snapToGrid w:val="0"/>
                <w:color w:val="auto"/>
                <w:sz w:val="21"/>
                <w:szCs w:val="21"/>
                <w:highlight w:val="none"/>
                <w:lang w:val="en-US" w:eastAsia="zh-CN" w:bidi="ar-SA"/>
              </w:rPr>
            </w:pPr>
            <w:r>
              <w:rPr>
                <w:rFonts w:hint="eastAsia" w:ascii="宋体" w:hAnsi="宋体" w:cs="宋体"/>
                <w:color w:val="auto"/>
                <w:szCs w:val="21"/>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21"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vMerge w:val="continue"/>
            <w:noWrap w:val="0"/>
            <w:vAlign w:val="center"/>
          </w:tcPr>
          <w:p>
            <w:pPr>
              <w:adjustRightInd w:val="0"/>
              <w:snapToGrid w:val="0"/>
              <w:spacing w:line="360" w:lineRule="auto"/>
              <w:rPr>
                <w:rStyle w:val="82"/>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供应商自2019年1月1日以来（以合同签订时间为准）承担</w:t>
            </w:r>
            <w:r>
              <w:rPr>
                <w:rFonts w:hint="eastAsia" w:ascii="宋体" w:hAnsi="宋体" w:eastAsia="宋体" w:cs="宋体"/>
                <w:color w:val="auto"/>
                <w:szCs w:val="21"/>
                <w:highlight w:val="none"/>
                <w:lang w:val="en-US" w:eastAsia="zh-CN"/>
              </w:rPr>
              <w:t>的防辐射工程施工业绩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每提供一个得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分，最多得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分，证明材料：竣（交）工验收报告或合同复印件加盖供应商单位公章</w:t>
            </w:r>
            <w:r>
              <w:rPr>
                <w:rFonts w:hint="eastAsia" w:ascii="宋体" w:hAnsi="宋体" w:eastAsia="宋体" w:cs="宋体"/>
                <w:color w:val="auto"/>
                <w:szCs w:val="21"/>
                <w:highlight w:val="none"/>
                <w:lang w:eastAsia="zh-CN"/>
              </w:rPr>
              <w:t>。</w:t>
            </w:r>
          </w:p>
        </w:tc>
        <w:tc>
          <w:tcPr>
            <w:tcW w:w="877" w:type="dxa"/>
            <w:noWrap w:val="0"/>
            <w:vAlign w:val="center"/>
          </w:tcPr>
          <w:p>
            <w:pPr>
              <w:adjustRightInd w:val="0"/>
              <w:snapToGrid w:val="0"/>
              <w:spacing w:line="360" w:lineRule="auto"/>
              <w:jc w:val="center"/>
              <w:rPr>
                <w:rFonts w:hint="default"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lang w:val="en-US" w:eastAsia="zh-CN"/>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拟派项目</w:t>
            </w:r>
            <w:r>
              <w:rPr>
                <w:rFonts w:hint="eastAsia" w:ascii="宋体" w:hAnsi="宋体" w:eastAsia="宋体" w:cs="宋体"/>
                <w:color w:val="auto"/>
                <w:szCs w:val="21"/>
                <w:highlight w:val="none"/>
                <w:lang w:val="en-US" w:eastAsia="zh-CN"/>
              </w:rPr>
              <w:t>经理</w:t>
            </w:r>
          </w:p>
        </w:tc>
        <w:tc>
          <w:tcPr>
            <w:tcW w:w="877" w:type="dxa"/>
            <w:noWrap w:val="0"/>
            <w:vAlign w:val="center"/>
          </w:tcPr>
          <w:p>
            <w:pPr>
              <w:adjustRightInd w:val="0"/>
              <w:snapToGrid w:val="0"/>
              <w:spacing w:line="360" w:lineRule="auto"/>
              <w:jc w:val="center"/>
              <w:rPr>
                <w:rFonts w:hint="eastAsia" w:ascii="宋体" w:hAnsi="宋体" w:cs="宋体"/>
                <w:snapToGrid w:val="0"/>
                <w:color w:val="auto"/>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具有5年及以上担任项目</w:t>
            </w:r>
            <w:r>
              <w:rPr>
                <w:rFonts w:hint="eastAsia" w:ascii="宋体" w:hAnsi="宋体" w:eastAsia="宋体" w:cs="宋体"/>
                <w:color w:val="auto"/>
                <w:szCs w:val="21"/>
                <w:highlight w:val="none"/>
                <w:lang w:val="en-US" w:eastAsia="zh-CN"/>
              </w:rPr>
              <w:t>经理</w:t>
            </w:r>
            <w:r>
              <w:rPr>
                <w:rFonts w:hint="eastAsia" w:ascii="宋体" w:hAnsi="宋体" w:eastAsia="宋体" w:cs="宋体"/>
                <w:color w:val="auto"/>
                <w:szCs w:val="21"/>
                <w:highlight w:val="none"/>
              </w:rPr>
              <w:t>经验</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证明材料：合同</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（如不能体现项目负责人姓名的，须同时提供业主证明）。</w:t>
            </w:r>
          </w:p>
        </w:tc>
        <w:tc>
          <w:tcPr>
            <w:tcW w:w="877" w:type="dxa"/>
            <w:noWrap w:val="0"/>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cs="宋体"/>
                <w:snapToGrid w:val="0"/>
                <w:color w:val="auto"/>
                <w:sz w:val="21"/>
                <w:szCs w:val="21"/>
                <w:highlight w:val="none"/>
                <w:lang w:val="en-US" w:eastAsia="zh-CN" w:bidi="ar-SA"/>
              </w:rPr>
            </w:pPr>
            <w:r>
              <w:rPr>
                <w:rFonts w:hint="eastAsia" w:ascii="宋体" w:hAnsi="宋体" w:eastAsia="宋体" w:cs="宋体"/>
                <w:color w:val="auto"/>
                <w:szCs w:val="21"/>
                <w:highlight w:val="none"/>
              </w:rPr>
              <w:t>自201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年1月1日以来以项目经理身份完成</w:t>
            </w:r>
            <w:r>
              <w:rPr>
                <w:rFonts w:hint="eastAsia" w:ascii="宋体" w:hAnsi="宋体" w:eastAsia="宋体" w:cs="宋体"/>
                <w:color w:val="auto"/>
                <w:szCs w:val="21"/>
                <w:highlight w:val="none"/>
                <w:lang w:val="en-US" w:eastAsia="zh-CN"/>
              </w:rPr>
              <w:t>的防辐射工程的施工业绩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每提供一个得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分，最多得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分，证明材料：竣（交）工验收报告或合同复印件加盖供应商单位公章</w:t>
            </w:r>
            <w:r>
              <w:rPr>
                <w:rFonts w:hint="eastAsia" w:ascii="宋体" w:hAnsi="宋体" w:eastAsia="宋体" w:cs="宋体"/>
                <w:color w:val="auto"/>
                <w:szCs w:val="21"/>
                <w:highlight w:val="none"/>
                <w:lang w:eastAsia="zh-CN"/>
              </w:rPr>
              <w:t>。</w:t>
            </w:r>
          </w:p>
        </w:tc>
        <w:tc>
          <w:tcPr>
            <w:tcW w:w="877" w:type="dxa"/>
            <w:noWrap w:val="0"/>
            <w:vAlign w:val="center"/>
          </w:tcPr>
          <w:p>
            <w:pPr>
              <w:adjustRightInd w:val="0"/>
              <w:snapToGrid w:val="0"/>
              <w:spacing w:line="360" w:lineRule="auto"/>
              <w:jc w:val="center"/>
              <w:rPr>
                <w:rFonts w:hint="default" w:ascii="宋体" w:hAnsi="宋体" w:cs="宋体"/>
                <w:snapToGrid w:val="0"/>
                <w:color w:val="auto"/>
                <w:sz w:val="21"/>
                <w:szCs w:val="21"/>
                <w:highlight w:val="none"/>
                <w:lang w:val="en-US" w:eastAsia="zh-CN" w:bidi="ar-SA"/>
              </w:rPr>
            </w:pPr>
            <w:r>
              <w:rPr>
                <w:rFonts w:hint="eastAsia" w:ascii="宋体" w:hAnsi="宋体" w:cs="宋体"/>
                <w:snapToGrid w:val="0"/>
                <w:color w:val="auto"/>
                <w:sz w:val="21"/>
                <w:szCs w:val="21"/>
                <w:highlight w:val="none"/>
                <w:lang w:val="en-US" w:eastAsia="zh-CN" w:bidi="ar-SA"/>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1260" w:type="dxa"/>
            <w:vMerge w:val="restart"/>
            <w:noWrap w:val="0"/>
            <w:vAlign w:val="center"/>
          </w:tcPr>
          <w:p>
            <w:pPr>
              <w:spacing w:line="360" w:lineRule="auto"/>
              <w:ind w:right="-21" w:rightChars="-10"/>
              <w:rPr>
                <w:rFonts w:hint="eastAsia" w:ascii="宋体" w:hAnsi="宋体" w:cs="宋体"/>
                <w:color w:val="auto"/>
                <w:szCs w:val="21"/>
                <w:highlight w:val="none"/>
              </w:rPr>
            </w:pPr>
            <w:r>
              <w:rPr>
                <w:rFonts w:hint="eastAsia" w:ascii="宋体" w:hAnsi="宋体" w:cs="宋体"/>
                <w:color w:val="auto"/>
                <w:szCs w:val="21"/>
                <w:highlight w:val="none"/>
              </w:rPr>
              <w:t>技术部分</w:t>
            </w:r>
          </w:p>
        </w:tc>
        <w:tc>
          <w:tcPr>
            <w:tcW w:w="5943"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实施方案</w:t>
            </w:r>
          </w:p>
        </w:tc>
        <w:tc>
          <w:tcPr>
            <w:tcW w:w="877" w:type="dxa"/>
            <w:noWrap w:val="0"/>
            <w:vAlign w:val="center"/>
          </w:tcPr>
          <w:p>
            <w:pPr>
              <w:adjustRightInd w:val="0"/>
              <w:snapToGrid w:val="0"/>
              <w:spacing w:line="360" w:lineRule="auto"/>
              <w:jc w:val="center"/>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4.1</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default" w:ascii="宋体" w:hAnsi="宋体" w:cs="宋体"/>
                <w:snapToGrid w:val="0"/>
                <w:color w:val="auto"/>
                <w:sz w:val="21"/>
                <w:szCs w:val="21"/>
                <w:highlight w:val="none"/>
                <w:lang w:val="en-US" w:eastAsia="zh-CN" w:bidi="ar-SA"/>
              </w:rPr>
            </w:pPr>
            <w:r>
              <w:rPr>
                <w:rFonts w:hint="eastAsia" w:ascii="宋体" w:hAnsi="宋体" w:cs="宋体"/>
                <w:color w:val="auto"/>
                <w:szCs w:val="21"/>
                <w:highlight w:val="none"/>
              </w:rPr>
              <w:t>供应商施工方案，特别是针对本项目医疗场所特殊施工环境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以及配合设备厂家等参建单位</w:t>
            </w:r>
            <w:r>
              <w:rPr>
                <w:rFonts w:hint="eastAsia" w:ascii="宋体" w:hAnsi="宋体" w:cs="宋体"/>
                <w:color w:val="auto"/>
                <w:szCs w:val="21"/>
                <w:highlight w:val="none"/>
              </w:rPr>
              <w:t>需要采取的专</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的施工技术和组织措施，</w:t>
            </w:r>
            <w:r>
              <w:rPr>
                <w:rFonts w:hint="eastAsia"/>
                <w:color w:val="auto"/>
                <w:highlight w:val="none"/>
              </w:rPr>
              <w:t>方案详细得</w:t>
            </w:r>
            <w:r>
              <w:rPr>
                <w:rFonts w:hint="eastAsia"/>
                <w:color w:val="auto"/>
                <w:highlight w:val="none"/>
                <w:lang w:val="en-US" w:eastAsia="zh-CN"/>
              </w:rPr>
              <w:t>4</w:t>
            </w:r>
            <w:r>
              <w:rPr>
                <w:rFonts w:hint="eastAsia"/>
                <w:color w:val="auto"/>
                <w:highlight w:val="none"/>
              </w:rPr>
              <w:t>分；方案较详细得</w:t>
            </w:r>
            <w:r>
              <w:rPr>
                <w:rFonts w:hint="eastAsia"/>
                <w:color w:val="auto"/>
                <w:highlight w:val="none"/>
                <w:lang w:val="en-US" w:eastAsia="zh-CN"/>
              </w:rPr>
              <w:t>3</w:t>
            </w:r>
            <w:r>
              <w:rPr>
                <w:rFonts w:hint="eastAsia"/>
                <w:color w:val="auto"/>
                <w:highlight w:val="none"/>
              </w:rPr>
              <w:t>分；方案一般得</w:t>
            </w:r>
            <w:r>
              <w:rPr>
                <w:rFonts w:hint="eastAsia"/>
                <w:color w:val="auto"/>
                <w:highlight w:val="none"/>
                <w:lang w:val="en-US" w:eastAsia="zh-CN"/>
              </w:rPr>
              <w:t>2</w:t>
            </w:r>
            <w:r>
              <w:rPr>
                <w:rFonts w:hint="eastAsia"/>
                <w:color w:val="auto"/>
                <w:highlight w:val="none"/>
              </w:rPr>
              <w:t>分；方案有瑕疵得</w:t>
            </w:r>
            <w:r>
              <w:rPr>
                <w:rFonts w:hint="eastAsia"/>
                <w:color w:val="auto"/>
                <w:highlight w:val="none"/>
                <w:lang w:val="en-US" w:eastAsia="zh-CN"/>
              </w:rPr>
              <w:t>1</w:t>
            </w:r>
            <w:r>
              <w:rPr>
                <w:rFonts w:hint="eastAsia"/>
                <w:color w:val="auto"/>
                <w:highlight w:val="none"/>
              </w:rPr>
              <w:t>分；未提供不得分。</w:t>
            </w:r>
          </w:p>
        </w:tc>
        <w:tc>
          <w:tcPr>
            <w:tcW w:w="877" w:type="dxa"/>
            <w:noWrap w:val="0"/>
            <w:vAlign w:val="center"/>
          </w:tcPr>
          <w:p>
            <w:pPr>
              <w:adjustRightInd w:val="0"/>
              <w:snapToGrid w:val="0"/>
              <w:spacing w:line="360" w:lineRule="auto"/>
              <w:jc w:val="center"/>
              <w:rPr>
                <w:rFonts w:hint="default"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pPr>
              <w:adjustRightInd w:val="0"/>
              <w:snapToGrid w:val="0"/>
              <w:spacing w:line="360" w:lineRule="auto"/>
              <w:rPr>
                <w:rFonts w:hint="eastAsia" w:ascii="宋体" w:hAnsi="宋体" w:cs="宋体"/>
                <w:snapToGrid w:val="0"/>
                <w:color w:val="auto"/>
                <w:sz w:val="21"/>
                <w:szCs w:val="21"/>
                <w:highlight w:val="none"/>
                <w:lang w:val="en-US" w:eastAsia="zh-CN" w:bidi="ar-SA"/>
              </w:rPr>
            </w:pPr>
            <w:r>
              <w:rPr>
                <w:rFonts w:hint="eastAsia" w:ascii="宋体" w:hAnsi="宋体" w:cs="宋体"/>
                <w:color w:val="auto"/>
                <w:szCs w:val="21"/>
                <w:highlight w:val="none"/>
              </w:rPr>
              <w:t>4.2</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原有房屋的拆除方案和周边建筑物保护措施：方案</w:t>
            </w:r>
            <w:r>
              <w:rPr>
                <w:rFonts w:hint="eastAsia" w:ascii="宋体" w:hAnsi="宋体" w:eastAsia="宋体" w:cs="宋体"/>
                <w:color w:val="auto"/>
                <w:szCs w:val="21"/>
                <w:highlight w:val="none"/>
              </w:rPr>
              <w:t>完善、合理、可行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措施有针对性</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合理和可行的得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存在不足的给</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877" w:type="dxa"/>
            <w:noWrap w:val="0"/>
            <w:vAlign w:val="center"/>
          </w:tcPr>
          <w:p>
            <w:pPr>
              <w:adjustRightInd w:val="0"/>
              <w:snapToGrid w:val="0"/>
              <w:spacing w:line="360" w:lineRule="auto"/>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防护</w:t>
            </w:r>
            <w:r>
              <w:rPr>
                <w:rFonts w:hint="eastAsia" w:ascii="宋体" w:hAnsi="宋体" w:eastAsia="宋体" w:cs="宋体"/>
                <w:color w:val="auto"/>
                <w:szCs w:val="21"/>
                <w:highlight w:val="none"/>
                <w:lang w:val="en-US" w:eastAsia="zh-CN"/>
              </w:rPr>
              <w:t>专项施工方案</w:t>
            </w:r>
            <w:r>
              <w:rPr>
                <w:rFonts w:hint="eastAsia" w:ascii="宋体" w:hAnsi="宋体" w:eastAsia="宋体" w:cs="宋体"/>
                <w:color w:val="auto"/>
                <w:szCs w:val="21"/>
                <w:highlight w:val="none"/>
              </w:rPr>
              <w:t>，针对本项目施工图纸的要求，</w:t>
            </w:r>
            <w:r>
              <w:rPr>
                <w:rFonts w:hint="eastAsia" w:ascii="宋体" w:hAnsi="宋体" w:eastAsia="宋体" w:cs="宋体"/>
                <w:color w:val="auto"/>
                <w:szCs w:val="21"/>
                <w:highlight w:val="none"/>
                <w:lang w:val="en-US" w:eastAsia="zh-CN"/>
              </w:rPr>
              <w:t>对</w:t>
            </w:r>
            <w:r>
              <w:rPr>
                <w:rFonts w:hint="eastAsia" w:ascii="宋体" w:hAnsi="宋体" w:eastAsia="宋体" w:cs="宋体"/>
                <w:color w:val="auto"/>
                <w:szCs w:val="21"/>
                <w:highlight w:val="none"/>
              </w:rPr>
              <w:t>施工的重点、难点</w:t>
            </w:r>
            <w:r>
              <w:rPr>
                <w:rFonts w:hint="eastAsia"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rPr>
              <w:t>分析，</w:t>
            </w:r>
            <w:r>
              <w:rPr>
                <w:rFonts w:hint="eastAsia" w:ascii="宋体" w:hAnsi="宋体" w:eastAsia="宋体" w:cs="宋体"/>
                <w:color w:val="auto"/>
                <w:szCs w:val="21"/>
                <w:highlight w:val="none"/>
                <w:lang w:val="en-US" w:eastAsia="zh-CN"/>
              </w:rPr>
              <w:t>提出</w:t>
            </w:r>
            <w:r>
              <w:rPr>
                <w:rFonts w:hint="eastAsia" w:ascii="宋体" w:hAnsi="宋体" w:eastAsia="宋体" w:cs="宋体"/>
                <w:color w:val="auto"/>
                <w:szCs w:val="21"/>
                <w:highlight w:val="none"/>
              </w:rPr>
              <w:t>相应的解决措施；分析理解到位且解决措施可行的得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合理和可行的得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分，存在不足的给</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877" w:type="dxa"/>
            <w:noWrap w:val="0"/>
            <w:vAlign w:val="center"/>
          </w:tcPr>
          <w:p>
            <w:pPr>
              <w:adjustRightInd w:val="0"/>
              <w:snapToGrid w:val="0"/>
              <w:spacing w:line="360" w:lineRule="auto"/>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电梯安装方案和措施：</w:t>
            </w:r>
            <w:r>
              <w:rPr>
                <w:rFonts w:hint="eastAsia" w:ascii="宋体" w:hAnsi="宋体" w:eastAsia="宋体" w:cs="宋体"/>
                <w:color w:val="auto"/>
                <w:szCs w:val="21"/>
                <w:highlight w:val="none"/>
              </w:rPr>
              <w:t>方案详细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措施可行的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分；方案较详细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措施基本可行的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分；方案</w:t>
            </w:r>
            <w:r>
              <w:rPr>
                <w:rFonts w:hint="eastAsia" w:ascii="宋体" w:hAnsi="宋体" w:eastAsia="宋体" w:cs="宋体"/>
                <w:color w:val="auto"/>
                <w:szCs w:val="21"/>
                <w:highlight w:val="none"/>
                <w:lang w:val="en-US" w:eastAsia="zh-CN"/>
              </w:rPr>
              <w:t>和措施基本满足采购要求</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分；方案</w:t>
            </w:r>
            <w:r>
              <w:rPr>
                <w:rFonts w:hint="eastAsia" w:ascii="宋体" w:hAnsi="宋体" w:eastAsia="宋体" w:cs="宋体"/>
                <w:color w:val="auto"/>
                <w:szCs w:val="21"/>
                <w:highlight w:val="none"/>
                <w:lang w:val="en-US" w:eastAsia="zh-CN"/>
              </w:rPr>
              <w:t>和措施不完整或</w:t>
            </w:r>
            <w:r>
              <w:rPr>
                <w:rFonts w:hint="eastAsia" w:ascii="宋体" w:hAnsi="宋体" w:eastAsia="宋体" w:cs="宋体"/>
                <w:color w:val="auto"/>
                <w:szCs w:val="21"/>
                <w:highlight w:val="none"/>
              </w:rPr>
              <w:t>有瑕疵得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分；未提供不得分。</w:t>
            </w:r>
          </w:p>
        </w:tc>
        <w:tc>
          <w:tcPr>
            <w:tcW w:w="877" w:type="dxa"/>
            <w:noWrap w:val="0"/>
            <w:vAlign w:val="center"/>
          </w:tcPr>
          <w:p>
            <w:pPr>
              <w:adjustRightInd w:val="0"/>
              <w:snapToGrid w:val="0"/>
              <w:spacing w:line="360" w:lineRule="auto"/>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21"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4.5</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default" w:ascii="宋体" w:hAnsi="宋体" w:cs="宋体"/>
                <w:snapToGrid w:val="0"/>
                <w:color w:val="auto"/>
                <w:sz w:val="21"/>
                <w:szCs w:val="21"/>
                <w:highlight w:val="none"/>
                <w:lang w:val="en-US" w:eastAsia="zh-CN" w:bidi="ar-SA"/>
              </w:rPr>
            </w:pPr>
            <w:r>
              <w:rPr>
                <w:rFonts w:hint="eastAsia" w:ascii="宋体" w:hAnsi="宋体" w:eastAsia="宋体" w:cs="宋体"/>
                <w:color w:val="auto"/>
                <w:szCs w:val="21"/>
                <w:highlight w:val="none"/>
              </w:rPr>
              <w:t>针对投入本项目的主要施工设备的完善、合理、可行的得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合理和可行的得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基本可行的得2分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存在不足的给1分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877" w:type="dxa"/>
            <w:noWrap w:val="0"/>
            <w:vAlign w:val="center"/>
          </w:tcPr>
          <w:p>
            <w:pPr>
              <w:adjustRightInd w:val="0"/>
              <w:snapToGrid w:val="0"/>
              <w:spacing w:line="360" w:lineRule="auto"/>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cs="宋体"/>
                <w:snapToGrid w:val="0"/>
                <w:color w:val="auto"/>
                <w:sz w:val="21"/>
                <w:szCs w:val="21"/>
                <w:highlight w:val="none"/>
                <w:lang w:val="en-US" w:eastAsia="zh-CN" w:bidi="ar-SA"/>
              </w:rPr>
            </w:pPr>
            <w:r>
              <w:rPr>
                <w:rFonts w:hint="eastAsia" w:ascii="宋体" w:hAnsi="宋体" w:cs="宋体"/>
                <w:snapToGrid w:val="0"/>
                <w:color w:val="auto"/>
                <w:sz w:val="21"/>
                <w:szCs w:val="21"/>
                <w:highlight w:val="none"/>
                <w:lang w:val="en-US" w:eastAsia="zh-CN" w:bidi="ar-SA"/>
              </w:rPr>
              <w:t>4.6</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项目实施管理人员与本项目相适应</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，人员配置合理、齐全、数量充足，经验丰富得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分；人员可满足需求，具有经验得3分；人员数量基本满足需求，经验一般得2分；人员数量偏少，经验不丰富得1分；不提供不得分。</w:t>
            </w:r>
          </w:p>
        </w:tc>
        <w:tc>
          <w:tcPr>
            <w:tcW w:w="877" w:type="dxa"/>
            <w:noWrap w:val="0"/>
            <w:vAlign w:val="center"/>
          </w:tcPr>
          <w:p>
            <w:pPr>
              <w:adjustRightInd w:val="0"/>
              <w:snapToGrid w:val="0"/>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1" w:type="dxa"/>
            <w:noWrap w:val="0"/>
            <w:vAlign w:val="center"/>
          </w:tcPr>
          <w:p>
            <w:pPr>
              <w:adjustRightInd w:val="0"/>
              <w:snapToGrid w:val="0"/>
              <w:spacing w:line="360" w:lineRule="auto"/>
              <w:rPr>
                <w:rFonts w:hint="eastAsia"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7</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color w:val="auto"/>
                <w:szCs w:val="21"/>
                <w:highlight w:val="none"/>
              </w:rPr>
              <w:t>现场</w:t>
            </w:r>
            <w:r>
              <w:rPr>
                <w:rFonts w:hint="eastAsia" w:ascii="宋体" w:hAnsi="宋体" w:eastAsia="宋体" w:cs="Times New Roman"/>
                <w:color w:val="auto"/>
                <w:szCs w:val="21"/>
                <w:highlight w:val="none"/>
              </w:rPr>
              <w:t>施工人员模式对项目实施有保障且有技术支撑</w:t>
            </w:r>
            <w:r>
              <w:rPr>
                <w:rFonts w:hint="eastAsia" w:ascii="宋体" w:hAnsi="宋体" w:eastAsia="宋体" w:cs="Times New Roman"/>
                <w:color w:val="auto"/>
                <w:szCs w:val="21"/>
                <w:highlight w:val="none"/>
                <w:lang w:eastAsia="zh-CN"/>
              </w:rPr>
              <w:t>，</w:t>
            </w:r>
            <w:r>
              <w:rPr>
                <w:rFonts w:hint="eastAsia" w:ascii="宋体" w:hAnsi="宋体" w:cs="宋体"/>
                <w:color w:val="auto"/>
                <w:szCs w:val="21"/>
                <w:highlight w:val="none"/>
              </w:rPr>
              <w:t>安排完善、合理的得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分，基本合理的得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分，存在不足的给</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分，较差的得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分，不提供不得分。</w:t>
            </w:r>
          </w:p>
        </w:tc>
        <w:tc>
          <w:tcPr>
            <w:tcW w:w="877" w:type="dxa"/>
            <w:noWrap w:val="0"/>
            <w:vAlign w:val="center"/>
          </w:tcPr>
          <w:p>
            <w:pPr>
              <w:adjustRightInd w:val="0"/>
              <w:snapToGrid w:val="0"/>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4.8</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cs="宋体"/>
                <w:snapToGrid w:val="0"/>
                <w:color w:val="auto"/>
                <w:sz w:val="21"/>
                <w:szCs w:val="21"/>
                <w:highlight w:val="none"/>
                <w:lang w:val="en-US" w:eastAsia="zh-CN" w:bidi="ar-SA"/>
              </w:rPr>
            </w:pPr>
            <w:r>
              <w:rPr>
                <w:rFonts w:hint="eastAsia" w:ascii="宋体" w:hAnsi="宋体" w:eastAsia="宋体" w:cs="宋体"/>
                <w:color w:val="auto"/>
                <w:szCs w:val="21"/>
                <w:highlight w:val="none"/>
                <w:lang w:val="en-US" w:eastAsia="zh-CN"/>
              </w:rPr>
              <w:t>大体积混凝土浇筑及养护方案和模板搭设方案编制合理，</w:t>
            </w:r>
            <w:r>
              <w:rPr>
                <w:rFonts w:hint="eastAsia" w:ascii="宋体" w:hAnsi="宋体" w:eastAsia="宋体" w:cs="宋体"/>
                <w:color w:val="auto"/>
                <w:szCs w:val="21"/>
                <w:highlight w:val="none"/>
              </w:rPr>
              <w:t>具有针对性和可行性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方案较详细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措施基本可行，得5分，</w:t>
            </w:r>
            <w:r>
              <w:rPr>
                <w:rFonts w:hint="eastAsia" w:ascii="宋体" w:hAnsi="宋体" w:eastAsia="宋体" w:cs="宋体"/>
                <w:color w:val="auto"/>
                <w:szCs w:val="21"/>
                <w:highlight w:val="none"/>
              </w:rPr>
              <w:t>方案较详细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措施基本可行的4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措施内容一般得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措施内容有瑕疵得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措施内容不适合的得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分；未提供不得分。</w:t>
            </w:r>
          </w:p>
        </w:tc>
        <w:tc>
          <w:tcPr>
            <w:tcW w:w="877" w:type="dxa"/>
            <w:noWrap w:val="0"/>
            <w:vAlign w:val="center"/>
          </w:tcPr>
          <w:p>
            <w:pPr>
              <w:adjustRightInd w:val="0"/>
              <w:snapToGrid w:val="0"/>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4.9</w:t>
            </w:r>
          </w:p>
        </w:tc>
        <w:tc>
          <w:tcPr>
            <w:tcW w:w="1260" w:type="dxa"/>
            <w:vMerge w:val="continue"/>
            <w:noWrap w:val="0"/>
            <w:vAlign w:val="center"/>
          </w:tcPr>
          <w:p>
            <w:pPr>
              <w:adjustRightInd w:val="0"/>
              <w:snapToGrid w:val="0"/>
              <w:spacing w:line="360" w:lineRule="auto"/>
              <w:rPr>
                <w:rFonts w:hint="eastAsia" w:ascii="宋体" w:hAnsi="宋体" w:eastAsia="宋体" w:cs="宋体"/>
                <w:color w:val="auto"/>
                <w:szCs w:val="21"/>
                <w:highlight w:val="none"/>
              </w:rPr>
            </w:pPr>
          </w:p>
        </w:tc>
        <w:tc>
          <w:tcPr>
            <w:tcW w:w="5943"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现场施工围挡及保障正常医疗秩序安全通道搭设安装方案措施合理，</w:t>
            </w:r>
            <w:r>
              <w:rPr>
                <w:rFonts w:hint="eastAsia" w:ascii="宋体" w:hAnsi="宋体" w:eastAsia="宋体" w:cs="宋体"/>
                <w:color w:val="auto"/>
                <w:szCs w:val="21"/>
                <w:highlight w:val="none"/>
              </w:rPr>
              <w:t>具有针对性和可行性</w:t>
            </w:r>
            <w:r>
              <w:rPr>
                <w:rFonts w:hint="eastAsia" w:ascii="宋体" w:hAnsi="宋体" w:eastAsia="宋体" w:cs="宋体"/>
                <w:color w:val="auto"/>
                <w:szCs w:val="21"/>
                <w:highlight w:val="none"/>
                <w:lang w:val="en-US" w:eastAsia="zh-CN"/>
              </w:rPr>
              <w:t>，得3.5分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措施内容一般得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措施内容有瑕疵</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措施内容不适合的得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分；未提供不得分。</w:t>
            </w:r>
          </w:p>
        </w:tc>
        <w:tc>
          <w:tcPr>
            <w:tcW w:w="877" w:type="dxa"/>
            <w:noWrap w:val="0"/>
            <w:vAlign w:val="center"/>
          </w:tcPr>
          <w:p>
            <w:pPr>
              <w:adjustRightInd w:val="0"/>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4.10</w:t>
            </w:r>
          </w:p>
        </w:tc>
        <w:tc>
          <w:tcPr>
            <w:tcW w:w="1260" w:type="dxa"/>
            <w:vMerge w:val="continue"/>
            <w:noWrap w:val="0"/>
            <w:vAlign w:val="center"/>
          </w:tcPr>
          <w:p>
            <w:pPr>
              <w:adjustRightInd w:val="0"/>
              <w:snapToGrid w:val="0"/>
              <w:spacing w:line="360" w:lineRule="auto"/>
              <w:rPr>
                <w:rFonts w:hint="eastAsia" w:ascii="宋体" w:hAnsi="宋体" w:eastAsia="宋体" w:cs="宋体"/>
                <w:color w:val="auto"/>
                <w:szCs w:val="21"/>
                <w:highlight w:val="none"/>
              </w:rPr>
            </w:pPr>
          </w:p>
        </w:tc>
        <w:tc>
          <w:tcPr>
            <w:tcW w:w="5943"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施工质量目标明确，质量控制措施科学、合理，且有技术支撑的</w:t>
            </w:r>
            <w:r>
              <w:rPr>
                <w:rFonts w:hint="eastAsia" w:ascii="宋体" w:hAnsi="宋体" w:eastAsia="宋体" w:cs="宋体"/>
                <w:color w:val="auto"/>
                <w:szCs w:val="21"/>
                <w:highlight w:val="none"/>
                <w:lang w:val="en-US" w:eastAsia="zh-CN"/>
              </w:rPr>
              <w:t>得3分，</w:t>
            </w:r>
            <w:r>
              <w:rPr>
                <w:rFonts w:hint="eastAsia" w:ascii="宋体" w:hAnsi="宋体" w:eastAsia="宋体" w:cs="宋体"/>
                <w:color w:val="auto"/>
                <w:szCs w:val="21"/>
                <w:highlight w:val="none"/>
              </w:rPr>
              <w:t>措施内容较详细基本可行的得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分；措施内容一般得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分；未提供不得分。</w:t>
            </w:r>
          </w:p>
        </w:tc>
        <w:tc>
          <w:tcPr>
            <w:tcW w:w="877" w:type="dxa"/>
            <w:noWrap w:val="0"/>
            <w:vAlign w:val="center"/>
          </w:tcPr>
          <w:p>
            <w:pPr>
              <w:adjustRightInd w:val="0"/>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260" w:type="dxa"/>
            <w:vMerge w:val="continue"/>
            <w:noWrap w:val="0"/>
            <w:vAlign w:val="center"/>
          </w:tcPr>
          <w:p>
            <w:pPr>
              <w:adjustRightInd w:val="0"/>
              <w:snapToGrid w:val="0"/>
              <w:spacing w:line="360" w:lineRule="auto"/>
              <w:rPr>
                <w:rFonts w:hint="eastAsia" w:ascii="宋体" w:hAnsi="宋体" w:eastAsia="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安全、文明施工及市政、市容、环保、消防等的保证措施，措施内容详细可行的得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分；措施内容较详细基本可行的得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分；措施内容一般得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分；未提供不得分。</w:t>
            </w:r>
          </w:p>
        </w:tc>
        <w:tc>
          <w:tcPr>
            <w:tcW w:w="877" w:type="dxa"/>
            <w:noWrap w:val="0"/>
            <w:vAlign w:val="center"/>
          </w:tcPr>
          <w:p>
            <w:pPr>
              <w:adjustRightInd w:val="0"/>
              <w:snapToGrid w:val="0"/>
              <w:spacing w:line="360" w:lineRule="auto"/>
              <w:jc w:val="center"/>
              <w:rPr>
                <w:rFonts w:hint="default"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21" w:type="dxa"/>
            <w:noWrap w:val="0"/>
            <w:vAlign w:val="center"/>
          </w:tcPr>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260" w:type="dxa"/>
            <w:vMerge w:val="continue"/>
            <w:noWrap w:val="0"/>
            <w:vAlign w:val="center"/>
          </w:tcPr>
          <w:p>
            <w:pPr>
              <w:spacing w:line="360" w:lineRule="auto"/>
              <w:ind w:right="-21" w:rightChars="-10"/>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cs="宋体"/>
                <w:snapToGrid w:val="0"/>
                <w:color w:val="auto"/>
                <w:sz w:val="21"/>
                <w:szCs w:val="21"/>
                <w:highlight w:val="none"/>
                <w:lang w:val="en-US" w:eastAsia="zh-CN" w:bidi="ar-SA"/>
              </w:rPr>
            </w:pPr>
            <w:r>
              <w:rPr>
                <w:rFonts w:hint="eastAsia" w:ascii="宋体" w:hAnsi="宋体" w:cs="宋体"/>
                <w:color w:val="auto"/>
                <w:szCs w:val="21"/>
                <w:highlight w:val="none"/>
              </w:rPr>
              <w:t>检验与验收方案：</w:t>
            </w:r>
            <w:r>
              <w:rPr>
                <w:rFonts w:hint="eastAsia"/>
                <w:color w:val="auto"/>
                <w:highlight w:val="none"/>
              </w:rPr>
              <w:t>方案详细得</w:t>
            </w:r>
            <w:r>
              <w:rPr>
                <w:rFonts w:hint="eastAsia"/>
                <w:color w:val="auto"/>
                <w:highlight w:val="none"/>
                <w:lang w:val="en-US" w:eastAsia="zh-CN"/>
              </w:rPr>
              <w:t>3</w:t>
            </w:r>
            <w:r>
              <w:rPr>
                <w:rFonts w:hint="eastAsia"/>
                <w:color w:val="auto"/>
                <w:highlight w:val="none"/>
              </w:rPr>
              <w:t>分；方案较详细得</w:t>
            </w:r>
            <w:r>
              <w:rPr>
                <w:rFonts w:hint="eastAsia"/>
                <w:color w:val="auto"/>
                <w:highlight w:val="none"/>
                <w:lang w:val="en-US" w:eastAsia="zh-CN"/>
              </w:rPr>
              <w:t>2</w:t>
            </w:r>
            <w:r>
              <w:rPr>
                <w:rFonts w:hint="eastAsia"/>
                <w:color w:val="auto"/>
                <w:highlight w:val="none"/>
              </w:rPr>
              <w:t>分；方案一般得</w:t>
            </w:r>
            <w:r>
              <w:rPr>
                <w:rFonts w:hint="eastAsia"/>
                <w:color w:val="auto"/>
                <w:highlight w:val="none"/>
                <w:lang w:val="en-US" w:eastAsia="zh-CN"/>
              </w:rPr>
              <w:t>1</w:t>
            </w:r>
            <w:r>
              <w:rPr>
                <w:rFonts w:hint="eastAsia"/>
                <w:color w:val="auto"/>
                <w:highlight w:val="none"/>
              </w:rPr>
              <w:t>分；未提供不得分</w:t>
            </w:r>
            <w:r>
              <w:rPr>
                <w:rFonts w:hint="eastAsia" w:ascii="宋体" w:hAnsi="宋体" w:cs="宋体"/>
                <w:color w:val="auto"/>
                <w:szCs w:val="21"/>
                <w:highlight w:val="none"/>
              </w:rPr>
              <w:t>。</w:t>
            </w:r>
          </w:p>
        </w:tc>
        <w:tc>
          <w:tcPr>
            <w:tcW w:w="877" w:type="dxa"/>
            <w:noWrap w:val="0"/>
            <w:vAlign w:val="center"/>
          </w:tcPr>
          <w:p>
            <w:pPr>
              <w:adjustRightInd w:val="0"/>
              <w:snapToGrid w:val="0"/>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260" w:type="dxa"/>
            <w:vMerge w:val="continue"/>
            <w:noWrap w:val="0"/>
            <w:vAlign w:val="center"/>
          </w:tcPr>
          <w:p>
            <w:pPr>
              <w:adjustRightInd w:val="0"/>
              <w:snapToGrid w:val="0"/>
              <w:spacing w:line="360" w:lineRule="auto"/>
              <w:rPr>
                <w:rFonts w:hint="eastAsia" w:ascii="宋体" w:hAnsi="宋体" w:cs="宋体"/>
                <w:color w:val="auto"/>
                <w:szCs w:val="21"/>
                <w:highlight w:val="none"/>
              </w:rPr>
            </w:pPr>
          </w:p>
        </w:tc>
        <w:tc>
          <w:tcPr>
            <w:tcW w:w="5943" w:type="dxa"/>
            <w:noWrap w:val="0"/>
            <w:vAlign w:val="center"/>
          </w:tcPr>
          <w:p>
            <w:pPr>
              <w:adjustRightInd w:val="0"/>
              <w:snapToGrid w:val="0"/>
              <w:spacing w:line="360" w:lineRule="auto"/>
              <w:rPr>
                <w:rFonts w:hint="eastAsia" w:ascii="宋体" w:hAnsi="宋体" w:cs="宋体"/>
                <w:snapToGrid w:val="0"/>
                <w:color w:val="auto"/>
                <w:sz w:val="21"/>
                <w:szCs w:val="21"/>
                <w:highlight w:val="none"/>
                <w:lang w:val="en-US" w:eastAsia="zh-CN" w:bidi="ar-SA"/>
              </w:rPr>
            </w:pPr>
            <w:r>
              <w:rPr>
                <w:rFonts w:hint="eastAsia" w:ascii="宋体" w:hAnsi="宋体" w:cs="宋体"/>
                <w:color w:val="auto"/>
                <w:szCs w:val="21"/>
                <w:highlight w:val="none"/>
              </w:rPr>
              <w:t>材料的进货渠道及质量</w:t>
            </w:r>
            <w:r>
              <w:rPr>
                <w:rFonts w:hint="eastAsia"/>
                <w:color w:val="auto"/>
                <w:highlight w:val="none"/>
              </w:rPr>
              <w:t>保障方案进行评审：方案详细得</w:t>
            </w:r>
            <w:r>
              <w:rPr>
                <w:rFonts w:hint="eastAsia"/>
                <w:color w:val="auto"/>
                <w:highlight w:val="none"/>
                <w:lang w:val="en-US" w:eastAsia="zh-CN"/>
              </w:rPr>
              <w:t>3</w:t>
            </w:r>
            <w:r>
              <w:rPr>
                <w:rFonts w:hint="eastAsia"/>
                <w:color w:val="auto"/>
                <w:highlight w:val="none"/>
              </w:rPr>
              <w:t>分；方案较详细得</w:t>
            </w:r>
            <w:r>
              <w:rPr>
                <w:rFonts w:hint="eastAsia"/>
                <w:color w:val="auto"/>
                <w:highlight w:val="none"/>
                <w:lang w:val="en-US" w:eastAsia="zh-CN"/>
              </w:rPr>
              <w:t>2</w:t>
            </w:r>
            <w:r>
              <w:rPr>
                <w:rFonts w:hint="eastAsia"/>
                <w:color w:val="auto"/>
                <w:highlight w:val="none"/>
              </w:rPr>
              <w:t>分；方案一般得</w:t>
            </w:r>
            <w:r>
              <w:rPr>
                <w:rFonts w:hint="eastAsia"/>
                <w:color w:val="auto"/>
                <w:highlight w:val="none"/>
                <w:lang w:val="en-US" w:eastAsia="zh-CN"/>
              </w:rPr>
              <w:t>1</w:t>
            </w:r>
            <w:r>
              <w:rPr>
                <w:rFonts w:hint="eastAsia"/>
                <w:color w:val="auto"/>
                <w:highlight w:val="none"/>
              </w:rPr>
              <w:t>分；未提供不得分</w:t>
            </w:r>
            <w:r>
              <w:rPr>
                <w:rFonts w:hint="eastAsia" w:ascii="宋体" w:hAnsi="宋体" w:cs="宋体"/>
                <w:color w:val="auto"/>
                <w:szCs w:val="21"/>
                <w:highlight w:val="none"/>
              </w:rPr>
              <w:t>。</w:t>
            </w:r>
          </w:p>
        </w:tc>
        <w:tc>
          <w:tcPr>
            <w:tcW w:w="877" w:type="dxa"/>
            <w:noWrap w:val="0"/>
            <w:vAlign w:val="center"/>
          </w:tcPr>
          <w:p>
            <w:pPr>
              <w:adjustRightInd w:val="0"/>
              <w:snapToGrid w:val="0"/>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260" w:type="dxa"/>
            <w:vMerge w:val="continue"/>
            <w:noWrap w:val="0"/>
            <w:vAlign w:val="center"/>
          </w:tcPr>
          <w:p>
            <w:pPr>
              <w:adjustRightInd w:val="0"/>
              <w:snapToGrid w:val="0"/>
              <w:spacing w:line="360" w:lineRule="auto"/>
              <w:rPr>
                <w:rFonts w:hint="eastAsia" w:ascii="宋体" w:hAnsi="宋体" w:cs="宋体"/>
                <w:color w:val="auto"/>
                <w:szCs w:val="21"/>
                <w:highlight w:val="none"/>
              </w:rPr>
            </w:pPr>
          </w:p>
        </w:tc>
        <w:tc>
          <w:tcPr>
            <w:tcW w:w="5943" w:type="dxa"/>
            <w:noWrap w:val="0"/>
            <w:vAlign w:val="center"/>
          </w:tcPr>
          <w:p>
            <w:pPr>
              <w:spacing w:line="360" w:lineRule="auto"/>
              <w:ind w:right="-21" w:rightChars="-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针对目前疫情防控措施，措施内容全面可行、重点突出的得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措施合理、可行得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无方案得0分</w:t>
            </w:r>
          </w:p>
        </w:tc>
        <w:tc>
          <w:tcPr>
            <w:tcW w:w="877" w:type="dxa"/>
            <w:noWrap w:val="0"/>
            <w:vAlign w:val="center"/>
          </w:tcPr>
          <w:p>
            <w:pPr>
              <w:adjustRightInd w:val="0"/>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pPr>
              <w:adjustRightInd w:val="0"/>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260" w:type="dxa"/>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节能环保产品</w:t>
            </w:r>
          </w:p>
        </w:tc>
        <w:tc>
          <w:tcPr>
            <w:tcW w:w="5943" w:type="dxa"/>
            <w:noWrap w:val="0"/>
            <w:vAlign w:val="center"/>
          </w:tcPr>
          <w:p>
            <w:pPr>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877" w:type="dxa"/>
            <w:noWrap w:val="0"/>
            <w:vAlign w:val="center"/>
          </w:tcPr>
          <w:p>
            <w:pPr>
              <w:adjustRightInd w:val="0"/>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restart"/>
            <w:noWrap w:val="0"/>
            <w:vAlign w:val="center"/>
          </w:tcPr>
          <w:p>
            <w:p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260" w:type="dxa"/>
            <w:vMerge w:val="restart"/>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承诺及合理化建议</w:t>
            </w:r>
          </w:p>
        </w:tc>
        <w:tc>
          <w:tcPr>
            <w:tcW w:w="5943" w:type="dxa"/>
            <w:noWrap w:val="0"/>
            <w:vAlign w:val="center"/>
          </w:tcPr>
          <w:p>
            <w:pPr>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承诺由施工引起的各类设施、设备损坏，以及其他可能造成损坏的内容，由供应商负责修复并承担可能发生的成本费用的得2分，否则本项不得分。</w:t>
            </w:r>
          </w:p>
        </w:tc>
        <w:tc>
          <w:tcPr>
            <w:tcW w:w="877" w:type="dxa"/>
            <w:noWrap w:val="0"/>
            <w:vAlign w:val="center"/>
          </w:tcPr>
          <w:p>
            <w:pPr>
              <w:spacing w:line="360" w:lineRule="auto"/>
              <w:ind w:right="-21" w:rightChars="-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pPr>
              <w:adjustRightInd w:val="0"/>
              <w:snapToGrid w:val="0"/>
              <w:spacing w:line="360" w:lineRule="auto"/>
              <w:rPr>
                <w:rFonts w:hint="eastAsia" w:ascii="宋体" w:hAnsi="宋体" w:cs="宋体"/>
                <w:color w:val="auto"/>
                <w:szCs w:val="21"/>
                <w:highlight w:val="none"/>
              </w:rPr>
            </w:pPr>
          </w:p>
        </w:tc>
        <w:tc>
          <w:tcPr>
            <w:tcW w:w="1260" w:type="dxa"/>
            <w:vMerge w:val="continue"/>
            <w:noWrap w:val="0"/>
            <w:vAlign w:val="center"/>
          </w:tcPr>
          <w:p>
            <w:pPr>
              <w:adjustRightInd w:val="0"/>
              <w:snapToGrid w:val="0"/>
              <w:spacing w:line="360" w:lineRule="auto"/>
              <w:rPr>
                <w:rFonts w:hint="eastAsia" w:ascii="宋体" w:hAnsi="宋体" w:cs="宋体"/>
                <w:color w:val="auto"/>
                <w:szCs w:val="21"/>
                <w:highlight w:val="none"/>
              </w:rPr>
            </w:pPr>
          </w:p>
        </w:tc>
        <w:tc>
          <w:tcPr>
            <w:tcW w:w="5943" w:type="dxa"/>
            <w:noWrap w:val="0"/>
            <w:vAlign w:val="center"/>
          </w:tcPr>
          <w:p>
            <w:pPr>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质保期满足采购文件要求（质保期为2年）的不得分，每增加半年加1分，最</w:t>
            </w:r>
            <w:r>
              <w:rPr>
                <w:rFonts w:hint="eastAsia" w:ascii="宋体" w:hAnsi="宋体" w:eastAsia="宋体" w:cs="宋体"/>
                <w:color w:val="auto"/>
                <w:szCs w:val="21"/>
                <w:highlight w:val="none"/>
                <w:lang w:val="en-US" w:eastAsia="zh-CN"/>
              </w:rPr>
              <w:t>多</w:t>
            </w:r>
            <w:r>
              <w:rPr>
                <w:rFonts w:hint="eastAsia" w:ascii="宋体" w:hAnsi="宋体" w:eastAsia="宋体" w:cs="宋体"/>
                <w:color w:val="auto"/>
                <w:szCs w:val="21"/>
                <w:highlight w:val="none"/>
              </w:rPr>
              <w:t>得4分。</w:t>
            </w:r>
          </w:p>
        </w:tc>
        <w:tc>
          <w:tcPr>
            <w:tcW w:w="877" w:type="dxa"/>
            <w:noWrap w:val="0"/>
            <w:vAlign w:val="center"/>
          </w:tcPr>
          <w:p>
            <w:pPr>
              <w:spacing w:line="360" w:lineRule="auto"/>
              <w:ind w:right="-21" w:rightChars="-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pPr>
              <w:adjustRightInd w:val="0"/>
              <w:snapToGrid w:val="0"/>
              <w:spacing w:line="360" w:lineRule="auto"/>
              <w:rPr>
                <w:rFonts w:hint="eastAsia" w:ascii="宋体" w:hAnsi="宋体" w:cs="宋体"/>
                <w:color w:val="auto"/>
                <w:szCs w:val="21"/>
                <w:highlight w:val="none"/>
              </w:rPr>
            </w:pPr>
          </w:p>
        </w:tc>
        <w:tc>
          <w:tcPr>
            <w:tcW w:w="1260" w:type="dxa"/>
            <w:vMerge w:val="continue"/>
            <w:noWrap w:val="0"/>
            <w:vAlign w:val="center"/>
          </w:tcPr>
          <w:p>
            <w:pPr>
              <w:adjustRightInd w:val="0"/>
              <w:snapToGrid w:val="0"/>
              <w:spacing w:line="360" w:lineRule="auto"/>
              <w:rPr>
                <w:rFonts w:hint="eastAsia" w:ascii="宋体" w:hAnsi="宋体" w:cs="宋体"/>
                <w:color w:val="auto"/>
                <w:szCs w:val="21"/>
                <w:highlight w:val="none"/>
              </w:rPr>
            </w:pPr>
          </w:p>
        </w:tc>
        <w:tc>
          <w:tcPr>
            <w:tcW w:w="5943" w:type="dxa"/>
            <w:noWrap w:val="0"/>
            <w:vAlign w:val="center"/>
          </w:tcPr>
          <w:p>
            <w:pPr>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根据供应商对本项目提出的合理化建议和承诺对项目实施有益且可行的每条</w:t>
            </w:r>
            <w:r>
              <w:rPr>
                <w:rFonts w:hint="eastAsia" w:ascii="宋体" w:hAnsi="宋体" w:eastAsia="宋体" w:cs="宋体"/>
                <w:color w:val="auto"/>
                <w:szCs w:val="21"/>
                <w:highlight w:val="none"/>
                <w:lang w:val="en-US" w:eastAsia="zh-CN"/>
              </w:rPr>
              <w:t>得1</w:t>
            </w:r>
            <w:r>
              <w:rPr>
                <w:rFonts w:hint="eastAsia" w:ascii="宋体" w:hAnsi="宋体" w:eastAsia="宋体" w:cs="宋体"/>
                <w:color w:val="auto"/>
                <w:szCs w:val="21"/>
                <w:highlight w:val="none"/>
              </w:rPr>
              <w:t>分，最多得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877" w:type="dxa"/>
            <w:noWrap w:val="0"/>
            <w:vAlign w:val="center"/>
          </w:tcPr>
          <w:p>
            <w:pPr>
              <w:spacing w:line="360" w:lineRule="auto"/>
              <w:ind w:right="-21" w:rightChars="-1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bl>
    <w:p>
      <w:pPr>
        <w:snapToGrid w:val="0"/>
        <w:spacing w:line="360" w:lineRule="auto"/>
        <w:ind w:firstLine="420" w:firstLineChars="200"/>
        <w:rPr>
          <w:rFonts w:hint="eastAsia"/>
          <w:color w:val="auto"/>
          <w:highlight w:val="none"/>
        </w:rPr>
      </w:pPr>
    </w:p>
    <w:p>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注：评分时保留小数点后1位小数，计算评分值时保留小数点后2位小数，由评标委员会当场统一计算。</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 报价部分（满分30分）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商务评标按综合评分细则对磋商响应供应商的有效磋商报价进行统一计算评分，由磋商小组按综合评分因素及标准要求集体判定评分。</w:t>
      </w:r>
    </w:p>
    <w:p>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满足磋商文件要求且最终有效磋商价格中最低的磋商报价为评标基准价，其价格分为满分30分。</w:t>
      </w:r>
    </w:p>
    <w:p>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磋商报价得分=（评标基准价/最终磋商报价）×价格权值（即30%）×100</w:t>
      </w:r>
    </w:p>
    <w:p>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报价是中标的一个重要因素，但最低报价不是中标的唯一依据。</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此项由评标委员会集体核实后统一打分。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23.3其他</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评分时保留小数点后1位小数，计算评分值时保留小数点后2位小数，由磋商小组当场统一计算。</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磋商响应供应商的最终总得分为商务技术资信及报价部分得分的总和。</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23.4 磋商文件没有规定的评审标准不作为评审依据。</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23.5 磋商小组成员独立对每个有效响应的文件进行评价、打分，所有磋商小组成员的打分平均值为每个供应商的得分。</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24.推荐成交候选供应商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应当根据综合评分情况，按照评审得分由高到低顺序推荐3名成交候选供应商，并编写评审报告。评审得分相同的，按照最后报价由低到高的顺序推荐。评审得分且最后报价相同的，则由磋商小组采用记名投票表决，得票多者排名靠前。</w:t>
      </w:r>
    </w:p>
    <w:p>
      <w:pPr>
        <w:pStyle w:val="4"/>
        <w:spacing w:before="0" w:after="0" w:line="360" w:lineRule="auto"/>
        <w:rPr>
          <w:rFonts w:hint="eastAsia" w:ascii="宋体" w:hAnsi="宋体" w:eastAsia="宋体" w:cs="宋体"/>
          <w:b/>
          <w:color w:val="auto"/>
          <w:sz w:val="21"/>
          <w:szCs w:val="21"/>
          <w:highlight w:val="none"/>
        </w:rPr>
      </w:pPr>
      <w:bookmarkStart w:id="39" w:name="_Toc472544479"/>
      <w:r>
        <w:rPr>
          <w:rFonts w:hint="eastAsia" w:ascii="宋体" w:hAnsi="宋体" w:eastAsia="宋体" w:cs="宋体"/>
          <w:b/>
          <w:color w:val="auto"/>
          <w:sz w:val="21"/>
          <w:szCs w:val="21"/>
          <w:highlight w:val="none"/>
        </w:rPr>
        <w:t>八、确定成交供应商</w:t>
      </w:r>
      <w:bookmarkEnd w:id="39"/>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25.确定成交供应商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25.1采购代理机构应当在评审结束后2个工作日内将评审报告送采购人确认。</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采购人或者采购代理机构应当在成交供应商确定后2个工作日内，在省级以上财政部门指定的政府采购信息发布媒体上公告成交结果，同时向成交供应商发出成交通知书。成交供应商享受中小企业扶持政策的，采购人、采购代理机构应当随成交结果公开成交供应商的《中小企业声明函》。</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公告期限为1个工作日。</w:t>
      </w:r>
    </w:p>
    <w:p>
      <w:pPr>
        <w:pStyle w:val="4"/>
        <w:spacing w:before="0" w:after="0" w:line="360" w:lineRule="auto"/>
        <w:rPr>
          <w:rFonts w:hint="eastAsia" w:ascii="宋体" w:hAnsi="宋体" w:eastAsia="宋体" w:cs="宋体"/>
          <w:b/>
          <w:color w:val="auto"/>
          <w:sz w:val="21"/>
          <w:szCs w:val="21"/>
          <w:highlight w:val="none"/>
        </w:rPr>
      </w:pPr>
      <w:bookmarkStart w:id="40" w:name="_Toc207550888"/>
      <w:bookmarkStart w:id="41" w:name="_Toc472544480"/>
      <w:r>
        <w:rPr>
          <w:rFonts w:hint="eastAsia" w:ascii="宋体" w:hAnsi="宋体" w:eastAsia="宋体" w:cs="宋体"/>
          <w:b/>
          <w:color w:val="auto"/>
          <w:sz w:val="21"/>
          <w:szCs w:val="21"/>
          <w:highlight w:val="none"/>
        </w:rPr>
        <w:t>九、</w:t>
      </w:r>
      <w:bookmarkEnd w:id="40"/>
      <w:r>
        <w:rPr>
          <w:rFonts w:hint="eastAsia" w:ascii="宋体" w:hAnsi="宋体" w:eastAsia="宋体" w:cs="宋体"/>
          <w:b/>
          <w:color w:val="auto"/>
          <w:sz w:val="21"/>
          <w:szCs w:val="21"/>
          <w:highlight w:val="none"/>
        </w:rPr>
        <w:t>签订合同</w:t>
      </w:r>
      <w:bookmarkEnd w:id="41"/>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26.签订合同</w:t>
      </w:r>
    </w:p>
    <w:p>
      <w:pPr>
        <w:adjustRightInd w:val="0"/>
        <w:snapToGrid w:val="0"/>
        <w:spacing w:line="360" w:lineRule="auto"/>
        <w:ind w:firstLine="420" w:firstLineChars="200"/>
        <w:rPr>
          <w:rFonts w:hint="eastAsia" w:ascii="宋体" w:hAnsi="宋体" w:cs="宋体"/>
          <w:color w:val="auto"/>
          <w:szCs w:val="21"/>
          <w:highlight w:val="none"/>
        </w:rPr>
      </w:pPr>
      <w:bookmarkStart w:id="42" w:name="_Toc207550890"/>
      <w:bookmarkStart w:id="43" w:name="_Toc472544481"/>
      <w:r>
        <w:rPr>
          <w:rFonts w:hint="eastAsia" w:ascii="宋体" w:hAnsi="宋体" w:cs="宋体"/>
          <w:color w:val="auto"/>
          <w:szCs w:val="21"/>
          <w:highlight w:val="none"/>
        </w:rPr>
        <w:t>26.1采购人与成交供应商应当在成交通知书发出之日起30日内，按照磋商文件确定的合同文本以及采购标的和服务要求等事项签订政府采购合同。</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26.3拒签合同的责任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成交供应商接到成交通知书后，在规定时间内借故否认已经承诺的条件而拒签合同者，以磋商违约处理。成交供应商承担由此造成的直接经济损失，采购人保留向其索赔的权力。</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26.4签订合同后，成交供应商不得将本项目进行转包。未经采购人同意，成交供应商不得采用转包的形式履行合同。否则，采购人有权终止合同。转包造成采购人损失的，成交供应商还应承担相应的赔偿责任。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26.5政府采购合同依法变更的，应当签订补充协议。签订补充协议后2个工作日内在浙江政府采购网公告，并报同级财政部门备案。</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26.6履约保证金：成交供应商应按磋商文件确定的履约保证金金额，向采购人交纳履约保证金。签订合同后，如成交供应商不按双方合同约定履约，则没收其全部履约保证金。</w:t>
      </w:r>
    </w:p>
    <w:p>
      <w:pPr>
        <w:pStyle w:val="4"/>
        <w:spacing w:before="0"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bookmarkEnd w:id="42"/>
      <w:r>
        <w:rPr>
          <w:rFonts w:hint="eastAsia" w:ascii="宋体" w:hAnsi="宋体" w:eastAsia="宋体" w:cs="宋体"/>
          <w:b/>
          <w:color w:val="auto"/>
          <w:sz w:val="21"/>
          <w:szCs w:val="21"/>
          <w:highlight w:val="none"/>
        </w:rPr>
        <w:t>终止竞争性磋商采购活动</w:t>
      </w:r>
      <w:bookmarkEnd w:id="43"/>
    </w:p>
    <w:bookmarkEnd w:id="5"/>
    <w:bookmarkEnd w:id="6"/>
    <w:bookmarkEnd w:id="37"/>
    <w:p>
      <w:pPr>
        <w:adjustRightInd w:val="0"/>
        <w:snapToGrid w:val="0"/>
        <w:spacing w:line="360" w:lineRule="auto"/>
        <w:ind w:firstLine="420" w:firstLineChars="200"/>
        <w:rPr>
          <w:rFonts w:hint="eastAsia" w:ascii="宋体" w:hAnsi="宋体" w:cs="宋体"/>
          <w:color w:val="auto"/>
          <w:kern w:val="2"/>
          <w:szCs w:val="21"/>
          <w:highlight w:val="none"/>
          <w:lang w:val="zh-CN"/>
        </w:rPr>
      </w:pPr>
      <w:bookmarkStart w:id="44" w:name="_Toc118516218"/>
      <w:bookmarkStart w:id="45" w:name="_Toc171394922"/>
      <w:bookmarkStart w:id="46" w:name="_Toc472544483"/>
      <w:r>
        <w:rPr>
          <w:rFonts w:hint="eastAsia" w:ascii="宋体" w:hAnsi="宋体" w:cs="宋体"/>
          <w:color w:val="auto"/>
          <w:kern w:val="2"/>
          <w:szCs w:val="21"/>
          <w:highlight w:val="none"/>
          <w:lang w:val="zh-CN"/>
        </w:rPr>
        <w:t>2</w:t>
      </w:r>
      <w:r>
        <w:rPr>
          <w:rFonts w:hint="eastAsia" w:ascii="宋体" w:hAnsi="宋体" w:cs="宋体"/>
          <w:color w:val="auto"/>
          <w:kern w:val="2"/>
          <w:szCs w:val="21"/>
          <w:highlight w:val="none"/>
        </w:rPr>
        <w:t>7</w:t>
      </w:r>
      <w:r>
        <w:rPr>
          <w:rFonts w:hint="eastAsia" w:ascii="宋体" w:hAnsi="宋体" w:cs="宋体"/>
          <w:color w:val="auto"/>
          <w:kern w:val="2"/>
          <w:szCs w:val="21"/>
          <w:highlight w:val="none"/>
          <w:lang w:val="zh-CN"/>
        </w:rPr>
        <w:t>.</w:t>
      </w:r>
      <w:r>
        <w:rPr>
          <w:rFonts w:hint="eastAsia" w:ascii="宋体" w:hAnsi="宋体" w:cs="宋体"/>
          <w:color w:val="auto"/>
          <w:szCs w:val="21"/>
          <w:highlight w:val="none"/>
        </w:rPr>
        <w:t xml:space="preserve"> </w:t>
      </w:r>
      <w:r>
        <w:rPr>
          <w:rFonts w:hint="eastAsia" w:ascii="宋体" w:hAnsi="宋体" w:cs="宋体"/>
          <w:color w:val="auto"/>
          <w:kern w:val="2"/>
          <w:szCs w:val="21"/>
          <w:highlight w:val="none"/>
          <w:lang w:val="zh-CN"/>
        </w:rPr>
        <w:t>终止竞争性磋商采购活动</w:t>
      </w:r>
    </w:p>
    <w:p>
      <w:pPr>
        <w:adjustRightInd w:val="0"/>
        <w:snapToGrid w:val="0"/>
        <w:spacing w:line="360" w:lineRule="auto"/>
        <w:ind w:firstLine="420" w:firstLineChars="200"/>
        <w:rPr>
          <w:rFonts w:hint="eastAsia" w:ascii="宋体" w:hAnsi="宋体" w:cs="宋体"/>
          <w:color w:val="auto"/>
          <w:kern w:val="2"/>
          <w:szCs w:val="21"/>
          <w:highlight w:val="none"/>
          <w:lang w:val="zh-CN"/>
        </w:rPr>
      </w:pPr>
      <w:r>
        <w:rPr>
          <w:rFonts w:hint="eastAsia" w:ascii="宋体" w:hAnsi="宋体" w:cs="宋体"/>
          <w:color w:val="auto"/>
          <w:kern w:val="2"/>
          <w:szCs w:val="21"/>
          <w:highlight w:val="none"/>
          <w:lang w:val="zh-CN"/>
        </w:rPr>
        <w:t>2</w:t>
      </w:r>
      <w:r>
        <w:rPr>
          <w:rFonts w:hint="eastAsia" w:ascii="宋体" w:hAnsi="宋体" w:cs="宋体"/>
          <w:color w:val="auto"/>
          <w:kern w:val="2"/>
          <w:szCs w:val="21"/>
          <w:highlight w:val="none"/>
        </w:rPr>
        <w:t>7</w:t>
      </w:r>
      <w:r>
        <w:rPr>
          <w:rFonts w:hint="eastAsia" w:ascii="宋体" w:hAnsi="宋体" w:cs="宋体"/>
          <w:color w:val="auto"/>
          <w:kern w:val="2"/>
          <w:szCs w:val="21"/>
          <w:highlight w:val="none"/>
          <w:lang w:val="zh-CN"/>
        </w:rPr>
        <w:t>.1在竞争性磋商采购活动过程中，出现下列情形之一的，</w:t>
      </w:r>
      <w:r>
        <w:rPr>
          <w:rFonts w:hint="eastAsia" w:ascii="宋体" w:hAnsi="宋体" w:cs="宋体"/>
          <w:color w:val="auto"/>
          <w:szCs w:val="21"/>
          <w:highlight w:val="none"/>
        </w:rPr>
        <w:t>采购人或者采购代理机构应当终止竞争性磋商采购活动，发布项目终止公告并说明原因，重新开展采购活动：</w:t>
      </w:r>
    </w:p>
    <w:p>
      <w:pPr>
        <w:adjustRightInd w:val="0"/>
        <w:snapToGrid w:val="0"/>
        <w:spacing w:line="360" w:lineRule="auto"/>
        <w:ind w:firstLine="420" w:firstLineChars="200"/>
        <w:rPr>
          <w:rFonts w:hint="eastAsia" w:ascii="宋体" w:hAnsi="宋体" w:cs="宋体"/>
          <w:color w:val="auto"/>
          <w:kern w:val="2"/>
          <w:szCs w:val="21"/>
          <w:highlight w:val="none"/>
          <w:lang w:val="zh-CN"/>
        </w:rPr>
      </w:pPr>
      <w:r>
        <w:rPr>
          <w:rFonts w:hint="eastAsia" w:ascii="宋体" w:hAnsi="宋体" w:cs="宋体"/>
          <w:color w:val="auto"/>
          <w:kern w:val="2"/>
          <w:szCs w:val="21"/>
          <w:highlight w:val="none"/>
          <w:lang w:val="zh-CN"/>
        </w:rPr>
        <w:t>（1）因情况变化，不再符合规定的竞争性磋商采购方式适用情形的；</w:t>
      </w:r>
    </w:p>
    <w:p>
      <w:pPr>
        <w:adjustRightInd w:val="0"/>
        <w:snapToGrid w:val="0"/>
        <w:spacing w:line="360" w:lineRule="auto"/>
        <w:ind w:firstLine="420" w:firstLineChars="200"/>
        <w:rPr>
          <w:rFonts w:hint="eastAsia" w:ascii="宋体" w:hAnsi="宋体" w:cs="宋体"/>
          <w:color w:val="auto"/>
          <w:kern w:val="2"/>
          <w:szCs w:val="21"/>
          <w:highlight w:val="none"/>
          <w:lang w:val="zh-CN"/>
        </w:rPr>
      </w:pPr>
      <w:r>
        <w:rPr>
          <w:rFonts w:hint="eastAsia" w:ascii="宋体" w:hAnsi="宋体" w:cs="宋体"/>
          <w:color w:val="auto"/>
          <w:kern w:val="2"/>
          <w:szCs w:val="21"/>
          <w:highlight w:val="none"/>
          <w:lang w:val="zh-CN"/>
        </w:rPr>
        <w:t>（2）出现影响采购公正的违法、违规行为的。</w:t>
      </w:r>
    </w:p>
    <w:p>
      <w:pPr>
        <w:adjustRightInd w:val="0"/>
        <w:snapToGrid w:val="0"/>
        <w:spacing w:line="360" w:lineRule="auto"/>
        <w:ind w:firstLine="420" w:firstLineChars="200"/>
        <w:rPr>
          <w:rFonts w:hint="eastAsia" w:ascii="宋体" w:hAnsi="宋体" w:cs="宋体"/>
          <w:color w:val="auto"/>
          <w:kern w:val="2"/>
          <w:szCs w:val="21"/>
          <w:highlight w:val="none"/>
          <w:lang w:val="zh-CN"/>
        </w:rPr>
      </w:pPr>
      <w:r>
        <w:rPr>
          <w:rFonts w:hint="eastAsia" w:ascii="宋体" w:hAnsi="宋体" w:cs="宋体"/>
          <w:color w:val="auto"/>
          <w:kern w:val="2"/>
          <w:szCs w:val="21"/>
          <w:highlight w:val="none"/>
          <w:lang w:val="zh-CN"/>
        </w:rPr>
        <w:t>（3）</w:t>
      </w:r>
      <w:r>
        <w:rPr>
          <w:rFonts w:hint="eastAsia" w:ascii="宋体" w:hAnsi="宋体" w:cs="宋体"/>
          <w:color w:val="auto"/>
          <w:szCs w:val="21"/>
          <w:highlight w:val="none"/>
        </w:rPr>
        <w:t>在采购过程中符合要求的供应商或者报价未超过采购预算的供应商不足3家的</w:t>
      </w:r>
      <w:r>
        <w:rPr>
          <w:rFonts w:hint="eastAsia" w:ascii="宋体" w:hAnsi="宋体" w:cs="宋体"/>
          <w:color w:val="auto"/>
          <w:kern w:val="2"/>
          <w:szCs w:val="21"/>
          <w:highlight w:val="none"/>
          <w:lang w:val="zh-CN"/>
        </w:rPr>
        <w:t>。</w:t>
      </w:r>
    </w:p>
    <w:p>
      <w:pPr>
        <w:adjustRightInd w:val="0"/>
        <w:snapToGrid w:val="0"/>
        <w:spacing w:line="360" w:lineRule="auto"/>
        <w:ind w:firstLine="420" w:firstLineChars="200"/>
        <w:rPr>
          <w:rFonts w:hint="eastAsia" w:ascii="宋体" w:hAnsi="宋体" w:cs="宋体"/>
          <w:color w:val="auto"/>
          <w:kern w:val="2"/>
          <w:szCs w:val="21"/>
          <w:highlight w:val="none"/>
          <w:lang w:val="zh-CN"/>
        </w:rPr>
      </w:pPr>
      <w:r>
        <w:rPr>
          <w:rFonts w:hint="eastAsia" w:ascii="宋体" w:hAnsi="宋体" w:cs="宋体"/>
          <w:color w:val="auto"/>
          <w:kern w:val="2"/>
          <w:szCs w:val="21"/>
          <w:highlight w:val="none"/>
          <w:lang w:val="zh-CN"/>
        </w:rPr>
        <w:t>（4）因重大变故，采购任务取消的。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27.2在采购活动中因重大变故，采购任务取消的，采购人或者采购代理机构应当终止采购活动，通知所有参加采购活动的供应商，并将项目实施情况和采购任务取消原因报送本级财政部门。</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27.3采购过程中出现以下情形，导致电子交易平台无法正常运行，或者无法保证电子交易的公平、公正和安全时，采购组织机构可中止电子交易活动：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adjustRightInd w:val="0"/>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0" w:firstLineChars="200"/>
        <w:jc w:val="center"/>
        <w:rPr>
          <w:rFonts w:hint="eastAsia" w:ascii="宋体" w:hAnsi="宋体" w:cs="宋体"/>
          <w:color w:val="auto"/>
          <w:sz w:val="32"/>
          <w:highlight w:val="none"/>
        </w:rPr>
      </w:pPr>
      <w:r>
        <w:rPr>
          <w:rFonts w:hint="eastAsia" w:ascii="宋体" w:hAnsi="宋体" w:cs="宋体"/>
          <w:color w:val="auto"/>
          <w:szCs w:val="21"/>
          <w:highlight w:val="none"/>
        </w:rPr>
        <w:br w:type="page"/>
      </w:r>
      <w:r>
        <w:rPr>
          <w:rFonts w:hint="eastAsia" w:ascii="宋体" w:hAnsi="宋体" w:cs="宋体"/>
          <w:b/>
          <w:snapToGrid/>
          <w:color w:val="auto"/>
          <w:kern w:val="44"/>
          <w:sz w:val="32"/>
          <w:highlight w:val="none"/>
        </w:rPr>
        <w:t>第三部分</w:t>
      </w:r>
      <w:bookmarkEnd w:id="44"/>
      <w:bookmarkEnd w:id="45"/>
      <w:r>
        <w:rPr>
          <w:rFonts w:hint="eastAsia" w:ascii="宋体" w:hAnsi="宋体" w:cs="宋体"/>
          <w:b/>
          <w:snapToGrid/>
          <w:color w:val="auto"/>
          <w:kern w:val="44"/>
          <w:sz w:val="32"/>
          <w:highlight w:val="none"/>
        </w:rPr>
        <w:t xml:space="preserve"> 用户需求书</w:t>
      </w:r>
      <w:bookmarkEnd w:id="46"/>
    </w:p>
    <w:p>
      <w:pPr>
        <w:tabs>
          <w:tab w:val="left" w:pos="540"/>
          <w:tab w:val="left" w:pos="900"/>
        </w:tabs>
        <w:snapToGrid w:val="0"/>
        <w:spacing w:line="360" w:lineRule="auto"/>
        <w:ind w:left="420" w:leftChars="200"/>
        <w:rPr>
          <w:rFonts w:hint="eastAsia" w:ascii="宋体" w:hAnsi="宋体" w:cs="宋体"/>
          <w:b/>
          <w:color w:val="auto"/>
          <w:szCs w:val="21"/>
          <w:highlight w:val="none"/>
        </w:rPr>
      </w:pP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一、工程概况、采购范围及工作内容</w:t>
      </w:r>
      <w:r>
        <w:rPr>
          <w:rFonts w:hint="eastAsia" w:ascii="宋体" w:hAnsi="宋体" w:eastAsia="宋体" w:cs="宋体"/>
          <w:b/>
          <w:bCs/>
          <w:color w:val="auto"/>
          <w:szCs w:val="21"/>
          <w:highlight w:val="none"/>
        </w:rPr>
        <w:t>：</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1、项目名称：</w:t>
      </w:r>
      <w:r>
        <w:rPr>
          <w:rFonts w:hint="eastAsia" w:ascii="宋体" w:hAnsi="宋体" w:eastAsia="宋体" w:cs="宋体"/>
          <w:color w:val="auto"/>
          <w:szCs w:val="21"/>
          <w:highlight w:val="none"/>
          <w:lang w:eastAsia="zh-CN"/>
        </w:rPr>
        <w:t>11#直线加速器机房改造</w:t>
      </w:r>
      <w:r>
        <w:rPr>
          <w:rFonts w:hint="eastAsia" w:ascii="宋体" w:hAnsi="宋体" w:eastAsia="宋体" w:cs="宋体"/>
          <w:color w:val="auto"/>
          <w:szCs w:val="21"/>
          <w:highlight w:val="none"/>
        </w:rPr>
        <w:t>项目</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2、工程地点：工程位于浙江省肿瘤医院，杭州市半山东路1号</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3、采购范围：</w:t>
      </w:r>
      <w:r>
        <w:rPr>
          <w:rFonts w:hint="eastAsia" w:ascii="宋体" w:hAnsi="宋体" w:eastAsia="宋体" w:cs="宋体"/>
          <w:color w:val="auto"/>
          <w:szCs w:val="22"/>
          <w:highlight w:val="none"/>
        </w:rPr>
        <w:t>包含原建筑拆除，新建机房及附属用房土建、安装</w:t>
      </w:r>
      <w:r>
        <w:rPr>
          <w:rFonts w:hint="eastAsia" w:ascii="宋体" w:hAnsi="宋体" w:eastAsia="宋体" w:cs="宋体"/>
          <w:color w:val="auto"/>
          <w:szCs w:val="22"/>
          <w:highlight w:val="none"/>
          <w:lang w:eastAsia="zh-CN"/>
        </w:rPr>
        <w:t>、防护、</w:t>
      </w:r>
      <w:r>
        <w:rPr>
          <w:rFonts w:hint="eastAsia" w:ascii="宋体" w:hAnsi="宋体" w:eastAsia="宋体" w:cs="宋体"/>
          <w:color w:val="auto"/>
          <w:szCs w:val="22"/>
          <w:highlight w:val="none"/>
        </w:rPr>
        <w:t>装饰、</w:t>
      </w:r>
      <w:r>
        <w:rPr>
          <w:rFonts w:hint="eastAsia" w:ascii="宋体" w:hAnsi="宋体" w:eastAsia="宋体" w:cs="宋体"/>
          <w:color w:val="auto"/>
          <w:szCs w:val="22"/>
          <w:highlight w:val="none"/>
          <w:lang w:eastAsia="zh-CN"/>
        </w:rPr>
        <w:t>钢结构、</w:t>
      </w:r>
      <w:r>
        <w:rPr>
          <w:rFonts w:hint="eastAsia" w:ascii="宋体" w:hAnsi="宋体" w:eastAsia="宋体" w:cs="宋体"/>
          <w:color w:val="auto"/>
          <w:szCs w:val="22"/>
          <w:highlight w:val="none"/>
        </w:rPr>
        <w:t>强弱电、暖通</w:t>
      </w:r>
      <w:r>
        <w:rPr>
          <w:rFonts w:hint="eastAsia" w:ascii="宋体" w:hAnsi="宋体" w:eastAsia="宋体" w:cs="宋体"/>
          <w:color w:val="auto"/>
          <w:szCs w:val="22"/>
          <w:highlight w:val="none"/>
          <w:lang w:val="en-US" w:eastAsia="zh-CN"/>
        </w:rPr>
        <w:t>及电梯等附属设备</w:t>
      </w:r>
      <w:r>
        <w:rPr>
          <w:rFonts w:hint="eastAsia" w:ascii="宋体" w:hAnsi="宋体" w:eastAsia="宋体" w:cs="宋体"/>
          <w:color w:val="auto"/>
          <w:szCs w:val="22"/>
          <w:highlight w:val="none"/>
        </w:rPr>
        <w:t>等内容，具体内容见图纸</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图纸阴影部分不在本次采购范围中</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和工程量清单。</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4、本项目</w:t>
      </w:r>
      <w:r>
        <w:rPr>
          <w:rFonts w:hint="eastAsia" w:ascii="宋体" w:hAnsi="宋体" w:eastAsia="宋体" w:cs="宋体"/>
          <w:color w:val="auto"/>
          <w:sz w:val="21"/>
          <w:szCs w:val="21"/>
          <w:highlight w:val="none"/>
        </w:rPr>
        <w:t>已具备施工条件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为减少改造工程对医院正常医疗秩序的影响，</w:t>
      </w:r>
      <w:r>
        <w:rPr>
          <w:rFonts w:hint="eastAsia" w:ascii="宋体" w:hAnsi="宋体" w:eastAsia="宋体" w:cs="宋体"/>
          <w:color w:val="auto"/>
          <w:sz w:val="21"/>
          <w:szCs w:val="21"/>
          <w:highlight w:val="none"/>
          <w:lang w:val="en-US" w:eastAsia="zh-CN"/>
        </w:rPr>
        <w:t>需在项目施工场地周边安装施工围挡，围挡要求采用5cm厚防火夹芯彩钢板（绿色草皮印模），围挡总高度与建筑内吊顶面齐平，每3.6m设置1.2mm厚镀锌板柱与地面及底梁焊接安装，钢柱高于围挡10cm，具体参照《浙江省肿瘤医院基建项目规范化施工围挡制度》执行，并</w:t>
      </w:r>
      <w:r>
        <w:rPr>
          <w:rFonts w:hint="eastAsia" w:ascii="宋体" w:hAnsi="宋体" w:eastAsia="宋体" w:cs="宋体"/>
          <w:color w:val="auto"/>
          <w:sz w:val="21"/>
          <w:szCs w:val="21"/>
          <w:highlight w:val="none"/>
        </w:rPr>
        <w:t>需要按医院管理需要临时调整施工时间等，施工作业环境的种种不利因素，如夜间施工、垃圾装袋外运等等均需由供应商考虑，并将</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所需费用包含在磋商响应报价中。</w:t>
      </w:r>
    </w:p>
    <w:p>
      <w:pPr>
        <w:tabs>
          <w:tab w:val="left" w:pos="2310"/>
        </w:tabs>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本项目采购人不提供住宿，由供应商自行解决，相关费用包含在报价中。</w:t>
      </w:r>
    </w:p>
    <w:p>
      <w:pPr>
        <w:adjustRightInd w:val="0"/>
        <w:snapToGrid w:val="0"/>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相关要求：供应商须满足医院管理的要求、遵守医院的施工安全管理制度以及其他相关管理制度，服从院方的管理和协调，确保施工项目的安全、高效、顺利进行，满足医院的日常需求，防范消防等安全事件的发生。采购人的管理部门和使用科室有权对施工项目的组织和实施进行监督、检查，并提出整改要求，但此类监督检查并不解除供应商对施工项目应负的全部责任，如供应商不按要求整改或整改后仍不符合医院的规定，采购人可从工程进度款或履约保证金中酌情扣罚，情节严重的，可解除合同，给采购人造成的全部损失由供应商承担，并可拒绝该供应商继续参与医院其他项目的投标活动。</w:t>
      </w:r>
    </w:p>
    <w:p>
      <w:pPr>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7、本项目改造施工结束后，乙方应按照甲方指定的第三方有资质检测公司对项目进行检测辐射防护检测、钢结构检测、消防安全评估，报告作为竣工验收条件之一。</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按医院相关管理制度需要签订的承诺或协议将作为承包合同的附件，是承包医院项目须遵守的内容之一。</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以上与施工相关的管理要求所需要的费用包含在各综合单价、合价和磋商响应总报价中。</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二、总体要求</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1、工程质量要求:承包人必须严格按合同条款、施工验收规范、国家和省市的有关质量验收标准及磋商文件要求，精心组织施工，确保工程质量达到国家合格验收标准。</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2、履约能力：投标人具有</w:t>
      </w:r>
      <w:r>
        <w:rPr>
          <w:color w:val="auto"/>
          <w:highlight w:val="none"/>
        </w:rPr>
        <w:t>类似</w:t>
      </w:r>
      <w:r>
        <w:rPr>
          <w:rFonts w:hint="eastAsia"/>
          <w:color w:val="auto"/>
          <w:highlight w:val="none"/>
          <w:lang w:val="en-US" w:eastAsia="zh-CN"/>
        </w:rPr>
        <w:t>机房改造施工经验</w:t>
      </w:r>
      <w:r>
        <w:rPr>
          <w:rFonts w:hint="eastAsia" w:ascii="宋体" w:hAnsi="宋体" w:eastAsia="宋体" w:cs="宋体"/>
          <w:color w:val="auto"/>
          <w:szCs w:val="21"/>
          <w:highlight w:val="none"/>
        </w:rPr>
        <w:t>。</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3、投标人具有完善的质量管理体系</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环境体系认证、职业健康体系认证</w:t>
      </w:r>
      <w:r>
        <w:rPr>
          <w:rFonts w:hint="eastAsia" w:ascii="宋体" w:hAnsi="宋体" w:eastAsia="宋体" w:cs="宋体"/>
          <w:color w:val="auto"/>
          <w:szCs w:val="21"/>
          <w:highlight w:val="none"/>
        </w:rPr>
        <w:t>。</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4、根据本工程项目提供详细和切实可行的施工组织设计，同时本项目施工的特点和施工环境、医院特殊区域环境条件下组织施工方案、过好安全、文明施工及消防措施。</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5、根据政府和医院的规定，做好人员和进场材料以及设备防疫措施。</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6、本项目施工专业性强、进度要求高，针对本项目特点给采购人提供合理化建议和相关承诺。</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7、施工期间做好施工区域的围挡和告知工作，确保施工安全；施工期间不得影响病人休息及病房日常工作开展。</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8、施工前需经过院方确认后，方可开展施工。</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9、由于医院施工存在不确定性，若项目实施过程中遇到方案调整或施工方案变更，供应商须无条件服从院方安排，积极配合方案调整并开展项目后续工作。</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本次施工在医院住院病房中，成交供应商及施工人员必须服从医院施工管理，不得与病人和病人家属发生冲突</w:t>
      </w:r>
      <w:r>
        <w:rPr>
          <w:rFonts w:hint="eastAsia" w:ascii="宋体" w:hAnsi="宋体" w:eastAsia="宋体" w:cs="宋体"/>
          <w:color w:val="auto"/>
          <w:szCs w:val="21"/>
          <w:highlight w:val="none"/>
        </w:rPr>
        <w:t>。</w:t>
      </w:r>
    </w:p>
    <w:p>
      <w:pPr>
        <w:keepNext w:val="0"/>
        <w:keepLines w:val="0"/>
        <w:pageBreakBefore w:val="0"/>
        <w:widowControl w:val="0"/>
        <w:tabs>
          <w:tab w:val="left" w:pos="540"/>
          <w:tab w:val="left" w:pos="900"/>
        </w:tabs>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三、工程量清单编制依据</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1、施工图。</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2、《建设工程工程量清单计价规范》（GB50500-2018）、《房屋建筑与装饰工程工程量计算规范》（GB50854-2018）、《浙江省建设工程工程量清单计价指引》（2018版）。</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3、《浙江省建设工程计价规则（2018版）》和《浙江省建设工程施工费用定额》（2018版）</w:t>
      </w:r>
    </w:p>
    <w:p>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四、工期要求：</w:t>
      </w:r>
      <w:r>
        <w:rPr>
          <w:rFonts w:hint="eastAsia" w:ascii="宋体" w:hAnsi="宋体" w:eastAsia="宋体" w:cs="宋体"/>
          <w:b/>
          <w:color w:val="auto"/>
          <w:szCs w:val="21"/>
          <w:highlight w:val="none"/>
          <w:lang w:val="en-US" w:eastAsia="zh-CN"/>
        </w:rPr>
        <w:t>90</w:t>
      </w:r>
      <w:r>
        <w:rPr>
          <w:rFonts w:hint="eastAsia" w:ascii="宋体" w:hAnsi="宋体" w:eastAsia="宋体" w:cs="宋体"/>
          <w:b/>
          <w:color w:val="auto"/>
          <w:szCs w:val="21"/>
          <w:highlight w:val="none"/>
        </w:rPr>
        <w:t>日历天</w:t>
      </w:r>
      <w:r>
        <w:rPr>
          <w:rFonts w:hint="eastAsia" w:ascii="宋体" w:hAnsi="宋体" w:eastAsia="宋体" w:cs="宋体"/>
          <w:b/>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五、工程材料设备供应：</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承包范围内的施工材料均由承包人根据本磋商文件、响应文件、设计图纸和国家有关规定的具体要求进行采购、运输、检验、保管。所有施工材料设备须有产品合格证和质量保证书，符合国家规定的技术标准。如有必要须经采购人或采购人委托的具有相应资质的检测机构检测合格后才能使用。</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防辐射门的技术参数</w:t>
      </w:r>
      <w:r>
        <w:rPr>
          <w:rFonts w:hint="eastAsia" w:ascii="宋体" w:hAnsi="宋体" w:eastAsia="宋体" w:cs="宋体"/>
          <w:color w:val="auto"/>
          <w:szCs w:val="21"/>
          <w:highlight w:val="none"/>
          <w:lang w:val="en-US" w:eastAsia="zh-CN"/>
        </w:rPr>
        <w:t>必须符合防护要求</w:t>
      </w:r>
      <w:r>
        <w:rPr>
          <w:rFonts w:hint="eastAsia" w:ascii="宋体" w:hAnsi="宋体" w:eastAsia="宋体" w:cs="宋体"/>
          <w:color w:val="auto"/>
          <w:szCs w:val="21"/>
          <w:highlight w:val="none"/>
        </w:rPr>
        <w:t>，包括铅当量、材质、PLC控制系统、基本配置等，铅板</w:t>
      </w:r>
      <w:r>
        <w:rPr>
          <w:rFonts w:hint="eastAsia" w:ascii="宋体" w:hAnsi="宋体" w:eastAsia="宋体" w:cs="宋体"/>
          <w:color w:val="auto"/>
          <w:szCs w:val="21"/>
          <w:highlight w:val="none"/>
          <w:lang w:val="en-US" w:eastAsia="zh-CN"/>
        </w:rPr>
        <w:t>厚度及铅当量要求大于</w:t>
      </w:r>
      <w:r>
        <w:rPr>
          <w:rFonts w:hint="eastAsia" w:ascii="宋体" w:hAnsi="宋体" w:eastAsia="宋体" w:cs="宋体"/>
          <w:color w:val="auto"/>
          <w:szCs w:val="21"/>
          <w:highlight w:val="none"/>
        </w:rPr>
        <w:t>18mm；具有断电自开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防夹、并</w:t>
      </w:r>
      <w:r>
        <w:rPr>
          <w:rFonts w:hint="eastAsia" w:ascii="宋体" w:hAnsi="宋体" w:eastAsia="宋体" w:cs="宋体"/>
          <w:color w:val="auto"/>
          <w:szCs w:val="21"/>
          <w:highlight w:val="none"/>
        </w:rPr>
        <w:t>与设备</w:t>
      </w:r>
      <w:r>
        <w:rPr>
          <w:rFonts w:hint="eastAsia" w:ascii="宋体" w:hAnsi="宋体" w:eastAsia="宋体" w:cs="宋体"/>
          <w:color w:val="auto"/>
          <w:szCs w:val="21"/>
          <w:highlight w:val="none"/>
          <w:lang w:val="en-US" w:eastAsia="zh-CN"/>
        </w:rPr>
        <w:t>联锁</w:t>
      </w:r>
      <w:r>
        <w:rPr>
          <w:rFonts w:hint="eastAsia" w:ascii="宋体" w:hAnsi="宋体" w:eastAsia="宋体" w:cs="宋体"/>
          <w:color w:val="auto"/>
          <w:szCs w:val="21"/>
          <w:highlight w:val="none"/>
        </w:rPr>
        <w:t>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确保满足</w:t>
      </w:r>
      <w:r>
        <w:rPr>
          <w:rFonts w:hint="eastAsia" w:ascii="宋体" w:hAnsi="宋体" w:cs="华文中宋"/>
          <w:color w:val="auto"/>
          <w:szCs w:val="21"/>
          <w:highlight w:val="none"/>
          <w:u w:val="none"/>
          <w:lang w:val="en-US" w:eastAsia="zh-CN"/>
        </w:rPr>
        <w:t>职业病危害控制效果评价要求</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六、技术要求：</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1、工程技术规范：</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本工程项目的材料、设备、施工必须达到现行中华人民共和国及省、市、行业的一切有关法规、规范的要求，如标准及规范要求有出入则以较严格者为准。</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主要原材料、构配件必须按有关规定提供质量合格证，或进行检验合格后方可用于工程；</w:t>
      </w:r>
    </w:p>
    <w:p>
      <w:pPr>
        <w:pStyle w:val="12"/>
        <w:keepNext w:val="0"/>
        <w:keepLines w:val="0"/>
        <w:pageBreakBefore w:val="0"/>
        <w:widowControl w:val="0"/>
        <w:kinsoku/>
        <w:wordWrap/>
        <w:overflowPunct/>
        <w:topLinePunct w:val="0"/>
        <w:autoSpaceDE/>
        <w:autoSpaceDN/>
        <w:bidi w:val="0"/>
        <w:spacing w:after="0" w:afterLines="0"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2、工程管理要求：</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（1）本工程发包范围内的工程项目，未经采购人同意一律不得分包。一经发现立即取消承包资格，作违约处理，并承担由此引起的一切经济损失。</w:t>
      </w:r>
    </w:p>
    <w:p>
      <w:pPr>
        <w:pStyle w:val="19"/>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人应严格按已确认施工技术方案组织施工，并无条件地接受采购人对施工质量的监督和管理。施工过程中，施工方必须要严格把关，按照相应规范标准要求施工，如出现不符合标准要求的情况，施工方必须无条件返工，直至达到规范标准要求。所发生的费用均由施工方承担。</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（3）供应商在响应文件中的承诺的管理人员未经采购人同意，成交人不得调换和撤离，并按工程进度及时到位。</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3、项目现场管理要求</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1、现场人员服从采购人管理:</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1)磋商供应商承诺服从采购人现场管理人员的管理，避免与患者及其家属产生冲突。</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有权要求成交人撤换工作不负责任、管理不力、贻误工期和造成严重的安全事故和工程质量事故、违法乱纪的专业技术、管理人员，直至采购人满意为止。如相应资质的专业技术人员未按要求到位，视作违约，采购人有权单方面终止合同。</w:t>
      </w:r>
    </w:p>
    <w:p>
      <w:pPr>
        <w:pStyle w:val="19"/>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rPr>
        <w:t>成交供应商须服从医院管理人员管理，严格履行安全文明施工要求，最大程度减小对病患治疗休息的影响，确保施工现场噪声、飞尘等满足院方要求。</w:t>
      </w:r>
      <w:r>
        <w:rPr>
          <w:rFonts w:hint="eastAsia" w:ascii="宋体" w:hAnsi="宋体" w:eastAsia="宋体" w:cs="宋体"/>
          <w:color w:val="auto"/>
          <w:sz w:val="21"/>
          <w:szCs w:val="21"/>
          <w:highlight w:val="none"/>
        </w:rPr>
        <w:t>成交供应商在工程施工全过程中要认真做好产品保护。因失窃或失火造成的损失均由承包方负责，凡由此而损及采购人利益时，采购人将向成交供应商索赔。</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4）本项目施工现场采购人不提供食宿，施工期间，所有施工人员的食宿均由成交人自行安排。</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施工现场严禁吸烟。</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6）</w:t>
      </w:r>
      <w:r>
        <w:rPr>
          <w:rFonts w:hint="eastAsia" w:ascii="宋体" w:hAnsi="宋体" w:eastAsia="宋体" w:cs="宋体"/>
          <w:color w:val="auto"/>
          <w:szCs w:val="21"/>
          <w:highlight w:val="none"/>
        </w:rPr>
        <w:t>施工现场不提供材料、设备和建筑垃圾堆放场地，必须做到日到日清与日产日清。</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7）项目进场前必须与采购人保卫部门签订相关协议，严格按照相关规范执行安保工作。</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8）做好施工现场管理人员和施工人员的核酸检测和进场材料、设备和施工机械防疫措施。</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9）本项目</w:t>
      </w:r>
      <w:r>
        <w:rPr>
          <w:rFonts w:hint="eastAsia" w:ascii="宋体" w:hAnsi="宋体" w:eastAsia="宋体" w:cs="宋体"/>
          <w:color w:val="auto"/>
          <w:szCs w:val="21"/>
          <w:highlight w:val="none"/>
          <w:lang w:val="en-US" w:eastAsia="zh-CN"/>
        </w:rPr>
        <w:t>根据施工进度计划合理安排</w:t>
      </w:r>
      <w:r>
        <w:rPr>
          <w:rFonts w:hint="eastAsia" w:ascii="宋体" w:hAnsi="宋体" w:eastAsia="宋体" w:cs="宋体"/>
          <w:color w:val="auto"/>
          <w:szCs w:val="21"/>
          <w:highlight w:val="none"/>
        </w:rPr>
        <w:t>施工时间，夜间施工增加费用供应商在报价中综合考虑，采购人不另外支付。</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由于本项目位于医院内，施工期间必须保证正常的医疗秩序，甲方可能会根据医院实际运营的需要发暂停施工通知，乙方必须无条件遵守和执行，且不得以此为由要求增加工程费用。</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甲方院区内施工条件也存在特殊性，会存在不间断临时停工等现象，乙方需无条件服从，不得以此为由提出增加任何工程费用。</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、人员要求</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w:t>
      </w:r>
      <w:r>
        <w:rPr>
          <w:rFonts w:hint="eastAsia" w:ascii="宋体" w:hAnsi="宋体" w:eastAsia="宋体" w:cs="宋体"/>
          <w:b/>
          <w:bCs/>
          <w:color w:val="auto"/>
          <w:szCs w:val="21"/>
          <w:highlight w:val="none"/>
        </w:rPr>
        <w:t>拟派项目经理具有建筑工程贰级及以上建造师证书；且具有有效的三类人员B类证书。拟派安全专职管理人员具有施工现场安全生产专职管理人员“三类人员”C类证书；</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项目经理具有5年及以上担任项目</w:t>
      </w:r>
      <w:r>
        <w:rPr>
          <w:rFonts w:hint="eastAsia" w:ascii="宋体" w:hAnsi="宋体" w:eastAsia="宋体" w:cs="宋体"/>
          <w:color w:val="auto"/>
          <w:szCs w:val="21"/>
          <w:highlight w:val="none"/>
          <w:lang w:val="en-US" w:eastAsia="zh-CN"/>
        </w:rPr>
        <w:t>经理</w:t>
      </w:r>
      <w:r>
        <w:rPr>
          <w:rFonts w:hint="eastAsia" w:ascii="宋体" w:hAnsi="宋体" w:eastAsia="宋体" w:cs="宋体"/>
          <w:color w:val="auto"/>
          <w:szCs w:val="21"/>
          <w:highlight w:val="none"/>
        </w:rPr>
        <w:t>经验，明确项目经理工作内容和工作职责及施工期间</w:t>
      </w:r>
      <w:r>
        <w:rPr>
          <w:rFonts w:hint="eastAsia" w:ascii="宋体" w:hAnsi="宋体" w:eastAsia="宋体" w:cs="宋体"/>
          <w:color w:val="auto"/>
          <w:szCs w:val="21"/>
          <w:highlight w:val="none"/>
          <w:lang w:val="en-US" w:eastAsia="zh-CN"/>
        </w:rPr>
        <w:t>到岗</w:t>
      </w:r>
      <w:r>
        <w:rPr>
          <w:rFonts w:hint="eastAsia" w:ascii="宋体" w:hAnsi="宋体" w:eastAsia="宋体" w:cs="宋体"/>
          <w:color w:val="auto"/>
          <w:szCs w:val="21"/>
          <w:highlight w:val="none"/>
        </w:rPr>
        <w:t>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并签署现阶段没有担任其他建设工程项目耳朵项目经理的承诺书</w:t>
      </w:r>
      <w:r>
        <w:rPr>
          <w:rFonts w:hint="eastAsia" w:ascii="宋体" w:hAnsi="宋体" w:eastAsia="宋体" w:cs="宋体"/>
          <w:color w:val="auto"/>
          <w:szCs w:val="21"/>
          <w:highlight w:val="none"/>
        </w:rPr>
        <w:t>。</w:t>
      </w:r>
    </w:p>
    <w:p>
      <w:pPr>
        <w:pStyle w:val="19"/>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供应商应有详细的工程安全措施和安全组织及配备专职安全负责人的说明和承诺，以确保安全施工。</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根据项目要求合理安排实施管理人员，</w:t>
      </w:r>
      <w:r>
        <w:rPr>
          <w:rFonts w:hint="eastAsia" w:ascii="宋体" w:hAnsi="宋体" w:eastAsia="宋体" w:cs="宋体"/>
          <w:snapToGrid/>
          <w:color w:val="auto"/>
          <w:szCs w:val="21"/>
          <w:highlight w:val="none"/>
        </w:rPr>
        <w:t>包括技术人员人数、分工、专业技术能力、职称、经验。</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现场施工人员需要配置工种齐全、具有专业岗位证书和工作经历，保证项目顺利施工。</w:t>
      </w:r>
    </w:p>
    <w:p>
      <w:pPr>
        <w:bidi w:val="0"/>
        <w:rPr>
          <w:rFonts w:hint="eastAsia"/>
          <w:color w:val="auto"/>
          <w:highlight w:val="none"/>
        </w:rPr>
      </w:pP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lang w:val="en-US" w:eastAsia="zh-CN"/>
        </w:rPr>
        <w:t>6、该项目土建完成后，直线加速器设备完成招标后，再进行装修工程，期间会有停工等待期，供应商充分考虑人员和进度安排，在此期间产出的停工、窝工、材料堆放、二次驳运等相关费用综合考虑在磋商报价中，一旦中标不予调整。</w:t>
      </w:r>
    </w:p>
    <w:p>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七、保修要求：</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1、承包方施工完毕，并在工程竣工验收合格办理移交手续之日，在签订的工程质量保修书期限内，为发包方提供免费服务。</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2、保修期：</w:t>
      </w:r>
      <w:r>
        <w:rPr>
          <w:rFonts w:hint="eastAsia" w:ascii="宋体" w:hAnsi="宋体" w:eastAsia="宋体" w:cs="宋体"/>
          <w:bCs/>
          <w:color w:val="auto"/>
          <w:szCs w:val="21"/>
          <w:highlight w:val="none"/>
        </w:rPr>
        <w:t>按工程质量保修书规定执行</w:t>
      </w:r>
      <w:r>
        <w:rPr>
          <w:rFonts w:hint="eastAsia" w:ascii="宋体" w:hAnsi="宋体" w:eastAsia="宋体" w:cs="宋体"/>
          <w:color w:val="auto"/>
          <w:szCs w:val="21"/>
          <w:highlight w:val="none"/>
        </w:rPr>
        <w:t>，质量保证期为本项目验收合格后2年。</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3、中标后承包方应与发包人签订工程质量保修书，承包人在质量保修期内，按照有关法律、法规、规章的管理规定和双方约定，承担本工程质量保修责任。</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4、保修期间成交供应商服务响应时间、故障解决方案及备品备件情况储备情况。</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5、承包方要对其所提供的施工、材料、设备及其内在工程质量负全部责任。</w:t>
      </w:r>
    </w:p>
    <w:p>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八、报价说明：</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的的磋商报价采用固定单价的方式进行报价；磋商报价中应包括完成该工程的人工、机械、水电、劳务、管理、主材、辅材、运输、安装、保修、垃圾清运、措施（如临时措施、环境保护、成品保护等）、保险、利润、税金、政策性文件规定及合同包含的所有风险、责任等各项应有费用。供应商应根据竞争性磋商文件要求、采购人组织的现场踏勘实际情况、自身的综合实力，自由竞报磋商报价并承担相应的风险责任。工程总报价用人民币元表示。</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2、供应商须对竞争性磋商文件中要求的采购范围、提供的施工图纸及结合现场踏勘时采购人明确的工程全部内容进行报价。</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3、供应商必须结合现场踏勘、磋商文件、施工图纸、认真编制磋商报价书，若发生漏项、少计工程量将视为供应商把该项目包含在其他综合单价中。</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应按照上述要求编制完整的磋商报价，并根据本工程的特点结合自身的技术能力、管理水平和市场行情确定磋商报价，供应商在磋商报价中的价格均包括完成该工程项目的直接费、间接费、利润、税金、运杂费、保险费、装卸落地费、保管费、节假日加班费、仓储费、二次搬运费（搬运至各区域所发生的全部费用）、搬运人员食宿交通、钢结构检测</w:t>
      </w:r>
      <w:r>
        <w:rPr>
          <w:rFonts w:hint="eastAsia" w:hAnsi="宋体" w:eastAsia="宋体" w:cs="宋体"/>
          <w:color w:val="auto"/>
          <w:sz w:val="21"/>
          <w:szCs w:val="21"/>
          <w:highlight w:val="none"/>
          <w:lang w:eastAsia="zh-CN"/>
        </w:rPr>
        <w:t>、防辐射检测、消防安全评估</w:t>
      </w:r>
      <w:r>
        <w:rPr>
          <w:rFonts w:hint="eastAsia" w:ascii="宋体" w:hAnsi="宋体" w:eastAsia="宋体" w:cs="宋体"/>
          <w:color w:val="auto"/>
          <w:sz w:val="21"/>
          <w:szCs w:val="21"/>
          <w:highlight w:val="none"/>
        </w:rPr>
        <w:t>、专用工具费（若有）、因清运不当导致的行政处罚及完成本项目的可能涉及的所有费用以及地方或行业部门收取的相关费用等所有费用，所有的失误与遗漏均不得调整。其中农民工工伤保险、规费、税金等不可竞争性费用不得低于国家、浙江省、杭州市有关规定计取。危险作业意外伤害保险费用，请各报价单位自行考虑，包含在报价中。对没有填报的费用，采购人将不予支付，并认为此项费用已包含在磋商总价中。</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5、本项目暂列金100000元，最终报价不参与同比例下浮。</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本工程根据最终合同价同比例下浮后的价格结算方法（联系单同比例下浮</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暂列金不下浮</w:t>
      </w:r>
      <w:r>
        <w:rPr>
          <w:rFonts w:hint="eastAsia" w:ascii="宋体" w:hAnsi="宋体" w:eastAsia="宋体" w:cs="宋体"/>
          <w:color w:val="auto"/>
          <w:sz w:val="21"/>
          <w:szCs w:val="21"/>
          <w:highlight w:val="none"/>
        </w:rPr>
        <w:t>），最终以审计为准。采用固定综合单价结算方法，工程量按实结算，最终审定量按扣除暂列金后的下浮比例下浮，以审计结果为准。（详见招标文件和工程量清单）同时，乙方自愿承诺∶因项目建设过程中存在着诸多不确定性，若因政府部门要求或其他不可抗力因素导致项目终止，合同自然解约，双方不构成违约责任。项目实际已产生的工作量按实审计结算，但预备的材料费不包含在结算范围内。</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、其他：详见采购图纸、“合同专用条款”等所要求的内容</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（1）施工用水、电由采购人按实际价格从工程款中扣除。</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（2）供应商认为为完成本竞争性磋商文件规定的工程内容所需发生的一切其它费用均应计入总报价，凡未列入的，将被视为均已包含在磋商总报价中。</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九、付款方式</w:t>
      </w:r>
    </w:p>
    <w:p>
      <w:pPr>
        <w:snapToGrid w:val="0"/>
        <w:spacing w:line="360" w:lineRule="auto"/>
        <w:ind w:firstLine="420" w:firstLineChars="200"/>
        <w:rPr>
          <w:rFonts w:hint="eastAsia" w:ascii="宋体" w:hAnsi="宋体" w:cs="华文中宋"/>
          <w:color w:val="auto"/>
          <w:szCs w:val="21"/>
          <w:highlight w:val="none"/>
          <w:u w:val="none"/>
        </w:rPr>
      </w:pPr>
      <w:r>
        <w:rPr>
          <w:rFonts w:hint="eastAsia" w:ascii="宋体" w:hAnsi="宋体" w:cs="华文中宋"/>
          <w:color w:val="auto"/>
          <w:szCs w:val="21"/>
          <w:highlight w:val="none"/>
          <w:u w:val="none"/>
          <w:lang w:val="en-US" w:eastAsia="zh-CN"/>
        </w:rPr>
        <w:t>1、</w:t>
      </w:r>
      <w:r>
        <w:rPr>
          <w:rFonts w:hint="eastAsia" w:ascii="宋体" w:hAnsi="宋体" w:cs="华文中宋"/>
          <w:color w:val="auto"/>
          <w:szCs w:val="21"/>
          <w:highlight w:val="none"/>
          <w:u w:val="none"/>
        </w:rPr>
        <w:t>在合同签订后</w:t>
      </w:r>
      <w:r>
        <w:rPr>
          <w:rFonts w:hint="eastAsia" w:ascii="宋体" w:hAnsi="宋体" w:cs="华文中宋"/>
          <w:color w:val="auto"/>
          <w:szCs w:val="21"/>
          <w:highlight w:val="none"/>
          <w:u w:val="none"/>
          <w:lang w:val="en-US" w:eastAsia="zh-CN"/>
        </w:rPr>
        <w:t>10</w:t>
      </w:r>
      <w:r>
        <w:rPr>
          <w:rFonts w:hint="eastAsia" w:ascii="宋体" w:hAnsi="宋体" w:cs="华文中宋"/>
          <w:color w:val="auto"/>
          <w:szCs w:val="21"/>
          <w:highlight w:val="none"/>
          <w:u w:val="none"/>
        </w:rPr>
        <w:t>个工作日内，</w:t>
      </w:r>
      <w:r>
        <w:rPr>
          <w:rFonts w:hint="eastAsia" w:ascii="宋体" w:hAnsi="宋体" w:cs="华文中宋"/>
          <w:color w:val="auto"/>
          <w:szCs w:val="21"/>
          <w:highlight w:val="none"/>
          <w:u w:val="none"/>
          <w:lang w:val="en-US" w:eastAsia="zh-CN"/>
        </w:rPr>
        <w:t>成交供应商</w:t>
      </w:r>
      <w:r>
        <w:rPr>
          <w:rFonts w:hint="eastAsia" w:ascii="宋体" w:hAnsi="宋体" w:cs="华文中宋"/>
          <w:color w:val="auto"/>
          <w:szCs w:val="21"/>
          <w:highlight w:val="none"/>
          <w:u w:val="none"/>
        </w:rPr>
        <w:t>向</w:t>
      </w:r>
      <w:r>
        <w:rPr>
          <w:rFonts w:hint="eastAsia" w:ascii="宋体" w:hAnsi="宋体" w:cs="华文中宋"/>
          <w:color w:val="auto"/>
          <w:szCs w:val="21"/>
          <w:highlight w:val="none"/>
          <w:u w:val="none"/>
          <w:lang w:val="en-US" w:eastAsia="zh-CN"/>
        </w:rPr>
        <w:t>采购人</w:t>
      </w:r>
      <w:r>
        <w:rPr>
          <w:rFonts w:hint="eastAsia" w:ascii="宋体" w:hAnsi="宋体" w:cs="华文中宋"/>
          <w:color w:val="auto"/>
          <w:szCs w:val="21"/>
          <w:highlight w:val="none"/>
          <w:u w:val="none"/>
        </w:rPr>
        <w:t>支付成交价的</w:t>
      </w:r>
      <w:r>
        <w:rPr>
          <w:rFonts w:hint="eastAsia" w:ascii="宋体" w:hAnsi="宋体" w:cs="华文中宋"/>
          <w:color w:val="auto"/>
          <w:szCs w:val="21"/>
          <w:highlight w:val="none"/>
          <w:u w:val="none"/>
          <w:lang w:val="en-US" w:eastAsia="zh-CN"/>
        </w:rPr>
        <w:t>1</w:t>
      </w:r>
      <w:r>
        <w:rPr>
          <w:rFonts w:hint="eastAsia" w:ascii="宋体" w:hAnsi="宋体" w:cs="华文中宋"/>
          <w:color w:val="auto"/>
          <w:szCs w:val="21"/>
          <w:highlight w:val="none"/>
          <w:u w:val="none"/>
        </w:rPr>
        <w:t>％作为履约保证金。履约保证金待工程竣工验收合格并且</w:t>
      </w:r>
      <w:r>
        <w:rPr>
          <w:rFonts w:hint="eastAsia" w:ascii="宋体" w:hAnsi="宋体" w:cs="华文中宋"/>
          <w:color w:val="auto"/>
          <w:szCs w:val="21"/>
          <w:highlight w:val="none"/>
          <w:u w:val="none"/>
          <w:lang w:eastAsia="zh-CN"/>
        </w:rPr>
        <w:t>成交供应商</w:t>
      </w:r>
      <w:r>
        <w:rPr>
          <w:rFonts w:hint="eastAsia" w:ascii="宋体" w:hAnsi="宋体" w:cs="华文中宋"/>
          <w:color w:val="auto"/>
          <w:szCs w:val="21"/>
          <w:highlight w:val="none"/>
          <w:u w:val="none"/>
        </w:rPr>
        <w:t>已提交完整的竣工资料后，扣除合同违约责任罚款，予以退还。若无违约责任，则全部退还（不计息）。</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2、</w:t>
      </w:r>
      <w:r>
        <w:rPr>
          <w:rFonts w:hint="eastAsia" w:ascii="宋体" w:hAnsi="宋体" w:cs="华文中宋"/>
          <w:color w:val="auto"/>
          <w:szCs w:val="21"/>
          <w:highlight w:val="none"/>
          <w:u w:val="none"/>
        </w:rPr>
        <w:t>在合同签订后</w:t>
      </w:r>
      <w:r>
        <w:rPr>
          <w:rFonts w:hint="eastAsia" w:ascii="宋体" w:hAnsi="宋体" w:cs="华文中宋"/>
          <w:color w:val="auto"/>
          <w:szCs w:val="21"/>
          <w:highlight w:val="none"/>
          <w:u w:val="none"/>
          <w:lang w:val="en-US" w:eastAsia="zh-CN"/>
        </w:rPr>
        <w:t>10</w:t>
      </w:r>
      <w:r>
        <w:rPr>
          <w:rFonts w:hint="eastAsia" w:ascii="宋体" w:hAnsi="宋体" w:cs="华文中宋"/>
          <w:color w:val="auto"/>
          <w:szCs w:val="21"/>
          <w:highlight w:val="none"/>
          <w:u w:val="none"/>
        </w:rPr>
        <w:t>个工作日内</w:t>
      </w:r>
      <w:r>
        <w:rPr>
          <w:rFonts w:hint="eastAsia" w:ascii="宋体" w:hAnsi="宋体" w:cs="华文中宋"/>
          <w:color w:val="auto"/>
          <w:szCs w:val="21"/>
          <w:highlight w:val="none"/>
          <w:u w:val="none"/>
          <w:lang w:val="en-US" w:eastAsia="zh-CN"/>
        </w:rPr>
        <w:t>收到成交供应商正规发票后</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支付合同金额的40%作为预付款</w:t>
      </w:r>
      <w:r>
        <w:rPr>
          <w:rFonts w:hint="eastAsia" w:ascii="宋体" w:hAnsi="宋体" w:eastAsia="宋体" w:cs="宋体"/>
          <w:color w:val="auto"/>
          <w:szCs w:val="21"/>
          <w:highlight w:val="none"/>
          <w:u w:val="none"/>
          <w:lang w:eastAsia="zh-CN"/>
        </w:rPr>
        <w:t>。</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left"/>
        <w:textAlignment w:val="auto"/>
        <w:rPr>
          <w:rFonts w:hint="eastAsia" w:ascii="宋体" w:hAnsi="宋体" w:cs="华文中宋"/>
          <w:color w:val="auto"/>
          <w:szCs w:val="21"/>
          <w:highlight w:val="none"/>
          <w:u w:val="none"/>
        </w:rPr>
      </w:pPr>
      <w:r>
        <w:rPr>
          <w:rFonts w:hint="eastAsia" w:ascii="宋体" w:hAnsi="宋体" w:eastAsia="宋体" w:cs="宋体"/>
          <w:color w:val="auto"/>
          <w:szCs w:val="21"/>
          <w:highlight w:val="none"/>
          <w:u w:val="none"/>
          <w:lang w:val="en-US" w:eastAsia="zh-CN"/>
        </w:rPr>
        <w:t>3、</w:t>
      </w:r>
      <w:r>
        <w:rPr>
          <w:rFonts w:hint="eastAsia" w:ascii="宋体" w:hAnsi="宋体" w:eastAsia="宋体" w:cs="华文中宋"/>
          <w:color w:val="auto"/>
          <w:szCs w:val="21"/>
          <w:highlight w:val="none"/>
          <w:u w:val="none"/>
          <w:lang w:eastAsia="zh-CN"/>
        </w:rPr>
        <w:t>成交供应商</w:t>
      </w:r>
      <w:r>
        <w:rPr>
          <w:rFonts w:hint="eastAsia" w:ascii="宋体" w:hAnsi="宋体" w:cs="华文中宋"/>
          <w:color w:val="auto"/>
          <w:szCs w:val="21"/>
          <w:highlight w:val="none"/>
          <w:u w:val="none"/>
        </w:rPr>
        <w:t>完成工程造价的70%时，经</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签证后，</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向</w:t>
      </w:r>
      <w:r>
        <w:rPr>
          <w:rFonts w:hint="eastAsia" w:ascii="宋体" w:hAnsi="宋体" w:cs="华文中宋"/>
          <w:color w:val="auto"/>
          <w:szCs w:val="21"/>
          <w:highlight w:val="none"/>
          <w:u w:val="none"/>
          <w:lang w:eastAsia="zh-CN"/>
        </w:rPr>
        <w:t>成交供应商</w:t>
      </w:r>
      <w:r>
        <w:rPr>
          <w:rFonts w:hint="eastAsia" w:ascii="宋体" w:hAnsi="宋体" w:cs="华文中宋"/>
          <w:color w:val="auto"/>
          <w:szCs w:val="21"/>
          <w:highlight w:val="none"/>
          <w:u w:val="none"/>
        </w:rPr>
        <w:t>支付至合同总价（扣除暂列金）的50%（本次付款将预付款抵扣完成），具体根据</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财务制度为准。</w:t>
      </w:r>
    </w:p>
    <w:p>
      <w:pPr>
        <w:snapToGrid w:val="0"/>
        <w:spacing w:line="360" w:lineRule="auto"/>
        <w:ind w:firstLine="420" w:firstLineChars="200"/>
        <w:rPr>
          <w:rFonts w:hint="eastAsia" w:ascii="宋体" w:hAnsi="宋体" w:cs="华文中宋"/>
          <w:color w:val="auto"/>
          <w:szCs w:val="21"/>
          <w:highlight w:val="none"/>
          <w:u w:val="none"/>
        </w:rPr>
      </w:pPr>
      <w:r>
        <w:rPr>
          <w:rFonts w:hint="eastAsia" w:ascii="宋体" w:hAnsi="宋体" w:eastAsia="宋体" w:cs="华文中宋"/>
          <w:color w:val="auto"/>
          <w:szCs w:val="21"/>
          <w:highlight w:val="none"/>
          <w:u w:val="none"/>
          <w:lang w:val="en-US" w:eastAsia="zh-CN"/>
        </w:rPr>
        <w:t>4、待</w:t>
      </w:r>
      <w:r>
        <w:rPr>
          <w:rFonts w:hint="eastAsia" w:ascii="宋体" w:hAnsi="宋体" w:eastAsia="宋体" w:cs="宋体"/>
          <w:color w:val="auto"/>
          <w:szCs w:val="21"/>
          <w:highlight w:val="none"/>
          <w:u w:val="none"/>
        </w:rPr>
        <w:t>竣工验收合格后</w:t>
      </w:r>
      <w:r>
        <w:rPr>
          <w:rFonts w:hint="eastAsia" w:ascii="宋体" w:hAnsi="宋体" w:eastAsia="宋体" w:cs="宋体"/>
          <w:color w:val="auto"/>
          <w:szCs w:val="21"/>
          <w:highlight w:val="none"/>
          <w:u w:val="none"/>
          <w:lang w:eastAsia="zh-CN"/>
        </w:rPr>
        <w:t>，</w:t>
      </w:r>
      <w:r>
        <w:rPr>
          <w:rFonts w:hint="eastAsia" w:ascii="宋体" w:hAnsi="宋体" w:cs="华文中宋"/>
          <w:color w:val="auto"/>
          <w:szCs w:val="21"/>
          <w:highlight w:val="none"/>
          <w:u w:val="none"/>
        </w:rPr>
        <w:t>经</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签证后，</w:t>
      </w:r>
      <w:r>
        <w:rPr>
          <w:rFonts w:hint="eastAsia" w:ascii="宋体" w:hAnsi="宋体" w:eastAsia="宋体" w:cs="宋体"/>
          <w:color w:val="auto"/>
          <w:szCs w:val="21"/>
          <w:highlight w:val="none"/>
          <w:u w:val="none"/>
        </w:rPr>
        <w:t>支付</w:t>
      </w:r>
      <w:r>
        <w:rPr>
          <w:rFonts w:hint="eastAsia" w:ascii="宋体" w:hAnsi="宋体" w:eastAsia="宋体" w:cs="宋体"/>
          <w:color w:val="auto"/>
          <w:szCs w:val="21"/>
          <w:highlight w:val="none"/>
          <w:u w:val="none"/>
          <w:lang w:eastAsia="zh-CN"/>
        </w:rPr>
        <w:t>至</w:t>
      </w:r>
      <w:r>
        <w:rPr>
          <w:rFonts w:hint="eastAsia" w:ascii="宋体" w:hAnsi="宋体" w:eastAsia="宋体" w:cs="宋体"/>
          <w:color w:val="auto"/>
          <w:szCs w:val="21"/>
          <w:highlight w:val="none"/>
          <w:u w:val="none"/>
        </w:rPr>
        <w:t>合同总价的8</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w:t>
      </w:r>
      <w:r>
        <w:rPr>
          <w:rFonts w:hint="eastAsia" w:ascii="宋体" w:hAnsi="宋体" w:cs="华文中宋"/>
          <w:color w:val="auto"/>
          <w:szCs w:val="21"/>
          <w:highlight w:val="none"/>
          <w:u w:val="none"/>
        </w:rPr>
        <w:t>同时核实合同履约情况，结算履约保证金（无息，并扣除违约处罚款），具体以</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财务制度为准。</w:t>
      </w:r>
    </w:p>
    <w:p>
      <w:pPr>
        <w:snapToGrid w:val="0"/>
        <w:spacing w:line="360" w:lineRule="auto"/>
        <w:ind w:firstLine="420" w:firstLineChars="200"/>
        <w:rPr>
          <w:rFonts w:hint="eastAsia" w:ascii="宋体" w:hAnsi="宋体" w:cs="华文中宋"/>
          <w:color w:val="auto"/>
          <w:szCs w:val="21"/>
          <w:highlight w:val="none"/>
          <w:u w:val="none"/>
        </w:rPr>
      </w:pPr>
      <w:r>
        <w:rPr>
          <w:rFonts w:hint="eastAsia" w:ascii="宋体" w:hAnsi="宋体" w:eastAsia="宋体" w:cs="宋体"/>
          <w:color w:val="auto"/>
          <w:szCs w:val="21"/>
          <w:highlight w:val="none"/>
          <w:u w:val="none"/>
          <w:lang w:val="en-US" w:eastAsia="zh-CN"/>
        </w:rPr>
        <w:t>5、</w:t>
      </w:r>
      <w:r>
        <w:rPr>
          <w:rFonts w:hint="eastAsia" w:ascii="宋体" w:hAnsi="宋体" w:cs="华文中宋"/>
          <w:color w:val="auto"/>
          <w:szCs w:val="21"/>
          <w:highlight w:val="none"/>
          <w:u w:val="none"/>
        </w:rPr>
        <w:t>项目委托第三方进行审计，审价结果经</w:t>
      </w:r>
      <w:r>
        <w:rPr>
          <w:rFonts w:hint="eastAsia" w:ascii="宋体" w:hAnsi="宋体" w:cs="华文中宋"/>
          <w:color w:val="auto"/>
          <w:szCs w:val="21"/>
          <w:highlight w:val="none"/>
          <w:u w:val="none"/>
          <w:lang w:eastAsia="zh-CN"/>
        </w:rPr>
        <w:t>成交供应商</w:t>
      </w:r>
      <w:r>
        <w:rPr>
          <w:rFonts w:hint="eastAsia" w:ascii="宋体" w:hAnsi="宋体" w:cs="华文中宋"/>
          <w:color w:val="auto"/>
          <w:szCs w:val="21"/>
          <w:highlight w:val="none"/>
          <w:u w:val="none"/>
        </w:rPr>
        <w:t>确认签字，</w:t>
      </w:r>
      <w:r>
        <w:rPr>
          <w:rFonts w:hint="eastAsia" w:ascii="宋体" w:hAnsi="宋体" w:cs="华文中宋"/>
          <w:color w:val="auto"/>
          <w:szCs w:val="21"/>
          <w:highlight w:val="none"/>
          <w:u w:val="none"/>
          <w:lang w:val="en-US" w:eastAsia="zh-CN"/>
        </w:rPr>
        <w:t>且本建设项目职业病危害控制效果评价技术报告获得批复后，</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根据审计核定价</w:t>
      </w:r>
      <w:r>
        <w:rPr>
          <w:rFonts w:hint="eastAsia" w:ascii="宋体" w:hAnsi="宋体" w:eastAsia="宋体" w:cs="宋体"/>
          <w:color w:val="auto"/>
          <w:szCs w:val="21"/>
          <w:highlight w:val="none"/>
          <w:u w:val="none"/>
        </w:rPr>
        <w:t>支付至审计价的</w:t>
      </w:r>
      <w:r>
        <w:rPr>
          <w:rFonts w:hint="eastAsia" w:ascii="宋体" w:hAnsi="宋体" w:eastAsia="宋体" w:cs="宋体"/>
          <w:color w:val="auto"/>
          <w:szCs w:val="21"/>
          <w:highlight w:val="none"/>
          <w:u w:val="none"/>
          <w:lang w:val="en-US" w:eastAsia="zh-CN"/>
        </w:rPr>
        <w:t>98.5</w:t>
      </w:r>
      <w:r>
        <w:rPr>
          <w:rFonts w:hint="eastAsia" w:ascii="宋体" w:hAnsi="宋体" w:eastAsia="宋体" w:cs="宋体"/>
          <w:color w:val="auto"/>
          <w:szCs w:val="21"/>
          <w:highlight w:val="none"/>
          <w:u w:val="none"/>
        </w:rPr>
        <w:t>%，</w:t>
      </w:r>
      <w:r>
        <w:rPr>
          <w:rFonts w:hint="eastAsia" w:ascii="宋体" w:hAnsi="宋体" w:cs="华文中宋"/>
          <w:color w:val="auto"/>
          <w:szCs w:val="21"/>
          <w:highlight w:val="none"/>
          <w:u w:val="none"/>
        </w:rPr>
        <w:t>扣留审计审定总价的</w:t>
      </w:r>
      <w:r>
        <w:rPr>
          <w:rFonts w:ascii="宋体" w:hAnsi="宋体" w:cs="华文中宋"/>
          <w:color w:val="auto"/>
          <w:szCs w:val="21"/>
          <w:highlight w:val="none"/>
          <w:u w:val="none"/>
        </w:rPr>
        <w:t>1</w:t>
      </w:r>
      <w:r>
        <w:rPr>
          <w:rFonts w:hint="eastAsia" w:ascii="宋体" w:hAnsi="宋体" w:cs="华文中宋"/>
          <w:color w:val="auto"/>
          <w:szCs w:val="21"/>
          <w:highlight w:val="none"/>
          <w:u w:val="none"/>
        </w:rPr>
        <w:t>.5%质量保证金后，付清余款</w:t>
      </w:r>
      <w:r>
        <w:rPr>
          <w:rFonts w:hint="eastAsia" w:ascii="宋体" w:hAnsi="宋体" w:cs="华文中宋"/>
          <w:color w:val="auto"/>
          <w:szCs w:val="21"/>
          <w:highlight w:val="none"/>
          <w:u w:val="none"/>
          <w:lang w:eastAsia="zh-CN"/>
        </w:rPr>
        <w:t>。</w:t>
      </w:r>
      <w:r>
        <w:rPr>
          <w:rFonts w:hint="eastAsia" w:ascii="宋体" w:hAnsi="宋体" w:cs="华文中宋"/>
          <w:color w:val="auto"/>
          <w:szCs w:val="21"/>
          <w:highlight w:val="none"/>
          <w:u w:val="none"/>
        </w:rPr>
        <w:t>施工水电费按照审计审定总价的7‰在审计时扣除。</w:t>
      </w:r>
    </w:p>
    <w:p>
      <w:pPr>
        <w:snapToGrid w:val="0"/>
        <w:spacing w:line="360" w:lineRule="auto"/>
        <w:ind w:firstLine="420" w:firstLineChars="200"/>
        <w:rPr>
          <w:rFonts w:hint="eastAsia" w:ascii="宋体" w:hAnsi="宋体" w:cs="华文中宋"/>
          <w:color w:val="auto"/>
          <w:szCs w:val="21"/>
          <w:highlight w:val="none"/>
          <w:u w:val="none"/>
        </w:rPr>
      </w:pPr>
      <w:r>
        <w:rPr>
          <w:rFonts w:hint="eastAsia" w:ascii="宋体" w:hAnsi="宋体" w:cs="华文中宋"/>
          <w:color w:val="auto"/>
          <w:szCs w:val="21"/>
          <w:highlight w:val="none"/>
          <w:u w:val="none"/>
          <w:lang w:val="en-US" w:eastAsia="zh-CN"/>
        </w:rPr>
        <w:t>6、</w:t>
      </w:r>
      <w:r>
        <w:rPr>
          <w:rFonts w:hint="eastAsia" w:ascii="宋体" w:hAnsi="宋体" w:cs="华文中宋"/>
          <w:color w:val="auto"/>
          <w:szCs w:val="21"/>
          <w:highlight w:val="none"/>
          <w:u w:val="none"/>
        </w:rPr>
        <w:t>缺陷责任期满（缺陷责任期为贰年，从竣工验收合格之日算起），</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经再次验收，发现无质量问题，或有问题得到解决后，无息退还</w:t>
      </w:r>
      <w:r>
        <w:rPr>
          <w:rFonts w:hint="eastAsia" w:ascii="宋体" w:hAnsi="宋体" w:cs="华文中宋"/>
          <w:color w:val="auto"/>
          <w:szCs w:val="21"/>
          <w:highlight w:val="none"/>
          <w:u w:val="none"/>
          <w:lang w:eastAsia="zh-CN"/>
        </w:rPr>
        <w:t>成交供应商</w:t>
      </w:r>
      <w:r>
        <w:rPr>
          <w:rFonts w:hint="eastAsia" w:ascii="宋体" w:hAnsi="宋体" w:cs="华文中宋"/>
          <w:color w:val="auto"/>
          <w:szCs w:val="21"/>
          <w:highlight w:val="none"/>
          <w:u w:val="none"/>
        </w:rPr>
        <w:t>质量保证金。质保金在缺陷责任期满后结清，不计息，具体根据</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财务制度为准。</w:t>
      </w:r>
    </w:p>
    <w:p>
      <w:pPr>
        <w:keepNext w:val="0"/>
        <w:keepLines w:val="0"/>
        <w:pageBreakBefore w:val="0"/>
        <w:widowControl w:val="0"/>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十、主要材料品牌推荐</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本次主要材料推荐品牌见下表，投标人选定生产厂或品牌【必须填报，且只能填一个（选择“同档次及以上”的，应写明所选的生产厂或品牌）】</w:t>
      </w:r>
    </w:p>
    <w:tbl>
      <w:tblPr>
        <w:tblStyle w:val="33"/>
        <w:tblW w:w="9057"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6"/>
        <w:gridCol w:w="1512"/>
        <w:gridCol w:w="4514"/>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序号</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材料名称</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推荐生产厂或品牌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水泥</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 xml:space="preserve">尖峰、三狮、海螺或同档次及以上品牌 </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钢材</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沙钢（江苏张家港）、马钢（安徽马鞍山）、宝钢（上海）、中天或同档次及以上品牌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3</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滑轨</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沙钢（江苏张家港）、马钢（安徽马鞍山）、宝钢（上海）、中天或同档次及以上品牌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4</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玻璃幕墙</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上海耀皮、深圳南玻、福耀、昆山台玻或同档次及以上品牌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5</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防辐射门</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杭州卫康辐射防护工程有限公司、杭州科安辐射防护工程有限公司、宁波恒盾医用工程有限公司或同档次及以上的品牌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18mm铅板；具有断电自开功能，与设备联动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6</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五金（颌页、门吸）</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汇泰龙、坚朗、BM 或同档次及以上的品牌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7</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G**抗菌板吊顶</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深圳华宇、贵州鑫鸿泰、浙江傲邦或同档次以上品牌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8</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细木工板</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兔宝宝、千年舟、莫干山或同档次及以上的品牌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产品等级E1级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6" w:type="dxa"/>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9</w:t>
            </w:r>
          </w:p>
        </w:tc>
        <w:tc>
          <w:tcPr>
            <w:tcW w:w="1512"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硅瓷板</w:t>
            </w:r>
          </w:p>
        </w:tc>
        <w:tc>
          <w:tcPr>
            <w:tcW w:w="4514"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浙江环博、板匠、博翼瓷或同档次以上品牌</w:t>
            </w:r>
          </w:p>
        </w:tc>
        <w:tc>
          <w:tcPr>
            <w:tcW w:w="1975"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10</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地砖</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斯米克、东鹏、诺贝尔或同档次及以上品牌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11</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石材</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环球、康利、万里石或同档次及以上的品牌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12</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防水卷材</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德高、东方雨虹、汉高或同档次及以上品牌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13</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同质透心卷材</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欧德、罗比、谷诺（GREENFLOR）、LMG莱姆格或同档次及以上品牌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厚度按设计图纸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14</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外墙真石漆</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美涂士 三棵树 红苹果或同档次及以上品牌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15</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无机涂料</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多乐士、华润、立邦或同档次及以上品牌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16</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石英纤维板</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森旺、帝龙、威盛亚 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17</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不锈钢管</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道成、共同、金羊或同档次及以上品牌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18</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UPVC塑料管</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亿通、中财、伟星或同档次及以上的品牌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19</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镀锌钢管</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浙江金洲、上海劳动、天津利达或同档次及以上品牌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20</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消火栓</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奋力、发达、国泰或同档次及以上的品牌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21</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抗菌双面彩钢板全封闭复合风管</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福建闽天利、浙江澳利斯、浙江长城或同档次及以上的品牌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22</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配电箱</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配电箱元器件：西门子、施耐德 、ABB或同档次及以上的品牌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23</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开关面板</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鸿雁C系列、TCL、日兰或同档次及以上的品牌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24</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灯具（含光源）</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欧司朗、三雄极光、阳光或同档次及以上的品牌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25</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电线、电缆</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浙江万马、浙江元通、永通或同档次及以上的品牌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26</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电线管</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湖洲金洲、天津华岐、余姚增洲或同档次及以上</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27</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桥架</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浙江盛杰、浙江运大、华鹏或同档次及以上的品牌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28</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空调系统末端（风机盘管和新风机）</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特灵、约克、开利或同档次及以上品牌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29</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保温材料</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广东阿乐斯( ( 福乐斯) ) 、江苏赢胜 、</w:t>
            </w:r>
          </w:p>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湖北杜肯或同档次及以上品牌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30</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空气净化消毒装置</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汉郎、远大、欧郎德斯或同档次及以上</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31</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电梯</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奥的斯机电的 2 Gen2 系列 、</w:t>
            </w:r>
          </w:p>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三菱（I MITSUBISHI ELEVATOR) 的</w:t>
            </w:r>
          </w:p>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Z MAXIEZ-LZ 系列、日立的 A LCA 系列或同档次及以上品牌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32</w:t>
            </w:r>
          </w:p>
        </w:tc>
        <w:tc>
          <w:tcPr>
            <w:tcW w:w="1512" w:type="dxa"/>
            <w:noWrap w:val="0"/>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空调</w:t>
            </w:r>
          </w:p>
        </w:tc>
        <w:tc>
          <w:tcPr>
            <w:tcW w:w="4514"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r>
              <w:rPr>
                <w:rFonts w:hint="eastAsia" w:ascii="宋体" w:hAnsi="宋体" w:eastAsia="宋体" w:cs="宋体"/>
                <w:i w:val="0"/>
                <w:snapToGrid w:val="0"/>
                <w:color w:val="auto"/>
                <w:kern w:val="0"/>
                <w:sz w:val="18"/>
                <w:szCs w:val="18"/>
                <w:highlight w:val="none"/>
                <w:u w:val="none"/>
                <w:lang w:val="en-US" w:eastAsia="zh-CN" w:bidi="ar"/>
              </w:rPr>
              <w:t>约克、特灵、开利或同档次及以上品牌</w:t>
            </w:r>
          </w:p>
        </w:tc>
        <w:tc>
          <w:tcPr>
            <w:tcW w:w="1975" w:type="dxa"/>
            <w:noWrap w:val="0"/>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tc>
      </w:tr>
    </w:tbl>
    <w:p>
      <w:pPr>
        <w:keepNext w:val="0"/>
        <w:keepLines w:val="0"/>
        <w:widowControl/>
        <w:suppressLineNumbers w:val="0"/>
        <w:jc w:val="center"/>
        <w:textAlignment w:val="center"/>
        <w:rPr>
          <w:rFonts w:hint="eastAsia" w:ascii="宋体" w:hAnsi="宋体" w:eastAsia="宋体" w:cs="宋体"/>
          <w:i w:val="0"/>
          <w:snapToGrid w:val="0"/>
          <w:color w:val="auto"/>
          <w:kern w:val="0"/>
          <w:sz w:val="18"/>
          <w:szCs w:val="18"/>
          <w:highlight w:val="none"/>
          <w:u w:val="none"/>
          <w:lang w:val="en-US" w:eastAsia="zh-CN" w:bidi="ar"/>
        </w:rPr>
      </w:pPr>
    </w:p>
    <w:p>
      <w:pPr>
        <w:spacing w:line="360" w:lineRule="auto"/>
        <w:ind w:firstLine="420" w:firstLineChars="200"/>
        <w:jc w:val="left"/>
        <w:rPr>
          <w:rFonts w:hint="eastAsia" w:ascii="宋体" w:hAnsi="宋体" w:cs="宋体"/>
          <w:bCs/>
          <w:color w:val="auto"/>
          <w:szCs w:val="21"/>
          <w:highlight w:val="none"/>
        </w:rPr>
        <w:sectPr>
          <w:headerReference r:id="rId4" w:type="first"/>
          <w:footerReference r:id="rId6" w:type="first"/>
          <w:headerReference r:id="rId3" w:type="default"/>
          <w:footerReference r:id="rId5" w:type="default"/>
          <w:pgSz w:w="11906" w:h="16838"/>
          <w:pgMar w:top="1418" w:right="1555" w:bottom="1418" w:left="1531" w:header="851" w:footer="992" w:gutter="0"/>
          <w:cols w:space="720" w:num="1"/>
          <w:titlePg/>
          <w:docGrid w:type="lines" w:linePitch="312" w:charSpace="0"/>
        </w:sectPr>
      </w:pPr>
    </w:p>
    <w:p>
      <w:pPr>
        <w:spacing w:line="360" w:lineRule="auto"/>
        <w:ind w:firstLine="643" w:firstLineChars="200"/>
        <w:jc w:val="center"/>
        <w:rPr>
          <w:rFonts w:hint="eastAsia" w:ascii="宋体" w:hAnsi="宋体" w:cs="宋体"/>
          <w:color w:val="auto"/>
          <w:sz w:val="32"/>
          <w:highlight w:val="none"/>
        </w:rPr>
      </w:pPr>
      <w:bookmarkStart w:id="47" w:name="_Toc472544484"/>
      <w:r>
        <w:rPr>
          <w:rFonts w:hint="eastAsia" w:ascii="宋体" w:hAnsi="宋体" w:cs="宋体"/>
          <w:b/>
          <w:snapToGrid/>
          <w:color w:val="auto"/>
          <w:kern w:val="44"/>
          <w:sz w:val="32"/>
          <w:highlight w:val="none"/>
        </w:rPr>
        <w:t>第四部分 合同主要条款</w:t>
      </w:r>
      <w:bookmarkEnd w:id="47"/>
    </w:p>
    <w:p>
      <w:pPr>
        <w:adjustRightInd w:val="0"/>
        <w:snapToGrid w:val="0"/>
        <w:spacing w:line="360" w:lineRule="auto"/>
        <w:ind w:firstLine="420" w:firstLineChars="200"/>
        <w:jc w:val="left"/>
        <w:rPr>
          <w:rFonts w:hint="eastAsia" w:ascii="宋体" w:hAnsi="宋体" w:cs="宋体"/>
          <w:color w:val="auto"/>
          <w:szCs w:val="21"/>
          <w:highlight w:val="none"/>
        </w:rPr>
      </w:pPr>
      <w:bookmarkStart w:id="48" w:name="_GoBack"/>
      <w:bookmarkEnd w:id="48"/>
    </w:p>
    <w:p>
      <w:pPr>
        <w:snapToGrid w:val="0"/>
        <w:spacing w:line="360" w:lineRule="auto"/>
        <w:rPr>
          <w:rFonts w:hint="eastAsia" w:ascii="宋体" w:hAnsi="宋体" w:cs="宋体"/>
          <w:b/>
          <w:bCs/>
          <w:color w:val="auto"/>
          <w:szCs w:val="21"/>
          <w:highlight w:val="none"/>
        </w:rPr>
      </w:pPr>
      <w:bookmarkStart w:id="49" w:name="_Hlk44315687"/>
      <w:r>
        <w:rPr>
          <w:rFonts w:hint="eastAsia" w:ascii="宋体" w:hAnsi="宋体" w:cs="宋体"/>
          <w:b/>
          <w:bCs/>
          <w:color w:val="auto"/>
          <w:szCs w:val="21"/>
          <w:highlight w:val="none"/>
        </w:rPr>
        <w:t>建设单位：</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（以下简称甲方）</w:t>
      </w:r>
    </w:p>
    <w:p>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施工单位：</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（以下简称乙方）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  年  月  日“浙江省肿瘤医院</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改造项目”竞争性磋商结果和竞争性磋商文件的要求，并依照《中华人民共和国民法典》等有关法律、行政法规的规定，同时在平等、公平、诚实和信用的原则下，双方就本建设工程相关内容协商一致，订立本合同。</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合同文件组成及解释顺序：</w:t>
      </w:r>
      <w:r>
        <w:rPr>
          <w:rFonts w:hint="eastAsia" w:ascii="宋体" w:hAnsi="宋体" w:cs="宋体"/>
          <w:color w:val="auto"/>
          <w:szCs w:val="21"/>
          <w:highlight w:val="none"/>
          <w:u w:val="single"/>
        </w:rPr>
        <w:t>（1）本合同协议书（2）成交通知书（3）本合同专用条款（4）竞争性磋商文件及附件（甲方）（5）竞争性磋商响应文件及附件（乙方）（6）本合同通用条款（7）技术标准及规范等。</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一、工程概况</w:t>
      </w:r>
    </w:p>
    <w:p>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项目地址：</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杭州市拱墅区半山东路1号</w:t>
      </w:r>
    </w:p>
    <w:p>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浙江省肿瘤医院                              改造项目</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二、合同范围</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1、采购文件和响应文件中确定的施工方案及工程量清单。</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总价中包含工程材料和设备费、工程施工费、设备安装调试费、包装运输费、装卸起吊费、工程设计费、人工费及税金。工程项目中涉及到的选材选样、色系款式选择需经甲方确认方能使用，乙方提供样板，费用已包含在合同总价内。</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3、本工程为改造工程，具体内容见采购文件、响应文件和工程量清单，包括但不限于以下内容：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（1）设备材料采购和施工准备；</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（2）土建施工、安装施工、装饰施工、景观复原等；</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（3）供货和施工、验收过程的档案资料整理移交；</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（4）保修期内的免费维修工作。</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4、工程实施过程，甲方保留局部调整和变更工程内容的权力。</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5、由于医院施工存在不确定性，若项目实施过程中遇到设计方案调整或施工方案变更，乙方须无条件服从甲方安排，积极配合方案调整并开展项目后续工作。</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6、其它响应文件中承诺的条款。</w:t>
      </w:r>
    </w:p>
    <w:p>
      <w:pPr>
        <w:numPr>
          <w:ilvl w:val="0"/>
          <w:numId w:val="5"/>
        </w:num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合同价款</w:t>
      </w:r>
    </w:p>
    <w:p>
      <w:pPr>
        <w:snapToGrid w:val="0"/>
        <w:spacing w:line="360" w:lineRule="auto"/>
        <w:ind w:firstLine="422" w:firstLineChars="200"/>
        <w:rPr>
          <w:rFonts w:hint="eastAsia" w:ascii="宋体" w:hAnsi="宋体" w:cs="宋体"/>
          <w:bCs/>
          <w:color w:val="auto"/>
          <w:szCs w:val="21"/>
          <w:highlight w:val="none"/>
          <w:u w:val="single"/>
        </w:rPr>
      </w:pPr>
      <w:r>
        <w:rPr>
          <w:rFonts w:hint="eastAsia" w:ascii="宋体" w:hAnsi="宋体" w:cs="宋体"/>
          <w:b/>
          <w:color w:val="auto"/>
          <w:szCs w:val="21"/>
          <w:highlight w:val="none"/>
        </w:rPr>
        <w:t>合同总价：人民币</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b/>
          <w:color w:val="auto"/>
          <w:szCs w:val="21"/>
          <w:highlight w:val="none"/>
        </w:rPr>
        <w:t>（大写）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bCs/>
          <w:color w:val="auto"/>
          <w:szCs w:val="21"/>
          <w:highlight w:val="none"/>
          <w:u w:val="single"/>
          <w:lang w:val="en-US" w:eastAsia="zh-CN"/>
        </w:rPr>
        <w:t>本项目</w:t>
      </w:r>
      <w:r>
        <w:rPr>
          <w:rFonts w:hint="eastAsia" w:ascii="宋体" w:hAnsi="宋体" w:cs="宋体"/>
          <w:b/>
          <w:bCs/>
          <w:color w:val="auto"/>
          <w:szCs w:val="21"/>
          <w:highlight w:val="none"/>
          <w:u w:val="single"/>
        </w:rPr>
        <w:t>采用固定综合单价结算方法，工程量按实结算</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最终结算价按扣除暂列金后的下浮比例下浮</w:t>
      </w:r>
      <w:r>
        <w:rPr>
          <w:rFonts w:hint="eastAsia" w:ascii="宋体" w:hAnsi="宋体" w:cs="宋体"/>
          <w:b/>
          <w:color w:val="auto"/>
          <w:szCs w:val="21"/>
          <w:highlight w:val="none"/>
          <w:u w:val="single"/>
        </w:rPr>
        <w:t>（联系单同比例下浮），最终以审计</w:t>
      </w:r>
      <w:r>
        <w:rPr>
          <w:rFonts w:hint="eastAsia" w:ascii="宋体" w:hAnsi="宋体" w:cs="宋体"/>
          <w:b/>
          <w:color w:val="auto"/>
          <w:szCs w:val="21"/>
          <w:highlight w:val="none"/>
          <w:u w:val="single"/>
          <w:lang w:val="en-US" w:eastAsia="zh-CN"/>
        </w:rPr>
        <w:t>结果</w:t>
      </w:r>
      <w:r>
        <w:rPr>
          <w:rFonts w:hint="eastAsia" w:ascii="宋体" w:hAnsi="宋体" w:cs="宋体"/>
          <w:b/>
          <w:color w:val="auto"/>
          <w:szCs w:val="21"/>
          <w:highlight w:val="none"/>
          <w:u w:val="single"/>
        </w:rPr>
        <w:t>为准。</w:t>
      </w:r>
    </w:p>
    <w:p>
      <w:pPr>
        <w:snapToGrid w:val="0"/>
        <w:spacing w:line="360" w:lineRule="auto"/>
        <w:rPr>
          <w:rFonts w:hint="eastAsia" w:ascii="宋体" w:hAnsi="宋体" w:cs="宋体"/>
          <w:bCs/>
          <w:color w:val="auto"/>
          <w:szCs w:val="21"/>
          <w:highlight w:val="none"/>
        </w:rPr>
      </w:pPr>
      <w:r>
        <w:rPr>
          <w:rFonts w:hint="eastAsia" w:ascii="宋体" w:hAnsi="宋体" w:cs="宋体"/>
          <w:b/>
          <w:color w:val="auto"/>
          <w:szCs w:val="21"/>
          <w:highlight w:val="none"/>
        </w:rPr>
        <w:t xml:space="preserve">    2、遇以下情况发生时可对工程量进行调整计算：</w:t>
      </w:r>
    </w:p>
    <w:p>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u w:val="single"/>
        </w:rPr>
        <w:t>由设计变更引起的工程量变更；</w:t>
      </w:r>
    </w:p>
    <w:p>
      <w:pPr>
        <w:snapToGrid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（2）</w:t>
      </w:r>
      <w:r>
        <w:rPr>
          <w:rFonts w:hint="eastAsia" w:ascii="宋体" w:hAnsi="宋体" w:cs="宋体"/>
          <w:bCs/>
          <w:color w:val="auto"/>
          <w:szCs w:val="21"/>
          <w:highlight w:val="none"/>
          <w:u w:val="single"/>
        </w:rPr>
        <w:t>因甲方要求增减的工程量；</w:t>
      </w:r>
    </w:p>
    <w:p>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u w:val="single"/>
        </w:rPr>
        <w:t>需变更的工程量不是乙方责任原因造成的；</w:t>
      </w:r>
    </w:p>
    <w:p>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u w:val="single"/>
        </w:rPr>
        <w:t>因不可抗力情况的发生致使工程不能按原约定履行的；</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3、风险费用的计算方法：</w:t>
      </w:r>
      <w:r>
        <w:rPr>
          <w:rFonts w:hint="eastAsia" w:ascii="宋体" w:hAnsi="宋体" w:cs="宋体"/>
          <w:bCs/>
          <w:color w:val="auto"/>
          <w:szCs w:val="21"/>
          <w:highlight w:val="none"/>
          <w:u w:val="single"/>
        </w:rPr>
        <w:t>已包含在合同总价中。</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    4、风险范围以外合同价款调整方法：</w:t>
      </w:r>
    </w:p>
    <w:p>
      <w:pPr>
        <w:snapToGrid w:val="0"/>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rPr>
        <w:t xml:space="preserve">        ①</w:t>
      </w:r>
      <w:r>
        <w:rPr>
          <w:rFonts w:hint="eastAsia" w:ascii="宋体" w:hAnsi="宋体" w:cs="宋体"/>
          <w:bCs/>
          <w:color w:val="auto"/>
          <w:szCs w:val="21"/>
          <w:highlight w:val="none"/>
          <w:u w:val="single"/>
        </w:rPr>
        <w:t>响应文件中有相同子目的，按磋商报价</w:t>
      </w:r>
    </w:p>
    <w:p>
      <w:pPr>
        <w:snapToGrid w:val="0"/>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rPr>
        <w:t xml:space="preserve">        ②</w:t>
      </w:r>
      <w:r>
        <w:rPr>
          <w:rFonts w:hint="eastAsia" w:ascii="宋体" w:hAnsi="宋体" w:cs="宋体"/>
          <w:bCs/>
          <w:color w:val="auto"/>
          <w:szCs w:val="21"/>
          <w:highlight w:val="none"/>
          <w:u w:val="single"/>
        </w:rPr>
        <w:t>响应文件中有相似子目的，按相似子目组价计算</w:t>
      </w:r>
    </w:p>
    <w:p>
      <w:pPr>
        <w:snapToGrid w:val="0"/>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rPr>
        <w:t xml:space="preserve">        ③</w:t>
      </w:r>
      <w:r>
        <w:rPr>
          <w:rFonts w:hint="eastAsia" w:ascii="宋体" w:hAnsi="宋体" w:cs="宋体"/>
          <w:bCs/>
          <w:color w:val="auto"/>
          <w:szCs w:val="21"/>
          <w:highlight w:val="none"/>
          <w:u w:val="single"/>
        </w:rPr>
        <w:t>没有相同及相似的，按18版定额相应子目组价计算，费率及规费按磋商响应口径组价计算;</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④</w:t>
      </w:r>
      <w:r>
        <w:rPr>
          <w:rFonts w:hint="eastAsia" w:ascii="宋体" w:hAnsi="宋体" w:cs="宋体"/>
          <w:bCs/>
          <w:color w:val="auto"/>
          <w:szCs w:val="21"/>
          <w:highlight w:val="none"/>
          <w:u w:val="single"/>
        </w:rPr>
        <w:t>仅调整主要材料的，则仅调整材料之间的当期信息价差价。</w:t>
      </w:r>
    </w:p>
    <w:p>
      <w:pPr>
        <w:snapToGrid w:val="0"/>
        <w:spacing w:line="360" w:lineRule="auto"/>
        <w:rPr>
          <w:rFonts w:hint="eastAsia" w:ascii="宋体" w:hAnsi="宋体" w:cs="宋体"/>
          <w:b/>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5、双方约定合同价款的其他调整因素：</w:t>
      </w:r>
      <w:r>
        <w:rPr>
          <w:rFonts w:hint="eastAsia" w:ascii="宋体" w:hAnsi="宋体" w:cs="宋体"/>
          <w:bCs/>
          <w:color w:val="auto"/>
          <w:szCs w:val="21"/>
          <w:highlight w:val="none"/>
          <w:u w:val="single"/>
        </w:rPr>
        <w:t>①经设计确认甲方同意的设计变更；②甲方要求增加的施工图范围外的内容（乙方磋商时漏报甲方要求做的内容，不作为调整结算内容）。</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四、付款方式  </w:t>
      </w:r>
    </w:p>
    <w:p>
      <w:pPr>
        <w:snapToGrid w:val="0"/>
        <w:spacing w:line="360" w:lineRule="auto"/>
        <w:ind w:firstLine="420" w:firstLineChars="200"/>
        <w:rPr>
          <w:rFonts w:hint="eastAsia" w:ascii="宋体" w:hAnsi="宋体" w:cs="华文中宋"/>
          <w:color w:val="auto"/>
          <w:szCs w:val="21"/>
          <w:highlight w:val="none"/>
          <w:u w:val="none"/>
        </w:rPr>
      </w:pPr>
      <w:r>
        <w:rPr>
          <w:rFonts w:hint="eastAsia" w:ascii="宋体" w:hAnsi="宋体" w:cs="华文中宋"/>
          <w:color w:val="auto"/>
          <w:szCs w:val="21"/>
          <w:highlight w:val="none"/>
          <w:u w:val="none"/>
          <w:lang w:val="en-US" w:eastAsia="zh-CN"/>
        </w:rPr>
        <w:t>1、</w:t>
      </w:r>
      <w:r>
        <w:rPr>
          <w:rFonts w:hint="eastAsia" w:ascii="宋体" w:hAnsi="宋体" w:cs="华文中宋"/>
          <w:color w:val="auto"/>
          <w:szCs w:val="21"/>
          <w:highlight w:val="none"/>
          <w:u w:val="none"/>
        </w:rPr>
        <w:t>乙方在合同签订后10个工作日内，向甲方支付成交价的</w:t>
      </w:r>
      <w:r>
        <w:rPr>
          <w:rFonts w:hint="eastAsia" w:ascii="宋体" w:hAnsi="宋体" w:cs="华文中宋"/>
          <w:color w:val="auto"/>
          <w:szCs w:val="21"/>
          <w:highlight w:val="none"/>
          <w:u w:val="none"/>
          <w:lang w:val="en-US" w:eastAsia="zh-CN"/>
        </w:rPr>
        <w:t>1</w:t>
      </w:r>
      <w:r>
        <w:rPr>
          <w:rFonts w:hint="eastAsia" w:ascii="宋体" w:hAnsi="宋体" w:cs="华文中宋"/>
          <w:color w:val="auto"/>
          <w:szCs w:val="21"/>
          <w:highlight w:val="none"/>
          <w:u w:val="none"/>
        </w:rPr>
        <w:t>％作为履约保证金。履约保证金待工程竣工验收合格并且乙方已提交完整的竣工资料后，扣除合同违约责任罚款，予以退还。若无违约责任，则全部退还（不计息）。</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甲方在收到乙方支付的履约保证金及正规发票后</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支付合同金额的40%作为预付款</w:t>
      </w:r>
    </w:p>
    <w:p>
      <w:pPr>
        <w:keepNext w:val="0"/>
        <w:keepLines w:val="0"/>
        <w:pageBreakBefore w:val="0"/>
        <w:widowControl w:val="0"/>
        <w:kinsoku/>
        <w:wordWrap/>
        <w:overflowPunct/>
        <w:topLinePunct w:val="0"/>
        <w:autoSpaceDE/>
        <w:autoSpaceDN/>
        <w:bidi w:val="0"/>
        <w:spacing w:line="360" w:lineRule="auto"/>
        <w:ind w:left="0" w:leftChars="0" w:firstLine="420" w:firstLineChars="200"/>
        <w:jc w:val="left"/>
        <w:textAlignment w:val="auto"/>
        <w:rPr>
          <w:rFonts w:hint="eastAsia" w:ascii="宋体" w:hAnsi="宋体" w:cs="华文中宋"/>
          <w:color w:val="auto"/>
          <w:szCs w:val="21"/>
          <w:highlight w:val="none"/>
          <w:u w:val="none"/>
        </w:rPr>
      </w:pPr>
      <w:r>
        <w:rPr>
          <w:rFonts w:hint="eastAsia" w:ascii="宋体" w:hAnsi="宋体" w:eastAsia="宋体" w:cs="宋体"/>
          <w:color w:val="auto"/>
          <w:szCs w:val="21"/>
          <w:highlight w:val="none"/>
          <w:u w:val="none"/>
          <w:lang w:val="en-US" w:eastAsia="zh-CN"/>
        </w:rPr>
        <w:t>3、</w:t>
      </w:r>
      <w:r>
        <w:rPr>
          <w:rFonts w:hint="eastAsia" w:ascii="宋体" w:hAnsi="宋体" w:cs="华文中宋"/>
          <w:color w:val="auto"/>
          <w:szCs w:val="21"/>
          <w:highlight w:val="none"/>
          <w:u w:val="none"/>
        </w:rPr>
        <w:t>乙方完成工程造价的70%时，经甲方签证后，甲方向乙方支付至合同总价的50%（本次付款将预付款抵扣完成），具体根据甲方财务制度为准。</w:t>
      </w:r>
    </w:p>
    <w:p>
      <w:pPr>
        <w:snapToGrid w:val="0"/>
        <w:spacing w:line="360" w:lineRule="auto"/>
        <w:ind w:firstLine="420" w:firstLineChars="200"/>
        <w:rPr>
          <w:rFonts w:hint="eastAsia" w:ascii="宋体" w:hAnsi="宋体" w:cs="华文中宋"/>
          <w:color w:val="auto"/>
          <w:szCs w:val="21"/>
          <w:highlight w:val="none"/>
          <w:u w:val="none"/>
        </w:rPr>
      </w:pPr>
      <w:r>
        <w:rPr>
          <w:rFonts w:hint="eastAsia" w:ascii="宋体" w:hAnsi="宋体" w:eastAsia="宋体" w:cs="华文中宋"/>
          <w:color w:val="auto"/>
          <w:szCs w:val="21"/>
          <w:highlight w:val="none"/>
          <w:u w:val="none"/>
          <w:lang w:val="en-US" w:eastAsia="zh-CN"/>
        </w:rPr>
        <w:t>4、待</w:t>
      </w:r>
      <w:r>
        <w:rPr>
          <w:rFonts w:hint="eastAsia" w:ascii="宋体" w:hAnsi="宋体" w:eastAsia="宋体" w:cs="宋体"/>
          <w:color w:val="auto"/>
          <w:szCs w:val="21"/>
          <w:highlight w:val="none"/>
          <w:u w:val="none"/>
        </w:rPr>
        <w:t>竣工验收合格后</w:t>
      </w:r>
      <w:r>
        <w:rPr>
          <w:rFonts w:hint="eastAsia" w:ascii="宋体" w:hAnsi="宋体" w:eastAsia="宋体" w:cs="宋体"/>
          <w:color w:val="auto"/>
          <w:szCs w:val="21"/>
          <w:highlight w:val="none"/>
          <w:u w:val="none"/>
          <w:lang w:eastAsia="zh-CN"/>
        </w:rPr>
        <w:t>，</w:t>
      </w:r>
      <w:r>
        <w:rPr>
          <w:rFonts w:hint="eastAsia" w:ascii="宋体" w:hAnsi="宋体" w:cs="华文中宋"/>
          <w:color w:val="auto"/>
          <w:szCs w:val="21"/>
          <w:highlight w:val="none"/>
          <w:u w:val="none"/>
        </w:rPr>
        <w:t>经甲方签证后，</w:t>
      </w:r>
      <w:r>
        <w:rPr>
          <w:rFonts w:hint="eastAsia" w:ascii="宋体" w:hAnsi="宋体" w:eastAsia="宋体" w:cs="宋体"/>
          <w:color w:val="auto"/>
          <w:szCs w:val="21"/>
          <w:highlight w:val="none"/>
          <w:u w:val="none"/>
        </w:rPr>
        <w:t>支付</w:t>
      </w:r>
      <w:r>
        <w:rPr>
          <w:rFonts w:hint="eastAsia" w:ascii="宋体" w:hAnsi="宋体" w:eastAsia="宋体" w:cs="宋体"/>
          <w:color w:val="auto"/>
          <w:szCs w:val="21"/>
          <w:highlight w:val="none"/>
          <w:u w:val="none"/>
          <w:lang w:eastAsia="zh-CN"/>
        </w:rPr>
        <w:t>至</w:t>
      </w:r>
      <w:r>
        <w:rPr>
          <w:rFonts w:hint="eastAsia" w:ascii="宋体" w:hAnsi="宋体" w:eastAsia="宋体" w:cs="宋体"/>
          <w:color w:val="auto"/>
          <w:szCs w:val="21"/>
          <w:highlight w:val="none"/>
          <w:u w:val="none"/>
        </w:rPr>
        <w:t>合同总价的8</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w:t>
      </w:r>
      <w:r>
        <w:rPr>
          <w:rFonts w:hint="eastAsia" w:ascii="宋体" w:hAnsi="宋体" w:cs="华文中宋"/>
          <w:color w:val="auto"/>
          <w:szCs w:val="21"/>
          <w:highlight w:val="none"/>
          <w:u w:val="none"/>
        </w:rPr>
        <w:t>同时核实合同履约情况，结算履约保证金（无息，并扣除违约处罚款），具体以甲方财务制度为准。</w:t>
      </w:r>
    </w:p>
    <w:p>
      <w:pPr>
        <w:snapToGrid w:val="0"/>
        <w:spacing w:line="360" w:lineRule="auto"/>
        <w:ind w:firstLine="420" w:firstLineChars="200"/>
        <w:rPr>
          <w:rFonts w:hint="eastAsia" w:ascii="宋体" w:hAnsi="宋体" w:cs="华文中宋"/>
          <w:color w:val="auto"/>
          <w:szCs w:val="21"/>
          <w:highlight w:val="none"/>
          <w:u w:val="none"/>
        </w:rPr>
      </w:pPr>
      <w:r>
        <w:rPr>
          <w:rFonts w:hint="eastAsia" w:ascii="宋体" w:hAnsi="宋体" w:eastAsia="宋体" w:cs="宋体"/>
          <w:color w:val="auto"/>
          <w:szCs w:val="21"/>
          <w:highlight w:val="none"/>
          <w:u w:val="none"/>
          <w:lang w:val="en-US" w:eastAsia="zh-CN"/>
        </w:rPr>
        <w:t>5、</w:t>
      </w:r>
      <w:r>
        <w:rPr>
          <w:rFonts w:hint="eastAsia" w:ascii="宋体" w:hAnsi="宋体" w:cs="华文中宋"/>
          <w:color w:val="auto"/>
          <w:szCs w:val="21"/>
          <w:highlight w:val="none"/>
          <w:u w:val="none"/>
        </w:rPr>
        <w:t>项目委托第三方进行审计，审价结果经</w:t>
      </w:r>
      <w:r>
        <w:rPr>
          <w:rFonts w:hint="eastAsia" w:ascii="宋体" w:hAnsi="宋体" w:cs="华文中宋"/>
          <w:color w:val="auto"/>
          <w:szCs w:val="21"/>
          <w:highlight w:val="none"/>
          <w:u w:val="none"/>
          <w:lang w:eastAsia="zh-CN"/>
        </w:rPr>
        <w:t>成交供应商</w:t>
      </w:r>
      <w:r>
        <w:rPr>
          <w:rFonts w:hint="eastAsia" w:ascii="宋体" w:hAnsi="宋体" w:cs="华文中宋"/>
          <w:color w:val="auto"/>
          <w:szCs w:val="21"/>
          <w:highlight w:val="none"/>
          <w:u w:val="none"/>
        </w:rPr>
        <w:t>确认签字，</w:t>
      </w:r>
      <w:r>
        <w:rPr>
          <w:rFonts w:hint="eastAsia" w:ascii="宋体" w:hAnsi="宋体" w:cs="华文中宋"/>
          <w:color w:val="auto"/>
          <w:szCs w:val="21"/>
          <w:highlight w:val="none"/>
          <w:u w:val="none"/>
          <w:lang w:val="en-US" w:eastAsia="zh-CN"/>
        </w:rPr>
        <w:t>且本建设项目职业病危害控制效果评价技术报告获得批复后，</w:t>
      </w:r>
      <w:r>
        <w:rPr>
          <w:rFonts w:hint="eastAsia" w:ascii="宋体" w:hAnsi="宋体" w:cs="华文中宋"/>
          <w:color w:val="auto"/>
          <w:szCs w:val="21"/>
          <w:highlight w:val="none"/>
          <w:u w:val="none"/>
          <w:lang w:eastAsia="zh-CN"/>
        </w:rPr>
        <w:t>采购人</w:t>
      </w:r>
      <w:r>
        <w:rPr>
          <w:rFonts w:hint="eastAsia" w:ascii="宋体" w:hAnsi="宋体" w:cs="华文中宋"/>
          <w:color w:val="auto"/>
          <w:szCs w:val="21"/>
          <w:highlight w:val="none"/>
          <w:u w:val="none"/>
        </w:rPr>
        <w:t>根据审计核定价</w:t>
      </w:r>
      <w:r>
        <w:rPr>
          <w:rFonts w:hint="eastAsia" w:ascii="宋体" w:hAnsi="宋体" w:eastAsia="宋体" w:cs="宋体"/>
          <w:color w:val="auto"/>
          <w:szCs w:val="21"/>
          <w:highlight w:val="none"/>
          <w:u w:val="none"/>
        </w:rPr>
        <w:t>支付至审计价的</w:t>
      </w:r>
      <w:r>
        <w:rPr>
          <w:rFonts w:hint="eastAsia" w:ascii="宋体" w:hAnsi="宋体" w:eastAsia="宋体" w:cs="宋体"/>
          <w:color w:val="auto"/>
          <w:szCs w:val="21"/>
          <w:highlight w:val="none"/>
          <w:u w:val="none"/>
          <w:lang w:val="en-US" w:eastAsia="zh-CN"/>
        </w:rPr>
        <w:t>98.5</w:t>
      </w:r>
      <w:r>
        <w:rPr>
          <w:rFonts w:hint="eastAsia" w:ascii="宋体" w:hAnsi="宋体" w:eastAsia="宋体" w:cs="宋体"/>
          <w:color w:val="auto"/>
          <w:szCs w:val="21"/>
          <w:highlight w:val="none"/>
          <w:u w:val="none"/>
        </w:rPr>
        <w:t>%，</w:t>
      </w:r>
      <w:r>
        <w:rPr>
          <w:rFonts w:hint="eastAsia" w:ascii="宋体" w:hAnsi="宋体" w:cs="华文中宋"/>
          <w:color w:val="auto"/>
          <w:szCs w:val="21"/>
          <w:highlight w:val="none"/>
          <w:u w:val="none"/>
        </w:rPr>
        <w:t>扣留审计审定总价的</w:t>
      </w:r>
      <w:r>
        <w:rPr>
          <w:rFonts w:ascii="宋体" w:hAnsi="宋体" w:cs="华文中宋"/>
          <w:color w:val="auto"/>
          <w:szCs w:val="21"/>
          <w:highlight w:val="none"/>
          <w:u w:val="none"/>
        </w:rPr>
        <w:t>1</w:t>
      </w:r>
      <w:r>
        <w:rPr>
          <w:rFonts w:hint="eastAsia" w:ascii="宋体" w:hAnsi="宋体" w:cs="华文中宋"/>
          <w:color w:val="auto"/>
          <w:szCs w:val="21"/>
          <w:highlight w:val="none"/>
          <w:u w:val="none"/>
        </w:rPr>
        <w:t>.5%质量保证金后，付清余款</w:t>
      </w:r>
      <w:r>
        <w:rPr>
          <w:rFonts w:hint="eastAsia" w:ascii="宋体" w:hAnsi="宋体" w:cs="华文中宋"/>
          <w:color w:val="auto"/>
          <w:szCs w:val="21"/>
          <w:highlight w:val="none"/>
          <w:u w:val="none"/>
          <w:lang w:eastAsia="zh-CN"/>
        </w:rPr>
        <w:t>。</w:t>
      </w:r>
      <w:r>
        <w:rPr>
          <w:rFonts w:hint="eastAsia" w:ascii="宋体" w:hAnsi="宋体" w:cs="华文中宋"/>
          <w:color w:val="auto"/>
          <w:szCs w:val="21"/>
          <w:highlight w:val="none"/>
          <w:u w:val="none"/>
        </w:rPr>
        <w:t>施工水电费按照审计审定总价的7‰在审计时扣除。</w:t>
      </w:r>
    </w:p>
    <w:p>
      <w:pPr>
        <w:snapToGrid w:val="0"/>
        <w:spacing w:line="360" w:lineRule="auto"/>
        <w:ind w:firstLine="420" w:firstLineChars="200"/>
        <w:rPr>
          <w:rFonts w:hint="eastAsia" w:ascii="宋体" w:hAnsi="宋体" w:cs="华文中宋"/>
          <w:color w:val="auto"/>
          <w:szCs w:val="21"/>
          <w:highlight w:val="none"/>
          <w:u w:val="none"/>
        </w:rPr>
      </w:pPr>
      <w:r>
        <w:rPr>
          <w:rFonts w:hint="eastAsia" w:ascii="宋体" w:hAnsi="宋体" w:cs="华文中宋"/>
          <w:color w:val="auto"/>
          <w:szCs w:val="21"/>
          <w:highlight w:val="none"/>
          <w:u w:val="none"/>
          <w:lang w:val="en-US" w:eastAsia="zh-CN"/>
        </w:rPr>
        <w:t>6、</w:t>
      </w:r>
      <w:r>
        <w:rPr>
          <w:rFonts w:hint="eastAsia" w:ascii="宋体" w:hAnsi="宋体" w:cs="华文中宋"/>
          <w:color w:val="auto"/>
          <w:szCs w:val="21"/>
          <w:highlight w:val="none"/>
          <w:u w:val="none"/>
        </w:rPr>
        <w:t>缺陷责任期满（缺陷责任期为贰年，从竣工验收合格之日算起），甲方经再次验收，发现无质量问题，或有问题得到解决后，无息退还乙方质量保证金。质保金在缺陷责任期满后结清，不计息，具体根据甲方财务制度为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由于本项目位于医院内，施工期间必须保证正常的医疗秩序，甲方可能会根据医院实际运营的需要发暂停施工通知，乙方必须无条件遵守和执行，且不得以此为由要求增加工程费用。甲方院区内施工条件也存在特殊性，会存在不间断临时停工等现象，乙方需无条件服从，不得以此为由提出增加任何工程费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u w:val="single"/>
        </w:rPr>
        <w:t>付款以转账支票形式支付</w:t>
      </w:r>
      <w:r>
        <w:rPr>
          <w:rFonts w:hint="eastAsia" w:ascii="宋体" w:hAnsi="宋体" w:cs="宋体"/>
          <w:color w:val="auto"/>
          <w:szCs w:val="21"/>
          <w:highlight w:val="none"/>
        </w:rPr>
        <w:t>；</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w:t>
      </w:r>
      <w:r>
        <w:rPr>
          <w:rFonts w:hint="eastAsia" w:ascii="宋体" w:hAnsi="宋体" w:cs="宋体"/>
          <w:b/>
          <w:color w:val="auto"/>
          <w:szCs w:val="21"/>
          <w:highlight w:val="none"/>
          <w:lang w:val="en-US" w:eastAsia="zh-CN"/>
        </w:rPr>
        <w:t>工</w:t>
      </w:r>
      <w:r>
        <w:rPr>
          <w:rFonts w:hint="eastAsia" w:ascii="宋体" w:hAnsi="宋体" w:cs="宋体"/>
          <w:b/>
          <w:color w:val="auto"/>
          <w:szCs w:val="21"/>
          <w:highlight w:val="none"/>
        </w:rPr>
        <w:t>期及要求</w:t>
      </w:r>
    </w:p>
    <w:p>
      <w:pPr>
        <w:adjustRightInd w:val="0"/>
        <w:snapToGrid w:val="0"/>
        <w:spacing w:line="360" w:lineRule="auto"/>
        <w:ind w:firstLine="459"/>
        <w:rPr>
          <w:rFonts w:hint="eastAsia" w:ascii="宋体" w:hAnsi="宋体" w:cs="华文中宋"/>
          <w:b/>
          <w:color w:val="auto"/>
          <w:szCs w:val="21"/>
          <w:highlight w:val="none"/>
        </w:rPr>
      </w:pPr>
      <w:r>
        <w:rPr>
          <w:rFonts w:hint="eastAsia" w:ascii="宋体" w:hAnsi="宋体" w:cs="华文中宋"/>
          <w:b/>
          <w:color w:val="auto"/>
          <w:szCs w:val="21"/>
          <w:highlight w:val="none"/>
        </w:rPr>
        <w:t>施工总工期：</w:t>
      </w:r>
      <w:r>
        <w:rPr>
          <w:rFonts w:hint="eastAsia" w:ascii="宋体" w:hAnsi="宋体" w:cs="华文中宋"/>
          <w:b/>
          <w:color w:val="auto"/>
          <w:szCs w:val="21"/>
          <w:highlight w:val="none"/>
          <w:u w:val="single"/>
          <w:lang w:val="en-US" w:eastAsia="zh-CN"/>
        </w:rPr>
        <w:t>90</w:t>
      </w:r>
      <w:r>
        <w:rPr>
          <w:rFonts w:ascii="宋体" w:hAnsi="宋体" w:cs="华文中宋"/>
          <w:b/>
          <w:color w:val="auto"/>
          <w:szCs w:val="21"/>
          <w:highlight w:val="none"/>
          <w:u w:val="single"/>
        </w:rPr>
        <w:t>日历天</w:t>
      </w:r>
      <w:r>
        <w:rPr>
          <w:rFonts w:hint="eastAsia" w:ascii="宋体" w:hAnsi="宋体" w:cs="华文中宋"/>
          <w:b/>
          <w:color w:val="auto"/>
          <w:szCs w:val="21"/>
          <w:highlight w:val="none"/>
          <w:u w:val="single"/>
        </w:rPr>
        <w:t>（工期延误按合同工期每延误一天罚人民币2000元，罚款总额以合同价的百分之三为上限）</w:t>
      </w:r>
    </w:p>
    <w:p>
      <w:p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1、</w:t>
      </w:r>
      <w:r>
        <w:rPr>
          <w:rFonts w:hint="eastAsia" w:ascii="宋体" w:hAnsi="宋体" w:cs="华文中宋"/>
          <w:szCs w:val="21"/>
        </w:rPr>
        <w:t>甲方在具备施工条件后，应提前10天通知乙方进场施工，并提供开工报告及相关资料报甲方审查，经审查批复后方可进场施工</w:t>
      </w:r>
      <w:r>
        <w:rPr>
          <w:rFonts w:hint="eastAsia" w:ascii="宋体" w:hAnsi="宋体" w:cs="华文中宋"/>
          <w:color w:val="auto"/>
          <w:szCs w:val="21"/>
          <w:highlight w:val="none"/>
        </w:rPr>
        <w:t>。</w:t>
      </w:r>
    </w:p>
    <w:p>
      <w:p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2、开工日期自开工报告签复之日起计算或开工报告在乙方编制完成上报签收后第15天计算。</w:t>
      </w:r>
    </w:p>
    <w:p>
      <w:pPr>
        <w:snapToGrid w:val="0"/>
        <w:spacing w:line="360" w:lineRule="auto"/>
        <w:rPr>
          <w:rFonts w:hint="eastAsia" w:ascii="宋体" w:hAnsi="宋体" w:cs="华文中宋"/>
          <w:color w:val="auto"/>
          <w:szCs w:val="21"/>
          <w:highlight w:val="none"/>
        </w:rPr>
      </w:pPr>
      <w:r>
        <w:rPr>
          <w:rFonts w:hint="eastAsia" w:ascii="宋体" w:hAnsi="宋体" w:cs="华文中宋"/>
          <w:color w:val="auto"/>
          <w:szCs w:val="21"/>
          <w:highlight w:val="none"/>
        </w:rPr>
        <w:t xml:space="preserve">    3、乙方保证按甲方要求工期完成，因甲方或不可抗力影响工程，则工期相应顺延。</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六、工程质量及其它要求</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本工程符合《建筑工程施工质量验收统一标准》的“合格”标准，乙方必须按工程量清单及施工图所示施工，工程用全部材料及设备应是全新的和质量合格的产品，均应满足文件的要求，并得到甲方认可，且必须符合国家标准和相关技术规范，满足全年全天候工作。材料、设备进场前应向甲方提交全部涉及材料的合格证等相关资料，并得到认可。所有由乙方采购的设备、材料，要求同类产品的不同规格尽可能采购同一个品牌（如同一品牌中没有所需规格的，与甲方协商解决）。</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2、建筑材料运抵现场后，经甲方验收发现使用不符合设计方案及采购文件、响应文件中要求的材料，甲方有权向乙方提出索赔。</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3、乙方应服从甲方现场安全管理，保证自身的施工安全措施。</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4、乙方自行解决现场堆放材料和工具的仓库及其他土建配合的需要。</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5、乙方必须按照劳动法及相关法律要求，规范管理施工人员，按劳支付人员工资。因违规管理所造成的一切责任和后果均由乙方自行承担。</w:t>
      </w:r>
    </w:p>
    <w:p>
      <w:pPr>
        <w:snapToGrid w:val="0"/>
        <w:spacing w:line="360" w:lineRule="auto"/>
        <w:ind w:left="2" w:firstLine="420" w:firstLineChars="200"/>
        <w:rPr>
          <w:rFonts w:hint="eastAsia" w:ascii="宋体" w:hAnsi="宋体" w:eastAsia="宋体" w:cs="华文中宋"/>
          <w:color w:val="auto"/>
          <w:szCs w:val="21"/>
          <w:highlight w:val="none"/>
          <w:lang w:eastAsia="zh-CN"/>
        </w:rPr>
      </w:pPr>
      <w:r>
        <w:rPr>
          <w:rFonts w:hint="eastAsia" w:ascii="宋体" w:hAnsi="宋体" w:cs="华文中宋"/>
          <w:color w:val="auto"/>
          <w:szCs w:val="21"/>
          <w:highlight w:val="none"/>
        </w:rPr>
        <w:t>6、乙方务必遵守医院内的规章制度：每周</w:t>
      </w:r>
      <w:r>
        <w:rPr>
          <w:rFonts w:hint="eastAsia" w:ascii="宋体" w:hAnsi="宋体" w:cs="华文中宋"/>
          <w:color w:val="auto"/>
          <w:szCs w:val="21"/>
          <w:highlight w:val="none"/>
          <w:lang w:eastAsia="zh-CN"/>
        </w:rPr>
        <w:t>一</w:t>
      </w:r>
      <w:r>
        <w:rPr>
          <w:rFonts w:hint="eastAsia" w:ascii="宋体" w:hAnsi="宋体" w:cs="华文中宋"/>
          <w:color w:val="auto"/>
          <w:szCs w:val="21"/>
          <w:highlight w:val="none"/>
        </w:rPr>
        <w:t>上午</w:t>
      </w:r>
      <w:r>
        <w:rPr>
          <w:rFonts w:hint="eastAsia" w:ascii="宋体" w:hAnsi="宋体" w:cs="华文中宋"/>
          <w:color w:val="auto"/>
          <w:szCs w:val="21"/>
          <w:highlight w:val="none"/>
          <w:lang w:val="en-US" w:eastAsia="zh-CN"/>
        </w:rPr>
        <w:t>11</w:t>
      </w:r>
      <w:r>
        <w:rPr>
          <w:rFonts w:hint="eastAsia" w:ascii="宋体" w:hAnsi="宋体" w:cs="华文中宋"/>
          <w:color w:val="auto"/>
          <w:szCs w:val="21"/>
          <w:highlight w:val="none"/>
        </w:rPr>
        <w:t>点召开工程例会，工程例会报告上周工程进度、本周施工安排及施工过程中存在的问题并以会议纪要的形式留存；联系单签证需在一周内完成，会议纪要及联系单作为审计依据，其余内容不再予以确认；车辆进出必须提前将车牌号、驾驶人证件复印件交由甲方科室经办人；考虑医院工作的特殊性，对材料堆放、工作时间安排等报备至经办人后再进行施工</w:t>
      </w:r>
      <w:r>
        <w:rPr>
          <w:rFonts w:hint="eastAsia" w:ascii="宋体" w:hAnsi="宋体" w:cs="华文中宋"/>
          <w:color w:val="auto"/>
          <w:szCs w:val="21"/>
          <w:highlight w:val="none"/>
          <w:lang w:eastAsia="zh-CN"/>
        </w:rPr>
        <w:t>。</w:t>
      </w:r>
    </w:p>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七、安全施工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严格执行JG59-99标准并参照通用条款第20、21、22条及国家建设工程安全管理条例。</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1）乙方应对施工安全负责，在施工过程中要实现“五无”、“两控制”目标，确保安全。“五无”即无职工死亡，无重大行车交通事故，无压力容器爆炸，无重大质量事故，无火灾事故。</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2）乙方应配备专职安全负责人，以确保生产安全。</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3）乙方应服从当地政府有关部门在社会治安、综合治理、计划生育、交通管理、环境保护等的管理规定，乙方应有专职人员负责条款的执行，甲方有权对此进行监督、检查。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4）乙方在工程施工期间，必须配备专职用电管理员，全面负责施工用电的管理。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5）未执行安全生产相关要求所产生的一切责任及后果均由乙方自行承担。</w:t>
      </w:r>
    </w:p>
    <w:p>
      <w:pPr>
        <w:snapToGrid w:val="0"/>
        <w:spacing w:line="360" w:lineRule="auto"/>
        <w:rPr>
          <w:rFonts w:hint="eastAsia" w:ascii="宋体" w:hAnsi="宋体" w:cs="宋体"/>
          <w:b/>
          <w:color w:val="auto"/>
          <w:szCs w:val="21"/>
          <w:highlight w:val="none"/>
        </w:rPr>
      </w:pPr>
      <w:r>
        <w:rPr>
          <w:rFonts w:hint="eastAsia" w:ascii="宋体" w:hAnsi="宋体" w:cs="宋体"/>
          <w:b/>
          <w:bCs/>
          <w:color w:val="auto"/>
          <w:szCs w:val="21"/>
          <w:highlight w:val="none"/>
        </w:rPr>
        <w:t>八、</w:t>
      </w:r>
      <w:r>
        <w:rPr>
          <w:rFonts w:hint="eastAsia" w:ascii="宋体" w:hAnsi="宋体" w:cs="宋体"/>
          <w:b/>
          <w:color w:val="auto"/>
          <w:szCs w:val="21"/>
          <w:highlight w:val="none"/>
        </w:rPr>
        <w:t>验收标准及法律法规</w:t>
      </w:r>
    </w:p>
    <w:p>
      <w:pPr>
        <w:snapToGrid w:val="0"/>
        <w:spacing w:line="360" w:lineRule="auto"/>
        <w:ind w:firstLine="430"/>
        <w:rPr>
          <w:rFonts w:hint="eastAsia" w:ascii="宋体" w:hAnsi="宋体" w:cs="宋体"/>
          <w:color w:val="auto"/>
          <w:szCs w:val="21"/>
          <w:highlight w:val="none"/>
        </w:rPr>
      </w:pPr>
      <w:r>
        <w:rPr>
          <w:rFonts w:hint="eastAsia" w:ascii="宋体" w:hAnsi="宋体" w:cs="宋体"/>
          <w:color w:val="auto"/>
          <w:szCs w:val="21"/>
          <w:highlight w:val="none"/>
        </w:rPr>
        <w:t>1、适用法律和法规</w:t>
      </w:r>
    </w:p>
    <w:p>
      <w:pPr>
        <w:snapToGrid w:val="0"/>
        <w:spacing w:line="360" w:lineRule="auto"/>
        <w:ind w:firstLine="430"/>
        <w:rPr>
          <w:rFonts w:hint="eastAsia" w:ascii="宋体" w:hAnsi="宋体" w:cs="宋体"/>
          <w:color w:val="auto"/>
          <w:szCs w:val="21"/>
          <w:highlight w:val="none"/>
        </w:rPr>
      </w:pPr>
      <w:r>
        <w:rPr>
          <w:rFonts w:hint="eastAsia" w:ascii="宋体" w:hAnsi="宋体" w:cs="宋体"/>
          <w:color w:val="auto"/>
          <w:szCs w:val="21"/>
          <w:highlight w:val="none"/>
        </w:rPr>
        <w:t>需要明示的法律、行政法规：中华人民共和国《建筑法》、中华人民共和国《建设工程质量管理条例》、《中华人民共和国民法典》、《建筑安装工程承包管理条例》及其国家和工程所在地省、地区（市）的其他法律法规。</w:t>
      </w:r>
    </w:p>
    <w:p>
      <w:pPr>
        <w:snapToGrid w:val="0"/>
        <w:spacing w:line="360" w:lineRule="auto"/>
        <w:ind w:firstLine="430"/>
        <w:rPr>
          <w:rFonts w:hint="eastAsia" w:ascii="宋体" w:hAnsi="宋体" w:cs="宋体"/>
          <w:color w:val="auto"/>
          <w:szCs w:val="21"/>
          <w:highlight w:val="none"/>
        </w:rPr>
      </w:pPr>
      <w:r>
        <w:rPr>
          <w:rFonts w:hint="eastAsia" w:ascii="宋体" w:hAnsi="宋体" w:cs="宋体"/>
          <w:color w:val="auto"/>
          <w:szCs w:val="21"/>
          <w:highlight w:val="none"/>
        </w:rPr>
        <w:t>2、适用标准、规范</w:t>
      </w:r>
    </w:p>
    <w:p>
      <w:pPr>
        <w:snapToGrid w:val="0"/>
        <w:spacing w:line="360" w:lineRule="auto"/>
        <w:ind w:firstLine="430"/>
        <w:rPr>
          <w:rFonts w:hint="eastAsia" w:ascii="宋体" w:hAnsi="宋体" w:cs="宋体"/>
          <w:color w:val="auto"/>
          <w:szCs w:val="21"/>
          <w:highlight w:val="none"/>
        </w:rPr>
      </w:pPr>
      <w:r>
        <w:rPr>
          <w:rFonts w:hint="eastAsia" w:ascii="宋体" w:hAnsi="宋体" w:cs="宋体"/>
          <w:color w:val="auto"/>
          <w:szCs w:val="21"/>
          <w:highlight w:val="none"/>
        </w:rPr>
        <w:t>适用标准、规范的名称：现行的国家、地方和行业质量标准、规范、《建筑工程施工质量验收统一标准GB50300-2001》。</w:t>
      </w:r>
    </w:p>
    <w:p>
      <w:pPr>
        <w:snapToGrid w:val="0"/>
        <w:spacing w:line="360" w:lineRule="auto"/>
        <w:ind w:firstLine="430"/>
        <w:rPr>
          <w:rFonts w:hint="eastAsia" w:ascii="宋体" w:hAnsi="宋体" w:cs="宋体"/>
          <w:color w:val="auto"/>
          <w:szCs w:val="21"/>
          <w:highlight w:val="none"/>
        </w:rPr>
      </w:pPr>
      <w:r>
        <w:rPr>
          <w:rFonts w:hint="eastAsia" w:ascii="宋体" w:hAnsi="宋体" w:cs="宋体"/>
          <w:color w:val="auto"/>
          <w:szCs w:val="21"/>
          <w:highlight w:val="none"/>
        </w:rPr>
        <w:t>国内没有相应标准、规范的约定：按地方、行业协会及企业标准、规范、规定、经甲方、乙方双方确认后执行。</w:t>
      </w:r>
    </w:p>
    <w:p>
      <w:pPr>
        <w:snapToGrid w:val="0"/>
        <w:spacing w:line="360" w:lineRule="auto"/>
        <w:ind w:firstLine="430"/>
        <w:rPr>
          <w:rFonts w:hint="eastAsia" w:ascii="宋体" w:hAnsi="宋体" w:cs="宋体"/>
          <w:color w:val="auto"/>
          <w:szCs w:val="21"/>
          <w:highlight w:val="none"/>
        </w:rPr>
      </w:pPr>
      <w:r>
        <w:rPr>
          <w:rFonts w:hint="eastAsia" w:ascii="宋体" w:hAnsi="宋体" w:cs="宋体"/>
          <w:color w:val="auto"/>
          <w:szCs w:val="21"/>
          <w:highlight w:val="none"/>
        </w:rPr>
        <w:t>3、乙方工程具备竣工验收条件后，提交竣工验收申请，甲方在收到申请后十四天内予以验收或提出书面验收意见，视为工程验收合格。</w:t>
      </w:r>
    </w:p>
    <w:p>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九、其它事项</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1、工程保修：</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乙方原因造成工程质量问题，由乙方负责整改工作及相关费用，直至达到合格标准。因此造成的工期延误和损失，由乙方承担一切后果。乙方不修复或无法修复的,甲方有权自行委托有资质单位修复,修复费用及造成的损失由乙方承担。</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修期内涉及的非人为因素导致的材料、设备质量问题，材料、设备质量缺陷其修复等一切费用，均由乙方自行承担。保修期内因人为损坏造成的，乙方仅收取材料费（材料费参照磋商响应单价），人工免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3）其他未尽事宜详见采购文件和响应文件。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2、双方协调条款：甲方为乙方提供施工相应条件、工作间和材料仓库，同时负责协调其他施工现场的配合工作。</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3、违约责任：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1）本合同双方签字（章）后生效，如有一方违约，违约方应承担相应责任。</w:t>
      </w:r>
    </w:p>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十、争议</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双方约定，在履行合同过程中产生争议时，双方协商解决；协商不成，可向合同履行地人民法院提起诉讼。</w:t>
      </w:r>
    </w:p>
    <w:p>
      <w:pPr>
        <w:snapToGrid w:val="0"/>
        <w:spacing w:line="360" w:lineRule="auto"/>
        <w:rPr>
          <w:rFonts w:hint="eastAsia" w:ascii="宋体" w:hAnsi="宋体" w:cs="宋体"/>
          <w:b/>
          <w:bCs/>
          <w:color w:val="auto"/>
          <w:szCs w:val="21"/>
          <w:highlight w:val="none"/>
          <w:u w:val="single"/>
        </w:rPr>
      </w:pPr>
      <w:r>
        <w:rPr>
          <w:rFonts w:hint="eastAsia" w:ascii="宋体" w:hAnsi="宋体" w:cs="宋体"/>
          <w:b/>
          <w:bCs/>
          <w:color w:val="auto"/>
          <w:szCs w:val="21"/>
          <w:highlight w:val="none"/>
        </w:rPr>
        <w:t xml:space="preserve"> 十一、</w:t>
      </w:r>
      <w:r>
        <w:rPr>
          <w:rFonts w:hint="eastAsia" w:ascii="宋体" w:hAnsi="宋体" w:cs="宋体"/>
          <w:b/>
          <w:bCs/>
          <w:color w:val="auto"/>
          <w:szCs w:val="21"/>
          <w:highlight w:val="none"/>
          <w:u w:val="single"/>
        </w:rPr>
        <w:t>本合同一式陆份，甲方执肆份，乙方执贰份。</w:t>
      </w:r>
    </w:p>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 十二、补充条款</w:t>
      </w:r>
    </w:p>
    <w:p>
      <w:p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1、要求乙方项目经理与竞争性磋商结果一致，施工管理班子与竞争性磋商结果一致，一旦发现乙方未经甲方书面允许，随意更换施工管理班子或项目经理，履约保证金不予退还。要求乙方在响应文件中上报的项目经理为本项目的专职负责人，从项目开工起至完成竣工验收合格，项目经理的到岗率为100％，每缺岗1天，从履约保证金中扣除1000元/天，直至履约保证金全部扣完。其它相关要求按照《关于修订印发《杭州市建设施工企业项目经理管理办法》的通知（杭建市发〔2018〕580号）执行。</w:t>
      </w:r>
    </w:p>
    <w:p>
      <w:pPr>
        <w:pStyle w:val="19"/>
        <w:adjustRightInd w:val="0"/>
        <w:snapToGrid w:val="0"/>
        <w:spacing w:before="0" w:beforeLines="0" w:after="0" w:afterLines="0" w:line="360" w:lineRule="auto"/>
        <w:ind w:firstLine="420" w:firstLineChars="200"/>
        <w:rPr>
          <w:rFonts w:hint="eastAsia" w:hAnsi="宋体" w:cs="华文中宋"/>
          <w:bCs/>
          <w:color w:val="auto"/>
          <w:sz w:val="21"/>
          <w:szCs w:val="21"/>
          <w:highlight w:val="none"/>
        </w:rPr>
      </w:pPr>
      <w:r>
        <w:rPr>
          <w:rFonts w:hint="eastAsia" w:hAnsi="宋体" w:cs="华文中宋"/>
          <w:bCs/>
          <w:color w:val="auto"/>
          <w:sz w:val="21"/>
          <w:szCs w:val="21"/>
          <w:highlight w:val="none"/>
        </w:rPr>
        <w:t>2、承包人在响应文件中承诺的管理人员（项目经理、技术负责人、施工员、安全员、质检员、材料员）配备数量应满足本工程管理的需要和相应规范、文件要求。乙方应在响应文件中对管理人员的出勤率作出承诺。若项目经理、技术负责人出勤率不足磋商响应承诺，处罚1000元人民币/天；施工员、安全员、质检员、材料员出勤率不足磋商响应承诺，处罚500元人民币/天/人（出勤率按照为每月25天，每日工作时间8小时考勤）。重要施工工序或环节时项目经理、技术负责人等必须到场，否则处罚5000元人民币/每次</w:t>
      </w:r>
    </w:p>
    <w:p>
      <w:pPr>
        <w:snapToGrid w:val="0"/>
        <w:spacing w:line="360" w:lineRule="auto"/>
        <w:rPr>
          <w:rFonts w:hint="eastAsia" w:ascii="宋体" w:hAnsi="宋体" w:cs="华文中宋"/>
          <w:color w:val="auto"/>
          <w:szCs w:val="21"/>
          <w:highlight w:val="none"/>
        </w:rPr>
      </w:pPr>
      <w:r>
        <w:rPr>
          <w:rFonts w:hint="eastAsia" w:ascii="宋体" w:hAnsi="宋体" w:cs="华文中宋"/>
          <w:color w:val="auto"/>
          <w:szCs w:val="21"/>
          <w:highlight w:val="none"/>
        </w:rPr>
        <w:t xml:space="preserve">    3、合同总价中</w:t>
      </w:r>
      <w:r>
        <w:rPr>
          <w:rFonts w:ascii="宋体" w:hAnsi="宋体" w:cs="华文中宋"/>
          <w:color w:val="auto"/>
          <w:szCs w:val="21"/>
          <w:highlight w:val="none"/>
          <w:u w:val="single"/>
        </w:rPr>
        <w:t xml:space="preserve">          </w:t>
      </w:r>
      <w:r>
        <w:rPr>
          <w:rFonts w:hint="eastAsia" w:ascii="宋体" w:hAnsi="宋体" w:cs="华文中宋"/>
          <w:color w:val="auto"/>
          <w:szCs w:val="21"/>
          <w:highlight w:val="none"/>
        </w:rPr>
        <w:t>元相关暂列金的结算方式：工程量按实际结算，涉及的单价计算如下：</w:t>
      </w:r>
    </w:p>
    <w:p>
      <w:pPr>
        <w:snapToGrid w:val="0"/>
        <w:spacing w:line="360" w:lineRule="auto"/>
        <w:rPr>
          <w:rFonts w:hint="eastAsia" w:ascii="宋体" w:hAnsi="宋体" w:cs="华文中宋"/>
          <w:color w:val="auto"/>
          <w:szCs w:val="21"/>
          <w:highlight w:val="none"/>
        </w:rPr>
      </w:pPr>
      <w:r>
        <w:rPr>
          <w:rFonts w:hint="eastAsia" w:ascii="宋体" w:hAnsi="宋体" w:cs="华文中宋"/>
          <w:color w:val="auto"/>
          <w:szCs w:val="21"/>
          <w:highlight w:val="none"/>
        </w:rPr>
        <w:t xml:space="preserve">    ①响应文件中有相同子目的，按磋商报价；</w:t>
      </w:r>
    </w:p>
    <w:p>
      <w:pPr>
        <w:snapToGrid w:val="0"/>
        <w:spacing w:line="360" w:lineRule="auto"/>
        <w:rPr>
          <w:rFonts w:hint="eastAsia" w:ascii="宋体" w:hAnsi="宋体" w:cs="华文中宋"/>
          <w:color w:val="auto"/>
          <w:szCs w:val="21"/>
          <w:highlight w:val="none"/>
        </w:rPr>
      </w:pPr>
      <w:r>
        <w:rPr>
          <w:rFonts w:hint="eastAsia" w:ascii="宋体" w:hAnsi="宋体" w:cs="华文中宋"/>
          <w:color w:val="auto"/>
          <w:szCs w:val="21"/>
          <w:highlight w:val="none"/>
        </w:rPr>
        <w:t xml:space="preserve">    ②响应文件中有相似子目的，按相似子目组价计算；</w:t>
      </w:r>
    </w:p>
    <w:p>
      <w:pPr>
        <w:snapToGrid w:val="0"/>
        <w:spacing w:line="360" w:lineRule="auto"/>
        <w:ind w:firstLine="420"/>
        <w:rPr>
          <w:rFonts w:hint="eastAsia" w:ascii="宋体" w:hAnsi="宋体" w:cs="华文中宋"/>
          <w:color w:val="auto"/>
          <w:szCs w:val="21"/>
          <w:highlight w:val="none"/>
        </w:rPr>
      </w:pPr>
      <w:r>
        <w:rPr>
          <w:rFonts w:hint="eastAsia" w:ascii="宋体" w:hAnsi="宋体" w:cs="华文中宋"/>
          <w:color w:val="auto"/>
          <w:szCs w:val="21"/>
          <w:highlight w:val="none"/>
        </w:rPr>
        <w:t>③没有相同及相似的，按18版定额相应子目组价计算，费率及规费按磋商响应口径组价计算;由于医院施工存在的不确定性，若项目实施过程中遇到设计方案调整或施工方案变更，乙方必须无条件服从甲方，积极配合方案调整并开展后续工作。</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材料由乙方自行采购，所有材料均按响应文件中所列品牌采购，所有材料应有合格证和质保书，并符合国家规定的技术标准和设计要求。施工前材料须经甲方或监理验收，未经验收擅自施工，由此造成的损失和（或）延误的工期，由乙方承担。乙方使用不合格产品必须无条件返工，并承担甲方由此造成的损失。</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设计变更必须经设计单位确认，因工程变更而产生的新增减工程量，经甲方及监理单位工程联系单盖章签复意见后，方可作为决算依据。未经设计单位、甲方及监理单位确认，擅自变更，由此造成的损失和（或）延误的工期，由乙方承担。</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 xml:space="preserve">风险金已在合同综合单价中计入，不作调整。 </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 xml:space="preserve">工程中所有的孔洞须修补完毕并满足建筑、防渗水、防火、防潮要求，费用已计入合同总价中，不做调整。 </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 xml:space="preserve"> 甲乙双方必须签订《工程安全施工管理协议》（见附件），且必须按照浙江省及甲方安全生产、文明施工标准化工地要求，做好安全生产、文明施工。 安全生产、文明施工相关费用在工程实施过程中必须足额投入，否则甲方有权拒绝支付该项费用。</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bCs/>
          <w:color w:val="auto"/>
          <w:szCs w:val="21"/>
          <w:highlight w:val="none"/>
        </w:rPr>
        <w:t>由于本项目位于居住区内，施工期间必须保证文明施工，减少噪音，乙方必须无条件遵守和执行，且不得以此为由要求增加工程费用，</w:t>
      </w:r>
      <w:r>
        <w:rPr>
          <w:rFonts w:hint="eastAsia" w:ascii="宋体" w:hAnsi="宋体" w:cs="华文中宋"/>
          <w:color w:val="auto"/>
          <w:szCs w:val="21"/>
          <w:highlight w:val="none"/>
        </w:rPr>
        <w:t xml:space="preserve">尤其是中午、晚上时间不能有影响休息的噪声，违者应按规定处罚，并承担相应责任。 </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工程现场废旧建筑物拆除，垃圾收集、清运，工程设备、材料二次搬运，安全、环保、治安、消防的一切相关费用与违规责任均由乙方承担。</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因施工引起的其他花坛及路面破坏，乙方按原状修复（花坛处修复为路面，与旁边路面做法一致），费用已包含在合同总价内，不再计取。</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建筑材料运抵现场后，经甲方或监理单位（若有）验收发现使用不符合设计方案、采购文件及响应文件中要求的材料，甲方有权向乙方提出索赔。</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乙方应服从甲方及监理单位（若有）现场安全管理，保证自身的施工安全措施。</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乙方自行解决现场堆放材料和工具的仓库及其他土建配合的需要，费用包含在合同施工组织措施费中，不作调整。</w:t>
      </w:r>
    </w:p>
    <w:p>
      <w:pPr>
        <w:numPr>
          <w:ilvl w:val="0"/>
          <w:numId w:val="6"/>
        </w:numPr>
        <w:snapToGrid w:val="0"/>
        <w:spacing w:line="360" w:lineRule="auto"/>
        <w:ind w:firstLine="420" w:firstLineChars="200"/>
        <w:rPr>
          <w:rFonts w:hint="eastAsia" w:ascii="宋体" w:hAnsi="宋体" w:cs="华文中宋"/>
          <w:color w:val="auto"/>
          <w:szCs w:val="21"/>
          <w:highlight w:val="none"/>
        </w:rPr>
      </w:pPr>
      <w:r>
        <w:rPr>
          <w:rFonts w:hint="eastAsia" w:ascii="宋体" w:hAnsi="宋体" w:cs="华文中宋"/>
          <w:color w:val="auto"/>
          <w:szCs w:val="21"/>
          <w:highlight w:val="none"/>
        </w:rPr>
        <w:t>乙方确保工程竣工一次验收合格率为100％，若本工程质量未达到竣工一次验收合格率100％或发生质量事故的，乙方除无条件返工达到合格外，由乙方承担甲方一切损失费用。工期以返工完毕，验收通过之日为竣工日期计算工期扣罚。（除不可抗力情况、甲方和监理方原因及采购文件约定的情况外，工期一般不顺延，工期延误按合同工期每延误一天罚人民币2000元，罚款总额以合同价的百分之三为上限。工期提前不奖。）</w:t>
      </w:r>
    </w:p>
    <w:p>
      <w:pPr>
        <w:numPr>
          <w:ilvl w:val="0"/>
          <w:numId w:val="6"/>
        </w:numPr>
        <w:snapToGrid w:val="0"/>
        <w:spacing w:line="360" w:lineRule="auto"/>
        <w:ind w:firstLine="420" w:firstLineChars="200"/>
        <w:rPr>
          <w:rFonts w:ascii="宋体" w:hAnsi="宋体" w:cs="华文中宋"/>
          <w:color w:val="auto"/>
          <w:szCs w:val="21"/>
          <w:highlight w:val="none"/>
        </w:rPr>
      </w:pPr>
      <w:r>
        <w:rPr>
          <w:rFonts w:hint="eastAsia" w:ascii="宋体" w:hAnsi="宋体" w:cs="华文中宋"/>
          <w:color w:val="auto"/>
          <w:szCs w:val="21"/>
          <w:highlight w:val="none"/>
        </w:rPr>
        <w:t xml:space="preserve">乙方应对施工现场进行踏勘，充分了解建筑物结构、现场情况等，对技术难度和安全性引起特别重视，所发生的费用全部包括在合同总价中。 </w:t>
      </w:r>
    </w:p>
    <w:p>
      <w:pPr>
        <w:numPr>
          <w:ilvl w:val="0"/>
          <w:numId w:val="6"/>
        </w:numPr>
        <w:snapToGrid w:val="0"/>
        <w:spacing w:line="360" w:lineRule="auto"/>
        <w:ind w:firstLine="480"/>
        <w:rPr>
          <w:rFonts w:ascii="宋体" w:hAnsi="宋体" w:cs="华文中宋"/>
          <w:color w:val="auto"/>
          <w:szCs w:val="21"/>
          <w:highlight w:val="none"/>
        </w:rPr>
      </w:pPr>
      <w:r>
        <w:rPr>
          <w:rFonts w:hint="eastAsia" w:ascii="宋体" w:hAnsi="宋体" w:cs="华文中宋"/>
          <w:color w:val="auto"/>
          <w:szCs w:val="21"/>
          <w:highlight w:val="none"/>
        </w:rPr>
        <w:t>乙方应严格遵守各级环保管理机关的管理要求。服务中乙方人员损坏甲方财物，由乙方负责赔偿。乙方对违法操作、危险操作、不具有操作证的工作者应立即停止其工作并严肃处理，如因乙方过错或未及时整改而发生严重影响甲方信誉事件，由乙方承担全部责任。</w:t>
      </w:r>
    </w:p>
    <w:p>
      <w:pPr>
        <w:numPr>
          <w:ilvl w:val="0"/>
          <w:numId w:val="6"/>
        </w:numPr>
        <w:snapToGrid w:val="0"/>
        <w:spacing w:line="360" w:lineRule="auto"/>
        <w:ind w:firstLine="630"/>
        <w:rPr>
          <w:rFonts w:hint="eastAsia" w:ascii="宋体" w:hAnsi="宋体" w:cs="华文中宋"/>
          <w:color w:val="auto"/>
          <w:szCs w:val="21"/>
          <w:highlight w:val="none"/>
        </w:rPr>
      </w:pPr>
      <w:r>
        <w:rPr>
          <w:rFonts w:hint="eastAsia" w:ascii="宋体" w:hAnsi="宋体" w:cs="华文中宋"/>
          <w:color w:val="auto"/>
          <w:szCs w:val="21"/>
          <w:highlight w:val="none"/>
        </w:rPr>
        <w:t>本项目改造施工结束后，乙方应按照甲方指定的第三方有资质检测公司对项目进行检测辐射防护检测</w:t>
      </w:r>
      <w:r>
        <w:rPr>
          <w:rFonts w:hint="eastAsia" w:ascii="宋体" w:hAnsi="宋体" w:cs="华文中宋"/>
          <w:color w:val="auto"/>
          <w:szCs w:val="21"/>
          <w:highlight w:val="none"/>
          <w:lang w:eastAsia="zh-CN"/>
        </w:rPr>
        <w:t>、钢结构检测、消防安全评估</w:t>
      </w:r>
      <w:r>
        <w:rPr>
          <w:rFonts w:hint="eastAsia" w:ascii="宋体" w:hAnsi="宋体" w:cs="华文中宋"/>
          <w:color w:val="auto"/>
          <w:szCs w:val="21"/>
          <w:highlight w:val="none"/>
        </w:rPr>
        <w:t>，报告作为竣工验收条件之一。</w:t>
      </w:r>
    </w:p>
    <w:p>
      <w:pPr>
        <w:numPr>
          <w:ilvl w:val="0"/>
          <w:numId w:val="6"/>
        </w:numPr>
        <w:snapToGrid w:val="0"/>
        <w:spacing w:line="360" w:lineRule="auto"/>
        <w:ind w:firstLine="480"/>
        <w:rPr>
          <w:rFonts w:hint="eastAsia" w:ascii="宋体" w:hAnsi="宋体" w:cs="华文中宋"/>
          <w:color w:val="auto"/>
          <w:szCs w:val="21"/>
          <w:highlight w:val="none"/>
        </w:rPr>
      </w:pPr>
      <w:r>
        <w:rPr>
          <w:rFonts w:hint="eastAsia" w:ascii="宋体" w:hAnsi="宋体" w:cs="华文中宋"/>
          <w:color w:val="auto"/>
          <w:szCs w:val="21"/>
          <w:highlight w:val="none"/>
        </w:rPr>
        <w:t>由于本项目位于医院内，施工期间必须保证正常的医疗秩序，甲方可能会根据医院实际运营的需要发暂停施工通知，乙方必须无条件遵守和执行，且不得以此为由要求增加工程费用。</w:t>
      </w:r>
    </w:p>
    <w:p>
      <w:pPr>
        <w:numPr>
          <w:ilvl w:val="0"/>
          <w:numId w:val="6"/>
        </w:numPr>
        <w:snapToGrid w:val="0"/>
        <w:spacing w:line="360" w:lineRule="auto"/>
        <w:ind w:firstLine="480"/>
        <w:rPr>
          <w:rFonts w:hint="eastAsia" w:ascii="宋体" w:hAnsi="宋体" w:cs="华文中宋"/>
          <w:color w:val="auto"/>
          <w:szCs w:val="21"/>
          <w:highlight w:val="none"/>
        </w:rPr>
      </w:pPr>
      <w:r>
        <w:rPr>
          <w:rFonts w:hint="eastAsia" w:ascii="宋体" w:hAnsi="宋体" w:cs="华文中宋"/>
          <w:color w:val="auto"/>
          <w:szCs w:val="21"/>
          <w:highlight w:val="none"/>
        </w:rPr>
        <w:t>甲方院区内施工条件也存在特殊性，会存在不间断临时停工等现象，乙方需无条件服从，不得以此为由提出增加任何工程费用。</w:t>
      </w:r>
    </w:p>
    <w:p>
      <w:pPr>
        <w:numPr>
          <w:ilvl w:val="0"/>
          <w:numId w:val="6"/>
        </w:numPr>
        <w:snapToGrid w:val="0"/>
        <w:spacing w:line="360" w:lineRule="auto"/>
        <w:ind w:firstLine="480"/>
        <w:rPr>
          <w:rFonts w:hint="eastAsia" w:ascii="宋体" w:hAnsi="宋体" w:cs="华文中宋"/>
          <w:color w:val="auto"/>
          <w:szCs w:val="21"/>
          <w:highlight w:val="none"/>
        </w:rPr>
      </w:pPr>
      <w:r>
        <w:rPr>
          <w:rFonts w:hint="eastAsia" w:ascii="宋体" w:hAnsi="宋体" w:cs="华文中宋"/>
          <w:color w:val="auto"/>
          <w:szCs w:val="21"/>
          <w:highlight w:val="none"/>
        </w:rPr>
        <w:t>乙方在进场前，按甲方要求签订《工程安全施工管理协议》《中国科学院大学附属肿瘤医院（浙江省肿瘤医院）项目承诺书》等，上述签订内容作为合同的重要组成部分。乙方严格遵循约定内容，做好项目的安全文明施工，做好各类施工安全、人身安全等安全防护措施，未按要求执行所造成的一切责任和后果均由成交单位自行承担。</w:t>
      </w:r>
    </w:p>
    <w:p>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十三、甲方竞争性磋商文件及乙方磋商响应文件、合同附件系本合同不可分割的组成部分，具有补充解释合同的作用，与本合同具有同等法律效力。合同未尽事宜按竞争性磋商文件要求执行，其余事宜双方协商解决。</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（以下无正文）</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pacing w:val="-20"/>
          <w:szCs w:val="21"/>
          <w:highlight w:val="none"/>
        </w:rPr>
        <w:t>（盖章）</w:t>
      </w:r>
      <w:r>
        <w:rPr>
          <w:rFonts w:hint="eastAsia" w:ascii="宋体" w:hAnsi="宋体" w:cs="宋体"/>
          <w:color w:val="auto"/>
          <w:szCs w:val="21"/>
          <w:highlight w:val="none"/>
        </w:rPr>
        <w:t>：                            乙方</w:t>
      </w:r>
      <w:r>
        <w:rPr>
          <w:rFonts w:hint="eastAsia" w:ascii="宋体" w:hAnsi="宋体" w:cs="宋体"/>
          <w:color w:val="auto"/>
          <w:spacing w:val="-20"/>
          <w:szCs w:val="21"/>
          <w:highlight w:val="none"/>
        </w:rPr>
        <w:t>（盖章）</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p>
    <w:p>
      <w:pPr>
        <w:tabs>
          <w:tab w:val="left" w:pos="507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法定代表人或：（签字）                  法定代表人或：（签字）</w:t>
      </w:r>
    </w:p>
    <w:p>
      <w:pPr>
        <w:tabs>
          <w:tab w:val="left" w:pos="507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                           委托代理人：</w:t>
      </w:r>
    </w:p>
    <w:p>
      <w:pPr>
        <w:tabs>
          <w:tab w:val="left" w:pos="5070"/>
        </w:tabs>
        <w:snapToGrid w:val="0"/>
        <w:spacing w:line="360" w:lineRule="auto"/>
        <w:rPr>
          <w:rFonts w:hint="eastAsia" w:ascii="宋体" w:hAnsi="宋体" w:cs="宋体"/>
          <w:color w:val="auto"/>
          <w:szCs w:val="21"/>
          <w:highlight w:val="none"/>
        </w:rPr>
      </w:pPr>
    </w:p>
    <w:p>
      <w:pPr>
        <w:tabs>
          <w:tab w:val="left" w:pos="507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                               联系人：</w:t>
      </w:r>
    </w:p>
    <w:p>
      <w:pPr>
        <w:tabs>
          <w:tab w:val="left" w:pos="5070"/>
        </w:tabs>
        <w:snapToGrid w:val="0"/>
        <w:spacing w:line="360" w:lineRule="auto"/>
        <w:rPr>
          <w:rFonts w:hint="eastAsia" w:ascii="宋体" w:hAnsi="宋体" w:cs="宋体"/>
          <w:color w:val="auto"/>
          <w:szCs w:val="21"/>
          <w:highlight w:val="none"/>
        </w:rPr>
      </w:pPr>
    </w:p>
    <w:p>
      <w:pPr>
        <w:tabs>
          <w:tab w:val="left" w:pos="507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经办人：                               经办人：</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                                 电话：</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开户银行：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帐号：                                 帐号：</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签订日期：                             签订日期：</w:t>
      </w:r>
    </w:p>
    <w:bookmarkEnd w:id="49"/>
    <w:p>
      <w:pPr>
        <w:widowControl/>
        <w:jc w:val="left"/>
        <w:rPr>
          <w:rFonts w:hint="eastAsia" w:ascii="宋体" w:hAnsi="宋体" w:cs="宋体"/>
          <w:b/>
          <w:color w:val="auto"/>
          <w:szCs w:val="21"/>
          <w:highlight w:val="none"/>
        </w:rPr>
      </w:pPr>
    </w:p>
    <w:p>
      <w:pPr>
        <w:spacing w:line="400" w:lineRule="exact"/>
        <w:rPr>
          <w:rFonts w:hint="eastAsia" w:ascii="宋体" w:hAnsi="宋体" w:cs="宋体"/>
          <w:color w:val="auto"/>
          <w:szCs w:val="21"/>
          <w:highlight w:val="none"/>
        </w:rPr>
      </w:pPr>
    </w:p>
    <w:p>
      <w:pPr>
        <w:widowControl/>
        <w:jc w:val="left"/>
        <w:rPr>
          <w:rFonts w:hint="eastAsia" w:ascii="宋体" w:hAnsi="宋体" w:cs="宋体"/>
          <w:b/>
          <w:color w:val="auto"/>
          <w:szCs w:val="21"/>
          <w:highlight w:val="none"/>
        </w:rPr>
      </w:pP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协议书附件：</w:t>
      </w:r>
    </w:p>
    <w:p>
      <w:pPr>
        <w:adjustRightInd w:val="0"/>
        <w:snapToGrid w:val="0"/>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附件1：工程质量保修书</w:t>
      </w:r>
    </w:p>
    <w:p>
      <w:pPr>
        <w:adjustRightInd w:val="0"/>
        <w:snapToGrid w:val="0"/>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附件2：履约担保格式</w:t>
      </w:r>
    </w:p>
    <w:p>
      <w:pPr>
        <w:adjustRightInd w:val="0"/>
        <w:snapToGrid w:val="0"/>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附件3：预付款担保格式</w:t>
      </w:r>
    </w:p>
    <w:p>
      <w:pPr>
        <w:adjustRightInd w:val="0"/>
        <w:snapToGrid w:val="0"/>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附件4：支付担保格式（财政性投资项目按相关规定执行）</w:t>
      </w:r>
    </w:p>
    <w:p>
      <w:pPr>
        <w:adjustRightInd w:val="0"/>
        <w:snapToGrid w:val="0"/>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附件5：工程安全施工管理协议</w:t>
      </w:r>
    </w:p>
    <w:p>
      <w:pPr>
        <w:adjustRightInd w:val="0"/>
        <w:snapToGrid w:val="0"/>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附件6：工程建设项目廉洁责任书</w:t>
      </w:r>
    </w:p>
    <w:p>
      <w:pPr>
        <w:adjustRightInd w:val="0"/>
        <w:snapToGrid w:val="0"/>
        <w:spacing w:line="5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拟派项目负责人无在其他工程项目中担任项目负责人的承诺书</w:t>
      </w:r>
    </w:p>
    <w:p>
      <w:pPr>
        <w:pStyle w:val="3"/>
        <w:jc w:val="both"/>
        <w:rPr>
          <w:rFonts w:hint="eastAsia" w:ascii="宋体" w:hAnsi="宋体" w:cs="宋体"/>
          <w:color w:val="auto"/>
          <w:szCs w:val="21"/>
          <w:highlight w:val="none"/>
        </w:rPr>
      </w:pPr>
    </w:p>
    <w:p>
      <w:pPr>
        <w:rPr>
          <w:rFonts w:hint="eastAsia"/>
          <w:color w:val="auto"/>
          <w:highlight w:val="none"/>
        </w:rPr>
        <w:sectPr>
          <w:headerReference r:id="rId8" w:type="first"/>
          <w:footerReference r:id="rId10" w:type="first"/>
          <w:headerReference r:id="rId7" w:type="default"/>
          <w:footerReference r:id="rId9" w:type="default"/>
          <w:pgSz w:w="11906" w:h="16838"/>
          <w:pgMar w:top="1418" w:right="1555" w:bottom="1418" w:left="1531" w:header="851" w:footer="992" w:gutter="0"/>
          <w:cols w:space="720" w:num="1"/>
          <w:titlePg/>
          <w:docGrid w:type="lines" w:linePitch="312" w:charSpace="0"/>
        </w:sect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附件1：    </w:t>
      </w:r>
    </w:p>
    <w:p>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工程质量保修书</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浙江省肿瘤医院         </w:t>
      </w:r>
      <w:r>
        <w:rPr>
          <w:rFonts w:hint="eastAsia" w:ascii="宋体" w:hAnsi="宋体" w:cs="宋体"/>
          <w:color w:val="auto"/>
          <w:szCs w:val="21"/>
          <w:highlight w:val="none"/>
        </w:rPr>
        <w:t xml:space="preserve"> </w:t>
      </w:r>
    </w:p>
    <w:p>
      <w:pPr>
        <w:spacing w:line="500" w:lineRule="exact"/>
        <w:ind w:firstLine="480"/>
        <w:rPr>
          <w:rFonts w:hint="eastAsia" w:ascii="宋体" w:hAnsi="宋体" w:cs="宋体"/>
          <w:color w:val="auto"/>
          <w:szCs w:val="21"/>
          <w:highlight w:val="none"/>
          <w:u w:val="single"/>
        </w:rPr>
      </w:pPr>
      <w:r>
        <w:rPr>
          <w:rFonts w:hint="eastAsia" w:ascii="宋体" w:hAnsi="宋体" w:cs="宋体"/>
          <w:color w:val="auto"/>
          <w:szCs w:val="21"/>
          <w:highlight w:val="none"/>
        </w:rPr>
        <w:t>承包人（全称）：</w:t>
      </w:r>
    </w:p>
    <w:p>
      <w:pPr>
        <w:spacing w:line="500" w:lineRule="exact"/>
        <w:ind w:firstLine="480"/>
        <w:rPr>
          <w:rFonts w:hint="eastAsia" w:ascii="宋体" w:hAnsi="宋体" w:cs="宋体"/>
          <w:color w:val="auto"/>
          <w:szCs w:val="21"/>
          <w:highlight w:val="none"/>
        </w:rPr>
      </w:pP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签订工程质量保修书。</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一、工程质量保修范围和内容</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highlight w:val="none"/>
          <w:u w:val="single"/>
        </w:rPr>
        <w:t>包括采购文件和承包人实际完成工程量等所有内容</w:t>
      </w:r>
      <w:r>
        <w:rPr>
          <w:rFonts w:hint="eastAsia" w:ascii="宋体" w:hAnsi="宋体" w:cs="宋体"/>
          <w:color w:val="auto"/>
          <w:szCs w:val="21"/>
          <w:highlight w:val="none"/>
        </w:rPr>
        <w:t>。</w:t>
      </w:r>
    </w:p>
    <w:p>
      <w:pPr>
        <w:spacing w:line="500" w:lineRule="exact"/>
        <w:rPr>
          <w:rFonts w:hint="eastAsia"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年；</w:t>
      </w:r>
    </w:p>
    <w:p>
      <w:pPr>
        <w:spacing w:line="500" w:lineRule="exact"/>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pPr>
        <w:spacing w:line="500" w:lineRule="exact"/>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pPr>
        <w:spacing w:line="500" w:lineRule="exact"/>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个采暖期、供冷期；</w:t>
      </w:r>
    </w:p>
    <w:p>
      <w:pPr>
        <w:spacing w:line="500" w:lineRule="exact"/>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pPr>
        <w:spacing w:line="500" w:lineRule="exact"/>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三、缺陷责任期</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个月，缺陷责任期自工程通过竣工验收之日起计算。单位工程先于全部工程进行验收，单位工程缺陷责任期自单位工程验收合格之日期起算。</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四、质量保修责任</w:t>
      </w:r>
    </w:p>
    <w:p>
      <w:pPr>
        <w:spacing w:line="500" w:lineRule="exact"/>
        <w:ind w:firstLine="504" w:firstLineChars="240"/>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1．属于保修范围、内容的项目，承包人应当在接到报修通知后派人报修，接到报修后的到场维修时间为：土建和装饰部分是24小时、安装部分是12小时、弱电部分是24小时。</w:t>
      </w:r>
    </w:p>
    <w:p>
      <w:p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经医院后续维保部门界定，质保单位在应修复时间内未修复，则由医院后续维保部门发维修函，要求在一定时间内修复，如仍未修复，则由医院后续维保部门安排修复，维修费用经医院审计科审计后，加倍从质保单位的质保金内扣除，如预留质保金足额，则发包人直接在质量保修金中扣除；如预留质保金不足，则承包人应按差额在15个工作日内支付给发包人，若承包人无故拖欠差额部分维修费用，则发包人有权追溯并采取取消承包人在发包人以后项目投标资格等权利。</w:t>
      </w:r>
    </w:p>
    <w:p>
      <w:p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五、保修费用</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pPr>
        <w:spacing w:line="500" w:lineRule="exact"/>
        <w:ind w:firstLine="600"/>
        <w:jc w:val="left"/>
        <w:rPr>
          <w:rFonts w:hint="eastAsia" w:ascii="宋体" w:hAnsi="宋体" w:cs="宋体"/>
          <w:color w:val="auto"/>
          <w:szCs w:val="21"/>
          <w:highlight w:val="none"/>
          <w:u w:val="single"/>
        </w:rPr>
      </w:pPr>
      <w:r>
        <w:rPr>
          <w:rFonts w:hint="eastAsia" w:ascii="宋体" w:hAnsi="宋体" w:cs="宋体"/>
          <w:color w:val="auto"/>
          <w:szCs w:val="21"/>
          <w:highlight w:val="none"/>
        </w:rPr>
        <w:t>六、双方约定的其他工程质量保修事项：</w:t>
      </w:r>
    </w:p>
    <w:p>
      <w:pPr>
        <w:spacing w:line="500" w:lineRule="exact"/>
        <w:ind w:firstLine="600"/>
        <w:jc w:val="left"/>
        <w:rPr>
          <w:rFonts w:hint="eastAsia" w:ascii="宋体" w:hAnsi="宋体" w:cs="宋体"/>
          <w:color w:val="auto"/>
          <w:szCs w:val="21"/>
          <w:highlight w:val="none"/>
        </w:rPr>
      </w:pPr>
      <w:r>
        <w:rPr>
          <w:rFonts w:hint="eastAsia" w:ascii="宋体" w:hAnsi="宋体" w:cs="宋体"/>
          <w:color w:val="auto"/>
          <w:szCs w:val="21"/>
          <w:highlight w:val="none"/>
        </w:rPr>
        <w:t>1．双方约定的其他工程质量保修事项：质量保修期起始时间为验收合格次日起计。</w:t>
      </w:r>
    </w:p>
    <w:p>
      <w:pPr>
        <w:spacing w:line="500" w:lineRule="exact"/>
        <w:ind w:firstLine="600"/>
        <w:jc w:val="left"/>
        <w:rPr>
          <w:rFonts w:hint="eastAsia" w:ascii="宋体" w:hAnsi="宋体" w:cs="宋体"/>
          <w:color w:val="auto"/>
          <w:szCs w:val="21"/>
          <w:highlight w:val="none"/>
        </w:rPr>
      </w:pPr>
      <w:r>
        <w:rPr>
          <w:rFonts w:hint="eastAsia" w:ascii="宋体" w:hAnsi="宋体" w:cs="宋体"/>
          <w:color w:val="auto"/>
          <w:szCs w:val="21"/>
          <w:highlight w:val="none"/>
        </w:rPr>
        <w:t>2．发包人在保修期间的管理由总务基建部对应负责。</w:t>
      </w:r>
    </w:p>
    <w:p>
      <w:pPr>
        <w:spacing w:line="500" w:lineRule="exact"/>
        <w:ind w:firstLine="600"/>
        <w:jc w:val="left"/>
        <w:rPr>
          <w:rFonts w:hint="eastAsia" w:ascii="宋体" w:hAnsi="宋体" w:cs="宋体"/>
          <w:color w:val="auto"/>
          <w:szCs w:val="21"/>
          <w:highlight w:val="none"/>
        </w:rPr>
      </w:pPr>
      <w:r>
        <w:rPr>
          <w:rFonts w:hint="eastAsia" w:ascii="宋体" w:hAnsi="宋体" w:cs="宋体"/>
          <w:color w:val="auto"/>
          <w:szCs w:val="21"/>
          <w:highlight w:val="none"/>
        </w:rPr>
        <w:t xml:space="preserve">3．承包人的质量保修金在退还时，需由发包人总务基建部确认无质量问题方可退还。 </w:t>
      </w:r>
    </w:p>
    <w:p>
      <w:pPr>
        <w:spacing w:line="500" w:lineRule="exact"/>
        <w:ind w:firstLine="600"/>
        <w:jc w:val="left"/>
        <w:rPr>
          <w:rFonts w:hint="eastAsia" w:ascii="宋体" w:hAnsi="宋体" w:cs="宋体"/>
          <w:color w:val="auto"/>
          <w:szCs w:val="21"/>
          <w:highlight w:val="none"/>
          <w:u w:val="single"/>
        </w:rPr>
      </w:pPr>
      <w:r>
        <w:rPr>
          <w:rFonts w:hint="eastAsia" w:ascii="宋体" w:hAnsi="宋体" w:cs="宋体"/>
          <w:color w:val="auto"/>
          <w:szCs w:val="21"/>
          <w:highlight w:val="none"/>
        </w:rPr>
        <w:t>4．承包人质量保修联系人</w:t>
      </w:r>
      <w:r>
        <w:rPr>
          <w:rFonts w:hint="eastAsia" w:ascii="宋体" w:hAnsi="宋体" w:cs="宋体"/>
          <w:color w:val="auto"/>
          <w:szCs w:val="21"/>
          <w:highlight w:val="none"/>
          <w:u w:val="single"/>
        </w:rPr>
        <w:t>：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r>
        <w:rPr>
          <w:rFonts w:hint="eastAsia" w:ascii="宋体" w:hAnsi="宋体" w:cs="宋体"/>
          <w:color w:val="auto"/>
          <w:szCs w:val="21"/>
          <w:highlight w:val="none"/>
        </w:rPr>
        <w:t>邮箱地址</w:t>
      </w:r>
      <w:r>
        <w:rPr>
          <w:rFonts w:hint="eastAsia" w:ascii="宋体" w:hAnsi="宋体" w:cs="宋体"/>
          <w:color w:val="auto"/>
          <w:szCs w:val="21"/>
          <w:highlight w:val="none"/>
          <w:u w:val="single"/>
        </w:rPr>
        <w:t>：        。</w:t>
      </w:r>
    </w:p>
    <w:p>
      <w:pPr>
        <w:spacing w:line="500" w:lineRule="exact"/>
        <w:ind w:firstLine="399" w:firstLineChars="19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pPr>
        <w:spacing w:line="500" w:lineRule="exact"/>
        <w:ind w:firstLine="420"/>
        <w:rPr>
          <w:rFonts w:hint="eastAsia" w:ascii="宋体" w:hAnsi="宋体" w:cs="宋体"/>
          <w:color w:val="auto"/>
          <w:szCs w:val="21"/>
          <w:highlight w:val="none"/>
        </w:rPr>
      </w:pP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附件2：</w:t>
      </w:r>
    </w:p>
    <w:p>
      <w:pPr>
        <w:spacing w:before="120" w:beforeLines="50" w:after="120" w:afterLines="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履约担保</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pPr>
        <w:spacing w:line="500" w:lineRule="exact"/>
        <w:rPr>
          <w:rFonts w:hint="eastAsia" w:ascii="宋体" w:hAnsi="宋体" w:cs="宋体"/>
          <w:color w:val="auto"/>
          <w:szCs w:val="21"/>
          <w:highlight w:val="none"/>
        </w:rPr>
      </w:pP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pPr>
        <w:spacing w:line="500" w:lineRule="exact"/>
        <w:ind w:left="1329" w:hanging="1329" w:hangingChars="633"/>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附件3 ：</w:t>
      </w:r>
    </w:p>
    <w:p>
      <w:pPr>
        <w:spacing w:before="120" w:beforeLines="50" w:after="120" w:afterLines="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预付款担保</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pPr>
        <w:spacing w:line="500" w:lineRule="exact"/>
        <w:rPr>
          <w:rFonts w:hint="eastAsia" w:ascii="宋体" w:hAnsi="宋体" w:cs="宋体"/>
          <w:color w:val="auto"/>
          <w:szCs w:val="21"/>
          <w:highlight w:val="none"/>
        </w:rPr>
      </w:pP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pPr>
        <w:spacing w:line="500" w:lineRule="exact"/>
        <w:rPr>
          <w:rFonts w:hint="eastAsia" w:ascii="宋体" w:hAnsi="宋体" w:cs="宋体"/>
          <w:color w:val="auto"/>
          <w:szCs w:val="21"/>
          <w:highlight w:val="none"/>
        </w:rPr>
      </w:pP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60" w:lineRule="exact"/>
        <w:rPr>
          <w:rFonts w:hint="eastAsia" w:ascii="宋体" w:hAnsi="宋体" w:cs="宋体"/>
          <w:b/>
          <w:bCs/>
          <w:color w:val="auto"/>
          <w:sz w:val="24"/>
          <w:highlight w:val="none"/>
          <w:u w:val="single"/>
        </w:rPr>
      </w:pPr>
      <w:r>
        <w:rPr>
          <w:rFonts w:hint="eastAsia" w:ascii="宋体" w:hAnsi="宋体" w:cs="宋体"/>
          <w:b/>
          <w:color w:val="auto"/>
          <w:szCs w:val="21"/>
          <w:highlight w:val="none"/>
        </w:rPr>
        <w:br w:type="page"/>
      </w:r>
      <w:r>
        <w:rPr>
          <w:rFonts w:hint="eastAsia" w:ascii="宋体" w:hAnsi="宋体" w:cs="宋体"/>
          <w:color w:val="auto"/>
          <w:sz w:val="24"/>
          <w:highlight w:val="none"/>
        </w:rPr>
        <w:t>附件4：</w:t>
      </w:r>
    </w:p>
    <w:p>
      <w:pPr>
        <w:spacing w:line="460" w:lineRule="exact"/>
        <w:jc w:val="center"/>
        <w:rPr>
          <w:rFonts w:hint="eastAsia" w:ascii="宋体" w:hAnsi="宋体" w:cs="宋体"/>
          <w:b/>
          <w:bCs/>
          <w:color w:val="auto"/>
          <w:sz w:val="24"/>
          <w:highlight w:val="none"/>
          <w:u w:val="single"/>
        </w:rPr>
      </w:pPr>
    </w:p>
    <w:p>
      <w:pPr>
        <w:numPr>
          <w:ilvl w:val="0"/>
          <w:numId w:val="0"/>
        </w:numPr>
        <w:spacing w:line="460" w:lineRule="exact"/>
        <w:jc w:val="both"/>
        <w:rPr>
          <w:rFonts w:hint="eastAsia" w:ascii="方正黑体_GBK" w:hAnsi="方正黑体_GBK" w:eastAsia="方正黑体_GBK" w:cs="方正黑体_GBK"/>
          <w:b/>
          <w:bCs/>
          <w:color w:val="auto"/>
          <w:sz w:val="36"/>
          <w:szCs w:val="36"/>
          <w:highlight w:val="none"/>
          <w:u w:val="single"/>
          <w:lang w:val="en-US" w:eastAsia="zh-CN"/>
        </w:rPr>
      </w:pPr>
      <w:r>
        <w:rPr>
          <w:rFonts w:hint="eastAsia" w:ascii="方正黑体_GBK" w:hAnsi="方正黑体_GBK" w:eastAsia="方正黑体_GBK" w:cs="方正黑体_GBK"/>
          <w:color w:val="auto"/>
          <w:highlight w:val="none"/>
          <w:lang w:eastAsia="zh-CN"/>
        </w:rPr>
        <w:drawing>
          <wp:anchor distT="0" distB="0" distL="114300" distR="114300" simplePos="0" relativeHeight="251660288" behindDoc="0" locked="0" layoutInCell="1" allowOverlap="1">
            <wp:simplePos x="0" y="0"/>
            <wp:positionH relativeFrom="column">
              <wp:posOffset>-781050</wp:posOffset>
            </wp:positionH>
            <wp:positionV relativeFrom="paragraph">
              <wp:posOffset>-708660</wp:posOffset>
            </wp:positionV>
            <wp:extent cx="845820" cy="845820"/>
            <wp:effectExtent l="0" t="0" r="11430" b="11430"/>
            <wp:wrapSquare wrapText="bothSides"/>
            <wp:docPr id="2" name="图片 9" descr="42615aae6fc02227e61476982b9d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42615aae6fc02227e61476982b9de8f"/>
                    <pic:cNvPicPr>
                      <a:picLocks noChangeAspect="1"/>
                    </pic:cNvPicPr>
                  </pic:nvPicPr>
                  <pic:blipFill>
                    <a:blip r:embed="rId22"/>
                    <a:stretch>
                      <a:fillRect/>
                    </a:stretch>
                  </pic:blipFill>
                  <pic:spPr>
                    <a:xfrm>
                      <a:off x="0" y="0"/>
                      <a:ext cx="845820" cy="845820"/>
                    </a:xfrm>
                    <a:prstGeom prst="rect">
                      <a:avLst/>
                    </a:prstGeom>
                    <a:noFill/>
                    <a:ln>
                      <a:noFill/>
                    </a:ln>
                  </pic:spPr>
                </pic:pic>
              </a:graphicData>
            </a:graphic>
          </wp:anchor>
        </w:drawing>
      </w:r>
      <w:r>
        <w:rPr>
          <w:rFonts w:hint="eastAsia" w:ascii="方正黑体_GBK" w:hAnsi="方正黑体_GBK" w:eastAsia="方正黑体_GBK" w:cs="方正黑体_GBK"/>
          <w:b/>
          <w:bCs/>
          <w:color w:val="auto"/>
          <w:sz w:val="36"/>
          <w:szCs w:val="36"/>
          <w:highlight w:val="none"/>
          <w:lang w:val="en-US" w:eastAsia="zh-CN"/>
        </w:rPr>
        <w:t>中国科学院大学附属肿瘤医院（浙江省肿瘤医院）</w:t>
      </w:r>
    </w:p>
    <w:p>
      <w:pPr>
        <w:numPr>
          <w:ilvl w:val="0"/>
          <w:numId w:val="0"/>
        </w:numPr>
        <w:spacing w:line="460" w:lineRule="exact"/>
        <w:ind w:firstLine="1440" w:firstLineChars="400"/>
        <w:jc w:val="both"/>
        <w:rPr>
          <w:rFonts w:hint="eastAsia" w:ascii="方正黑体_GBK" w:hAnsi="方正黑体_GBK" w:eastAsia="方正黑体_GBK" w:cs="方正黑体_GBK"/>
          <w:b/>
          <w:bCs/>
          <w:color w:val="auto"/>
          <w:sz w:val="36"/>
          <w:szCs w:val="36"/>
          <w:highlight w:val="none"/>
          <w:lang w:val="en-US" w:eastAsia="zh-CN"/>
        </w:rPr>
      </w:pPr>
      <w:r>
        <w:rPr>
          <w:rFonts w:hint="eastAsia" w:ascii="方正黑体_GBK" w:hAnsi="方正黑体_GBK" w:eastAsia="方正黑体_GBK" w:cs="方正黑体_GBK"/>
          <w:b/>
          <w:bCs/>
          <w:color w:val="auto"/>
          <w:sz w:val="36"/>
          <w:szCs w:val="36"/>
          <w:highlight w:val="none"/>
          <w:u w:val="single"/>
          <w:lang w:val="en-US" w:eastAsia="zh-CN"/>
        </w:rPr>
        <w:t xml:space="preserve">                     </w:t>
      </w:r>
      <w:r>
        <w:rPr>
          <w:rFonts w:hint="eastAsia" w:ascii="方正黑体_GBK" w:hAnsi="方正黑体_GBK" w:eastAsia="方正黑体_GBK" w:cs="方正黑体_GBK"/>
          <w:b/>
          <w:bCs/>
          <w:color w:val="auto"/>
          <w:sz w:val="36"/>
          <w:szCs w:val="36"/>
          <w:highlight w:val="none"/>
          <w:lang w:val="en-US" w:eastAsia="zh-CN"/>
        </w:rPr>
        <w:t>项目承诺书</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440" w:firstLineChars="200"/>
        <w:jc w:val="both"/>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为</w:t>
      </w:r>
      <w:r>
        <w:rPr>
          <w:rFonts w:hint="eastAsia" w:ascii="宋体" w:hAnsi="宋体" w:eastAsia="宋体" w:cs="宋体"/>
          <w:b w:val="0"/>
          <w:bCs w:val="0"/>
          <w:color w:val="auto"/>
          <w:sz w:val="22"/>
          <w:szCs w:val="22"/>
          <w:highlight w:val="none"/>
          <w:lang w:val="en-US" w:eastAsia="zh-CN"/>
        </w:rPr>
        <w:t>确保我公司在国科大附属肿瘤医院（浙江省肿瘤医院）院内的建设工程项目</w:t>
      </w:r>
      <w:r>
        <w:rPr>
          <w:rFonts w:hint="eastAsia" w:ascii="宋体" w:hAnsi="宋体" w:eastAsia="宋体" w:cs="宋体"/>
          <w:b w:val="0"/>
          <w:bCs w:val="0"/>
          <w:color w:val="auto"/>
          <w:sz w:val="22"/>
          <w:szCs w:val="22"/>
          <w:highlight w:val="none"/>
        </w:rPr>
        <w:t>圆满完成，进一步落实安全、文明施工等</w:t>
      </w:r>
      <w:r>
        <w:rPr>
          <w:rFonts w:hint="eastAsia" w:ascii="宋体" w:hAnsi="宋体" w:eastAsia="宋体" w:cs="宋体"/>
          <w:b w:val="0"/>
          <w:bCs w:val="0"/>
          <w:color w:val="auto"/>
          <w:sz w:val="22"/>
          <w:szCs w:val="22"/>
          <w:highlight w:val="none"/>
          <w:lang w:eastAsia="zh-CN"/>
        </w:rPr>
        <w:t>责任</w:t>
      </w:r>
      <w:r>
        <w:rPr>
          <w:rFonts w:hint="eastAsia" w:ascii="宋体" w:hAnsi="宋体" w:eastAsia="宋体" w:cs="宋体"/>
          <w:b w:val="0"/>
          <w:bCs w:val="0"/>
          <w:color w:val="auto"/>
          <w:sz w:val="22"/>
          <w:szCs w:val="22"/>
          <w:highlight w:val="none"/>
        </w:rPr>
        <w:t>，特</w:t>
      </w:r>
      <w:r>
        <w:rPr>
          <w:rFonts w:hint="eastAsia" w:ascii="宋体" w:hAnsi="宋体" w:eastAsia="宋体" w:cs="宋体"/>
          <w:b w:val="0"/>
          <w:bCs w:val="0"/>
          <w:color w:val="auto"/>
          <w:sz w:val="22"/>
          <w:szCs w:val="22"/>
          <w:highlight w:val="none"/>
          <w:lang w:val="en-US" w:eastAsia="zh-CN"/>
        </w:rPr>
        <w:t>此承诺：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严格</w:t>
      </w:r>
      <w:r>
        <w:rPr>
          <w:rFonts w:hint="eastAsia" w:ascii="宋体" w:hAnsi="宋体" w:eastAsia="宋体" w:cs="宋体"/>
          <w:color w:val="auto"/>
          <w:sz w:val="22"/>
          <w:szCs w:val="22"/>
          <w:highlight w:val="none"/>
          <w:lang w:val="en-US" w:eastAsia="zh-CN"/>
        </w:rPr>
        <w:t>按照投标文、件要求，认真履行合同要求及本职任务，按投标文件要求配备施工团队人员，强化施工过程中的人员质量、进度、安全、消防等管理，强化安全生产教育和管理，提高安全防范意识。严格遵照《劳动法》的要求支付项目人员劳动报酬并购买相应保险，规范施工作业，保质保量完成施工任务，按照新冠肺炎疫情防控各项要求开展疫情防控工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楼宇内施工时挂牌上岗（项目经理、施工人员等全部施工人员），施工前先告知施工科室负责人或工作人员，医院特殊区域施工需根据要求进行（例如手术室，ICU等），如有违规，罚款500元/次。现场使用的建筑材料按医院要求堆放整齐，区域内施工作业完成后3天内清理干净，如有违规，罚款500元/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3、动火动焊、高空作业等特种作业提前按医院相关要求提前3个工作日报备，未按要求执行所造成的一切责任均由我公司自行承担，未报备擅自施工罚款2000元/次。施工场地内禁止吸烟，如有违规，罚款2000元/次。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按国家相关规范及行业标准要求施工，确保工程质量，规范施工工艺，建筑材料选用与投标文件相一致品规的合格材料。材料选样、用色经医院确认后方可施工。涉及特殊工艺材料或造价信息外的材料，按相关流程报备经医院同意后施工，如有违规，罚款2000元/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在建或质保期内发生同样的质量问题，不再二次计价，进行修复直至正常使用；如因质量、工艺问题导致的全部责任均由我公司负责并赔偿全部损失。若医院抽样结果不合格或未使用投标文件内品规的材料，罚款2000元/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6、项目负责人准时参加医院每周</w:t>
      </w: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lang w:val="en-US" w:eastAsia="zh-CN"/>
        </w:rPr>
        <w:t>上午的项目例会，设计变更或施工变更等在每周项目例会中以周报表形式提出，若项目负责人未参加例会，罚款500元/次。会议纪要在当周周三经各方盖章（签字）确认后，我公司承诺在7天内根据要求向医院上报书面联系单，联系单经医院签发后方可执行并作为审计结算的依据，若超过时间未上报，后续一律不予补签，我公司自愿放弃结算权利。</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7、我公司承诺，联系单总签证周期不超过10天，在施工联系单签证时，注明签证依据（会议纪要或设计变更等），变更材料品牌、规格、工程量（若涉及设计变更需附图）、项目编码、项目名称、投标单价、组价依据等，并提供相应的图片或留存视频资料。联系单内未备注明确或超过签证周期，则事后一律放弃补签和追加结算权利。 </w:t>
      </w:r>
    </w:p>
    <w:p>
      <w:pPr>
        <w:keepNext w:val="0"/>
        <w:keepLines w:val="0"/>
        <w:pageBreakBefore w:val="0"/>
        <w:widowControl w:val="0"/>
        <w:kinsoku/>
        <w:wordWrap/>
        <w:overflowPunct/>
        <w:topLinePunct w:val="0"/>
        <w:autoSpaceDE/>
        <w:autoSpaceDN/>
        <w:bidi w:val="0"/>
        <w:adjustRightInd/>
        <w:snapToGrid/>
        <w:spacing w:line="380" w:lineRule="atLeast"/>
        <w:ind w:right="0" w:rightChars="0"/>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我公司自愿作出上述承诺，并将</w:t>
      </w:r>
      <w:r>
        <w:rPr>
          <w:rFonts w:hint="eastAsia" w:ascii="宋体" w:hAnsi="宋体" w:eastAsia="宋体" w:cs="宋体"/>
          <w:b/>
          <w:bCs/>
          <w:color w:val="auto"/>
          <w:sz w:val="22"/>
          <w:szCs w:val="22"/>
          <w:highlight w:val="none"/>
        </w:rPr>
        <w:t>严格执行，如未</w:t>
      </w:r>
      <w:r>
        <w:rPr>
          <w:rFonts w:hint="eastAsia" w:ascii="宋体" w:hAnsi="宋体" w:eastAsia="宋体" w:cs="宋体"/>
          <w:b/>
          <w:bCs/>
          <w:color w:val="auto"/>
          <w:sz w:val="22"/>
          <w:szCs w:val="22"/>
          <w:highlight w:val="none"/>
          <w:lang w:val="en-US" w:eastAsia="zh-CN"/>
        </w:rPr>
        <w:t>履行承诺</w:t>
      </w:r>
      <w:r>
        <w:rPr>
          <w:rFonts w:hint="eastAsia" w:ascii="宋体" w:hAnsi="宋体" w:eastAsia="宋体" w:cs="宋体"/>
          <w:b/>
          <w:bCs/>
          <w:color w:val="auto"/>
          <w:sz w:val="22"/>
          <w:szCs w:val="22"/>
          <w:highlight w:val="none"/>
        </w:rPr>
        <w:t>，造成一切后果由</w:t>
      </w:r>
      <w:r>
        <w:rPr>
          <w:rFonts w:hint="eastAsia" w:ascii="宋体" w:hAnsi="宋体" w:eastAsia="宋体" w:cs="宋体"/>
          <w:b/>
          <w:bCs/>
          <w:color w:val="auto"/>
          <w:sz w:val="22"/>
          <w:szCs w:val="22"/>
          <w:highlight w:val="none"/>
          <w:lang w:val="en-US" w:eastAsia="zh-CN"/>
        </w:rPr>
        <w:t>我</w:t>
      </w:r>
      <w:r>
        <w:rPr>
          <w:rFonts w:hint="eastAsia" w:ascii="宋体" w:hAnsi="宋体" w:eastAsia="宋体" w:cs="宋体"/>
          <w:b/>
          <w:bCs/>
          <w:color w:val="auto"/>
          <w:sz w:val="22"/>
          <w:szCs w:val="22"/>
          <w:highlight w:val="none"/>
        </w:rPr>
        <w:t>单位负责！</w:t>
      </w:r>
      <w:r>
        <w:rPr>
          <w:rFonts w:hint="eastAsia" w:ascii="宋体" w:hAnsi="宋体" w:eastAsia="宋体" w:cs="宋体"/>
          <w:color w:val="auto"/>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right="0" w:rightChars="0"/>
        <w:jc w:val="both"/>
        <w:textAlignment w:val="auto"/>
        <w:outlineLvl w:val="9"/>
        <w:rPr>
          <w:rFonts w:hint="eastAsia" w:ascii="宋体" w:hAnsi="宋体" w:eastAsia="宋体" w:cs="宋体"/>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right="0" w:rightChars="0"/>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承诺</w:t>
      </w:r>
      <w:r>
        <w:rPr>
          <w:rFonts w:hint="eastAsia" w:ascii="宋体" w:hAnsi="宋体" w:eastAsia="宋体" w:cs="宋体"/>
          <w:color w:val="auto"/>
          <w:sz w:val="22"/>
          <w:szCs w:val="22"/>
          <w:highlight w:val="none"/>
        </w:rPr>
        <w:t>单位:</w:t>
      </w:r>
      <w:r>
        <w:rPr>
          <w:rFonts w:hint="eastAsia" w:ascii="宋体" w:hAnsi="宋体" w:eastAsia="宋体" w:cs="宋体"/>
          <w:color w:val="auto"/>
          <w:sz w:val="22"/>
          <w:szCs w:val="22"/>
          <w:highlight w:val="none"/>
          <w:lang w:val="en-US" w:eastAsia="zh-CN"/>
        </w:rPr>
        <w:t xml:space="preserve">                                     项目经理（签字）：</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0" w:firstLineChars="0"/>
        <w:jc w:val="both"/>
        <w:textAlignment w:val="auto"/>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color w:val="auto"/>
          <w:sz w:val="22"/>
          <w:szCs w:val="22"/>
          <w:highlight w:val="none"/>
          <w:lang w:val="en-US" w:eastAsia="zh-CN"/>
        </w:rPr>
        <w:t xml:space="preserve">                                                        年   月   日</w:t>
      </w:r>
    </w:p>
    <w:p>
      <w:pP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br w:type="page"/>
      </w:r>
      <w:r>
        <w:rPr>
          <w:rFonts w:hint="eastAsia" w:ascii="宋体" w:hAnsi="宋体" w:cs="宋体"/>
          <w:color w:val="auto"/>
          <w:sz w:val="24"/>
          <w:highlight w:val="none"/>
        </w:rPr>
        <w:t>附件5：</w:t>
      </w:r>
    </w:p>
    <w:p>
      <w:pPr>
        <w:jc w:val="center"/>
        <w:rPr>
          <w:rFonts w:hint="eastAsia" w:ascii="华文中宋" w:hAnsi="华文中宋" w:eastAsia="华文中宋" w:cs="华文中宋"/>
          <w:b/>
          <w:bCs/>
          <w:color w:val="auto"/>
          <w:sz w:val="40"/>
          <w:szCs w:val="40"/>
          <w:highlight w:val="none"/>
        </w:rPr>
      </w:pPr>
      <w:r>
        <w:rPr>
          <w:rFonts w:hint="eastAsia" w:ascii="方正小标宋简体" w:hAnsi="方正小标宋简体" w:eastAsia="方正小标宋简体" w:cs="方正小标宋简体"/>
          <w:b/>
          <w:bCs/>
          <w:color w:val="auto"/>
          <w:sz w:val="36"/>
          <w:szCs w:val="36"/>
          <w:highlight w:val="none"/>
          <w:lang w:val="en-US" w:eastAsia="zh-CN"/>
        </w:rPr>
        <w:t>工程安全施工管理协议</w:t>
      </w:r>
    </w:p>
    <w:p>
      <w:pPr>
        <w:keepNext w:val="0"/>
        <w:keepLines w:val="0"/>
        <w:pageBreakBefore w:val="0"/>
        <w:widowControl w:val="0"/>
        <w:kinsoku/>
        <w:wordWrap/>
        <w:overflowPunct/>
        <w:topLinePunct w:val="0"/>
        <w:autoSpaceDE/>
        <w:autoSpaceDN/>
        <w:bidi w:val="0"/>
        <w:adjustRightInd/>
        <w:snapToGrid/>
        <w:spacing w:line="440" w:lineRule="exact"/>
        <w:ind w:left="359" w:leftChars="17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甲方: </w:t>
      </w:r>
      <w:r>
        <w:rPr>
          <w:rFonts w:hint="eastAsia" w:ascii="宋体" w:hAnsi="宋体" w:eastAsia="宋体" w:cs="宋体"/>
          <w:b/>
          <w:color w:val="auto"/>
          <w:sz w:val="21"/>
          <w:szCs w:val="21"/>
          <w:highlight w:val="none"/>
          <w:u w:val="none"/>
        </w:rPr>
        <w:t xml:space="preserve">浙江省肿瘤医院 </w:t>
      </w:r>
      <w:r>
        <w:rPr>
          <w:rFonts w:hint="eastAsia" w:ascii="宋体" w:hAnsi="宋体" w:eastAsia="宋体" w:cs="宋体"/>
          <w:b/>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359" w:leftChars="171"/>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为贯彻“安全第一，预防为主，综合治理”的方针，根据《安全生产法》、《建设工程安全生产管理条例》等国家有关安全管理法律法规,明确各方的安全责任，确保施工安全，签订本协议。</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本项目安全总目标</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不发生人身死亡事故。</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不发生主要设备、重大施工机械损坏事故。</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w:t>
      </w:r>
      <w:r>
        <w:rPr>
          <w:rFonts w:hint="eastAsia" w:eastAsia="宋体"/>
          <w:color w:val="auto"/>
          <w:highlight w:val="none"/>
          <w:lang w:eastAsia="zh-CN"/>
        </w:rPr>
        <w:drawing>
          <wp:anchor distT="0" distB="0" distL="114300" distR="114300" simplePos="0" relativeHeight="251661312" behindDoc="0" locked="0" layoutInCell="1" allowOverlap="1">
            <wp:simplePos x="0" y="0"/>
            <wp:positionH relativeFrom="column">
              <wp:posOffset>-781050</wp:posOffset>
            </wp:positionH>
            <wp:positionV relativeFrom="paragraph">
              <wp:posOffset>-3536950</wp:posOffset>
            </wp:positionV>
            <wp:extent cx="845820" cy="845820"/>
            <wp:effectExtent l="0" t="0" r="11430" b="11430"/>
            <wp:wrapSquare wrapText="bothSides"/>
            <wp:docPr id="3" name="图片 4" descr="42615aae6fc02227e61476982b9d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2615aae6fc02227e61476982b9de8f"/>
                    <pic:cNvPicPr>
                      <a:picLocks noChangeAspect="1"/>
                    </pic:cNvPicPr>
                  </pic:nvPicPr>
                  <pic:blipFill>
                    <a:blip r:embed="rId22"/>
                    <a:stretch>
                      <a:fillRect/>
                    </a:stretch>
                  </pic:blipFill>
                  <pic:spPr>
                    <a:xfrm>
                      <a:off x="0" y="0"/>
                      <a:ext cx="845820" cy="845820"/>
                    </a:xfrm>
                    <a:prstGeom prst="rect">
                      <a:avLst/>
                    </a:prstGeom>
                    <a:noFill/>
                    <a:ln>
                      <a:noFill/>
                    </a:ln>
                  </pic:spPr>
                </pic:pic>
              </a:graphicData>
            </a:graphic>
          </wp:anchor>
        </w:drawing>
      </w:r>
      <w:r>
        <w:rPr>
          <w:rFonts w:hint="eastAsia" w:ascii="宋体" w:hAnsi="宋体" w:eastAsia="宋体" w:cs="宋体"/>
          <w:color w:val="auto"/>
          <w:sz w:val="21"/>
          <w:szCs w:val="21"/>
          <w:highlight w:val="none"/>
        </w:rPr>
        <w:t>重大火灾事故。</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不发生负主要责任的重大交通事故。</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不发生重大环境污染事故。</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重伤事故频率控制在【 0 】次/年.千人。</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不发生重复相同性质的事故。</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1.工程项目</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工程项目名称：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工程地址：</w:t>
      </w:r>
      <w:r>
        <w:rPr>
          <w:rFonts w:hint="eastAsia" w:ascii="宋体" w:hAnsi="宋体" w:eastAsia="宋体" w:cs="宋体"/>
          <w:color w:val="auto"/>
          <w:sz w:val="21"/>
          <w:szCs w:val="21"/>
          <w:highlight w:val="none"/>
          <w:u w:val="single"/>
        </w:rPr>
        <w:t>杭州市拱墅区</w:t>
      </w:r>
      <w:r>
        <w:rPr>
          <w:rFonts w:hint="eastAsia" w:ascii="宋体" w:hAnsi="宋体" w:eastAsia="宋体" w:cs="宋体"/>
          <w:color w:val="auto"/>
          <w:sz w:val="21"/>
          <w:szCs w:val="21"/>
          <w:highlight w:val="none"/>
          <w:u w:val="single"/>
          <w:lang w:val="en-US" w:eastAsia="zh-CN"/>
        </w:rPr>
        <w:t>半山东路1号</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承包范围：</w:t>
      </w:r>
      <w:r>
        <w:rPr>
          <w:rFonts w:hint="eastAsia" w:ascii="宋体" w:hAnsi="宋体" w:eastAsia="宋体" w:cs="宋体"/>
          <w:bCs/>
          <w:color w:val="auto"/>
          <w:sz w:val="21"/>
          <w:szCs w:val="21"/>
          <w:highlight w:val="none"/>
        </w:rPr>
        <w:t>招标文件、招标答疑纪要、招标答疑纪要补充说明，招标图纸（提供图纸目录范围）及招标工程量清单范围内的所有建筑安装工程</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承包方式：包工包料</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2.甲方的权利和义务：</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2.1甲方应认真贯彻并严格执行国家和地方有关安全生产的法律、法规和规章。</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2.2甲方按有关规定对乙方的资质进行审查，以确认乙方承包的工程与其资质相符合。</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2.3工程（项目）施工前，甲方有权对乙方施工人员进行安全生产进场教育，介绍施工中有关安全、防火等要求，以提高乙方员工的安全思想意识和自我保护能力，增强法制观念。</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甲方有权对乙方工作人员的安全教育和安全考试的情况进行抽查或抽考，禁止不合格者进入现场施工。</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甲方在工程（项目）施工前应认真审核乙方开工报告、施工组织设计、作业指导书、检修施工方案等相关文件，根据工程（项目）内容、特点进行全面的安全技术交底，详细向乙方说明本工程项目施工日期、特点要求、危险因素及安全风险。</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2.6施工期间，甲方指派【     】同志负责联系、检查、督促乙方执行有关安全、防火规定。甲方应经常联系乙方，相互协助检查和处理工程施工中有关的安全、防火工作，预防事故发生。</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当乙方出现安全、文明施工严重失控或严重失控的危险时，甲方认为确实有必要暂停施工的，应当以口头或书面形式要求乙方暂停施工，并提出书面整改意见。当乙方完成整改处理意见并以书面形式提出开工要求后，甲方应当在48个小时内组织验收，并于验收合格后签字给予答复。</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乙方发生以下情况时，甲方有权对乙方进行停工整顿直至解除施工合同：</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（1）发生人身伤亡事故或严重隐患；</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（2）发生施工机械、生产主设备严重损坏事故或严重隐患；</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（3）发生厂内建筑物火灾、火险事故或严重隐患；</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（4）重复发生相同性质的安全事故；</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（5）二次以上不听从劝告，施工现场脏、乱、差、不能满足安全和文明施工要求。</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2.8由甲方提供的机械设备、安全设施，在安装完毕提交使用前，甲方应配合乙方共同按规定验收，并做好验收及交付使用的书面手续。</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2.9对乙方人员违反甲方安全规章制度的行为，甲方有权进行处罚。</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 甲方未履行本条规定的各项义务和责任，属甲方违约，但并不因此免除乙方在本协议项下有关安全的任何责任与义务。</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3、乙方的权利和义务：</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3.1乙方应认真贯彻并严格执行国家和地方有关安全生产的法律、法规和规章以及甲方的有关指令。</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乙方法定代表人或项目负责人是本工程的安全工作的第一责任人，对本协议所有施工项目的实施过程中涉及的安全负责，对派遣的工作人员，编制的《施工方案》、《作业指导书》，以及提供的工程车辆、施工机械的安全负责，并保证所派遣的工作人员具有完成所指派工作的安全知识和能力。乙方应对施工现场的安全生产负总责。乙方依法将建设工程分包给其他单位的，应征得甲方的同意。分包合同中应当明确各自的安全生产方面的权利、义务。乙方和分包单位对分包工程的安全生产承担连带责任。</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3.3乙方应有健全的安全管理组织体系，包括具体负责安全生产的领导。乙方必须配有专职安全员，安全员应持有相应上岗证书或资格证书。</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3.4乙方指定【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等】同志为本工程（项目）专职安全员，负责施工现场及施工过程的安全管理，检查和处理工程施工中有关的安全、防火工作，预防事故发生。安全员须经考核，有相应上岗证书或资质证书。乙方应经常联系甲方，相互协助工作。</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3.5乙方应有完善的安全管理制度，包括各工种的安全操作规程、特种作业人员资格证书管理制度、各岗位安全责任制和定期安全检查、安全教育制度等。</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3.6乙方进场施工，必须提前【 20 】天向甲方提交参与本工程的人员名单及安全质量管理组织体系、企业安全资质等级等资料，经甲方安监部门审核合格后，方可进入现场施工。</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特种作业必须执行国家《特种作业人员安全技术培训考核管理规定》，乙方特种作业人员须经省、市、地区的特种作业安全技术考核站培训考核后持证上岗，并按规定定期审证，中、小型机械的作业人员必须按规定做到“定机定人”和有证操作；起重吊装作业人员严禁违章、无证操作；严禁不懂电器、机械设备的人擅自操作使用电器、机械设备。</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3.8乙方应提供能证明其及其工作人员资质的合法有效证明供甲方审查。若乙方提供虚假证明，一切责任由乙方承担。</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3.9乙方必须认真对所承包工程的所有施工人员进行安全生产制度及安全技术知识教育，提高员工安全思想意识和自我保护能力，增强员工法制观念，督促员工自觉遵守甲方安全管理的规章制度。</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开工前，乙方必须对本单位人员进行安全教育和安全考试，受教育人员的名单和考试成绩必须报甲方安监部门备案，凡增补或调换人员、更换工种，必须及时进行安全教育和考试，考试成绩报甲方安监部门备案。未接受安全教育和安全考试不合格者不得进入现场施工。</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乙方必须检查、督促施工人员严格遵守、认真执行规章制度。乙方若在施工中要新进、增添施工人员必须向甲方提出申报，经考试合格并经甲方书面同意后才可上岗，未经甲方同意不得变更工作人员。乙方应对新进、增添施工人员进行全面的现场安全技术交底。</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乙方在施工前应认真勘察施工现场，拟订开工报告，进行施工组织设计，编制作业指导书，根据工程项目内容、特点对作业人员进行全面详细的安全技术交底。对于特殊环境、地下设施等，乙方应事先向甲方详细了解情况，并制订相应的施工安全技术措施，经甲方审查合格后实施。乙方必须严格按经甲方审查合格后的施工安全技术措施、施工组织设计及作业指导书组织施工。</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乙方在施工期间必须严格遵守和执行甲方在安全生产、治安保卫方面的有关规定，接受甲方的监督、检查和指导。对于甲方查出的隐患，乙方必须限期整改。如果甲方要求乙方违反安全管理规定进行施工，乙方有权拒绝。</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 当甲方认为确实有必要暂停施工并提出要求乙方暂停施工的书面意见后，乙方应当按甲方要求停止施工。乙方实施处理意见后，以书面形式向甲方提出复工要求。在甲方组织验收并签字同意后，乙方重新施工。</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3.15乙方应对所在的施工区域、作业环境、操作设施设备、工器具等进行认真检查，发现隐患立即停止施工，并经落实整改后方准继续施工。</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3.16乙方应于每天开工前对施工现场设施（如脚手架等）进行检查，发现隐患应及时整改。</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3.17一经开工，就表示乙方确认施工场所、作业环境、设施设备、工器具等符合安全要求和处于安全状态，乙方对施工过程中由于上述因素而导致的事故后果负责。</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乙方在施工期间所使用的各种设备及工器具等（除双方另有协议外）均应由乙方自备，乙方应保证提供的设备和工器具确实完好并符合安全要求。甲方提供的各种设备及工器具等，乙方一经接收，应负责保管、维修，并严格执行安全操作规程。在使用过程中，由于设备、工器具因素或使用操作不当而造成伤亡事故，由乙方负责。严禁使用未经检验、检验已过期或验收不合格的各种设备及工器具，否则由此发生的后果概由擅自使用方负责。</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 各类安全防护设施、遮栏、安全标志牌、警告牌和接地线等不得擅自拆除、更动。如确实需要拆除、更动的，必须经施工负责人和甲乙方指派的安全管理人员的同意，办理手续，并采取必要、可靠的安全措施后方能拆除、更动现场安全防护设施。任何一方人员，擅自拆除、更动所造成的后果，均由该方负责。</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3.20乙方应禁止其施工人员在合同规定的施工区以外区域施工或从事与施工无关的其他活动。</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乙方涉及动火工作，必须遵守国家有关规定，落实相应措施。易燃、易爆场所严禁吸烟及动用明火，消防器材不准挪作他用，电焊、气割作业应按规定办理动火审批手续。工地严禁使用电炉，冬季施工如必须采用明火加热的防冻措施时，应取得防火主管人员同意，落实防火、防爆、防中毒措施，并指派专人值班。</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对有可能发生安全隐患的区域，乙方必须在施工之前制订相应预控方案，落实相应安全保护措施。经甲方有关部门审查合格后方可施工。同时，对在有可能发生安全隐患的区域施工的，乙方必须设一名专职安全员，始终在施工现场，负责该区域的现场安全监督及管理工作。专职安全员不得私自离开施工现场，若需离开现场的，必须指定具有安全资格的人员临时负责该区域的现场安全工作。</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乙方在施工中，应注意地下管线、光缆及高压架空线的保护。乙方应向甲方了解地下管线和障碍物详细情况，会同甲方明确施工方法。乙方应贯彻甲方交底要求，如遇有情况，应及时向甲方和有关部门联系，采取保护措施后施工。严禁冒险作业、野蛮作业。</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3.24乙方必须为作业人员配备应有的劳动保护用品、用具。乙方所属人员的身体健康状况必须能满足所从事工作的要求。</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3.25乙方应根据国家法律规定自行承担费用为其相关施工人员购买人身意外伤害保险。</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3.26乙方必须坚持文明施工，对所承担工程区域的文明施工负责，做到工完料尽场地清，现场工业垃圾按甲方指定堆栈堆放并及时清理。乙方不定期清理，甲方组织清理，相应费用在乙方工程款中双倍扣除。</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乙方不得将承包的工程进行转包和非法分包。如有分包项目，应保证分包单位有相应的资质和施工力量，以保证工程质量与安全。并事前征得甲方书面同意。施工前，乙方应与分包工程承包方签订分包安全协议，并按有关规定进行管理。对分包工程承包方的过错负连带责任。</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3.29乙方违反国家和地方有关安全生产的法律、法规和规章，或违反甲方的厂纪厂规、安全文明生产相关规定，须接受甲方和相关职能部门的安全、文明生产处罚。</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firstLine="404"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3.30乙方应当在施工组织设计中编制安全技术措施和施工现场临时用电方案，对下列达到一定规模的危险性较大的分部分项工程编制专项施工方案，并附具安全验算结果，经施工单位技术负责人签字后实施，由专职安全生产管理人员进行现场监督：</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（一）基坑支护与降水工程；</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（二）土方开挖工程；</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（三）模板工程；</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（四）起重吊装工程；</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（五）脚手架工程；</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（六）拆除、爆破工程；</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（七）国务院建设行政主管部门或者其他有关部门规定的其他危险性较大的工程。</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对前款所列工程中涉及深基坑、地下暗挖工程、高大模板工程的专项施工方案，施工单位还应当组织专家进行论证、审查。</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乙方应当根据建设工程施工的特点、范围，对施工现场易发生重大事故的部位、环节进行监控，制定施工现场生产安全事故应急救援预案。统一组织编制建设工程生产安全事故应急救援预案，工程总承包单位和分包单位按照应急救援预案，各自建立应急救援组织或者配备应急救援人员，配备救援器材、设备，并定期组织演练。</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4、事故责任与处理</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划分双方责任的原则是“谁施工谁负责安全”。</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甲、乙双方在施工期间造成人员伤亡、火警、火灾、电气、机械等重大事故，乙方应进行紧急抢险、施救和保护现场，甲方协助。双方按国家及地方有关事故报告规定，在事故发生后及时报告各自上级主管部门及省（市）、区（县）等有关部门。乙方人员施工中发生的不安全情况应及时向甲方通报。</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由于乙方安全措施不力造成的事故的责任和因此发生的费用，由乙方承担。除甲方原因导致的事故外，如果受害人因安全生产事故遭受人身或财产损害向甲方提出索赔要求，则乙方应负责处理该索赔事件，并保证甲方免受此类索赔的损害。</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4.4有关事故的责任认定遵照国家相关规定。</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5、其它</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本协议经双方法定代表人（或委托代理人）签字并加盖公章后生效，在工程项目承包合同签署后作为其组成部分，与合同具有同等法律效力。</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ind w:left="-178" w:leftChars="-85" w:right="249" w:rightChars="1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u w:val="single"/>
        </w:rPr>
        <w:t xml:space="preserve"> 本协议一式陆份，甲方执肆份，乙方执贰份。</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甲方：浙江省肿瘤医院（盖章）              乙方：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（盖章）</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法定代表人或委托代理人（签字或盖章）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法定代表人或委托代理人（签字或盖章）</w:t>
      </w:r>
    </w:p>
    <w:p>
      <w:pPr>
        <w:keepNext w:val="0"/>
        <w:keepLines w:val="0"/>
        <w:pageBreakBefore w:val="0"/>
        <w:widowControl w:val="0"/>
        <w:kinsoku/>
        <w:wordWrap/>
        <w:overflowPunct/>
        <w:topLinePunct w:val="0"/>
        <w:autoSpaceDE/>
        <w:autoSpaceDN/>
        <w:bidi w:val="0"/>
        <w:adjustRightInd/>
        <w:snapToGrid/>
        <w:spacing w:before="62" w:beforeLines="20" w:after="62" w:afterLines="2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联系人（签字）                            联系人（签字）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w:t>
      </w:r>
    </w:p>
    <w:p>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br w:type="page"/>
      </w:r>
      <w:r>
        <w:rPr>
          <w:rFonts w:hint="eastAsia" w:ascii="宋体" w:hAnsi="宋体" w:cs="宋体"/>
          <w:color w:val="auto"/>
          <w:szCs w:val="21"/>
          <w:highlight w:val="none"/>
          <w:lang w:val="zh-CN"/>
        </w:rPr>
        <w:t>附件</w:t>
      </w:r>
      <w:r>
        <w:rPr>
          <w:rFonts w:hint="eastAsia" w:ascii="宋体" w:hAnsi="宋体" w:cs="宋体"/>
          <w:color w:val="auto"/>
          <w:szCs w:val="21"/>
          <w:highlight w:val="none"/>
        </w:rPr>
        <w:t>6</w:t>
      </w:r>
      <w:r>
        <w:rPr>
          <w:rFonts w:hint="eastAsia" w:ascii="宋体" w:hAnsi="宋体" w:cs="宋体"/>
          <w:color w:val="auto"/>
          <w:szCs w:val="21"/>
          <w:highlight w:val="none"/>
          <w:lang w:val="zh-CN"/>
        </w:rPr>
        <w:t>： 建设工程廉洁协议书格式</w:t>
      </w:r>
    </w:p>
    <w:p>
      <w:pPr>
        <w:jc w:val="center"/>
        <w:rPr>
          <w:rFonts w:hint="eastAsia" w:ascii="??" w:hAnsi="??"/>
          <w:b/>
          <w:color w:val="auto"/>
          <w:sz w:val="44"/>
          <w:szCs w:val="44"/>
          <w:highlight w:val="none"/>
          <w:lang w:val="en-US" w:eastAsia="zh-CN"/>
        </w:rPr>
      </w:pPr>
      <w:r>
        <w:rPr>
          <w:rFonts w:hint="eastAsia" w:ascii="??" w:hAnsi="??"/>
          <w:b/>
          <w:color w:val="auto"/>
          <w:sz w:val="44"/>
          <w:szCs w:val="44"/>
          <w:highlight w:val="none"/>
          <w:lang w:val="en-US" w:eastAsia="zh-CN"/>
        </w:rPr>
        <w:t>浙江省肿瘤医院建设工程及采购项目</w:t>
      </w:r>
    </w:p>
    <w:p>
      <w:pPr>
        <w:jc w:val="center"/>
        <w:rPr>
          <w:rFonts w:hint="eastAsia" w:ascii="宋体" w:hAnsi="宋体"/>
          <w:b/>
          <w:color w:val="auto"/>
          <w:sz w:val="44"/>
          <w:szCs w:val="44"/>
          <w:highlight w:val="none"/>
        </w:rPr>
      </w:pPr>
      <w:r>
        <w:rPr>
          <w:rFonts w:hint="eastAsia" w:ascii="??" w:hAnsi="??"/>
          <w:b/>
          <w:color w:val="auto"/>
          <w:sz w:val="44"/>
          <w:szCs w:val="44"/>
          <w:highlight w:val="none"/>
        </w:rPr>
        <w:t>廉洁合同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甲方（医疗卫生机构）：浙江省肿瘤医院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lang w:eastAsia="zh-CN"/>
        </w:rPr>
      </w:pPr>
      <w:r>
        <w:rPr>
          <w:rFonts w:hint="eastAsia" w:ascii="华文中宋" w:hAnsi="华文中宋" w:eastAsia="华文中宋" w:cs="华文中宋"/>
          <w:b w:val="0"/>
          <w:bCs/>
          <w:color w:val="auto"/>
          <w:sz w:val="22"/>
          <w:szCs w:val="22"/>
          <w:highlight w:val="none"/>
        </w:rPr>
        <w:t>乙方（经营企业及其代理人）：</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为进一步加强医疗卫生行风建设，加强廉政建设，有效防范商业贿赂行为，营造公平交易、诚实守信的环境，根据国家有关法律法规和廉政建设责任制规定</w:t>
      </w:r>
      <w:r>
        <w:rPr>
          <w:rFonts w:hint="eastAsia" w:ascii="华文中宋" w:hAnsi="华文中宋" w:eastAsia="华文中宋" w:cs="华文中宋"/>
          <w:b w:val="0"/>
          <w:bCs/>
          <w:color w:val="auto"/>
          <w:sz w:val="22"/>
          <w:szCs w:val="22"/>
          <w:highlight w:val="none"/>
          <w:lang w:eastAsia="zh-CN"/>
        </w:rPr>
        <w:t>，</w:t>
      </w:r>
      <w:r>
        <w:rPr>
          <w:rFonts w:hint="eastAsia" w:ascii="华文中宋" w:hAnsi="华文中宋" w:eastAsia="华文中宋" w:cs="华文中宋"/>
          <w:b w:val="0"/>
          <w:bCs/>
          <w:color w:val="auto"/>
          <w:sz w:val="22"/>
          <w:szCs w:val="22"/>
          <w:highlight w:val="none"/>
        </w:rPr>
        <w:t>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lang w:val="en-US" w:eastAsia="zh-CN"/>
        </w:rPr>
        <w:t xml:space="preserve">    </w:t>
      </w:r>
      <w:r>
        <w:rPr>
          <w:rFonts w:hint="eastAsia" w:ascii="华文中宋" w:hAnsi="华文中宋" w:eastAsia="华文中宋" w:cs="华文中宋"/>
          <w:b w:val="0"/>
          <w:bCs/>
          <w:color w:val="auto"/>
          <w:sz w:val="22"/>
          <w:szCs w:val="22"/>
          <w:highlight w:val="none"/>
        </w:rPr>
        <w:t>第一条 甲</w:t>
      </w:r>
      <w:r>
        <w:rPr>
          <w:rFonts w:hint="eastAsia" w:ascii="华文中宋" w:hAnsi="华文中宋" w:eastAsia="华文中宋" w:cs="华文中宋"/>
          <w:b w:val="0"/>
          <w:bCs/>
          <w:color w:val="auto"/>
          <w:sz w:val="22"/>
          <w:szCs w:val="22"/>
          <w:highlight w:val="none"/>
          <w:lang w:eastAsia="zh-CN"/>
        </w:rPr>
        <w:t>、</w:t>
      </w:r>
      <w:r>
        <w:rPr>
          <w:rFonts w:hint="eastAsia" w:ascii="华文中宋" w:hAnsi="华文中宋" w:eastAsia="华文中宋" w:cs="华文中宋"/>
          <w:b w:val="0"/>
          <w:bCs/>
          <w:color w:val="auto"/>
          <w:sz w:val="22"/>
          <w:szCs w:val="22"/>
          <w:highlight w:val="none"/>
        </w:rPr>
        <w:t>乙双方的责任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lang w:val="en-US" w:eastAsia="zh-CN"/>
        </w:rPr>
        <w:t xml:space="preserve">    </w:t>
      </w:r>
      <w:r>
        <w:rPr>
          <w:rFonts w:hint="eastAsia" w:ascii="华文中宋" w:hAnsi="华文中宋" w:eastAsia="华文中宋" w:cs="华文中宋"/>
          <w:b w:val="0"/>
          <w:bCs/>
          <w:color w:val="auto"/>
          <w:sz w:val="22"/>
          <w:szCs w:val="22"/>
          <w:highlight w:val="none"/>
        </w:rPr>
        <w:t>（一）严格遵守国家关于市场准入、项目招标投标、</w:t>
      </w:r>
      <w:r>
        <w:rPr>
          <w:rFonts w:hint="eastAsia" w:ascii="华文中宋" w:hAnsi="华文中宋" w:eastAsia="华文中宋" w:cs="华文中宋"/>
          <w:b w:val="0"/>
          <w:bCs/>
          <w:color w:val="auto"/>
          <w:sz w:val="22"/>
          <w:szCs w:val="22"/>
          <w:highlight w:val="none"/>
          <w:lang w:val="en-US" w:eastAsia="zh-CN"/>
        </w:rPr>
        <w:t>项目实施</w:t>
      </w:r>
      <w:r>
        <w:rPr>
          <w:rFonts w:hint="eastAsia" w:ascii="华文中宋" w:hAnsi="华文中宋" w:eastAsia="华文中宋" w:cs="华文中宋"/>
          <w:b w:val="0"/>
          <w:bCs/>
          <w:color w:val="auto"/>
          <w:sz w:val="22"/>
          <w:szCs w:val="22"/>
          <w:highlight w:val="none"/>
        </w:rPr>
        <w:t>和市场活动等有关法律、法规，相关政策，以及廉政建设的各项规定。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lang w:val="en-US" w:eastAsia="zh-CN"/>
        </w:rPr>
        <w:t xml:space="preserve">    </w:t>
      </w:r>
      <w:r>
        <w:rPr>
          <w:rFonts w:hint="eastAsia" w:ascii="华文中宋" w:hAnsi="华文中宋" w:eastAsia="华文中宋" w:cs="华文中宋"/>
          <w:b w:val="0"/>
          <w:bCs/>
          <w:color w:val="auto"/>
          <w:sz w:val="22"/>
          <w:szCs w:val="22"/>
          <w:highlight w:val="none"/>
        </w:rPr>
        <w:t>（二）严格</w:t>
      </w:r>
      <w:r>
        <w:rPr>
          <w:rFonts w:hint="eastAsia" w:ascii="华文中宋" w:hAnsi="华文中宋" w:eastAsia="华文中宋" w:cs="华文中宋"/>
          <w:b w:val="0"/>
          <w:bCs/>
          <w:color w:val="auto"/>
          <w:sz w:val="22"/>
          <w:szCs w:val="22"/>
          <w:highlight w:val="none"/>
          <w:lang w:val="en-US" w:eastAsia="zh-CN"/>
        </w:rPr>
        <w:t>按照</w:t>
      </w:r>
      <w:r>
        <w:rPr>
          <w:rFonts w:hint="eastAsia" w:ascii="华文中宋" w:hAnsi="华文中宋" w:eastAsia="华文中宋" w:cs="华文中宋"/>
          <w:b w:val="0"/>
          <w:bCs/>
          <w:color w:val="auto"/>
          <w:sz w:val="22"/>
          <w:szCs w:val="22"/>
          <w:highlight w:val="none"/>
        </w:rPr>
        <w:t>项目承发包合同</w:t>
      </w:r>
      <w:r>
        <w:rPr>
          <w:rFonts w:hint="eastAsia" w:ascii="华文中宋" w:hAnsi="华文中宋" w:eastAsia="华文中宋" w:cs="华文中宋"/>
          <w:b w:val="0"/>
          <w:bCs/>
          <w:color w:val="auto"/>
          <w:sz w:val="22"/>
          <w:szCs w:val="22"/>
          <w:highlight w:val="none"/>
          <w:lang w:val="en-US" w:eastAsia="zh-CN"/>
        </w:rPr>
        <w:t>条款履行合同约定</w:t>
      </w:r>
      <w:r>
        <w:rPr>
          <w:rFonts w:hint="eastAsia" w:ascii="华文中宋" w:hAnsi="华文中宋" w:eastAsia="华文中宋" w:cs="华文中宋"/>
          <w:b w:val="0"/>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（三）业务活动必须坚持公开、公平、公正、诚信、透明的原则（除法律法规另有规定者外），不得为获取不正当的利益，损害国家、集体和对方利益。</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（四）发现对方在业务活动中有违规、违纪、违法行为的，应及时提醒对方，情节严重的，应向其上级主管部门或纪检监察、司法等有关机关举报。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第二条 甲方的责任</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甲方从事</w:t>
      </w:r>
      <w:r>
        <w:rPr>
          <w:rFonts w:hint="eastAsia" w:ascii="华文中宋" w:hAnsi="华文中宋" w:eastAsia="华文中宋" w:cs="华文中宋"/>
          <w:b w:val="0"/>
          <w:bCs/>
          <w:color w:val="auto"/>
          <w:sz w:val="22"/>
          <w:szCs w:val="22"/>
          <w:highlight w:val="none"/>
          <w:lang w:val="en-US" w:eastAsia="zh-CN"/>
        </w:rPr>
        <w:t>本</w:t>
      </w:r>
      <w:r>
        <w:rPr>
          <w:rFonts w:hint="eastAsia" w:ascii="华文中宋" w:hAnsi="华文中宋" w:eastAsia="华文中宋" w:cs="华文中宋"/>
          <w:b w:val="0"/>
          <w:bCs/>
          <w:color w:val="auto"/>
          <w:sz w:val="22"/>
          <w:szCs w:val="22"/>
          <w:highlight w:val="none"/>
        </w:rPr>
        <w:t>项目的人员，</w:t>
      </w:r>
      <w:r>
        <w:rPr>
          <w:rFonts w:hint="eastAsia" w:ascii="华文中宋" w:hAnsi="华文中宋" w:eastAsia="华文中宋" w:cs="华文中宋"/>
          <w:b w:val="0"/>
          <w:bCs/>
          <w:color w:val="auto"/>
          <w:sz w:val="22"/>
          <w:szCs w:val="22"/>
          <w:highlight w:val="none"/>
          <w:lang w:val="en-US" w:eastAsia="zh-CN"/>
        </w:rPr>
        <w:t>在项目</w:t>
      </w:r>
      <w:r>
        <w:rPr>
          <w:rFonts w:hint="eastAsia" w:ascii="华文中宋" w:hAnsi="华文中宋" w:eastAsia="华文中宋" w:cs="华文中宋"/>
          <w:b w:val="0"/>
          <w:bCs/>
          <w:color w:val="auto"/>
          <w:sz w:val="22"/>
          <w:szCs w:val="22"/>
          <w:highlight w:val="none"/>
        </w:rPr>
        <w:t>的事前、事中、事后应遵守以下规定：</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（一）不准向乙方和相关单位索要或接受回扣、礼金、有价证券、贵重物品和好处费、感谢费等。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（二）不准在乙方和相关单位报销任何应由甲方或个人支付的费用。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（三）不准要求、暗示或接受乙方和相关单位为个人装修住房、婚丧嫁娶、配偶子女的工作安排以及出国（境）、旅游等提供方便。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（四）不准参加有可能影响公正执行公务的乙方和相关单位的宴请和健身、娱乐等活动。</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（五）不准向乙方介绍或为配偶、子女、亲属参与同甲方项目合同有关的设备、材料、劳务</w:t>
      </w:r>
      <w:r>
        <w:rPr>
          <w:rFonts w:hint="eastAsia" w:ascii="华文中宋" w:hAnsi="华文中宋" w:eastAsia="华文中宋" w:cs="华文中宋"/>
          <w:b w:val="0"/>
          <w:bCs/>
          <w:color w:val="auto"/>
          <w:sz w:val="22"/>
          <w:szCs w:val="22"/>
          <w:highlight w:val="none"/>
          <w:lang w:eastAsia="zh-CN"/>
        </w:rPr>
        <w:t>、</w:t>
      </w:r>
      <w:r>
        <w:rPr>
          <w:rFonts w:hint="eastAsia" w:ascii="华文中宋" w:hAnsi="华文中宋" w:eastAsia="华文中宋" w:cs="华文中宋"/>
          <w:b w:val="0"/>
          <w:bCs/>
          <w:color w:val="auto"/>
          <w:sz w:val="22"/>
          <w:szCs w:val="22"/>
          <w:highlight w:val="none"/>
          <w:lang w:val="en-US" w:eastAsia="zh-CN"/>
        </w:rPr>
        <w:t>服务</w:t>
      </w:r>
      <w:r>
        <w:rPr>
          <w:rFonts w:hint="eastAsia" w:ascii="华文中宋" w:hAnsi="华文中宋" w:eastAsia="华文中宋" w:cs="华文中宋"/>
          <w:b w:val="0"/>
          <w:bCs/>
          <w:color w:val="auto"/>
          <w:sz w:val="22"/>
          <w:szCs w:val="22"/>
          <w:highlight w:val="none"/>
        </w:rPr>
        <w:t>等经济活动。不得以任何理由向乙方和相关单位推荐</w:t>
      </w:r>
      <w:r>
        <w:rPr>
          <w:rFonts w:hint="eastAsia" w:ascii="华文中宋" w:hAnsi="华文中宋" w:eastAsia="华文中宋" w:cs="华文中宋"/>
          <w:b w:val="0"/>
          <w:bCs/>
          <w:color w:val="auto"/>
          <w:sz w:val="22"/>
          <w:szCs w:val="22"/>
          <w:highlight w:val="none"/>
          <w:lang w:val="en-US" w:eastAsia="zh-CN"/>
        </w:rPr>
        <w:t>业务</w:t>
      </w:r>
      <w:r>
        <w:rPr>
          <w:rFonts w:hint="eastAsia" w:ascii="华文中宋" w:hAnsi="华文中宋" w:eastAsia="华文中宋" w:cs="华文中宋"/>
          <w:b w:val="0"/>
          <w:bCs/>
          <w:color w:val="auto"/>
          <w:sz w:val="22"/>
          <w:szCs w:val="22"/>
          <w:highlight w:val="none"/>
        </w:rPr>
        <w:t>单位和要求乙方购买项目合同规定以外的</w:t>
      </w:r>
      <w:r>
        <w:rPr>
          <w:rFonts w:hint="eastAsia" w:ascii="华文中宋" w:hAnsi="华文中宋" w:eastAsia="华文中宋" w:cs="华文中宋"/>
          <w:b w:val="0"/>
          <w:bCs/>
          <w:color w:val="auto"/>
          <w:sz w:val="22"/>
          <w:szCs w:val="22"/>
          <w:highlight w:val="none"/>
          <w:lang w:val="en-US" w:eastAsia="zh-CN"/>
        </w:rPr>
        <w:t>设备、材料、劳务、服务</w:t>
      </w:r>
      <w:r>
        <w:rPr>
          <w:rFonts w:hint="eastAsia" w:ascii="华文中宋" w:hAnsi="华文中宋" w:eastAsia="华文中宋" w:cs="华文中宋"/>
          <w:b w:val="0"/>
          <w:bCs/>
          <w:color w:val="auto"/>
          <w:sz w:val="22"/>
          <w:szCs w:val="22"/>
          <w:highlight w:val="none"/>
        </w:rPr>
        <w:t>等。</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第三条 乙方的责任</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应与甲方保持正常的业务交往，按照有关法律法规和程序开展业务工作，严格执行</w:t>
      </w:r>
      <w:r>
        <w:rPr>
          <w:rFonts w:hint="eastAsia" w:ascii="华文中宋" w:hAnsi="华文中宋" w:eastAsia="华文中宋" w:cs="华文中宋"/>
          <w:b w:val="0"/>
          <w:bCs/>
          <w:color w:val="auto"/>
          <w:sz w:val="22"/>
          <w:szCs w:val="22"/>
          <w:highlight w:val="none"/>
          <w:lang w:val="en-US" w:eastAsia="zh-CN"/>
        </w:rPr>
        <w:t>国家</w:t>
      </w:r>
      <w:r>
        <w:rPr>
          <w:rFonts w:hint="eastAsia" w:ascii="华文中宋" w:hAnsi="华文中宋" w:eastAsia="华文中宋" w:cs="华文中宋"/>
          <w:b w:val="0"/>
          <w:bCs/>
          <w:color w:val="auto"/>
          <w:sz w:val="22"/>
          <w:szCs w:val="22"/>
          <w:highlight w:val="none"/>
        </w:rPr>
        <w:t>强制性标准和规范</w:t>
      </w:r>
      <w:r>
        <w:rPr>
          <w:rFonts w:hint="eastAsia" w:ascii="华文中宋" w:hAnsi="华文中宋" w:eastAsia="华文中宋" w:cs="华文中宋"/>
          <w:b w:val="0"/>
          <w:bCs/>
          <w:color w:val="auto"/>
          <w:sz w:val="22"/>
          <w:szCs w:val="22"/>
          <w:highlight w:val="none"/>
          <w:lang w:val="en-US" w:eastAsia="zh-CN"/>
        </w:rPr>
        <w:t>的要求</w:t>
      </w:r>
      <w:r>
        <w:rPr>
          <w:rFonts w:hint="eastAsia" w:ascii="华文中宋" w:hAnsi="华文中宋" w:eastAsia="华文中宋" w:cs="华文中宋"/>
          <w:b w:val="0"/>
          <w:bCs/>
          <w:color w:val="auto"/>
          <w:sz w:val="22"/>
          <w:szCs w:val="22"/>
          <w:highlight w:val="none"/>
        </w:rPr>
        <w:t>，并遵守以下规定：</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（一）不准以任何理由向甲方及其工作人员索要、接受或赠送礼金、有价证券、贵重物品和回扣、好处费、感谢费等。</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（二）不准以任何理由为甲方和相关单位报销应由对方或个人支付的费用。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（三）不准接受或暗示为甲方、相关单位或个人装修住房、婚丧嫁娶、配偶子女的工作安排以及出国（境）、旅游等提供方便。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（四）不准以任何理由为甲方、相关单位或个人组织有可能影响公正执行公务的宴请、健身、娱乐等活动。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第四条 违约责任</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（一）甲方工作人员有违反本合同第一、二条责任行为的，按照管理权限，依据有关法律法规和规定给予党纪、政纪处分或组织处理；涉嫌犯罪的，移交司法机关追究刑事责任。</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（二）乙方工作人员有违反本合同第一、三条责任行为的，按照管理权限，依据有关法律法规和规定给予党纪、政纪处分或组织处理；涉嫌犯罪的，移交司法机关追究刑事责任。</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第五条 本合同作为</w:t>
      </w:r>
      <w:r>
        <w:rPr>
          <w:rFonts w:hint="eastAsia" w:ascii="华文中宋" w:hAnsi="华文中宋" w:eastAsia="华文中宋" w:cs="华文中宋"/>
          <w:b w:val="0"/>
          <w:bCs/>
          <w:color w:val="auto"/>
          <w:sz w:val="22"/>
          <w:szCs w:val="22"/>
          <w:highlight w:val="none"/>
          <w:lang w:val="en-US" w:eastAsia="zh-CN"/>
        </w:rPr>
        <w:t>项目</w:t>
      </w:r>
      <w:r>
        <w:rPr>
          <w:rFonts w:hint="eastAsia" w:ascii="华文中宋" w:hAnsi="华文中宋" w:eastAsia="华文中宋" w:cs="华文中宋"/>
          <w:b w:val="0"/>
          <w:bCs/>
          <w:color w:val="auto"/>
          <w:sz w:val="22"/>
          <w:szCs w:val="22"/>
          <w:highlight w:val="none"/>
        </w:rPr>
        <w:t>合同的附件，与</w:t>
      </w:r>
      <w:r>
        <w:rPr>
          <w:rFonts w:hint="eastAsia" w:ascii="华文中宋" w:hAnsi="华文中宋" w:eastAsia="华文中宋" w:cs="华文中宋"/>
          <w:b w:val="0"/>
          <w:bCs/>
          <w:color w:val="auto"/>
          <w:sz w:val="22"/>
          <w:szCs w:val="22"/>
          <w:highlight w:val="none"/>
          <w:lang w:val="en-US" w:eastAsia="zh-CN"/>
        </w:rPr>
        <w:t>项目</w:t>
      </w:r>
      <w:r>
        <w:rPr>
          <w:rFonts w:hint="eastAsia" w:ascii="华文中宋" w:hAnsi="华文中宋" w:eastAsia="华文中宋" w:cs="华文中宋"/>
          <w:b w:val="0"/>
          <w:bCs/>
          <w:color w:val="auto"/>
          <w:sz w:val="22"/>
          <w:szCs w:val="22"/>
          <w:highlight w:val="none"/>
        </w:rPr>
        <w:t>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第六条 本合同的有效期为双方签署之日起至项目</w:t>
      </w:r>
      <w:r>
        <w:rPr>
          <w:rFonts w:hint="eastAsia" w:ascii="华文中宋" w:hAnsi="华文中宋" w:eastAsia="华文中宋" w:cs="华文中宋"/>
          <w:b w:val="0"/>
          <w:bCs/>
          <w:color w:val="auto"/>
          <w:sz w:val="22"/>
          <w:szCs w:val="22"/>
          <w:highlight w:val="none"/>
          <w:lang w:val="en-US" w:eastAsia="zh-CN"/>
        </w:rPr>
        <w:t>合同履行结束</w:t>
      </w:r>
      <w:r>
        <w:rPr>
          <w:rFonts w:hint="eastAsia" w:ascii="华文中宋" w:hAnsi="华文中宋" w:eastAsia="华文中宋" w:cs="华文中宋"/>
          <w:b w:val="0"/>
          <w:bCs/>
          <w:color w:val="auto"/>
          <w:sz w:val="22"/>
          <w:szCs w:val="22"/>
          <w:highlight w:val="none"/>
        </w:rPr>
        <w:t>止。</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九、本合同一式</w:t>
      </w:r>
      <w:r>
        <w:rPr>
          <w:rFonts w:hint="eastAsia" w:ascii="华文中宋" w:hAnsi="华文中宋" w:eastAsia="华文中宋" w:cs="华文中宋"/>
          <w:b w:val="0"/>
          <w:bCs/>
          <w:color w:val="auto"/>
          <w:sz w:val="22"/>
          <w:szCs w:val="22"/>
          <w:highlight w:val="none"/>
          <w:lang w:val="en-US" w:eastAsia="zh-CN"/>
        </w:rPr>
        <w:t>叁</w:t>
      </w:r>
      <w:r>
        <w:rPr>
          <w:rFonts w:hint="eastAsia" w:ascii="华文中宋" w:hAnsi="华文中宋" w:eastAsia="华文中宋" w:cs="华文中宋"/>
          <w:b w:val="0"/>
          <w:bCs/>
          <w:color w:val="auto"/>
          <w:sz w:val="22"/>
          <w:szCs w:val="22"/>
          <w:highlight w:val="none"/>
        </w:rPr>
        <w:t>份，甲、乙双方各执</w:t>
      </w:r>
      <w:r>
        <w:rPr>
          <w:rFonts w:hint="eastAsia" w:ascii="华文中宋" w:hAnsi="华文中宋" w:eastAsia="华文中宋" w:cs="华文中宋"/>
          <w:b w:val="0"/>
          <w:bCs/>
          <w:color w:val="auto"/>
          <w:sz w:val="22"/>
          <w:szCs w:val="22"/>
          <w:highlight w:val="none"/>
          <w:lang w:val="en-US" w:eastAsia="zh-CN"/>
        </w:rPr>
        <w:t>壹</w:t>
      </w:r>
      <w:r>
        <w:rPr>
          <w:rFonts w:hint="eastAsia" w:ascii="华文中宋" w:hAnsi="华文中宋" w:eastAsia="华文中宋" w:cs="华文中宋"/>
          <w:b w:val="0"/>
          <w:bCs/>
          <w:color w:val="auto"/>
          <w:sz w:val="22"/>
          <w:szCs w:val="22"/>
          <w:highlight w:val="none"/>
        </w:rPr>
        <w:t>份，甲方纪检监察部门执</w:t>
      </w:r>
      <w:r>
        <w:rPr>
          <w:rFonts w:hint="eastAsia" w:ascii="华文中宋" w:hAnsi="华文中宋" w:eastAsia="华文中宋" w:cs="华文中宋"/>
          <w:b w:val="0"/>
          <w:bCs/>
          <w:color w:val="auto"/>
          <w:sz w:val="22"/>
          <w:szCs w:val="22"/>
          <w:highlight w:val="none"/>
          <w:lang w:val="en-US" w:eastAsia="zh-CN"/>
        </w:rPr>
        <w:t>壹</w:t>
      </w:r>
      <w:r>
        <w:rPr>
          <w:rFonts w:hint="eastAsia" w:ascii="华文中宋" w:hAnsi="华文中宋" w:eastAsia="华文中宋" w:cs="华文中宋"/>
          <w:b w:val="0"/>
          <w:bCs/>
          <w:color w:val="auto"/>
          <w:sz w:val="22"/>
          <w:szCs w:val="22"/>
          <w:highlight w:val="none"/>
        </w:rPr>
        <w:t>份，并从签订之日起生效。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 xml:space="preserve">甲方（盖章）：浙江省肿瘤医院             </w:t>
      </w:r>
      <w:r>
        <w:rPr>
          <w:rFonts w:hint="eastAsia" w:ascii="华文中宋" w:hAnsi="华文中宋" w:eastAsia="华文中宋" w:cs="华文中宋"/>
          <w:b w:val="0"/>
          <w:bCs/>
          <w:color w:val="auto"/>
          <w:sz w:val="22"/>
          <w:szCs w:val="22"/>
          <w:highlight w:val="none"/>
          <w:lang w:val="en-US" w:eastAsia="zh-CN"/>
        </w:rPr>
        <w:t xml:space="preserve">  </w:t>
      </w:r>
      <w:r>
        <w:rPr>
          <w:rFonts w:hint="eastAsia" w:ascii="华文中宋" w:hAnsi="华文中宋" w:eastAsia="华文中宋" w:cs="华文中宋"/>
          <w:b w:val="0"/>
          <w:bCs/>
          <w:color w:val="auto"/>
          <w:sz w:val="22"/>
          <w:szCs w:val="22"/>
          <w:highlight w:val="none"/>
        </w:rPr>
        <w:t>乙方（盖章）：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lang w:val="en-US" w:eastAsia="zh-CN"/>
        </w:rPr>
      </w:pPr>
      <w:r>
        <w:rPr>
          <w:rFonts w:hint="eastAsia" w:ascii="华文中宋" w:hAnsi="华文中宋" w:eastAsia="华文中宋" w:cs="华文中宋"/>
          <w:b w:val="0"/>
          <w:bCs/>
          <w:color w:val="auto"/>
          <w:sz w:val="22"/>
          <w:szCs w:val="22"/>
          <w:highlight w:val="none"/>
        </w:rPr>
        <w:t>法定代表人（负责人）</w:t>
      </w:r>
      <w:r>
        <w:rPr>
          <w:rFonts w:hint="eastAsia" w:ascii="华文中宋" w:hAnsi="华文中宋" w:eastAsia="华文中宋" w:cs="华文中宋"/>
          <w:b w:val="0"/>
          <w:bCs/>
          <w:color w:val="auto"/>
          <w:sz w:val="22"/>
          <w:szCs w:val="22"/>
          <w:highlight w:val="none"/>
          <w:lang w:val="en-US" w:eastAsia="zh-CN"/>
        </w:rPr>
        <w:t>或</w:t>
      </w:r>
      <w:r>
        <w:rPr>
          <w:rFonts w:hint="eastAsia" w:ascii="华文中宋" w:hAnsi="华文中宋" w:eastAsia="华文中宋" w:cs="华文中宋"/>
          <w:b w:val="0"/>
          <w:bCs/>
          <w:color w:val="auto"/>
          <w:sz w:val="22"/>
          <w:szCs w:val="22"/>
          <w:highlight w:val="none"/>
        </w:rPr>
        <w:t xml:space="preserve">      </w:t>
      </w:r>
      <w:r>
        <w:rPr>
          <w:rFonts w:hint="eastAsia" w:ascii="华文中宋" w:hAnsi="华文中宋" w:eastAsia="华文中宋" w:cs="华文中宋"/>
          <w:b w:val="0"/>
          <w:bCs/>
          <w:color w:val="auto"/>
          <w:sz w:val="22"/>
          <w:szCs w:val="22"/>
          <w:highlight w:val="none"/>
          <w:lang w:val="en-US" w:eastAsia="zh-CN"/>
        </w:rPr>
        <w:t xml:space="preserve">              </w:t>
      </w:r>
      <w:r>
        <w:rPr>
          <w:rFonts w:hint="eastAsia" w:ascii="华文中宋" w:hAnsi="华文中宋" w:eastAsia="华文中宋" w:cs="华文中宋"/>
          <w:b w:val="0"/>
          <w:bCs/>
          <w:color w:val="auto"/>
          <w:sz w:val="22"/>
          <w:szCs w:val="22"/>
          <w:highlight w:val="none"/>
        </w:rPr>
        <w:t>法定代表人（负责人）</w:t>
      </w:r>
      <w:r>
        <w:rPr>
          <w:rFonts w:hint="eastAsia" w:ascii="华文中宋" w:hAnsi="华文中宋" w:eastAsia="华文中宋" w:cs="华文中宋"/>
          <w:b w:val="0"/>
          <w:bCs/>
          <w:color w:val="auto"/>
          <w:sz w:val="22"/>
          <w:szCs w:val="22"/>
          <w:highlight w:val="none"/>
          <w:lang w:val="en-US" w:eastAsia="zh-CN"/>
        </w:rPr>
        <w:t>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lang w:val="en-US" w:eastAsia="zh-CN"/>
        </w:rPr>
      </w:pPr>
      <w:r>
        <w:rPr>
          <w:rFonts w:hint="eastAsia" w:ascii="华文中宋" w:hAnsi="华文中宋" w:eastAsia="华文中宋" w:cs="华文中宋"/>
          <w:b w:val="0"/>
          <w:bCs/>
          <w:color w:val="auto"/>
          <w:sz w:val="22"/>
          <w:szCs w:val="22"/>
          <w:highlight w:val="none"/>
          <w:lang w:val="en-US" w:eastAsia="zh-CN"/>
        </w:rPr>
        <w:t>委托代理人：                              委托代理人：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val="0"/>
          <w:bCs/>
          <w:color w:val="auto"/>
          <w:sz w:val="22"/>
          <w:szCs w:val="22"/>
          <w:highlight w:val="none"/>
        </w:rPr>
      </w:pPr>
      <w:r>
        <w:rPr>
          <w:rFonts w:hint="eastAsia" w:ascii="华文中宋" w:hAnsi="华文中宋" w:eastAsia="华文中宋" w:cs="华文中宋"/>
          <w:b w:val="0"/>
          <w:bCs/>
          <w:color w:val="auto"/>
          <w:sz w:val="22"/>
          <w:szCs w:val="22"/>
          <w:highlight w:val="none"/>
        </w:rPr>
        <w:t xml:space="preserve">经办人签名：                </w:t>
      </w:r>
      <w:r>
        <w:rPr>
          <w:rFonts w:hint="eastAsia" w:ascii="华文中宋" w:hAnsi="华文中宋" w:eastAsia="华文中宋" w:cs="华文中宋"/>
          <w:b w:val="0"/>
          <w:bCs/>
          <w:color w:val="auto"/>
          <w:sz w:val="22"/>
          <w:szCs w:val="22"/>
          <w:highlight w:val="none"/>
          <w:lang w:val="en-US" w:eastAsia="zh-CN"/>
        </w:rPr>
        <w:t xml:space="preserve">              </w:t>
      </w:r>
      <w:r>
        <w:rPr>
          <w:rFonts w:hint="eastAsia" w:ascii="华文中宋" w:hAnsi="华文中宋" w:eastAsia="华文中宋" w:cs="华文中宋"/>
          <w:b w:val="0"/>
          <w:bCs/>
          <w:color w:val="auto"/>
          <w:sz w:val="22"/>
          <w:szCs w:val="22"/>
          <w:highlight w:val="none"/>
        </w:rPr>
        <w:t>经办人签名：</w:t>
      </w:r>
    </w:p>
    <w:p>
      <w:pPr>
        <w:keepNext w:val="0"/>
        <w:keepLines w:val="0"/>
        <w:pageBreakBefore w:val="0"/>
        <w:widowControl w:val="0"/>
        <w:kinsoku/>
        <w:wordWrap/>
        <w:overflowPunct/>
        <w:topLinePunct w:val="0"/>
        <w:autoSpaceDE/>
        <w:autoSpaceDN/>
        <w:bidi w:val="0"/>
        <w:adjustRightInd/>
        <w:snapToGrid/>
        <w:spacing w:line="480" w:lineRule="exact"/>
        <w:ind w:firstLine="770" w:firstLineChars="350"/>
        <w:textAlignment w:val="auto"/>
        <w:rPr>
          <w:rFonts w:hint="eastAsia" w:ascii="华文中宋" w:hAnsi="华文中宋" w:eastAsia="华文中宋" w:cs="华文中宋"/>
          <w:b w:val="0"/>
          <w:bCs/>
          <w:color w:val="auto"/>
          <w:sz w:val="22"/>
          <w:szCs w:val="22"/>
          <w:highlight w:val="none"/>
        </w:rPr>
        <w:sectPr>
          <w:footerReference r:id="rId14" w:type="first"/>
          <w:headerReference r:id="rId11" w:type="default"/>
          <w:footerReference r:id="rId12" w:type="default"/>
          <w:footerReference r:id="rId13" w:type="even"/>
          <w:pgSz w:w="11906" w:h="16838"/>
          <w:pgMar w:top="1440" w:right="1800" w:bottom="1440" w:left="1800" w:header="851" w:footer="992" w:gutter="0"/>
          <w:cols w:space="720" w:num="1"/>
          <w:titlePg/>
          <w:docGrid w:type="linesAndChars" w:linePitch="312" w:charSpace="0"/>
        </w:sectPr>
      </w:pPr>
      <w:r>
        <w:rPr>
          <w:rFonts w:hint="eastAsia" w:ascii="华文中宋" w:hAnsi="华文中宋" w:eastAsia="华文中宋" w:cs="华文中宋"/>
          <w:b w:val="0"/>
          <w:bCs/>
          <w:color w:val="auto"/>
          <w:sz w:val="22"/>
          <w:szCs w:val="22"/>
          <w:highlight w:val="none"/>
        </w:rPr>
        <w:t xml:space="preserve">年   月   日                </w:t>
      </w:r>
      <w:r>
        <w:rPr>
          <w:rFonts w:hint="eastAsia" w:ascii="华文中宋" w:hAnsi="华文中宋" w:eastAsia="华文中宋" w:cs="华文中宋"/>
          <w:b w:val="0"/>
          <w:bCs/>
          <w:color w:val="auto"/>
          <w:sz w:val="22"/>
          <w:szCs w:val="22"/>
          <w:highlight w:val="none"/>
          <w:lang w:val="en-US" w:eastAsia="zh-CN"/>
        </w:rPr>
        <w:t xml:space="preserve">                 </w:t>
      </w:r>
      <w:r>
        <w:rPr>
          <w:rFonts w:hint="eastAsia" w:ascii="华文中宋" w:hAnsi="华文中宋" w:eastAsia="华文中宋" w:cs="华文中宋"/>
          <w:b w:val="0"/>
          <w:bCs/>
          <w:color w:val="auto"/>
          <w:sz w:val="22"/>
          <w:szCs w:val="22"/>
          <w:highlight w:val="none"/>
        </w:rPr>
        <w:t xml:space="preserve">  年   月  日</w:t>
      </w:r>
    </w:p>
    <w:p>
      <w:pPr>
        <w:pStyle w:val="138"/>
        <w:outlineLvl w:val="2"/>
        <w:rPr>
          <w:rFonts w:hint="eastAsia" w:ascii="宋体" w:hAnsi="宋体" w:eastAsia="宋体" w:cs="宋体"/>
          <w:b w:val="0"/>
          <w:snapToGrid w:val="0"/>
          <w:color w:val="auto"/>
          <w:sz w:val="21"/>
          <w:szCs w:val="21"/>
          <w:highlight w:val="none"/>
          <w:lang w:val="zh-CN" w:eastAsia="zh-CN" w:bidi="ar-SA"/>
        </w:rPr>
      </w:pPr>
      <w:bookmarkStart w:id="50" w:name="_Toc109215575"/>
      <w:r>
        <w:rPr>
          <w:rFonts w:hint="eastAsia" w:ascii="宋体" w:hAnsi="宋体" w:eastAsia="宋体" w:cs="宋体"/>
          <w:b w:val="0"/>
          <w:snapToGrid w:val="0"/>
          <w:color w:val="auto"/>
          <w:sz w:val="21"/>
          <w:szCs w:val="21"/>
          <w:highlight w:val="none"/>
          <w:lang w:val="zh-CN" w:eastAsia="zh-CN" w:bidi="ar-SA"/>
        </w:rPr>
        <w:t>附件</w:t>
      </w:r>
      <w:r>
        <w:rPr>
          <w:rFonts w:hint="eastAsia" w:ascii="宋体" w:hAnsi="宋体" w:eastAsia="宋体" w:cs="宋体"/>
          <w:b w:val="0"/>
          <w:snapToGrid w:val="0"/>
          <w:color w:val="auto"/>
          <w:sz w:val="21"/>
          <w:szCs w:val="21"/>
          <w:highlight w:val="none"/>
          <w:lang w:val="en-US" w:eastAsia="zh-CN" w:bidi="ar-SA"/>
        </w:rPr>
        <w:t>7</w:t>
      </w:r>
      <w:r>
        <w:rPr>
          <w:rFonts w:hint="eastAsia" w:ascii="宋体" w:hAnsi="宋体" w:eastAsia="宋体" w:cs="宋体"/>
          <w:b w:val="0"/>
          <w:snapToGrid w:val="0"/>
          <w:color w:val="auto"/>
          <w:sz w:val="21"/>
          <w:szCs w:val="21"/>
          <w:highlight w:val="none"/>
          <w:lang w:val="zh-CN" w:eastAsia="zh-CN" w:bidi="ar-SA"/>
        </w:rPr>
        <w:t>：拟派项目负责人无在其他工程项目中担任项目负责人的承诺书</w:t>
      </w:r>
      <w:bookmarkEnd w:id="50"/>
    </w:p>
    <w:p>
      <w:pPr>
        <w:pStyle w:val="139"/>
        <w:spacing w:line="360" w:lineRule="auto"/>
        <w:ind w:left="562" w:hanging="560" w:hangingChars="200"/>
        <w:rPr>
          <w:rFonts w:ascii="宋体" w:hAnsi="宋体"/>
          <w:color w:val="auto"/>
          <w:sz w:val="28"/>
          <w:szCs w:val="28"/>
          <w:highlight w:val="none"/>
          <w:u w:val="single"/>
          <w:lang w:val="en-US" w:eastAsia="zh-CN"/>
        </w:rPr>
      </w:pPr>
      <w:r>
        <w:rPr>
          <w:rFonts w:hint="eastAsia" w:ascii="宋体" w:hAnsi="宋体"/>
          <w:b/>
          <w:color w:val="auto"/>
          <w:sz w:val="28"/>
          <w:szCs w:val="28"/>
          <w:highlight w:val="none"/>
          <w:lang w:val="en-US" w:eastAsia="zh-CN"/>
        </w:rPr>
        <w:t>拟派项目负责人在投标截止日无在其他任何在建合同工程上担任项目负责人（包括工程总承包项目中的施工负责人）的承诺书</w:t>
      </w:r>
    </w:p>
    <w:p>
      <w:pPr>
        <w:pStyle w:val="139"/>
        <w:spacing w:line="360" w:lineRule="auto"/>
        <w:rPr>
          <w:rFonts w:ascii="宋体" w:hAnsi="宋体"/>
          <w:color w:val="auto"/>
          <w:sz w:val="24"/>
          <w:szCs w:val="24"/>
          <w:highlight w:val="none"/>
          <w:lang w:val="en-US" w:eastAsia="zh-CN"/>
        </w:rPr>
      </w:pPr>
      <w:r>
        <w:rPr>
          <w:rFonts w:hint="eastAsia" w:ascii="宋体" w:hAnsi="宋体"/>
          <w:color w:val="auto"/>
          <w:sz w:val="24"/>
          <w:highlight w:val="none"/>
          <w:u w:val="single"/>
          <w:lang w:val="en-US" w:eastAsia="zh-CN"/>
        </w:rPr>
        <w:t xml:space="preserve">（招标人名称）: </w:t>
      </w:r>
      <w:r>
        <w:rPr>
          <w:rFonts w:hint="eastAsia" w:ascii="宋体" w:hAnsi="宋体"/>
          <w:color w:val="auto"/>
          <w:sz w:val="24"/>
          <w:highlight w:val="none"/>
          <w:lang w:val="en-US" w:eastAsia="zh-CN"/>
        </w:rPr>
        <w:t>：</w:t>
      </w:r>
    </w:p>
    <w:p>
      <w:pPr>
        <w:pStyle w:val="139"/>
        <w:spacing w:line="360" w:lineRule="auto"/>
        <w:ind w:firstLine="480" w:firstLineChars="200"/>
        <w:rPr>
          <w:rFonts w:ascii="宋体" w:hAnsi="宋体"/>
          <w:color w:val="auto"/>
          <w:sz w:val="24"/>
          <w:highlight w:val="none"/>
          <w:lang w:val="en-US" w:eastAsia="zh-CN"/>
        </w:rPr>
      </w:pPr>
      <w:r>
        <w:rPr>
          <w:rFonts w:hint="eastAsia" w:ascii="宋体" w:hAnsi="宋体"/>
          <w:color w:val="auto"/>
          <w:sz w:val="24"/>
          <w:highlight w:val="none"/>
          <w:lang w:val="en-US" w:eastAsia="zh-CN"/>
        </w:rPr>
        <w:t>我公司及拟派项目负责人承诺，拟派参加项目标段投标的项目负责人在投标截止日无在其他任何在建合同工程上担任项目负责人（包括工程总承包项目中的施工负责人）的情形。在建合同工程的开始时间为合同工程中标通知书发出日期（不通过招标方式的，开始时间为合同签订日期），结束时间为该合同通过合同验收或合同解除日期。</w:t>
      </w:r>
    </w:p>
    <w:p>
      <w:pPr>
        <w:pStyle w:val="139"/>
        <w:spacing w:line="360" w:lineRule="auto"/>
        <w:ind w:firstLine="480" w:firstLineChars="200"/>
        <w:rPr>
          <w:rFonts w:ascii="宋体" w:hAnsi="宋体"/>
          <w:color w:val="auto"/>
          <w:sz w:val="24"/>
          <w:highlight w:val="none"/>
          <w:lang w:val="en-US" w:eastAsia="zh-CN"/>
        </w:rPr>
      </w:pPr>
      <w:r>
        <w:rPr>
          <w:rFonts w:hint="eastAsia" w:ascii="宋体" w:hAnsi="宋体"/>
          <w:color w:val="auto"/>
          <w:sz w:val="24"/>
          <w:highlight w:val="none"/>
          <w:lang w:val="en-US" w:eastAsia="zh-CN"/>
        </w:rPr>
        <w:t>以上承诺如有虚假，</w:t>
      </w:r>
      <w:r>
        <w:rPr>
          <w:rFonts w:hint="eastAsia" w:ascii="宋体" w:hAnsi="宋体"/>
          <w:color w:val="auto"/>
          <w:sz w:val="24"/>
          <w:highlight w:val="none"/>
          <w:u w:val="single"/>
          <w:lang w:val="en-US" w:eastAsia="zh-CN"/>
        </w:rPr>
        <w:t>愿意承担一切责任。</w:t>
      </w:r>
      <w:r>
        <w:rPr>
          <w:rFonts w:hint="eastAsia" w:ascii="宋体" w:hAnsi="宋体"/>
          <w:color w:val="auto"/>
          <w:sz w:val="24"/>
          <w:highlight w:val="none"/>
          <w:lang w:val="en-US" w:eastAsia="zh-CN"/>
        </w:rPr>
        <w:t>给招标人造成损失的，愿意依法承担赔偿责任。如已中标，同意招标人取消我公司中标资格的处理。</w:t>
      </w:r>
    </w:p>
    <w:p>
      <w:pPr>
        <w:pStyle w:val="139"/>
        <w:spacing w:line="360" w:lineRule="auto"/>
        <w:ind w:firstLine="480" w:firstLineChars="200"/>
        <w:rPr>
          <w:rFonts w:ascii="宋体" w:hAnsi="宋体"/>
          <w:color w:val="auto"/>
          <w:sz w:val="24"/>
          <w:highlight w:val="none"/>
          <w:lang w:val="en-US" w:eastAsia="zh-CN"/>
        </w:rPr>
      </w:pPr>
    </w:p>
    <w:p>
      <w:pPr>
        <w:pStyle w:val="139"/>
        <w:spacing w:line="360" w:lineRule="auto"/>
        <w:ind w:firstLine="360" w:firstLineChars="150"/>
        <w:rPr>
          <w:rFonts w:ascii="宋体" w:hAnsi="宋体"/>
          <w:color w:val="auto"/>
          <w:sz w:val="24"/>
          <w:highlight w:val="none"/>
          <w:lang w:val="en-US" w:eastAsia="zh-CN"/>
        </w:rPr>
      </w:pPr>
    </w:p>
    <w:p>
      <w:pPr>
        <w:pStyle w:val="139"/>
        <w:spacing w:line="360" w:lineRule="auto"/>
        <w:rPr>
          <w:rFonts w:ascii="宋体" w:hAnsi="宋体"/>
          <w:color w:val="auto"/>
          <w:sz w:val="24"/>
          <w:highlight w:val="none"/>
          <w:lang w:val="en-US" w:eastAsia="zh-CN"/>
        </w:rPr>
      </w:pPr>
      <w:r>
        <w:rPr>
          <w:rFonts w:hint="eastAsia" w:ascii="宋体" w:hAnsi="宋体"/>
          <w:color w:val="auto"/>
          <w:sz w:val="24"/>
          <w:highlight w:val="none"/>
          <w:lang w:val="en-US" w:eastAsia="zh-CN"/>
        </w:rPr>
        <w:t xml:space="preserve">投标人(单位电子公章)：             拟派项目负责人（签字或盖章）：  </w:t>
      </w:r>
    </w:p>
    <w:p>
      <w:pPr>
        <w:pStyle w:val="139"/>
        <w:spacing w:line="360" w:lineRule="auto"/>
        <w:rPr>
          <w:rFonts w:ascii="宋体" w:hAnsi="宋体"/>
          <w:color w:val="auto"/>
          <w:sz w:val="24"/>
          <w:highlight w:val="none"/>
          <w:lang w:val="en-US" w:eastAsia="zh-CN"/>
        </w:rPr>
      </w:pPr>
    </w:p>
    <w:p>
      <w:pPr>
        <w:pStyle w:val="139"/>
        <w:spacing w:line="360" w:lineRule="auto"/>
        <w:rPr>
          <w:rFonts w:ascii="宋体" w:hAnsi="宋体"/>
          <w:color w:val="auto"/>
          <w:sz w:val="24"/>
          <w:highlight w:val="none"/>
          <w:lang w:val="en-US" w:eastAsia="zh-CN"/>
        </w:rPr>
      </w:pPr>
      <w:r>
        <w:rPr>
          <w:rFonts w:hint="eastAsia" w:ascii="宋体" w:hAnsi="宋体"/>
          <w:color w:val="auto"/>
          <w:sz w:val="24"/>
          <w:highlight w:val="none"/>
          <w:lang w:val="en-US" w:eastAsia="zh-CN"/>
        </w:rPr>
        <w:t>法定代表人(单位法人电子章)：       建造师执业章：</w:t>
      </w:r>
    </w:p>
    <w:p>
      <w:pPr>
        <w:pStyle w:val="139"/>
        <w:spacing w:line="360" w:lineRule="auto"/>
        <w:jc w:val="center"/>
        <w:rPr>
          <w:rFonts w:ascii="宋体" w:hAnsi="宋体"/>
          <w:color w:val="auto"/>
          <w:sz w:val="24"/>
          <w:highlight w:val="none"/>
          <w:u w:val="single"/>
          <w:lang w:val="en-US" w:eastAsia="zh-CN"/>
        </w:rPr>
      </w:pPr>
    </w:p>
    <w:p>
      <w:pPr>
        <w:pStyle w:val="139"/>
        <w:spacing w:line="360" w:lineRule="auto"/>
        <w:jc w:val="right"/>
        <w:rPr>
          <w:rFonts w:ascii="宋体" w:hAnsi="宋体"/>
          <w:color w:val="auto"/>
          <w:sz w:val="24"/>
          <w:highlight w:val="none"/>
          <w:lang w:val="en-US" w:eastAsia="zh-CN"/>
        </w:rPr>
      </w:pPr>
      <w:r>
        <w:rPr>
          <w:rFonts w:hint="eastAsia" w:ascii="宋体" w:hAnsi="宋体"/>
          <w:color w:val="auto"/>
          <w:sz w:val="24"/>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日</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rPr>
          <w:rFonts w:hint="eastAsia"/>
          <w:color w:val="auto"/>
          <w:highlight w:val="none"/>
        </w:rPr>
      </w:pPr>
    </w:p>
    <w:p>
      <w:pPr>
        <w:adjustRightInd w:val="0"/>
        <w:snapToGrid w:val="0"/>
        <w:spacing w:line="360" w:lineRule="auto"/>
        <w:jc w:val="center"/>
        <w:rPr>
          <w:rStyle w:val="43"/>
          <w:rFonts w:hint="eastAsia" w:ascii="宋体" w:hAnsi="宋体" w:eastAsia="宋体" w:cs="宋体"/>
          <w:color w:val="auto"/>
          <w:sz w:val="32"/>
          <w:szCs w:val="32"/>
          <w:highlight w:val="none"/>
        </w:rPr>
      </w:pPr>
      <w:bookmarkStart w:id="51" w:name="_Toc472544485"/>
      <w:r>
        <w:rPr>
          <w:rFonts w:hint="eastAsia" w:ascii="宋体" w:hAnsi="宋体" w:cs="宋体"/>
          <w:b/>
          <w:snapToGrid/>
          <w:color w:val="auto"/>
          <w:kern w:val="44"/>
          <w:sz w:val="32"/>
          <w:highlight w:val="none"/>
        </w:rPr>
        <w:br w:type="page"/>
      </w:r>
      <w:r>
        <w:rPr>
          <w:rFonts w:hint="eastAsia" w:ascii="宋体" w:hAnsi="宋体" w:cs="宋体"/>
          <w:b/>
          <w:snapToGrid/>
          <w:color w:val="auto"/>
          <w:kern w:val="44"/>
          <w:sz w:val="32"/>
          <w:highlight w:val="none"/>
        </w:rPr>
        <w:t>第五部分</w:t>
      </w:r>
      <w:bookmarkStart w:id="52" w:name="_Toc118516258"/>
      <w:r>
        <w:rPr>
          <w:rFonts w:hint="eastAsia" w:ascii="宋体" w:hAnsi="宋体" w:cs="宋体"/>
          <w:b/>
          <w:snapToGrid/>
          <w:color w:val="auto"/>
          <w:kern w:val="44"/>
          <w:sz w:val="32"/>
          <w:highlight w:val="none"/>
        </w:rPr>
        <w:t xml:space="preserve">  附件（响应文件格式</w:t>
      </w:r>
      <w:bookmarkEnd w:id="51"/>
      <w:bookmarkEnd w:id="52"/>
      <w:r>
        <w:rPr>
          <w:rFonts w:hint="eastAsia" w:ascii="宋体" w:hAnsi="宋体" w:cs="宋体"/>
          <w:b/>
          <w:snapToGrid/>
          <w:color w:val="auto"/>
          <w:kern w:val="44"/>
          <w:sz w:val="32"/>
          <w:highlight w:val="none"/>
        </w:rPr>
        <w:t>）</w:t>
      </w:r>
    </w:p>
    <w:p>
      <w:pPr>
        <w:rPr>
          <w:rFonts w:hint="eastAsia" w:ascii="宋体" w:hAnsi="宋体" w:cs="宋体"/>
          <w:color w:val="auto"/>
          <w:highlight w:val="none"/>
        </w:rPr>
      </w:pPr>
    </w:p>
    <w:p>
      <w:pPr>
        <w:pStyle w:val="19"/>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说明：</w:t>
      </w:r>
    </w:p>
    <w:p>
      <w:pPr>
        <w:pStyle w:val="19"/>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1.响应文件由磋商供应商根据照磋商文件要求参照附件格式编制。</w:t>
      </w:r>
    </w:p>
    <w:p>
      <w:pPr>
        <w:pStyle w:val="19"/>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2.附件中有参考格式的，参照格式，没有参考格式的，自行编制。</w:t>
      </w:r>
    </w:p>
    <w:p>
      <w:pPr>
        <w:pStyle w:val="4"/>
        <w:snapToGrid w:val="0"/>
        <w:spacing w:before="120" w:beforeLines="50"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4"/>
          <w:highlight w:val="none"/>
        </w:rPr>
        <w:br w:type="page"/>
      </w:r>
      <w:bookmarkStart w:id="53" w:name="_Toc385596607"/>
      <w:bookmarkStart w:id="54" w:name="_Toc402432104"/>
      <w:bookmarkStart w:id="55" w:name="_Toc450199111"/>
      <w:bookmarkStart w:id="56" w:name="_Toc390342487"/>
      <w:bookmarkStart w:id="57" w:name="_Toc368993656"/>
      <w:bookmarkStart w:id="58" w:name="_Toc396290683"/>
      <w:bookmarkStart w:id="59" w:name="_Toc415814146"/>
      <w:bookmarkStart w:id="60" w:name="_Toc404172372"/>
      <w:bookmarkStart w:id="61" w:name="_Toc372127740"/>
      <w:r>
        <w:rPr>
          <w:rFonts w:hint="eastAsia" w:ascii="宋体" w:hAnsi="宋体" w:eastAsia="宋体" w:cs="宋体"/>
          <w:color w:val="auto"/>
          <w:sz w:val="21"/>
          <w:szCs w:val="21"/>
          <w:highlight w:val="none"/>
        </w:rPr>
        <w:t>一、磋商响应文件封面</w:t>
      </w:r>
      <w:bookmarkEnd w:id="53"/>
      <w:bookmarkEnd w:id="54"/>
      <w:bookmarkEnd w:id="55"/>
      <w:bookmarkEnd w:id="56"/>
      <w:bookmarkEnd w:id="57"/>
      <w:bookmarkEnd w:id="58"/>
      <w:bookmarkEnd w:id="59"/>
      <w:bookmarkEnd w:id="60"/>
      <w:bookmarkEnd w:id="61"/>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_（项目名称）</w:t>
      </w: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52"/>
          <w:szCs w:val="52"/>
          <w:highlight w:val="none"/>
        </w:rPr>
      </w:pPr>
    </w:p>
    <w:p>
      <w:pPr>
        <w:spacing w:after="120"/>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磋商响应文件</w:t>
      </w:r>
    </w:p>
    <w:p>
      <w:pPr>
        <w:spacing w:after="120"/>
        <w:jc w:val="center"/>
        <w:rPr>
          <w:rFonts w:hint="eastAsia" w:ascii="宋体" w:hAnsi="宋体" w:cs="宋体"/>
          <w:color w:val="auto"/>
          <w:sz w:val="24"/>
          <w:highlight w:val="none"/>
        </w:rPr>
      </w:pPr>
    </w:p>
    <w:p>
      <w:pPr>
        <w:spacing w:after="120"/>
        <w:jc w:val="center"/>
        <w:rPr>
          <w:rFonts w:hint="eastAsia" w:ascii="宋体" w:hAnsi="宋体" w:cs="宋体"/>
          <w:color w:val="auto"/>
          <w:sz w:val="24"/>
          <w:highlight w:val="none"/>
        </w:rPr>
      </w:pPr>
    </w:p>
    <w:p>
      <w:pPr>
        <w:spacing w:after="120"/>
        <w:jc w:val="center"/>
        <w:rPr>
          <w:rFonts w:hint="eastAsia" w:ascii="宋体" w:hAnsi="宋体" w:cs="宋体"/>
          <w:color w:val="auto"/>
          <w:sz w:val="24"/>
          <w:highlight w:val="none"/>
        </w:rPr>
      </w:pPr>
    </w:p>
    <w:p>
      <w:pPr>
        <w:spacing w:after="120"/>
        <w:jc w:val="center"/>
        <w:rPr>
          <w:rFonts w:hint="eastAsia" w:ascii="宋体" w:hAnsi="宋体" w:cs="宋体"/>
          <w:color w:val="auto"/>
          <w:sz w:val="24"/>
          <w:highlight w:val="none"/>
        </w:rPr>
      </w:pPr>
    </w:p>
    <w:p>
      <w:pPr>
        <w:spacing w:after="12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注明：资信和商务技术文件或报价文件</w:t>
      </w:r>
    </w:p>
    <w:p>
      <w:pPr>
        <w:spacing w:after="120"/>
        <w:jc w:val="center"/>
        <w:rPr>
          <w:rFonts w:hint="eastAsia" w:ascii="宋体" w:hAnsi="宋体" w:cs="宋体"/>
          <w:color w:val="auto"/>
          <w:sz w:val="24"/>
          <w:highlight w:val="none"/>
        </w:rPr>
      </w:pPr>
    </w:p>
    <w:p>
      <w:pPr>
        <w:spacing w:after="120"/>
        <w:jc w:val="center"/>
        <w:rPr>
          <w:rFonts w:hint="eastAsia" w:ascii="宋体" w:hAnsi="宋体" w:cs="宋体"/>
          <w:b/>
          <w:color w:val="auto"/>
          <w:sz w:val="24"/>
          <w:highlight w:val="none"/>
        </w:rPr>
      </w:pPr>
    </w:p>
    <w:p>
      <w:pPr>
        <w:spacing w:after="120"/>
        <w:jc w:val="center"/>
        <w:rPr>
          <w:rFonts w:hint="eastAsia" w:ascii="宋体" w:hAnsi="宋体" w:cs="宋体"/>
          <w:b/>
          <w:color w:val="auto"/>
          <w:sz w:val="24"/>
          <w:highlight w:val="none"/>
        </w:rPr>
      </w:pPr>
    </w:p>
    <w:p>
      <w:pPr>
        <w:spacing w:after="120"/>
        <w:jc w:val="center"/>
        <w:rPr>
          <w:rFonts w:hint="eastAsia" w:ascii="宋体" w:hAnsi="宋体" w:cs="宋体"/>
          <w:b/>
          <w:color w:val="auto"/>
          <w:sz w:val="24"/>
          <w:highlight w:val="none"/>
        </w:rPr>
      </w:pPr>
    </w:p>
    <w:p>
      <w:pPr>
        <w:spacing w:after="120"/>
        <w:jc w:val="center"/>
        <w:rPr>
          <w:rFonts w:hint="eastAsia" w:ascii="宋体" w:hAnsi="宋体" w:cs="宋体"/>
          <w:b/>
          <w:color w:val="auto"/>
          <w:sz w:val="24"/>
          <w:highlight w:val="none"/>
        </w:rPr>
      </w:pPr>
    </w:p>
    <w:p>
      <w:pPr>
        <w:spacing w:after="120"/>
        <w:jc w:val="center"/>
        <w:rPr>
          <w:rFonts w:hint="eastAsia" w:ascii="宋体" w:hAnsi="宋体" w:cs="宋体"/>
          <w:b/>
          <w:color w:val="auto"/>
          <w:sz w:val="24"/>
          <w:highlight w:val="none"/>
        </w:rPr>
      </w:pPr>
    </w:p>
    <w:p>
      <w:pPr>
        <w:spacing w:after="120"/>
        <w:jc w:val="center"/>
        <w:rPr>
          <w:rFonts w:hint="eastAsia" w:ascii="宋体" w:hAnsi="宋体" w:cs="宋体"/>
          <w:b/>
          <w:color w:val="auto"/>
          <w:sz w:val="24"/>
          <w:highlight w:val="none"/>
        </w:rPr>
      </w:pPr>
    </w:p>
    <w:p>
      <w:pPr>
        <w:spacing w:after="120"/>
        <w:jc w:val="center"/>
        <w:rPr>
          <w:rFonts w:hint="eastAsia" w:ascii="宋体" w:hAnsi="宋体" w:cs="宋体"/>
          <w:b/>
          <w:color w:val="auto"/>
          <w:sz w:val="24"/>
          <w:highlight w:val="none"/>
        </w:rPr>
      </w:pPr>
    </w:p>
    <w:p>
      <w:pPr>
        <w:spacing w:after="120"/>
        <w:jc w:val="center"/>
        <w:rPr>
          <w:rFonts w:hint="eastAsia" w:ascii="宋体" w:hAnsi="宋体" w:cs="宋体"/>
          <w:b/>
          <w:color w:val="auto"/>
          <w:sz w:val="24"/>
          <w:highlight w:val="none"/>
        </w:rPr>
      </w:pPr>
    </w:p>
    <w:p>
      <w:pPr>
        <w:spacing w:after="12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供应商全称（盖单位公章或电子签章）</w:t>
      </w:r>
    </w:p>
    <w:p>
      <w:pPr>
        <w:spacing w:after="120"/>
        <w:jc w:val="center"/>
        <w:rPr>
          <w:rFonts w:hint="eastAsia" w:ascii="宋体" w:hAnsi="宋体" w:cs="宋体"/>
          <w:color w:val="auto"/>
          <w:sz w:val="24"/>
          <w:highlight w:val="none"/>
          <w:u w:val="single"/>
        </w:rPr>
      </w:pPr>
    </w:p>
    <w:p>
      <w:pPr>
        <w:spacing w:after="120"/>
        <w:ind w:firstLine="210"/>
        <w:jc w:val="cente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after="120"/>
        <w:ind w:firstLine="210"/>
        <w:jc w:val="cente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4"/>
        <w:snapToGrid w:val="0"/>
        <w:spacing w:before="120" w:beforeLines="50" w:after="0" w:line="360" w:lineRule="auto"/>
        <w:rPr>
          <w:rFonts w:hint="eastAsia" w:ascii="宋体" w:hAnsi="宋体" w:eastAsia="宋体" w:cs="宋体"/>
          <w:color w:val="auto"/>
          <w:sz w:val="21"/>
          <w:szCs w:val="21"/>
          <w:highlight w:val="none"/>
        </w:rPr>
      </w:pPr>
      <w:bookmarkStart w:id="62" w:name="_Toc415814147"/>
      <w:bookmarkStart w:id="63" w:name="_Toc293401393"/>
      <w:bookmarkStart w:id="64" w:name="_Toc401423940"/>
      <w:bookmarkStart w:id="65" w:name="_Toc450199112"/>
      <w:r>
        <w:rPr>
          <w:rFonts w:hint="eastAsia" w:ascii="宋体" w:hAnsi="宋体" w:eastAsia="宋体" w:cs="宋体"/>
          <w:color w:val="auto"/>
          <w:sz w:val="21"/>
          <w:szCs w:val="21"/>
          <w:highlight w:val="none"/>
        </w:rPr>
        <w:t>二、报价</w:t>
      </w:r>
      <w:bookmarkEnd w:id="62"/>
      <w:bookmarkEnd w:id="63"/>
      <w:bookmarkEnd w:id="64"/>
      <w:r>
        <w:rPr>
          <w:rFonts w:hint="eastAsia" w:ascii="宋体" w:hAnsi="宋体" w:eastAsia="宋体" w:cs="宋体"/>
          <w:color w:val="auto"/>
          <w:sz w:val="21"/>
          <w:szCs w:val="21"/>
          <w:highlight w:val="none"/>
        </w:rPr>
        <w:t>文件</w:t>
      </w:r>
      <w:bookmarkEnd w:id="65"/>
      <w:r>
        <w:rPr>
          <w:rFonts w:hint="eastAsia" w:ascii="宋体" w:hAnsi="宋体" w:eastAsia="宋体" w:cs="宋体"/>
          <w:color w:val="auto"/>
          <w:sz w:val="21"/>
          <w:szCs w:val="21"/>
          <w:highlight w:val="none"/>
        </w:rPr>
        <w:t xml:space="preserve"> </w:t>
      </w:r>
    </w:p>
    <w:p>
      <w:pPr>
        <w:rPr>
          <w:rFonts w:hint="eastAsia" w:ascii="宋体" w:hAnsi="宋体" w:cs="宋体"/>
          <w:color w:val="auto"/>
          <w:highlight w:val="none"/>
        </w:rPr>
      </w:pPr>
    </w:p>
    <w:p>
      <w:pPr>
        <w:spacing w:line="360" w:lineRule="auto"/>
        <w:jc w:val="center"/>
        <w:rPr>
          <w:rFonts w:hint="eastAsia" w:ascii="宋体" w:hAnsi="宋体" w:cs="宋体"/>
          <w:color w:val="auto"/>
          <w:highlight w:val="none"/>
        </w:rPr>
      </w:pPr>
      <w:r>
        <w:rPr>
          <w:rFonts w:hint="eastAsia" w:ascii="宋体" w:hAnsi="宋体" w:cs="宋体"/>
          <w:color w:val="auto"/>
          <w:highlight w:val="none"/>
        </w:rPr>
        <w:t>目录</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（1）磋商响应初始报价一览表……………………………………………………（页码）</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（2）报价相关表单…………………………………………………………………（页码）</w:t>
      </w:r>
    </w:p>
    <w:p>
      <w:pPr>
        <w:spacing w:line="360" w:lineRule="auto"/>
        <w:jc w:val="left"/>
        <w:rPr>
          <w:rFonts w:hint="eastAsia" w:ascii="宋体" w:hAnsi="宋体" w:cs="宋体"/>
          <w:color w:val="auto"/>
          <w:highlight w:val="none"/>
        </w:rPr>
      </w:pPr>
      <w:r>
        <w:rPr>
          <w:rFonts w:hint="eastAsia" w:ascii="宋体" w:hAnsi="宋体" w:cs="宋体"/>
          <w:color w:val="auto"/>
          <w:szCs w:val="21"/>
          <w:highlight w:val="none"/>
        </w:rPr>
        <w:t>（3）磋商供应商认为需要提供的其他文件及资料。</w:t>
      </w:r>
      <w:r>
        <w:rPr>
          <w:rFonts w:hint="eastAsia" w:ascii="宋体" w:hAnsi="宋体" w:cs="宋体"/>
          <w:color w:val="auto"/>
          <w:highlight w:val="none"/>
        </w:rPr>
        <w:t>……………………………（页码）</w:t>
      </w:r>
    </w:p>
    <w:p>
      <w:pPr>
        <w:adjustRightInd w:val="0"/>
        <w:spacing w:line="360" w:lineRule="auto"/>
        <w:ind w:firstLine="435"/>
        <w:rPr>
          <w:rFonts w:hint="eastAsia"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rPr>
        <w:t>1.</w:t>
      </w:r>
      <w:r>
        <w:rPr>
          <w:rFonts w:hint="eastAsia" w:ascii="宋体" w:hAnsi="宋体" w:cs="宋体"/>
          <w:b/>
          <w:color w:val="auto"/>
          <w:szCs w:val="21"/>
          <w:highlight w:val="none"/>
        </w:rPr>
        <w:t>磋商响应初始报价一览表</w:t>
      </w:r>
    </w:p>
    <w:p>
      <w:pPr>
        <w:adjustRightInd w:val="0"/>
        <w:spacing w:line="360" w:lineRule="auto"/>
        <w:jc w:val="center"/>
        <w:rPr>
          <w:rFonts w:hint="eastAsia" w:ascii="宋体" w:hAnsi="宋体" w:cs="宋体"/>
          <w:b/>
          <w:snapToGrid/>
          <w:color w:val="auto"/>
          <w:kern w:val="2"/>
          <w:sz w:val="32"/>
          <w:szCs w:val="32"/>
          <w:highlight w:val="none"/>
        </w:rPr>
      </w:pPr>
      <w:r>
        <w:rPr>
          <w:rFonts w:hint="eastAsia" w:ascii="宋体" w:hAnsi="宋体" w:cs="宋体"/>
          <w:b/>
          <w:snapToGrid/>
          <w:color w:val="auto"/>
          <w:kern w:val="2"/>
          <w:sz w:val="32"/>
          <w:szCs w:val="32"/>
          <w:highlight w:val="none"/>
        </w:rPr>
        <w:t>磋商响应初始报价一览表</w:t>
      </w:r>
    </w:p>
    <w:p>
      <w:pPr>
        <w:ind w:right="480"/>
        <w:rPr>
          <w:rFonts w:hint="eastAsia" w:ascii="宋体" w:hAnsi="宋体" w:cs="宋体"/>
          <w:color w:val="auto"/>
          <w:szCs w:val="21"/>
          <w:highlight w:val="none"/>
        </w:rPr>
      </w:pPr>
      <w:r>
        <w:rPr>
          <w:rFonts w:hint="eastAsia" w:ascii="宋体" w:hAnsi="宋体" w:cs="宋体"/>
          <w:color w:val="auto"/>
          <w:szCs w:val="21"/>
          <w:highlight w:val="none"/>
        </w:rPr>
        <w:t>项目名称：</w:t>
      </w:r>
    </w:p>
    <w:p>
      <w:pPr>
        <w:ind w:right="480"/>
        <w:rPr>
          <w:rFonts w:hint="eastAsia" w:ascii="宋体" w:hAnsi="宋体" w:cs="宋体"/>
          <w:color w:val="auto"/>
          <w:szCs w:val="21"/>
          <w:highlight w:val="none"/>
        </w:rPr>
      </w:pPr>
      <w:r>
        <w:rPr>
          <w:rFonts w:hint="eastAsia" w:ascii="宋体" w:hAnsi="宋体" w:cs="宋体"/>
          <w:color w:val="auto"/>
          <w:szCs w:val="21"/>
          <w:highlight w:val="none"/>
        </w:rPr>
        <w:t>采购编号：</w:t>
      </w:r>
    </w:p>
    <w:p>
      <w:pPr>
        <w:ind w:right="480"/>
        <w:rPr>
          <w:rFonts w:hint="eastAsia" w:ascii="宋体" w:hAnsi="宋体" w:cs="宋体"/>
          <w:color w:val="auto"/>
          <w:szCs w:val="21"/>
          <w:highlight w:val="none"/>
        </w:rPr>
      </w:pPr>
    </w:p>
    <w:p>
      <w:pPr>
        <w:ind w:right="480"/>
        <w:rPr>
          <w:rFonts w:hint="eastAsia" w:ascii="宋体" w:hAnsi="宋体" w:cs="宋体"/>
          <w:color w:val="auto"/>
          <w:szCs w:val="21"/>
          <w:highlight w:val="none"/>
        </w:rPr>
      </w:pPr>
      <w:r>
        <w:rPr>
          <w:rFonts w:hint="eastAsia" w:ascii="宋体" w:hAnsi="宋体" w:cs="宋体"/>
          <w:color w:val="auto"/>
          <w:szCs w:val="21"/>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440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2186" w:type="dxa"/>
            <w:noWrap w:val="0"/>
            <w:vAlign w:val="center"/>
          </w:tcPr>
          <w:p>
            <w:pPr>
              <w:pStyle w:val="7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407" w:type="dxa"/>
            <w:noWrap w:val="0"/>
            <w:vAlign w:val="center"/>
          </w:tcPr>
          <w:p>
            <w:pPr>
              <w:pStyle w:val="7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初始报价（人民币：元）</w:t>
            </w:r>
          </w:p>
        </w:tc>
        <w:tc>
          <w:tcPr>
            <w:tcW w:w="1790" w:type="dxa"/>
            <w:noWrap w:val="0"/>
            <w:vAlign w:val="center"/>
          </w:tcPr>
          <w:p>
            <w:pPr>
              <w:pStyle w:val="7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jc w:val="center"/>
        </w:trPr>
        <w:tc>
          <w:tcPr>
            <w:tcW w:w="2186" w:type="dxa"/>
            <w:noWrap w:val="0"/>
            <w:vAlign w:val="center"/>
          </w:tcPr>
          <w:p>
            <w:pPr>
              <w:pStyle w:val="7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4407" w:type="dxa"/>
            <w:noWrap w:val="0"/>
            <w:vAlign w:val="center"/>
          </w:tcPr>
          <w:p>
            <w:pPr>
              <w:pStyle w:val="7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highlight w:val="none"/>
                <w:u w:val="single"/>
              </w:rPr>
              <w:t xml:space="preserve">           </w:t>
            </w:r>
          </w:p>
          <w:p>
            <w:pPr>
              <w:pStyle w:val="7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r>
              <w:rPr>
                <w:rFonts w:hint="eastAsia" w:ascii="宋体" w:hAnsi="宋体" w:eastAsia="宋体" w:cs="宋体"/>
                <w:color w:val="auto"/>
                <w:highlight w:val="none"/>
                <w:u w:val="single"/>
              </w:rPr>
              <w:t xml:space="preserve">           </w:t>
            </w:r>
          </w:p>
        </w:tc>
        <w:tc>
          <w:tcPr>
            <w:tcW w:w="1790" w:type="dxa"/>
            <w:noWrap w:val="0"/>
            <w:vAlign w:val="center"/>
          </w:tcPr>
          <w:p>
            <w:pPr>
              <w:pStyle w:val="70"/>
              <w:spacing w:line="360" w:lineRule="auto"/>
              <w:jc w:val="both"/>
              <w:rPr>
                <w:rFonts w:hint="eastAsia" w:ascii="宋体" w:hAnsi="宋体" w:eastAsia="宋体" w:cs="宋体"/>
                <w:color w:val="auto"/>
                <w:szCs w:val="21"/>
                <w:highlight w:val="none"/>
              </w:rPr>
            </w:pPr>
          </w:p>
        </w:tc>
      </w:tr>
    </w:tbl>
    <w:p>
      <w:pPr>
        <w:adjustRightInd w:val="0"/>
        <w:spacing w:line="360" w:lineRule="auto"/>
        <w:jc w:val="left"/>
        <w:rPr>
          <w:rFonts w:hint="eastAsia" w:ascii="宋体" w:hAnsi="宋体" w:cs="宋体"/>
          <w:color w:val="auto"/>
          <w:szCs w:val="21"/>
          <w:highlight w:val="none"/>
        </w:rPr>
      </w:pP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报价中应包括完成该工程的人工、机械、水电、劳务、管理、主材、辅材、运输、安装、保修、垃圾清运、措施（如临时措施、环境保护、成品保护等）、保险、利润、税金、政策性文件规定及合同包含的所有风险、责任等各项应有费用。供应商应根据竞争性磋商文件要求、采购人组织的现场踏勘实际情况、自身的综合实力，自由竞报磋商报价并承担相应的风险责任。</w:t>
      </w:r>
    </w:p>
    <w:p>
      <w:pPr>
        <w:adjustRightInd w:val="0"/>
        <w:spacing w:line="360" w:lineRule="auto"/>
        <w:jc w:val="left"/>
        <w:rPr>
          <w:rFonts w:hint="eastAsia" w:ascii="宋体" w:hAnsi="宋体" w:cs="宋体"/>
          <w:color w:val="auto"/>
          <w:szCs w:val="21"/>
          <w:highlight w:val="none"/>
        </w:rPr>
      </w:pPr>
    </w:p>
    <w:p>
      <w:pPr>
        <w:adjustRightInd w:val="0"/>
        <w:spacing w:line="360" w:lineRule="auto"/>
        <w:jc w:val="left"/>
        <w:rPr>
          <w:rFonts w:hint="eastAsia" w:ascii="宋体" w:hAnsi="宋体" w:cs="宋体"/>
          <w:color w:val="auto"/>
          <w:szCs w:val="21"/>
          <w:highlight w:val="none"/>
        </w:rPr>
      </w:pPr>
    </w:p>
    <w:p>
      <w:pPr>
        <w:ind w:right="480"/>
        <w:rPr>
          <w:rFonts w:hint="eastAsia" w:ascii="宋体" w:hAnsi="宋体" w:cs="宋体"/>
          <w:color w:val="auto"/>
          <w:szCs w:val="21"/>
          <w:highlight w:val="none"/>
        </w:rPr>
      </w:pPr>
    </w:p>
    <w:p>
      <w:pPr>
        <w:adjustRightInd w:val="0"/>
        <w:spacing w:line="360" w:lineRule="auto"/>
        <w:ind w:firstLine="2677" w:firstLineChars="1275"/>
        <w:rPr>
          <w:rFonts w:hint="eastAsia" w:ascii="宋体" w:hAnsi="宋体" w:cs="宋体"/>
          <w:color w:val="auto"/>
          <w:szCs w:val="21"/>
          <w:highlight w:val="none"/>
        </w:rPr>
      </w:pPr>
      <w:r>
        <w:rPr>
          <w:rFonts w:hint="eastAsia" w:ascii="宋体" w:hAnsi="宋体" w:cs="宋体"/>
          <w:color w:val="auto"/>
          <w:szCs w:val="21"/>
          <w:highlight w:val="none"/>
        </w:rPr>
        <w:t>供应商全称（盖单位公章或电子签章）：</w:t>
      </w:r>
    </w:p>
    <w:p>
      <w:pPr>
        <w:adjustRightInd w:val="0"/>
        <w:spacing w:line="360" w:lineRule="auto"/>
        <w:ind w:firstLine="2677" w:firstLineChars="1275"/>
        <w:rPr>
          <w:rFonts w:hint="eastAsia" w:ascii="宋体" w:hAnsi="宋体" w:cs="宋体"/>
          <w:color w:val="auto"/>
          <w:szCs w:val="21"/>
          <w:highlight w:val="none"/>
        </w:rPr>
      </w:pPr>
      <w:r>
        <w:rPr>
          <w:rFonts w:hint="eastAsia" w:ascii="宋体" w:hAnsi="宋体" w:cs="宋体"/>
          <w:color w:val="auto"/>
          <w:szCs w:val="21"/>
          <w:highlight w:val="none"/>
        </w:rPr>
        <w:t>日    期：</w:t>
      </w:r>
    </w:p>
    <w:p>
      <w:pPr>
        <w:adjustRightInd w:val="0"/>
        <w:spacing w:line="360" w:lineRule="auto"/>
        <w:ind w:firstLine="435"/>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highlight w:val="none"/>
        </w:rPr>
        <w:t>2、</w:t>
      </w:r>
      <w:r>
        <w:rPr>
          <w:rFonts w:hint="eastAsia" w:ascii="宋体" w:hAnsi="宋体" w:cs="宋体"/>
          <w:b/>
          <w:color w:val="auto"/>
          <w:szCs w:val="21"/>
          <w:highlight w:val="none"/>
        </w:rPr>
        <w:t>报价相关表单</w:t>
      </w:r>
    </w:p>
    <w:p>
      <w:pPr>
        <w:adjustRightInd w:val="0"/>
        <w:spacing w:line="360" w:lineRule="auto"/>
        <w:jc w:val="center"/>
        <w:rPr>
          <w:rFonts w:hint="eastAsia" w:ascii="宋体" w:hAnsi="宋体" w:eastAsia="宋体" w:cs="宋体"/>
          <w:b/>
          <w:snapToGrid/>
          <w:color w:val="auto"/>
          <w:kern w:val="2"/>
          <w:sz w:val="32"/>
          <w:szCs w:val="32"/>
          <w:highlight w:val="none"/>
        </w:rPr>
      </w:pPr>
      <w:r>
        <w:rPr>
          <w:rFonts w:hint="eastAsia" w:ascii="宋体" w:hAnsi="宋体" w:eastAsia="宋体" w:cs="宋体"/>
          <w:b/>
          <w:snapToGrid/>
          <w:color w:val="auto"/>
          <w:kern w:val="2"/>
          <w:sz w:val="32"/>
          <w:szCs w:val="32"/>
          <w:highlight w:val="none"/>
        </w:rPr>
        <w:t>报价汇总表</w:t>
      </w:r>
    </w:p>
    <w:p>
      <w:pPr>
        <w:ind w:right="480"/>
        <w:rPr>
          <w:rFonts w:hint="eastAsia" w:ascii="宋体" w:hAnsi="宋体" w:eastAsia="宋体" w:cs="宋体"/>
          <w:color w:val="auto"/>
          <w:szCs w:val="21"/>
          <w:highlight w:val="none"/>
        </w:rPr>
      </w:pPr>
    </w:p>
    <w:p>
      <w:pPr>
        <w:ind w:right="480"/>
        <w:rPr>
          <w:rFonts w:hint="eastAsia" w:ascii="宋体" w:hAnsi="宋体" w:eastAsia="宋体" w:cs="宋体"/>
          <w:color w:val="auto"/>
          <w:szCs w:val="21"/>
          <w:highlight w:val="none"/>
        </w:rPr>
      </w:pPr>
    </w:p>
    <w:p>
      <w:pPr>
        <w:widowControl/>
        <w:tabs>
          <w:tab w:val="center" w:pos="4755"/>
          <w:tab w:val="right" w:pos="907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pPr>
        <w:widowControl/>
        <w:tabs>
          <w:tab w:val="center" w:pos="4755"/>
          <w:tab w:val="right" w:pos="907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采购编号：</w:t>
      </w:r>
    </w:p>
    <w:p>
      <w:pPr>
        <w:widowControl/>
        <w:tabs>
          <w:tab w:val="center" w:pos="4755"/>
          <w:tab w:val="right" w:pos="9070"/>
        </w:tabs>
        <w:spacing w:line="360" w:lineRule="auto"/>
        <w:jc w:val="left"/>
        <w:rPr>
          <w:rFonts w:hint="eastAsia" w:ascii="宋体" w:hAnsi="宋体" w:eastAsia="宋体" w:cs="宋体"/>
          <w:color w:val="auto"/>
          <w:szCs w:val="21"/>
          <w:highlight w:val="none"/>
        </w:rPr>
      </w:pPr>
    </w:p>
    <w:p>
      <w:pPr>
        <w:widowControl/>
        <w:tabs>
          <w:tab w:val="center" w:pos="4755"/>
          <w:tab w:val="right" w:pos="907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（价格单位：元人民币）</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612"/>
        <w:gridCol w:w="182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612"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182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报价（元）</w:t>
            </w:r>
          </w:p>
        </w:tc>
        <w:tc>
          <w:tcPr>
            <w:tcW w:w="204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612" w:type="dxa"/>
            <w:noWrap w:val="0"/>
            <w:vAlign w:val="center"/>
          </w:tcPr>
          <w:p>
            <w:pPr>
              <w:tabs>
                <w:tab w:val="left" w:pos="3780"/>
              </w:tabs>
              <w:rPr>
                <w:rFonts w:hint="eastAsia" w:ascii="宋体" w:hAnsi="宋体" w:eastAsia="宋体" w:cs="宋体"/>
                <w:color w:val="auto"/>
                <w:szCs w:val="21"/>
                <w:highlight w:val="none"/>
              </w:rPr>
            </w:pPr>
          </w:p>
        </w:tc>
        <w:tc>
          <w:tcPr>
            <w:tcW w:w="1820" w:type="dxa"/>
            <w:noWrap w:val="0"/>
            <w:vAlign w:val="center"/>
          </w:tcPr>
          <w:p>
            <w:pPr>
              <w:tabs>
                <w:tab w:val="left" w:pos="3780"/>
              </w:tabs>
              <w:rPr>
                <w:rFonts w:hint="eastAsia" w:ascii="宋体" w:hAnsi="宋体" w:eastAsia="宋体" w:cs="宋体"/>
                <w:color w:val="auto"/>
                <w:szCs w:val="21"/>
                <w:highlight w:val="none"/>
              </w:rPr>
            </w:pP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612" w:type="dxa"/>
            <w:noWrap w:val="0"/>
            <w:vAlign w:val="center"/>
          </w:tcPr>
          <w:p>
            <w:pPr>
              <w:tabs>
                <w:tab w:val="left" w:pos="3780"/>
              </w:tabs>
              <w:rPr>
                <w:rFonts w:hint="eastAsia" w:ascii="宋体" w:hAnsi="宋体" w:eastAsia="宋体" w:cs="宋体"/>
                <w:color w:val="auto"/>
                <w:szCs w:val="21"/>
                <w:highlight w:val="none"/>
              </w:rPr>
            </w:pPr>
          </w:p>
        </w:tc>
        <w:tc>
          <w:tcPr>
            <w:tcW w:w="1820" w:type="dxa"/>
            <w:noWrap w:val="0"/>
            <w:vAlign w:val="center"/>
          </w:tcPr>
          <w:p>
            <w:pPr>
              <w:tabs>
                <w:tab w:val="left" w:pos="3780"/>
              </w:tabs>
              <w:rPr>
                <w:rFonts w:hint="eastAsia" w:ascii="宋体" w:hAnsi="宋体" w:eastAsia="宋体" w:cs="宋体"/>
                <w:color w:val="auto"/>
                <w:szCs w:val="21"/>
                <w:highlight w:val="none"/>
              </w:rPr>
            </w:pP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p>
        </w:tc>
        <w:tc>
          <w:tcPr>
            <w:tcW w:w="4612"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w:t>
            </w:r>
          </w:p>
        </w:tc>
        <w:tc>
          <w:tcPr>
            <w:tcW w:w="1820" w:type="dxa"/>
            <w:noWrap w:val="0"/>
            <w:vAlign w:val="center"/>
          </w:tcPr>
          <w:p>
            <w:pPr>
              <w:tabs>
                <w:tab w:val="left" w:pos="3780"/>
              </w:tabs>
              <w:rPr>
                <w:rFonts w:hint="eastAsia" w:ascii="宋体" w:hAnsi="宋体" w:eastAsia="宋体" w:cs="宋体"/>
                <w:color w:val="auto"/>
                <w:szCs w:val="21"/>
                <w:highlight w:val="none"/>
              </w:rPr>
            </w:pPr>
          </w:p>
        </w:tc>
        <w:tc>
          <w:tcPr>
            <w:tcW w:w="2044" w:type="dxa"/>
            <w:noWrap w:val="0"/>
            <w:vAlign w:val="center"/>
          </w:tcPr>
          <w:p>
            <w:pPr>
              <w:tabs>
                <w:tab w:val="left" w:pos="3780"/>
              </w:tabs>
              <w:rPr>
                <w:rFonts w:hint="eastAsia" w:ascii="宋体" w:hAnsi="宋体" w:eastAsia="宋体" w:cs="宋体"/>
                <w:color w:val="auto"/>
                <w:szCs w:val="21"/>
                <w:highlight w:val="none"/>
              </w:rPr>
            </w:pPr>
          </w:p>
        </w:tc>
      </w:tr>
    </w:tbl>
    <w:p>
      <w:pPr>
        <w:spacing w:line="36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注：表中的总报价应与磋商一览表中的报价一致，其中工程费报价金额应与附件2.1中表1.1.1中的总报价一致。</w:t>
      </w:r>
    </w:p>
    <w:p>
      <w:pPr>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pacing w:line="360" w:lineRule="auto"/>
        <w:jc w:val="left"/>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pacing w:line="360" w:lineRule="auto"/>
        <w:jc w:val="left"/>
        <w:rPr>
          <w:rFonts w:hint="eastAsia" w:ascii="宋体" w:hAnsi="宋体" w:eastAsia="宋体" w:cs="宋体"/>
          <w:color w:val="auto"/>
          <w:szCs w:val="21"/>
          <w:highlight w:val="none"/>
        </w:rPr>
      </w:pPr>
    </w:p>
    <w:p>
      <w:pPr>
        <w:ind w:right="480"/>
        <w:rPr>
          <w:rFonts w:hint="eastAsia" w:ascii="宋体" w:hAnsi="宋体" w:eastAsia="宋体" w:cs="宋体"/>
          <w:color w:val="auto"/>
          <w:szCs w:val="21"/>
          <w:highlight w:val="none"/>
        </w:rPr>
      </w:pPr>
    </w:p>
    <w:p>
      <w:pPr>
        <w:adjustRightInd w:val="0"/>
        <w:spacing w:line="360" w:lineRule="auto"/>
        <w:ind w:firstLine="2677" w:firstLineChars="1275"/>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供应商全称（盖单位公章或电子签章）：</w:t>
      </w:r>
    </w:p>
    <w:p>
      <w:pPr>
        <w:adjustRightInd w:val="0"/>
        <w:spacing w:line="360" w:lineRule="auto"/>
        <w:ind w:firstLine="2677" w:firstLineChars="1275"/>
        <w:rPr>
          <w:rFonts w:hint="eastAsia" w:ascii="宋体" w:hAnsi="宋体" w:eastAsia="宋体" w:cs="宋体"/>
          <w:color w:val="auto"/>
          <w:szCs w:val="21"/>
          <w:highlight w:val="none"/>
        </w:rPr>
      </w:pPr>
    </w:p>
    <w:p>
      <w:pPr>
        <w:adjustRightInd w:val="0"/>
        <w:spacing w:line="360" w:lineRule="auto"/>
        <w:ind w:firstLine="2677" w:firstLineChars="1275"/>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adjustRightInd w:val="0"/>
        <w:spacing w:line="360" w:lineRule="auto"/>
        <w:ind w:firstLine="435"/>
        <w:rPr>
          <w:rFonts w:hint="eastAsia" w:ascii="宋体" w:hAnsi="宋体" w:eastAsia="宋体" w:cs="宋体"/>
          <w:color w:val="auto"/>
          <w:szCs w:val="21"/>
          <w:highlight w:val="none"/>
        </w:rPr>
      </w:pPr>
    </w:p>
    <w:p>
      <w:pPr>
        <w:adjustRightInd w:val="0"/>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Cs w:val="21"/>
          <w:highlight w:val="none"/>
        </w:rPr>
        <w:br w:type="page"/>
      </w:r>
    </w:p>
    <w:p>
      <w:pPr>
        <w:keepNext/>
        <w:keepLines/>
        <w:spacing w:line="360" w:lineRule="auto"/>
        <w:ind w:firstLine="420"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表1-1-1  工程项目报价汇总表</w:t>
      </w:r>
    </w:p>
    <w:p>
      <w:pPr>
        <w:widowControl/>
        <w:tabs>
          <w:tab w:val="center" w:pos="4755"/>
          <w:tab w:val="right" w:pos="9070"/>
        </w:tabs>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77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204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单位工程费合计</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（单位工程1，如1号楼）</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（单位工程2）</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p>
        </w:tc>
        <w:tc>
          <w:tcPr>
            <w:tcW w:w="6770" w:type="dxa"/>
            <w:noWrap w:val="0"/>
            <w:vAlign w:val="center"/>
          </w:tcPr>
          <w:p>
            <w:pPr>
              <w:tabs>
                <w:tab w:val="left" w:pos="3780"/>
              </w:tabs>
              <w:rPr>
                <w:rFonts w:hint="eastAsia" w:ascii="宋体" w:hAnsi="宋体" w:eastAsia="宋体" w:cs="宋体"/>
                <w:color w:val="auto"/>
                <w:szCs w:val="21"/>
                <w:highlight w:val="none"/>
              </w:rPr>
            </w:pP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p>
        </w:tc>
        <w:tc>
          <w:tcPr>
            <w:tcW w:w="6770" w:type="dxa"/>
            <w:noWrap w:val="0"/>
            <w:vAlign w:val="center"/>
          </w:tcPr>
          <w:p>
            <w:pPr>
              <w:tabs>
                <w:tab w:val="left" w:pos="3780"/>
              </w:tabs>
              <w:rPr>
                <w:rFonts w:hint="eastAsia" w:ascii="宋体" w:hAnsi="宋体" w:eastAsia="宋体" w:cs="宋体"/>
                <w:color w:val="auto"/>
                <w:szCs w:val="21"/>
                <w:highlight w:val="none"/>
              </w:rPr>
            </w:pP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未纳入单位工程费的其他费用[（一）+（二）+（三）+（四）]</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整体措施项目清单（1+2）</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组织措施项目清单</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技术措施项目清单</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整体其他项目清单</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整体措施项目规费[3+4]</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排污费、社保费、公积金</w:t>
            </w:r>
          </w:p>
        </w:tc>
        <w:tc>
          <w:tcPr>
            <w:tcW w:w="2044" w:type="dxa"/>
            <w:noWrap w:val="0"/>
            <w:vAlign w:val="center"/>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民工工伤保险费{[（一）+ （二）+ 3 ]*费率}</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center"/>
          </w:tcPr>
          <w:p>
            <w:pPr>
              <w:tabs>
                <w:tab w:val="left" w:pos="378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 {[（一）+（二）+（三）]*费率}</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6770" w:type="dxa"/>
            <w:noWrap w:val="0"/>
            <w:vAlign w:val="center"/>
          </w:tcPr>
          <w:p>
            <w:pPr>
              <w:tabs>
                <w:tab w:val="left" w:pos="378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 [一 + 二 ]</w:t>
            </w:r>
          </w:p>
        </w:tc>
        <w:tc>
          <w:tcPr>
            <w:tcW w:w="2044" w:type="dxa"/>
            <w:noWrap w:val="0"/>
            <w:vAlign w:val="center"/>
          </w:tcPr>
          <w:p>
            <w:pPr>
              <w:tabs>
                <w:tab w:val="left" w:pos="3780"/>
              </w:tabs>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总报价（大写）：</w:t>
            </w:r>
          </w:p>
        </w:tc>
      </w:tr>
    </w:tbl>
    <w:p>
      <w:pPr>
        <w:widowControl/>
        <w:tabs>
          <w:tab w:val="center" w:pos="4755"/>
          <w:tab w:val="right" w:pos="907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2．本表中的整体项目措施清单报价指根据采购人要求和项目特点应从采购项目整体上考虑的措施项目报价。</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3．本表中的整体其他项目清单报价指根据采购人要求需按采购项目整体考虑的其他项目清单报价。</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4．本表中的规费指整体措施清单项目应计取的规费。</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5．本表中的税金指未纳入单位工程费的整体措施项目清单、其他项目清单以及相应规费等费用应计取的税金。</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p>
    <w:p>
      <w:pPr>
        <w:pStyle w:val="19"/>
        <w:adjustRightInd w:val="0"/>
        <w:snapToGrid w:val="0"/>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供应商全称（盖单位公章或电子签章）：</w:t>
      </w:r>
    </w:p>
    <w:p>
      <w:pPr>
        <w:pStyle w:val="19"/>
        <w:adjustRightInd w:val="0"/>
        <w:snapToGrid w:val="0"/>
        <w:spacing w:line="300" w:lineRule="auto"/>
        <w:ind w:firstLine="480"/>
        <w:rPr>
          <w:rFonts w:hint="eastAsia" w:ascii="宋体" w:hAnsi="宋体" w:eastAsia="宋体" w:cs="宋体"/>
          <w:color w:val="auto"/>
          <w:sz w:val="21"/>
          <w:szCs w:val="21"/>
          <w:highlight w:val="none"/>
        </w:rPr>
      </w:pPr>
    </w:p>
    <w:p>
      <w:pPr>
        <w:pStyle w:val="19"/>
        <w:adjustRightInd w:val="0"/>
        <w:snapToGrid w:val="0"/>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keepNext/>
        <w:keepLines/>
        <w:spacing w:line="360" w:lineRule="auto"/>
        <w:ind w:firstLine="420"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r>
        <w:rPr>
          <w:rFonts w:hint="eastAsia" w:ascii="宋体" w:hAnsi="宋体" w:eastAsia="宋体" w:cs="宋体"/>
          <w:b/>
          <w:bCs/>
          <w:color w:val="auto"/>
          <w:szCs w:val="24"/>
          <w:highlight w:val="none"/>
        </w:rPr>
        <w:t>表1-1-2  单位工程报价汇总表</w:t>
      </w:r>
    </w:p>
    <w:p>
      <w:pPr>
        <w:widowControl/>
        <w:tabs>
          <w:tab w:val="center" w:pos="4755"/>
          <w:tab w:val="right" w:pos="907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widowControl/>
        <w:tabs>
          <w:tab w:val="center" w:pos="4755"/>
          <w:tab w:val="right" w:pos="907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33"/>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4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601"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1441"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报价合计</w:t>
            </w:r>
          </w:p>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1949" w:type="dxa"/>
            <w:noWrap w:val="0"/>
            <w:vAlign w:val="center"/>
          </w:tcPr>
          <w:p>
            <w:pPr>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（清单号）</w:t>
            </w:r>
          </w:p>
        </w:tc>
        <w:tc>
          <w:tcPr>
            <w:tcW w:w="169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3601"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41" w:type="dxa"/>
            <w:vMerge w:val="continue"/>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949"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(专业工程1)</w:t>
            </w:r>
          </w:p>
        </w:tc>
        <w:tc>
          <w:tcPr>
            <w:tcW w:w="169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601" w:type="dxa"/>
            <w:noWrap w:val="0"/>
            <w:vAlign w:val="center"/>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分部分项工程量清单</w:t>
            </w:r>
          </w:p>
        </w:tc>
        <w:tc>
          <w:tcPr>
            <w:tcW w:w="144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949"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69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601" w:type="dxa"/>
            <w:noWrap w:val="0"/>
            <w:vAlign w:val="center"/>
          </w:tcPr>
          <w:p>
            <w:pPr>
              <w:widowControl/>
              <w:tabs>
                <w:tab w:val="center" w:pos="4755"/>
                <w:tab w:val="right" w:pos="907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措施项目清单（1+2）</w:t>
            </w:r>
          </w:p>
        </w:tc>
        <w:tc>
          <w:tcPr>
            <w:tcW w:w="144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949"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69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01" w:type="dxa"/>
            <w:noWrap w:val="0"/>
            <w:vAlign w:val="center"/>
          </w:tcPr>
          <w:p>
            <w:pPr>
              <w:widowControl/>
              <w:tabs>
                <w:tab w:val="center" w:pos="4755"/>
                <w:tab w:val="right" w:pos="907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组织措施项目清单</w:t>
            </w:r>
          </w:p>
        </w:tc>
        <w:tc>
          <w:tcPr>
            <w:tcW w:w="144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949"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69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601" w:type="dxa"/>
            <w:noWrap w:val="0"/>
            <w:vAlign w:val="center"/>
          </w:tcPr>
          <w:p>
            <w:pPr>
              <w:widowControl/>
              <w:tabs>
                <w:tab w:val="center" w:pos="4755"/>
                <w:tab w:val="right" w:pos="907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技术措施项目清单</w:t>
            </w:r>
          </w:p>
        </w:tc>
        <w:tc>
          <w:tcPr>
            <w:tcW w:w="144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949"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169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3601" w:type="dxa"/>
            <w:noWrap w:val="0"/>
            <w:vAlign w:val="center"/>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其他项目清单</w:t>
            </w:r>
          </w:p>
        </w:tc>
        <w:tc>
          <w:tcPr>
            <w:tcW w:w="144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3640" w:type="dxa"/>
            <w:gridSpan w:val="2"/>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 name="直接连接符 1"/>
                      <wp:cNvGraphicFramePr/>
                      <a:graphic xmlns:a="http://schemas.openxmlformats.org/drawingml/2006/main">
                        <a:graphicData uri="http://schemas.microsoft.com/office/word/2010/wordprocessingShape">
                          <wps:wsp>
                            <wps:cNvSpPr/>
                            <wps:spPr>
                              <a:xfrm flipH="1">
                                <a:off x="0" y="0"/>
                                <a:ext cx="2354580" cy="2946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2pt;margin-top:2.1pt;height:23.2pt;width:185.4pt;z-index:251659264;mso-width-relative:page;mso-height-relative:page;" filled="f" stroked="t"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dTdi4wEAAHoDAAAOAAAAZHJzL2Uyb0RvYy54bWysU8FuEzEQvSPxD5bvZDdpEpVVNj2kKhwK RGr7AY7X3rWwPZbtZDc/wQ8gcYMTR+78DeUzGDtpSuGG2MNoPfPmeebNeHExGE12wgcFtqbjUUmJ sBwaZdua3t1evTinJERmG6bBipruRaAXy+fPFr2rxAQ60I3wBElsqHpX0y5GVxVF4J0wLIzACYtB Cd6wiEffFo1nPbIbXUzKcl704BvngYsQ0Ht5CNJl5pdS8PhOyiAi0TXF2mK2PttNssVywarWM9cp fiyD/UMVhimLl56oLllkZOvVX1RGcQ8BZBxxMAVIqbjIPWA34/KPbm465kTuBcUJ7iRT+H+0/O1u 7YlqcHZTSiwzOKP7j99+fPj88/sntPdfv5BxUql3oULwyq596pMP9sZdA38fiIVVx2wrcrW3e4cM OaN4kpIOweFdm/4NNIhh2whZskF6Q6RW7nVKTOQoCxnyjPanGYkhEo7OydlsOjvHUXKMTV5O59M8 xIJViSdlOx/iKwGGpJ+aamWThqxiu+sQsROEPkCS28KV0jrvgbakr+n8bFbmhABaNSmYYMG3m5X2 ZMfSJuUvyYJkT2AetrY5+LVNeSIv4fHmBxEOcm6g2a99Aic/DjjTHZcxbdDv54x6fDLLXwAAAP// AwBQSwMEFAAGAAgAAAAhACsUf/fhAAAADAEAAA8AAABkcnMvZG93bnJldi54bWxMT01Lw0AQvQv+ h2UEb+3GNMaQZlKKVRBBxFbodZvdJrHZ2ZDdtPHfO5708uDxZt5HsZpsJ85m8K0jhLt5BMJQ5XRL NcLn7nmWgfBBkVadI4PwbTysyuurQuXaXejDnLehFmxCPlcITQh9LqWvGmOVn7veEGtHN1gVmA61 1IO6sLntZBxFqbSqJU5oVG8eG1OdtqNFeI/rRf+kd6fk7bV6ecimzXo/fiHe3kybJcN6CSKYKfx9 wO8G7g8lFzu4kbQXHcIsS/gSIYlBsLxIY+YHhPsoBVkW8v+I8gcAAP//AwBQSwECLQAUAAYACAAA ACEAtoM4kv4AAADhAQAAEwAAAAAAAAAAAAAAAAAAAAAAW0NvbnRlbnRfVHlwZXNdLnhtbFBLAQIt ABQABgAIAAAAIQA4/SH/1gAAAJQBAAALAAAAAAAAAAAAAAAAAC8BAABfcmVscy8ucmVsc1BLAQIt ABQABgAIAAAAIQDUdTdi4wEAAHoDAAAOAAAAAAAAAAAAAAAAAC4CAABkcnMvZTJvRG9jLnhtbFBL AQItABQABgAIAAAAIQArFH/34QAAAAwBAAAPAAAAAAAAAAAAAAAAAD0EAABkcnMvZG93bnJldi54 bWxQSwUGAAAAAAQABADzAAAASwUAAAAA ">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3601" w:type="dxa"/>
            <w:noWrap w:val="0"/>
            <w:vAlign w:val="center"/>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c>
          <w:tcPr>
            <w:tcW w:w="144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3640" w:type="dxa"/>
            <w:gridSpan w:val="2"/>
            <w:tcBorders>
              <w:tr2bl w:val="single" w:color="auto" w:sz="4" w:space="0"/>
            </w:tcBorders>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3601" w:type="dxa"/>
            <w:noWrap w:val="0"/>
            <w:vAlign w:val="center"/>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税金[（一+二+三+四）*费率]</w:t>
            </w:r>
          </w:p>
        </w:tc>
        <w:tc>
          <w:tcPr>
            <w:tcW w:w="144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3640" w:type="dxa"/>
            <w:gridSpan w:val="2"/>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3601" w:type="dxa"/>
            <w:noWrap w:val="0"/>
            <w:vAlign w:val="center"/>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总报价（一+二+三+四+五）</w:t>
            </w:r>
          </w:p>
        </w:tc>
        <w:tc>
          <w:tcPr>
            <w:tcW w:w="1441" w:type="dxa"/>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c>
          <w:tcPr>
            <w:tcW w:w="3640" w:type="dxa"/>
            <w:gridSpan w:val="2"/>
            <w:vMerge w:val="continue"/>
            <w:noWrap w:val="0"/>
            <w:vAlign w:val="center"/>
          </w:tcPr>
          <w:p>
            <w:pPr>
              <w:widowControl/>
              <w:tabs>
                <w:tab w:val="center" w:pos="4755"/>
                <w:tab w:val="right" w:pos="9070"/>
              </w:tabs>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5"/>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总报价(大写):</w:t>
            </w:r>
          </w:p>
        </w:tc>
      </w:tr>
    </w:tbl>
    <w:p>
      <w:pPr>
        <w:widowControl/>
        <w:tabs>
          <w:tab w:val="center" w:pos="4755"/>
          <w:tab w:val="right" w:pos="9070"/>
        </w:tabs>
        <w:ind w:left="315" w:hanging="315" w:hangingChars="150"/>
        <w:jc w:val="left"/>
        <w:rPr>
          <w:rFonts w:hint="eastAsia" w:ascii="宋体" w:hAnsi="宋体" w:eastAsia="宋体" w:cs="宋体"/>
          <w:color w:val="auto"/>
          <w:szCs w:val="21"/>
          <w:highlight w:val="none"/>
        </w:rPr>
      </w:pPr>
    </w:p>
    <w:p>
      <w:pPr>
        <w:widowControl/>
        <w:tabs>
          <w:tab w:val="center" w:pos="4755"/>
          <w:tab w:val="right" w:pos="9070"/>
        </w:tabs>
        <w:ind w:left="315"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注:本表适用于：</w:t>
      </w:r>
    </w:p>
    <w:p>
      <w:pPr>
        <w:widowControl/>
        <w:tabs>
          <w:tab w:val="center" w:pos="4755"/>
          <w:tab w:val="right" w:pos="9070"/>
        </w:tabs>
        <w:ind w:left="315" w:leftChars="100" w:hanging="105" w:hanging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（1）只有1个专业工程分部分项工程量清单的单位工程发包项目的报价汇总；</w:t>
      </w:r>
    </w:p>
    <w:p>
      <w:pPr>
        <w:widowControl/>
        <w:tabs>
          <w:tab w:val="center" w:pos="4755"/>
          <w:tab w:val="right" w:pos="9070"/>
        </w:tabs>
        <w:ind w:left="315" w:leftChars="100" w:hanging="105" w:hanging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（2）其余采购项目的单位工程报价汇总。</w:t>
      </w:r>
    </w:p>
    <w:p>
      <w:pPr>
        <w:widowControl/>
        <w:tabs>
          <w:tab w:val="center" w:pos="4755"/>
          <w:tab w:val="right" w:pos="9070"/>
        </w:tabs>
        <w:jc w:val="left"/>
        <w:rPr>
          <w:rFonts w:hint="eastAsia" w:ascii="宋体" w:hAnsi="宋体" w:eastAsia="宋体" w:cs="宋体"/>
          <w:color w:val="auto"/>
          <w:szCs w:val="21"/>
          <w:highlight w:val="none"/>
        </w:rPr>
      </w:pPr>
    </w:p>
    <w:p>
      <w:pPr>
        <w:pStyle w:val="3"/>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rPr>
      </w:pPr>
    </w:p>
    <w:p>
      <w:pPr>
        <w:pStyle w:val="19"/>
        <w:adjustRightInd w:val="0"/>
        <w:snapToGrid w:val="0"/>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供应商全称（盖单位公章或电子签章）：</w:t>
      </w:r>
    </w:p>
    <w:p>
      <w:pPr>
        <w:pStyle w:val="19"/>
        <w:adjustRightInd w:val="0"/>
        <w:snapToGrid w:val="0"/>
        <w:spacing w:line="300" w:lineRule="auto"/>
        <w:ind w:firstLine="480"/>
        <w:rPr>
          <w:rFonts w:hint="eastAsia" w:ascii="宋体" w:hAnsi="宋体" w:eastAsia="宋体" w:cs="宋体"/>
          <w:color w:val="auto"/>
          <w:sz w:val="21"/>
          <w:szCs w:val="21"/>
          <w:highlight w:val="none"/>
        </w:rPr>
      </w:pPr>
    </w:p>
    <w:p>
      <w:pPr>
        <w:pStyle w:val="19"/>
        <w:adjustRightInd w:val="0"/>
        <w:snapToGrid w:val="0"/>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tabs>
          <w:tab w:val="center" w:pos="4755"/>
          <w:tab w:val="right" w:pos="9070"/>
        </w:tabs>
        <w:jc w:val="left"/>
        <w:rPr>
          <w:rFonts w:hint="eastAsia" w:ascii="宋体" w:hAnsi="宋体" w:eastAsia="宋体" w:cs="宋体"/>
          <w:color w:val="auto"/>
          <w:szCs w:val="21"/>
          <w:highlight w:val="none"/>
        </w:rPr>
      </w:pPr>
    </w:p>
    <w:p>
      <w:pPr>
        <w:widowControl/>
        <w:tabs>
          <w:tab w:val="center" w:pos="4755"/>
          <w:tab w:val="right" w:pos="9070"/>
        </w:tabs>
        <w:jc w:val="left"/>
        <w:rPr>
          <w:rFonts w:hint="eastAsia" w:ascii="宋体" w:hAnsi="宋体" w:eastAsia="宋体" w:cs="宋体"/>
          <w:color w:val="auto"/>
          <w:szCs w:val="21"/>
          <w:highlight w:val="none"/>
        </w:rPr>
        <w:sectPr>
          <w:pgSz w:w="11906" w:h="16838"/>
          <w:pgMar w:top="1440" w:right="1800" w:bottom="1440" w:left="1800" w:header="851" w:footer="992" w:gutter="0"/>
          <w:cols w:space="720" w:num="1"/>
          <w:titlePg/>
          <w:docGrid w:type="linesAndChars" w:linePitch="312" w:charSpace="0"/>
        </w:sectPr>
      </w:pPr>
    </w:p>
    <w:p>
      <w:pPr>
        <w:keepNext/>
        <w:keepLines/>
        <w:spacing w:line="360" w:lineRule="auto"/>
        <w:ind w:firstLine="422"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表1-2  分部分项工程量清单及计价表(  号清单)</w:t>
      </w:r>
    </w:p>
    <w:p>
      <w:pPr>
        <w:widowControl/>
        <w:tabs>
          <w:tab w:val="center" w:pos="4755"/>
          <w:tab w:val="right" w:pos="9070"/>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55" w:type="dxa"/>
            <w:gridSpan w:val="2"/>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项目编码</w:t>
            </w:r>
          </w:p>
        </w:tc>
        <w:tc>
          <w:tcPr>
            <w:tcW w:w="1450"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450"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项目特征</w:t>
            </w:r>
          </w:p>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描述</w:t>
            </w:r>
          </w:p>
        </w:tc>
        <w:tc>
          <w:tcPr>
            <w:tcW w:w="1450"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计量单位</w:t>
            </w:r>
          </w:p>
        </w:tc>
        <w:tc>
          <w:tcPr>
            <w:tcW w:w="1270"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w:t>
            </w:r>
          </w:p>
        </w:tc>
        <w:tc>
          <w:tcPr>
            <w:tcW w:w="983"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综合单价</w:t>
            </w:r>
          </w:p>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34"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w:t>
            </w:r>
          </w:p>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3684" w:type="dxa"/>
            <w:gridSpan w:val="3"/>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035"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355" w:type="dxa"/>
            <w:gridSpan w:val="2"/>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vMerge w:val="continue"/>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1450" w:type="dxa"/>
            <w:vMerge w:val="continue"/>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1270"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83"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834" w:type="dxa"/>
            <w:vMerge w:val="continue"/>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人工费</w:t>
            </w: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机械费</w:t>
            </w:r>
          </w:p>
        </w:tc>
        <w:tc>
          <w:tcPr>
            <w:tcW w:w="123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管理费</w:t>
            </w:r>
          </w:p>
        </w:tc>
        <w:tc>
          <w:tcPr>
            <w:tcW w:w="1035"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83"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83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3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03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341"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83"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83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3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03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341"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83"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83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3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03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341"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83"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83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3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03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341"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83"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83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3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03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83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27"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3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035"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bl>
    <w:p>
      <w:pPr>
        <w:widowControl/>
        <w:tabs>
          <w:tab w:val="center" w:pos="4755"/>
          <w:tab w:val="right" w:pos="9070"/>
        </w:tabs>
        <w:jc w:val="left"/>
        <w:rPr>
          <w:rFonts w:hint="eastAsia" w:ascii="宋体" w:hAnsi="宋体" w:eastAsia="宋体" w:cs="宋体"/>
          <w:color w:val="auto"/>
          <w:sz w:val="24"/>
          <w:szCs w:val="24"/>
          <w:highlight w:val="none"/>
        </w:rPr>
      </w:pPr>
    </w:p>
    <w:p>
      <w:pPr>
        <w:widowControl/>
        <w:tabs>
          <w:tab w:val="center" w:pos="4755"/>
          <w:tab w:val="right" w:pos="907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注：表中（1）～〔6）栏由采购人提供内容，（7）栏由采购人按需提出要求，如采购人需要供应商提供清单项目综合单价的计算分析和工料机分析，请在（7）备注中明确。</w:t>
      </w:r>
    </w:p>
    <w:p>
      <w:pPr>
        <w:widowControl/>
        <w:tabs>
          <w:tab w:val="center" w:pos="4755"/>
          <w:tab w:val="right" w:pos="9070"/>
        </w:tabs>
        <w:jc w:val="left"/>
        <w:rPr>
          <w:rFonts w:hint="eastAsia" w:ascii="宋体" w:hAnsi="宋体" w:eastAsia="宋体" w:cs="宋体"/>
          <w:color w:val="auto"/>
          <w:sz w:val="24"/>
          <w:szCs w:val="24"/>
          <w:highlight w:val="none"/>
        </w:rPr>
      </w:pPr>
    </w:p>
    <w:p>
      <w:pPr>
        <w:widowControl/>
        <w:tabs>
          <w:tab w:val="center" w:pos="4755"/>
          <w:tab w:val="right" w:pos="9070"/>
        </w:tabs>
        <w:jc w:val="left"/>
        <w:rPr>
          <w:rFonts w:hint="eastAsia" w:ascii="宋体" w:hAnsi="宋体" w:eastAsia="宋体" w:cs="宋体"/>
          <w:b/>
          <w:color w:val="auto"/>
          <w:sz w:val="24"/>
          <w:szCs w:val="24"/>
          <w:highlight w:val="none"/>
        </w:rPr>
        <w:sectPr>
          <w:pgSz w:w="16838" w:h="11906" w:orient="landscape"/>
          <w:pgMar w:top="1191" w:right="1361" w:bottom="1191" w:left="1361" w:header="851" w:footer="992" w:gutter="0"/>
          <w:cols w:space="720" w:num="1"/>
          <w:docGrid w:type="lines" w:linePitch="312" w:charSpace="0"/>
        </w:sectPr>
      </w:pPr>
    </w:p>
    <w:p>
      <w:pPr>
        <w:keepNext/>
        <w:keepLines/>
        <w:spacing w:line="360" w:lineRule="auto"/>
        <w:ind w:firstLine="422"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表1-3-A  组织措施项目（整体）清单及计价表</w:t>
      </w:r>
    </w:p>
    <w:p>
      <w:pPr>
        <w:widowControl/>
        <w:tabs>
          <w:tab w:val="center" w:pos="4755"/>
          <w:tab w:val="right" w:pos="9070"/>
        </w:tabs>
        <w:spacing w:before="100" w:beforeAutospacing="1" w:after="100" w:afterAutospacing="1"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  共  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noWrap w:val="0"/>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noWrap w:val="0"/>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noWrap w:val="0"/>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noWrap w:val="0"/>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noWrap w:val="0"/>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noWrap w:val="0"/>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三</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5</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6</w:t>
            </w:r>
          </w:p>
        </w:tc>
        <w:tc>
          <w:tcPr>
            <w:tcW w:w="3086" w:type="dxa"/>
            <w:noWrap w:val="0"/>
            <w:vAlign w:val="top"/>
          </w:tcPr>
          <w:p>
            <w:pPr>
              <w:widowControl/>
              <w:tabs>
                <w:tab w:val="center" w:pos="4755"/>
                <w:tab w:val="right" w:pos="9070"/>
              </w:tabs>
              <w:adjustRightInd w:val="0"/>
              <w:spacing w:before="100" w:beforeAutospacing="1" w:after="100" w:afterAutospacing="1"/>
              <w:jc w:val="center"/>
              <w:rPr>
                <w:rFonts w:hint="eastAsia" w:ascii="宋体" w:hAnsi="宋体" w:eastAsia="宋体" w:cs="宋体"/>
                <w:color w:val="auto"/>
                <w:spacing w:val="-16"/>
                <w:sz w:val="24"/>
                <w:szCs w:val="24"/>
                <w:highlight w:val="none"/>
              </w:rPr>
            </w:pPr>
          </w:p>
          <w:p>
            <w:pPr>
              <w:widowControl/>
              <w:tabs>
                <w:tab w:val="center" w:pos="4755"/>
                <w:tab w:val="right" w:pos="9070"/>
              </w:tabs>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工程定位复测费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已完工程及设备保护费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夜间施工增加费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p>
        </w:tc>
        <w:tc>
          <w:tcPr>
            <w:tcW w:w="1103"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p>
        </w:tc>
        <w:tc>
          <w:tcPr>
            <w:tcW w:w="1471"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p>
        </w:tc>
        <w:tc>
          <w:tcPr>
            <w:tcW w:w="2020"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020"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bl>
    <w:p>
      <w:pPr>
        <w:widowControl/>
        <w:tabs>
          <w:tab w:val="center" w:pos="4755"/>
          <w:tab w:val="right" w:pos="907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注：1.表中列项供参考，（1）、（2）栏由采购人提供，供应商可按工程实际作补充。</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专业工程组织措施项目清单表1-3-B中已报价的组织措施费不得与整体组织措施项目清单表1-3-A中的其他组织措施项目重复报价。</w:t>
      </w:r>
    </w:p>
    <w:p>
      <w:pPr>
        <w:keepNext/>
        <w:keepLines/>
        <w:spacing w:line="360" w:lineRule="auto"/>
        <w:ind w:firstLine="422"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r>
        <w:rPr>
          <w:rFonts w:hint="eastAsia" w:ascii="宋体" w:hAnsi="宋体" w:eastAsia="宋体" w:cs="宋体"/>
          <w:b/>
          <w:bCs/>
          <w:color w:val="auto"/>
          <w:szCs w:val="24"/>
          <w:highlight w:val="none"/>
        </w:rPr>
        <w:t>表1-3-B  组织措施项目（专业工程）清单及计价表</w:t>
      </w:r>
    </w:p>
    <w:p>
      <w:pPr>
        <w:widowControl/>
        <w:tabs>
          <w:tab w:val="center" w:pos="4755"/>
          <w:tab w:val="right" w:pos="9070"/>
        </w:tabs>
        <w:spacing w:line="480" w:lineRule="auto"/>
        <w:ind w:left="5670" w:hanging="5670" w:hangingChars="2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pPr>
        <w:widowControl/>
        <w:tabs>
          <w:tab w:val="center" w:pos="4755"/>
          <w:tab w:val="right" w:pos="9070"/>
        </w:tabs>
        <w:spacing w:line="480" w:lineRule="auto"/>
        <w:ind w:left="5670" w:hanging="5670" w:hangingChars="2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单位工程及专业项目名称：                                         第  页  共  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156"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  目  名  称</w:t>
            </w:r>
          </w:p>
        </w:tc>
        <w:tc>
          <w:tcPr>
            <w:tcW w:w="106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929"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806"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额(元)</w:t>
            </w:r>
          </w:p>
        </w:tc>
        <w:tc>
          <w:tcPr>
            <w:tcW w:w="1831"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1</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2</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3</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4</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5</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6</w:t>
            </w:r>
          </w:p>
          <w:p>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highlight w:val="none"/>
              </w:rPr>
            </w:pPr>
          </w:p>
          <w:p>
            <w:pPr>
              <w:widowControl/>
              <w:tabs>
                <w:tab w:val="center" w:pos="4755"/>
                <w:tab w:val="right" w:pos="9070"/>
              </w:tabs>
              <w:spacing w:before="100" w:beforeAutospacing="1" w:after="100" w:afterAutospacing="1"/>
              <w:rPr>
                <w:rFonts w:hint="eastAsia" w:ascii="宋体" w:hAnsi="宋体" w:eastAsia="宋体" w:cs="宋体"/>
                <w:color w:val="auto"/>
                <w:position w:val="-6"/>
                <w:szCs w:val="21"/>
                <w:highlight w:val="none"/>
              </w:rPr>
            </w:pPr>
          </w:p>
          <w:p>
            <w:pPr>
              <w:widowControl/>
              <w:tabs>
                <w:tab w:val="center" w:pos="4755"/>
                <w:tab w:val="right" w:pos="9070"/>
              </w:tabs>
              <w:spacing w:before="100" w:beforeAutospacing="1" w:after="100" w:afterAutospacing="1"/>
              <w:rPr>
                <w:rFonts w:hint="eastAsia" w:ascii="宋体" w:hAnsi="宋体" w:eastAsia="宋体" w:cs="宋体"/>
                <w:color w:val="auto"/>
                <w:position w:val="-6"/>
                <w:szCs w:val="21"/>
                <w:highlight w:val="none"/>
              </w:rPr>
            </w:pPr>
          </w:p>
          <w:p>
            <w:pPr>
              <w:widowControl/>
              <w:tabs>
                <w:tab w:val="center" w:pos="4755"/>
                <w:tab w:val="right" w:pos="9070"/>
              </w:tabs>
              <w:spacing w:before="100" w:beforeAutospacing="1" w:after="100" w:afterAutospacing="1"/>
              <w:rPr>
                <w:rFonts w:hint="eastAsia" w:ascii="宋体" w:hAnsi="宋体" w:eastAsia="宋体" w:cs="宋体"/>
                <w:color w:val="auto"/>
                <w:position w:val="-6"/>
                <w:szCs w:val="21"/>
                <w:highlight w:val="none"/>
              </w:rPr>
            </w:pPr>
          </w:p>
        </w:tc>
        <w:tc>
          <w:tcPr>
            <w:tcW w:w="3156" w:type="dxa"/>
            <w:noWrap w:val="0"/>
            <w:vAlign w:val="top"/>
          </w:tcPr>
          <w:p>
            <w:pPr>
              <w:widowControl/>
              <w:tabs>
                <w:tab w:val="center" w:pos="4755"/>
                <w:tab w:val="right" w:pos="9070"/>
              </w:tabs>
              <w:adjustRightInd w:val="0"/>
              <w:spacing w:before="100" w:beforeAutospacing="1" w:after="100" w:afterAutospacing="1"/>
              <w:jc w:val="center"/>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（2）</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提前竣工增加费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已完工程及设备保护费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二次搬运费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夜间施工增加费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冬雨季施工增加费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行车、行人干扰增加费</w:t>
            </w: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Cs w:val="21"/>
                <w:highlight w:val="none"/>
              </w:rPr>
            </w:pPr>
          </w:p>
          <w:p>
            <w:pPr>
              <w:widowControl/>
              <w:tabs>
                <w:tab w:val="center" w:pos="4755"/>
                <w:tab w:val="right" w:pos="9070"/>
              </w:tabs>
              <w:adjustRightInd w:val="0"/>
              <w:spacing w:before="100" w:beforeAutospacing="1" w:after="100" w:afterAutospacing="1"/>
              <w:rPr>
                <w:rFonts w:hint="eastAsia" w:ascii="宋体" w:hAnsi="宋体" w:eastAsia="宋体" w:cs="宋体"/>
                <w:color w:val="auto"/>
                <w:spacing w:val="-16"/>
                <w:szCs w:val="21"/>
                <w:highlight w:val="none"/>
              </w:rPr>
            </w:pPr>
          </w:p>
        </w:tc>
        <w:tc>
          <w:tcPr>
            <w:tcW w:w="1068"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2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806"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83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180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83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bl>
    <w:p>
      <w:pPr>
        <w:widowControl/>
        <w:tabs>
          <w:tab w:val="center" w:pos="4755"/>
          <w:tab w:val="right" w:pos="907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注：1.表中列项供参考，（1）、（2）栏由采购人提供，供应商可按工程实际作补充。</w:t>
      </w:r>
    </w:p>
    <w:p>
      <w:pPr>
        <w:widowControl/>
        <w:tabs>
          <w:tab w:val="center" w:pos="4755"/>
          <w:tab w:val="right" w:pos="9070"/>
        </w:tabs>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2．当采购项目为单位工程发包且只有1个分部分项工程量清单时，组织措施项目清单应按表1-3-A报价。</w:t>
      </w:r>
    </w:p>
    <w:p>
      <w:pPr>
        <w:widowControl/>
        <w:tabs>
          <w:tab w:val="center" w:pos="4755"/>
          <w:tab w:val="right" w:pos="9070"/>
        </w:tabs>
        <w:rPr>
          <w:rFonts w:hint="eastAsia" w:ascii="宋体" w:hAnsi="宋体" w:eastAsia="宋体" w:cs="宋体"/>
          <w:color w:val="auto"/>
          <w:sz w:val="24"/>
          <w:szCs w:val="24"/>
          <w:highlight w:val="none"/>
        </w:rPr>
      </w:pPr>
    </w:p>
    <w:p>
      <w:pPr>
        <w:widowControl/>
        <w:tabs>
          <w:tab w:val="center" w:pos="4755"/>
          <w:tab w:val="right" w:pos="9070"/>
        </w:tabs>
        <w:jc w:val="left"/>
        <w:rPr>
          <w:rFonts w:hint="eastAsia" w:ascii="宋体" w:hAnsi="宋体" w:eastAsia="宋体" w:cs="宋体"/>
          <w:color w:val="auto"/>
          <w:spacing w:val="-16"/>
          <w:sz w:val="24"/>
          <w:szCs w:val="24"/>
          <w:highlight w:val="none"/>
        </w:rPr>
        <w:sectPr>
          <w:pgSz w:w="11906" w:h="16838"/>
          <w:pgMar w:top="1361" w:right="1191" w:bottom="1361" w:left="1191" w:header="851" w:footer="992" w:gutter="0"/>
          <w:cols w:space="720" w:num="1"/>
          <w:docGrid w:type="lines" w:linePitch="312" w:charSpace="0"/>
        </w:sectPr>
      </w:pPr>
    </w:p>
    <w:p>
      <w:pPr>
        <w:keepNext/>
        <w:keepLines/>
        <w:spacing w:line="360" w:lineRule="auto"/>
        <w:ind w:firstLine="420"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表1-3-C  技术措施项目清单及计价表</w:t>
      </w:r>
    </w:p>
    <w:p>
      <w:pPr>
        <w:widowControl/>
        <w:tabs>
          <w:tab w:val="center" w:pos="4755"/>
          <w:tab w:val="right" w:pos="9070"/>
        </w:tabs>
        <w:ind w:left="4620" w:hanging="4620" w:hanging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pPr>
        <w:widowControl/>
        <w:tabs>
          <w:tab w:val="center" w:pos="4755"/>
          <w:tab w:val="right" w:pos="907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单位工程及专业项目名称：                                                                               第   页共   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58"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项目编码</w:t>
            </w:r>
          </w:p>
        </w:tc>
        <w:tc>
          <w:tcPr>
            <w:tcW w:w="1822"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459"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项目特征</w:t>
            </w:r>
          </w:p>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描述</w:t>
            </w:r>
          </w:p>
        </w:tc>
        <w:tc>
          <w:tcPr>
            <w:tcW w:w="912"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计量单位</w:t>
            </w:r>
          </w:p>
        </w:tc>
        <w:tc>
          <w:tcPr>
            <w:tcW w:w="1276"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w:t>
            </w:r>
          </w:p>
        </w:tc>
        <w:tc>
          <w:tcPr>
            <w:tcW w:w="912"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综合单价</w:t>
            </w:r>
          </w:p>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912" w:type="dxa"/>
            <w:vMerge w:val="restart"/>
            <w:noWrap w:val="0"/>
            <w:vAlign w:val="center"/>
          </w:tcPr>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价</w:t>
            </w:r>
          </w:p>
          <w:p>
            <w:pPr>
              <w:widowControl/>
              <w:tabs>
                <w:tab w:val="center" w:pos="4755"/>
                <w:tab w:val="right" w:pos="907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3492" w:type="dxa"/>
            <w:gridSpan w:val="3"/>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250" w:type="dxa"/>
            <w:vMerge w:val="restart"/>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8"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822"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9" w:type="dxa"/>
            <w:vMerge w:val="continue"/>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912" w:type="dxa"/>
            <w:vMerge w:val="continue"/>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1276"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vMerge w:val="continue"/>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人工费</w:t>
            </w:r>
          </w:p>
        </w:tc>
        <w:tc>
          <w:tcPr>
            <w:tcW w:w="116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机械费</w:t>
            </w:r>
          </w:p>
        </w:tc>
        <w:tc>
          <w:tcPr>
            <w:tcW w:w="1164"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管理费</w:t>
            </w:r>
          </w:p>
        </w:tc>
        <w:tc>
          <w:tcPr>
            <w:tcW w:w="1250" w:type="dxa"/>
            <w:vMerge w:val="continue"/>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58"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2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5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5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8" w:type="dxa"/>
            <w:noWrap w:val="0"/>
            <w:vAlign w:val="center"/>
          </w:tcPr>
          <w:p>
            <w:pPr>
              <w:widowControl/>
              <w:tabs>
                <w:tab w:val="center" w:pos="4755"/>
                <w:tab w:val="right" w:pos="9070"/>
              </w:tabs>
              <w:rPr>
                <w:rFonts w:hint="eastAsia" w:ascii="宋体" w:hAnsi="宋体" w:eastAsia="宋体" w:cs="宋体"/>
                <w:color w:val="auto"/>
                <w:spacing w:val="-16"/>
                <w:szCs w:val="21"/>
                <w:highlight w:val="none"/>
              </w:rPr>
            </w:pPr>
          </w:p>
        </w:tc>
        <w:tc>
          <w:tcPr>
            <w:tcW w:w="1822" w:type="dxa"/>
            <w:noWrap w:val="0"/>
            <w:vAlign w:val="center"/>
          </w:tcPr>
          <w:p>
            <w:pPr>
              <w:widowControl/>
              <w:tabs>
                <w:tab w:val="center" w:pos="4755"/>
                <w:tab w:val="right" w:pos="9070"/>
              </w:tabs>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大型机械设备进出场及安拆</w:t>
            </w:r>
          </w:p>
        </w:tc>
        <w:tc>
          <w:tcPr>
            <w:tcW w:w="1459" w:type="dxa"/>
            <w:tcBorders>
              <w:tr2bl w:val="single" w:color="auto" w:sz="4" w:space="0"/>
            </w:tcBorders>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6"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5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8" w:type="dxa"/>
            <w:noWrap w:val="0"/>
            <w:vAlign w:val="center"/>
          </w:tcPr>
          <w:p>
            <w:pPr>
              <w:widowControl/>
              <w:tabs>
                <w:tab w:val="center" w:pos="4755"/>
                <w:tab w:val="right" w:pos="9070"/>
              </w:tabs>
              <w:spacing w:line="360" w:lineRule="auto"/>
              <w:jc w:val="center"/>
              <w:rPr>
                <w:rFonts w:hint="eastAsia" w:ascii="宋体" w:hAnsi="宋体" w:eastAsia="宋体" w:cs="宋体"/>
                <w:color w:val="auto"/>
                <w:szCs w:val="21"/>
                <w:highlight w:val="none"/>
              </w:rPr>
            </w:pPr>
          </w:p>
        </w:tc>
        <w:tc>
          <w:tcPr>
            <w:tcW w:w="1822" w:type="dxa"/>
            <w:noWrap w:val="0"/>
            <w:vAlign w:val="center"/>
          </w:tcPr>
          <w:p>
            <w:pPr>
              <w:widowControl/>
              <w:tabs>
                <w:tab w:val="center" w:pos="4755"/>
                <w:tab w:val="right" w:pos="907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施工降水</w:t>
            </w:r>
          </w:p>
        </w:tc>
        <w:tc>
          <w:tcPr>
            <w:tcW w:w="1459" w:type="dxa"/>
            <w:tcBorders>
              <w:tr2bl w:val="single" w:color="auto" w:sz="4" w:space="0"/>
            </w:tcBorders>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6"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5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8" w:type="dxa"/>
            <w:noWrap w:val="0"/>
            <w:vAlign w:val="center"/>
          </w:tcPr>
          <w:p>
            <w:pPr>
              <w:widowControl/>
              <w:tabs>
                <w:tab w:val="center" w:pos="4755"/>
                <w:tab w:val="right" w:pos="9070"/>
              </w:tabs>
              <w:spacing w:line="360" w:lineRule="auto"/>
              <w:jc w:val="center"/>
              <w:rPr>
                <w:rFonts w:hint="eastAsia" w:ascii="宋体" w:hAnsi="宋体" w:eastAsia="宋体" w:cs="宋体"/>
                <w:b/>
                <w:color w:val="auto"/>
                <w:szCs w:val="21"/>
                <w:highlight w:val="none"/>
              </w:rPr>
            </w:pPr>
          </w:p>
        </w:tc>
        <w:tc>
          <w:tcPr>
            <w:tcW w:w="1822" w:type="dxa"/>
            <w:noWrap w:val="0"/>
            <w:vAlign w:val="center"/>
          </w:tcPr>
          <w:p>
            <w:pPr>
              <w:widowControl/>
              <w:tabs>
                <w:tab w:val="center" w:pos="4755"/>
                <w:tab w:val="right" w:pos="9070"/>
              </w:tabs>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施工排水</w:t>
            </w:r>
          </w:p>
        </w:tc>
        <w:tc>
          <w:tcPr>
            <w:tcW w:w="1459" w:type="dxa"/>
            <w:tcBorders>
              <w:tr2bl w:val="single" w:color="auto" w:sz="4" w:space="0"/>
            </w:tcBorders>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6"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5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8" w:type="dxa"/>
            <w:noWrap w:val="0"/>
            <w:vAlign w:val="center"/>
          </w:tcPr>
          <w:p>
            <w:pPr>
              <w:widowControl/>
              <w:tabs>
                <w:tab w:val="center" w:pos="4755"/>
                <w:tab w:val="right" w:pos="9070"/>
              </w:tabs>
              <w:rPr>
                <w:rFonts w:hint="eastAsia" w:ascii="宋体" w:hAnsi="宋体" w:eastAsia="宋体" w:cs="宋体"/>
                <w:b/>
                <w:color w:val="auto"/>
                <w:szCs w:val="21"/>
                <w:highlight w:val="none"/>
              </w:rPr>
            </w:pPr>
          </w:p>
        </w:tc>
        <w:tc>
          <w:tcPr>
            <w:tcW w:w="1822" w:type="dxa"/>
            <w:noWrap w:val="0"/>
            <w:vAlign w:val="center"/>
          </w:tcPr>
          <w:p>
            <w:pPr>
              <w:widowControl/>
              <w:tabs>
                <w:tab w:val="center" w:pos="4755"/>
                <w:tab w:val="right" w:pos="9070"/>
              </w:tabs>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地下、地下设施或建筑物的临时保护措施</w:t>
            </w:r>
          </w:p>
        </w:tc>
        <w:tc>
          <w:tcPr>
            <w:tcW w:w="1459" w:type="dxa"/>
            <w:tcBorders>
              <w:tr2bl w:val="single" w:color="auto" w:sz="4" w:space="0"/>
            </w:tcBorders>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6"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5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822"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p>
        </w:tc>
        <w:tc>
          <w:tcPr>
            <w:tcW w:w="145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6"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5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458"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822"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模板</w:t>
            </w:r>
          </w:p>
        </w:tc>
        <w:tc>
          <w:tcPr>
            <w:tcW w:w="1459"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76"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91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50"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912" w:type="dxa"/>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1164" w:type="dxa"/>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c>
          <w:tcPr>
            <w:tcW w:w="1250" w:type="dxa"/>
            <w:noWrap w:val="0"/>
            <w:vAlign w:val="top"/>
          </w:tcPr>
          <w:p>
            <w:pPr>
              <w:widowControl/>
              <w:tabs>
                <w:tab w:val="center" w:pos="4755"/>
                <w:tab w:val="right" w:pos="9070"/>
              </w:tabs>
              <w:spacing w:before="100" w:beforeAutospacing="1" w:after="100" w:afterAutospacing="1"/>
              <w:jc w:val="left"/>
              <w:rPr>
                <w:rFonts w:hint="eastAsia" w:ascii="宋体" w:hAnsi="宋体" w:eastAsia="宋体" w:cs="宋体"/>
                <w:color w:val="auto"/>
                <w:szCs w:val="21"/>
                <w:highlight w:val="none"/>
              </w:rPr>
            </w:pPr>
          </w:p>
        </w:tc>
      </w:tr>
    </w:tbl>
    <w:p>
      <w:pPr>
        <w:widowControl/>
        <w:tabs>
          <w:tab w:val="center" w:pos="4755"/>
          <w:tab w:val="right" w:pos="907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注：1．本表适用于以“项”为单位计价和以“分部分项工程量清单项目综合单价”方式计价的技术措施项目。</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4．第（6）栏由采购人按需出要求，如采购人需要供应商提供清单项目综合单价的计算分析和工料机分析，请在备注中明确。</w:t>
      </w:r>
    </w:p>
    <w:p>
      <w:pPr>
        <w:widowControl/>
        <w:tabs>
          <w:tab w:val="center" w:pos="4755"/>
          <w:tab w:val="right" w:pos="9070"/>
        </w:tabs>
        <w:ind w:firstLine="210" w:firstLineChars="100"/>
        <w:jc w:val="left"/>
        <w:rPr>
          <w:rFonts w:hint="eastAsia" w:ascii="宋体" w:hAnsi="宋体" w:eastAsia="宋体" w:cs="宋体"/>
          <w:color w:val="auto"/>
          <w:szCs w:val="21"/>
          <w:highlight w:val="none"/>
        </w:rPr>
        <w:sectPr>
          <w:pgSz w:w="16838" w:h="11906" w:orient="landscape"/>
          <w:pgMar w:top="1191" w:right="1361" w:bottom="1191" w:left="1361" w:header="851" w:footer="992" w:gutter="0"/>
          <w:cols w:space="720" w:num="1"/>
          <w:docGrid w:type="linesAndChars" w:linePitch="312" w:charSpace="0"/>
        </w:sectPr>
      </w:pPr>
    </w:p>
    <w:p>
      <w:pPr>
        <w:keepNext/>
        <w:keepLines/>
        <w:spacing w:line="360" w:lineRule="auto"/>
        <w:ind w:firstLine="422"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表1-3-A-1  安全文明施工措施项目</w:t>
      </w:r>
    </w:p>
    <w:p>
      <w:pPr>
        <w:widowControl/>
        <w:tabs>
          <w:tab w:val="center" w:pos="4755"/>
          <w:tab w:val="right" w:pos="9070"/>
        </w:tabs>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清单及计价表</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                                        第  页共  页</w:t>
      </w:r>
    </w:p>
    <w:tbl>
      <w:tblPr>
        <w:tblStyle w:val="33"/>
        <w:tblW w:w="0" w:type="auto"/>
        <w:jc w:val="center"/>
        <w:tblLayout w:type="fixed"/>
        <w:tblCellMar>
          <w:top w:w="0" w:type="dxa"/>
          <w:left w:w="108" w:type="dxa"/>
          <w:bottom w:w="0" w:type="dxa"/>
          <w:right w:w="108" w:type="dxa"/>
        </w:tblCellMar>
      </w:tblPr>
      <w:tblGrid>
        <w:gridCol w:w="1093"/>
        <w:gridCol w:w="2539"/>
        <w:gridCol w:w="992"/>
        <w:gridCol w:w="709"/>
        <w:gridCol w:w="1276"/>
        <w:gridCol w:w="1134"/>
        <w:gridCol w:w="1984"/>
      </w:tblGrid>
      <w:tr>
        <w:tblPrEx>
          <w:tblCellMar>
            <w:top w:w="0" w:type="dxa"/>
            <w:left w:w="108" w:type="dxa"/>
            <w:bottom w:w="0" w:type="dxa"/>
            <w:right w:w="108" w:type="dxa"/>
          </w:tblCellMar>
        </w:tblPrEx>
        <w:trPr>
          <w:trHeight w:val="618"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53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134" w:type="dxa"/>
            <w:tcBorders>
              <w:top w:val="single" w:color="auto" w:sz="4" w:space="0"/>
              <w:left w:val="nil"/>
              <w:bottom w:val="single" w:color="auto" w:sz="4" w:space="0"/>
              <w:right w:val="single" w:color="auto" w:sz="4" w:space="0"/>
            </w:tcBorders>
            <w:noWrap w:val="0"/>
            <w:vAlign w:val="center"/>
          </w:tcPr>
          <w:p>
            <w:pPr>
              <w:ind w:left="-288" w:leftChars="-13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合价（元）</w:t>
            </w:r>
          </w:p>
        </w:tc>
        <w:tc>
          <w:tcPr>
            <w:tcW w:w="198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CellMar>
            <w:top w:w="0" w:type="dxa"/>
            <w:left w:w="108" w:type="dxa"/>
            <w:bottom w:w="0" w:type="dxa"/>
            <w:right w:w="108" w:type="dxa"/>
          </w:tblCellMar>
        </w:tblPrEx>
        <w:trPr>
          <w:trHeight w:val="277"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992"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top"/>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53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含人货两用升降机、货用升降机</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70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b/>
                <w:bCs/>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80"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含扬尘污染防治措施</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含洗车槽、自动冲洗或其他冲洗设备等</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bCs/>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hint="eastAsia" w:ascii="宋体" w:hAnsi="宋体" w:eastAsia="宋体" w:cs="宋体"/>
                <w:b/>
                <w:bCs/>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b/>
                <w:bCs/>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709"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附近外电线路防护设施等</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bCs/>
                <w:color w:val="auto"/>
                <w:szCs w:val="21"/>
                <w:highlight w:val="none"/>
              </w:rPr>
            </w:pPr>
          </w:p>
        </w:tc>
        <w:tc>
          <w:tcPr>
            <w:tcW w:w="2539"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Cs w:val="21"/>
                <w:highlight w:val="none"/>
              </w:rPr>
            </w:pP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6609"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1134"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rFonts w:hint="eastAsia" w:ascii="宋体" w:hAnsi="宋体" w:eastAsia="宋体" w:cs="宋体"/>
                <w:color w:val="auto"/>
                <w:szCs w:val="21"/>
                <w:highlight w:val="none"/>
              </w:rPr>
            </w:pP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p>
        </w:tc>
      </w:tr>
    </w:tbl>
    <w:p>
      <w:pPr>
        <w:widowControl/>
        <w:tabs>
          <w:tab w:val="center" w:pos="4755"/>
          <w:tab w:val="right" w:pos="9070"/>
        </w:tabs>
        <w:jc w:val="left"/>
        <w:rPr>
          <w:rFonts w:hint="eastAsia" w:ascii="宋体" w:hAnsi="宋体" w:eastAsia="宋体" w:cs="宋体"/>
          <w:color w:val="auto"/>
          <w:sz w:val="24"/>
          <w:szCs w:val="24"/>
          <w:highlight w:val="none"/>
        </w:rPr>
      </w:pPr>
    </w:p>
    <w:p>
      <w:pPr>
        <w:keepNext/>
        <w:keepLines/>
        <w:spacing w:line="360" w:lineRule="auto"/>
        <w:ind w:firstLine="422"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r>
        <w:rPr>
          <w:rFonts w:hint="eastAsia" w:ascii="宋体" w:hAnsi="宋体" w:eastAsia="宋体" w:cs="宋体"/>
          <w:b/>
          <w:bCs/>
          <w:color w:val="auto"/>
          <w:szCs w:val="24"/>
          <w:highlight w:val="none"/>
        </w:rPr>
        <w:t>表1-6  主要材料及设备价格表</w:t>
      </w:r>
    </w:p>
    <w:p>
      <w:pPr>
        <w:widowControl/>
        <w:tabs>
          <w:tab w:val="center" w:pos="4755"/>
          <w:tab w:val="right" w:pos="9070"/>
        </w:tabs>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                                                         第  页共  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248"/>
        <w:gridCol w:w="1103"/>
        <w:gridCol w:w="1099"/>
        <w:gridCol w:w="851"/>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03"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编码</w:t>
            </w:r>
          </w:p>
        </w:tc>
        <w:tc>
          <w:tcPr>
            <w:tcW w:w="1248"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材料或设备名称</w:t>
            </w:r>
          </w:p>
        </w:tc>
        <w:tc>
          <w:tcPr>
            <w:tcW w:w="1103"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099"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1"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286"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286"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03"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4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03"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99"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1"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86"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p>
        </w:tc>
        <w:tc>
          <w:tcPr>
            <w:tcW w:w="1286"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103"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099"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851"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c>
          <w:tcPr>
            <w:tcW w:w="128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Cs w:val="21"/>
                <w:highlight w:val="none"/>
              </w:rPr>
            </w:pPr>
          </w:p>
        </w:tc>
      </w:tr>
    </w:tbl>
    <w:p>
      <w:pPr>
        <w:widowControl/>
        <w:tabs>
          <w:tab w:val="left" w:pos="1470"/>
        </w:tabs>
        <w:ind w:left="480" w:hanging="480" w:hangingChars="200"/>
        <w:jc w:val="left"/>
        <w:rPr>
          <w:rFonts w:hint="eastAsia" w:ascii="宋体" w:hAnsi="宋体" w:eastAsia="宋体" w:cs="宋体"/>
          <w:color w:val="auto"/>
          <w:sz w:val="24"/>
          <w:szCs w:val="24"/>
          <w:highlight w:val="none"/>
        </w:rPr>
      </w:pPr>
    </w:p>
    <w:p>
      <w:pPr>
        <w:widowControl/>
        <w:tabs>
          <w:tab w:val="center" w:pos="4755"/>
          <w:tab w:val="right" w:pos="9070"/>
        </w:tabs>
        <w:ind w:firstLine="480" w:firstLineChars="200"/>
        <w:jc w:val="left"/>
        <w:rPr>
          <w:rFonts w:hint="eastAsia" w:ascii="宋体" w:hAnsi="宋体" w:eastAsia="宋体" w:cs="宋体"/>
          <w:color w:val="auto"/>
          <w:sz w:val="24"/>
          <w:szCs w:val="24"/>
          <w:highlight w:val="none"/>
        </w:rPr>
      </w:pPr>
    </w:p>
    <w:p>
      <w:pPr>
        <w:keepNext/>
        <w:keepLines/>
        <w:spacing w:line="360" w:lineRule="auto"/>
        <w:ind w:firstLine="422" w:firstLineChars="200"/>
        <w:jc w:val="center"/>
        <w:outlineLvl w:val="3"/>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r>
        <w:rPr>
          <w:rFonts w:hint="eastAsia" w:ascii="宋体" w:hAnsi="宋体" w:eastAsia="宋体" w:cs="宋体"/>
          <w:b/>
          <w:bCs/>
          <w:color w:val="auto"/>
          <w:szCs w:val="24"/>
          <w:highlight w:val="none"/>
        </w:rPr>
        <w:t>表1-7  主要机械台班价格表</w:t>
      </w:r>
    </w:p>
    <w:p>
      <w:pPr>
        <w:widowControl/>
        <w:tabs>
          <w:tab w:val="center" w:pos="4755"/>
          <w:tab w:val="right" w:pos="9070"/>
        </w:tabs>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648"/>
        <w:gridCol w:w="1325"/>
        <w:gridCol w:w="146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4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32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462"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96"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8"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5" w:type="dxa"/>
            <w:noWrap w:val="0"/>
            <w:vAlign w:val="center"/>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462"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2648"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325"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462"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c>
          <w:tcPr>
            <w:tcW w:w="1896" w:type="dxa"/>
            <w:noWrap w:val="0"/>
            <w:vAlign w:val="top"/>
          </w:tcPr>
          <w:p>
            <w:pPr>
              <w:widowControl/>
              <w:tabs>
                <w:tab w:val="center" w:pos="4755"/>
                <w:tab w:val="right" w:pos="9070"/>
              </w:tabs>
              <w:spacing w:before="100" w:beforeAutospacing="1" w:after="100" w:afterAutospacing="1"/>
              <w:rPr>
                <w:rFonts w:hint="eastAsia" w:ascii="宋体" w:hAnsi="宋体" w:eastAsia="宋体" w:cs="宋体"/>
                <w:color w:val="auto"/>
                <w:sz w:val="24"/>
                <w:szCs w:val="24"/>
                <w:highlight w:val="none"/>
              </w:rPr>
            </w:pPr>
          </w:p>
        </w:tc>
      </w:tr>
    </w:tbl>
    <w:p>
      <w:pPr>
        <w:spacing w:line="360" w:lineRule="atLeast"/>
        <w:rPr>
          <w:rFonts w:hint="eastAsia" w:ascii="宋体" w:hAnsi="宋体" w:eastAsia="宋体" w:cs="宋体"/>
          <w:b/>
          <w:color w:val="auto"/>
          <w:szCs w:val="21"/>
          <w:highlight w:val="none"/>
        </w:rPr>
      </w:pPr>
    </w:p>
    <w:p>
      <w:pPr>
        <w:adjustRightInd w:val="0"/>
        <w:spacing w:line="360" w:lineRule="auto"/>
        <w:ind w:firstLine="435"/>
        <w:rPr>
          <w:rFonts w:hint="eastAsia" w:ascii="宋体" w:hAnsi="宋体" w:cs="宋体"/>
          <w:color w:val="auto"/>
          <w:szCs w:val="21"/>
          <w:highlight w:val="none"/>
        </w:rPr>
      </w:pPr>
    </w:p>
    <w:p>
      <w:pPr>
        <w:adjustRightInd w:val="0"/>
        <w:spacing w:line="360" w:lineRule="auto"/>
        <w:ind w:firstLine="435"/>
        <w:rPr>
          <w:rFonts w:hint="eastAsia" w:ascii="宋体" w:hAnsi="宋体" w:cs="宋体"/>
          <w:b/>
          <w:color w:val="auto"/>
          <w:highlight w:val="none"/>
        </w:rPr>
      </w:pPr>
      <w:r>
        <w:rPr>
          <w:rFonts w:hint="eastAsia" w:ascii="宋体" w:hAnsi="宋体" w:cs="宋体"/>
          <w:color w:val="auto"/>
          <w:szCs w:val="21"/>
          <w:highlight w:val="none"/>
        </w:rPr>
        <w:br w:type="page"/>
      </w:r>
      <w:r>
        <w:rPr>
          <w:rFonts w:hint="eastAsia" w:ascii="宋体" w:hAnsi="宋体" w:cs="宋体"/>
          <w:b/>
          <w:color w:val="auto"/>
          <w:highlight w:val="none"/>
        </w:rPr>
        <w:t>3、供应商认为有必要提供的其它文件</w:t>
      </w:r>
    </w:p>
    <w:p>
      <w:pPr>
        <w:spacing w:line="360" w:lineRule="atLeast"/>
        <w:ind w:firstLine="4200" w:firstLineChars="2000"/>
        <w:rPr>
          <w:rFonts w:hint="eastAsia" w:ascii="宋体" w:hAnsi="宋体" w:cs="宋体"/>
          <w:color w:val="auto"/>
          <w:szCs w:val="21"/>
          <w:highlight w:val="none"/>
        </w:rPr>
      </w:pPr>
    </w:p>
    <w:p>
      <w:pPr>
        <w:pStyle w:val="4"/>
        <w:snapToGrid w:val="0"/>
        <w:spacing w:before="120" w:beforeLines="50" w:after="0" w:line="360" w:lineRule="auto"/>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br w:type="page"/>
      </w:r>
      <w:bookmarkStart w:id="66" w:name="_Toc415814148"/>
      <w:bookmarkStart w:id="67" w:name="_Toc450199113"/>
      <w:bookmarkStart w:id="68" w:name="_Toc401423941"/>
      <w:bookmarkStart w:id="69" w:name="_Toc293401394"/>
      <w:bookmarkStart w:id="70" w:name="_Toc312928677"/>
      <w:r>
        <w:rPr>
          <w:rFonts w:hint="eastAsia" w:ascii="宋体" w:hAnsi="宋体" w:eastAsia="宋体" w:cs="宋体"/>
          <w:color w:val="auto"/>
          <w:sz w:val="21"/>
          <w:szCs w:val="21"/>
          <w:highlight w:val="none"/>
        </w:rPr>
        <w:t>三、</w:t>
      </w:r>
      <w:bookmarkEnd w:id="66"/>
      <w:r>
        <w:rPr>
          <w:rFonts w:hint="eastAsia" w:ascii="宋体" w:hAnsi="宋体" w:eastAsia="宋体" w:cs="宋体"/>
          <w:color w:val="auto"/>
          <w:sz w:val="21"/>
          <w:szCs w:val="21"/>
          <w:highlight w:val="none"/>
        </w:rPr>
        <w:t>资格文件</w:t>
      </w:r>
      <w:bookmarkEnd w:id="67"/>
    </w:p>
    <w:p>
      <w:pPr>
        <w:spacing w:line="360" w:lineRule="auto"/>
        <w:jc w:val="center"/>
        <w:rPr>
          <w:rFonts w:hint="eastAsia" w:ascii="宋体" w:hAnsi="宋体" w:cs="宋体"/>
          <w:color w:val="auto"/>
          <w:highlight w:val="none"/>
        </w:rPr>
      </w:pPr>
      <w:r>
        <w:rPr>
          <w:rFonts w:hint="eastAsia" w:ascii="宋体" w:hAnsi="宋体" w:cs="宋体"/>
          <w:color w:val="auto"/>
          <w:highlight w:val="none"/>
        </w:rPr>
        <w:t>目录</w:t>
      </w:r>
    </w:p>
    <w:bookmarkEnd w:id="68"/>
    <w:bookmarkEnd w:id="69"/>
    <w:bookmarkEnd w:id="70"/>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（1）符合《中华人民共和国政府采购法》第二十二条规定的相关证明材料；</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各磋商供应商须在投标文件中出具对应证明材料。（商业信誉可提前自查，投标文件中可不提供）</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a.具有独立承担民事责任能力的证明材料；</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磋商供应商须在投标文件中出具符合以下情况的证明材料复印件（五选一）：</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①　如磋商供应商是企业（包括合伙企业），提供在工商部门注册的有效“企业法人营业执照”或“营业执照”；</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②　如磋商供应商是事业单位，提供有效的“事业单位法人证书”；</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③　如磋商供应商是非企业专业服务机构的，提供执业许可证等证明文件；</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④　如磋商供应商是个体工商户，提供有效的“个体工商户营业执照”；</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⑤　如磋商供应商是自然人，提供有效的自然人身份证明（居民身份证正反面或公安机关出具的临时居民身份证正反面或港澳台胞证或护照）。</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b.符合参与政府采购活动资格条件的承诺函；</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c.商业信誉：</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至本项目磋商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对列入失信被执行人、重大税收违法案件当事人名单、政府采购严重违法失信行为记录名单的磋商供应商，其投标将作无效标处理。</w:t>
      </w:r>
    </w:p>
    <w:p>
      <w:pPr>
        <w:numPr>
          <w:ilvl w:val="0"/>
          <w:numId w:val="7"/>
        </w:numPr>
        <w:adjustRightInd w:val="0"/>
        <w:snapToGrid w:val="0"/>
        <w:spacing w:line="360" w:lineRule="auto"/>
        <w:ind w:left="420" w:leftChars="200"/>
        <w:rPr>
          <w:rFonts w:hint="eastAsia" w:ascii="宋体" w:hAnsi="宋体" w:cs="宋体"/>
          <w:color w:val="auto"/>
          <w:szCs w:val="22"/>
          <w:highlight w:val="none"/>
        </w:rPr>
      </w:pPr>
      <w:r>
        <w:rPr>
          <w:rFonts w:hint="eastAsia" w:ascii="宋体" w:hAnsi="宋体" w:cs="宋体"/>
          <w:color w:val="auto"/>
          <w:highlight w:val="none"/>
        </w:rPr>
        <w:t>特定资格条件：</w:t>
      </w:r>
      <w:r>
        <w:rPr>
          <w:rFonts w:hint="eastAsia" w:ascii="宋体" w:hAnsi="宋体" w:cs="宋体"/>
          <w:color w:val="auto"/>
          <w:szCs w:val="21"/>
          <w:highlight w:val="none"/>
        </w:rPr>
        <w:t>提供具有</w:t>
      </w:r>
      <w:r>
        <w:rPr>
          <w:rFonts w:hint="eastAsia" w:ascii="宋体" w:hAnsi="宋体" w:cs="宋体"/>
          <w:color w:val="auto"/>
          <w:szCs w:val="21"/>
          <w:highlight w:val="none"/>
          <w:lang w:eastAsia="zh-CN"/>
        </w:rPr>
        <w:t>建筑工程施工总承包</w:t>
      </w:r>
      <w:r>
        <w:rPr>
          <w:rFonts w:hint="eastAsia" w:ascii="宋体" w:hAnsi="宋体" w:cs="宋体"/>
          <w:color w:val="auto"/>
          <w:szCs w:val="21"/>
          <w:highlight w:val="none"/>
        </w:rPr>
        <w:t>等级证书</w:t>
      </w:r>
      <w:r>
        <w:rPr>
          <w:rFonts w:hint="eastAsia" w:ascii="宋体" w:hAnsi="宋体" w:cs="宋体"/>
          <w:color w:val="auto"/>
          <w:szCs w:val="24"/>
          <w:highlight w:val="none"/>
        </w:rPr>
        <w:t>及有效的安全生产许可证复印件。</w:t>
      </w:r>
    </w:p>
    <w:p>
      <w:pPr>
        <w:numPr>
          <w:ilvl w:val="0"/>
          <w:numId w:val="7"/>
        </w:numPr>
        <w:adjustRightInd w:val="0"/>
        <w:snapToGrid w:val="0"/>
        <w:spacing w:line="360" w:lineRule="auto"/>
        <w:ind w:left="420" w:leftChars="200"/>
        <w:rPr>
          <w:rFonts w:hint="eastAsia" w:ascii="宋体" w:hAnsi="宋体" w:cs="宋体"/>
          <w:color w:val="auto"/>
          <w:highlight w:val="none"/>
        </w:rPr>
      </w:pPr>
      <w:r>
        <w:rPr>
          <w:rFonts w:hint="eastAsia" w:ascii="宋体" w:hAnsi="宋体" w:cs="宋体"/>
          <w:color w:val="auto"/>
          <w:highlight w:val="none"/>
        </w:rPr>
        <w:t>落实政府采购政策需满足的资格要求所对应的证明材料：供应商应为中小企业，或监狱企业，或残疾人福利性单位。</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1）中小企业声明函；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中小企业应当按照《政府采购促进中小企业发展管理办法》规定和《中小企业划型标准规定》（工信部联企业〔2011〕300号），如实填写并提交《中小企业声明函》。</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投标人在填写声明函前，须先自查本企业是否满足中小企业认定标准（可通过国务院客户端和工业和信息化部网站上的自测小程序进行自查）。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中小企业对其声明内容的真实性负责，声明函内容不实的，属于提供虚假材料谋取中标、成交，依照《中华人民共和国政府采购法》等国家有关规定追究相应责任。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2）投标人为监狱企业的证明文件：省级以上监狱管理局、戒毒管理局（含新疆生产建设兵团）出具（如有）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3）投标人如符合《财政部、民政部、中国残疾人联合会关于促进残疾人就业政府采购政策的通知》（财库〔2017〕141号）政策规定的，须提供《残疾人福利性单位声明函》；（如有）</w:t>
      </w:r>
    </w:p>
    <w:p>
      <w:pPr>
        <w:pStyle w:val="88"/>
        <w:snapToGrid w:val="0"/>
        <w:spacing w:line="360" w:lineRule="auto"/>
        <w:ind w:firstLine="420"/>
        <w:rPr>
          <w:rFonts w:hint="eastAsia" w:ascii="宋体" w:hAnsi="宋体" w:cs="宋体"/>
          <w:color w:val="auto"/>
          <w:highlight w:val="none"/>
        </w:rPr>
      </w:pPr>
    </w:p>
    <w:p>
      <w:pPr>
        <w:pStyle w:val="29"/>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hint="eastAsia" w:cs="宋体"/>
          <w:color w:val="auto"/>
          <w:highlight w:val="none"/>
        </w:rPr>
        <w:br w:type="page"/>
      </w:r>
      <w:r>
        <w:rPr>
          <w:rFonts w:hint="eastAsia" w:cs="宋体"/>
          <w:color w:val="auto"/>
          <w:highlight w:val="none"/>
        </w:rPr>
        <w:t>（1）</w:t>
      </w:r>
      <w:r>
        <w:rPr>
          <w:rFonts w:hint="eastAsia" w:cs="宋体"/>
          <w:bCs/>
          <w:color w:val="auto"/>
          <w:sz w:val="21"/>
          <w:szCs w:val="21"/>
          <w:highlight w:val="none"/>
        </w:rPr>
        <w:t>基本资格条件相关证明材料</w:t>
      </w:r>
    </w:p>
    <w:p>
      <w:pPr>
        <w:pStyle w:val="29"/>
        <w:numPr>
          <w:ilvl w:val="0"/>
          <w:numId w:val="8"/>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pPr>
        <w:pStyle w:val="29"/>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磋商供应商须在投标文件中出具符合以下情况的证明材料复印件（五选一）：</w:t>
      </w:r>
    </w:p>
    <w:p>
      <w:pPr>
        <w:pStyle w:val="29"/>
        <w:numPr>
          <w:ilvl w:val="0"/>
          <w:numId w:val="9"/>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如磋商供应商是企业（包括合伙企业），提供在工商部门注册的有效“企业法人营业执照”或“营业执照”；</w:t>
      </w:r>
    </w:p>
    <w:p>
      <w:pPr>
        <w:pStyle w:val="29"/>
        <w:numPr>
          <w:ilvl w:val="0"/>
          <w:numId w:val="9"/>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如磋商供应商是事业单位，提供有效的“事业单位法人证书”；</w:t>
      </w:r>
    </w:p>
    <w:p>
      <w:pPr>
        <w:pStyle w:val="29"/>
        <w:numPr>
          <w:ilvl w:val="0"/>
          <w:numId w:val="9"/>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如磋商供应商是非企业专业服务机构的，提供执业许可证等证明文件；</w:t>
      </w:r>
    </w:p>
    <w:p>
      <w:pPr>
        <w:pStyle w:val="29"/>
        <w:numPr>
          <w:ilvl w:val="0"/>
          <w:numId w:val="9"/>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如磋商供应商是个体工商户，提供有效的“个体工商户营业执照”；</w:t>
      </w:r>
    </w:p>
    <w:p>
      <w:pPr>
        <w:pStyle w:val="29"/>
        <w:numPr>
          <w:ilvl w:val="0"/>
          <w:numId w:val="9"/>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如磋商供应商是自然人，提供有效的自然人身份证明（居民身份证正反面或公安机关出具的临时居民身份证正反面或港澳台胞证或护照）。</w:t>
      </w:r>
    </w:p>
    <w:p>
      <w:pPr>
        <w:pStyle w:val="29"/>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pPr>
        <w:pStyle w:val="29"/>
        <w:numPr>
          <w:ilvl w:val="0"/>
          <w:numId w:val="8"/>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pPr>
        <w:pStyle w:val="29"/>
        <w:adjustRightInd w:val="0"/>
        <w:snapToGrid w:val="0"/>
        <w:spacing w:before="0" w:beforeAutospacing="0" w:after="0" w:afterAutospacing="0" w:line="360" w:lineRule="auto"/>
        <w:ind w:left="420" w:leftChars="200"/>
        <w:rPr>
          <w:rFonts w:hint="eastAsia" w:cs="宋体"/>
          <w:color w:val="auto"/>
          <w:sz w:val="21"/>
          <w:szCs w:val="21"/>
          <w:highlight w:val="none"/>
        </w:rPr>
      </w:pPr>
    </w:p>
    <w:p>
      <w:pPr>
        <w:pStyle w:val="29"/>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pPr>
        <w:spacing w:line="480" w:lineRule="auto"/>
        <w:rPr>
          <w:rFonts w:hint="eastAsia" w:ascii="宋体" w:hAnsi="宋体" w:cs="宋体"/>
          <w:color w:val="auto"/>
          <w:szCs w:val="21"/>
          <w:highlight w:val="none"/>
          <w:u w:val="single"/>
        </w:rPr>
      </w:pPr>
    </w:p>
    <w:p>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29"/>
        <w:spacing w:before="0" w:beforeAutospacing="0" w:after="0" w:afterAutospacing="0" w:line="480" w:lineRule="auto"/>
        <w:ind w:firstLine="840" w:firstLineChars="400"/>
        <w:rPr>
          <w:rFonts w:hint="eastAsia" w:cs="宋体"/>
          <w:color w:val="auto"/>
          <w:sz w:val="21"/>
          <w:szCs w:val="21"/>
          <w:highlight w:val="none"/>
        </w:rPr>
      </w:pPr>
    </w:p>
    <w:p>
      <w:pPr>
        <w:pStyle w:val="29"/>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（磋商供应商全称）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pPr>
        <w:pStyle w:val="29"/>
        <w:numPr>
          <w:ilvl w:val="0"/>
          <w:numId w:val="10"/>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29"/>
        <w:numPr>
          <w:ilvl w:val="0"/>
          <w:numId w:val="10"/>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29"/>
        <w:numPr>
          <w:ilvl w:val="0"/>
          <w:numId w:val="10"/>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29"/>
        <w:numPr>
          <w:ilvl w:val="0"/>
          <w:numId w:val="10"/>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9"/>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29"/>
        <w:spacing w:before="0" w:beforeAutospacing="0" w:after="0" w:afterAutospacing="0" w:line="480" w:lineRule="auto"/>
        <w:ind w:firstLine="420" w:firstLineChars="200"/>
        <w:rPr>
          <w:rFonts w:hint="eastAsia" w:cs="宋体"/>
          <w:color w:val="auto"/>
          <w:sz w:val="21"/>
          <w:szCs w:val="21"/>
          <w:highlight w:val="none"/>
        </w:rPr>
      </w:pPr>
    </w:p>
    <w:p>
      <w:pPr>
        <w:pStyle w:val="29"/>
        <w:spacing w:before="0" w:beforeAutospacing="0" w:after="0" w:afterAutospacing="0" w:line="480" w:lineRule="auto"/>
        <w:ind w:firstLine="422" w:firstLineChars="200"/>
        <w:rPr>
          <w:rFonts w:hint="eastAsia" w:cs="宋体"/>
          <w:b/>
          <w:bCs/>
          <w:color w:val="auto"/>
          <w:sz w:val="21"/>
          <w:szCs w:val="21"/>
          <w:highlight w:val="none"/>
        </w:rPr>
      </w:pPr>
    </w:p>
    <w:p>
      <w:pPr>
        <w:pStyle w:val="29"/>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 xml:space="preserve">供应商名称（盖章） ： </w:t>
      </w:r>
    </w:p>
    <w:p>
      <w:pPr>
        <w:pStyle w:val="29"/>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法定代表人或授权代表（签字或盖章）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日期：  年  月  日  </w:t>
      </w:r>
    </w:p>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（2）特定资格条件：</w:t>
      </w:r>
      <w:r>
        <w:rPr>
          <w:rFonts w:hint="eastAsia" w:ascii="宋体" w:hAnsi="宋体" w:cs="宋体"/>
          <w:color w:val="auto"/>
          <w:szCs w:val="21"/>
          <w:highlight w:val="none"/>
        </w:rPr>
        <w:t>提供具有</w:t>
      </w:r>
      <w:r>
        <w:rPr>
          <w:rFonts w:hint="eastAsia" w:ascii="宋体" w:hAnsi="宋体" w:cs="宋体"/>
          <w:color w:val="auto"/>
          <w:szCs w:val="21"/>
          <w:highlight w:val="none"/>
          <w:lang w:eastAsia="zh-CN"/>
        </w:rPr>
        <w:t>建筑工程施工总承包</w:t>
      </w:r>
      <w:r>
        <w:rPr>
          <w:rFonts w:hint="eastAsia" w:ascii="宋体" w:hAnsi="宋体" w:cs="宋体"/>
          <w:color w:val="auto"/>
          <w:szCs w:val="21"/>
          <w:highlight w:val="none"/>
        </w:rPr>
        <w:t>等级证书</w:t>
      </w:r>
      <w:r>
        <w:rPr>
          <w:rFonts w:hint="eastAsia" w:ascii="宋体" w:hAnsi="宋体" w:cs="宋体"/>
          <w:color w:val="auto"/>
          <w:szCs w:val="24"/>
          <w:highlight w:val="none"/>
        </w:rPr>
        <w:t>及有效的安全生产许可证复印件。</w:t>
      </w: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Cs/>
          <w:color w:val="auto"/>
          <w:szCs w:val="21"/>
          <w:highlight w:val="none"/>
        </w:rPr>
      </w:pPr>
    </w:p>
    <w:p>
      <w:pPr>
        <w:rPr>
          <w:rFonts w:hint="eastAsia" w:ascii="宋体" w:hAnsi="宋体" w:cs="宋体"/>
          <w:bCs/>
          <w:color w:val="auto"/>
          <w:szCs w:val="21"/>
          <w:highlight w:val="none"/>
        </w:rPr>
      </w:pPr>
    </w:p>
    <w:p>
      <w:pPr>
        <w:rPr>
          <w:rFonts w:hint="eastAsia" w:ascii="宋体" w:hAnsi="宋体" w:cs="宋体"/>
          <w:bCs/>
          <w:color w:val="auto"/>
          <w:szCs w:val="21"/>
          <w:highlight w:val="none"/>
        </w:rPr>
      </w:pPr>
      <w:r>
        <w:rPr>
          <w:rFonts w:hint="eastAsia" w:ascii="宋体" w:hAnsi="宋体" w:cs="宋体"/>
          <w:bCs/>
          <w:color w:val="auto"/>
          <w:szCs w:val="21"/>
          <w:highlight w:val="none"/>
        </w:rPr>
        <w:t>（3）中小企业声明函（如有）</w:t>
      </w:r>
    </w:p>
    <w:p>
      <w:pPr>
        <w:widowControl/>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lang w:bidi="ar"/>
        </w:rPr>
        <w:t>中小企业声明函（工程）</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本公司（联合体）郑重声明，根据《政府采购促进中小企业发展管理办法》（财库﹝2020﹞46 号）的规定，本公司（联合体）参加</w:t>
      </w:r>
      <w:r>
        <w:rPr>
          <w:rFonts w:hint="eastAsia" w:ascii="宋体" w:hAnsi="宋体" w:cs="宋体"/>
          <w:i/>
          <w:iCs/>
          <w:color w:val="auto"/>
          <w:szCs w:val="21"/>
          <w:highlight w:val="none"/>
          <w:lang w:bidi="ar"/>
        </w:rPr>
        <w:t>（单位名称）</w:t>
      </w:r>
      <w:r>
        <w:rPr>
          <w:rFonts w:hint="eastAsia" w:ascii="宋体" w:hAnsi="宋体" w:cs="宋体"/>
          <w:color w:val="auto"/>
          <w:szCs w:val="21"/>
          <w:highlight w:val="none"/>
          <w:lang w:bidi="ar"/>
        </w:rPr>
        <w:t>的</w:t>
      </w:r>
      <w:r>
        <w:rPr>
          <w:rFonts w:hint="eastAsia" w:ascii="宋体" w:hAnsi="宋体" w:cs="宋体"/>
          <w:i/>
          <w:iCs/>
          <w:color w:val="auto"/>
          <w:szCs w:val="21"/>
          <w:highlight w:val="none"/>
          <w:lang w:bidi="ar"/>
        </w:rPr>
        <w:t>（项目名称）</w:t>
      </w:r>
      <w:r>
        <w:rPr>
          <w:rFonts w:hint="eastAsia" w:ascii="宋体" w:hAnsi="宋体" w:cs="宋体"/>
          <w:color w:val="auto"/>
          <w:szCs w:val="21"/>
          <w:highlight w:val="none"/>
          <w:lang w:bidi="ar"/>
        </w:rPr>
        <w:t>采购活动，工程的施工单位全部为符合政策要求的中小企业。相关企业（含联合体中的中小企业、签订分包意向协议的中小企业）的具体情况如下：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1. </w:t>
      </w:r>
      <w:r>
        <w:rPr>
          <w:rFonts w:hint="eastAsia" w:ascii="宋体" w:hAnsi="宋体" w:cs="宋体"/>
          <w:i/>
          <w:iCs/>
          <w:color w:val="auto"/>
          <w:szCs w:val="21"/>
          <w:highlight w:val="none"/>
          <w:lang w:bidi="ar"/>
        </w:rPr>
        <w:t xml:space="preserve">（标的名称） </w:t>
      </w:r>
      <w:r>
        <w:rPr>
          <w:rFonts w:hint="eastAsia" w:ascii="宋体" w:hAnsi="宋体" w:cs="宋体"/>
          <w:color w:val="auto"/>
          <w:szCs w:val="21"/>
          <w:highlight w:val="none"/>
          <w:lang w:bidi="ar"/>
        </w:rPr>
        <w:t>，属于</w:t>
      </w:r>
      <w:r>
        <w:rPr>
          <w:rFonts w:hint="eastAsia" w:ascii="宋体" w:hAnsi="宋体" w:cs="宋体"/>
          <w:i/>
          <w:iCs/>
          <w:color w:val="auto"/>
          <w:szCs w:val="21"/>
          <w:highlight w:val="none"/>
          <w:lang w:bidi="ar"/>
        </w:rPr>
        <w:t>（建筑业）</w:t>
      </w:r>
      <w:r>
        <w:rPr>
          <w:rFonts w:hint="eastAsia" w:ascii="宋体" w:hAnsi="宋体" w:cs="宋体"/>
          <w:color w:val="auto"/>
          <w:szCs w:val="21"/>
          <w:highlight w:val="none"/>
          <w:lang w:bidi="ar"/>
        </w:rPr>
        <w:t>；承建（承接）企业为</w:t>
      </w:r>
      <w:r>
        <w:rPr>
          <w:rFonts w:hint="eastAsia" w:ascii="宋体" w:hAnsi="宋体" w:cs="宋体"/>
          <w:i/>
          <w:iCs/>
          <w:color w:val="auto"/>
          <w:szCs w:val="21"/>
          <w:highlight w:val="none"/>
          <w:lang w:bidi="ar"/>
        </w:rPr>
        <w:t>（企业名称）</w:t>
      </w:r>
      <w:r>
        <w:rPr>
          <w:rFonts w:hint="eastAsia" w:ascii="宋体" w:hAnsi="宋体" w:cs="宋体"/>
          <w:color w:val="auto"/>
          <w:szCs w:val="21"/>
          <w:highlight w:val="none"/>
          <w:lang w:bidi="ar"/>
        </w:rPr>
        <w:t>，从业人员 人，营业收入为 万元，资产总额为 万元1，属于</w:t>
      </w:r>
      <w:r>
        <w:rPr>
          <w:rFonts w:hint="eastAsia" w:ascii="宋体" w:hAnsi="宋体" w:cs="宋体"/>
          <w:i/>
          <w:iCs/>
          <w:color w:val="auto"/>
          <w:szCs w:val="21"/>
          <w:highlight w:val="none"/>
          <w:lang w:bidi="ar"/>
        </w:rPr>
        <w:t>（中型企业、小型企业、微型企业）</w:t>
      </w:r>
      <w:r>
        <w:rPr>
          <w:rFonts w:hint="eastAsia" w:ascii="宋体" w:hAnsi="宋体" w:cs="宋体"/>
          <w:color w:val="auto"/>
          <w:szCs w:val="21"/>
          <w:highlight w:val="none"/>
          <w:lang w:bidi="ar"/>
        </w:rPr>
        <w:t xml:space="preserve">；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2. </w:t>
      </w:r>
      <w:r>
        <w:rPr>
          <w:rFonts w:hint="eastAsia" w:ascii="宋体" w:hAnsi="宋体" w:cs="宋体"/>
          <w:i/>
          <w:iCs/>
          <w:color w:val="auto"/>
          <w:szCs w:val="21"/>
          <w:highlight w:val="none"/>
          <w:lang w:bidi="ar"/>
        </w:rPr>
        <w:t xml:space="preserve">（标的名称） </w:t>
      </w:r>
      <w:r>
        <w:rPr>
          <w:rFonts w:hint="eastAsia" w:ascii="宋体" w:hAnsi="宋体" w:cs="宋体"/>
          <w:color w:val="auto"/>
          <w:szCs w:val="21"/>
          <w:highlight w:val="none"/>
          <w:lang w:bidi="ar"/>
        </w:rPr>
        <w:t>，属于</w:t>
      </w:r>
      <w:r>
        <w:rPr>
          <w:rFonts w:hint="eastAsia" w:ascii="宋体" w:hAnsi="宋体" w:cs="宋体"/>
          <w:i/>
          <w:iCs/>
          <w:color w:val="auto"/>
          <w:szCs w:val="21"/>
          <w:highlight w:val="none"/>
          <w:lang w:bidi="ar"/>
        </w:rPr>
        <w:t>（磋商文件中明确的所属行业）</w:t>
      </w:r>
      <w:r>
        <w:rPr>
          <w:rFonts w:hint="eastAsia" w:ascii="宋体" w:hAnsi="宋体" w:cs="宋体"/>
          <w:color w:val="auto"/>
          <w:szCs w:val="21"/>
          <w:highlight w:val="none"/>
          <w:lang w:bidi="ar"/>
        </w:rPr>
        <w:t>；承建（承接）企业为</w:t>
      </w:r>
      <w:r>
        <w:rPr>
          <w:rFonts w:hint="eastAsia" w:ascii="宋体" w:hAnsi="宋体" w:cs="宋体"/>
          <w:i/>
          <w:iCs/>
          <w:color w:val="auto"/>
          <w:szCs w:val="21"/>
          <w:highlight w:val="none"/>
          <w:lang w:bidi="ar"/>
        </w:rPr>
        <w:t>（企业名称）</w:t>
      </w:r>
      <w:r>
        <w:rPr>
          <w:rFonts w:hint="eastAsia" w:ascii="宋体" w:hAnsi="宋体" w:cs="宋体"/>
          <w:color w:val="auto"/>
          <w:szCs w:val="21"/>
          <w:highlight w:val="none"/>
          <w:lang w:bidi="ar"/>
        </w:rPr>
        <w:t>，从业人员 人，营业收入为 万元，资产总额为 万元，属于</w:t>
      </w:r>
      <w:r>
        <w:rPr>
          <w:rFonts w:hint="eastAsia" w:ascii="宋体" w:hAnsi="宋体" w:cs="宋体"/>
          <w:i/>
          <w:iCs/>
          <w:color w:val="auto"/>
          <w:szCs w:val="21"/>
          <w:highlight w:val="none"/>
          <w:lang w:bidi="ar"/>
        </w:rPr>
        <w:t>（中型企业、小型企业、微型企业）</w:t>
      </w:r>
      <w:r>
        <w:rPr>
          <w:rFonts w:hint="eastAsia" w:ascii="宋体" w:hAnsi="宋体" w:cs="宋体"/>
          <w:color w:val="auto"/>
          <w:szCs w:val="21"/>
          <w:highlight w:val="none"/>
          <w:lang w:bidi="ar"/>
        </w:rPr>
        <w:t xml:space="preserve">； </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bidi="ar"/>
        </w:rPr>
        <w:t>……</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本企业对上述声明内容的真实性负责。如有虚假，将依法承担相应责任。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企业名称（盖章）：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日 期：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1 从业人员、营业收入、资产总额填报上一年度数据，无上一年度数据的新成立企业可不填报。</w:t>
      </w:r>
    </w:p>
    <w:p>
      <w:pPr>
        <w:pStyle w:val="29"/>
        <w:spacing w:before="0" w:beforeAutospacing="0" w:after="0" w:afterAutospacing="0" w:line="360" w:lineRule="auto"/>
        <w:ind w:firstLine="420" w:firstLineChars="200"/>
        <w:jc w:val="both"/>
        <w:rPr>
          <w:rFonts w:hint="eastAsia" w:cs="宋体"/>
          <w:color w:val="auto"/>
          <w:sz w:val="21"/>
          <w:szCs w:val="21"/>
          <w:highlight w:val="none"/>
        </w:rPr>
      </w:pPr>
    </w:p>
    <w:p>
      <w:pPr>
        <w:pStyle w:val="29"/>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29"/>
        <w:spacing w:before="0" w:beforeAutospacing="0" w:after="0" w:afterAutospacing="0" w:line="360" w:lineRule="auto"/>
        <w:ind w:firstLine="420" w:firstLineChars="200"/>
        <w:jc w:val="both"/>
        <w:rPr>
          <w:rFonts w:hint="eastAsia" w:cs="宋体"/>
          <w:color w:val="auto"/>
          <w:sz w:val="21"/>
          <w:szCs w:val="21"/>
          <w:highlight w:val="none"/>
        </w:rPr>
        <w:sectPr>
          <w:headerReference r:id="rId15" w:type="default"/>
          <w:footerReference r:id="rId16" w:type="default"/>
          <w:pgSz w:w="11906" w:h="16838"/>
          <w:pgMar w:top="1247" w:right="1588" w:bottom="1089" w:left="1588" w:header="851" w:footer="992" w:gutter="0"/>
          <w:cols w:space="720" w:num="1"/>
          <w:docGrid w:linePitch="312" w:charSpace="0"/>
        </w:sectPr>
      </w:pPr>
      <w:r>
        <w:rPr>
          <w:rFonts w:hint="eastAsia" w:cs="宋体"/>
          <w:color w:val="auto"/>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60" w:lineRule="auto"/>
        <w:jc w:val="center"/>
        <w:rPr>
          <w:rFonts w:hint="eastAsia" w:ascii="宋体" w:hAnsi="宋体" w:cs="宋体"/>
          <w:b/>
          <w:bCs/>
          <w:color w:val="auto"/>
          <w:sz w:val="32"/>
          <w:szCs w:val="32"/>
          <w:highlight w:val="none"/>
        </w:rPr>
        <w:sectPr>
          <w:pgSz w:w="16838" w:h="11906" w:orient="landscape"/>
          <w:pgMar w:top="1588" w:right="1247" w:bottom="1588" w:left="1089" w:header="851" w:footer="992" w:gutter="0"/>
          <w:cols w:space="720" w:num="1"/>
          <w:docGrid w:linePitch="312" w:charSpace="0"/>
        </w:sectPr>
      </w:pPr>
      <w:r>
        <w:rPr>
          <w:rFonts w:hint="eastAsia" w:ascii="宋体" w:hAnsi="宋体" w:cs="宋体"/>
          <w:color w:val="auto"/>
          <w:highlight w:val="none"/>
        </w:rPr>
        <w:drawing>
          <wp:inline distT="0" distB="0" distL="114300" distR="114300">
            <wp:extent cx="9248140" cy="5593080"/>
            <wp:effectExtent l="0" t="0" r="10160" b="762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3"/>
                    <a:stretch>
                      <a:fillRect/>
                    </a:stretch>
                  </pic:blipFill>
                  <pic:spPr>
                    <a:xfrm>
                      <a:off x="0" y="0"/>
                      <a:ext cx="9248140" cy="5593080"/>
                    </a:xfrm>
                    <a:prstGeom prst="rect">
                      <a:avLst/>
                    </a:prstGeom>
                    <a:noFill/>
                    <a:ln>
                      <a:noFill/>
                    </a:ln>
                  </pic:spPr>
                </pic:pic>
              </a:graphicData>
            </a:graphic>
          </wp:inline>
        </w:drawing>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（4）供应商为监狱企业的证明文件：省级以上监狱管理局、戒毒管理局（含新疆生产建设兵团）出具（如有）</w:t>
      </w:r>
    </w:p>
    <w:p>
      <w:pPr>
        <w:jc w:val="left"/>
        <w:rPr>
          <w:rFonts w:hint="eastAsia" w:ascii="宋体" w:hAnsi="宋体" w:cs="宋体"/>
          <w:bCs/>
          <w:color w:val="auto"/>
          <w:szCs w:val="21"/>
          <w:highlight w:val="none"/>
        </w:rPr>
      </w:pPr>
    </w:p>
    <w:p>
      <w:pPr>
        <w:rPr>
          <w:rFonts w:hint="eastAsia" w:ascii="宋体" w:hAnsi="宋体" w:cs="宋体"/>
          <w:bCs/>
          <w:color w:val="auto"/>
          <w:szCs w:val="21"/>
          <w:highlight w:val="none"/>
        </w:rPr>
      </w:pPr>
      <w:r>
        <w:rPr>
          <w:rFonts w:hint="eastAsia" w:ascii="宋体" w:hAnsi="宋体" w:cs="宋体"/>
          <w:color w:val="auto"/>
          <w:highlight w:val="none"/>
        </w:rPr>
        <w:br w:type="page"/>
      </w:r>
      <w:r>
        <w:rPr>
          <w:rFonts w:hint="eastAsia" w:ascii="宋体" w:hAnsi="宋体" w:cs="宋体"/>
          <w:bCs/>
          <w:color w:val="auto"/>
          <w:szCs w:val="21"/>
          <w:highlight w:val="none"/>
        </w:rPr>
        <w:t>（5）残疾人福利性单位声明函（如有）</w:t>
      </w:r>
    </w:p>
    <w:p>
      <w:pPr>
        <w:rPr>
          <w:rFonts w:hint="eastAsia" w:ascii="宋体" w:hAnsi="宋体" w:cs="宋体"/>
          <w:b/>
          <w:color w:val="auto"/>
          <w:szCs w:val="21"/>
          <w:highlight w:val="none"/>
        </w:rPr>
      </w:pPr>
    </w:p>
    <w:p>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残疾人福利性单位声明函</w:t>
      </w: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（采购人名称）</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（项目名称）</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napToGrid w:val="0"/>
        <w:spacing w:line="360" w:lineRule="auto"/>
        <w:ind w:firstLine="444" w:firstLineChars="200"/>
        <w:rPr>
          <w:rFonts w:hint="eastAsia" w:ascii="宋体" w:hAnsi="宋体" w:cs="宋体"/>
          <w:color w:val="auto"/>
          <w:spacing w:val="6"/>
          <w:szCs w:val="21"/>
          <w:highlight w:val="none"/>
        </w:rPr>
      </w:pPr>
    </w:p>
    <w:p>
      <w:pPr>
        <w:snapToGrid w:val="0"/>
        <w:spacing w:line="360" w:lineRule="auto"/>
        <w:ind w:firstLine="444" w:firstLineChars="200"/>
        <w:rPr>
          <w:rFonts w:hint="eastAsia" w:ascii="宋体" w:hAnsi="宋体" w:cs="宋体"/>
          <w:color w:val="auto"/>
          <w:spacing w:val="6"/>
          <w:szCs w:val="21"/>
          <w:highlight w:val="none"/>
        </w:rPr>
      </w:pP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供应商名称（盖章）：</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adjustRightInd w:val="0"/>
        <w:snapToGrid w:val="0"/>
        <w:spacing w:line="360" w:lineRule="auto"/>
        <w:ind w:firstLine="478" w:firstLineChars="228"/>
        <w:rPr>
          <w:rFonts w:hint="eastAsia" w:ascii="宋体" w:hAnsi="宋体" w:cs="宋体"/>
          <w:bCs/>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rPr>
        <w:t>四</w:t>
      </w:r>
      <w:r>
        <w:rPr>
          <w:rFonts w:hint="eastAsia" w:ascii="宋体" w:hAnsi="宋体" w:cs="宋体"/>
          <w:color w:val="auto"/>
          <w:szCs w:val="21"/>
          <w:highlight w:val="none"/>
        </w:rPr>
        <w:t>、商务技术文件</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目录</w:t>
      </w:r>
    </w:p>
    <w:p>
      <w:pPr>
        <w:pStyle w:val="88"/>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（1）磋商响应函；</w:t>
      </w:r>
    </w:p>
    <w:p>
      <w:pPr>
        <w:pStyle w:val="88"/>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（2）授权委托书，同时须附授权委托人的有效身份证复印件；</w:t>
      </w:r>
    </w:p>
    <w:p>
      <w:pPr>
        <w:pStyle w:val="88"/>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（3）政府采购供应商廉洁自律承诺书；</w:t>
      </w:r>
    </w:p>
    <w:p>
      <w:pPr>
        <w:pStyle w:val="88"/>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（4）中标服务费支付承诺书；</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（5）供应商简介、供应商基本情况；</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供应商</w:t>
      </w:r>
      <w:r>
        <w:rPr>
          <w:rFonts w:hint="eastAsia" w:ascii="宋体" w:hAnsi="宋体" w:cs="宋体"/>
          <w:color w:val="auto"/>
          <w:highlight w:val="none"/>
        </w:rPr>
        <w:t>证书：供应商</w:t>
      </w:r>
      <w:r>
        <w:rPr>
          <w:rFonts w:hint="eastAsia" w:ascii="宋体" w:hAnsi="宋体" w:cs="宋体"/>
          <w:color w:val="auto"/>
          <w:szCs w:val="21"/>
          <w:highlight w:val="none"/>
        </w:rPr>
        <w:t>具有ISO质量体系认证、环境管理体系认证、职业健康体系认证，</w:t>
      </w:r>
      <w:r>
        <w:rPr>
          <w:rFonts w:hint="eastAsia" w:ascii="宋体" w:hAnsi="宋体" w:cs="宋体"/>
          <w:color w:val="auto"/>
          <w:highlight w:val="none"/>
        </w:rPr>
        <w:t>提供有效证书复印件；</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（7）业绩：</w:t>
      </w:r>
      <w:r>
        <w:rPr>
          <w:rFonts w:hint="eastAsia" w:ascii="宋体" w:hAnsi="宋体" w:cs="宋体"/>
          <w:color w:val="auto"/>
          <w:szCs w:val="21"/>
          <w:highlight w:val="none"/>
        </w:rPr>
        <w:t>2019年1月1日以来（以合同签订时间为准）</w:t>
      </w:r>
      <w:r>
        <w:rPr>
          <w:rFonts w:hint="eastAsia" w:ascii="宋体" w:hAnsi="宋体" w:cs="宋体"/>
          <w:color w:val="auto"/>
          <w:szCs w:val="21"/>
          <w:highlight w:val="none"/>
          <w:lang w:eastAsia="zh-CN"/>
        </w:rPr>
        <w:t>的</w:t>
      </w:r>
      <w:r>
        <w:rPr>
          <w:rFonts w:hint="eastAsia"/>
          <w:color w:val="auto"/>
          <w:highlight w:val="none"/>
          <w:lang w:eastAsia="zh-CN"/>
        </w:rPr>
        <w:t>防辐射工程施工业绩，</w:t>
      </w:r>
      <w:r>
        <w:rPr>
          <w:rFonts w:hint="eastAsia" w:ascii="宋体" w:hAnsi="宋体" w:cs="宋体"/>
          <w:color w:val="auto"/>
          <w:highlight w:val="none"/>
          <w:lang w:eastAsia="zh-CN"/>
        </w:rPr>
        <w:t>提供竣（交）工验收报告或合同复印件加盖供应商单位公章</w:t>
      </w:r>
      <w:r>
        <w:rPr>
          <w:rFonts w:hint="eastAsia" w:ascii="宋体" w:hAnsi="宋体" w:cs="宋体"/>
          <w:color w:val="auto"/>
          <w:highlight w:val="none"/>
        </w:rPr>
        <w:t>；</w:t>
      </w:r>
    </w:p>
    <w:p>
      <w:pPr>
        <w:pStyle w:val="88"/>
        <w:snapToGrid w:val="0"/>
        <w:spacing w:line="360" w:lineRule="auto"/>
        <w:ind w:firstLine="420"/>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主材品牌表；</w:t>
      </w:r>
    </w:p>
    <w:p>
      <w:pPr>
        <w:pStyle w:val="88"/>
        <w:snapToGrid w:val="0"/>
        <w:spacing w:line="360" w:lineRule="auto"/>
        <w:ind w:firstLine="42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szCs w:val="21"/>
          <w:highlight w:val="none"/>
          <w:lang w:eastAsia="zh-CN"/>
        </w:rPr>
        <w:t>项目经理执业和职称证书复印件及业绩证明资料</w:t>
      </w:r>
      <w:r>
        <w:rPr>
          <w:rFonts w:hint="eastAsia" w:ascii="宋体" w:hAnsi="宋体" w:cs="宋体"/>
          <w:color w:val="auto"/>
          <w:highlight w:val="none"/>
        </w:rPr>
        <w:t>；</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cs="宋体"/>
          <w:color w:val="auto"/>
          <w:highlight w:val="none"/>
        </w:rPr>
        <w:t>（10）</w:t>
      </w:r>
      <w:r>
        <w:rPr>
          <w:rFonts w:hint="eastAsia" w:ascii="宋体" w:hAnsi="宋体" w:cs="宋体"/>
          <w:color w:val="auto"/>
          <w:szCs w:val="21"/>
          <w:highlight w:val="none"/>
        </w:rPr>
        <w:t>实施方案</w:t>
      </w:r>
      <w:r>
        <w:rPr>
          <w:rFonts w:hint="eastAsia" w:ascii="宋体" w:hAnsi="宋体" w:cs="宋体"/>
          <w:color w:val="auto"/>
          <w:szCs w:val="21"/>
          <w:highlight w:val="none"/>
          <w:lang w:eastAsia="zh-CN"/>
        </w:rPr>
        <w:t>；</w:t>
      </w:r>
    </w:p>
    <w:p>
      <w:pPr>
        <w:pStyle w:val="88"/>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针对本项目医疗场所特殊施工环境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以及配合设备厂家等参建单位</w:t>
      </w:r>
      <w:r>
        <w:rPr>
          <w:rFonts w:hint="eastAsia" w:ascii="宋体" w:hAnsi="宋体" w:cs="宋体"/>
          <w:color w:val="auto"/>
          <w:szCs w:val="21"/>
          <w:highlight w:val="none"/>
        </w:rPr>
        <w:t>需要采取的专</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的施工技术和组织措施</w:t>
      </w:r>
      <w:r>
        <w:rPr>
          <w:rFonts w:hint="eastAsia" w:ascii="宋体" w:hAnsi="宋体" w:cs="宋体"/>
          <w:color w:val="auto"/>
          <w:szCs w:val="21"/>
          <w:highlight w:val="none"/>
          <w:lang w:eastAsia="zh-CN"/>
        </w:rPr>
        <w:t>；</w:t>
      </w:r>
    </w:p>
    <w:p>
      <w:pPr>
        <w:pStyle w:val="88"/>
        <w:snapToGrid w:val="0"/>
        <w:spacing w:line="360" w:lineRule="auto"/>
        <w:ind w:firstLine="420"/>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原有房屋的拆除方案和周边建筑物保护措施</w:t>
      </w:r>
      <w:r>
        <w:rPr>
          <w:rFonts w:hint="eastAsia" w:ascii="宋体" w:hAnsi="宋体"/>
          <w:color w:val="auto"/>
          <w:szCs w:val="21"/>
          <w:highlight w:val="none"/>
          <w:lang w:val="en-US" w:eastAsia="zh-CN"/>
        </w:rPr>
        <w:t>；</w:t>
      </w:r>
    </w:p>
    <w:p>
      <w:pPr>
        <w:pStyle w:val="88"/>
        <w:snapToGrid w:val="0"/>
        <w:spacing w:line="360" w:lineRule="auto"/>
        <w:ind w:firstLine="420"/>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eastAsia="宋体" w:cs="宋体"/>
          <w:color w:val="auto"/>
          <w:szCs w:val="21"/>
          <w:highlight w:val="none"/>
        </w:rPr>
        <w:t>防护</w:t>
      </w:r>
      <w:r>
        <w:rPr>
          <w:rFonts w:hint="eastAsia" w:ascii="宋体" w:hAnsi="宋体" w:eastAsia="宋体" w:cs="宋体"/>
          <w:color w:val="auto"/>
          <w:szCs w:val="21"/>
          <w:highlight w:val="none"/>
          <w:lang w:val="en-US" w:eastAsia="zh-CN"/>
        </w:rPr>
        <w:t>专项施工方案</w:t>
      </w:r>
      <w:r>
        <w:rPr>
          <w:rFonts w:hint="eastAsia" w:ascii="宋体" w:hAnsi="宋体" w:eastAsia="宋体" w:cs="宋体"/>
          <w:color w:val="auto"/>
          <w:szCs w:val="21"/>
          <w:highlight w:val="none"/>
        </w:rPr>
        <w:t>，针对本项目施工图纸的要求，</w:t>
      </w:r>
      <w:r>
        <w:rPr>
          <w:rFonts w:hint="eastAsia" w:ascii="宋体" w:hAnsi="宋体" w:eastAsia="宋体" w:cs="宋体"/>
          <w:color w:val="auto"/>
          <w:szCs w:val="21"/>
          <w:highlight w:val="none"/>
          <w:lang w:val="en-US" w:eastAsia="zh-CN"/>
        </w:rPr>
        <w:t>对</w:t>
      </w:r>
      <w:r>
        <w:rPr>
          <w:rFonts w:hint="eastAsia" w:ascii="宋体" w:hAnsi="宋体" w:eastAsia="宋体" w:cs="宋体"/>
          <w:color w:val="auto"/>
          <w:szCs w:val="21"/>
          <w:highlight w:val="none"/>
        </w:rPr>
        <w:t>施工的重点、难点</w:t>
      </w:r>
      <w:r>
        <w:rPr>
          <w:rFonts w:hint="eastAsia"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rPr>
        <w:t>分析，</w:t>
      </w:r>
      <w:r>
        <w:rPr>
          <w:rFonts w:hint="eastAsia" w:ascii="宋体" w:hAnsi="宋体" w:eastAsia="宋体" w:cs="宋体"/>
          <w:color w:val="auto"/>
          <w:szCs w:val="21"/>
          <w:highlight w:val="none"/>
          <w:lang w:val="en-US" w:eastAsia="zh-CN"/>
        </w:rPr>
        <w:t>提出</w:t>
      </w:r>
      <w:r>
        <w:rPr>
          <w:rFonts w:hint="eastAsia" w:ascii="宋体" w:hAnsi="宋体" w:eastAsia="宋体" w:cs="宋体"/>
          <w:color w:val="auto"/>
          <w:szCs w:val="21"/>
          <w:highlight w:val="none"/>
        </w:rPr>
        <w:t>相应的解决措施</w:t>
      </w:r>
      <w:r>
        <w:rPr>
          <w:rFonts w:hint="eastAsia" w:ascii="宋体" w:hAnsi="宋体" w:cs="宋体"/>
          <w:color w:val="auto"/>
          <w:szCs w:val="21"/>
          <w:highlight w:val="none"/>
          <w:lang w:val="en-US" w:eastAsia="zh-CN"/>
        </w:rPr>
        <w:t>；</w:t>
      </w:r>
    </w:p>
    <w:p>
      <w:pPr>
        <w:pStyle w:val="88"/>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电梯安装方案和措施</w:t>
      </w:r>
      <w:r>
        <w:rPr>
          <w:rFonts w:hint="eastAsia" w:ascii="宋体" w:hAnsi="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主要施工设备</w:t>
      </w:r>
      <w:r>
        <w:rPr>
          <w:rFonts w:hint="eastAsia" w:ascii="宋体" w:hAnsi="宋体" w:eastAsia="宋体" w:cs="宋体"/>
          <w:color w:val="auto"/>
          <w:szCs w:val="21"/>
          <w:highlight w:val="none"/>
          <w:lang w:val="en-US" w:eastAsia="zh-CN"/>
        </w:rPr>
        <w:t>情况；</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项目实施管理人员</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现场</w:t>
      </w:r>
      <w:r>
        <w:rPr>
          <w:rFonts w:hint="eastAsia" w:ascii="宋体" w:hAnsi="宋体" w:eastAsia="宋体" w:cs="Times New Roman"/>
          <w:color w:val="auto"/>
          <w:szCs w:val="21"/>
          <w:highlight w:val="none"/>
        </w:rPr>
        <w:t>施工人员模式对项目实施有保障且有技术支撑</w:t>
      </w:r>
      <w:r>
        <w:rPr>
          <w:rFonts w:hint="eastAsia" w:ascii="宋体" w:hAnsi="宋体" w:eastAsia="宋体" w:cs="Times New Roman"/>
          <w:color w:val="auto"/>
          <w:szCs w:val="21"/>
          <w:highlight w:val="none"/>
          <w:lang w:val="en-US" w:eastAsia="zh-CN"/>
        </w:rPr>
        <w:t>及</w:t>
      </w:r>
      <w:r>
        <w:rPr>
          <w:rFonts w:hint="eastAsia" w:ascii="宋体" w:hAnsi="宋体" w:cs="宋体"/>
          <w:color w:val="auto"/>
          <w:szCs w:val="21"/>
          <w:highlight w:val="none"/>
        </w:rPr>
        <w:t>安排</w:t>
      </w:r>
      <w:r>
        <w:rPr>
          <w:rFonts w:hint="eastAsia" w:ascii="宋体" w:hAnsi="宋体" w:cs="宋体"/>
          <w:color w:val="auto"/>
          <w:szCs w:val="21"/>
          <w:highlight w:val="none"/>
          <w:lang w:val="en-US" w:eastAsia="zh-CN"/>
        </w:rPr>
        <w:t>等；</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大体积混凝土浇筑及养护方案和模板搭设方案；</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8）现场施工围挡及保障正常医疗秩序安全通道搭设安装方案措施；</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施工质量目标明确，质量控制措施</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安全、文明施工及市政、市容、环保、消防等的保证措施</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检验与验收方案</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材料的进货渠道及质量保障方案</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针对目前疫情防控措施</w:t>
      </w:r>
      <w:r>
        <w:rPr>
          <w:rFonts w:hint="eastAsia" w:ascii="宋体" w:hAnsi="宋体" w:eastAsia="宋体" w:cs="宋体"/>
          <w:color w:val="auto"/>
          <w:szCs w:val="21"/>
          <w:highlight w:val="none"/>
          <w:lang w:eastAsia="zh-CN"/>
        </w:rPr>
        <w:t>；</w:t>
      </w:r>
    </w:p>
    <w:p>
      <w:pPr>
        <w:pStyle w:val="88"/>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rPr>
        <w:t>承诺及合理化建议</w:t>
      </w:r>
      <w:r>
        <w:rPr>
          <w:rFonts w:hint="eastAsia" w:ascii="宋体" w:hAnsi="宋体" w:cs="宋体"/>
          <w:color w:val="auto"/>
          <w:szCs w:val="21"/>
          <w:highlight w:val="none"/>
          <w:lang w:eastAsia="zh-CN"/>
        </w:rPr>
        <w:t>；</w:t>
      </w:r>
    </w:p>
    <w:p>
      <w:pPr>
        <w:pStyle w:val="88"/>
        <w:snapToGrid w:val="0"/>
        <w:spacing w:line="360" w:lineRule="auto"/>
        <w:ind w:firstLine="420"/>
        <w:rPr>
          <w:rFonts w:hint="eastAsia" w:ascii="Times New Roman" w:hAnsi="Times New Roman"/>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w:t>
      </w:r>
      <w:r>
        <w:rPr>
          <w:rFonts w:hint="eastAsia" w:ascii="Times New Roman" w:hAnsi="Times New Roman"/>
          <w:color w:val="auto"/>
          <w:highlight w:val="none"/>
          <w:lang w:eastAsia="zh-CN"/>
        </w:rPr>
        <w:t>所投产品</w:t>
      </w:r>
      <w:r>
        <w:rPr>
          <w:rFonts w:ascii="Times New Roman" w:hAnsi="Times New Roman"/>
          <w:color w:val="auto"/>
          <w:highlight w:val="none"/>
        </w:rPr>
        <w:t>列入节能产品证明资料、</w:t>
      </w:r>
      <w:r>
        <w:rPr>
          <w:rFonts w:hint="eastAsia" w:ascii="Times New Roman" w:hAnsi="Times New Roman"/>
          <w:color w:val="auto"/>
          <w:highlight w:val="none"/>
          <w:lang w:eastAsia="zh-CN"/>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lang w:eastAsia="zh-CN"/>
        </w:rPr>
        <w:t>，</w:t>
      </w:r>
      <w:r>
        <w:rPr>
          <w:rFonts w:hint="eastAsia" w:ascii="宋体" w:hAnsi="宋体" w:cs="宋体"/>
          <w:bCs/>
          <w:i w:val="0"/>
          <w:iCs w:val="0"/>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pPr>
        <w:pStyle w:val="88"/>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13</w:t>
      </w:r>
      <w:r>
        <w:rPr>
          <w:rFonts w:hint="eastAsia" w:ascii="宋体" w:hAnsi="宋体" w:cs="宋体"/>
          <w:color w:val="auto"/>
          <w:highlight w:val="none"/>
        </w:rPr>
        <w:t>）供应商认为有必要提供的其它文件。</w:t>
      </w:r>
    </w:p>
    <w:p>
      <w:pPr>
        <w:pStyle w:val="88"/>
        <w:snapToGrid w:val="0"/>
        <w:spacing w:line="360" w:lineRule="auto"/>
        <w:ind w:firstLine="420"/>
        <w:rPr>
          <w:rFonts w:hint="eastAsia" w:ascii="宋体" w:hAnsi="宋体" w:cs="宋体"/>
          <w:b/>
          <w:color w:val="auto"/>
          <w:szCs w:val="21"/>
          <w:highlight w:val="none"/>
        </w:rPr>
      </w:pPr>
      <w:r>
        <w:rPr>
          <w:rFonts w:hint="eastAsia" w:ascii="宋体" w:hAnsi="宋体" w:cs="宋体"/>
          <w:color w:val="auto"/>
          <w:szCs w:val="21"/>
          <w:highlight w:val="none"/>
        </w:rPr>
        <w:t>注：以上内容为复印件的应加盖磋商供应商公章，附件中有参</w:t>
      </w:r>
      <w:r>
        <w:rPr>
          <w:rFonts w:hint="eastAsia" w:ascii="宋体" w:hAnsi="宋体" w:cs="宋体"/>
          <w:color w:val="auto"/>
          <w:szCs w:val="22"/>
          <w:highlight w:val="none"/>
        </w:rPr>
        <w:t>考格式的，参照格式，没有参考格式的，磋商供应商根据磋商文件要求自行编制。</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1.磋商响应函</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磋商响应函</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致：</w:t>
      </w:r>
    </w:p>
    <w:p>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项目采购的磋商邀请（采购编号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），授权委托人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（全名、职务）经正式授权并代表</w:t>
      </w:r>
      <w:r>
        <w:rPr>
          <w:rFonts w:hint="eastAsia" w:ascii="宋体" w:hAnsi="宋体" w:cs="宋体"/>
          <w:color w:val="auto"/>
          <w:szCs w:val="21"/>
          <w:highlight w:val="none"/>
          <w:u w:val="single"/>
        </w:rPr>
        <w:t xml:space="preserve">    （磋商供应商名称）</w:t>
      </w:r>
      <w:r>
        <w:rPr>
          <w:rFonts w:hint="eastAsia" w:ascii="宋体" w:hAnsi="宋体" w:cs="宋体"/>
          <w:color w:val="auto"/>
          <w:szCs w:val="21"/>
          <w:highlight w:val="none"/>
        </w:rPr>
        <w:t>提交下述文件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（1）竞争性磋商初始报价单。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（2）按磋商供应商须知要求提供的全部文件。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据此函，授权委托人宣布同意如下：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（1）磋商供应商将按磋商文件的规定履行合同责任和义务。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（2）磋商供应商已详细审查全部磋商文件，包括修改文件（如需要修改）以及全部参考资料和有关附件。我们完全理解并同意放弃对这方面有不明及误解的权利。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（3）其磋商自磋商日起有效期为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个日历天。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（4）磋商供应商同意提供按照采购人的可能要求的与其磋商有关的一切数据和资料，完全理解采购人不一定要接受最低价的磋商供应商。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（5）与本磋商有关的一切正式来往通讯请寄：</w:t>
      </w:r>
    </w:p>
    <w:p>
      <w:pPr>
        <w:spacing w:line="360" w:lineRule="auto"/>
        <w:ind w:firstLine="420" w:firstLineChars="20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供应商地址：               邮编：</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                     传真：</w:t>
      </w:r>
    </w:p>
    <w:p>
      <w:pPr>
        <w:spacing w:line="360" w:lineRule="auto"/>
        <w:rPr>
          <w:rFonts w:hint="eastAsia" w:ascii="宋体" w:hAnsi="宋体" w:cs="宋体"/>
          <w:color w:val="auto"/>
          <w:szCs w:val="21"/>
          <w:highlight w:val="none"/>
        </w:rPr>
      </w:pP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供应商（盖章）：   </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napToGrid w:val="0"/>
        <w:spacing w:line="300" w:lineRule="auto"/>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highlight w:val="none"/>
        </w:rPr>
        <w:t>2</w:t>
      </w:r>
      <w:r>
        <w:rPr>
          <w:rFonts w:hint="eastAsia" w:ascii="宋体" w:hAnsi="宋体" w:cs="宋体"/>
          <w:b/>
          <w:color w:val="auto"/>
          <w:szCs w:val="21"/>
          <w:highlight w:val="none"/>
        </w:rPr>
        <w:t>、法定代表人资格证明书</w:t>
      </w:r>
    </w:p>
    <w:p>
      <w:pPr>
        <w:snapToGrid w:val="0"/>
        <w:spacing w:line="30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w:t>
      </w:r>
    </w:p>
    <w:p>
      <w:pPr>
        <w:adjustRightInd w:val="0"/>
        <w:snapToGrid w:val="0"/>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供应商名称：</w:t>
      </w: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法定地址：</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姓名：</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性别：</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年龄：</w:t>
      </w: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职务：</w:t>
      </w: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该同志系公司法定代表人。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pPr>
        <w:adjustRightInd w:val="0"/>
        <w:snapToGrid w:val="0"/>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供应商：（盖章）</w:t>
      </w:r>
    </w:p>
    <w:p>
      <w:pPr>
        <w:adjustRightInd w:val="0"/>
        <w:snapToGrid w:val="0"/>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adjustRightInd w:val="0"/>
        <w:snapToGrid w:val="0"/>
        <w:spacing w:line="360" w:lineRule="auto"/>
        <w:ind w:firstLine="420" w:firstLineChars="20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法定代表人身份证复印件</w:t>
            </w:r>
          </w:p>
          <w:p>
            <w:pPr>
              <w:spacing w:line="360" w:lineRule="auto"/>
              <w:rPr>
                <w:rFonts w:hint="eastAsia" w:ascii="宋体" w:hAnsi="宋体" w:cs="宋体"/>
                <w:color w:val="auto"/>
                <w:szCs w:val="21"/>
                <w:highlight w:val="none"/>
              </w:rPr>
            </w:pPr>
          </w:p>
        </w:tc>
      </w:tr>
    </w:tbl>
    <w:p>
      <w:pPr>
        <w:adjustRightInd w:val="0"/>
        <w:snapToGrid w:val="0"/>
        <w:spacing w:line="360" w:lineRule="auto"/>
        <w:ind w:firstLine="420" w:firstLineChars="200"/>
        <w:rPr>
          <w:rFonts w:hint="eastAsia" w:ascii="宋体" w:hAnsi="宋体" w:cs="宋体"/>
          <w:color w:val="auto"/>
          <w:szCs w:val="21"/>
          <w:highlight w:val="none"/>
        </w:rPr>
      </w:pPr>
    </w:p>
    <w:p>
      <w:pPr>
        <w:rPr>
          <w:rFonts w:hint="eastAsia"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rPr>
        <w:t>3</w:t>
      </w:r>
      <w:r>
        <w:rPr>
          <w:rFonts w:hint="eastAsia" w:ascii="宋体" w:hAnsi="宋体" w:cs="宋体"/>
          <w:b/>
          <w:color w:val="auto"/>
          <w:szCs w:val="21"/>
          <w:highlight w:val="none"/>
        </w:rPr>
        <w:t>、法定代表人授权委托书</w:t>
      </w:r>
    </w:p>
    <w:p>
      <w:pPr>
        <w:snapToGrid w:val="0"/>
        <w:spacing w:line="30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法定代表人授权委托书</w:t>
      </w:r>
    </w:p>
    <w:p>
      <w:pPr>
        <w:snapToGrid w:val="0"/>
        <w:spacing w:line="300" w:lineRule="auto"/>
        <w:jc w:val="center"/>
        <w:rPr>
          <w:rFonts w:hint="eastAsia" w:ascii="宋体" w:hAnsi="宋体" w:cs="宋体"/>
          <w:b/>
          <w:bCs/>
          <w:color w:val="auto"/>
          <w:sz w:val="32"/>
          <w:szCs w:val="32"/>
          <w:highlight w:val="none"/>
        </w:rPr>
      </w:pPr>
      <w:r>
        <w:rPr>
          <w:rFonts w:hint="eastAsia" w:ascii="宋体" w:hAnsi="宋体" w:cs="宋体"/>
          <w:color w:val="auto"/>
          <w:highlight w:val="none"/>
        </w:rPr>
        <w:t>（法定代表人签署不需提供此书）</w:t>
      </w:r>
    </w:p>
    <w:p>
      <w:pPr>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_（采购代理机构）：</w:t>
      </w:r>
    </w:p>
    <w:p>
      <w:pPr>
        <w:snapToGrid w:val="0"/>
        <w:spacing w:line="360" w:lineRule="auto"/>
        <w:rPr>
          <w:rFonts w:hint="eastAsia" w:ascii="宋体" w:hAnsi="宋体" w:cs="宋体"/>
          <w:b/>
          <w:bCs/>
          <w:color w:val="auto"/>
          <w:szCs w:val="21"/>
          <w:highlight w:val="none"/>
        </w:rPr>
      </w:pP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_（姓名）系</w:t>
      </w:r>
      <w:r>
        <w:rPr>
          <w:rFonts w:hint="eastAsia" w:ascii="宋体" w:hAnsi="宋体" w:cs="宋体"/>
          <w:color w:val="auto"/>
          <w:szCs w:val="21"/>
          <w:highlight w:val="none"/>
          <w:u w:val="single"/>
        </w:rPr>
        <w:t xml:space="preserve">             _</w:t>
      </w:r>
      <w:r>
        <w:rPr>
          <w:rFonts w:hint="eastAsia" w:ascii="宋体" w:hAnsi="宋体" w:cs="宋体"/>
          <w:color w:val="auto"/>
          <w:szCs w:val="21"/>
          <w:highlight w:val="none"/>
        </w:rPr>
        <w:t>_（供应商名称）的法定代表人，现授权委托本单位在职职工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（采购单位，项目名称）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法定代表人签名：</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u w:val="singl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签署时间：   年    月    日</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w:t>
      </w:r>
    </w:p>
    <w:tbl>
      <w:tblPr>
        <w:tblStyle w:val="3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法定代表人身份证复印件</w:t>
            </w:r>
          </w:p>
          <w:p>
            <w:pPr>
              <w:spacing w:line="360" w:lineRule="auto"/>
              <w:rPr>
                <w:rFonts w:hint="eastAsia" w:ascii="宋体" w:hAnsi="宋体" w:cs="宋体"/>
                <w:color w:val="auto"/>
                <w:szCs w:val="21"/>
                <w:highlight w:val="none"/>
              </w:rPr>
            </w:pPr>
          </w:p>
        </w:tc>
        <w:tc>
          <w:tcPr>
            <w:tcW w:w="2340" w:type="dxa"/>
            <w:tcBorders>
              <w:top w:val="nil"/>
              <w:bottom w:val="nil"/>
            </w:tcBorders>
            <w:noWrap w:val="0"/>
            <w:vAlign w:val="top"/>
          </w:tcPr>
          <w:p>
            <w:pPr>
              <w:widowControl/>
              <w:jc w:val="left"/>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tc>
        <w:tc>
          <w:tcPr>
            <w:tcW w:w="2700"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被授权人身份证复印件</w:t>
            </w:r>
          </w:p>
        </w:tc>
      </w:tr>
    </w:tbl>
    <w:p>
      <w:pPr>
        <w:widowControl/>
        <w:autoSpaceDE w:val="0"/>
        <w:autoSpaceDN w:val="0"/>
        <w:spacing w:line="360" w:lineRule="auto"/>
        <w:jc w:val="center"/>
        <w:textAlignment w:val="bottom"/>
        <w:rPr>
          <w:rFonts w:hint="eastAsia" w:ascii="宋体" w:hAnsi="宋体" w:cs="宋体"/>
          <w:color w:val="auto"/>
          <w:szCs w:val="21"/>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highlight w:val="none"/>
        </w:rPr>
        <w:t>附：社保机构出具的磋商截止日前6个月内授权代表的供应商社保缴纳证明，任职不足6个月的可提供劳动合同证明文件</w:t>
      </w:r>
    </w:p>
    <w:p>
      <w:pPr>
        <w:rPr>
          <w:rFonts w:hint="eastAsia" w:ascii="宋体" w:hAnsi="宋体" w:cs="宋体"/>
          <w:color w:val="auto"/>
          <w:highlight w:val="none"/>
        </w:rPr>
      </w:pPr>
      <w:r>
        <w:rPr>
          <w:rFonts w:hint="eastAsia" w:ascii="宋体" w:hAnsi="宋体" w:cs="宋体"/>
          <w:color w:val="auto"/>
          <w:szCs w:val="21"/>
          <w:highlight w:val="none"/>
        </w:rPr>
        <w:br w:type="page"/>
      </w:r>
      <w:r>
        <w:rPr>
          <w:rFonts w:hint="eastAsia" w:ascii="宋体" w:hAnsi="宋体" w:cs="宋体"/>
          <w:color w:val="auto"/>
          <w:highlight w:val="none"/>
        </w:rPr>
        <w:t xml:space="preserve"> 4、</w:t>
      </w:r>
      <w:r>
        <w:rPr>
          <w:rFonts w:hint="eastAsia" w:ascii="宋体" w:hAnsi="宋体" w:cs="宋体"/>
          <w:b/>
          <w:bCs/>
          <w:color w:val="auto"/>
          <w:szCs w:val="21"/>
          <w:highlight w:val="none"/>
        </w:rPr>
        <w:t>中标</w:t>
      </w:r>
      <w:r>
        <w:rPr>
          <w:rFonts w:hint="eastAsia" w:ascii="宋体" w:hAnsi="宋体" w:cs="宋体"/>
          <w:b/>
          <w:color w:val="auto"/>
          <w:szCs w:val="21"/>
          <w:highlight w:val="none"/>
        </w:rPr>
        <w:t>服务费支付承诺书</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jc w:val="center"/>
        <w:rPr>
          <w:rFonts w:hint="eastAsia" w:ascii="宋体" w:hAnsi="宋体" w:cs="宋体"/>
          <w:b/>
          <w:color w:val="auto"/>
          <w:szCs w:val="21"/>
          <w:highlight w:val="none"/>
        </w:rPr>
      </w:pPr>
      <w:r>
        <w:rPr>
          <w:rFonts w:hint="eastAsia" w:ascii="宋体" w:hAnsi="宋体" w:cs="宋体"/>
          <w:b/>
          <w:color w:val="auto"/>
          <w:szCs w:val="21"/>
          <w:highlight w:val="none"/>
        </w:rPr>
        <w:t>中标服务费支付承诺书</w:t>
      </w:r>
    </w:p>
    <w:p>
      <w:pPr>
        <w:spacing w:line="600" w:lineRule="auto"/>
        <w:jc w:val="center"/>
        <w:rPr>
          <w:rFonts w:hint="eastAsia" w:ascii="宋体" w:hAnsi="宋体" w:cs="宋体"/>
          <w:b/>
          <w:color w:val="auto"/>
          <w:szCs w:val="21"/>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浙江国际招投标有限公司：</w:t>
      </w:r>
    </w:p>
    <w:p>
      <w:pPr>
        <w:spacing w:line="360" w:lineRule="auto"/>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本单位在此承诺：如在本项目中标，中标之日起5个工作日之内，向贵公司按磋商文件约定支付中标服务费。</w:t>
      </w:r>
    </w:p>
    <w:p>
      <w:pPr>
        <w:spacing w:line="360" w:lineRule="auto"/>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snapToGrid w:val="0"/>
        <w:spacing w:line="300" w:lineRule="auto"/>
        <w:jc w:val="left"/>
        <w:rPr>
          <w:rFonts w:hint="eastAsia" w:ascii="宋体" w:hAnsi="宋体" w:cs="宋体"/>
          <w:color w:val="auto"/>
          <w:spacing w:val="20"/>
          <w:szCs w:val="21"/>
          <w:highlight w:val="none"/>
          <w:u w:val="single"/>
        </w:rPr>
      </w:pPr>
      <w:r>
        <w:rPr>
          <w:rFonts w:hint="eastAsia" w:ascii="宋体" w:hAnsi="宋体" w:cs="宋体"/>
          <w:color w:val="auto"/>
          <w:szCs w:val="21"/>
          <w:highlight w:val="none"/>
        </w:rPr>
        <w:t>供应商全称（盖单位公章）：</w:t>
      </w:r>
    </w:p>
    <w:p>
      <w:pPr>
        <w:snapToGrid w:val="0"/>
        <w:spacing w:line="300" w:lineRule="auto"/>
        <w:jc w:val="left"/>
        <w:rPr>
          <w:rFonts w:hint="eastAsia" w:ascii="宋体" w:hAnsi="宋体" w:cs="宋体"/>
          <w:color w:val="auto"/>
          <w:szCs w:val="21"/>
          <w:highlight w:val="none"/>
        </w:rPr>
      </w:pPr>
    </w:p>
    <w:p>
      <w:pPr>
        <w:snapToGrid w:val="0"/>
        <w:spacing w:line="300" w:lineRule="auto"/>
        <w:jc w:val="left"/>
        <w:rPr>
          <w:rFonts w:hint="eastAsia" w:ascii="宋体" w:hAnsi="宋体" w:cs="宋体"/>
          <w:color w:val="auto"/>
          <w:spacing w:val="20"/>
          <w:szCs w:val="21"/>
          <w:highlight w:val="none"/>
          <w:u w:val="single"/>
        </w:rPr>
      </w:pPr>
    </w:p>
    <w:p>
      <w:pPr>
        <w:ind w:right="375"/>
        <w:jc w:val="left"/>
        <w:rPr>
          <w:rFonts w:hint="eastAsia" w:ascii="宋体" w:hAnsi="宋体" w:cs="宋体"/>
          <w:color w:val="auto"/>
          <w:spacing w:val="20"/>
          <w:szCs w:val="21"/>
          <w:highlight w:val="none"/>
        </w:rPr>
      </w:pPr>
    </w:p>
    <w:p>
      <w:pPr>
        <w:ind w:right="375"/>
        <w:jc w:val="left"/>
        <w:rPr>
          <w:rFonts w:hint="eastAsia" w:ascii="宋体" w:hAnsi="宋体" w:cs="宋体"/>
          <w:color w:val="auto"/>
          <w:szCs w:val="21"/>
          <w:highlight w:val="none"/>
        </w:rPr>
      </w:pPr>
      <w:r>
        <w:rPr>
          <w:rFonts w:hint="eastAsia" w:ascii="宋体" w:hAnsi="宋体" w:cs="宋体"/>
          <w:color w:val="auto"/>
          <w:spacing w:val="20"/>
          <w:szCs w:val="21"/>
          <w:highlight w:val="none"/>
        </w:rPr>
        <w:t xml:space="preserve">日期：  </w:t>
      </w:r>
      <w:r>
        <w:rPr>
          <w:rFonts w:hint="eastAsia" w:ascii="宋体" w:hAnsi="宋体" w:cs="宋体"/>
          <w:color w:val="auto"/>
          <w:szCs w:val="21"/>
          <w:highlight w:val="none"/>
        </w:rPr>
        <w:t>年  月  日</w:t>
      </w:r>
    </w:p>
    <w:p>
      <w:pPr>
        <w:ind w:right="480"/>
        <w:rPr>
          <w:rFonts w:hint="eastAsia" w:ascii="宋体" w:hAnsi="宋体" w:cs="宋体"/>
          <w:color w:val="auto"/>
          <w:szCs w:val="21"/>
          <w:highlight w:val="none"/>
        </w:rPr>
      </w:pPr>
    </w:p>
    <w:p>
      <w:pPr>
        <w:ind w:right="480"/>
        <w:rPr>
          <w:rFonts w:hint="eastAsia" w:ascii="宋体" w:hAnsi="宋体" w:cs="宋体"/>
          <w:color w:val="auto"/>
          <w:szCs w:val="21"/>
          <w:highlight w:val="none"/>
        </w:rPr>
      </w:pPr>
    </w:p>
    <w:p>
      <w:pPr>
        <w:ind w:right="480"/>
        <w:rPr>
          <w:rFonts w:hint="eastAsia" w:ascii="宋体" w:hAnsi="宋体" w:cs="宋体"/>
          <w:color w:val="auto"/>
          <w:szCs w:val="21"/>
          <w:highlight w:val="none"/>
        </w:rPr>
      </w:pPr>
    </w:p>
    <w:p>
      <w:pPr>
        <w:ind w:right="480"/>
        <w:rPr>
          <w:rFonts w:hint="eastAsia" w:ascii="宋体" w:hAnsi="宋体" w:cs="宋体"/>
          <w:color w:val="auto"/>
          <w:szCs w:val="21"/>
          <w:highlight w:val="none"/>
        </w:rPr>
      </w:pPr>
    </w:p>
    <w:p>
      <w:pPr>
        <w:ind w:right="480"/>
        <w:rPr>
          <w:rFonts w:hint="eastAsia" w:ascii="宋体" w:hAnsi="宋体" w:cs="宋体"/>
          <w:color w:val="auto"/>
          <w:szCs w:val="21"/>
          <w:highlight w:val="none"/>
        </w:rPr>
      </w:pPr>
    </w:p>
    <w:p>
      <w:pPr>
        <w:ind w:right="480"/>
        <w:rPr>
          <w:rFonts w:hint="eastAsia" w:ascii="宋体" w:hAnsi="宋体" w:cs="宋体"/>
          <w:color w:val="auto"/>
          <w:szCs w:val="21"/>
          <w:highlight w:val="none"/>
        </w:rPr>
      </w:pPr>
    </w:p>
    <w:p>
      <w:pPr>
        <w:widowControl/>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浙江国际招投标有限公司中标服务费收取账号</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收款单位（户名）：浙江国际招投标有限公司</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开户银行：中国工商银行杭州武林支行</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银行账号：1202021209906782015</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5、供应商简介、供应商基本情况；</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pStyle w:val="88"/>
        <w:snapToGrid w:val="0"/>
        <w:spacing w:line="360" w:lineRule="auto"/>
        <w:ind w:firstLine="420"/>
        <w:rPr>
          <w:rFonts w:hint="eastAsia" w:ascii="宋体" w:hAnsi="宋体" w:cs="宋体"/>
          <w:b/>
          <w:bCs/>
          <w:color w:val="auto"/>
          <w:highlight w:val="none"/>
        </w:rPr>
      </w:pPr>
      <w:r>
        <w:rPr>
          <w:rFonts w:hint="eastAsia" w:ascii="宋体" w:hAnsi="宋体" w:cs="宋体"/>
          <w:b/>
          <w:bCs/>
          <w:color w:val="auto"/>
          <w:highlight w:val="none"/>
        </w:rPr>
        <w:t>（6）</w:t>
      </w: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证书：供应商</w:t>
      </w:r>
      <w:r>
        <w:rPr>
          <w:rFonts w:hint="eastAsia" w:ascii="宋体" w:hAnsi="宋体" w:cs="宋体"/>
          <w:b/>
          <w:bCs/>
          <w:color w:val="auto"/>
          <w:szCs w:val="21"/>
          <w:highlight w:val="none"/>
        </w:rPr>
        <w:t>具有ISO质量体系认证、环境管理体系认证、职业健康体系认证，</w:t>
      </w:r>
      <w:r>
        <w:rPr>
          <w:rFonts w:hint="eastAsia" w:ascii="宋体" w:hAnsi="宋体" w:cs="宋体"/>
          <w:b/>
          <w:bCs/>
          <w:color w:val="auto"/>
          <w:highlight w:val="none"/>
        </w:rPr>
        <w:t>提供有效证书复印件；</w:t>
      </w:r>
    </w:p>
    <w:p>
      <w:pPr>
        <w:pStyle w:val="88"/>
        <w:snapToGrid w:val="0"/>
        <w:spacing w:line="360" w:lineRule="auto"/>
        <w:ind w:firstLine="420"/>
        <w:rPr>
          <w:rFonts w:hint="eastAsia" w:ascii="宋体" w:hAnsi="宋体" w:cs="宋体"/>
          <w:b/>
          <w:bCs/>
          <w:color w:val="auto"/>
          <w:highlight w:val="none"/>
        </w:rPr>
      </w:pPr>
      <w:r>
        <w:rPr>
          <w:rFonts w:hint="eastAsia" w:ascii="宋体" w:hAnsi="宋体" w:cs="宋体"/>
          <w:b/>
          <w:bCs/>
          <w:color w:val="auto"/>
          <w:highlight w:val="none"/>
        </w:rPr>
        <w:t>（7）业绩：</w:t>
      </w:r>
      <w:r>
        <w:rPr>
          <w:rFonts w:hint="eastAsia" w:ascii="宋体" w:hAnsi="宋体" w:cs="宋体"/>
          <w:b/>
          <w:bCs/>
          <w:color w:val="auto"/>
          <w:szCs w:val="21"/>
          <w:highlight w:val="none"/>
        </w:rPr>
        <w:t>2019年1月1日以来（以合同签订时间为准）</w:t>
      </w:r>
      <w:r>
        <w:rPr>
          <w:rFonts w:hint="eastAsia" w:ascii="宋体" w:hAnsi="宋体" w:cs="宋体"/>
          <w:b/>
          <w:bCs/>
          <w:color w:val="auto"/>
          <w:szCs w:val="21"/>
          <w:highlight w:val="none"/>
          <w:lang w:eastAsia="zh-CN"/>
        </w:rPr>
        <w:t>的</w:t>
      </w:r>
      <w:r>
        <w:rPr>
          <w:rFonts w:hint="eastAsia"/>
          <w:b/>
          <w:bCs/>
          <w:color w:val="auto"/>
          <w:highlight w:val="none"/>
          <w:lang w:eastAsia="zh-CN"/>
        </w:rPr>
        <w:t>防辐射工程施工业绩，</w:t>
      </w:r>
      <w:r>
        <w:rPr>
          <w:rFonts w:hint="eastAsia" w:ascii="宋体" w:hAnsi="宋体" w:cs="宋体"/>
          <w:b/>
          <w:bCs/>
          <w:color w:val="auto"/>
          <w:highlight w:val="none"/>
          <w:lang w:eastAsia="zh-CN"/>
        </w:rPr>
        <w:t>提供竣（交）工验收报告或合同复印件加盖供应商单位公章</w:t>
      </w:r>
      <w:r>
        <w:rPr>
          <w:rFonts w:hint="eastAsia" w:ascii="宋体" w:hAnsi="宋体" w:cs="宋体"/>
          <w:b/>
          <w:bCs/>
          <w:color w:val="auto"/>
          <w:highlight w:val="none"/>
        </w:rPr>
        <w:t>；</w:t>
      </w:r>
    </w:p>
    <w:p>
      <w:pPr>
        <w:pStyle w:val="88"/>
        <w:snapToGrid w:val="0"/>
        <w:spacing w:line="360" w:lineRule="auto"/>
        <w:ind w:firstLine="42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8</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主材品牌表；</w:t>
      </w:r>
    </w:p>
    <w:p>
      <w:pPr>
        <w:pStyle w:val="88"/>
        <w:snapToGrid w:val="0"/>
        <w:spacing w:line="360" w:lineRule="auto"/>
        <w:ind w:firstLine="42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9</w:t>
      </w:r>
      <w:r>
        <w:rPr>
          <w:rFonts w:hint="eastAsia" w:ascii="宋体" w:hAnsi="宋体" w:cs="宋体"/>
          <w:b/>
          <w:bCs/>
          <w:color w:val="auto"/>
          <w:highlight w:val="none"/>
        </w:rPr>
        <w:t>）</w:t>
      </w:r>
      <w:r>
        <w:rPr>
          <w:rFonts w:hint="eastAsia" w:ascii="宋体" w:hAnsi="宋体" w:cs="宋体"/>
          <w:b/>
          <w:bCs/>
          <w:color w:val="auto"/>
          <w:szCs w:val="21"/>
          <w:highlight w:val="none"/>
          <w:lang w:eastAsia="zh-CN"/>
        </w:rPr>
        <w:t>项目经理执业和职称证书复印件及业绩证明资料</w:t>
      </w:r>
      <w:r>
        <w:rPr>
          <w:rFonts w:hint="eastAsia" w:ascii="宋体" w:hAnsi="宋体" w:cs="宋体"/>
          <w:b/>
          <w:bCs/>
          <w:color w:val="auto"/>
          <w:highlight w:val="none"/>
        </w:rPr>
        <w:t>；</w:t>
      </w:r>
    </w:p>
    <w:p>
      <w:pPr>
        <w:pStyle w:val="88"/>
        <w:snapToGrid w:val="0"/>
        <w:spacing w:line="360" w:lineRule="auto"/>
        <w:ind w:firstLine="420"/>
        <w:rPr>
          <w:rFonts w:hint="eastAsia" w:ascii="宋体" w:hAnsi="宋体" w:eastAsia="宋体" w:cs="宋体"/>
          <w:b/>
          <w:bCs/>
          <w:color w:val="auto"/>
          <w:szCs w:val="21"/>
          <w:highlight w:val="none"/>
          <w:lang w:eastAsia="zh-CN"/>
        </w:rPr>
      </w:pPr>
      <w:r>
        <w:rPr>
          <w:rFonts w:hint="eastAsia" w:ascii="宋体" w:hAnsi="宋体" w:cs="宋体"/>
          <w:b/>
          <w:bCs/>
          <w:color w:val="auto"/>
          <w:highlight w:val="none"/>
        </w:rPr>
        <w:t>（10）</w:t>
      </w:r>
      <w:r>
        <w:rPr>
          <w:rFonts w:hint="eastAsia" w:ascii="宋体" w:hAnsi="宋体" w:cs="宋体"/>
          <w:b/>
          <w:bCs/>
          <w:color w:val="auto"/>
          <w:szCs w:val="21"/>
          <w:highlight w:val="none"/>
        </w:rPr>
        <w:t>实施方案</w:t>
      </w:r>
      <w:r>
        <w:rPr>
          <w:rFonts w:hint="eastAsia" w:ascii="宋体" w:hAnsi="宋体" w:cs="宋体"/>
          <w:b/>
          <w:bCs/>
          <w:color w:val="auto"/>
          <w:szCs w:val="21"/>
          <w:highlight w:val="none"/>
          <w:lang w:eastAsia="zh-CN"/>
        </w:rPr>
        <w:t>；</w:t>
      </w:r>
    </w:p>
    <w:p>
      <w:pPr>
        <w:pStyle w:val="88"/>
        <w:snapToGrid w:val="0"/>
        <w:spacing w:line="360" w:lineRule="auto"/>
        <w:ind w:firstLine="42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针对本项目医疗场所特殊施工环境</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以及配合设备厂家等参建单位</w:t>
      </w:r>
      <w:r>
        <w:rPr>
          <w:rFonts w:hint="eastAsia" w:ascii="宋体" w:hAnsi="宋体" w:cs="宋体"/>
          <w:b/>
          <w:bCs/>
          <w:color w:val="auto"/>
          <w:szCs w:val="21"/>
          <w:highlight w:val="none"/>
        </w:rPr>
        <w:t>需要采取的专</w:t>
      </w:r>
      <w:r>
        <w:rPr>
          <w:rFonts w:hint="eastAsia" w:ascii="宋体" w:hAnsi="宋体" w:cs="宋体"/>
          <w:b/>
          <w:bCs/>
          <w:color w:val="auto"/>
          <w:szCs w:val="21"/>
          <w:highlight w:val="none"/>
          <w:lang w:val="en-US" w:eastAsia="zh-CN"/>
        </w:rPr>
        <w:t>项</w:t>
      </w:r>
      <w:r>
        <w:rPr>
          <w:rFonts w:hint="eastAsia" w:ascii="宋体" w:hAnsi="宋体" w:cs="宋体"/>
          <w:b/>
          <w:bCs/>
          <w:color w:val="auto"/>
          <w:szCs w:val="21"/>
          <w:highlight w:val="none"/>
        </w:rPr>
        <w:t>的施工技术和组织措施</w:t>
      </w:r>
      <w:r>
        <w:rPr>
          <w:rFonts w:hint="eastAsia" w:ascii="宋体" w:hAnsi="宋体" w:cs="宋体"/>
          <w:b/>
          <w:bCs/>
          <w:color w:val="auto"/>
          <w:szCs w:val="21"/>
          <w:highlight w:val="none"/>
          <w:lang w:eastAsia="zh-CN"/>
        </w:rPr>
        <w:t>；</w:t>
      </w:r>
    </w:p>
    <w:p>
      <w:pPr>
        <w:pStyle w:val="88"/>
        <w:snapToGrid w:val="0"/>
        <w:spacing w:line="360" w:lineRule="auto"/>
        <w:ind w:firstLine="420"/>
        <w:rPr>
          <w:rFonts w:hint="eastAsia" w:ascii="宋体" w:hAnsi="宋体"/>
          <w:b/>
          <w:bCs/>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原有房屋的拆除方案和周边建筑物保护措施</w:t>
      </w:r>
      <w:r>
        <w:rPr>
          <w:rFonts w:hint="eastAsia" w:ascii="宋体" w:hAnsi="宋体"/>
          <w:b/>
          <w:bCs/>
          <w:color w:val="auto"/>
          <w:szCs w:val="21"/>
          <w:highlight w:val="none"/>
          <w:lang w:val="en-US" w:eastAsia="zh-CN"/>
        </w:rPr>
        <w:t>；</w:t>
      </w:r>
    </w:p>
    <w:p>
      <w:pPr>
        <w:pStyle w:val="88"/>
        <w:snapToGrid w:val="0"/>
        <w:spacing w:line="360" w:lineRule="auto"/>
        <w:ind w:firstLine="420"/>
        <w:rPr>
          <w:rFonts w:hint="eastAsia" w:ascii="宋体" w:hAnsi="宋体" w:cs="宋体"/>
          <w:b/>
          <w:bCs/>
          <w:color w:val="auto"/>
          <w:szCs w:val="21"/>
          <w:highlight w:val="none"/>
          <w:lang w:val="en-US" w:eastAsia="zh-CN"/>
        </w:rPr>
      </w:pPr>
      <w:r>
        <w:rPr>
          <w:rFonts w:hint="eastAsia" w:ascii="宋体" w:hAnsi="宋体"/>
          <w:b/>
          <w:bCs/>
          <w:color w:val="auto"/>
          <w:szCs w:val="21"/>
          <w:highlight w:val="none"/>
          <w:lang w:val="en-US" w:eastAsia="zh-CN"/>
        </w:rPr>
        <w:t>3）</w:t>
      </w:r>
      <w:r>
        <w:rPr>
          <w:rFonts w:hint="eastAsia" w:ascii="宋体" w:hAnsi="宋体" w:eastAsia="宋体" w:cs="宋体"/>
          <w:b/>
          <w:bCs/>
          <w:color w:val="auto"/>
          <w:szCs w:val="21"/>
          <w:highlight w:val="none"/>
        </w:rPr>
        <w:t>防护</w:t>
      </w:r>
      <w:r>
        <w:rPr>
          <w:rFonts w:hint="eastAsia" w:ascii="宋体" w:hAnsi="宋体" w:eastAsia="宋体" w:cs="宋体"/>
          <w:b/>
          <w:bCs/>
          <w:color w:val="auto"/>
          <w:szCs w:val="21"/>
          <w:highlight w:val="none"/>
          <w:lang w:val="en-US" w:eastAsia="zh-CN"/>
        </w:rPr>
        <w:t>专项施工方案</w:t>
      </w:r>
      <w:r>
        <w:rPr>
          <w:rFonts w:hint="eastAsia" w:ascii="宋体" w:hAnsi="宋体" w:eastAsia="宋体" w:cs="宋体"/>
          <w:b/>
          <w:bCs/>
          <w:color w:val="auto"/>
          <w:szCs w:val="21"/>
          <w:highlight w:val="none"/>
        </w:rPr>
        <w:t>，针对本项目施工图纸的要求，</w:t>
      </w:r>
      <w:r>
        <w:rPr>
          <w:rFonts w:hint="eastAsia" w:ascii="宋体" w:hAnsi="宋体" w:eastAsia="宋体" w:cs="宋体"/>
          <w:b/>
          <w:bCs/>
          <w:color w:val="auto"/>
          <w:szCs w:val="21"/>
          <w:highlight w:val="none"/>
          <w:lang w:val="en-US" w:eastAsia="zh-CN"/>
        </w:rPr>
        <w:t>对</w:t>
      </w:r>
      <w:r>
        <w:rPr>
          <w:rFonts w:hint="eastAsia" w:ascii="宋体" w:hAnsi="宋体" w:eastAsia="宋体" w:cs="宋体"/>
          <w:b/>
          <w:bCs/>
          <w:color w:val="auto"/>
          <w:szCs w:val="21"/>
          <w:highlight w:val="none"/>
        </w:rPr>
        <w:t>施工的重点、难点</w:t>
      </w:r>
      <w:r>
        <w:rPr>
          <w:rFonts w:hint="eastAsia" w:ascii="宋体" w:hAnsi="宋体" w:eastAsia="宋体" w:cs="宋体"/>
          <w:b/>
          <w:bCs/>
          <w:color w:val="auto"/>
          <w:szCs w:val="21"/>
          <w:highlight w:val="none"/>
          <w:lang w:val="en-US" w:eastAsia="zh-CN"/>
        </w:rPr>
        <w:t>进行</w:t>
      </w:r>
      <w:r>
        <w:rPr>
          <w:rFonts w:hint="eastAsia" w:ascii="宋体" w:hAnsi="宋体" w:eastAsia="宋体" w:cs="宋体"/>
          <w:b/>
          <w:bCs/>
          <w:color w:val="auto"/>
          <w:szCs w:val="21"/>
          <w:highlight w:val="none"/>
        </w:rPr>
        <w:t>分析，</w:t>
      </w:r>
      <w:r>
        <w:rPr>
          <w:rFonts w:hint="eastAsia" w:ascii="宋体" w:hAnsi="宋体" w:eastAsia="宋体" w:cs="宋体"/>
          <w:b/>
          <w:bCs/>
          <w:color w:val="auto"/>
          <w:szCs w:val="21"/>
          <w:highlight w:val="none"/>
          <w:lang w:val="en-US" w:eastAsia="zh-CN"/>
        </w:rPr>
        <w:t>提出</w:t>
      </w:r>
      <w:r>
        <w:rPr>
          <w:rFonts w:hint="eastAsia" w:ascii="宋体" w:hAnsi="宋体" w:eastAsia="宋体" w:cs="宋体"/>
          <w:b/>
          <w:bCs/>
          <w:color w:val="auto"/>
          <w:szCs w:val="21"/>
          <w:highlight w:val="none"/>
        </w:rPr>
        <w:t>相应的解决措施</w:t>
      </w:r>
      <w:r>
        <w:rPr>
          <w:rFonts w:hint="eastAsia" w:ascii="宋体" w:hAnsi="宋体" w:cs="宋体"/>
          <w:b/>
          <w:bCs/>
          <w:color w:val="auto"/>
          <w:szCs w:val="21"/>
          <w:highlight w:val="none"/>
          <w:lang w:val="en-US" w:eastAsia="zh-CN"/>
        </w:rPr>
        <w:t>；</w:t>
      </w:r>
    </w:p>
    <w:p>
      <w:pPr>
        <w:pStyle w:val="88"/>
        <w:snapToGrid w:val="0"/>
        <w:spacing w:line="360" w:lineRule="auto"/>
        <w:ind w:firstLine="42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电梯安装方案和措施</w:t>
      </w:r>
      <w:r>
        <w:rPr>
          <w:rFonts w:hint="eastAsia" w:ascii="宋体" w:hAnsi="宋体" w:cs="宋体"/>
          <w:b/>
          <w:bCs/>
          <w:color w:val="auto"/>
          <w:szCs w:val="21"/>
          <w:highlight w:val="none"/>
          <w:lang w:eastAsia="zh-CN"/>
        </w:rPr>
        <w:t>；</w:t>
      </w:r>
    </w:p>
    <w:p>
      <w:pPr>
        <w:pStyle w:val="88"/>
        <w:snapToGrid w:val="0"/>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主要施工设备</w:t>
      </w:r>
      <w:r>
        <w:rPr>
          <w:rFonts w:hint="eastAsia" w:ascii="宋体" w:hAnsi="宋体" w:eastAsia="宋体" w:cs="宋体"/>
          <w:b/>
          <w:bCs/>
          <w:color w:val="auto"/>
          <w:szCs w:val="21"/>
          <w:highlight w:val="none"/>
          <w:lang w:val="en-US" w:eastAsia="zh-CN"/>
        </w:rPr>
        <w:t>情况；</w:t>
      </w:r>
    </w:p>
    <w:p>
      <w:pPr>
        <w:pStyle w:val="88"/>
        <w:snapToGrid w:val="0"/>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项目实施管理人员</w:t>
      </w:r>
      <w:r>
        <w:rPr>
          <w:rFonts w:hint="eastAsia" w:ascii="宋体" w:hAnsi="宋体" w:eastAsia="宋体" w:cs="宋体"/>
          <w:b/>
          <w:bCs/>
          <w:color w:val="auto"/>
          <w:szCs w:val="21"/>
          <w:highlight w:val="none"/>
          <w:lang w:eastAsia="zh-CN"/>
        </w:rPr>
        <w:t>，</w:t>
      </w:r>
      <w:r>
        <w:rPr>
          <w:rFonts w:hint="eastAsia" w:ascii="宋体" w:hAnsi="宋体"/>
          <w:b/>
          <w:bCs/>
          <w:color w:val="auto"/>
          <w:szCs w:val="21"/>
          <w:highlight w:val="none"/>
        </w:rPr>
        <w:t>现场</w:t>
      </w:r>
      <w:r>
        <w:rPr>
          <w:rFonts w:hint="eastAsia" w:ascii="宋体" w:hAnsi="宋体" w:eastAsia="宋体" w:cs="Times New Roman"/>
          <w:b/>
          <w:bCs/>
          <w:color w:val="auto"/>
          <w:szCs w:val="21"/>
          <w:highlight w:val="none"/>
        </w:rPr>
        <w:t>施工人员模式对项目实施有保障且有技术支撑</w:t>
      </w:r>
      <w:r>
        <w:rPr>
          <w:rFonts w:hint="eastAsia" w:ascii="宋体" w:hAnsi="宋体" w:eastAsia="宋体" w:cs="Times New Roman"/>
          <w:b/>
          <w:bCs/>
          <w:color w:val="auto"/>
          <w:szCs w:val="21"/>
          <w:highlight w:val="none"/>
          <w:lang w:val="en-US" w:eastAsia="zh-CN"/>
        </w:rPr>
        <w:t>及</w:t>
      </w:r>
      <w:r>
        <w:rPr>
          <w:rFonts w:hint="eastAsia" w:ascii="宋体" w:hAnsi="宋体" w:cs="宋体"/>
          <w:b/>
          <w:bCs/>
          <w:color w:val="auto"/>
          <w:szCs w:val="21"/>
          <w:highlight w:val="none"/>
        </w:rPr>
        <w:t>安排</w:t>
      </w:r>
      <w:r>
        <w:rPr>
          <w:rFonts w:hint="eastAsia" w:ascii="宋体" w:hAnsi="宋体" w:cs="宋体"/>
          <w:b/>
          <w:bCs/>
          <w:color w:val="auto"/>
          <w:szCs w:val="21"/>
          <w:highlight w:val="none"/>
          <w:lang w:val="en-US" w:eastAsia="zh-CN"/>
        </w:rPr>
        <w:t>等；</w:t>
      </w:r>
    </w:p>
    <w:p>
      <w:pPr>
        <w:pStyle w:val="88"/>
        <w:snapToGrid w:val="0"/>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val="en-US" w:eastAsia="zh-CN"/>
        </w:rPr>
        <w:t>大体积混凝土浇筑及养护方案和模板搭设方案；</w:t>
      </w:r>
    </w:p>
    <w:p>
      <w:pPr>
        <w:pStyle w:val="88"/>
        <w:snapToGrid w:val="0"/>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8）现场施工围挡及保障正常医疗秩序安全通道搭设安装方案措施；</w:t>
      </w:r>
    </w:p>
    <w:p>
      <w:pPr>
        <w:pStyle w:val="88"/>
        <w:snapToGrid w:val="0"/>
        <w:spacing w:line="360" w:lineRule="auto"/>
        <w:ind w:firstLine="42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施工质量目标明确，质量控制措施</w:t>
      </w:r>
      <w:r>
        <w:rPr>
          <w:rFonts w:hint="eastAsia" w:ascii="宋体" w:hAnsi="宋体" w:eastAsia="宋体" w:cs="宋体"/>
          <w:b/>
          <w:bCs/>
          <w:color w:val="auto"/>
          <w:szCs w:val="21"/>
          <w:highlight w:val="none"/>
          <w:lang w:eastAsia="zh-CN"/>
        </w:rPr>
        <w:t>；</w:t>
      </w:r>
    </w:p>
    <w:p>
      <w:pPr>
        <w:pStyle w:val="88"/>
        <w:snapToGrid w:val="0"/>
        <w:spacing w:line="360" w:lineRule="auto"/>
        <w:ind w:firstLine="42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安全、文明施工及市政、市容、环保、消防等的保证措施</w:t>
      </w:r>
      <w:r>
        <w:rPr>
          <w:rFonts w:hint="eastAsia" w:ascii="宋体" w:hAnsi="宋体" w:eastAsia="宋体" w:cs="宋体"/>
          <w:b/>
          <w:bCs/>
          <w:color w:val="auto"/>
          <w:szCs w:val="21"/>
          <w:highlight w:val="none"/>
          <w:lang w:eastAsia="zh-CN"/>
        </w:rPr>
        <w:t>；</w:t>
      </w:r>
    </w:p>
    <w:p>
      <w:pPr>
        <w:pStyle w:val="88"/>
        <w:snapToGrid w:val="0"/>
        <w:spacing w:line="360" w:lineRule="auto"/>
        <w:ind w:firstLine="42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检验与验收方案</w:t>
      </w:r>
      <w:r>
        <w:rPr>
          <w:rFonts w:hint="eastAsia" w:ascii="宋体" w:hAnsi="宋体" w:eastAsia="宋体" w:cs="宋体"/>
          <w:b/>
          <w:bCs/>
          <w:color w:val="auto"/>
          <w:szCs w:val="21"/>
          <w:highlight w:val="none"/>
          <w:lang w:eastAsia="zh-CN"/>
        </w:rPr>
        <w:t>；</w:t>
      </w:r>
    </w:p>
    <w:p>
      <w:pPr>
        <w:pStyle w:val="88"/>
        <w:snapToGrid w:val="0"/>
        <w:spacing w:line="360" w:lineRule="auto"/>
        <w:ind w:firstLine="42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材料的进货渠道及质量保障方案</w:t>
      </w:r>
      <w:r>
        <w:rPr>
          <w:rFonts w:hint="eastAsia" w:ascii="宋体" w:hAnsi="宋体" w:eastAsia="宋体" w:cs="宋体"/>
          <w:b/>
          <w:bCs/>
          <w:color w:val="auto"/>
          <w:szCs w:val="21"/>
          <w:highlight w:val="none"/>
          <w:lang w:eastAsia="zh-CN"/>
        </w:rPr>
        <w:t>；</w:t>
      </w:r>
    </w:p>
    <w:p>
      <w:pPr>
        <w:pStyle w:val="88"/>
        <w:snapToGrid w:val="0"/>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针对目前疫情防控措施</w:t>
      </w:r>
      <w:r>
        <w:rPr>
          <w:rFonts w:hint="eastAsia" w:ascii="宋体" w:hAnsi="宋体" w:eastAsia="宋体" w:cs="宋体"/>
          <w:b/>
          <w:bCs/>
          <w:color w:val="auto"/>
          <w:szCs w:val="21"/>
          <w:highlight w:val="none"/>
          <w:lang w:eastAsia="zh-CN"/>
        </w:rPr>
        <w:t>；</w:t>
      </w:r>
    </w:p>
    <w:p>
      <w:pPr>
        <w:pStyle w:val="88"/>
        <w:snapToGrid w:val="0"/>
        <w:spacing w:line="360" w:lineRule="auto"/>
        <w:ind w:firstLine="42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承诺及合理化建议</w:t>
      </w:r>
      <w:r>
        <w:rPr>
          <w:rFonts w:hint="eastAsia" w:ascii="宋体" w:hAnsi="宋体" w:cs="宋体"/>
          <w:b/>
          <w:bCs/>
          <w:color w:val="auto"/>
          <w:szCs w:val="21"/>
          <w:highlight w:val="none"/>
          <w:lang w:eastAsia="zh-CN"/>
        </w:rPr>
        <w:t>；</w:t>
      </w:r>
    </w:p>
    <w:p>
      <w:pPr>
        <w:pStyle w:val="88"/>
        <w:snapToGrid w:val="0"/>
        <w:spacing w:line="360" w:lineRule="auto"/>
        <w:ind w:firstLine="420"/>
        <w:rPr>
          <w:rFonts w:hint="eastAsia" w:ascii="Times New Roman" w:hAnsi="Times New Roman"/>
          <w:b/>
          <w:bCs/>
          <w:color w:val="auto"/>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12</w:t>
      </w:r>
      <w:r>
        <w:rPr>
          <w:rFonts w:hint="eastAsia" w:ascii="宋体" w:hAnsi="宋体" w:cs="宋体"/>
          <w:b/>
          <w:bCs/>
          <w:color w:val="auto"/>
          <w:szCs w:val="21"/>
          <w:highlight w:val="none"/>
          <w:lang w:eastAsia="zh-CN"/>
        </w:rPr>
        <w:t>）</w:t>
      </w:r>
      <w:r>
        <w:rPr>
          <w:rFonts w:hint="eastAsia" w:ascii="Times New Roman" w:hAnsi="Times New Roman"/>
          <w:b/>
          <w:bCs/>
          <w:color w:val="auto"/>
          <w:highlight w:val="none"/>
          <w:lang w:eastAsia="zh-CN"/>
        </w:rPr>
        <w:t>所投产品</w:t>
      </w:r>
      <w:r>
        <w:rPr>
          <w:rFonts w:ascii="Times New Roman" w:hAnsi="Times New Roman"/>
          <w:b/>
          <w:bCs/>
          <w:color w:val="auto"/>
          <w:highlight w:val="none"/>
        </w:rPr>
        <w:t>列入节能产品证明资料、</w:t>
      </w:r>
      <w:r>
        <w:rPr>
          <w:rFonts w:hint="eastAsia" w:ascii="Times New Roman" w:hAnsi="Times New Roman"/>
          <w:b/>
          <w:bCs/>
          <w:color w:val="auto"/>
          <w:highlight w:val="none"/>
          <w:lang w:eastAsia="zh-CN"/>
        </w:rPr>
        <w:t>所投产品</w:t>
      </w:r>
      <w:r>
        <w:rPr>
          <w:rFonts w:ascii="Times New Roman" w:hAnsi="Times New Roman"/>
          <w:b/>
          <w:bCs/>
          <w:color w:val="auto"/>
          <w:highlight w:val="none"/>
        </w:rPr>
        <w:t>列入环境标志产品证明资料（如有）</w:t>
      </w:r>
      <w:r>
        <w:rPr>
          <w:rFonts w:hint="eastAsia" w:ascii="Times New Roman" w:hAnsi="Times New Roman"/>
          <w:b/>
          <w:bCs/>
          <w:color w:val="auto"/>
          <w:highlight w:val="none"/>
          <w:lang w:eastAsia="zh-CN"/>
        </w:rPr>
        <w:t>，</w:t>
      </w:r>
      <w:r>
        <w:rPr>
          <w:rFonts w:hint="eastAsia" w:ascii="宋体" w:hAnsi="宋体" w:cs="宋体"/>
          <w:b/>
          <w:bCs/>
          <w:i w:val="0"/>
          <w:iCs w:val="0"/>
          <w:color w:val="auto"/>
          <w:szCs w:val="21"/>
          <w:highlight w:val="none"/>
        </w:rPr>
        <w:t>提供国家确定的认证机构出具的、处于有效期之内的节能产品、环境标志产品认证证书复印件</w:t>
      </w:r>
      <w:r>
        <w:rPr>
          <w:rFonts w:hint="eastAsia" w:ascii="Times New Roman" w:hAnsi="Times New Roman"/>
          <w:b/>
          <w:bCs/>
          <w:color w:val="auto"/>
          <w:highlight w:val="none"/>
        </w:rPr>
        <w:t>；</w:t>
      </w:r>
    </w:p>
    <w:p>
      <w:pPr>
        <w:pStyle w:val="88"/>
        <w:snapToGrid w:val="0"/>
        <w:spacing w:line="360" w:lineRule="auto"/>
        <w:ind w:firstLine="420"/>
        <w:rPr>
          <w:rFonts w:hint="eastAsia"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13</w:t>
      </w:r>
      <w:r>
        <w:rPr>
          <w:rFonts w:hint="eastAsia" w:ascii="宋体" w:hAnsi="宋体" w:cs="宋体"/>
          <w:b/>
          <w:bCs/>
          <w:color w:val="auto"/>
          <w:highlight w:val="none"/>
        </w:rPr>
        <w:t>）供应商认为有必要提供的其它文件。</w:t>
      </w:r>
    </w:p>
    <w:p>
      <w:pPr>
        <w:pStyle w:val="88"/>
        <w:snapToGrid w:val="0"/>
        <w:spacing w:line="360" w:lineRule="auto"/>
        <w:ind w:firstLine="420"/>
        <w:rPr>
          <w:rFonts w:hint="eastAsia" w:ascii="宋体" w:hAnsi="宋体" w:cs="宋体"/>
          <w:color w:val="auto"/>
          <w:highlight w:val="none"/>
        </w:rPr>
      </w:pPr>
      <w:r>
        <w:rPr>
          <w:rFonts w:hint="eastAsia" w:ascii="宋体" w:hAnsi="宋体" w:cs="宋体"/>
          <w:b/>
          <w:bCs/>
          <w:color w:val="auto"/>
          <w:highlight w:val="none"/>
        </w:rPr>
        <w:br w:type="page"/>
      </w:r>
    </w:p>
    <w:p>
      <w:pPr>
        <w:spacing w:line="360" w:lineRule="auto"/>
        <w:rPr>
          <w:rFonts w:hint="eastAsia" w:ascii="宋体" w:hAnsi="宋体" w:cs="宋体"/>
          <w:color w:val="auto"/>
          <w:highlight w:val="none"/>
        </w:rPr>
      </w:pPr>
      <w:r>
        <w:rPr>
          <w:rFonts w:hint="eastAsia" w:ascii="宋体" w:hAnsi="宋体" w:cs="宋体"/>
          <w:color w:val="auto"/>
          <w:highlight w:val="none"/>
        </w:rPr>
        <w:t>附件1</w:t>
      </w:r>
    </w:p>
    <w:p>
      <w:pPr>
        <w:ind w:left="420"/>
        <w:rPr>
          <w:rFonts w:hint="eastAsia" w:ascii="宋体" w:hAnsi="宋体" w:cs="宋体"/>
          <w:color w:val="auto"/>
          <w:highlight w:val="none"/>
        </w:rPr>
      </w:pPr>
    </w:p>
    <w:p>
      <w:pPr>
        <w:pStyle w:val="70"/>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pPr>
        <w:pStyle w:val="70"/>
        <w:adjustRightInd w:val="0"/>
        <w:spacing w:line="360" w:lineRule="auto"/>
        <w:jc w:val="both"/>
        <w:rPr>
          <w:rFonts w:hint="eastAsia" w:ascii="宋体" w:hAnsi="宋体" w:eastAsia="宋体" w:cs="宋体"/>
          <w:color w:val="auto"/>
          <w:kern w:val="0"/>
          <w:szCs w:val="21"/>
          <w:highlight w:val="none"/>
          <w:u w:val="single"/>
        </w:rPr>
      </w:pPr>
    </w:p>
    <w:p>
      <w:pPr>
        <w:pStyle w:val="70"/>
        <w:adjustRightInd w:val="0"/>
        <w:spacing w:line="360" w:lineRule="auto"/>
        <w:jc w:val="both"/>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u w:val="single"/>
        </w:rPr>
        <w:t>浙江国际招投标有限公司</w:t>
      </w:r>
      <w:r>
        <w:rPr>
          <w:rFonts w:hint="eastAsia" w:ascii="宋体" w:hAnsi="宋体" w:eastAsia="宋体" w:cs="宋体"/>
          <w:color w:val="auto"/>
          <w:kern w:val="0"/>
          <w:szCs w:val="21"/>
          <w:highlight w:val="none"/>
        </w:rPr>
        <w:t>：</w:t>
      </w:r>
    </w:p>
    <w:p>
      <w:pPr>
        <w:pStyle w:val="70"/>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w:t>
      </w:r>
      <w:r>
        <w:rPr>
          <w:rFonts w:hint="eastAsia" w:ascii="宋体" w:hAnsi="宋体" w:eastAsia="宋体" w:cs="宋体"/>
          <w:color w:val="auto"/>
          <w:spacing w:val="6"/>
          <w:szCs w:val="21"/>
          <w:highlight w:val="none"/>
          <w:u w:val="single"/>
        </w:rPr>
        <w:t>（编号：    ）</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pPr>
        <w:pStyle w:val="71"/>
        <w:widowControl/>
        <w:numPr>
          <w:ilvl w:val="0"/>
          <w:numId w:val="11"/>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71"/>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71"/>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71"/>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70"/>
        <w:adjustRightInd w:val="0"/>
        <w:spacing w:line="360" w:lineRule="auto"/>
        <w:ind w:firstLine="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p>
    <w:p>
      <w:pPr>
        <w:pStyle w:val="70"/>
        <w:adjustRightInd w:val="0"/>
        <w:spacing w:line="360" w:lineRule="auto"/>
        <w:ind w:firstLine="200"/>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pPr>
        <w:pStyle w:val="70"/>
        <w:adjustRightInd w:val="0"/>
        <w:spacing w:line="360" w:lineRule="auto"/>
        <w:ind w:firstLine="200"/>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pPr>
        <w:pStyle w:val="70"/>
        <w:adjustRightInd w:val="0"/>
        <w:spacing w:line="360" w:lineRule="auto"/>
        <w:ind w:firstLine="200"/>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pPr>
        <w:pStyle w:val="70"/>
        <w:adjustRightInd w:val="0"/>
        <w:spacing w:line="360" w:lineRule="auto"/>
        <w:ind w:firstLine="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pPr>
        <w:pStyle w:val="70"/>
        <w:adjustRightInd w:val="0"/>
        <w:spacing w:line="360" w:lineRule="auto"/>
        <w:ind w:firstLine="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pPr>
        <w:pStyle w:val="70"/>
        <w:adjustRightInd w:val="0"/>
        <w:spacing w:line="360" w:lineRule="auto"/>
        <w:ind w:firstLine="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G.存在共同直接或间接投资设立子公司、联营企业和合营企业情况</w:t>
      </w:r>
    </w:p>
    <w:p>
      <w:pPr>
        <w:pStyle w:val="70"/>
        <w:adjustRightInd w:val="0"/>
        <w:spacing w:line="360" w:lineRule="auto"/>
        <w:ind w:firstLine="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pPr>
        <w:pStyle w:val="70"/>
        <w:adjustRightInd w:val="0"/>
        <w:spacing w:line="360" w:lineRule="auto"/>
        <w:ind w:firstLine="200"/>
        <w:jc w:val="both"/>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pStyle w:val="71"/>
        <w:widowControl/>
        <w:numPr>
          <w:ilvl w:val="0"/>
          <w:numId w:val="12"/>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71"/>
        <w:widowControl/>
        <w:numPr>
          <w:ilvl w:val="0"/>
          <w:numId w:val="12"/>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71"/>
        <w:widowControl/>
        <w:adjustRightInd w:val="0"/>
        <w:snapToGrid w:val="0"/>
        <w:spacing w:line="360" w:lineRule="auto"/>
        <w:rPr>
          <w:rFonts w:ascii="宋体" w:hAnsi="宋体" w:cs="宋体"/>
          <w:color w:val="auto"/>
          <w:kern w:val="0"/>
          <w:szCs w:val="21"/>
          <w:highlight w:val="none"/>
        </w:rPr>
      </w:pPr>
    </w:p>
    <w:p>
      <w:pPr>
        <w:pStyle w:val="71"/>
        <w:widowControl/>
        <w:adjustRightInd w:val="0"/>
        <w:snapToGrid w:val="0"/>
        <w:spacing w:line="360" w:lineRule="auto"/>
        <w:rPr>
          <w:rFonts w:ascii="宋体" w:hAnsi="宋体" w:cs="宋体"/>
          <w:color w:val="auto"/>
          <w:kern w:val="0"/>
          <w:szCs w:val="21"/>
          <w:highlight w:val="none"/>
        </w:rPr>
      </w:pPr>
    </w:p>
    <w:p>
      <w:pPr>
        <w:pStyle w:val="70"/>
        <w:adjustRightInd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pPr>
        <w:adjustRightInd w:val="0"/>
        <w:snapToGrid w:val="0"/>
        <w:spacing w:line="360" w:lineRule="auto"/>
        <w:jc w:val="right"/>
        <w:rPr>
          <w:rFonts w:hint="eastAsia" w:ascii="宋体" w:hAnsi="宋体" w:cs="宋体"/>
          <w:color w:val="auto"/>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rFonts w:hint="eastAsia" w:ascii="宋体" w:hAnsi="宋体" w:cs="宋体"/>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我公司接收本项目中标通知书的邮箱为：</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highlight w:val="none"/>
          <w:u w:val="singl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供应商全称（盖单位公章或电子签章）：</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年  月  日</w:t>
      </w:r>
    </w:p>
    <w:p>
      <w:pPr>
        <w:snapToGrid w:val="0"/>
        <w:spacing w:line="360" w:lineRule="auto"/>
        <w:rPr>
          <w:rFonts w:hint="eastAsia" w:ascii="宋体" w:hAnsi="宋体" w:cs="宋体"/>
          <w:color w:val="auto"/>
          <w:sz w:val="24"/>
          <w:highlight w:val="none"/>
        </w:rPr>
      </w:pPr>
    </w:p>
    <w:p>
      <w:pPr>
        <w:rPr>
          <w:rFonts w:hint="eastAsia" w:ascii="宋体" w:hAnsi="宋体" w:cs="宋体"/>
          <w:color w:val="auto"/>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通讯地址：</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联系手机：</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line="240" w:lineRule="atLeast"/>
        <w:rPr>
          <w:rFonts w:hint="eastAsia" w:ascii="宋体" w:hAnsi="宋体" w:cs="宋体"/>
          <w:b/>
          <w:color w:val="auto"/>
          <w:highlight w:val="none"/>
        </w:rPr>
      </w:pPr>
      <w:r>
        <w:rPr>
          <w:rFonts w:hint="eastAsia" w:ascii="宋体" w:hAnsi="宋体" w:cs="宋体"/>
          <w:b/>
          <w:color w:val="auto"/>
          <w:highlight w:val="none"/>
        </w:rPr>
        <w:t>───────────────────────────────────────────</w:t>
      </w:r>
    </w:p>
    <w:p>
      <w:pPr>
        <w:spacing w:line="240" w:lineRule="atLeast"/>
        <w:jc w:val="center"/>
        <w:rPr>
          <w:rFonts w:hint="eastAsia" w:ascii="宋体" w:hAnsi="宋体" w:cs="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101"/>
        <w:spacing w:line="360" w:lineRule="auto"/>
        <w:ind w:left="0" w:leftChars="0" w:firstLine="629" w:firstLineChars="0"/>
        <w:rPr>
          <w:rFonts w:hint="eastAsia" w:ascii="宋体" w:hAnsi="宋体" w:cs="宋体"/>
          <w:b w:val="0"/>
          <w:bCs w:val="0"/>
          <w:color w:val="auto"/>
          <w:sz w:val="24"/>
          <w:szCs w:val="24"/>
          <w:highlight w:val="none"/>
        </w:rPr>
      </w:pPr>
    </w:p>
    <w:p>
      <w:pPr>
        <w:pStyle w:val="101"/>
        <w:spacing w:line="360" w:lineRule="auto"/>
        <w:ind w:left="0" w:leftChars="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101"/>
        <w:ind w:left="0" w:leftChars="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如需中标通知书原件，请联系采购代理机构项目负责人现场或邮寄获得。</w:t>
      </w:r>
    </w:p>
    <w:p>
      <w:pPr>
        <w:pStyle w:val="88"/>
        <w:snapToGrid w:val="0"/>
        <w:spacing w:line="360" w:lineRule="auto"/>
        <w:ind w:firstLine="480"/>
        <w:rPr>
          <w:rFonts w:hint="eastAsia" w:ascii="宋体" w:hAnsi="宋体" w:cs="宋体"/>
          <w:color w:val="auto"/>
          <w:sz w:val="24"/>
          <w:highlight w:val="none"/>
        </w:rPr>
      </w:pPr>
    </w:p>
    <w:p>
      <w:pPr>
        <w:pStyle w:val="29"/>
        <w:spacing w:before="0" w:beforeAutospacing="0" w:after="0" w:afterAutospacing="0" w:line="360" w:lineRule="auto"/>
        <w:jc w:val="both"/>
        <w:outlineLvl w:val="0"/>
        <w:rPr>
          <w:rFonts w:hint="eastAsia" w:cs="宋体"/>
          <w:b/>
          <w:color w:val="auto"/>
          <w:szCs w:val="21"/>
          <w:highlight w:val="none"/>
        </w:rPr>
      </w:pPr>
      <w:r>
        <w:rPr>
          <w:rFonts w:hint="eastAsia" w:cs="宋体"/>
          <w:color w:val="auto"/>
          <w:highlight w:val="none"/>
        </w:rPr>
        <w:br w:type="page"/>
      </w:r>
      <w:r>
        <w:rPr>
          <w:rFonts w:hint="eastAsia" w:cs="宋体"/>
          <w:b/>
          <w:color w:val="auto"/>
          <w:szCs w:val="21"/>
          <w:highlight w:val="none"/>
        </w:rPr>
        <w:t>附件3：质疑函范本</w:t>
      </w:r>
    </w:p>
    <w:p>
      <w:pPr>
        <w:tabs>
          <w:tab w:val="left" w:pos="0"/>
        </w:tabs>
        <w:autoSpaceDE w:val="0"/>
        <w:autoSpaceDN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质疑函范本</w:t>
      </w:r>
    </w:p>
    <w:p>
      <w:pPr>
        <w:adjustRightInd w:val="0"/>
        <w:snapToGrid w:val="0"/>
        <w:spacing w:before="240" w:beforeLines="100"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一、质疑供应商基本信息</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质疑供应商：</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 xml:space="preserve">地址： </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二、质疑项目基本情况</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质疑项目的名称：</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质疑项目的编号：</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包号：</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磋商文件获取日期：</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三、质疑事项具体内容</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质疑事项1：</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事实依据：</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法律依据：</w:t>
      </w: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u w:val="dotted"/>
        </w:rPr>
        <w:t xml:space="preserve">                                                     </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质疑事项2</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pPr>
        <w:adjustRightInd w:val="0"/>
        <w:snapToGrid w:val="0"/>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四、与质疑事项相关的质疑请求</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请求：</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签字(签章)：                   公章：                      </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日期：    </w:t>
      </w:r>
    </w:p>
    <w:p>
      <w:pPr>
        <w:adjustRightInd w:val="0"/>
        <w:snapToGrid w:val="0"/>
        <w:spacing w:line="360" w:lineRule="auto"/>
        <w:rPr>
          <w:rFonts w:hint="eastAsia" w:ascii="宋体" w:hAnsi="宋体" w:cs="宋体"/>
          <w:color w:val="auto"/>
          <w:sz w:val="24"/>
          <w:szCs w:val="24"/>
          <w:highlight w:val="none"/>
        </w:rPr>
      </w:pPr>
    </w:p>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质疑函制作说明：</w:t>
      </w:r>
    </w:p>
    <w:p>
      <w:pPr>
        <w:pStyle w:val="15"/>
        <w:rPr>
          <w:rFonts w:cs="宋体"/>
          <w:color w:val="auto"/>
          <w:highlight w:val="none"/>
        </w:rPr>
      </w:pP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hint="eastAsia" w:ascii="宋体" w:hAnsi="宋体" w:cs="宋体"/>
          <w:color w:val="auto"/>
          <w:sz w:val="24"/>
          <w:szCs w:val="24"/>
          <w:highlight w:val="none"/>
        </w:rPr>
      </w:pP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13"/>
        <w:ind w:firstLine="211"/>
        <w:rPr>
          <w:rFonts w:hint="eastAsia" w:ascii="宋体" w:hAnsi="宋体" w:cs="宋体"/>
          <w:b/>
          <w:color w:val="auto"/>
          <w:szCs w:val="21"/>
          <w:highlight w:val="none"/>
        </w:rPr>
      </w:pPr>
      <w:r>
        <w:rPr>
          <w:rFonts w:hint="eastAsia" w:ascii="宋体" w:hAnsi="宋体" w:cs="宋体"/>
          <w:b/>
          <w:color w:val="auto"/>
          <w:szCs w:val="21"/>
          <w:highlight w:val="none"/>
        </w:rPr>
        <w:t>附件4：投诉书范本</w:t>
      </w:r>
    </w:p>
    <w:p>
      <w:pPr>
        <w:tabs>
          <w:tab w:val="left" w:pos="0"/>
        </w:tabs>
        <w:autoSpaceDE w:val="0"/>
        <w:autoSpaceDN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投诉书范本</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一、投诉相关主体基本情况</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投诉人：</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dotted"/>
        </w:rPr>
        <w:t xml:space="preserve">         </w:t>
      </w:r>
    </w:p>
    <w:p>
      <w:pPr>
        <w:tabs>
          <w:tab w:val="left" w:pos="6510"/>
        </w:tabs>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法定代表人/主要负责人：</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 xml:space="preserve">  </w:t>
      </w:r>
    </w:p>
    <w:p>
      <w:pPr>
        <w:tabs>
          <w:tab w:val="left" w:pos="6510"/>
        </w:tabs>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被投诉人1：</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被投诉人2</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相关供应商：</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二、投诉项目基本情况</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采购项目名称：</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采购项目编号：</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包号：</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代理机构名称：</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磋商文件公告:</w:t>
      </w:r>
      <w:r>
        <w:rPr>
          <w:rFonts w:hint="eastAsia" w:ascii="宋体" w:hAnsi="宋体" w:cs="宋体"/>
          <w:color w:val="auto"/>
          <w:sz w:val="24"/>
          <w:szCs w:val="24"/>
          <w:highlight w:val="none"/>
          <w:u w:val="dotted"/>
        </w:rPr>
        <w:t xml:space="preserve">是/否 </w:t>
      </w:r>
      <w:r>
        <w:rPr>
          <w:rFonts w:hint="eastAsia" w:ascii="宋体" w:hAnsi="宋体" w:cs="宋体"/>
          <w:color w:val="auto"/>
          <w:sz w:val="24"/>
          <w:szCs w:val="24"/>
          <w:highlight w:val="none"/>
        </w:rPr>
        <w:t>公告期限：</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采购结果公告:</w:t>
      </w:r>
      <w:r>
        <w:rPr>
          <w:rFonts w:hint="eastAsia" w:ascii="宋体" w:hAnsi="宋体" w:cs="宋体"/>
          <w:color w:val="auto"/>
          <w:sz w:val="24"/>
          <w:szCs w:val="24"/>
          <w:highlight w:val="none"/>
          <w:u w:val="dotted"/>
        </w:rPr>
        <w:t xml:space="preserve">是/否 </w:t>
      </w:r>
      <w:r>
        <w:rPr>
          <w:rFonts w:hint="eastAsia" w:ascii="宋体" w:hAnsi="宋体" w:cs="宋体"/>
          <w:color w:val="auto"/>
          <w:sz w:val="24"/>
          <w:szCs w:val="24"/>
          <w:highlight w:val="none"/>
        </w:rPr>
        <w:t>公告期限：</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三、质疑基本情况</w:t>
      </w:r>
    </w:p>
    <w:p>
      <w:pPr>
        <w:spacing w:line="360" w:lineRule="auto"/>
        <w:ind w:firstLine="480" w:firstLineChars="200"/>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投诉人于</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日,向</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提出质疑，质疑事项为：</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 xml:space="preserve">  </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u w:val="dotted"/>
        </w:rPr>
        <w:t>采购人/代理机构</w:t>
      </w:r>
      <w:r>
        <w:rPr>
          <w:rFonts w:hint="eastAsia" w:ascii="宋体" w:hAnsi="宋体" w:cs="宋体"/>
          <w:color w:val="auto"/>
          <w:sz w:val="24"/>
          <w:szCs w:val="24"/>
          <w:highlight w:val="none"/>
        </w:rPr>
        <w:t>于</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日,就质疑事项作出了答复/没有在法定期限内作出答复。</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四、投诉事项具体内容</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投诉事项 1：</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事实依据：</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法律依据：</w:t>
      </w: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u w:val="dotted"/>
        </w:rPr>
        <w:t xml:space="preserve">                                                      </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投诉事项2</w:t>
      </w:r>
    </w:p>
    <w:p>
      <w:pPr>
        <w:spacing w:line="360" w:lineRule="auto"/>
        <w:rPr>
          <w:rFonts w:hint="eastAsia" w:ascii="宋体" w:hAnsi="宋体" w:cs="宋体"/>
          <w:color w:val="auto"/>
          <w:sz w:val="24"/>
          <w:szCs w:val="24"/>
          <w:highlight w:val="none"/>
          <w:u w:val="dotted"/>
        </w:rPr>
      </w:pPr>
      <w:r>
        <w:rPr>
          <w:rFonts w:hint="eastAsia" w:ascii="宋体" w:hAnsi="宋体" w:cs="宋体"/>
          <w:color w:val="auto"/>
          <w:sz w:val="24"/>
          <w:szCs w:val="24"/>
          <w:highlight w:val="none"/>
        </w:rPr>
        <w:t>……</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五、与投诉事项相关的投诉请求</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请求：</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签字(签章)：                   公章：                      </w:t>
      </w:r>
    </w:p>
    <w:p>
      <w:pPr>
        <w:pStyle w:val="13"/>
        <w:ind w:firstLine="240"/>
        <w:rPr>
          <w:rFonts w:hint="eastAsia" w:ascii="宋体" w:hAnsi="宋体" w:cs="宋体"/>
          <w:color w:val="auto"/>
          <w:highlight w:val="none"/>
        </w:rPr>
      </w:pPr>
      <w:r>
        <w:rPr>
          <w:rFonts w:hint="eastAsia" w:ascii="宋体" w:hAnsi="宋体" w:cs="宋体"/>
          <w:color w:val="auto"/>
          <w:sz w:val="24"/>
          <w:szCs w:val="24"/>
          <w:highlight w:val="none"/>
        </w:rPr>
        <w:t>日期：</w:t>
      </w:r>
    </w:p>
    <w:p>
      <w:pPr>
        <w:spacing w:line="360" w:lineRule="auto"/>
        <w:jc w:val="center"/>
        <w:rPr>
          <w:rFonts w:hint="eastAsia" w:ascii="宋体" w:hAnsi="宋体" w:cs="宋体"/>
          <w:b/>
          <w:color w:val="auto"/>
          <w:sz w:val="28"/>
          <w:szCs w:val="28"/>
          <w:highlight w:val="none"/>
        </w:rPr>
        <w:sectPr>
          <w:pgSz w:w="11906" w:h="16838"/>
          <w:pgMar w:top="1247" w:right="1588" w:bottom="1089" w:left="1588" w:header="851" w:footer="992" w:gutter="0"/>
          <w:cols w:space="720" w:num="1"/>
          <w:docGrid w:linePitch="312" w:charSpace="0"/>
        </w:sectPr>
      </w:pPr>
    </w:p>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投诉书制作说明：</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3.投诉人若对项目的某一分包进行投诉，投诉书应列明具体分包号。</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4.投诉书应简要列明质疑事项，质疑函、质疑答复等作为附件材料提供。</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5.投诉书的投诉事项应具体、明确，并有必要的事实依据和法律依据。</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6.投诉书的投诉请求应与投诉事项相关。</w:t>
      </w:r>
    </w:p>
    <w:p>
      <w:pPr>
        <w:pStyle w:val="15"/>
        <w:tabs>
          <w:tab w:val="left" w:pos="5670"/>
        </w:tabs>
        <w:rPr>
          <w:rFonts w:cs="宋体"/>
          <w:color w:val="auto"/>
          <w:highlight w:val="none"/>
        </w:rPr>
      </w:pPr>
      <w:r>
        <w:rPr>
          <w:rFonts w:cs="宋体"/>
          <w:color w:val="auto"/>
          <w:szCs w:val="24"/>
          <w:highlight w:val="none"/>
        </w:rPr>
        <w:t>7.投诉人为自然人的，投诉书应当由本人签字；投诉人为法人或者其他组织的，投诉书应当由法定代表人、主要负责人，或者其授权代表签字或者盖章，并加盖公章。</w:t>
      </w:r>
    </w:p>
    <w:sectPr>
      <w:footerReference r:id="rId20" w:type="first"/>
      <w:headerReference r:id="rId17" w:type="default"/>
      <w:footerReference r:id="rId18" w:type="default"/>
      <w:footerReference r:id="rId19" w:type="even"/>
      <w:pgSz w:w="11906" w:h="16838"/>
      <w:pgMar w:top="1440" w:right="1474" w:bottom="1440"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MS UI Gothic"/>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S?o｡ﾀ?">
    <w:altName w:val="MS PGothic"/>
    <w:panose1 w:val="00000000000000000000"/>
    <w:charset w:val="80"/>
    <w:family w:val="modern"/>
    <w:pitch w:val="default"/>
    <w:sig w:usb0="00000001" w:usb1="08070000" w:usb2="00000010" w:usb3="00000000" w:csb0="0002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5746" w:y="22"/>
      <w:rPr>
        <w:rStyle w:val="38"/>
        <w:rFonts w:hint="eastAsia" w:ascii="宋体" w:hAnsi="宋体" w:eastAsia="宋体"/>
        <w:sz w:val="28"/>
        <w:szCs w:val="28"/>
      </w:rPr>
    </w:pPr>
    <w:r>
      <w:rPr>
        <w:sz w:val="21"/>
        <w:szCs w:val="21"/>
      </w:rPr>
      <w:fldChar w:fldCharType="begin"/>
    </w:r>
    <w:r>
      <w:rPr>
        <w:rStyle w:val="38"/>
        <w:sz w:val="21"/>
        <w:szCs w:val="21"/>
      </w:rPr>
      <w:instrText xml:space="preserve"> PAGE </w:instrText>
    </w:r>
    <w:r>
      <w:rPr>
        <w:sz w:val="21"/>
        <w:szCs w:val="21"/>
      </w:rPr>
      <w:fldChar w:fldCharType="separate"/>
    </w:r>
    <w:r>
      <w:rPr>
        <w:rStyle w:val="38"/>
        <w:sz w:val="21"/>
        <w:szCs w:val="21"/>
        <w:lang/>
      </w:rPr>
      <w:t>31</w:t>
    </w:r>
    <w:r>
      <w:rPr>
        <w:sz w:val="21"/>
        <w:szCs w:val="21"/>
      </w:rPr>
      <w:fldChar w:fldCharType="end"/>
    </w:r>
  </w:p>
  <w:p>
    <w:pPr>
      <w:pStyle w:val="23"/>
      <w:ind w:right="360" w:firstLine="360"/>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end"/>
    </w:r>
  </w:p>
  <w:p>
    <w:pPr>
      <w:pStyle w:val="2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93</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AlM8fSAQAAowMAAA4AAABkcnMvZTJvRG9jLnhtbK1TS27bMBDd F+gdCO5rKQaSqILloIWRoEDRFkhyAJoiLQL8gUNb8gXaG3TVTfc9l8/RISU5QbrJohtqhjN8M+/N aHUzGE0OIoBytqEXi5ISYblrld019PHh9l1FCURmW6adFQ09CqA367dvVr2vxdJ1TrciEASxUPe+ oV2Mvi4K4J0wDBbOC4tB6YJhEd2wK9rAekQ3uliW5VXRu9D64LgAwNvNGKQTYngNoJNScbFxfG+E jSNqEJpFpASd8kDXuVspBY9fpQQRiW4oMo35xCJob9NZrFes3gXmO8WnFthrWnjByTBlsegZasMi I/ug/oEyigcHTsYFd6YYiWRFkMVF+UKb+455kbmg1ODPosP/g+VfDt8CUW1DrymxzODATz9/nH79 Of3+Tt4neXoPNWbde8yLw0c34NLM94CXifUgg0lf5EMwjuIez+KKIRKeHlXLqioxxDE2O4hfPD33 AeKdcIYko6EBp5dFZYfPEMfUOSVVs+5WaZ0nqC3pEfWyur7ML84hRNcWiyQWY7fJisN2mKhtXXtE Zj2uQEMtbjwl+pNFhdO2zEaYje1s7H1Quy6vU2oF/I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8CUzx9IBAACjAwAADgAAAAAAAAABACAAAAAi AQAAZHJzL2Uyb0RvYy54bWxQSwUGAAAAAAYABgBZAQAAZgUAAAAA ">
              <v:fill on="f" focussize="0,0"/>
              <v:stroke on="f" weight="1.25pt"/>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8206" w:y="1"/>
      <w:rPr>
        <w:rStyle w:val="38"/>
        <w:rFonts w:hint="eastAsia" w:ascii="宋体" w:hAnsi="宋体" w:eastAsia="宋体"/>
        <w:sz w:val="28"/>
        <w:szCs w:val="28"/>
      </w:rPr>
    </w:pPr>
    <w:r>
      <w:rPr>
        <w:sz w:val="21"/>
        <w:szCs w:val="21"/>
      </w:rPr>
      <w:fldChar w:fldCharType="begin"/>
    </w:r>
    <w:r>
      <w:rPr>
        <w:rStyle w:val="38"/>
        <w:sz w:val="21"/>
        <w:szCs w:val="21"/>
      </w:rPr>
      <w:instrText xml:space="preserve"> PAGE </w:instrText>
    </w:r>
    <w:r>
      <w:rPr>
        <w:sz w:val="21"/>
        <w:szCs w:val="21"/>
      </w:rPr>
      <w:fldChar w:fldCharType="separate"/>
    </w:r>
    <w:r>
      <w:rPr>
        <w:rStyle w:val="38"/>
        <w:sz w:val="21"/>
        <w:szCs w:val="21"/>
        <w:lang/>
      </w:rPr>
      <w:t>32</w:t>
    </w:r>
    <w:r>
      <w:rPr>
        <w:sz w:val="21"/>
        <w:szCs w:val="21"/>
      </w:rP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8206" w:y="49"/>
      <w:rPr>
        <w:rStyle w:val="38"/>
        <w:rFonts w:hint="eastAsia" w:ascii="宋体" w:hAnsi="宋体" w:eastAsia="宋体"/>
        <w:sz w:val="28"/>
        <w:szCs w:val="28"/>
      </w:rPr>
    </w:pPr>
    <w:r>
      <w:rPr>
        <w:sz w:val="21"/>
        <w:szCs w:val="21"/>
      </w:rPr>
      <w:fldChar w:fldCharType="begin"/>
    </w:r>
    <w:r>
      <w:rPr>
        <w:rStyle w:val="38"/>
        <w:sz w:val="21"/>
        <w:szCs w:val="21"/>
      </w:rPr>
      <w:instrText xml:space="preserve"> PAGE </w:instrText>
    </w:r>
    <w:r>
      <w:rPr>
        <w:sz w:val="21"/>
        <w:szCs w:val="21"/>
      </w:rPr>
      <w:fldChar w:fldCharType="separate"/>
    </w:r>
    <w:r>
      <w:rPr>
        <w:rStyle w:val="38"/>
        <w:sz w:val="21"/>
        <w:szCs w:val="21"/>
        <w:lang/>
      </w:rPr>
      <w:t>45</w:t>
    </w:r>
    <w:r>
      <w:rPr>
        <w:sz w:val="21"/>
        <w:szCs w:val="21"/>
      </w:rPr>
      <w:fldChar w:fldCharType="end"/>
    </w:r>
  </w:p>
  <w:p>
    <w:pPr>
      <w:pStyle w:val="23"/>
      <w:ind w:right="360"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5686" w:y="52"/>
      <w:rPr>
        <w:rStyle w:val="38"/>
        <w:rFonts w:hint="eastAsia" w:ascii="宋体" w:hAnsi="宋体" w:eastAsia="宋体"/>
        <w:sz w:val="28"/>
        <w:szCs w:val="28"/>
      </w:rPr>
    </w:pPr>
    <w:r>
      <w:rPr>
        <w:sz w:val="21"/>
        <w:szCs w:val="21"/>
      </w:rPr>
      <w:fldChar w:fldCharType="begin"/>
    </w:r>
    <w:r>
      <w:rPr>
        <w:rStyle w:val="38"/>
        <w:sz w:val="21"/>
        <w:szCs w:val="21"/>
      </w:rPr>
      <w:instrText xml:space="preserve"> PAGE </w:instrText>
    </w:r>
    <w:r>
      <w:rPr>
        <w:sz w:val="21"/>
        <w:szCs w:val="21"/>
      </w:rPr>
      <w:fldChar w:fldCharType="separate"/>
    </w:r>
    <w:r>
      <w:rPr>
        <w:rStyle w:val="38"/>
        <w:sz w:val="21"/>
        <w:szCs w:val="21"/>
        <w:lang/>
      </w:rPr>
      <w:t>41</w:t>
    </w:r>
    <w:r>
      <w:rPr>
        <w:sz w:val="21"/>
        <w:szCs w:val="21"/>
      </w:rPr>
      <w:fldChar w:fldCharType="end"/>
    </w:r>
  </w:p>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Style w:val="38"/>
                            </w:rPr>
                          </w:pPr>
                          <w:r>
                            <w:fldChar w:fldCharType="begin"/>
                          </w:r>
                          <w:r>
                            <w:rPr>
                              <w:rStyle w:val="38"/>
                            </w:rPr>
                            <w:instrText xml:space="preserve">PAGE  </w:instrText>
                          </w:r>
                          <w:r>
                            <w:fldChar w:fldCharType="separate"/>
                          </w:r>
                          <w:r>
                            <w:rPr>
                              <w:rStyle w:val="38"/>
                            </w:rPr>
                            <w:t>32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l7bi/SAQAApAMAAA4AAABkcnMvZTJvRG9jLnhtbK1TzY7TMBC+ I/EOlu80aaVCFDVdLaoWISFAWvYBXMduLPlPHrdJXwDegBMX7jxXn4Oxk3TRctnDXpwZz/ib+b6Z bG4Go8lJBFDONnS5KCkRlrtW2UNDH77dvakogchsy7SzoqFnAfRm+/rVpve1WLnO6VYEgiAW6t43 tIvR10UBvBOGwcJ5YTEoXTAsohsORRtYj+hGF6uyfFv0LrQ+OC4A8HY3BumEGJ4D6KRUXOwcPxph 44gahGYRKUGnPNBt7lZKweMXKUFEohuKTGM+sQja+3QW2w2rD4H5TvGpBfacFp5wMkxZLHqF2rHI yDGo/6CM4sGBk3HBnSlGIlkRZLEsn2hz3zEvMheUGvxVdHg5WP759DUQ1TZ0TYllBgd++fnj8uvP 5fd3slwmfXoPNabde0yMw3s34NbM94CXifYgg0lfJEQwjuqer+qKIRKeHlWrqioxxDE2O4hfPD73 AeIH4QxJRkMDji+ryk6fII6pc0qqZt2d0jqPUFvSI+q6erfOL64hRNcWiyQWY7fJisN+mKjtXXtG Zj3uQEMtrjwl+qNFidO6zEaYjf1sHH1Qhy7vU2oF/O0xYju5y1RhhJ0K4/Ayz2nR0nb86+esx59r +x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XtuL9IBAACkAwAADgAAAAAAAAABACAAAAAi AQAAZHJzL2Uyb0RvYy54bWxQSwUGAAAAAAYABgBZAQAAZgUAAAAA ">
              <v:fill on="f" focussize="0,0"/>
              <v:stroke on="f" weight="1.25pt"/>
              <v:imagedata o:title=""/>
              <o:lock v:ext="edit" aspectratio="f"/>
              <v:textbox inset="0mm,0mm,0mm,0mm" style="mso-fit-shape-to-text:t;">
                <w:txbxContent>
                  <w:p>
                    <w:pPr>
                      <w:pStyle w:val="23"/>
                      <w:rPr>
                        <w:rStyle w:val="38"/>
                      </w:rPr>
                    </w:pPr>
                    <w:r>
                      <w:fldChar w:fldCharType="begin"/>
                    </w:r>
                    <w:r>
                      <w:rPr>
                        <w:rStyle w:val="38"/>
                      </w:rPr>
                      <w:instrText xml:space="preserve">PAGE  </w:instrText>
                    </w:r>
                    <w:r>
                      <w:fldChar w:fldCharType="separate"/>
                    </w:r>
                    <w:r>
                      <w:rPr>
                        <w:rStyle w:val="38"/>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3</w:t>
    </w:r>
    <w:r>
      <w:fldChar w:fldCharType="end"/>
    </w:r>
  </w:p>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JpO6nRAQAApAMAAA4AAABkcnMvZTJvRG9jLnhtbK1TzY7TMBC+ I/EOlu80aaWFKGq6WlQtQkKAtOwDuI7dWPKfPG6TvgC8AScu3HmuPgdjJ2nRctnDXpwZz/ib+b6Z rG8Ho8lRBFDONnS5KCkRlrtW2X1DH7/dv6kogchsy7SzoqEnAfR28/rVuve1WLnO6VYEgiAW6t43 tIvR10UBvBOGwcJ5YTEoXTAsohv2RRtYj+hGF6uyfFv0LrQ+OC4A8HY7BumEGJ4D6KRUXGwdPxhh 44gahGYRKUGnPNBN7lZKweMXKUFEohuKTGM+sQjau3QWmzWr94H5TvGpBfacFp5wMkxZLHqB2rLI yCGo/6CM4sGBk3HBnSlGIlkRZLEsn2jz0DEvMheUGvxFdHg5WP75+DUQ1TYUx26ZwYGff/44//pz /v2dLLM+vYca0x48JsbhvRtwa5Ju6R7wMtEeZDDpi4QIxlHd00VdMUTC06NqVVUlhjjGZgdxiutz HyB+EM6QZDQ04Piyquz4CeKYOqekatbdK63zCLUlPaLeVO9u8otLCNG1xSLXbpMVh90wUdi59oTM etyBhlpceUr0R4sSp3WZjTAbu9k4+KD2Xd6n1Ar4u0PEdnKXqcIIOxXG4WWe06Kl7fjXz1nXn2vz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SaTup0QEAAKQDAAAOAAAAAAAAAAEAIAAAACIB AABkcnMvZTJvRG9jLnhtbFBLBQYAAAAABgAGAFkBAABlBQAAAAA= ">
              <v:fill on="f" focussize="0,0"/>
              <v:stroke on="f" weight="1.25pt"/>
              <v:imagedata o:title=""/>
              <o:lock v:ext="edit" aspectratio="f"/>
              <v:textbox inset="0mm,0mm,0mm,0mm" style="mso-fit-shape-to-text:t;">
                <w:txbxContent>
                  <w:p>
                    <w:pPr>
                      <w:pStyle w:val="2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center"/>
    </w:pPr>
    <w:r>
      <w:fldChar w:fldCharType="begin"/>
    </w:r>
    <w:r>
      <w:rPr>
        <w:rStyle w:val="38"/>
      </w:rPr>
      <w:instrText xml:space="preserve"> PAGE </w:instrText>
    </w:r>
    <w:r>
      <w:fldChar w:fldCharType="separate"/>
    </w:r>
    <w:r>
      <w:rPr>
        <w:rStyle w:val="38"/>
        <w:lang/>
      </w:rPr>
      <w:t>92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90</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UV8UnSAQAAowMAAA4AAABkcnMvZTJvRG9jLnhtbK1TS27bMBDd F8gdCO5jKQaSCILlIIGRokCRFkh7AJoiLQL8gUNb8gXaG3TVTfc9l8/RISU5RbrJohtqhjN8M+/N aHU3GE0OIoBytqFXi5ISYblrld019OuXx8uKEojMtkw7Kxp6FEDv1hfvVr2vxdJ1TrciEASxUPe+ oV2Mvi4K4J0wDBbOC4tB6YJhEd2wK9rAekQ3uliW5U3Ru9D64LgAwNvNGKQTYngLoJNScbFxfG+E jSNqEJpFpASd8kDXuVspBY+fpAQRiW4oMo35xCJob9NZrFes3gXmO8WnFthbWnjFyTBlsegZasMi I/ug/oEyigcHTsYFd6YYiWRFkMVV+Uqb5455kbmg1ODPosP/g+VPh8+BqLahN5RYZnDgpx/fTz9/ n359I1WSp/dQY9azx7w4PLgBl2a+B7xMrAcZTPoiH4JxFPd4FlcMkfD0qFpWVYkhjrHZQfzi5bkP EN8LZ0gyGhpwellUdvgIcUydU1I16x6V1nmC2pIeUa+r2+v84hxCdG2xSGIxdpusOGyHidrWtUdk 1uMKNNTixlOiP1hUOG3LbITZ2M7G3ge16/I6pVbA3+8jtpO7TBVG2Kkwzi7znPYsLcfffs56+bfW fw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JRXxSdIBAACjAwAADgAAAAAAAAABACAAAAAi AQAAZHJzL2Uyb0RvYy54bWxQSwUGAAAAAAYABgBZAQAAZgUAAAAA ">
              <v:fill on="f" focussize="0,0"/>
              <v:stroke on="f" weight="1.25pt"/>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left"/>
      <w:rPr>
        <w:rFonts w:ascii="宋体" w:cs="宋体"/>
        <w:sz w:val="21"/>
        <w:szCs w:val="21"/>
        <w:u w:val="single"/>
      </w:rPr>
    </w:pPr>
    <w:r>
      <w:rPr>
        <w:rFonts w:hint="eastAsia" w:ascii="宋体" w:cs="宋体"/>
        <w:sz w:val="21"/>
        <w:szCs w:val="21"/>
        <w:u w:val="single"/>
      </w:rPr>
      <w:t xml:space="preserve">                                                                竞争性磋商采购文件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rFonts w:ascii="宋体" w:cs="宋体"/>
        <w:sz w:val="21"/>
        <w:szCs w:val="21"/>
        <w:u w:val="single"/>
      </w:rPr>
    </w:pPr>
    <w:r>
      <w:rPr>
        <w:rFonts w:hint="eastAsia" w:ascii="宋体" w:cs="宋体"/>
        <w:sz w:val="21"/>
        <w:szCs w:val="21"/>
        <w:u w:val="single"/>
      </w:rPr>
      <w:t xml:space="preserve">                                                                                                                  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rFonts w:ascii="宋体" w:cs="宋体"/>
        <w:sz w:val="21"/>
        <w:szCs w:val="21"/>
        <w:u w:val="single"/>
      </w:rPr>
    </w:pPr>
    <w:r>
      <w:rPr>
        <w:rFonts w:hint="eastAsia" w:ascii="宋体" w:cs="宋体"/>
        <w:sz w:val="21"/>
        <w:szCs w:val="21"/>
        <w:u w:val="single"/>
      </w:rPr>
      <w:t xml:space="preserve">                                                                                                                  竞争性磋商采购文件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left"/>
      <w:rPr>
        <w:rFonts w:ascii="宋体" w:cs="宋体"/>
        <w:sz w:val="21"/>
        <w:szCs w:val="21"/>
        <w:u w:val="single"/>
      </w:rPr>
    </w:pPr>
    <w:r>
      <w:rPr>
        <w:rFonts w:hint="eastAsia" w:ascii="宋体" w:cs="宋体"/>
        <w:sz w:val="21"/>
        <w:szCs w:val="21"/>
        <w:u w:val="single"/>
      </w:rPr>
      <w:t xml:space="preserve">                                                                竞争性磋商采购文件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right"/>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right"/>
      <w:rPr>
        <w:rFonts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8603E"/>
    <w:multiLevelType w:val="singleLevel"/>
    <w:tmpl w:val="ADA8603E"/>
    <w:lvl w:ilvl="0" w:tentative="0">
      <w:start w:val="3"/>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101A1A5D"/>
    <w:multiLevelType w:val="singleLevel"/>
    <w:tmpl w:val="101A1A5D"/>
    <w:lvl w:ilvl="0" w:tentative="0">
      <w:start w:val="2"/>
      <w:numFmt w:val="decimal"/>
      <w:suff w:val="nothing"/>
      <w:lvlText w:val="（%1）"/>
      <w:lvlJc w:val="left"/>
    </w:lvl>
  </w:abstractNum>
  <w:abstractNum w:abstractNumId="5">
    <w:nsid w:val="3D32CB5C"/>
    <w:multiLevelType w:val="singleLevel"/>
    <w:tmpl w:val="3D32CB5C"/>
    <w:lvl w:ilvl="0" w:tentative="0">
      <w:start w:val="12"/>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5B0568A"/>
    <w:multiLevelType w:val="singleLevel"/>
    <w:tmpl w:val="55B0568A"/>
    <w:lvl w:ilvl="0" w:tentative="0">
      <w:start w:val="3"/>
      <w:numFmt w:val="chineseCounting"/>
      <w:suff w:val="nothing"/>
      <w:lvlText w:val="%1、"/>
      <w:lvlJc w:val="left"/>
    </w:lvl>
  </w:abstractNum>
  <w:abstractNum w:abstractNumId="9">
    <w:nsid w:val="55B05F78"/>
    <w:multiLevelType w:val="singleLevel"/>
    <w:tmpl w:val="55B05F78"/>
    <w:lvl w:ilvl="0" w:tentative="0">
      <w:start w:val="2"/>
      <w:numFmt w:val="decimal"/>
      <w:suff w:val="nothing"/>
      <w:lvlText w:val="%1、"/>
      <w:lvlJc w:val="left"/>
    </w:lvl>
  </w:abstractNum>
  <w:abstractNum w:abstractNumId="10">
    <w:nsid w:val="55CE5A7A"/>
    <w:multiLevelType w:val="singleLevel"/>
    <w:tmpl w:val="55CE5A7A"/>
    <w:lvl w:ilvl="0" w:tentative="0">
      <w:start w:val="1"/>
      <w:numFmt w:val="decimal"/>
      <w:suff w:val="nothing"/>
      <w:lvlText w:val="（%1）"/>
      <w:lvlJc w:val="left"/>
    </w:lvl>
  </w:abstractNum>
  <w:abstractNum w:abstractNumId="11">
    <w:nsid w:val="597A792B"/>
    <w:multiLevelType w:val="singleLevel"/>
    <w:tmpl w:val="597A792B"/>
    <w:lvl w:ilvl="0" w:tentative="0">
      <w:start w:val="1"/>
      <w:numFmt w:val="decimal"/>
      <w:suff w:val="nothing"/>
      <w:lvlText w:val="（%1）"/>
      <w:lvlJc w:val="left"/>
    </w:lvl>
  </w:abstractNum>
  <w:num w:numId="1">
    <w:abstractNumId w:val="0"/>
  </w:num>
  <w:num w:numId="2">
    <w:abstractNumId w:val="10"/>
  </w:num>
  <w:num w:numId="3">
    <w:abstractNumId w:val="5"/>
  </w:num>
  <w:num w:numId="4">
    <w:abstractNumId w:val="11"/>
  </w:num>
  <w:num w:numId="5">
    <w:abstractNumId w:val="8"/>
  </w:num>
  <w:num w:numId="6">
    <w:abstractNumId w:val="9"/>
  </w:num>
  <w:num w:numId="7">
    <w:abstractNumId w:val="4"/>
  </w:num>
  <w:num w:numId="8">
    <w:abstractNumId w:val="3"/>
  </w:num>
  <w:num w:numId="9">
    <w:abstractNumId w:val="2"/>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MDI0NjRhODE1YmNiZjIzZjIzMDVkODY4N2NmMTMifQ=="/>
  </w:docVars>
  <w:rsids>
    <w:rsidRoot w:val="00172A27"/>
    <w:rsid w:val="0000483E"/>
    <w:rsid w:val="000364EC"/>
    <w:rsid w:val="000759B9"/>
    <w:rsid w:val="000A53C9"/>
    <w:rsid w:val="000B0B99"/>
    <w:rsid w:val="000C3B6E"/>
    <w:rsid w:val="000D1925"/>
    <w:rsid w:val="000E6F99"/>
    <w:rsid w:val="00107F3A"/>
    <w:rsid w:val="00125731"/>
    <w:rsid w:val="0012628A"/>
    <w:rsid w:val="001348B2"/>
    <w:rsid w:val="0014090D"/>
    <w:rsid w:val="00145142"/>
    <w:rsid w:val="00146ACD"/>
    <w:rsid w:val="00170734"/>
    <w:rsid w:val="00172971"/>
    <w:rsid w:val="0019262F"/>
    <w:rsid w:val="00196909"/>
    <w:rsid w:val="001A29F7"/>
    <w:rsid w:val="001B4307"/>
    <w:rsid w:val="001B477B"/>
    <w:rsid w:val="001C3CE9"/>
    <w:rsid w:val="00207077"/>
    <w:rsid w:val="002204E1"/>
    <w:rsid w:val="00233DA4"/>
    <w:rsid w:val="00245942"/>
    <w:rsid w:val="0024619F"/>
    <w:rsid w:val="002601C2"/>
    <w:rsid w:val="00281692"/>
    <w:rsid w:val="002A2E79"/>
    <w:rsid w:val="002A3D37"/>
    <w:rsid w:val="002A46CA"/>
    <w:rsid w:val="002B44A9"/>
    <w:rsid w:val="002D4206"/>
    <w:rsid w:val="002D69B4"/>
    <w:rsid w:val="002E2DE2"/>
    <w:rsid w:val="0030697E"/>
    <w:rsid w:val="00317583"/>
    <w:rsid w:val="00335745"/>
    <w:rsid w:val="00350FBC"/>
    <w:rsid w:val="003673D8"/>
    <w:rsid w:val="00377487"/>
    <w:rsid w:val="00377EAB"/>
    <w:rsid w:val="0038576C"/>
    <w:rsid w:val="00392364"/>
    <w:rsid w:val="00395F0F"/>
    <w:rsid w:val="003C4D93"/>
    <w:rsid w:val="003D7935"/>
    <w:rsid w:val="003E0569"/>
    <w:rsid w:val="003F137F"/>
    <w:rsid w:val="003F49FA"/>
    <w:rsid w:val="003F64D8"/>
    <w:rsid w:val="0042001A"/>
    <w:rsid w:val="00425DDE"/>
    <w:rsid w:val="00432AA8"/>
    <w:rsid w:val="0043696D"/>
    <w:rsid w:val="00442E72"/>
    <w:rsid w:val="00444991"/>
    <w:rsid w:val="004455C2"/>
    <w:rsid w:val="00455EEB"/>
    <w:rsid w:val="00460BA8"/>
    <w:rsid w:val="004674B1"/>
    <w:rsid w:val="00481497"/>
    <w:rsid w:val="00483095"/>
    <w:rsid w:val="004872C0"/>
    <w:rsid w:val="004B5245"/>
    <w:rsid w:val="004C7111"/>
    <w:rsid w:val="004D6575"/>
    <w:rsid w:val="004F5188"/>
    <w:rsid w:val="004F603C"/>
    <w:rsid w:val="00502B74"/>
    <w:rsid w:val="00510DEA"/>
    <w:rsid w:val="005176A0"/>
    <w:rsid w:val="00524002"/>
    <w:rsid w:val="0053221C"/>
    <w:rsid w:val="00540D90"/>
    <w:rsid w:val="005447FC"/>
    <w:rsid w:val="00545347"/>
    <w:rsid w:val="00556848"/>
    <w:rsid w:val="00574C52"/>
    <w:rsid w:val="00590264"/>
    <w:rsid w:val="00591CA5"/>
    <w:rsid w:val="00595132"/>
    <w:rsid w:val="0059539D"/>
    <w:rsid w:val="005B4B60"/>
    <w:rsid w:val="005B6AD0"/>
    <w:rsid w:val="005C1FA7"/>
    <w:rsid w:val="005C7FFB"/>
    <w:rsid w:val="005F467A"/>
    <w:rsid w:val="00615548"/>
    <w:rsid w:val="00616658"/>
    <w:rsid w:val="00647600"/>
    <w:rsid w:val="006553B8"/>
    <w:rsid w:val="006869C6"/>
    <w:rsid w:val="006A1D8E"/>
    <w:rsid w:val="006A26B8"/>
    <w:rsid w:val="006C44FB"/>
    <w:rsid w:val="006E37C4"/>
    <w:rsid w:val="007063D9"/>
    <w:rsid w:val="00712BEA"/>
    <w:rsid w:val="00716B2A"/>
    <w:rsid w:val="00717C47"/>
    <w:rsid w:val="00743376"/>
    <w:rsid w:val="007476FB"/>
    <w:rsid w:val="00752CE6"/>
    <w:rsid w:val="007638DE"/>
    <w:rsid w:val="007816BD"/>
    <w:rsid w:val="00797211"/>
    <w:rsid w:val="007A005E"/>
    <w:rsid w:val="0081078A"/>
    <w:rsid w:val="00814A1A"/>
    <w:rsid w:val="00820B04"/>
    <w:rsid w:val="00833358"/>
    <w:rsid w:val="00835AFF"/>
    <w:rsid w:val="008420E3"/>
    <w:rsid w:val="00844555"/>
    <w:rsid w:val="008468AE"/>
    <w:rsid w:val="0085132D"/>
    <w:rsid w:val="00856C80"/>
    <w:rsid w:val="00863E76"/>
    <w:rsid w:val="00865C12"/>
    <w:rsid w:val="0088482D"/>
    <w:rsid w:val="00892CEA"/>
    <w:rsid w:val="008A0116"/>
    <w:rsid w:val="008C5FAF"/>
    <w:rsid w:val="008D596D"/>
    <w:rsid w:val="008F118E"/>
    <w:rsid w:val="008F465A"/>
    <w:rsid w:val="00911982"/>
    <w:rsid w:val="00920699"/>
    <w:rsid w:val="009223FE"/>
    <w:rsid w:val="009226C8"/>
    <w:rsid w:val="00926A8B"/>
    <w:rsid w:val="009321E0"/>
    <w:rsid w:val="009436BA"/>
    <w:rsid w:val="00956546"/>
    <w:rsid w:val="00976AFD"/>
    <w:rsid w:val="00980B3A"/>
    <w:rsid w:val="009850F5"/>
    <w:rsid w:val="009B156C"/>
    <w:rsid w:val="009B3DFA"/>
    <w:rsid w:val="009E7C40"/>
    <w:rsid w:val="009F0610"/>
    <w:rsid w:val="00A06296"/>
    <w:rsid w:val="00A21A3E"/>
    <w:rsid w:val="00A3433E"/>
    <w:rsid w:val="00A351A2"/>
    <w:rsid w:val="00A3657D"/>
    <w:rsid w:val="00A366B8"/>
    <w:rsid w:val="00A45CDB"/>
    <w:rsid w:val="00A537CE"/>
    <w:rsid w:val="00A53C5C"/>
    <w:rsid w:val="00A56155"/>
    <w:rsid w:val="00A63373"/>
    <w:rsid w:val="00A71057"/>
    <w:rsid w:val="00A84EDD"/>
    <w:rsid w:val="00A874F4"/>
    <w:rsid w:val="00AA6D30"/>
    <w:rsid w:val="00AC10B8"/>
    <w:rsid w:val="00AC778B"/>
    <w:rsid w:val="00B03EE5"/>
    <w:rsid w:val="00B316E1"/>
    <w:rsid w:val="00B53C64"/>
    <w:rsid w:val="00B548CF"/>
    <w:rsid w:val="00B562F9"/>
    <w:rsid w:val="00B81ED0"/>
    <w:rsid w:val="00B909AF"/>
    <w:rsid w:val="00BB1372"/>
    <w:rsid w:val="00BD3D2F"/>
    <w:rsid w:val="00BF228B"/>
    <w:rsid w:val="00BF7878"/>
    <w:rsid w:val="00C06499"/>
    <w:rsid w:val="00C13C83"/>
    <w:rsid w:val="00C476C9"/>
    <w:rsid w:val="00C5563C"/>
    <w:rsid w:val="00C74202"/>
    <w:rsid w:val="00C82B2C"/>
    <w:rsid w:val="00C93717"/>
    <w:rsid w:val="00C948C3"/>
    <w:rsid w:val="00C94E1D"/>
    <w:rsid w:val="00CB5DB4"/>
    <w:rsid w:val="00CB774F"/>
    <w:rsid w:val="00CC27AA"/>
    <w:rsid w:val="00CD69E2"/>
    <w:rsid w:val="00CE04BC"/>
    <w:rsid w:val="00CE593E"/>
    <w:rsid w:val="00CF7E2D"/>
    <w:rsid w:val="00D074D3"/>
    <w:rsid w:val="00D15812"/>
    <w:rsid w:val="00D16A2A"/>
    <w:rsid w:val="00D21167"/>
    <w:rsid w:val="00D22016"/>
    <w:rsid w:val="00D300ED"/>
    <w:rsid w:val="00D35DC1"/>
    <w:rsid w:val="00D41845"/>
    <w:rsid w:val="00D47F3E"/>
    <w:rsid w:val="00D51DBC"/>
    <w:rsid w:val="00D75183"/>
    <w:rsid w:val="00D76077"/>
    <w:rsid w:val="00D806E1"/>
    <w:rsid w:val="00D83775"/>
    <w:rsid w:val="00D845AB"/>
    <w:rsid w:val="00D84F88"/>
    <w:rsid w:val="00D862D0"/>
    <w:rsid w:val="00DA0022"/>
    <w:rsid w:val="00DA2A8B"/>
    <w:rsid w:val="00DB09E9"/>
    <w:rsid w:val="00DB4C9C"/>
    <w:rsid w:val="00DC6903"/>
    <w:rsid w:val="00DC7587"/>
    <w:rsid w:val="00DD1964"/>
    <w:rsid w:val="00DE1FAA"/>
    <w:rsid w:val="00E0023C"/>
    <w:rsid w:val="00E1214A"/>
    <w:rsid w:val="00E168A1"/>
    <w:rsid w:val="00E4101E"/>
    <w:rsid w:val="00E47CEC"/>
    <w:rsid w:val="00E508A9"/>
    <w:rsid w:val="00E75DD3"/>
    <w:rsid w:val="00EB524A"/>
    <w:rsid w:val="00EC7686"/>
    <w:rsid w:val="00EE57A5"/>
    <w:rsid w:val="00F110CE"/>
    <w:rsid w:val="00F11D9F"/>
    <w:rsid w:val="00F33CBB"/>
    <w:rsid w:val="00F419A4"/>
    <w:rsid w:val="00F45056"/>
    <w:rsid w:val="00F6676B"/>
    <w:rsid w:val="00FC7B97"/>
    <w:rsid w:val="00FD18FD"/>
    <w:rsid w:val="00FD6796"/>
    <w:rsid w:val="00FE00AD"/>
    <w:rsid w:val="00FE25C4"/>
    <w:rsid w:val="00FF6E41"/>
    <w:rsid w:val="01293393"/>
    <w:rsid w:val="015A5AA8"/>
    <w:rsid w:val="019C5F49"/>
    <w:rsid w:val="019F283F"/>
    <w:rsid w:val="01F118EF"/>
    <w:rsid w:val="0205498E"/>
    <w:rsid w:val="021F2CA5"/>
    <w:rsid w:val="022B4FF1"/>
    <w:rsid w:val="02B70969"/>
    <w:rsid w:val="02CE2F1B"/>
    <w:rsid w:val="02F839CD"/>
    <w:rsid w:val="037643CD"/>
    <w:rsid w:val="03A91387"/>
    <w:rsid w:val="03CE10B9"/>
    <w:rsid w:val="041B6ED7"/>
    <w:rsid w:val="041D7DC8"/>
    <w:rsid w:val="04394D67"/>
    <w:rsid w:val="04870755"/>
    <w:rsid w:val="048F04A3"/>
    <w:rsid w:val="0543026B"/>
    <w:rsid w:val="055E78A9"/>
    <w:rsid w:val="05D47115"/>
    <w:rsid w:val="05E669D3"/>
    <w:rsid w:val="06576207"/>
    <w:rsid w:val="06F46775"/>
    <w:rsid w:val="071D297B"/>
    <w:rsid w:val="07445783"/>
    <w:rsid w:val="075A4232"/>
    <w:rsid w:val="079B551D"/>
    <w:rsid w:val="07F87CFE"/>
    <w:rsid w:val="080A5070"/>
    <w:rsid w:val="082D4D65"/>
    <w:rsid w:val="085B3E9F"/>
    <w:rsid w:val="08667704"/>
    <w:rsid w:val="092A1D77"/>
    <w:rsid w:val="09557CF2"/>
    <w:rsid w:val="095F7DF2"/>
    <w:rsid w:val="09617E53"/>
    <w:rsid w:val="09950EA6"/>
    <w:rsid w:val="09C83435"/>
    <w:rsid w:val="09FE743C"/>
    <w:rsid w:val="0B002F91"/>
    <w:rsid w:val="0B201190"/>
    <w:rsid w:val="0B490D53"/>
    <w:rsid w:val="0BE1371F"/>
    <w:rsid w:val="0C3A0A76"/>
    <w:rsid w:val="0C5E4584"/>
    <w:rsid w:val="0C631BFF"/>
    <w:rsid w:val="0CBF4647"/>
    <w:rsid w:val="0D6C40FB"/>
    <w:rsid w:val="0D7F4351"/>
    <w:rsid w:val="0D9E2DB1"/>
    <w:rsid w:val="0DC40F5C"/>
    <w:rsid w:val="0DCF4272"/>
    <w:rsid w:val="0DDE42EF"/>
    <w:rsid w:val="0DDF0F91"/>
    <w:rsid w:val="0E2D1202"/>
    <w:rsid w:val="0E93456E"/>
    <w:rsid w:val="0EEE2A71"/>
    <w:rsid w:val="0F126B7E"/>
    <w:rsid w:val="0F2F0B23"/>
    <w:rsid w:val="0F2F458D"/>
    <w:rsid w:val="0FCC1F20"/>
    <w:rsid w:val="0FCD2443"/>
    <w:rsid w:val="0FE31E38"/>
    <w:rsid w:val="100174C5"/>
    <w:rsid w:val="10054FFB"/>
    <w:rsid w:val="100B7BD7"/>
    <w:rsid w:val="110B3874"/>
    <w:rsid w:val="11490B15"/>
    <w:rsid w:val="11756876"/>
    <w:rsid w:val="117F087D"/>
    <w:rsid w:val="12374CB3"/>
    <w:rsid w:val="124E1376"/>
    <w:rsid w:val="12737171"/>
    <w:rsid w:val="127547DD"/>
    <w:rsid w:val="12805A5F"/>
    <w:rsid w:val="12BD7782"/>
    <w:rsid w:val="13573133"/>
    <w:rsid w:val="13601D6A"/>
    <w:rsid w:val="13670D49"/>
    <w:rsid w:val="146F4D96"/>
    <w:rsid w:val="148041DD"/>
    <w:rsid w:val="14920622"/>
    <w:rsid w:val="14AE0463"/>
    <w:rsid w:val="15FA715B"/>
    <w:rsid w:val="161114EA"/>
    <w:rsid w:val="16132CAD"/>
    <w:rsid w:val="16495476"/>
    <w:rsid w:val="1686516A"/>
    <w:rsid w:val="16E64EFA"/>
    <w:rsid w:val="176A147E"/>
    <w:rsid w:val="17955656"/>
    <w:rsid w:val="17A54136"/>
    <w:rsid w:val="17CF6F94"/>
    <w:rsid w:val="18402609"/>
    <w:rsid w:val="184D5206"/>
    <w:rsid w:val="186F0889"/>
    <w:rsid w:val="19992854"/>
    <w:rsid w:val="19C5529B"/>
    <w:rsid w:val="19D96F0B"/>
    <w:rsid w:val="1A932042"/>
    <w:rsid w:val="1AAD7038"/>
    <w:rsid w:val="1B8861B9"/>
    <w:rsid w:val="1BA92DA3"/>
    <w:rsid w:val="1BD86CE0"/>
    <w:rsid w:val="1BDC68CC"/>
    <w:rsid w:val="1C070CD2"/>
    <w:rsid w:val="1C5E1D0D"/>
    <w:rsid w:val="1C620041"/>
    <w:rsid w:val="1CA22BE9"/>
    <w:rsid w:val="1CA94568"/>
    <w:rsid w:val="1CA95852"/>
    <w:rsid w:val="1D0B56BD"/>
    <w:rsid w:val="1D400E5B"/>
    <w:rsid w:val="1D636C4F"/>
    <w:rsid w:val="1D6B6159"/>
    <w:rsid w:val="1D7017DA"/>
    <w:rsid w:val="1E6D39E8"/>
    <w:rsid w:val="1EA4168C"/>
    <w:rsid w:val="1EB9001F"/>
    <w:rsid w:val="1EFA577C"/>
    <w:rsid w:val="1F242DF5"/>
    <w:rsid w:val="1FC649E7"/>
    <w:rsid w:val="1FF50CC5"/>
    <w:rsid w:val="204752C1"/>
    <w:rsid w:val="207578EA"/>
    <w:rsid w:val="20801F1B"/>
    <w:rsid w:val="20984C17"/>
    <w:rsid w:val="21736067"/>
    <w:rsid w:val="218B522D"/>
    <w:rsid w:val="21AA2429"/>
    <w:rsid w:val="21C829EF"/>
    <w:rsid w:val="22153FB8"/>
    <w:rsid w:val="221F1617"/>
    <w:rsid w:val="227534CC"/>
    <w:rsid w:val="22A26A85"/>
    <w:rsid w:val="22AF1760"/>
    <w:rsid w:val="23307188"/>
    <w:rsid w:val="23AF6151"/>
    <w:rsid w:val="23BB6ECE"/>
    <w:rsid w:val="23DF2ECC"/>
    <w:rsid w:val="24071A88"/>
    <w:rsid w:val="242205DF"/>
    <w:rsid w:val="246E38B1"/>
    <w:rsid w:val="24C771A1"/>
    <w:rsid w:val="24CB6849"/>
    <w:rsid w:val="24D82326"/>
    <w:rsid w:val="24FB6014"/>
    <w:rsid w:val="250A36B9"/>
    <w:rsid w:val="25916308"/>
    <w:rsid w:val="25923A90"/>
    <w:rsid w:val="25F92B91"/>
    <w:rsid w:val="26272E5C"/>
    <w:rsid w:val="2628108B"/>
    <w:rsid w:val="26711F1E"/>
    <w:rsid w:val="26722E4A"/>
    <w:rsid w:val="27AB5AE5"/>
    <w:rsid w:val="27BF1CB1"/>
    <w:rsid w:val="27CA4A35"/>
    <w:rsid w:val="286F5B51"/>
    <w:rsid w:val="287A2F83"/>
    <w:rsid w:val="28A2639B"/>
    <w:rsid w:val="28E05903"/>
    <w:rsid w:val="295D5FFC"/>
    <w:rsid w:val="296C73E9"/>
    <w:rsid w:val="2978304B"/>
    <w:rsid w:val="29BB507A"/>
    <w:rsid w:val="2A9D0851"/>
    <w:rsid w:val="2AB63109"/>
    <w:rsid w:val="2B4E5365"/>
    <w:rsid w:val="2B7437B3"/>
    <w:rsid w:val="2B80449E"/>
    <w:rsid w:val="2C077B27"/>
    <w:rsid w:val="2C1D0D86"/>
    <w:rsid w:val="2C424E2F"/>
    <w:rsid w:val="2C554CD9"/>
    <w:rsid w:val="2CD43938"/>
    <w:rsid w:val="2CEC72A3"/>
    <w:rsid w:val="2D361B01"/>
    <w:rsid w:val="2DA32BFB"/>
    <w:rsid w:val="2EA92A75"/>
    <w:rsid w:val="2EBD1298"/>
    <w:rsid w:val="2F470639"/>
    <w:rsid w:val="2FCE2C3B"/>
    <w:rsid w:val="303D1EDD"/>
    <w:rsid w:val="303F0689"/>
    <w:rsid w:val="30852B66"/>
    <w:rsid w:val="30AF362A"/>
    <w:rsid w:val="30B00A80"/>
    <w:rsid w:val="31641748"/>
    <w:rsid w:val="31803436"/>
    <w:rsid w:val="31E645B2"/>
    <w:rsid w:val="328C2BC0"/>
    <w:rsid w:val="32C27FCB"/>
    <w:rsid w:val="3323456B"/>
    <w:rsid w:val="334802A2"/>
    <w:rsid w:val="33866157"/>
    <w:rsid w:val="33D4621B"/>
    <w:rsid w:val="33EC0B7F"/>
    <w:rsid w:val="33F111AB"/>
    <w:rsid w:val="340C0187"/>
    <w:rsid w:val="345611D6"/>
    <w:rsid w:val="345C0B7C"/>
    <w:rsid w:val="34795403"/>
    <w:rsid w:val="348D6669"/>
    <w:rsid w:val="34C870CF"/>
    <w:rsid w:val="34FB4C82"/>
    <w:rsid w:val="350277BB"/>
    <w:rsid w:val="351C6646"/>
    <w:rsid w:val="353B1039"/>
    <w:rsid w:val="35455860"/>
    <w:rsid w:val="35C162A9"/>
    <w:rsid w:val="35DD0F76"/>
    <w:rsid w:val="361C6307"/>
    <w:rsid w:val="36320179"/>
    <w:rsid w:val="3684230E"/>
    <w:rsid w:val="368735FC"/>
    <w:rsid w:val="36AE0340"/>
    <w:rsid w:val="36CB2218"/>
    <w:rsid w:val="36D45CF0"/>
    <w:rsid w:val="36FA25D0"/>
    <w:rsid w:val="371D5AA0"/>
    <w:rsid w:val="37492042"/>
    <w:rsid w:val="377B3770"/>
    <w:rsid w:val="37906029"/>
    <w:rsid w:val="379B72C3"/>
    <w:rsid w:val="37DB1EC1"/>
    <w:rsid w:val="37E51D4B"/>
    <w:rsid w:val="380145B6"/>
    <w:rsid w:val="380312A8"/>
    <w:rsid w:val="380B348D"/>
    <w:rsid w:val="382505F8"/>
    <w:rsid w:val="38813C28"/>
    <w:rsid w:val="38AB0436"/>
    <w:rsid w:val="38E31D65"/>
    <w:rsid w:val="39E46614"/>
    <w:rsid w:val="39F7056E"/>
    <w:rsid w:val="39FF5C73"/>
    <w:rsid w:val="3A536EA3"/>
    <w:rsid w:val="3A6775DB"/>
    <w:rsid w:val="3AF277D3"/>
    <w:rsid w:val="3B080540"/>
    <w:rsid w:val="3B7E27C6"/>
    <w:rsid w:val="3C1015E9"/>
    <w:rsid w:val="3C187FEB"/>
    <w:rsid w:val="3DB83232"/>
    <w:rsid w:val="3E641AD9"/>
    <w:rsid w:val="3EAB301F"/>
    <w:rsid w:val="3ECF60F0"/>
    <w:rsid w:val="3EDC25BB"/>
    <w:rsid w:val="3EED54B5"/>
    <w:rsid w:val="3F4C5993"/>
    <w:rsid w:val="3F5E5C6F"/>
    <w:rsid w:val="3FA15AA1"/>
    <w:rsid w:val="3FFA46E6"/>
    <w:rsid w:val="405B6232"/>
    <w:rsid w:val="40AA0BC3"/>
    <w:rsid w:val="40CD7DBB"/>
    <w:rsid w:val="411A16FA"/>
    <w:rsid w:val="42320637"/>
    <w:rsid w:val="42930AD9"/>
    <w:rsid w:val="42B20115"/>
    <w:rsid w:val="42D52053"/>
    <w:rsid w:val="42E81058"/>
    <w:rsid w:val="42EB74CC"/>
    <w:rsid w:val="43A93A11"/>
    <w:rsid w:val="43DD2F66"/>
    <w:rsid w:val="43F87207"/>
    <w:rsid w:val="441E71D2"/>
    <w:rsid w:val="443038CC"/>
    <w:rsid w:val="4436355D"/>
    <w:rsid w:val="446D60E3"/>
    <w:rsid w:val="44F52B95"/>
    <w:rsid w:val="45183BF1"/>
    <w:rsid w:val="45842E18"/>
    <w:rsid w:val="459A6F11"/>
    <w:rsid w:val="45A36441"/>
    <w:rsid w:val="45BC1006"/>
    <w:rsid w:val="45CC017F"/>
    <w:rsid w:val="45E56F3B"/>
    <w:rsid w:val="461A2050"/>
    <w:rsid w:val="46266AF2"/>
    <w:rsid w:val="46557D5C"/>
    <w:rsid w:val="46996394"/>
    <w:rsid w:val="46AD6954"/>
    <w:rsid w:val="46CE3FD4"/>
    <w:rsid w:val="472051BA"/>
    <w:rsid w:val="472F2D9A"/>
    <w:rsid w:val="47CC336D"/>
    <w:rsid w:val="48404786"/>
    <w:rsid w:val="48595198"/>
    <w:rsid w:val="485F79BF"/>
    <w:rsid w:val="486D0137"/>
    <w:rsid w:val="49C74622"/>
    <w:rsid w:val="4A1C1055"/>
    <w:rsid w:val="4A2E6A4A"/>
    <w:rsid w:val="4A415366"/>
    <w:rsid w:val="4A9D748F"/>
    <w:rsid w:val="4AD5334D"/>
    <w:rsid w:val="4B837D85"/>
    <w:rsid w:val="4BBF129A"/>
    <w:rsid w:val="4C162FF8"/>
    <w:rsid w:val="4C2A441A"/>
    <w:rsid w:val="4CA23096"/>
    <w:rsid w:val="4D13420C"/>
    <w:rsid w:val="4D6E7A5C"/>
    <w:rsid w:val="4D7166DE"/>
    <w:rsid w:val="4DFC726E"/>
    <w:rsid w:val="4E0300AF"/>
    <w:rsid w:val="4E7302EF"/>
    <w:rsid w:val="4EA52618"/>
    <w:rsid w:val="4EB56A06"/>
    <w:rsid w:val="4EE63103"/>
    <w:rsid w:val="4F2C013C"/>
    <w:rsid w:val="4F2C5EFF"/>
    <w:rsid w:val="4F337927"/>
    <w:rsid w:val="4FB520AF"/>
    <w:rsid w:val="4FC65368"/>
    <w:rsid w:val="4FE379D9"/>
    <w:rsid w:val="500E0296"/>
    <w:rsid w:val="507015E2"/>
    <w:rsid w:val="507467DC"/>
    <w:rsid w:val="509C1BAA"/>
    <w:rsid w:val="50BE7E79"/>
    <w:rsid w:val="510475E0"/>
    <w:rsid w:val="510A3CDA"/>
    <w:rsid w:val="517A1BA6"/>
    <w:rsid w:val="51870D7B"/>
    <w:rsid w:val="52505A48"/>
    <w:rsid w:val="52554440"/>
    <w:rsid w:val="52B26E96"/>
    <w:rsid w:val="533649B7"/>
    <w:rsid w:val="540F5178"/>
    <w:rsid w:val="549A0232"/>
    <w:rsid w:val="549E0C52"/>
    <w:rsid w:val="54CB0723"/>
    <w:rsid w:val="55143451"/>
    <w:rsid w:val="551E5B96"/>
    <w:rsid w:val="557C0F4B"/>
    <w:rsid w:val="55C033EC"/>
    <w:rsid w:val="55CE2F50"/>
    <w:rsid w:val="55CE51B5"/>
    <w:rsid w:val="5674722F"/>
    <w:rsid w:val="56A6433C"/>
    <w:rsid w:val="56D46542"/>
    <w:rsid w:val="5720745C"/>
    <w:rsid w:val="57210164"/>
    <w:rsid w:val="576311BA"/>
    <w:rsid w:val="57671164"/>
    <w:rsid w:val="577369F3"/>
    <w:rsid w:val="578F1045"/>
    <w:rsid w:val="57AA72A2"/>
    <w:rsid w:val="580743D3"/>
    <w:rsid w:val="58333EC2"/>
    <w:rsid w:val="58655814"/>
    <w:rsid w:val="587F6C6A"/>
    <w:rsid w:val="59123D2D"/>
    <w:rsid w:val="5956048D"/>
    <w:rsid w:val="598F2A6A"/>
    <w:rsid w:val="59D95C1D"/>
    <w:rsid w:val="5A177CD7"/>
    <w:rsid w:val="5A184997"/>
    <w:rsid w:val="5AE35843"/>
    <w:rsid w:val="5B2D3B3D"/>
    <w:rsid w:val="5B5515F0"/>
    <w:rsid w:val="5C1271C4"/>
    <w:rsid w:val="5C1817C0"/>
    <w:rsid w:val="5C5958E5"/>
    <w:rsid w:val="5C7B4C4B"/>
    <w:rsid w:val="5C841E70"/>
    <w:rsid w:val="5C94421A"/>
    <w:rsid w:val="5D22440F"/>
    <w:rsid w:val="5D2409BA"/>
    <w:rsid w:val="5D337739"/>
    <w:rsid w:val="5D4C3DFD"/>
    <w:rsid w:val="5DA8672C"/>
    <w:rsid w:val="5DBA3375"/>
    <w:rsid w:val="5DE372AA"/>
    <w:rsid w:val="5DED37D1"/>
    <w:rsid w:val="5E1E4546"/>
    <w:rsid w:val="5E27164D"/>
    <w:rsid w:val="5E741A1E"/>
    <w:rsid w:val="5EB32EE1"/>
    <w:rsid w:val="5F105C3D"/>
    <w:rsid w:val="5F1A3A18"/>
    <w:rsid w:val="5F1A41C6"/>
    <w:rsid w:val="5F1B5FBA"/>
    <w:rsid w:val="5F486C14"/>
    <w:rsid w:val="5FFB5D7E"/>
    <w:rsid w:val="606E099D"/>
    <w:rsid w:val="60E94998"/>
    <w:rsid w:val="615D0A39"/>
    <w:rsid w:val="61642270"/>
    <w:rsid w:val="61703123"/>
    <w:rsid w:val="617C35E7"/>
    <w:rsid w:val="61AD4542"/>
    <w:rsid w:val="61BA44EE"/>
    <w:rsid w:val="620A333C"/>
    <w:rsid w:val="62114F5B"/>
    <w:rsid w:val="621F1EFB"/>
    <w:rsid w:val="627328E9"/>
    <w:rsid w:val="6298784D"/>
    <w:rsid w:val="62C837DA"/>
    <w:rsid w:val="62E05B1A"/>
    <w:rsid w:val="62FF7D00"/>
    <w:rsid w:val="6311467A"/>
    <w:rsid w:val="637A5582"/>
    <w:rsid w:val="63A44056"/>
    <w:rsid w:val="63CE5D8F"/>
    <w:rsid w:val="641C0268"/>
    <w:rsid w:val="643023C0"/>
    <w:rsid w:val="644C036B"/>
    <w:rsid w:val="64EF3851"/>
    <w:rsid w:val="65192323"/>
    <w:rsid w:val="65934DC0"/>
    <w:rsid w:val="65B74AC2"/>
    <w:rsid w:val="65E772C9"/>
    <w:rsid w:val="65ED67BB"/>
    <w:rsid w:val="6618300C"/>
    <w:rsid w:val="663A7A43"/>
    <w:rsid w:val="66471DD8"/>
    <w:rsid w:val="664B73D1"/>
    <w:rsid w:val="66BD79A1"/>
    <w:rsid w:val="66E91464"/>
    <w:rsid w:val="672600B6"/>
    <w:rsid w:val="67DC650E"/>
    <w:rsid w:val="689E221B"/>
    <w:rsid w:val="68F36162"/>
    <w:rsid w:val="69152E69"/>
    <w:rsid w:val="693B41FE"/>
    <w:rsid w:val="69F823FD"/>
    <w:rsid w:val="6A5125D0"/>
    <w:rsid w:val="6A611A43"/>
    <w:rsid w:val="6A6178C5"/>
    <w:rsid w:val="6A6853B7"/>
    <w:rsid w:val="6A826A16"/>
    <w:rsid w:val="6AC74E18"/>
    <w:rsid w:val="6ADC5A6A"/>
    <w:rsid w:val="6B0E5EE3"/>
    <w:rsid w:val="6B533EE1"/>
    <w:rsid w:val="6B6E6FC2"/>
    <w:rsid w:val="6B773084"/>
    <w:rsid w:val="6BC229B5"/>
    <w:rsid w:val="6BD72065"/>
    <w:rsid w:val="6BDF20A5"/>
    <w:rsid w:val="6D092250"/>
    <w:rsid w:val="6D0D5EB2"/>
    <w:rsid w:val="6D8C7212"/>
    <w:rsid w:val="6DCE37BA"/>
    <w:rsid w:val="6E0B52F7"/>
    <w:rsid w:val="6E214998"/>
    <w:rsid w:val="6E3C1E6B"/>
    <w:rsid w:val="6E7D475F"/>
    <w:rsid w:val="6ED21161"/>
    <w:rsid w:val="6EED7ECF"/>
    <w:rsid w:val="6EEE6670"/>
    <w:rsid w:val="6F1B1208"/>
    <w:rsid w:val="6F420E92"/>
    <w:rsid w:val="6F76166B"/>
    <w:rsid w:val="6F8E30F8"/>
    <w:rsid w:val="6FAC005B"/>
    <w:rsid w:val="6FB0667D"/>
    <w:rsid w:val="70134ABB"/>
    <w:rsid w:val="705C5621"/>
    <w:rsid w:val="706746F8"/>
    <w:rsid w:val="70875AE8"/>
    <w:rsid w:val="708D522D"/>
    <w:rsid w:val="70C47A2A"/>
    <w:rsid w:val="70FA5EC4"/>
    <w:rsid w:val="716A5254"/>
    <w:rsid w:val="716A529F"/>
    <w:rsid w:val="71BC398A"/>
    <w:rsid w:val="721B6AC3"/>
    <w:rsid w:val="727E5282"/>
    <w:rsid w:val="73CC2AA5"/>
    <w:rsid w:val="73E3123D"/>
    <w:rsid w:val="74B12817"/>
    <w:rsid w:val="74F636CF"/>
    <w:rsid w:val="74FF6481"/>
    <w:rsid w:val="753C6BEE"/>
    <w:rsid w:val="756A2CCD"/>
    <w:rsid w:val="75836291"/>
    <w:rsid w:val="75D03F20"/>
    <w:rsid w:val="75E7114C"/>
    <w:rsid w:val="76393874"/>
    <w:rsid w:val="76421F15"/>
    <w:rsid w:val="764F5BBD"/>
    <w:rsid w:val="76C059AC"/>
    <w:rsid w:val="77083859"/>
    <w:rsid w:val="77364076"/>
    <w:rsid w:val="78346678"/>
    <w:rsid w:val="78386EAA"/>
    <w:rsid w:val="78A9285F"/>
    <w:rsid w:val="794E3974"/>
    <w:rsid w:val="7966659F"/>
    <w:rsid w:val="79714984"/>
    <w:rsid w:val="79F1067A"/>
    <w:rsid w:val="7A066163"/>
    <w:rsid w:val="7A170370"/>
    <w:rsid w:val="7A6E69C4"/>
    <w:rsid w:val="7A7B6D6E"/>
    <w:rsid w:val="7A94551C"/>
    <w:rsid w:val="7A9D1E5A"/>
    <w:rsid w:val="7B5B4A86"/>
    <w:rsid w:val="7B646ACA"/>
    <w:rsid w:val="7BBD2674"/>
    <w:rsid w:val="7C9D7089"/>
    <w:rsid w:val="7D3B508C"/>
    <w:rsid w:val="7D6718B7"/>
    <w:rsid w:val="7DBD6A78"/>
    <w:rsid w:val="7DFF1847"/>
    <w:rsid w:val="7E2B381B"/>
    <w:rsid w:val="7E824420"/>
    <w:rsid w:val="7E9060C7"/>
    <w:rsid w:val="7EF934A9"/>
    <w:rsid w:val="7F5F25EC"/>
    <w:rsid w:val="7F722880"/>
    <w:rsid w:val="7F8206A0"/>
    <w:rsid w:val="7F9721A4"/>
    <w:rsid w:val="7FA63F53"/>
    <w:rsid w:val="7FE70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snapToGrid w:val="0"/>
      <w:sz w:val="21"/>
      <w:lang w:val="en-US" w:eastAsia="zh-CN" w:bidi="ar-SA"/>
    </w:rPr>
  </w:style>
  <w:style w:type="paragraph" w:styleId="3">
    <w:name w:val="heading 1"/>
    <w:basedOn w:val="1"/>
    <w:next w:val="1"/>
    <w:link w:val="43"/>
    <w:qFormat/>
    <w:uiPriority w:val="0"/>
    <w:pPr>
      <w:keepNext/>
      <w:keepLines/>
      <w:adjustRightInd w:val="0"/>
      <w:spacing w:before="340" w:beforeLines="0" w:beforeAutospacing="0" w:after="330" w:afterLines="0" w:afterAutospacing="0" w:line="360" w:lineRule="auto"/>
      <w:jc w:val="center"/>
      <w:outlineLvl w:val="0"/>
    </w:pPr>
    <w:rPr>
      <w:rFonts w:eastAsia="黑体"/>
      <w:b/>
      <w:snapToGrid/>
      <w:kern w:val="44"/>
      <w:sz w:val="36"/>
    </w:rPr>
  </w:style>
  <w:style w:type="paragraph" w:styleId="4">
    <w:name w:val="heading 2"/>
    <w:basedOn w:val="5"/>
    <w:next w:val="1"/>
    <w:qFormat/>
    <w:uiPriority w:val="0"/>
    <w:pPr>
      <w:keepNext/>
      <w:keepLines/>
      <w:spacing w:before="260" w:beforeLines="0" w:beforeAutospacing="0" w:after="260" w:afterLines="0" w:afterAutospacing="0" w:line="413" w:lineRule="auto"/>
      <w:outlineLvl w:val="1"/>
    </w:pPr>
    <w:rPr>
      <w:rFonts w:ascii="Arial" w:hAnsi="Arial" w:eastAsia="黑体"/>
      <w:sz w:val="28"/>
    </w:rPr>
  </w:style>
  <w:style w:type="paragraph" w:styleId="6">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8">
    <w:name w:val="heading 5"/>
    <w:basedOn w:val="1"/>
    <w:next w:val="1"/>
    <w:qFormat/>
    <w:uiPriority w:val="0"/>
    <w:pPr>
      <w:keepNext/>
      <w:keepLines/>
      <w:spacing w:before="280" w:beforeLines="0" w:after="290" w:afterLines="0" w:line="376" w:lineRule="auto"/>
      <w:outlineLvl w:val="4"/>
    </w:pPr>
    <w:rPr>
      <w:b/>
      <w:bCs/>
      <w:sz w:val="28"/>
      <w:szCs w:val="28"/>
    </w:rPr>
  </w:style>
  <w:style w:type="character" w:default="1" w:styleId="36">
    <w:name w:val="Default Paragraph Font"/>
    <w:uiPriority w:val="0"/>
  </w:style>
  <w:style w:type="table" w:default="1" w:styleId="33">
    <w:name w:val="Normal Table"/>
    <w:unhideWhenUsed/>
    <w:uiPriority w:val="99"/>
    <w:tblPr>
      <w:tblStyle w:val="33"/>
      <w:tblCellMar>
        <w:top w:w="0" w:type="dxa"/>
        <w:left w:w="108" w:type="dxa"/>
        <w:bottom w:w="0" w:type="dxa"/>
        <w:right w:w="108" w:type="dxa"/>
      </w:tblCellMar>
    </w:tblPr>
  </w:style>
  <w:style w:type="paragraph" w:styleId="2">
    <w:name w:val="Normal Indent"/>
    <w:basedOn w:val="1"/>
    <w:next w:val="1"/>
    <w:link w:val="42"/>
    <w:uiPriority w:val="0"/>
    <w:pPr>
      <w:ind w:firstLine="420"/>
    </w:pPr>
    <w:rPr>
      <w:snapToGrid/>
      <w:kern w:val="2"/>
    </w:rPr>
  </w:style>
  <w:style w:type="paragraph" w:styleId="5">
    <w:name w:val="toc 2"/>
    <w:basedOn w:val="1"/>
    <w:next w:val="1"/>
    <w:uiPriority w:val="39"/>
    <w:pPr>
      <w:ind w:left="420" w:leftChars="200"/>
    </w:pPr>
  </w:style>
  <w:style w:type="paragraph" w:styleId="9">
    <w:name w:val="Document Map"/>
    <w:basedOn w:val="1"/>
    <w:uiPriority w:val="0"/>
    <w:pPr>
      <w:shd w:val="clear" w:color="auto" w:fill="000080"/>
    </w:pPr>
  </w:style>
  <w:style w:type="paragraph" w:styleId="10">
    <w:name w:val="annotation text"/>
    <w:basedOn w:val="1"/>
    <w:link w:val="44"/>
    <w:uiPriority w:val="0"/>
    <w:pPr>
      <w:jc w:val="left"/>
    </w:pPr>
    <w:rPr>
      <w:snapToGrid/>
      <w:kern w:val="2"/>
    </w:rPr>
  </w:style>
  <w:style w:type="paragraph" w:styleId="11">
    <w:name w:val="Body Text 3"/>
    <w:basedOn w:val="1"/>
    <w:uiPriority w:val="0"/>
    <w:pPr>
      <w:spacing w:after="120" w:afterLines="0" w:line="480" w:lineRule="exact"/>
    </w:pPr>
    <w:rPr>
      <w:snapToGrid/>
      <w:kern w:val="2"/>
      <w:sz w:val="16"/>
    </w:rPr>
  </w:style>
  <w:style w:type="paragraph" w:styleId="12">
    <w:name w:val="Body Text"/>
    <w:basedOn w:val="1"/>
    <w:next w:val="13"/>
    <w:link w:val="45"/>
    <w:uiPriority w:val="0"/>
    <w:pPr>
      <w:spacing w:after="120" w:afterLines="0" w:afterAutospacing="0"/>
    </w:pPr>
    <w:rPr>
      <w:snapToGrid/>
    </w:rPr>
  </w:style>
  <w:style w:type="paragraph" w:styleId="13">
    <w:name w:val="Body Text First Indent"/>
    <w:basedOn w:val="12"/>
    <w:next w:val="14"/>
    <w:link w:val="46"/>
    <w:uiPriority w:val="0"/>
    <w:pPr>
      <w:ind w:firstLine="420" w:firstLineChars="100"/>
    </w:pPr>
  </w:style>
  <w:style w:type="paragraph" w:styleId="14">
    <w:name w:val="toc 6"/>
    <w:basedOn w:val="1"/>
    <w:next w:val="1"/>
    <w:qFormat/>
    <w:uiPriority w:val="0"/>
    <w:pPr>
      <w:autoSpaceDE/>
      <w:autoSpaceDN/>
      <w:adjustRightInd/>
      <w:ind w:left="2100" w:leftChars="1000"/>
      <w:jc w:val="both"/>
    </w:pPr>
    <w:rPr>
      <w:kern w:val="2"/>
      <w:sz w:val="21"/>
      <w:szCs w:val="22"/>
    </w:rPr>
  </w:style>
  <w:style w:type="paragraph" w:styleId="15">
    <w:name w:val="Body Text Indent"/>
    <w:basedOn w:val="1"/>
    <w:next w:val="1"/>
    <w:link w:val="47"/>
    <w:uiPriority w:val="0"/>
    <w:pPr>
      <w:adjustRightInd w:val="0"/>
      <w:spacing w:line="360" w:lineRule="auto"/>
      <w:ind w:firstLine="490"/>
      <w:jc w:val="left"/>
    </w:pPr>
    <w:rPr>
      <w:rFonts w:hint="eastAsia" w:ascii="宋体" w:hAnsi="宋体"/>
      <w:sz w:val="24"/>
    </w:rPr>
  </w:style>
  <w:style w:type="paragraph" w:styleId="16">
    <w:name w:val="List 2"/>
    <w:basedOn w:val="1"/>
    <w:uiPriority w:val="0"/>
    <w:pPr>
      <w:ind w:left="100" w:leftChars="200" w:hanging="200" w:hangingChars="200"/>
    </w:pPr>
    <w:rPr>
      <w:sz w:val="28"/>
    </w:rPr>
  </w:style>
  <w:style w:type="paragraph" w:styleId="17">
    <w:name w:val="Block Text"/>
    <w:basedOn w:val="1"/>
    <w:uiPriority w:val="0"/>
    <w:pPr>
      <w:adjustRightInd w:val="0"/>
      <w:snapToGrid w:val="0"/>
      <w:spacing w:line="300" w:lineRule="auto"/>
      <w:ind w:left="958" w:rightChars="-120"/>
      <w:jc w:val="left"/>
    </w:pPr>
    <w:rPr>
      <w:rFonts w:hint="eastAsia" w:ascii="宋体" w:hAnsi="宋体"/>
      <w:snapToGrid/>
      <w:kern w:val="2"/>
      <w:sz w:val="28"/>
    </w:rPr>
  </w:style>
  <w:style w:type="paragraph" w:styleId="18">
    <w:name w:val="toc 3"/>
    <w:basedOn w:val="1"/>
    <w:next w:val="1"/>
    <w:uiPriority w:val="0"/>
    <w:pPr>
      <w:ind w:left="840" w:leftChars="400"/>
    </w:pPr>
  </w:style>
  <w:style w:type="paragraph" w:styleId="19">
    <w:name w:val="Plain Text"/>
    <w:basedOn w:val="1"/>
    <w:next w:val="1"/>
    <w:link w:val="48"/>
    <w:qFormat/>
    <w:uiPriority w:val="0"/>
    <w:rPr>
      <w:rFonts w:ascii="宋体" w:hAnsi="Courier New"/>
      <w:snapToGrid/>
      <w:sz w:val="18"/>
    </w:rPr>
  </w:style>
  <w:style w:type="paragraph" w:styleId="20">
    <w:name w:val="Date"/>
    <w:basedOn w:val="1"/>
    <w:next w:val="1"/>
    <w:uiPriority w:val="0"/>
    <w:pPr>
      <w:ind w:leftChars="2500"/>
    </w:pPr>
    <w:rPr>
      <w:rFonts w:hint="eastAsia" w:ascii="宋体" w:hAnsi="宋体"/>
      <w:snapToGrid/>
      <w:kern w:val="2"/>
      <w:sz w:val="24"/>
    </w:rPr>
  </w:style>
  <w:style w:type="paragraph" w:styleId="21">
    <w:name w:val="Body Text Indent 2"/>
    <w:basedOn w:val="1"/>
    <w:uiPriority w:val="0"/>
    <w:pPr>
      <w:spacing w:after="120" w:afterLines="0" w:line="480" w:lineRule="auto"/>
      <w:ind w:left="420" w:leftChars="200"/>
    </w:pPr>
    <w:rPr>
      <w:snapToGrid/>
      <w:kern w:val="2"/>
    </w:rPr>
  </w:style>
  <w:style w:type="paragraph" w:styleId="22">
    <w:name w:val="Balloon Text"/>
    <w:basedOn w:val="1"/>
    <w:uiPriority w:val="0"/>
    <w:rPr>
      <w:sz w:val="18"/>
    </w:rPr>
  </w:style>
  <w:style w:type="paragraph" w:styleId="23">
    <w:name w:val="footer"/>
    <w:basedOn w:val="1"/>
    <w:link w:val="49"/>
    <w:qFormat/>
    <w:uiPriority w:val="99"/>
    <w:pPr>
      <w:tabs>
        <w:tab w:val="center" w:pos="4153"/>
        <w:tab w:val="right" w:pos="8306"/>
      </w:tabs>
      <w:snapToGrid w:val="0"/>
      <w:jc w:val="left"/>
    </w:pPr>
    <w:rPr>
      <w:sz w:val="18"/>
    </w:rPr>
  </w:style>
  <w:style w:type="paragraph" w:styleId="24">
    <w:name w:val="header"/>
    <w:basedOn w:val="1"/>
    <w:link w:val="50"/>
    <w:uiPriority w:val="99"/>
    <w:pPr>
      <w:pBdr>
        <w:bottom w:val="single" w:color="auto" w:sz="6" w:space="1"/>
      </w:pBdr>
      <w:tabs>
        <w:tab w:val="center" w:pos="4153"/>
        <w:tab w:val="right" w:pos="8306"/>
      </w:tabs>
      <w:snapToGrid w:val="0"/>
      <w:jc w:val="center"/>
    </w:pPr>
    <w:rPr>
      <w:sz w:val="18"/>
    </w:rPr>
  </w:style>
  <w:style w:type="paragraph" w:styleId="25">
    <w:name w:val="toc 1"/>
    <w:basedOn w:val="1"/>
    <w:next w:val="1"/>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2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27">
    <w:name w:val="Body Text Indent 3"/>
    <w:basedOn w:val="1"/>
    <w:uiPriority w:val="0"/>
    <w:pPr>
      <w:spacing w:after="120" w:afterLines="0" w:afterAutospacing="0"/>
      <w:ind w:left="420" w:leftChars="200"/>
    </w:pPr>
    <w:rPr>
      <w:sz w:val="16"/>
    </w:rPr>
  </w:style>
  <w:style w:type="paragraph" w:styleId="28">
    <w:name w:val="Body Text 2"/>
    <w:basedOn w:val="1"/>
    <w:link w:val="51"/>
    <w:uiPriority w:val="0"/>
    <w:pPr>
      <w:spacing w:line="120" w:lineRule="atLeast"/>
    </w:pPr>
    <w:rPr>
      <w:snapToGrid/>
      <w:kern w:val="2"/>
      <w:sz w:val="24"/>
    </w:rPr>
  </w:style>
  <w:style w:type="paragraph" w:styleId="29">
    <w:name w:val="Normal (Web)"/>
    <w:basedOn w:val="1"/>
    <w:link w:val="52"/>
    <w:qFormat/>
    <w:uiPriority w:val="0"/>
    <w:pPr>
      <w:widowControl/>
      <w:spacing w:before="100" w:beforeLines="0" w:beforeAutospacing="1" w:after="100" w:afterLines="0" w:afterAutospacing="1"/>
      <w:jc w:val="left"/>
    </w:pPr>
    <w:rPr>
      <w:rFonts w:ascii="宋体" w:hAnsi="宋体"/>
      <w:snapToGrid/>
      <w:sz w:val="24"/>
    </w:rPr>
  </w:style>
  <w:style w:type="paragraph" w:styleId="30">
    <w:name w:val="Title"/>
    <w:basedOn w:val="1"/>
    <w:qFormat/>
    <w:uiPriority w:val="0"/>
    <w:pPr>
      <w:jc w:val="center"/>
    </w:pPr>
    <w:rPr>
      <w:rFonts w:ascii="Times New Roman" w:hAnsi="Times New Roman" w:eastAsia="宋体" w:cs="Times New Roman"/>
      <w:kern w:val="2"/>
      <w:sz w:val="30"/>
      <w:szCs w:val="24"/>
    </w:rPr>
  </w:style>
  <w:style w:type="paragraph" w:styleId="31">
    <w:name w:val="annotation subject"/>
    <w:basedOn w:val="10"/>
    <w:next w:val="10"/>
    <w:link w:val="53"/>
    <w:uiPriority w:val="0"/>
    <w:rPr>
      <w:b/>
      <w:bCs/>
    </w:rPr>
  </w:style>
  <w:style w:type="paragraph" w:styleId="32">
    <w:name w:val="Body Text First Indent 2"/>
    <w:basedOn w:val="15"/>
    <w:link w:val="54"/>
    <w:uiPriority w:val="0"/>
    <w:pPr>
      <w:spacing w:after="120" w:line="240" w:lineRule="auto"/>
      <w:ind w:left="420" w:leftChars="200" w:firstLine="420"/>
    </w:pPr>
    <w:rPr>
      <w:rFonts w:cs="宋体"/>
      <w:sz w:val="21"/>
      <w:szCs w:val="21"/>
    </w:rPr>
  </w:style>
  <w:style w:type="table" w:styleId="34">
    <w:name w:val="Table Grid"/>
    <w:basedOn w:val="33"/>
    <w:uiPriority w:val="0"/>
    <w:pPr>
      <w:widowControl w:val="0"/>
      <w:jc w:val="both"/>
    </w:p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Elegant"/>
    <w:basedOn w:val="33"/>
    <w:uiPriority w:val="0"/>
    <w:tblPr>
      <w:tblStyle w:val="3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33"/>
      </w:tblPr>
      <w:tcPr>
        <w:tcBorders>
          <w:top w:val="nil"/>
          <w:left w:val="nil"/>
          <w:bottom w:val="nil"/>
          <w:right w:val="nil"/>
          <w:insideH w:val="nil"/>
          <w:insideV w:val="nil"/>
          <w:tl2br w:val="nil"/>
          <w:tr2bl w:val="nil"/>
        </w:tcBorders>
      </w:tcPr>
    </w:tblStylePr>
  </w:style>
  <w:style w:type="character" w:styleId="37">
    <w:name w:val="Strong"/>
    <w:qFormat/>
    <w:uiPriority w:val="0"/>
    <w:rPr>
      <w:b/>
    </w:rPr>
  </w:style>
  <w:style w:type="character" w:styleId="38">
    <w:name w:val="page number"/>
    <w:basedOn w:val="36"/>
    <w:uiPriority w:val="0"/>
    <w:rPr>
      <w:rFonts w:ascii="Times New Roman" w:hAnsi="Times New Roman" w:eastAsia="Arial" w:cs="Times New Roman"/>
    </w:rPr>
  </w:style>
  <w:style w:type="character" w:styleId="39">
    <w:name w:val="Emphasis"/>
    <w:qFormat/>
    <w:uiPriority w:val="20"/>
    <w:rPr>
      <w:i/>
      <w:iCs/>
    </w:rPr>
  </w:style>
  <w:style w:type="character" w:styleId="40">
    <w:name w:val="Hyperlink"/>
    <w:uiPriority w:val="0"/>
    <w:rPr>
      <w:color w:val="0000FF"/>
      <w:u w:val="single"/>
    </w:rPr>
  </w:style>
  <w:style w:type="character" w:styleId="41">
    <w:name w:val="annotation reference"/>
    <w:uiPriority w:val="0"/>
    <w:rPr>
      <w:sz w:val="21"/>
      <w:szCs w:val="21"/>
    </w:rPr>
  </w:style>
  <w:style w:type="character" w:customStyle="1" w:styleId="42">
    <w:name w:val="正文缩进 Char"/>
    <w:link w:val="2"/>
    <w:uiPriority w:val="0"/>
    <w:rPr>
      <w:rFonts w:eastAsia="宋体"/>
      <w:kern w:val="2"/>
      <w:sz w:val="21"/>
      <w:lang w:val="en-US" w:eastAsia="zh-CN"/>
    </w:rPr>
  </w:style>
  <w:style w:type="character" w:customStyle="1" w:styleId="43">
    <w:name w:val="标题 1 Char1"/>
    <w:link w:val="3"/>
    <w:uiPriority w:val="0"/>
    <w:rPr>
      <w:rFonts w:eastAsia="黑体"/>
      <w:b/>
      <w:kern w:val="44"/>
      <w:sz w:val="36"/>
    </w:rPr>
  </w:style>
  <w:style w:type="character" w:customStyle="1" w:styleId="44">
    <w:name w:val="批注文字 Char"/>
    <w:link w:val="10"/>
    <w:uiPriority w:val="0"/>
    <w:rPr>
      <w:kern w:val="2"/>
      <w:sz w:val="21"/>
    </w:rPr>
  </w:style>
  <w:style w:type="character" w:customStyle="1" w:styleId="45">
    <w:name w:val="正文文本 Char"/>
    <w:link w:val="12"/>
    <w:uiPriority w:val="0"/>
    <w:rPr>
      <w:snapToGrid/>
      <w:sz w:val="21"/>
    </w:rPr>
  </w:style>
  <w:style w:type="character" w:customStyle="1" w:styleId="46">
    <w:name w:val="正文首行缩进 Char"/>
    <w:link w:val="13"/>
    <w:uiPriority w:val="0"/>
  </w:style>
  <w:style w:type="character" w:customStyle="1" w:styleId="47">
    <w:name w:val="正文文本缩进 Char"/>
    <w:link w:val="15"/>
    <w:uiPriority w:val="0"/>
    <w:rPr>
      <w:rFonts w:ascii="宋体" w:hAnsi="宋体"/>
      <w:snapToGrid w:val="0"/>
      <w:sz w:val="24"/>
    </w:rPr>
  </w:style>
  <w:style w:type="character" w:customStyle="1" w:styleId="48">
    <w:name w:val="纯文本 Char"/>
    <w:link w:val="19"/>
    <w:qFormat/>
    <w:uiPriority w:val="0"/>
    <w:rPr>
      <w:rFonts w:ascii="宋体" w:hAnsi="Courier New"/>
      <w:snapToGrid/>
      <w:sz w:val="18"/>
    </w:rPr>
  </w:style>
  <w:style w:type="character" w:customStyle="1" w:styleId="49">
    <w:name w:val="页脚 Char"/>
    <w:link w:val="23"/>
    <w:qFormat/>
    <w:uiPriority w:val="99"/>
    <w:rPr>
      <w:snapToGrid w:val="0"/>
      <w:sz w:val="18"/>
    </w:rPr>
  </w:style>
  <w:style w:type="character" w:customStyle="1" w:styleId="50">
    <w:name w:val="页眉 Char"/>
    <w:link w:val="24"/>
    <w:uiPriority w:val="99"/>
    <w:rPr>
      <w:rFonts w:eastAsia="宋体"/>
      <w:snapToGrid w:val="0"/>
      <w:sz w:val="18"/>
      <w:lang w:val="en-US" w:eastAsia="zh-CN"/>
    </w:rPr>
  </w:style>
  <w:style w:type="character" w:customStyle="1" w:styleId="51">
    <w:name w:val="正文文本 2 Char"/>
    <w:link w:val="28"/>
    <w:uiPriority w:val="0"/>
    <w:rPr>
      <w:rFonts w:eastAsia="宋体"/>
      <w:kern w:val="2"/>
      <w:sz w:val="24"/>
      <w:lang w:val="en-US" w:eastAsia="zh-CN"/>
    </w:rPr>
  </w:style>
  <w:style w:type="character" w:customStyle="1" w:styleId="52">
    <w:name w:val="普通(网站) Char"/>
    <w:link w:val="29"/>
    <w:uiPriority w:val="0"/>
    <w:rPr>
      <w:rFonts w:ascii="宋体" w:hAnsi="宋体"/>
      <w:sz w:val="24"/>
    </w:rPr>
  </w:style>
  <w:style w:type="character" w:customStyle="1" w:styleId="53">
    <w:name w:val="批注主题 Char"/>
    <w:link w:val="31"/>
    <w:uiPriority w:val="0"/>
    <w:rPr>
      <w:b/>
      <w:bCs/>
      <w:snapToGrid/>
      <w:kern w:val="2"/>
      <w:sz w:val="21"/>
    </w:rPr>
  </w:style>
  <w:style w:type="character" w:customStyle="1" w:styleId="54">
    <w:name w:val="正文首行缩进 2 Char"/>
    <w:link w:val="32"/>
    <w:uiPriority w:val="0"/>
  </w:style>
  <w:style w:type="character" w:customStyle="1" w:styleId="55">
    <w:name w:val="NormalCharacter"/>
    <w:qFormat/>
    <w:uiPriority w:val="0"/>
  </w:style>
  <w:style w:type="character" w:customStyle="1" w:styleId="56">
    <w:name w:val=" Char Char24"/>
    <w:uiPriority w:val="0"/>
    <w:rPr>
      <w:rFonts w:ascii="宋体" w:hAnsi="Courier New" w:eastAsia="宋体"/>
      <w:kern w:val="2"/>
      <w:sz w:val="21"/>
      <w:lang w:val="en-US" w:eastAsia="zh-CN" w:bidi="ar-SA"/>
    </w:rPr>
  </w:style>
  <w:style w:type="character" w:customStyle="1" w:styleId="57">
    <w:name w:val="text5"/>
    <w:uiPriority w:val="0"/>
    <w:rPr>
      <w:rFonts w:ascii="_x000B__x000C_" w:hAnsi="_x000B__x000C_"/>
      <w:color w:val="000066"/>
      <w:spacing w:val="0"/>
      <w:sz w:val="18"/>
    </w:rPr>
  </w:style>
  <w:style w:type="character" w:customStyle="1" w:styleId="58">
    <w:name w:val="font61"/>
    <w:uiPriority w:val="0"/>
    <w:rPr>
      <w:rFonts w:hint="eastAsia" w:ascii="宋体" w:hAnsi="宋体" w:eastAsia="宋体" w:cs="宋体"/>
      <w:color w:val="000000"/>
      <w:sz w:val="18"/>
      <w:szCs w:val="18"/>
      <w:u w:val="none"/>
    </w:rPr>
  </w:style>
  <w:style w:type="character" w:customStyle="1" w:styleId="59">
    <w:name w:val="纯文本 Char Char Char Char Char Char Char Char Char Char Char Char Char Char3"/>
    <w:aliases w:val="纯文本 Char Char Char Char Char Char Char Char Char Char3,纯文本 Char Char Char Char Char Char Char Char Char C Char3,纯文本 Char Char Char Char Char Char Char Char Char Char Char Char2"/>
    <w:uiPriority w:val="0"/>
    <w:rPr>
      <w:rFonts w:ascii="宋体" w:hAnsi="Courier New"/>
      <w:snapToGrid/>
      <w:sz w:val="18"/>
    </w:rPr>
  </w:style>
  <w:style w:type="character" w:customStyle="1" w:styleId="60">
    <w:name w:val="Comment Text Char"/>
    <w:uiPriority w:val="0"/>
    <w:rPr>
      <w:rFonts w:ascii="Calibri" w:hAnsi="Calibri" w:cs="Times New Roman"/>
      <w:kern w:val="2"/>
      <w:sz w:val="24"/>
      <w:szCs w:val="24"/>
    </w:rPr>
  </w:style>
  <w:style w:type="character" w:customStyle="1" w:styleId="61">
    <w:name w:val="字元 字元1"/>
    <w:uiPriority w:val="0"/>
    <w:rPr>
      <w:rFonts w:ascii="Arial" w:hAnsi="Arial" w:eastAsia="Times New Roman" w:cs="Times New Roman"/>
      <w:b/>
      <w:bCs/>
      <w:lang w:val="en-GB"/>
    </w:rPr>
  </w:style>
  <w:style w:type="character" w:customStyle="1" w:styleId="62">
    <w:name w:val="标题 1 Char"/>
    <w:aliases w:val="Section Head Char,h1 Char,1st level Char,l1 Char,1 Char,H1 Char,H11 Char,H12 Char,H13 Char,H14 Char,H15 Char,H16 Char,H17 Char,L1 Heading 1 Char,h11 Char,1st level1 Char,heading 11 Char,h12 Char,1st level2 Char,heading 12 Char,h111 Char"/>
    <w:uiPriority w:val="0"/>
    <w:rPr>
      <w:rFonts w:eastAsia="黑体"/>
      <w:b/>
      <w:snapToGrid w:val="0"/>
      <w:kern w:val="44"/>
      <w:sz w:val="36"/>
      <w:lang w:val="en-US" w:eastAsia="zh-CN"/>
    </w:rPr>
  </w:style>
  <w:style w:type="character" w:customStyle="1" w:styleId="63">
    <w:name w:val="正文标准 Char Char"/>
    <w:link w:val="64"/>
    <w:uiPriority w:val="0"/>
    <w:rPr>
      <w:kern w:val="2"/>
      <w:sz w:val="24"/>
      <w:szCs w:val="21"/>
    </w:rPr>
  </w:style>
  <w:style w:type="paragraph" w:customStyle="1" w:styleId="64">
    <w:name w:val="正文标准"/>
    <w:basedOn w:val="1"/>
    <w:link w:val="63"/>
    <w:uiPriority w:val="0"/>
    <w:pPr>
      <w:spacing w:before="156" w:beforeLines="50"/>
      <w:ind w:firstLine="200" w:firstLineChars="200"/>
    </w:pPr>
    <w:rPr>
      <w:snapToGrid/>
      <w:kern w:val="2"/>
      <w:sz w:val="24"/>
      <w:szCs w:val="21"/>
    </w:rPr>
  </w:style>
  <w:style w:type="character" w:customStyle="1" w:styleId="65">
    <w:name w:val="font41"/>
    <w:uiPriority w:val="0"/>
    <w:rPr>
      <w:rFonts w:hint="default" w:ascii="Times New Roman" w:hAnsi="Times New Roman" w:cs="Times New Roman"/>
      <w:b/>
      <w:color w:val="000000"/>
      <w:sz w:val="20"/>
      <w:szCs w:val="20"/>
      <w:u w:val="none"/>
    </w:rPr>
  </w:style>
  <w:style w:type="character" w:customStyle="1" w:styleId="66">
    <w:name w:val="font21"/>
    <w:uiPriority w:val="0"/>
    <w:rPr>
      <w:rFonts w:hint="eastAsia" w:ascii="宋体" w:hAnsi="宋体" w:eastAsia="宋体" w:cs="宋体"/>
      <w:b/>
      <w:color w:val="000000"/>
      <w:sz w:val="20"/>
      <w:szCs w:val="20"/>
      <w:u w:val="none"/>
    </w:rPr>
  </w:style>
  <w:style w:type="character" w:customStyle="1" w:styleId="67">
    <w:name w:val="ziti11"/>
    <w:uiPriority w:val="0"/>
    <w:rPr>
      <w:rFonts w:hint="default" w:ascii="ˎ̥" w:hAnsi="ˎ̥"/>
      <w:color w:val="000000"/>
      <w:sz w:val="18"/>
    </w:rPr>
  </w:style>
  <w:style w:type="character" w:customStyle="1" w:styleId="68">
    <w:name w:val="font01"/>
    <w:uiPriority w:val="0"/>
    <w:rPr>
      <w:rFonts w:hint="eastAsia" w:ascii="宋体" w:hAnsi="宋体" w:eastAsia="宋体" w:cs="宋体"/>
      <w:color w:val="000000"/>
      <w:sz w:val="20"/>
      <w:szCs w:val="20"/>
      <w:u w:val="none"/>
    </w:rPr>
  </w:style>
  <w:style w:type="character" w:customStyle="1" w:styleId="69">
    <w:name w:val="纯文本 Char Char"/>
    <w:link w:val="70"/>
    <w:uiPriority w:val="0"/>
    <w:rPr>
      <w:rFonts w:ascii="Century Gothic" w:hAnsi="楷体_GB2312" w:eastAsia="Century Gothic"/>
      <w:kern w:val="2"/>
      <w:sz w:val="21"/>
      <w:lang w:bidi="ar-SA"/>
    </w:rPr>
  </w:style>
  <w:style w:type="paragraph" w:customStyle="1" w:styleId="70">
    <w:name w:val="Plain Text"/>
    <w:basedOn w:val="71"/>
    <w:link w:val="69"/>
    <w:uiPriority w:val="0"/>
    <w:pPr>
      <w:snapToGrid w:val="0"/>
      <w:jc w:val="left"/>
    </w:pPr>
    <w:rPr>
      <w:rFonts w:hint="default" w:ascii="Century Gothic" w:hAnsi="楷体_GB2312" w:eastAsia="Century Gothic"/>
    </w:rPr>
  </w:style>
  <w:style w:type="paragraph" w:customStyle="1" w:styleId="71">
    <w:name w:val="Normal"/>
    <w:uiPriority w:val="0"/>
    <w:pPr>
      <w:widowControl w:val="0"/>
      <w:jc w:val="both"/>
    </w:pPr>
    <w:rPr>
      <w:rFonts w:hint="eastAsia"/>
      <w:kern w:val="2"/>
      <w:sz w:val="21"/>
      <w:lang w:val="en-US" w:eastAsia="zh-CN" w:bidi="ar-SA"/>
    </w:rPr>
  </w:style>
  <w:style w:type="character" w:customStyle="1" w:styleId="72">
    <w:name w:val="纯文本 Char Char Char Char Char Char Char Char Char Char Char Char Char Char2"/>
    <w:aliases w:val="纯文本 Char Char Char Char Char Char Char Char Char Char1,纯文本 Char Char Char Char Char Char Char Char Char C Char1,普通文字 Char Char Char1,小 Char"/>
    <w:uiPriority w:val="0"/>
    <w:rPr>
      <w:rFonts w:ascii="Century Gothic" w:hAnsi="楷体_GB2312" w:eastAsia="Century Gothic" w:cs="楷体_GB2312"/>
      <w:kern w:val="2"/>
      <w:sz w:val="21"/>
      <w:szCs w:val="21"/>
      <w:lang w:val="en-US" w:eastAsia="zh-CN" w:bidi="ar-SA"/>
    </w:rPr>
  </w:style>
  <w:style w:type="character" w:customStyle="1" w:styleId="73">
    <w:name w:val="htd0"/>
    <w:uiPriority w:val="0"/>
  </w:style>
  <w:style w:type="character" w:customStyle="1" w:styleId="74">
    <w:name w:val="纯文本 Char1"/>
    <w:uiPriority w:val="0"/>
    <w:rPr>
      <w:rFonts w:ascii="宋体" w:hAnsi="Courier New"/>
      <w:snapToGrid/>
      <w:sz w:val="18"/>
    </w:rPr>
  </w:style>
  <w:style w:type="character" w:customStyle="1" w:styleId="75">
    <w:name w:val="font81"/>
    <w:uiPriority w:val="0"/>
    <w:rPr>
      <w:rFonts w:ascii="Calibri" w:hAnsi="Calibri" w:cs="Calibri"/>
      <w:color w:val="000000"/>
      <w:sz w:val="18"/>
      <w:szCs w:val="18"/>
      <w:u w:val="none"/>
    </w:rPr>
  </w:style>
  <w:style w:type="character" w:customStyle="1" w:styleId="76">
    <w:name w:val="纯文本 字符"/>
    <w:qFormat/>
    <w:uiPriority w:val="0"/>
    <w:rPr>
      <w:rFonts w:ascii="宋体" w:hAnsi="Courier New" w:eastAsia="宋体"/>
      <w:kern w:val="2"/>
      <w:sz w:val="21"/>
      <w:lang w:val="en-US" w:eastAsia="zh-CN" w:bidi="ar-SA"/>
    </w:rPr>
  </w:style>
  <w:style w:type="character" w:customStyle="1" w:styleId="77">
    <w:name w:val="正文标准 Char"/>
    <w:uiPriority w:val="0"/>
    <w:rPr>
      <w:kern w:val="2"/>
      <w:sz w:val="24"/>
      <w:szCs w:val="21"/>
    </w:rPr>
  </w:style>
  <w:style w:type="character" w:customStyle="1" w:styleId="78">
    <w:name w:val="自定义正文 Char Char"/>
    <w:link w:val="79"/>
    <w:uiPriority w:val="0"/>
    <w:rPr>
      <w:rFonts w:ascii="仿宋_GB2312" w:eastAsia="仿宋_GB2312"/>
      <w:kern w:val="2"/>
      <w:sz w:val="24"/>
      <w:szCs w:val="24"/>
      <w:lang w:bidi="ar-SA"/>
    </w:rPr>
  </w:style>
  <w:style w:type="paragraph" w:customStyle="1" w:styleId="79">
    <w:name w:val="自定义正文"/>
    <w:basedOn w:val="1"/>
    <w:link w:val="78"/>
    <w:uiPriority w:val="0"/>
    <w:pPr>
      <w:spacing w:before="120" w:beforeLines="0" w:after="60" w:afterLines="0" w:line="400" w:lineRule="exact"/>
      <w:ind w:firstLine="200" w:firstLineChars="200"/>
      <w:jc w:val="left"/>
    </w:pPr>
    <w:rPr>
      <w:rFonts w:ascii="仿宋_GB2312" w:eastAsia="仿宋_GB2312"/>
      <w:snapToGrid/>
      <w:kern w:val="2"/>
      <w:sz w:val="24"/>
      <w:szCs w:val="24"/>
    </w:rPr>
  </w:style>
  <w:style w:type="character" w:customStyle="1" w:styleId="80">
    <w:name w:val="font12"/>
    <w:uiPriority w:val="0"/>
    <w:rPr>
      <w:rFonts w:hint="default" w:ascii="Calibri" w:hAnsi="Calibri" w:cs="Calibri"/>
      <w:color w:val="000000"/>
      <w:sz w:val="18"/>
      <w:szCs w:val="18"/>
      <w:u w:val="none"/>
    </w:rPr>
  </w:style>
  <w:style w:type="character" w:customStyle="1" w:styleId="81">
    <w:name w:val="new1"/>
    <w:uiPriority w:val="0"/>
    <w:rPr>
      <w:sz w:val="21"/>
      <w:szCs w:val="21"/>
    </w:rPr>
  </w:style>
  <w:style w:type="character" w:customStyle="1" w:styleId="82">
    <w:name w:val="zbggmain style9"/>
    <w:qFormat/>
    <w:uiPriority w:val="0"/>
  </w:style>
  <w:style w:type="character" w:customStyle="1" w:styleId="83">
    <w:name w:val="列出段落 Char"/>
    <w:aliases w:val="图表 Char,列出段落11 Char,List Char"/>
    <w:link w:val="84"/>
    <w:uiPriority w:val="0"/>
    <w:rPr>
      <w:rFonts w:eastAsia="宋体"/>
      <w:kern w:val="2"/>
      <w:sz w:val="21"/>
      <w:szCs w:val="24"/>
      <w:lang w:val="en-US" w:eastAsia="zh-CN" w:bidi="ar-SA"/>
    </w:rPr>
  </w:style>
  <w:style w:type="paragraph" w:customStyle="1" w:styleId="84">
    <w:name w:val="列出段落1"/>
    <w:basedOn w:val="1"/>
    <w:link w:val="83"/>
    <w:qFormat/>
    <w:uiPriority w:val="34"/>
    <w:pPr>
      <w:ind w:firstLine="420" w:firstLineChars="200"/>
    </w:pPr>
    <w:rPr>
      <w:snapToGrid/>
      <w:kern w:val="2"/>
      <w:szCs w:val="24"/>
    </w:rPr>
  </w:style>
  <w:style w:type="character" w:customStyle="1" w:styleId="85">
    <w:name w:val="bulletintext"/>
    <w:uiPriority w:val="0"/>
  </w:style>
  <w:style w:type="character" w:customStyle="1" w:styleId="86">
    <w:name w:val="font11"/>
    <w:uiPriority w:val="0"/>
    <w:rPr>
      <w:rFonts w:hint="default" w:ascii="Times New Roman" w:hAnsi="Times New Roman" w:cs="Times New Roman"/>
      <w:color w:val="000000"/>
      <w:sz w:val="20"/>
      <w:szCs w:val="20"/>
      <w:u w:val="none"/>
    </w:rPr>
  </w:style>
  <w:style w:type="character" w:customStyle="1" w:styleId="87">
    <w:name w:val="样式1 Char Char"/>
    <w:link w:val="88"/>
    <w:qFormat/>
    <w:uiPriority w:val="0"/>
    <w:rPr>
      <w:rFonts w:ascii="Arial" w:hAnsi="Arial"/>
      <w:kern w:val="2"/>
      <w:sz w:val="21"/>
      <w:szCs w:val="24"/>
    </w:rPr>
  </w:style>
  <w:style w:type="paragraph" w:customStyle="1" w:styleId="88">
    <w:name w:val="样式1"/>
    <w:basedOn w:val="1"/>
    <w:link w:val="87"/>
    <w:qFormat/>
    <w:uiPriority w:val="0"/>
    <w:pPr>
      <w:spacing w:line="360" w:lineRule="exact"/>
      <w:ind w:firstLine="200" w:firstLineChars="200"/>
    </w:pPr>
    <w:rPr>
      <w:rFonts w:ascii="Arial" w:hAnsi="Arial"/>
      <w:snapToGrid/>
      <w:kern w:val="2"/>
      <w:szCs w:val="24"/>
    </w:rPr>
  </w:style>
  <w:style w:type="character" w:customStyle="1" w:styleId="89">
    <w:name w:val="页脚 Char Char"/>
    <w:uiPriority w:val="0"/>
    <w:rPr>
      <w:rFonts w:eastAsia="宋体"/>
      <w:snapToGrid w:val="0"/>
      <w:sz w:val="18"/>
      <w:lang w:val="en-US" w:eastAsia="zh-CN"/>
    </w:rPr>
  </w:style>
  <w:style w:type="character" w:customStyle="1" w:styleId="90">
    <w:name w:val="正文段 Char Char"/>
    <w:link w:val="91"/>
    <w:uiPriority w:val="0"/>
    <w:rPr>
      <w:sz w:val="24"/>
    </w:rPr>
  </w:style>
  <w:style w:type="paragraph" w:customStyle="1" w:styleId="91">
    <w:name w:val="正文段"/>
    <w:basedOn w:val="1"/>
    <w:link w:val="90"/>
    <w:uiPriority w:val="0"/>
    <w:pPr>
      <w:widowControl/>
      <w:snapToGrid w:val="0"/>
      <w:spacing w:after="156" w:afterLines="50"/>
      <w:ind w:firstLine="200" w:firstLineChars="200"/>
    </w:pPr>
    <w:rPr>
      <w:snapToGrid/>
      <w:sz w:val="24"/>
    </w:rPr>
  </w:style>
  <w:style w:type="character" w:customStyle="1" w:styleId="92">
    <w:name w:val="font71"/>
    <w:uiPriority w:val="0"/>
    <w:rPr>
      <w:rFonts w:hint="default" w:ascii="Calibri" w:hAnsi="Calibri" w:cs="Calibri"/>
      <w:color w:val="000000"/>
      <w:sz w:val="18"/>
      <w:szCs w:val="18"/>
      <w:u w:val="none"/>
    </w:rPr>
  </w:style>
  <w:style w:type="character" w:customStyle="1" w:styleId="93">
    <w:name w:val="font31"/>
    <w:uiPriority w:val="0"/>
    <w:rPr>
      <w:rFonts w:hint="eastAsia" w:ascii="宋体" w:hAnsi="宋体" w:eastAsia="宋体" w:cs="宋体"/>
      <w:color w:val="000000"/>
      <w:sz w:val="20"/>
      <w:szCs w:val="20"/>
      <w:u w:val="none"/>
    </w:rPr>
  </w:style>
  <w:style w:type="paragraph" w:customStyle="1" w:styleId="94">
    <w:name w:val=" Char3 Char Char Char Char Char Char"/>
    <w:basedOn w:val="1"/>
    <w:uiPriority w:val="0"/>
    <w:pPr>
      <w:widowControl/>
      <w:spacing w:after="160" w:afterLines="0" w:line="240" w:lineRule="exact"/>
      <w:jc w:val="left"/>
    </w:pPr>
    <w:rPr>
      <w:rFonts w:ascii="Verdana" w:hAnsi="Verdana"/>
      <w:snapToGrid/>
      <w:sz w:val="18"/>
      <w:lang w:eastAsia="en-US"/>
    </w:rPr>
  </w:style>
  <w:style w:type="paragraph" w:customStyle="1" w:styleId="95">
    <w:name w:val=" Char Char Char"/>
    <w:basedOn w:val="1"/>
    <w:uiPriority w:val="0"/>
    <w:rPr>
      <w:rFonts w:ascii="Tahoma" w:hAnsi="Tahoma"/>
      <w:snapToGrid/>
      <w:kern w:val="2"/>
      <w:sz w:val="24"/>
    </w:rPr>
  </w:style>
  <w:style w:type="paragraph" w:customStyle="1" w:styleId="96">
    <w:name w:val="style1"/>
    <w:basedOn w:val="1"/>
    <w:next w:val="1"/>
    <w:uiPriority w:val="0"/>
    <w:pPr>
      <w:tabs>
        <w:tab w:val="left" w:pos="845"/>
      </w:tabs>
      <w:adjustRightInd w:val="0"/>
      <w:spacing w:before="120" w:beforeLines="0" w:line="264" w:lineRule="auto"/>
      <w:ind w:left="840" w:hanging="420"/>
      <w:textAlignment w:val="baseline"/>
      <w:outlineLvl w:val="1"/>
    </w:pPr>
    <w:rPr>
      <w:b/>
      <w:snapToGrid/>
      <w:sz w:val="28"/>
    </w:rPr>
  </w:style>
  <w:style w:type="paragraph" w:customStyle="1" w:styleId="97">
    <w:name w:val="Default"/>
    <w:uiPriority w:val="0"/>
    <w:pPr>
      <w:widowControl w:val="0"/>
      <w:autoSpaceDE w:val="0"/>
      <w:autoSpaceDN w:val="0"/>
      <w:adjustRightInd w:val="0"/>
    </w:pPr>
    <w:rPr>
      <w:rFonts w:ascii="宋体"/>
      <w:color w:val="000000"/>
      <w:sz w:val="24"/>
      <w:lang w:val="en-US" w:eastAsia="zh-CN" w:bidi="ar-SA"/>
    </w:rPr>
  </w:style>
  <w:style w:type="paragraph" w:customStyle="1" w:styleId="98">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9">
    <w:name w:val="一级标题"/>
    <w:basedOn w:val="19"/>
    <w:uiPriority w:val="0"/>
    <w:pPr>
      <w:tabs>
        <w:tab w:val="left" w:pos="1050"/>
      </w:tabs>
      <w:adjustRightInd w:val="0"/>
      <w:snapToGrid w:val="0"/>
      <w:spacing w:line="360" w:lineRule="auto"/>
      <w:jc w:val="center"/>
    </w:pPr>
    <w:rPr>
      <w:rFonts w:ascii="Arial" w:hAnsi="Arial" w:eastAsia="黑体" w:cs="Arial"/>
      <w:snapToGrid/>
      <w:color w:val="000000"/>
      <w:w w:val="80"/>
      <w:kern w:val="2"/>
      <w:sz w:val="48"/>
      <w:szCs w:val="48"/>
      <w:lang w:val="en-US" w:eastAsia="zh-CN"/>
    </w:rPr>
  </w:style>
  <w:style w:type="paragraph" w:customStyle="1" w:styleId="100">
    <w:name w:val="Char Char Char Char Char Char Char"/>
    <w:basedOn w:val="1"/>
    <w:uiPriority w:val="0"/>
    <w:pPr>
      <w:tabs>
        <w:tab w:val="left" w:pos="432"/>
      </w:tabs>
      <w:ind w:left="432" w:hanging="432"/>
    </w:pPr>
    <w:rPr>
      <w:rFonts w:ascii="Tahoma" w:hAnsi="Tahoma"/>
      <w:snapToGrid/>
      <w:kern w:val="2"/>
      <w:sz w:val="24"/>
    </w:rPr>
  </w:style>
  <w:style w:type="paragraph" w:customStyle="1" w:styleId="10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2">
    <w:name w:val="Char Char Char"/>
    <w:basedOn w:val="1"/>
    <w:uiPriority w:val="0"/>
    <w:rPr>
      <w:rFonts w:ascii="Calibri" w:hAnsi="Calibri"/>
      <w:snapToGrid/>
      <w:kern w:val="2"/>
      <w:szCs w:val="22"/>
    </w:rPr>
  </w:style>
  <w:style w:type="paragraph" w:customStyle="1" w:styleId="103">
    <w:name w:val="Bullets"/>
    <w:basedOn w:val="1"/>
    <w:uiPriority w:val="0"/>
    <w:pPr>
      <w:widowControl/>
    </w:pPr>
    <w:rPr>
      <w:rFonts w:ascii="Arial" w:hAnsi="Arial" w:eastAsia="MS Mincho"/>
      <w:snapToGrid/>
      <w:sz w:val="24"/>
      <w:lang w:eastAsia="de-DE"/>
    </w:rPr>
  </w:style>
  <w:style w:type="paragraph" w:customStyle="1" w:styleId="104">
    <w:name w:val=" Char3 Char Char Char"/>
    <w:basedOn w:val="1"/>
    <w:uiPriority w:val="0"/>
    <w:pPr>
      <w:widowControl/>
      <w:spacing w:after="160" w:afterLines="0" w:afterAutospacing="0" w:line="240" w:lineRule="exact"/>
      <w:jc w:val="left"/>
    </w:pPr>
    <w:rPr>
      <w:snapToGrid/>
      <w:kern w:val="2"/>
    </w:rPr>
  </w:style>
  <w:style w:type="paragraph" w:customStyle="1" w:styleId="105">
    <w:name w:val="xl46"/>
    <w:basedOn w:val="1"/>
    <w:uiPriority w:val="0"/>
    <w:pPr>
      <w:widowControl/>
      <w:pBdr>
        <w:top w:val="single" w:color="auto" w:sz="8" w:space="0"/>
        <w:bottom w:val="single" w:color="auto" w:sz="8" w:space="0"/>
        <w:right w:val="single" w:color="000000" w:sz="8" w:space="0"/>
      </w:pBdr>
      <w:spacing w:before="100" w:beforeLines="0" w:beforeAutospacing="1" w:after="100" w:afterLines="0" w:afterAutospacing="1"/>
      <w:jc w:val="center"/>
      <w:textAlignment w:val="center"/>
    </w:pPr>
    <w:rPr>
      <w:rFonts w:ascii="宋体" w:hAnsi="宋体" w:cs="宋体"/>
      <w:snapToGrid/>
      <w:sz w:val="18"/>
      <w:szCs w:val="18"/>
    </w:rPr>
  </w:style>
  <w:style w:type="paragraph" w:customStyle="1" w:styleId="106">
    <w:name w:val="样式 首行缩进:  0.77 厘米 行距: 1.5 倍行距"/>
    <w:basedOn w:val="1"/>
    <w:uiPriority w:val="0"/>
    <w:pPr>
      <w:spacing w:line="360" w:lineRule="auto"/>
      <w:ind w:firstLine="420"/>
    </w:pPr>
    <w:rPr>
      <w:rFonts w:cs="宋体"/>
      <w:snapToGrid/>
      <w:kern w:val="2"/>
    </w:rPr>
  </w:style>
  <w:style w:type="paragraph" w:customStyle="1" w:styleId="107">
    <w:name w:val="Body Text 2"/>
    <w:basedOn w:val="1"/>
    <w:uiPriority w:val="0"/>
    <w:pPr>
      <w:adjustRightInd w:val="0"/>
      <w:spacing w:line="300" w:lineRule="auto"/>
      <w:jc w:val="center"/>
    </w:pPr>
    <w:rPr>
      <w:rFonts w:hint="eastAsia" w:ascii="宋体" w:hAnsi="宋体"/>
      <w:sz w:val="24"/>
    </w:rPr>
  </w:style>
  <w:style w:type="paragraph" w:customStyle="1" w:styleId="108">
    <w:name w:val="正文首行缩进4字符"/>
    <w:basedOn w:val="1"/>
    <w:qFormat/>
    <w:uiPriority w:val="0"/>
    <w:pPr>
      <w:spacing w:line="360" w:lineRule="auto"/>
      <w:ind w:left="482" w:firstLine="482"/>
    </w:pPr>
    <w:rPr>
      <w:rFonts w:eastAsia="仿宋"/>
      <w:sz w:val="28"/>
      <w:szCs w:val="20"/>
    </w:rPr>
  </w:style>
  <w:style w:type="paragraph" w:customStyle="1" w:styleId="109">
    <w:name w:val=" Char Char Char Char Char Char Char Char Char Char Char Char Char Char Char Char Char Char Char Char Char Char"/>
    <w:basedOn w:val="1"/>
    <w:uiPriority w:val="0"/>
    <w:rPr>
      <w:rFonts w:ascii="Tahoma" w:hAnsi="Tahoma"/>
      <w:snapToGrid/>
      <w:kern w:val="2"/>
      <w:sz w:val="24"/>
    </w:rPr>
  </w:style>
  <w:style w:type="paragraph" w:customStyle="1" w:styleId="110">
    <w:name w:val="样式 样式 标题 4 + 非加粗 + (中文) 黑体 段前: 0 磅 段后: 0 磅 行距: 固定值 22 磅"/>
    <w:basedOn w:val="1"/>
    <w:uiPriority w:val="0"/>
    <w:pPr>
      <w:keepNext/>
      <w:keepLines/>
      <w:spacing w:before="156" w:beforeLines="50" w:after="156" w:afterLines="50" w:line="500" w:lineRule="exact"/>
      <w:outlineLvl w:val="3"/>
    </w:pPr>
    <w:rPr>
      <w:rFonts w:ascii="Arial" w:hAnsi="Arial" w:cs="宋体"/>
      <w:b/>
      <w:bCs/>
      <w:sz w:val="24"/>
    </w:rPr>
  </w:style>
  <w:style w:type="paragraph" w:customStyle="1" w:styleId="111">
    <w:name w:val="标书-正文"/>
    <w:basedOn w:val="1"/>
    <w:qFormat/>
    <w:uiPriority w:val="0"/>
    <w:pPr>
      <w:spacing w:line="360" w:lineRule="auto"/>
      <w:ind w:firstLine="200" w:firstLineChars="200"/>
    </w:pPr>
    <w:rPr>
      <w:rFonts w:ascii="Arial" w:hAnsi="Arial"/>
      <w:sz w:val="24"/>
    </w:rPr>
  </w:style>
  <w:style w:type="paragraph" w:customStyle="1" w:styleId="112">
    <w:name w:val=" Char1"/>
    <w:basedOn w:val="1"/>
    <w:uiPriority w:val="0"/>
    <w:pPr>
      <w:widowControl/>
      <w:spacing w:after="160" w:afterLines="0" w:line="360" w:lineRule="auto"/>
      <w:ind w:firstLine="200" w:firstLineChars="200"/>
      <w:jc w:val="left"/>
    </w:pPr>
    <w:rPr>
      <w:rFonts w:ascii="Verdana" w:hAnsi="Verdana" w:eastAsia="黑体"/>
      <w:snapToGrid/>
      <w:lang w:eastAsia="en-US"/>
    </w:rPr>
  </w:style>
  <w:style w:type="paragraph" w:customStyle="1" w:styleId="113">
    <w:name w:val="正文文字"/>
    <w:basedOn w:val="1"/>
    <w:uiPriority w:val="0"/>
    <w:pPr>
      <w:widowControl/>
      <w:spacing w:line="952" w:lineRule="atLeast"/>
      <w:ind w:firstLine="419"/>
      <w:textAlignment w:val="baseline"/>
    </w:pPr>
    <w:rPr>
      <w:b/>
      <w:snapToGrid/>
      <w:color w:val="000000"/>
      <w:sz w:val="44"/>
      <w:u w:val="none" w:color="000000"/>
    </w:rPr>
  </w:style>
  <w:style w:type="paragraph" w:styleId="114">
    <w:name w:val="List Paragraph"/>
    <w:basedOn w:val="1"/>
    <w:qFormat/>
    <w:uiPriority w:val="34"/>
    <w:pPr>
      <w:ind w:firstLine="420" w:firstLineChars="200"/>
    </w:pPr>
    <w:rPr>
      <w:rFonts w:ascii="Calibri" w:hAnsi="Calibri"/>
      <w:snapToGrid/>
      <w:kern w:val="2"/>
    </w:rPr>
  </w:style>
  <w:style w:type="paragraph" w:customStyle="1" w:styleId="115">
    <w:name w:val=" Char Char Char Char Char Char Char"/>
    <w:basedOn w:val="1"/>
    <w:uiPriority w:val="0"/>
    <w:pPr>
      <w:tabs>
        <w:tab w:val="left" w:pos="432"/>
      </w:tabs>
      <w:ind w:left="432" w:hanging="432"/>
    </w:pPr>
    <w:rPr>
      <w:rFonts w:ascii="Tahoma" w:hAnsi="Tahoma"/>
      <w:snapToGrid/>
      <w:kern w:val="2"/>
      <w:sz w:val="24"/>
    </w:rPr>
  </w:style>
  <w:style w:type="paragraph" w:customStyle="1" w:styleId="116">
    <w:name w:val="默认段落字体 Para Char Char Char Char Char Char Char"/>
    <w:basedOn w:val="1"/>
    <w:uiPriority w:val="0"/>
    <w:rPr>
      <w:snapToGrid/>
      <w:kern w:val="2"/>
    </w:rPr>
  </w:style>
  <w:style w:type="paragraph" w:customStyle="1" w:styleId="117">
    <w:name w:val="正文_2"/>
    <w:qFormat/>
    <w:uiPriority w:val="0"/>
    <w:pPr>
      <w:widowControl w:val="0"/>
      <w:jc w:val="both"/>
    </w:pPr>
    <w:rPr>
      <w:kern w:val="2"/>
      <w:sz w:val="21"/>
      <w:szCs w:val="24"/>
      <w:lang w:val="en-US" w:eastAsia="zh-CN" w:bidi="ar-SA"/>
    </w:rPr>
  </w:style>
  <w:style w:type="paragraph" w:customStyle="1" w:styleId="11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9">
    <w:name w:val=" Char Char4 Char Char"/>
    <w:basedOn w:val="1"/>
    <w:uiPriority w:val="0"/>
    <w:pPr>
      <w:adjustRightInd w:val="0"/>
    </w:pPr>
    <w:rPr>
      <w:rFonts w:ascii="仿宋_GB2312" w:eastAsia="仿宋_GB2312"/>
      <w:b/>
      <w:snapToGrid/>
      <w:kern w:val="2"/>
      <w:sz w:val="32"/>
      <w:szCs w:val="32"/>
    </w:rPr>
  </w:style>
  <w:style w:type="paragraph" w:customStyle="1" w:styleId="120">
    <w:name w:val=" Char Char2 Char"/>
    <w:basedOn w:val="1"/>
    <w:uiPriority w:val="0"/>
    <w:pPr>
      <w:keepNext/>
      <w:keepLines/>
      <w:pageBreakBefore/>
      <w:tabs>
        <w:tab w:val="left" w:pos="845"/>
      </w:tabs>
      <w:ind w:left="845" w:hanging="420"/>
    </w:pPr>
    <w:rPr>
      <w:rFonts w:ascii="Tahoma" w:hAnsi="Tahoma"/>
      <w:snapToGrid/>
      <w:kern w:val="2"/>
      <w:sz w:val="24"/>
    </w:rPr>
  </w:style>
  <w:style w:type="paragraph" w:customStyle="1" w:styleId="121">
    <w:name w:val="p0"/>
    <w:basedOn w:val="1"/>
    <w:uiPriority w:val="0"/>
    <w:pPr>
      <w:widowControl/>
    </w:pPr>
    <w:rPr>
      <w:rFonts w:ascii="Calibri" w:hAnsi="Calibri" w:cs="宋体"/>
      <w:snapToGrid/>
      <w:szCs w:val="21"/>
    </w:rPr>
  </w:style>
  <w:style w:type="paragraph" w:customStyle="1" w:styleId="122">
    <w:name w:val="内文正文"/>
    <w:basedOn w:val="1"/>
    <w:qFormat/>
    <w:uiPriority w:val="0"/>
    <w:pPr>
      <w:widowControl/>
      <w:autoSpaceDE w:val="0"/>
      <w:autoSpaceDN w:val="0"/>
      <w:spacing w:line="400" w:lineRule="exact"/>
      <w:ind w:firstLine="200" w:firstLineChars="200"/>
      <w:textAlignment w:val="bottom"/>
    </w:pPr>
    <w:rPr>
      <w:rFonts w:ascii="宋体" w:hAnsi="???|CS?o｡ﾀ?" w:cs="宋体"/>
      <w:szCs w:val="21"/>
    </w:rPr>
  </w:style>
  <w:style w:type="paragraph" w:customStyle="1" w:styleId="123">
    <w:name w:val=" Char Char Char Char Char Char Char Char Char Char Char Char Char Char Char Char"/>
    <w:basedOn w:val="1"/>
    <w:uiPriority w:val="0"/>
    <w:pPr>
      <w:tabs>
        <w:tab w:val="left" w:pos="885"/>
      </w:tabs>
      <w:ind w:left="885" w:hanging="360"/>
    </w:pPr>
    <w:rPr>
      <w:snapToGrid/>
      <w:kern w:val="2"/>
      <w:sz w:val="24"/>
      <w:szCs w:val="24"/>
    </w:rPr>
  </w:style>
  <w:style w:type="paragraph" w:customStyle="1" w:styleId="124">
    <w:name w:val="List Paragraph"/>
    <w:basedOn w:val="1"/>
    <w:uiPriority w:val="0"/>
    <w:pPr>
      <w:ind w:firstLine="420" w:firstLineChars="200"/>
    </w:pPr>
    <w:rPr>
      <w:snapToGrid/>
      <w:kern w:val="2"/>
      <w:szCs w:val="24"/>
    </w:rPr>
  </w:style>
  <w:style w:type="paragraph" w:customStyle="1" w:styleId="125">
    <w:name w:val="样式 样式 首行缩进:  2.25 字符 + 首行缩进:  2.25 字符"/>
    <w:basedOn w:val="1"/>
    <w:uiPriority w:val="0"/>
    <w:pPr>
      <w:spacing w:line="360" w:lineRule="auto"/>
      <w:ind w:firstLine="420" w:firstLineChars="200"/>
    </w:pPr>
    <w:rPr>
      <w:rFonts w:ascii="宋体" w:hAnsi="宋体" w:cs="宋体"/>
      <w:szCs w:val="21"/>
    </w:rPr>
  </w:style>
  <w:style w:type="paragraph" w:customStyle="1" w:styleId="126">
    <w:name w:val="正文_9"/>
    <w:qFormat/>
    <w:uiPriority w:val="0"/>
    <w:pPr>
      <w:widowControl w:val="0"/>
      <w:jc w:val="both"/>
    </w:pPr>
    <w:rPr>
      <w:kern w:val="2"/>
      <w:sz w:val="21"/>
      <w:szCs w:val="22"/>
      <w:lang w:val="en-US" w:eastAsia="zh-CN" w:bidi="ar-SA"/>
    </w:rPr>
  </w:style>
  <w:style w:type="paragraph" w:customStyle="1" w:styleId="127">
    <w:name w:val=" Char"/>
    <w:basedOn w:val="1"/>
    <w:uiPriority w:val="0"/>
    <w:rPr>
      <w:rFonts w:eastAsia="宋体"/>
      <w:snapToGrid w:val="0"/>
      <w:sz w:val="18"/>
      <w:lang w:val="en-US" w:eastAsia="zh-CN"/>
    </w:rPr>
  </w:style>
  <w:style w:type="paragraph" w:customStyle="1" w:styleId="128">
    <w:name w:val="Char"/>
    <w:basedOn w:val="1"/>
    <w:uiPriority w:val="0"/>
    <w:pPr>
      <w:spacing w:line="360" w:lineRule="auto"/>
      <w:ind w:firstLine="420" w:firstLineChars="200"/>
    </w:pPr>
    <w:rPr>
      <w:rFonts w:ascii="宋体" w:hAnsi="宋体"/>
      <w:snapToGrid/>
      <w:kern w:val="2"/>
    </w:rPr>
  </w:style>
  <w:style w:type="paragraph" w:customStyle="1" w:styleId="129">
    <w:name w:val="正文_0_0"/>
    <w:uiPriority w:val="0"/>
    <w:pPr>
      <w:widowControl w:val="0"/>
      <w:jc w:val="both"/>
    </w:pPr>
    <w:rPr>
      <w:kern w:val="2"/>
      <w:sz w:val="21"/>
      <w:szCs w:val="22"/>
      <w:lang w:val="en-US" w:eastAsia="zh-CN" w:bidi="ar-SA"/>
    </w:rPr>
  </w:style>
  <w:style w:type="paragraph" w:customStyle="1" w:styleId="130">
    <w:name w:val="默认段落字体 Para Char Char Char Char Char Char Char Char Char1 Char Char Char Char"/>
    <w:basedOn w:val="1"/>
    <w:uiPriority w:val="0"/>
    <w:rPr>
      <w:rFonts w:ascii="Tahoma" w:hAnsi="Tahoma"/>
      <w:snapToGrid/>
      <w:kern w:val="2"/>
      <w:sz w:val="24"/>
    </w:rPr>
  </w:style>
  <w:style w:type="paragraph" w:customStyle="1" w:styleId="131">
    <w:name w:val="软著正文"/>
    <w:basedOn w:val="1"/>
    <w:qFormat/>
    <w:uiPriority w:val="0"/>
    <w:pPr>
      <w:spacing w:line="360" w:lineRule="auto"/>
      <w:ind w:firstLine="200" w:firstLineChars="200"/>
    </w:pPr>
    <w:rPr>
      <w:rFonts w:ascii="Times New Roman" w:hAnsi="Times New Roman"/>
      <w:sz w:val="24"/>
    </w:rPr>
  </w:style>
  <w:style w:type="paragraph" w:styleId="132">
    <w:name w:val="No Spacing"/>
    <w:qFormat/>
    <w:uiPriority w:val="0"/>
    <w:pPr>
      <w:widowControl w:val="0"/>
      <w:jc w:val="both"/>
    </w:pPr>
    <w:rPr>
      <w:kern w:val="2"/>
      <w:sz w:val="21"/>
      <w:szCs w:val="24"/>
      <w:lang w:val="en-US" w:eastAsia="zh-CN" w:bidi="ar-SA"/>
    </w:rPr>
  </w:style>
  <w:style w:type="paragraph" w:customStyle="1" w:styleId="133">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34">
    <w:name w:val="表格内"/>
    <w:basedOn w:val="1"/>
    <w:uiPriority w:val="0"/>
    <w:rPr>
      <w:rFonts w:cs="宋体"/>
      <w:szCs w:val="20"/>
    </w:rPr>
  </w:style>
  <w:style w:type="paragraph" w:customStyle="1" w:styleId="135">
    <w:name w:val=" Char Char1 Char Char Char Char Char Char"/>
    <w:basedOn w:val="1"/>
    <w:uiPriority w:val="0"/>
    <w:pPr>
      <w:widowControl/>
      <w:spacing w:after="160" w:afterLines="0" w:afterAutospacing="0" w:line="240" w:lineRule="exact"/>
      <w:jc w:val="left"/>
    </w:pPr>
  </w:style>
  <w:style w:type="paragraph" w:customStyle="1" w:styleId="136">
    <w:name w:val="正文－恩普"/>
    <w:basedOn w:val="2"/>
    <w:uiPriority w:val="0"/>
    <w:pPr>
      <w:widowControl/>
      <w:spacing w:after="156" w:afterLines="50" w:afterAutospacing="0" w:line="360" w:lineRule="auto"/>
      <w:ind w:firstLine="480" w:firstLineChars="200"/>
      <w:jc w:val="left"/>
    </w:pPr>
    <w:rPr>
      <w:kern w:val="0"/>
      <w:sz w:val="24"/>
    </w:rPr>
  </w:style>
  <w:style w:type="paragraph" w:customStyle="1" w:styleId="137">
    <w:name w:val="表内文字"/>
    <w:basedOn w:val="1"/>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138">
    <w:name w:val="Normal_22"/>
    <w:qFormat/>
    <w:uiPriority w:val="0"/>
    <w:rPr>
      <w:rFonts w:ascii="黑体" w:hAnsi="黑体" w:eastAsia="黑体" w:cs="Times New Roman"/>
      <w:b/>
      <w:sz w:val="32"/>
      <w:szCs w:val="24"/>
      <w:lang w:bidi="ar-SA"/>
    </w:rPr>
  </w:style>
  <w:style w:type="paragraph" w:customStyle="1" w:styleId="139">
    <w:name w:val="Normal_23"/>
    <w:qFormat/>
    <w:uiPriority w:val="0"/>
    <w:pPr>
      <w:widowControl w:val="0"/>
      <w:jc w:val="both"/>
    </w:pPr>
    <w:rPr>
      <w:rFonts w:ascii="Calibri" w:hAnsi="Calibri" w:eastAsia="宋体" w:cs="Times New Roman"/>
      <w:kern w:val="2"/>
      <w:sz w:val="21"/>
      <w:szCs w:val="22"/>
      <w:lang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footer7.xml" Type="http://schemas.openxmlformats.org/officeDocument/2006/relationships/footer"/><Relationship Id="rId15" Target="header6.xml" Type="http://schemas.openxmlformats.org/officeDocument/2006/relationships/header"/><Relationship Id="rId16" Target="footer8.xml" Type="http://schemas.openxmlformats.org/officeDocument/2006/relationships/footer"/><Relationship Id="rId17" Target="header7.xml" Type="http://schemas.openxmlformats.org/officeDocument/2006/relationships/header"/><Relationship Id="rId18" Target="footer9.xml" Type="http://schemas.openxmlformats.org/officeDocument/2006/relationships/footer"/><Relationship Id="rId19" Target="footer10.xml" Type="http://schemas.openxmlformats.org/officeDocument/2006/relationships/footer"/><Relationship Id="rId2" Target="settings.xml" Type="http://schemas.openxmlformats.org/officeDocument/2006/relationships/settings"/><Relationship Id="rId20" Target="footer11.xml" Type="http://schemas.openxmlformats.org/officeDocument/2006/relationships/footer"/><Relationship Id="rId21" Target="theme/theme1.xml" Type="http://schemas.openxmlformats.org/officeDocument/2006/relationships/theme"/><Relationship Id="rId22" Target="media/image1.png" Type="http://schemas.openxmlformats.org/officeDocument/2006/relationships/image"/><Relationship Id="rId23" Target="media/image2.png" Type="http://schemas.openxmlformats.org/officeDocument/2006/relationships/image"/><Relationship Id="rId24" Target="../customXml/item1.xml" Type="http://schemas.openxmlformats.org/officeDocument/2006/relationships/customXml"/><Relationship Id="rId25" Target="numbering.xml" Type="http://schemas.openxmlformats.org/officeDocument/2006/relationships/numbering"/><Relationship Id="rId26"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99</Pages>
  <Words>50519</Words>
  <Characters>52145</Characters>
  <Lines>393</Lines>
  <Paragraphs>110</Paragraphs>
  <TotalTime>8</TotalTime>
  <ScaleCrop>false</ScaleCrop>
  <LinksUpToDate>false</LinksUpToDate>
  <CharactersWithSpaces>57796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2021-04-15T11:46:00Z</dcterms:created>
  <dc:creator>黎似玖</dc:creator>
  <cp:lastModifiedBy>WPS_1701756769</cp:lastModifiedBy>
  <cp:lastPrinted>2022-08-25T08:42:14Z</cp:lastPrinted>
  <dcterms:modified xsi:type="dcterms:W3CDTF">2024-01-31T02:21:57Z</dcterms:modified>
  <cp:revision>6</cp:revision>
  <dc:title>开发区环境监测站部分仪器采购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0E0A8E8A449A4F5F945505EFF36DF90D_13</vt:lpwstr>
  </property>
</Properties>
</file>