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color w:val="auto"/>
          <w:w w:val="80"/>
          <w:sz w:val="52"/>
          <w:szCs w:val="52"/>
          <w:highlight w:val="none"/>
          <w:lang w:bidi="th-TH"/>
        </w:rPr>
      </w:pPr>
    </w:p>
    <w:p>
      <w:pPr>
        <w:pStyle w:val="44"/>
        <w:adjustRightInd w:val="0"/>
        <w:snapToGrid w:val="0"/>
        <w:spacing w:line="360" w:lineRule="auto"/>
        <w:ind w:firstLine="0"/>
        <w:rPr>
          <w:rFonts w:ascii="仿宋" w:hAnsi="仿宋" w:eastAsia="仿宋" w:cs="仿宋"/>
          <w:color w:val="auto"/>
          <w:highlight w:val="none"/>
        </w:rPr>
      </w:pPr>
    </w:p>
    <w:p>
      <w:pPr>
        <w:pStyle w:val="44"/>
        <w:adjustRightInd w:val="0"/>
        <w:snapToGrid w:val="0"/>
        <w:spacing w:line="360" w:lineRule="auto"/>
        <w:ind w:firstLine="0"/>
        <w:rPr>
          <w:rFonts w:ascii="仿宋" w:hAnsi="仿宋" w:eastAsia="仿宋" w:cs="仿宋"/>
          <w:color w:val="auto"/>
          <w:highlight w:val="none"/>
        </w:rPr>
      </w:pPr>
    </w:p>
    <w:p>
      <w:pPr>
        <w:pStyle w:val="170"/>
        <w:widowControl w:val="0"/>
        <w:adjustRightInd w:val="0"/>
        <w:snapToGrid w:val="0"/>
        <w:spacing w:line="360" w:lineRule="auto"/>
        <w:ind w:firstLine="0"/>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白杨街道垃圾分类误时投放点</w:t>
      </w:r>
    </w:p>
    <w:p>
      <w:pPr>
        <w:pStyle w:val="170"/>
        <w:widowControl w:val="0"/>
        <w:adjustRightInd w:val="0"/>
        <w:snapToGrid w:val="0"/>
        <w:spacing w:line="360" w:lineRule="auto"/>
        <w:ind w:firstLine="0"/>
        <w:jc w:val="center"/>
        <w:rPr>
          <w:rFonts w:hint="eastAsia" w:ascii="仿宋" w:hAnsi="仿宋" w:eastAsia="仿宋" w:cs="仿宋"/>
          <w:color w:val="auto"/>
          <w:szCs w:val="44"/>
          <w:highlight w:val="none"/>
          <w:lang w:eastAsia="zh-CN"/>
        </w:rPr>
      </w:pPr>
      <w:r>
        <w:rPr>
          <w:rFonts w:hint="eastAsia" w:ascii="仿宋" w:hAnsi="仿宋" w:eastAsia="仿宋" w:cs="仿宋"/>
          <w:color w:val="auto"/>
          <w:sz w:val="44"/>
          <w:szCs w:val="44"/>
          <w:highlight w:val="none"/>
          <w:lang w:eastAsia="zh-CN"/>
        </w:rPr>
        <w:t>管理服务采购项目</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18"/>
        <w:rPr>
          <w:rFonts w:ascii="仿宋" w:hAnsi="仿宋" w:eastAsia="仿宋" w:cs="仿宋"/>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QTCG-GK-2023-215</w:t>
      </w:r>
    </w:p>
    <w:p>
      <w:pPr>
        <w:pStyle w:val="26"/>
        <w:ind w:left="5250"/>
        <w:rPr>
          <w:rFonts w:ascii="仿宋" w:hAnsi="仿宋" w:eastAsia="仿宋" w:cs="仿宋"/>
          <w:b/>
          <w:color w:val="auto"/>
          <w:szCs w:val="28"/>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tbl>
      <w:tblPr>
        <w:tblStyle w:val="46"/>
        <w:tblW w:w="6244" w:type="dxa"/>
        <w:jc w:val="center"/>
        <w:tblLayout w:type="fixed"/>
        <w:tblCellMar>
          <w:top w:w="0" w:type="dxa"/>
          <w:left w:w="108" w:type="dxa"/>
          <w:bottom w:w="0" w:type="dxa"/>
          <w:right w:w="108" w:type="dxa"/>
        </w:tblCellMar>
      </w:tblPr>
      <w:tblGrid>
        <w:gridCol w:w="2160"/>
        <w:gridCol w:w="260"/>
        <w:gridCol w:w="3824"/>
      </w:tblGrid>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杭州市钱塘区人民政府</w:t>
            </w:r>
          </w:p>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白杨街道办事处</w:t>
            </w:r>
          </w:p>
        </w:tc>
      </w:tr>
      <w:tr>
        <w:tblPrEx>
          <w:tblCellMar>
            <w:top w:w="0" w:type="dxa"/>
            <w:left w:w="108" w:type="dxa"/>
            <w:bottom w:w="0" w:type="dxa"/>
            <w:right w:w="108" w:type="dxa"/>
          </w:tblCellMar>
        </w:tblPrEx>
        <w:trPr>
          <w:trHeight w:val="297" w:hRule="atLeast"/>
          <w:jc w:val="center"/>
        </w:trPr>
        <w:tc>
          <w:tcPr>
            <w:tcW w:w="2160" w:type="dxa"/>
            <w:noWrap/>
            <w:vAlign w:val="center"/>
          </w:tcPr>
          <w:p>
            <w:pPr>
              <w:snapToGrid w:val="0"/>
              <w:jc w:val="distribute"/>
              <w:rPr>
                <w:rFonts w:ascii="仿宋" w:hAnsi="仿宋" w:eastAsia="仿宋" w:cs="仿宋"/>
                <w:b/>
                <w:color w:val="auto"/>
                <w:sz w:val="22"/>
                <w:szCs w:val="22"/>
                <w:highlight w:val="none"/>
              </w:rPr>
            </w:pPr>
          </w:p>
        </w:tc>
        <w:tc>
          <w:tcPr>
            <w:tcW w:w="260" w:type="dxa"/>
            <w:noWrap/>
            <w:vAlign w:val="center"/>
          </w:tcPr>
          <w:p>
            <w:pPr>
              <w:snapToGrid w:val="0"/>
              <w:jc w:val="distribute"/>
              <w:rPr>
                <w:rFonts w:ascii="仿宋" w:hAnsi="仿宋" w:eastAsia="仿宋" w:cs="仿宋"/>
                <w:b/>
                <w:color w:val="auto"/>
                <w:sz w:val="22"/>
                <w:szCs w:val="22"/>
                <w:highlight w:val="none"/>
              </w:rPr>
            </w:pPr>
          </w:p>
        </w:tc>
        <w:tc>
          <w:tcPr>
            <w:tcW w:w="3824" w:type="dxa"/>
            <w:noWrap/>
            <w:vAlign w:val="center"/>
          </w:tcPr>
          <w:p>
            <w:pPr>
              <w:snapToGrid w:val="0"/>
              <w:jc w:val="distribute"/>
              <w:rPr>
                <w:rFonts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0"/>
                <w:szCs w:val="30"/>
                <w:highlight w:val="none"/>
              </w:rPr>
            </w:pPr>
          </w:p>
        </w:tc>
        <w:tc>
          <w:tcPr>
            <w:tcW w:w="260" w:type="dxa"/>
            <w:noWrap/>
            <w:vAlign w:val="center"/>
          </w:tcPr>
          <w:p>
            <w:pPr>
              <w:snapToGrid w:val="0"/>
              <w:jc w:val="distribute"/>
              <w:rPr>
                <w:rFonts w:ascii="仿宋" w:hAnsi="仿宋" w:eastAsia="仿宋" w:cs="仿宋"/>
                <w:b/>
                <w:color w:val="auto"/>
                <w:sz w:val="30"/>
                <w:szCs w:val="30"/>
                <w:highlight w:val="none"/>
              </w:rPr>
            </w:pPr>
          </w:p>
        </w:tc>
        <w:tc>
          <w:tcPr>
            <w:tcW w:w="3824" w:type="dxa"/>
            <w:noWrap/>
            <w:vAlign w:val="center"/>
          </w:tcPr>
          <w:p>
            <w:pPr>
              <w:snapToGrid w:val="0"/>
              <w:jc w:val="distribute"/>
              <w:rPr>
                <w:rFonts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244" w:type="dxa"/>
            <w:gridSpan w:val="3"/>
            <w:noWrap/>
            <w:vAlign w:val="bottom"/>
          </w:tcPr>
          <w:p>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07</w:t>
            </w:r>
            <w:r>
              <w:rPr>
                <w:rFonts w:hint="eastAsia" w:ascii="仿宋" w:hAnsi="仿宋" w:eastAsia="仿宋" w:cs="仿宋"/>
                <w:b/>
                <w:color w:val="auto"/>
                <w:sz w:val="30"/>
                <w:szCs w:val="30"/>
                <w:highlight w:val="none"/>
              </w:rPr>
              <w:t>月</w:t>
            </w:r>
          </w:p>
        </w:tc>
      </w:tr>
    </w:tbl>
    <w:p>
      <w:pPr>
        <w:pStyle w:val="24"/>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32"/>
        <w:tabs>
          <w:tab w:val="right" w:leader="dot" w:pos="8306"/>
          <w:tab w:val="clear" w:pos="8720"/>
        </w:tabs>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tab/>
      </w:r>
      <w:r>
        <w:fldChar w:fldCharType="begin"/>
      </w:r>
      <w:r>
        <w:instrText xml:space="preserve"> PAGEREF _Toc27292 \h </w:instrText>
      </w:r>
      <w:r>
        <w:fldChar w:fldCharType="separate"/>
      </w:r>
      <w:r>
        <w:t>2</w:t>
      </w:r>
      <w:r>
        <w:fldChar w:fldCharType="end"/>
      </w:r>
    </w:p>
    <w:p>
      <w:pPr>
        <w:pStyle w:val="37"/>
        <w:tabs>
          <w:tab w:val="right" w:leader="dot" w:pos="8306"/>
          <w:tab w:val="clear" w:pos="8720"/>
        </w:tabs>
      </w:pPr>
      <w:r>
        <w:rPr>
          <w:rFonts w:hint="eastAsia" w:ascii="仿宋" w:hAnsi="仿宋" w:eastAsia="仿宋" w:cs="仿宋"/>
          <w:color w:val="auto"/>
          <w:szCs w:val="30"/>
          <w:highlight w:val="none"/>
        </w:rPr>
        <w:t>前 附 表</w:t>
      </w:r>
      <w:r>
        <w:tab/>
      </w:r>
      <w:r>
        <w:fldChar w:fldCharType="begin"/>
      </w:r>
      <w:r>
        <w:instrText xml:space="preserve"> PAGEREF _Toc4377 \h </w:instrText>
      </w:r>
      <w:r>
        <w:fldChar w:fldCharType="separate"/>
      </w:r>
      <w:r>
        <w:t>7</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第二部分  投标须知</w:t>
      </w:r>
      <w:r>
        <w:tab/>
      </w:r>
      <w:r>
        <w:fldChar w:fldCharType="begin"/>
      </w:r>
      <w:r>
        <w:instrText xml:space="preserve"> PAGEREF _Toc14408 \h </w:instrText>
      </w:r>
      <w:r>
        <w:fldChar w:fldCharType="separate"/>
      </w:r>
      <w:r>
        <w:t>12</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20"/>
          <w:highlight w:val="none"/>
          <w:lang w:val="en-US" w:eastAsia="zh-CN"/>
        </w:rPr>
        <w:t>一、总则</w:t>
      </w:r>
      <w:r>
        <w:tab/>
      </w:r>
      <w:r>
        <w:fldChar w:fldCharType="begin"/>
      </w:r>
      <w:r>
        <w:instrText xml:space="preserve"> PAGEREF _Toc8119 \h </w:instrText>
      </w:r>
      <w:r>
        <w:fldChar w:fldCharType="separate"/>
      </w:r>
      <w:r>
        <w:t>12</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20"/>
          <w:highlight w:val="none"/>
        </w:rPr>
        <w:t>二、招标文件的构成、澄清、修改</w:t>
      </w:r>
      <w:r>
        <w:tab/>
      </w:r>
      <w:r>
        <w:fldChar w:fldCharType="begin"/>
      </w:r>
      <w:r>
        <w:instrText xml:space="preserve"> PAGEREF _Toc2980 \h </w:instrText>
      </w:r>
      <w:r>
        <w:fldChar w:fldCharType="separate"/>
      </w:r>
      <w:r>
        <w:t>17</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20"/>
          <w:highlight w:val="none"/>
        </w:rPr>
        <w:t>三、投标</w:t>
      </w:r>
      <w:r>
        <w:tab/>
      </w:r>
      <w:r>
        <w:fldChar w:fldCharType="begin"/>
      </w:r>
      <w:r>
        <w:instrText xml:space="preserve"> PAGEREF _Toc30111 \h </w:instrText>
      </w:r>
      <w:r>
        <w:fldChar w:fldCharType="separate"/>
      </w:r>
      <w:r>
        <w:t>17</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20"/>
          <w:highlight w:val="none"/>
        </w:rPr>
        <w:t>四、开标、资格审查与信用信息查询</w:t>
      </w:r>
      <w:r>
        <w:tab/>
      </w:r>
      <w:r>
        <w:fldChar w:fldCharType="begin"/>
      </w:r>
      <w:r>
        <w:instrText xml:space="preserve"> PAGEREF _Toc12572 \h </w:instrText>
      </w:r>
      <w:r>
        <w:fldChar w:fldCharType="separate"/>
      </w:r>
      <w:r>
        <w:t>20</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36"/>
          <w:highlight w:val="none"/>
        </w:rPr>
        <w:t>五、评标</w:t>
      </w:r>
      <w:r>
        <w:tab/>
      </w:r>
      <w:r>
        <w:fldChar w:fldCharType="begin"/>
      </w:r>
      <w:r>
        <w:instrText xml:space="preserve"> PAGEREF _Toc19020 \h </w:instrText>
      </w:r>
      <w:r>
        <w:fldChar w:fldCharType="separate"/>
      </w:r>
      <w:r>
        <w:t>21</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36"/>
          <w:highlight w:val="none"/>
        </w:rPr>
        <w:t>六、定</w:t>
      </w:r>
      <w:r>
        <w:rPr>
          <w:rFonts w:ascii="仿宋_GB2312" w:hAnsi="仿宋" w:eastAsia="仿宋_GB2312" w:cs="仿宋_GB2312"/>
          <w:color w:val="auto"/>
          <w:szCs w:val="36"/>
          <w:highlight w:val="none"/>
        </w:rPr>
        <w:t xml:space="preserve"> </w:t>
      </w:r>
      <w:r>
        <w:rPr>
          <w:rFonts w:hint="eastAsia" w:ascii="仿宋_GB2312" w:hAnsi="仿宋" w:eastAsia="仿宋_GB2312" w:cs="仿宋_GB2312"/>
          <w:color w:val="auto"/>
          <w:szCs w:val="36"/>
          <w:highlight w:val="none"/>
        </w:rPr>
        <w:t>标</w:t>
      </w:r>
      <w:r>
        <w:tab/>
      </w:r>
      <w:r>
        <w:fldChar w:fldCharType="begin"/>
      </w:r>
      <w:r>
        <w:instrText xml:space="preserve"> PAGEREF _Toc13298 \h </w:instrText>
      </w:r>
      <w:r>
        <w:fldChar w:fldCharType="separate"/>
      </w:r>
      <w:r>
        <w:t>21</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36"/>
          <w:highlight w:val="none"/>
        </w:rPr>
        <w:t>七、合同授予</w:t>
      </w:r>
      <w:bookmarkStart w:id="161" w:name="_GoBack"/>
      <w:bookmarkEnd w:id="161"/>
      <w:r>
        <w:tab/>
      </w:r>
      <w:r>
        <w:fldChar w:fldCharType="begin"/>
      </w:r>
      <w:r>
        <w:instrText xml:space="preserve"> PAGEREF _Toc20170 \h </w:instrText>
      </w:r>
      <w:r>
        <w:fldChar w:fldCharType="separate"/>
      </w:r>
      <w:r>
        <w:t>22</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36"/>
          <w:highlight w:val="none"/>
        </w:rPr>
        <w:t>八、电子交易活动的中止</w:t>
      </w:r>
      <w:r>
        <w:tab/>
      </w:r>
      <w:r>
        <w:fldChar w:fldCharType="begin"/>
      </w:r>
      <w:r>
        <w:instrText xml:space="preserve"> PAGEREF _Toc20626 \h </w:instrText>
      </w:r>
      <w:r>
        <w:fldChar w:fldCharType="separate"/>
      </w:r>
      <w:r>
        <w:t>24</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color w:val="auto"/>
          <w:szCs w:val="36"/>
          <w:highlight w:val="none"/>
        </w:rPr>
        <w:t>九、验收</w:t>
      </w:r>
      <w:r>
        <w:tab/>
      </w:r>
      <w:r>
        <w:fldChar w:fldCharType="begin"/>
      </w:r>
      <w:r>
        <w:instrText xml:space="preserve"> PAGEREF _Toc1850 \h </w:instrText>
      </w:r>
      <w:r>
        <w:fldChar w:fldCharType="separate"/>
      </w:r>
      <w:r>
        <w:t>24</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第三部分  采购需求</w:t>
      </w:r>
      <w:r>
        <w:tab/>
      </w:r>
      <w:r>
        <w:fldChar w:fldCharType="begin"/>
      </w:r>
      <w:r>
        <w:instrText xml:space="preserve"> PAGEREF _Toc22130 \h </w:instrText>
      </w:r>
      <w:r>
        <w:fldChar w:fldCharType="separate"/>
      </w:r>
      <w:r>
        <w:t>26</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szCs w:val="24"/>
          <w:highlight w:val="none"/>
        </w:rPr>
        <w:t>一、项目概况</w:t>
      </w:r>
      <w:r>
        <w:tab/>
      </w:r>
      <w:r>
        <w:fldChar w:fldCharType="begin"/>
      </w:r>
      <w:r>
        <w:instrText xml:space="preserve"> PAGEREF _Toc22955 \h </w:instrText>
      </w:r>
      <w:r>
        <w:fldChar w:fldCharType="separate"/>
      </w:r>
      <w:r>
        <w:t>26</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szCs w:val="24"/>
          <w:highlight w:val="none"/>
          <w:lang w:val="en-US" w:eastAsia="zh-CN"/>
        </w:rPr>
        <w:t>二、工作职责</w:t>
      </w:r>
      <w:r>
        <w:tab/>
      </w:r>
      <w:r>
        <w:fldChar w:fldCharType="begin"/>
      </w:r>
      <w:r>
        <w:instrText xml:space="preserve"> PAGEREF _Toc24080 \h </w:instrText>
      </w:r>
      <w:r>
        <w:fldChar w:fldCharType="separate"/>
      </w:r>
      <w:r>
        <w:t>26</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服务相关</w:t>
      </w:r>
      <w:r>
        <w:rPr>
          <w:rFonts w:hint="eastAsia" w:ascii="仿宋" w:hAnsi="仿宋" w:eastAsia="仿宋" w:cs="仿宋"/>
          <w:color w:val="auto"/>
          <w:szCs w:val="24"/>
          <w:highlight w:val="none"/>
        </w:rPr>
        <w:t>要求</w:t>
      </w:r>
      <w:r>
        <w:tab/>
      </w:r>
      <w:r>
        <w:fldChar w:fldCharType="begin"/>
      </w:r>
      <w:r>
        <w:instrText xml:space="preserve"> PAGEREF _Toc17571 \h </w:instrText>
      </w:r>
      <w:r>
        <w:fldChar w:fldCharType="separate"/>
      </w:r>
      <w:r>
        <w:t>26</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szCs w:val="24"/>
          <w:highlight w:val="none"/>
          <w:lang w:val="en-US" w:eastAsia="zh-CN"/>
        </w:rPr>
        <w:t>四、相关保障</w:t>
      </w:r>
      <w:r>
        <w:tab/>
      </w:r>
      <w:r>
        <w:fldChar w:fldCharType="begin"/>
      </w:r>
      <w:r>
        <w:instrText xml:space="preserve"> PAGEREF _Toc7119 \h </w:instrText>
      </w:r>
      <w:r>
        <w:fldChar w:fldCharType="separate"/>
      </w:r>
      <w:r>
        <w:t>29</w:t>
      </w:r>
      <w:r>
        <w:fldChar w:fldCharType="end"/>
      </w:r>
    </w:p>
    <w:p>
      <w:pPr>
        <w:pStyle w:val="37"/>
        <w:tabs>
          <w:tab w:val="right" w:leader="dot" w:pos="8306"/>
          <w:tab w:val="clear" w:pos="8720"/>
        </w:tabs>
        <w:ind w:left="0" w:leftChars="0" w:firstLine="220" w:firstLineChars="110"/>
      </w:pPr>
      <w:r>
        <w:rPr>
          <w:rFonts w:hint="eastAsia" w:ascii="仿宋" w:hAnsi="仿宋" w:eastAsia="仿宋" w:cs="仿宋"/>
          <w:bCs/>
          <w:color w:val="auto"/>
          <w:highlight w:val="none"/>
          <w:lang w:val="en-US" w:eastAsia="zh-CN"/>
        </w:rPr>
        <w:t>四．</w:t>
      </w:r>
      <w:r>
        <w:rPr>
          <w:rFonts w:hint="eastAsia" w:ascii="仿宋" w:hAnsi="仿宋" w:eastAsia="仿宋" w:cs="仿宋"/>
          <w:color w:val="auto"/>
          <w:szCs w:val="24"/>
          <w:highlight w:val="none"/>
          <w:lang w:val="en-US" w:eastAsia="zh-CN"/>
        </w:rPr>
        <w:t>商务</w:t>
      </w:r>
      <w:r>
        <w:rPr>
          <w:rFonts w:hint="eastAsia" w:ascii="仿宋" w:hAnsi="仿宋" w:eastAsia="仿宋" w:cs="仿宋"/>
          <w:color w:val="auto"/>
          <w:szCs w:val="24"/>
          <w:highlight w:val="none"/>
        </w:rPr>
        <w:t>要求</w:t>
      </w:r>
      <w:r>
        <w:tab/>
      </w:r>
      <w:r>
        <w:fldChar w:fldCharType="begin"/>
      </w:r>
      <w:r>
        <w:instrText xml:space="preserve"> PAGEREF _Toc781 \h </w:instrText>
      </w:r>
      <w:r>
        <w:fldChar w:fldCharType="separate"/>
      </w:r>
      <w:r>
        <w:t>30</w:t>
      </w:r>
      <w:r>
        <w:fldChar w:fldCharType="end"/>
      </w:r>
    </w:p>
    <w:p>
      <w:pPr>
        <w:pStyle w:val="37"/>
        <w:tabs>
          <w:tab w:val="right" w:leader="dot" w:pos="8306"/>
          <w:tab w:val="clear" w:pos="8720"/>
        </w:tabs>
        <w:ind w:left="0" w:leftChars="0" w:firstLine="220" w:firstLineChars="110"/>
      </w:pPr>
      <w:r>
        <w:rPr>
          <w:rFonts w:hint="eastAsia" w:ascii="仿宋" w:hAnsi="仿宋" w:eastAsia="仿宋" w:cs="仿宋"/>
          <w:bCs/>
          <w:color w:val="auto"/>
          <w:szCs w:val="24"/>
          <w:highlight w:val="none"/>
          <w:lang w:val="en-US" w:eastAsia="zh-CN"/>
        </w:rPr>
        <w:t>五、投标要求</w:t>
      </w:r>
      <w:r>
        <w:tab/>
      </w:r>
      <w:r>
        <w:fldChar w:fldCharType="begin"/>
      </w:r>
      <w:r>
        <w:instrText xml:space="preserve"> PAGEREF _Toc7869 \h </w:instrText>
      </w:r>
      <w:r>
        <w:fldChar w:fldCharType="separate"/>
      </w:r>
      <w:r>
        <w:t>31</w:t>
      </w:r>
      <w:r>
        <w:fldChar w:fldCharType="end"/>
      </w:r>
    </w:p>
    <w:p>
      <w:pPr>
        <w:pStyle w:val="37"/>
        <w:tabs>
          <w:tab w:val="right" w:leader="dot" w:pos="8306"/>
          <w:tab w:val="clear" w:pos="8720"/>
        </w:tabs>
        <w:ind w:left="0" w:leftChars="0" w:firstLine="220" w:firstLineChars="110"/>
      </w:pPr>
      <w:r>
        <w:rPr>
          <w:rFonts w:hint="eastAsia" w:ascii="仿宋" w:hAnsi="仿宋" w:eastAsia="仿宋" w:cs="仿宋"/>
          <w:bCs/>
          <w:color w:val="auto"/>
          <w:szCs w:val="24"/>
          <w:highlight w:val="none"/>
          <w:lang w:val="en-US" w:eastAsia="zh-CN"/>
        </w:rPr>
        <w:t>六、其他</w:t>
      </w:r>
      <w:r>
        <w:tab/>
      </w:r>
      <w:r>
        <w:fldChar w:fldCharType="begin"/>
      </w:r>
      <w:r>
        <w:instrText xml:space="preserve"> PAGEREF _Toc20578 \h </w:instrText>
      </w:r>
      <w:r>
        <w:fldChar w:fldCharType="separate"/>
      </w:r>
      <w:r>
        <w:t>32</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第四部分  评标办法</w:t>
      </w:r>
      <w:r>
        <w:tab/>
      </w:r>
      <w:r>
        <w:fldChar w:fldCharType="begin"/>
      </w:r>
      <w:r>
        <w:instrText xml:space="preserve"> PAGEREF _Toc649 \h </w:instrText>
      </w:r>
      <w:r>
        <w:fldChar w:fldCharType="separate"/>
      </w:r>
      <w:r>
        <w:t>33</w:t>
      </w:r>
      <w:r>
        <w:fldChar w:fldCharType="end"/>
      </w:r>
    </w:p>
    <w:p>
      <w:pPr>
        <w:pStyle w:val="37"/>
        <w:tabs>
          <w:tab w:val="right" w:leader="dot" w:pos="8306"/>
          <w:tab w:val="clear" w:pos="8720"/>
        </w:tabs>
      </w:pPr>
      <w:r>
        <w:rPr>
          <w:rFonts w:hint="eastAsia" w:ascii="仿宋" w:hAnsi="仿宋" w:eastAsia="仿宋" w:cs="仿宋"/>
          <w:color w:val="auto"/>
          <w:szCs w:val="24"/>
          <w:highlight w:val="none"/>
        </w:rPr>
        <w:t>评标办法前附表</w:t>
      </w:r>
      <w:r>
        <w:tab/>
      </w:r>
      <w:r>
        <w:fldChar w:fldCharType="begin"/>
      </w:r>
      <w:r>
        <w:instrText xml:space="preserve"> PAGEREF _Toc22339 \h </w:instrText>
      </w:r>
      <w:r>
        <w:fldChar w:fldCharType="separate"/>
      </w:r>
      <w:r>
        <w:t>33</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szCs w:val="28"/>
        </w:rPr>
        <w:t xml:space="preserve">一、 </w:t>
      </w:r>
      <w:r>
        <w:rPr>
          <w:rFonts w:hint="eastAsia" w:ascii="仿宋_GB2312" w:hAnsi="仿宋" w:eastAsia="仿宋_GB2312" w:cs="仿宋_GB2312"/>
          <w:szCs w:val="28"/>
          <w:highlight w:val="none"/>
        </w:rPr>
        <w:t>评标方法</w:t>
      </w:r>
      <w:r>
        <w:tab/>
      </w:r>
      <w:r>
        <w:fldChar w:fldCharType="begin"/>
      </w:r>
      <w:r>
        <w:instrText xml:space="preserve"> PAGEREF _Toc5685 \h </w:instrText>
      </w:r>
      <w:r>
        <w:fldChar w:fldCharType="separate"/>
      </w:r>
      <w:r>
        <w:t>37</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szCs w:val="28"/>
        </w:rPr>
        <w:t xml:space="preserve">二、 </w:t>
      </w:r>
      <w:r>
        <w:rPr>
          <w:rFonts w:hint="eastAsia" w:ascii="仿宋_GB2312" w:hAnsi="仿宋" w:eastAsia="仿宋_GB2312" w:cs="仿宋_GB2312"/>
          <w:szCs w:val="28"/>
          <w:highlight w:val="none"/>
        </w:rPr>
        <w:t>评标标准</w:t>
      </w:r>
      <w:r>
        <w:tab/>
      </w:r>
      <w:r>
        <w:fldChar w:fldCharType="begin"/>
      </w:r>
      <w:r>
        <w:instrText xml:space="preserve"> PAGEREF _Toc26093 \h </w:instrText>
      </w:r>
      <w:r>
        <w:fldChar w:fldCharType="separate"/>
      </w:r>
      <w:r>
        <w:t>37</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szCs w:val="28"/>
        </w:rPr>
        <w:t xml:space="preserve">三、 </w:t>
      </w:r>
      <w:r>
        <w:rPr>
          <w:rFonts w:hint="eastAsia" w:ascii="仿宋_GB2312" w:hAnsi="仿宋" w:eastAsia="仿宋_GB2312" w:cs="仿宋_GB2312"/>
          <w:szCs w:val="28"/>
          <w:highlight w:val="none"/>
        </w:rPr>
        <w:t>评标程序</w:t>
      </w:r>
      <w:r>
        <w:tab/>
      </w:r>
      <w:r>
        <w:fldChar w:fldCharType="begin"/>
      </w:r>
      <w:r>
        <w:instrText xml:space="preserve"> PAGEREF _Toc17735 \h </w:instrText>
      </w:r>
      <w:r>
        <w:fldChar w:fldCharType="separate"/>
      </w:r>
      <w:r>
        <w:t>37</w:t>
      </w:r>
      <w:r>
        <w:fldChar w:fldCharType="end"/>
      </w:r>
    </w:p>
    <w:p>
      <w:pPr>
        <w:pStyle w:val="37"/>
        <w:tabs>
          <w:tab w:val="right" w:leader="dot" w:pos="8306"/>
          <w:tab w:val="clear" w:pos="8720"/>
        </w:tabs>
        <w:ind w:left="0" w:leftChars="0" w:firstLine="220" w:firstLineChars="110"/>
      </w:pPr>
      <w:r>
        <w:rPr>
          <w:rFonts w:hint="eastAsia" w:ascii="仿宋_GB2312" w:hAnsi="仿宋" w:eastAsia="仿宋_GB2312" w:cs="仿宋_GB2312"/>
          <w:szCs w:val="28"/>
        </w:rPr>
        <w:t xml:space="preserve">四、 </w:t>
      </w:r>
      <w:r>
        <w:rPr>
          <w:rFonts w:hint="eastAsia" w:ascii="仿宋_GB2312" w:hAnsi="仿宋" w:eastAsia="仿宋_GB2312" w:cs="仿宋_GB2312"/>
          <w:szCs w:val="28"/>
          <w:highlight w:val="none"/>
        </w:rPr>
        <w:t>评标中的其他事项</w:t>
      </w:r>
      <w:r>
        <w:tab/>
      </w:r>
      <w:r>
        <w:fldChar w:fldCharType="begin"/>
      </w:r>
      <w:r>
        <w:instrText xml:space="preserve"> PAGEREF _Toc7972 \h </w:instrText>
      </w:r>
      <w:r>
        <w:fldChar w:fldCharType="separate"/>
      </w:r>
      <w:r>
        <w:t>38</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第五部分  合同条款</w:t>
      </w:r>
      <w:r>
        <w:tab/>
      </w:r>
      <w:r>
        <w:fldChar w:fldCharType="begin"/>
      </w:r>
      <w:r>
        <w:instrText xml:space="preserve"> PAGEREF _Toc16257 \h </w:instrText>
      </w:r>
      <w:r>
        <w:fldChar w:fldCharType="separate"/>
      </w:r>
      <w:r>
        <w:t>41</w:t>
      </w:r>
      <w:r>
        <w:fldChar w:fldCharType="end"/>
      </w:r>
    </w:p>
    <w:p>
      <w:pPr>
        <w:pStyle w:val="32"/>
        <w:tabs>
          <w:tab w:val="right" w:leader="dot" w:pos="8306"/>
          <w:tab w:val="clear" w:pos="8720"/>
        </w:tabs>
      </w:pPr>
      <w:r>
        <w:rPr>
          <w:rFonts w:hint="eastAsia" w:ascii="仿宋" w:hAnsi="仿宋" w:eastAsia="仿宋" w:cs="仿宋"/>
          <w:color w:val="auto"/>
          <w:szCs w:val="30"/>
          <w:highlight w:val="none"/>
        </w:rPr>
        <w:t>第六部分  投标文件格式</w:t>
      </w:r>
      <w:r>
        <w:tab/>
      </w:r>
      <w:r>
        <w:fldChar w:fldCharType="begin"/>
      </w:r>
      <w:r>
        <w:instrText xml:space="preserve"> PAGEREF _Toc21376 \h </w:instrText>
      </w:r>
      <w:r>
        <w:fldChar w:fldCharType="separate"/>
      </w:r>
      <w:r>
        <w:t>49</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kern w:val="0"/>
          <w:szCs w:val="36"/>
          <w:highlight w:val="none"/>
        </w:rPr>
        <w:t>资格文件部分</w:t>
      </w:r>
      <w:r>
        <w:tab/>
      </w:r>
      <w:r>
        <w:fldChar w:fldCharType="begin"/>
      </w:r>
      <w:r>
        <w:instrText xml:space="preserve"> PAGEREF _Toc31598 \h </w:instrText>
      </w:r>
      <w:r>
        <w:fldChar w:fldCharType="separate"/>
      </w:r>
      <w:r>
        <w:t>49</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kern w:val="0"/>
          <w:szCs w:val="36"/>
          <w:highlight w:val="none"/>
        </w:rPr>
        <w:t>商务技术文件部分</w:t>
      </w:r>
      <w:r>
        <w:tab/>
      </w:r>
      <w:r>
        <w:fldChar w:fldCharType="begin"/>
      </w:r>
      <w:r>
        <w:instrText xml:space="preserve"> PAGEREF _Toc20051 \h </w:instrText>
      </w:r>
      <w:r>
        <w:fldChar w:fldCharType="separate"/>
      </w:r>
      <w:r>
        <w:t>54</w:t>
      </w:r>
      <w:r>
        <w:fldChar w:fldCharType="end"/>
      </w:r>
    </w:p>
    <w:p>
      <w:pPr>
        <w:pStyle w:val="37"/>
        <w:tabs>
          <w:tab w:val="right" w:leader="dot" w:pos="8306"/>
          <w:tab w:val="clear" w:pos="8720"/>
        </w:tabs>
        <w:ind w:left="0" w:leftChars="0" w:firstLine="220" w:firstLineChars="110"/>
      </w:pPr>
      <w:r>
        <w:rPr>
          <w:rFonts w:hint="eastAsia" w:ascii="仿宋" w:hAnsi="仿宋" w:eastAsia="仿宋" w:cs="仿宋"/>
          <w:color w:val="auto"/>
          <w:kern w:val="0"/>
          <w:szCs w:val="36"/>
          <w:highlight w:val="none"/>
        </w:rPr>
        <w:t>报价文件部分</w:t>
      </w:r>
      <w:r>
        <w:tab/>
      </w:r>
      <w:r>
        <w:fldChar w:fldCharType="begin"/>
      </w:r>
      <w:r>
        <w:instrText xml:space="preserve"> PAGEREF _Toc21062 \h </w:instrText>
      </w:r>
      <w:r>
        <w:fldChar w:fldCharType="separate"/>
      </w:r>
      <w:r>
        <w:t>63</w:t>
      </w:r>
      <w:r>
        <w:fldChar w:fldCharType="end"/>
      </w:r>
    </w:p>
    <w:p>
      <w:pPr>
        <w:pStyle w:val="32"/>
        <w:tabs>
          <w:tab w:val="right" w:leader="dot" w:pos="8306"/>
          <w:tab w:val="clear" w:pos="8720"/>
        </w:tabs>
      </w:pPr>
    </w:p>
    <w:p>
      <w:pPr>
        <w:jc w:val="center"/>
        <w:rPr>
          <w:rFonts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0" w:name="_Toc27292"/>
      <w:bookmarkStart w:id="1" w:name="_Toc21665"/>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白杨街道垃圾分类误时投放点管理服务采购项目</w:t>
      </w:r>
      <w:r>
        <w:rPr>
          <w:rFonts w:hint="eastAsia" w:ascii="仿宋" w:hAnsi="仿宋" w:eastAsia="仿宋" w:cs="仿宋"/>
          <w:color w:val="auto"/>
          <w:kern w:val="0"/>
          <w:sz w:val="24"/>
          <w:highlight w:val="none"/>
        </w:rPr>
        <w:t xml:space="preserve">招标项目的潜在投标人应在政采云平台（https://www.zcygov.cn/）获取（下载）招标文件，并于 </w:t>
      </w:r>
      <w:r>
        <w:rPr>
          <w:rFonts w:hint="eastAsia" w:ascii="仿宋" w:hAnsi="仿宋" w:eastAsia="仿宋" w:cs="仿宋"/>
          <w:color w:val="auto"/>
          <w:kern w:val="0"/>
          <w:sz w:val="24"/>
          <w:highlight w:val="none"/>
          <w:lang w:eastAsia="zh-CN"/>
        </w:rPr>
        <w:t>2023年</w:t>
      </w:r>
      <w:r>
        <w:rPr>
          <w:rFonts w:hint="eastAsia" w:ascii="仿宋" w:hAnsi="仿宋" w:eastAsia="仿宋" w:cs="仿宋"/>
          <w:color w:val="auto"/>
          <w:kern w:val="0"/>
          <w:sz w:val="24"/>
          <w:highlight w:val="none"/>
          <w:lang w:val="en-US" w:eastAsia="zh-CN"/>
        </w:rPr>
        <w:t>08月08日</w:t>
      </w:r>
      <w:r>
        <w:rPr>
          <w:rFonts w:hint="eastAsia" w:ascii="仿宋" w:hAnsi="仿宋" w:eastAsia="仿宋" w:cs="仿宋"/>
          <w:color w:val="auto"/>
          <w:kern w:val="0"/>
          <w:sz w:val="24"/>
          <w:highlight w:val="none"/>
        </w:rPr>
        <w:t xml:space="preserve"> 09:30（北京时间）前递交（上传）投标文件。      </w:t>
      </w:r>
    </w:p>
    <w:p>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p>
    <w:p>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QTCG-GK-2023-215</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白杨街道垃圾分类误时投放点管理服务采购项目</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5020000</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5020000</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白杨街道垃圾分类误时投放点管理服务采购项目</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5020000</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根据采购人要求配备相关人员，服务覆盖白杨街道生活小区误时投放点全部点位，指导居民开展垃圾分类工作，并在点位上进行二次分拣工作，协助社区开展垃圾分类工作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供应商可点击本公告下方“浏览采购文件”查看采购需求。</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整体服务期为2年</w:t>
      </w:r>
      <w:r>
        <w:rPr>
          <w:rFonts w:hint="eastAsia" w:ascii="仿宋" w:hAnsi="仿宋" w:eastAsia="仿宋" w:cs="仿宋"/>
          <w:color w:val="auto"/>
          <w:sz w:val="24"/>
          <w:szCs w:val="24"/>
          <w:highlight w:val="none"/>
        </w:rPr>
        <w:t>。</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pPr>
        <w:pStyle w:val="41"/>
        <w:adjustRightInd w:val="0"/>
        <w:snapToGrid w:val="0"/>
        <w:spacing w:beforeAutospacing="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_GB2312" w:hAnsi="仿宋" w:eastAsia="仿宋_GB2312"/>
          <w:color w:val="auto"/>
          <w:sz w:val="24"/>
          <w:highlight w:val="none"/>
        </w:rPr>
        <w:t>服务全部由符合政策要求的中小企业承接，提供中小企业声明函</w:t>
      </w:r>
      <w:r>
        <w:rPr>
          <w:rFonts w:hint="eastAsia" w:ascii="仿宋" w:hAnsi="仿宋" w:eastAsia="仿宋" w:cs="仿宋"/>
          <w:snapToGrid w:val="0"/>
          <w:color w:val="auto"/>
          <w:kern w:val="28"/>
          <w:sz w:val="24"/>
          <w:szCs w:val="20"/>
          <w:highlight w:val="none"/>
        </w:rPr>
        <w:t>。</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3.本项目的特定资格要求：无。</w:t>
      </w:r>
    </w:p>
    <w:p>
      <w:pPr>
        <w:pStyle w:val="41"/>
        <w:adjustRightInd w:val="0"/>
        <w:snapToGrid w:val="0"/>
        <w:spacing w:beforeAutospacing="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08月08日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08月08日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投标地点（网址）：请登录政采云投标客户端投标</w:t>
      </w: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08月08日</w:t>
      </w:r>
      <w:r>
        <w:rPr>
          <w:rFonts w:hint="eastAsia" w:ascii="仿宋" w:hAnsi="仿宋" w:eastAsia="仿宋" w:cs="仿宋"/>
          <w:color w:val="auto"/>
          <w:sz w:val="24"/>
          <w:highlight w:val="none"/>
          <w:u w:val="single"/>
        </w:rPr>
        <w:t>09:30</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1446" w:firstLineChars="6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（线下）：</w:t>
      </w:r>
      <w:r>
        <w:rPr>
          <w:rFonts w:hint="eastAsia" w:ascii="仿宋" w:hAnsi="仿宋" w:eastAsia="仿宋" w:cs="仿宋"/>
          <w:color w:val="auto"/>
          <w:sz w:val="24"/>
          <w:highlight w:val="none"/>
          <w:lang w:val="en-US" w:eastAsia="zh-CN"/>
        </w:rPr>
        <w:t>杭州市钱塘区金沙大道600号东楼6楼5号开标室</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https://zfcg.czt.zj.gov.cn/luban/detail?categoryCode=ZcyAnnouncement&amp;parentId=600007&amp;articleId=y4cFSuK0IzLQsP8qmzhXwA==&amp;utm=luban.luban-PC-36449.972-pc-websitegroup-zhejiang-mainSearchPage-front.1.a7a2c2e0fba911edbab43dc0cefd2629</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（5）本项目采购文件公告期限为本公告发布之日起5个工作日。</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采购人信息</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名称：杭州市钱塘区人民政府白杨街道办事处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地址：杭州市钱塘区4号大街17-6号</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项目联系人（询问）：沈工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项目联系方式（询问）：0571-86930403</w:t>
      </w:r>
      <w:r>
        <w:rPr>
          <w:rFonts w:hint="eastAsia" w:ascii="仿宋" w:hAnsi="仿宋" w:eastAsia="仿宋" w:cs="仿宋"/>
          <w:color w:val="auto"/>
          <w:sz w:val="24"/>
          <w:szCs w:val="24"/>
          <w:highlight w:val="none"/>
          <w:lang w:val="en-US" w:eastAsia="zh-CN"/>
        </w:rPr>
        <w:t xml:space="preserve"> </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曾工</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质疑联系方式：0571-87981739</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地址：杭州市钱塘区青六北路499号钱塘中心5号楼             </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传真：0571-89535550      </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联系人：任女士      </w:t>
      </w:r>
    </w:p>
    <w:p>
      <w:pPr>
        <w:pStyle w:val="41"/>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监督投诉电话：0571-89535530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4377"/>
      <w:r>
        <w:rPr>
          <w:rFonts w:hint="eastAsia" w:ascii="仿宋" w:hAnsi="仿宋" w:eastAsia="仿宋" w:cs="仿宋"/>
          <w:b/>
          <w:color w:val="auto"/>
          <w:sz w:val="30"/>
          <w:szCs w:val="30"/>
          <w:highlight w:val="none"/>
        </w:rPr>
        <w:t>前 附 表</w:t>
      </w:r>
      <w:bookmarkEnd w:id="2"/>
    </w:p>
    <w:tbl>
      <w:tblPr>
        <w:tblStyle w:val="4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 w:eastAsia="仿宋_GB2312" w:cs="Arial"/>
                <w:b/>
                <w:color w:val="auto"/>
                <w:kern w:val="0"/>
                <w:sz w:val="24"/>
                <w:highlight w:val="none"/>
              </w:rPr>
            </w:pP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 w:eastAsia="仿宋_GB2312" w:cs="Arial"/>
                <w:b/>
                <w:color w:val="auto"/>
                <w:kern w:val="0"/>
                <w:sz w:val="24"/>
                <w:highlight w:val="none"/>
              </w:rPr>
            </w:pPr>
            <w:r>
              <w:rPr>
                <w:rFonts w:hint="eastAsia" w:ascii="仿宋" w:hAnsi="仿宋" w:eastAsia="仿宋" w:cs="仿宋"/>
                <w:b/>
                <w:bCs/>
                <w:color w:val="auto"/>
                <w:kern w:val="0"/>
                <w:sz w:val="24"/>
                <w:szCs w:val="24"/>
                <w:highlight w:val="none"/>
              </w:rPr>
              <w:t>标的</w:t>
            </w:r>
            <w:r>
              <w:rPr>
                <w:rFonts w:hint="eastAsia" w:ascii="仿宋" w:hAnsi="仿宋" w:eastAsia="仿宋" w:cs="仿宋"/>
                <w:b/>
                <w:bCs/>
                <w:color w:val="auto"/>
                <w:kern w:val="0"/>
                <w:sz w:val="24"/>
                <w:szCs w:val="24"/>
                <w:highlight w:val="none"/>
                <w:lang w:val="en-US" w:eastAsia="zh-CN"/>
              </w:rPr>
              <w:t>为</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lang w:val="en-US" w:eastAsia="zh-CN"/>
              </w:rPr>
              <w:t xml:space="preserve"> 白杨街道垃圾分类误时投放点管理服务 </w:t>
            </w:r>
            <w:r>
              <w:rPr>
                <w:rFonts w:hint="eastAsia" w:ascii="仿宋" w:hAnsi="仿宋" w:eastAsia="仿宋" w:cs="仿宋"/>
                <w:b/>
                <w:bCs/>
                <w:color w:val="auto"/>
                <w:kern w:val="0"/>
                <w:sz w:val="24"/>
                <w:szCs w:val="24"/>
                <w:highlight w:val="none"/>
              </w:rPr>
              <w:t>，属于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 xml:space="preserve">租赁和商务服务业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color w:val="auto"/>
                <w:kern w:val="0"/>
                <w:sz w:val="24"/>
                <w:highlight w:val="none"/>
                <w:lang w:val="en-US" w:eastAsia="zh-CN"/>
              </w:rPr>
            </w:pPr>
            <w:r>
              <w:rPr>
                <w:rFonts w:hint="eastAsia" w:ascii="仿宋" w:hAnsi="仿宋" w:eastAsia="仿宋" w:cs="仿宋"/>
                <w:b w:val="0"/>
                <w:bCs w:val="0"/>
                <w:color w:val="auto"/>
                <w:kern w:val="0"/>
                <w:sz w:val="24"/>
                <w:szCs w:val="24"/>
                <w:highlight w:val="none"/>
              </w:rPr>
              <w:t>租赁和商务服务业</w:t>
            </w:r>
            <w:r>
              <w:rPr>
                <w:rFonts w:hint="eastAsia" w:ascii="仿宋" w:hAnsi="仿宋" w:eastAsia="仿宋" w:cs="仿宋"/>
                <w:b w:val="0"/>
                <w:bCs w:val="0"/>
                <w:color w:val="auto"/>
                <w:kern w:val="0"/>
                <w:sz w:val="24"/>
                <w:szCs w:val="24"/>
                <w:highlight w:val="none"/>
                <w:lang w:val="en-US" w:eastAsia="zh-CN"/>
              </w:rPr>
              <w:t>中，</w:t>
            </w:r>
            <w:r>
              <w:rPr>
                <w:rFonts w:hint="eastAsia" w:ascii="仿宋" w:hAnsi="仿宋" w:eastAsia="仿宋" w:cs="仿宋"/>
                <w:b w:val="0"/>
                <w:bCs w:val="0"/>
                <w:color w:val="auto"/>
                <w:kern w:val="0"/>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（1）投标人填写中小企业声明函时，标的为</w:t>
            </w:r>
            <w:r>
              <w:rPr>
                <w:rFonts w:hint="eastAsia" w:ascii="仿宋" w:hAnsi="仿宋" w:eastAsia="仿宋" w:cs="仿宋"/>
                <w:b/>
                <w:bCs/>
                <w:color w:val="auto"/>
                <w:kern w:val="0"/>
                <w:sz w:val="24"/>
                <w:szCs w:val="24"/>
                <w:highlight w:val="none"/>
                <w:u w:val="single"/>
                <w:lang w:val="en-US" w:eastAsia="zh-CN"/>
              </w:rPr>
              <w:t>白杨街道垃圾分类误时投放点管理服务</w:t>
            </w:r>
            <w:r>
              <w:rPr>
                <w:rFonts w:hint="eastAsia" w:ascii="仿宋" w:hAnsi="仿宋" w:eastAsia="仿宋" w:cs="仿宋"/>
                <w:b/>
                <w:bCs/>
                <w:color w:val="auto"/>
                <w:kern w:val="0"/>
                <w:sz w:val="24"/>
                <w:szCs w:val="24"/>
                <w:highlight w:val="none"/>
                <w:lang w:val="en-US" w:eastAsia="zh-CN"/>
              </w:rPr>
              <w:t>，所属行业为</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Times New Roman"/>
                <w:color w:val="auto"/>
                <w:kern w:val="0"/>
                <w:sz w:val="24"/>
                <w:highlight w:val="none"/>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中型企业、小型企业、微型企业等3种企业类型，结合以上数据，依据《中小企业划型标准规定》（工信部联企业〔2011〕300号）确定</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rPr>
              <w:t>，</w:t>
            </w:r>
            <w:r>
              <w:rPr>
                <w:rFonts w:hint="eastAsia" w:ascii="仿宋" w:hAnsi="仿宋" w:eastAsia="仿宋" w:cs="仿宋"/>
                <w:b/>
                <w:bCs/>
                <w:strike w:val="0"/>
                <w:dstrike w:val="0"/>
                <w:color w:val="auto"/>
                <w:kern w:val="0"/>
                <w:sz w:val="24"/>
                <w:szCs w:val="24"/>
                <w:highlight w:val="none"/>
                <w:u w:val="single"/>
              </w:rPr>
              <w:t>填写时应明确是中型或小型或微型</w:t>
            </w:r>
            <w:r>
              <w:rPr>
                <w:rFonts w:hint="eastAsia" w:ascii="仿宋" w:hAnsi="仿宋" w:eastAsia="仿宋" w:cs="仿宋"/>
                <w:b/>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FangSong_GB2312" w:hAnsi="仿宋" w:eastAsia="FangSong_GB2312" w:cs="Arial"/>
                <w:color w:val="auto"/>
                <w:kern w:val="0"/>
                <w:sz w:val="24"/>
                <w:highlight w:val="none"/>
              </w:rPr>
            </w:pPr>
            <w:r>
              <w:rPr>
                <w:rFonts w:ascii="MS Gothic" w:hAnsi="MS Gothic" w:eastAsia="FangSong_GB2312" w:cs="Arial"/>
                <w:color w:val="auto"/>
                <w:kern w:val="0"/>
                <w:sz w:val="24"/>
                <w:highlight w:val="none"/>
              </w:rPr>
              <w:sym w:font="Wingdings" w:char="00FE"/>
            </w:r>
            <w:r>
              <w:rPr>
                <w:rFonts w:hint="eastAsia" w:ascii="FangSong_GB2312" w:hAnsi="仿宋" w:eastAsia="FangSong_GB2312" w:cs="Arial"/>
                <w:color w:val="auto"/>
                <w:kern w:val="0"/>
                <w:sz w:val="24"/>
                <w:highlight w:val="none"/>
              </w:rPr>
              <w:t>本项目不允许采购进口产品。</w:t>
            </w:r>
          </w:p>
          <w:p>
            <w:pPr>
              <w:adjustRightInd w:val="0"/>
              <w:snapToGrid w:val="0"/>
              <w:spacing w:line="400" w:lineRule="exact"/>
              <w:rPr>
                <w:rFonts w:hint="eastAsia" w:ascii="MS Gothic" w:hAnsi="MS Gothic" w:eastAsia="MS Gothic" w:cs="Arial"/>
                <w:color w:val="auto"/>
                <w:kern w:val="0"/>
                <w:sz w:val="24"/>
                <w:highlight w:val="none"/>
              </w:rPr>
            </w:pPr>
            <w:r>
              <w:rPr>
                <w:rFonts w:ascii="MS Gothic" w:hAnsi="MS Gothic" w:eastAsia="MS Gothic" w:cs="Arial"/>
                <w:color w:val="auto"/>
                <w:kern w:val="0"/>
                <w:sz w:val="24"/>
                <w:highlight w:val="none"/>
              </w:rPr>
              <w:t>☐</w:t>
            </w:r>
            <w:r>
              <w:rPr>
                <w:rFonts w:hint="eastAsia" w:ascii="FangSong_GB2312" w:hAnsi="仿宋" w:eastAsia="FangSong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A8"/>
            </w:r>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同意将非主体、非关键性的工作分包。</w:t>
            </w:r>
          </w:p>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t></w:t>
            </w:r>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同意向小微企业合理分包。</w:t>
            </w:r>
          </w:p>
          <w:p>
            <w:pPr>
              <w:adjustRightInd w:val="0"/>
              <w:snapToGrid w:val="0"/>
              <w:spacing w:line="400" w:lineRule="exact"/>
              <w:rPr>
                <w:rFonts w:hint="eastAsia" w:ascii="MS Gothic" w:hAnsi="MS Gothic" w:eastAsia="MS Gothic" w:cs="Arial"/>
                <w:color w:val="auto"/>
                <w:kern w:val="0"/>
                <w:sz w:val="24"/>
                <w:highlight w:val="none"/>
              </w:rPr>
            </w:pPr>
            <w:r>
              <w:rPr>
                <w:rFonts w:hint="eastAsia"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C</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adjustRightInd w:val="0"/>
              <w:snapToGrid w:val="0"/>
              <w:spacing w:line="400" w:lineRule="exact"/>
              <w:rPr>
                <w:rFonts w:hint="eastAsia" w:ascii="MS Gothic" w:hAnsi="MS Gothic" w:eastAsia="MS Gothic" w:cs="Arial"/>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w:t>
            </w:r>
            <w:r>
              <w:rPr>
                <w:rFonts w:ascii="仿宋" w:hAnsi="仿宋" w:eastAsia="仿宋"/>
                <w:color w:val="auto"/>
                <w:sz w:val="24"/>
                <w:highlight w:val="none"/>
              </w:rPr>
              <w:t>,地点：</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否；</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adjustRightInd w:val="0"/>
              <w:snapToGrid w:val="0"/>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numPr>
                <w:ilvl w:val="0"/>
                <w:numId w:val="1"/>
              </w:numPr>
              <w:adjustRightInd w:val="0"/>
              <w:snapToGrid w:val="0"/>
              <w:spacing w:line="400" w:lineRule="exact"/>
              <w:ind w:left="425" w:leftChars="0" w:hanging="425" w:firstLineChars="0"/>
              <w:rPr>
                <w:rFonts w:hint="eastAsia" w:ascii="MS Gothic" w:hAnsi="MS Gothic" w:eastAsia="MS Gothic" w:cs="Arial"/>
                <w:color w:val="auto"/>
                <w:kern w:val="0"/>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FangSong_GB2312" w:hAnsi="仿宋" w:eastAsia="FangSong_GB2312"/>
                <w:color w:val="auto"/>
                <w:sz w:val="24"/>
                <w:highlight w:val="none"/>
              </w:rPr>
            </w:pPr>
            <w:r>
              <w:rPr>
                <w:rFonts w:ascii="MS Gothic" w:hAnsi="MS Gothic" w:eastAsia="FangSong_GB2312" w:cs="Arial"/>
                <w:color w:val="auto"/>
                <w:kern w:val="0"/>
                <w:sz w:val="24"/>
                <w:highlight w:val="none"/>
              </w:rPr>
              <w:sym w:font="Wingdings" w:char="00FE"/>
            </w:r>
            <w:r>
              <w:rPr>
                <w:rFonts w:ascii="FangSong_GB2312" w:hAnsi="仿宋" w:eastAsia="FangSong_GB2312" w:cs="Arial"/>
                <w:color w:val="auto"/>
                <w:kern w:val="0"/>
                <w:sz w:val="24"/>
                <w:highlight w:val="none"/>
              </w:rPr>
              <w:t>A</w:t>
            </w:r>
            <w:r>
              <w:rPr>
                <w:rFonts w:hint="eastAsia" w:ascii="FangSong_GB2312" w:hAnsi="仿宋" w:eastAsia="FangSong_GB2312"/>
                <w:color w:val="auto"/>
                <w:sz w:val="24"/>
                <w:highlight w:val="none"/>
              </w:rPr>
              <w:t>不组织。</w:t>
            </w:r>
          </w:p>
          <w:p>
            <w:pPr>
              <w:adjustRightInd w:val="0"/>
              <w:snapToGrid w:val="0"/>
              <w:spacing w:line="400" w:lineRule="exact"/>
              <w:rPr>
                <w:rFonts w:ascii="FangSong_GB2312" w:hAnsi="仿宋" w:eastAsia="FangSong_GB2312"/>
                <w:color w:val="auto"/>
                <w:kern w:val="0"/>
                <w:sz w:val="24"/>
                <w:highlight w:val="none"/>
              </w:rPr>
            </w:pPr>
            <w:r>
              <w:rPr>
                <w:rFonts w:ascii="MS Gothic" w:hAnsi="MS Gothic" w:eastAsia="FangSong_GB2312" w:cs="Arial"/>
                <w:color w:val="auto"/>
                <w:kern w:val="0"/>
                <w:sz w:val="24"/>
                <w:highlight w:val="none"/>
              </w:rPr>
              <w:sym w:font="Wingdings" w:char="00A8"/>
            </w:r>
            <w:r>
              <w:rPr>
                <w:rFonts w:ascii="FangSong_GB2312" w:hAnsi="仿宋" w:eastAsia="FangSong_GB2312"/>
                <w:color w:val="auto"/>
                <w:kern w:val="0"/>
                <w:sz w:val="24"/>
                <w:highlight w:val="none"/>
              </w:rPr>
              <w:t>B组织。</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（2）方案讲解演示可选择以下其中一种方式：</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方式一：政采云平台在线讲解演示。政采云平台在线讲解需投标人根据政采云平台操作要求做好准备工作，提前完善软硬件配置环境。</w:t>
            </w:r>
          </w:p>
          <w:p>
            <w:pPr>
              <w:adjustRightInd w:val="0"/>
              <w:snapToGrid w:val="0"/>
              <w:spacing w:line="400" w:lineRule="exact"/>
              <w:rPr>
                <w:rFonts w:ascii="FangSong_GB2312" w:hAnsi="仿宋" w:eastAsia="FangSong_GB2312" w:cs="FangSong_GB2312"/>
                <w:bCs/>
                <w:color w:val="auto"/>
                <w:kern w:val="0"/>
                <w:sz w:val="24"/>
                <w:highlight w:val="none"/>
                <w:lang w:val="zh-CN"/>
              </w:rPr>
            </w:pPr>
            <w:r>
              <w:rPr>
                <w:rFonts w:hint="eastAsia" w:ascii="FangSong_GB2312" w:hAnsi="仿宋" w:eastAsia="FangSong_GB2312" w:cs="FangSong_GB2312"/>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pPr>
              <w:adjustRightInd w:val="0"/>
              <w:snapToGrid w:val="0"/>
              <w:spacing w:line="400" w:lineRule="exact"/>
              <w:rPr>
                <w:rFonts w:ascii="仿宋" w:hAnsi="仿宋" w:eastAsia="仿宋"/>
                <w:color w:val="auto"/>
                <w:sz w:val="24"/>
                <w:highlight w:val="none"/>
              </w:rPr>
            </w:pPr>
            <w:r>
              <w:rPr>
                <w:rFonts w:hint="eastAsia" w:ascii="FangSong_GB2312" w:hAnsi="仿宋" w:eastAsia="FangSong_GB2312" w:cs="FangSong_GB2312"/>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adjustRightInd w:val="0"/>
              <w:snapToGrid w:val="0"/>
              <w:spacing w:line="400" w:lineRule="exact"/>
              <w:rPr>
                <w:rFonts w:ascii="仿宋" w:hAnsi="仿宋" w:eastAsia="仿宋" w:cs="仿宋"/>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s="仿宋"/>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pPr>
              <w:pStyle w:val="18"/>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pStyle w:val="18"/>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pPr>
              <w:pStyle w:val="18"/>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pPr>
              <w:pStyle w:val="18"/>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p>
          <w:p>
            <w:pPr>
              <w:pStyle w:val="18"/>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8"/>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pPr>
              <w:pStyle w:val="18"/>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8"/>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pPr>
              <w:pStyle w:val="18"/>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8"/>
              <w:rPr>
                <w:rFonts w:hint="eastAsia" w:ascii="仿宋_GB2312" w:hAnsi="仿宋" w:eastAsia="仿宋_GB2312"/>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tabs>
                <w:tab w:val="left" w:pos="3570"/>
              </w:tabs>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2"/>
              </w:num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numPr>
                <w:ilvl w:val="0"/>
                <w:numId w:val="2"/>
              </w:numPr>
              <w:adjustRightInd w:val="0"/>
              <w:snapToGrid w:val="0"/>
              <w:spacing w:line="400" w:lineRule="exact"/>
              <w:jc w:val="left"/>
              <w:rPr>
                <w:rFonts w:ascii="仿宋_GB2312" w:hAnsi="仿宋" w:eastAsia="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numPr>
                <w:ilvl w:val="0"/>
                <w:numId w:val="2"/>
              </w:numPr>
              <w:adjustRightInd w:val="0"/>
              <w:snapToGrid w:val="0"/>
              <w:spacing w:line="400" w:lineRule="exact"/>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numPr>
                <w:ilvl w:val="0"/>
                <w:numId w:val="2"/>
              </w:numPr>
              <w:adjustRightInd w:val="0"/>
              <w:snapToGrid w:val="0"/>
              <w:spacing w:line="400" w:lineRule="exact"/>
              <w:ind w:left="425" w:leftChars="0" w:hanging="425" w:firstLineChars="0"/>
              <w:rPr>
                <w:rFonts w:ascii="仿宋" w:hAnsi="仿宋" w:eastAsia="仿宋" w:cs="仿宋"/>
                <w:color w:val="auto"/>
                <w:sz w:val="24"/>
                <w:szCs w:val="20"/>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4"/>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pPr>
              <w:pStyle w:val="24"/>
              <w:adjustRightInd w:val="0"/>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pPr>
              <w:pStyle w:val="24"/>
              <w:adjustRightInd w:val="0"/>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1.本项目的采购代理费由中标人支付；以中标金额为计费基准，计费标准按《计价格［2002］1980号》及《发改办价格［2003］857号》文件中服务类收费标准的80%计算；</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服务类收费标准如下：</w:t>
            </w:r>
          </w:p>
          <w:tbl>
            <w:tblPr>
              <w:tblStyle w:val="46"/>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中标金额</w:t>
                  </w:r>
                </w:p>
              </w:tc>
              <w:tc>
                <w:tcPr>
                  <w:tcW w:w="1288"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标准费率</w:t>
                  </w:r>
                </w:p>
              </w:tc>
              <w:tc>
                <w:tcPr>
                  <w:tcW w:w="1925"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八折费率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≤100万元</w:t>
                  </w:r>
                </w:p>
              </w:tc>
              <w:tc>
                <w:tcPr>
                  <w:tcW w:w="1288"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1.5%</w:t>
                  </w:r>
                </w:p>
              </w:tc>
              <w:tc>
                <w:tcPr>
                  <w:tcW w:w="1925" w:type="dxa"/>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100-500</w:t>
                  </w:r>
                </w:p>
              </w:tc>
              <w:tc>
                <w:tcPr>
                  <w:tcW w:w="1288"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0.8%</w:t>
                  </w:r>
                </w:p>
              </w:tc>
              <w:tc>
                <w:tcPr>
                  <w:tcW w:w="1925" w:type="dxa"/>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500-1000</w:t>
                  </w:r>
                </w:p>
              </w:tc>
              <w:tc>
                <w:tcPr>
                  <w:tcW w:w="1288" w:type="dxa"/>
                  <w:noWrap w:val="0"/>
                  <w:vAlign w:val="top"/>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0.45%</w:t>
                  </w:r>
                </w:p>
              </w:tc>
              <w:tc>
                <w:tcPr>
                  <w:tcW w:w="1925" w:type="dxa"/>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0.36%</w:t>
                  </w:r>
                </w:p>
              </w:tc>
            </w:tr>
          </w:tbl>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2.结算方式及时间为：在结果公告发布5个工作日内由中标人一次性向采购代理机构付清。</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3.代理机构账号信息：</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（1）收款人（全称）：浙江国际招投标有限公司</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（2）开户银行：中国工商银行杭州武林支行</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（3）帐    号：1202 0212 0990 6782 015</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eastAsia="仿宋"/>
                <w:lang w:val="en-US" w:eastAsia="zh-CN"/>
              </w:rPr>
            </w:pPr>
            <w:r>
              <w:rPr>
                <w:rFonts w:hint="eastAsia" w:ascii="仿宋" w:hAnsi="仿宋" w:eastAsia="仿宋" w:cs="仿宋"/>
                <w:color w:val="auto"/>
                <w:kern w:val="28"/>
                <w:sz w:val="24"/>
                <w:szCs w:val="24"/>
                <w:highlight w:val="none"/>
                <w:lang w:val="en-US" w:eastAsia="zh-CN"/>
              </w:rPr>
              <w:t>4.中标、成交供应商放弃中标、成交资格导致重新采购的，应当承担支付代理费和专家评审费等费用在内的赔偿责任。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24"/>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24"/>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51566649"/>
      <w:bookmarkStart w:id="4" w:name="_Toc240450076"/>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14408"/>
      <w:r>
        <w:rPr>
          <w:rFonts w:hint="eastAsia" w:ascii="仿宋" w:hAnsi="仿宋" w:eastAsia="仿宋" w:cs="仿宋"/>
          <w:b/>
          <w:color w:val="auto"/>
          <w:sz w:val="30"/>
          <w:szCs w:val="30"/>
          <w:highlight w:val="none"/>
        </w:rPr>
        <w:t>第二部分  投标须知</w:t>
      </w:r>
      <w:bookmarkEnd w:id="3"/>
      <w:bookmarkEnd w:id="4"/>
      <w:bookmarkEnd w:id="5"/>
      <w:bookmarkEnd w:id="6"/>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7" w:name="_Toc8117"/>
      <w:bookmarkStart w:id="8" w:name="_Toc8119"/>
      <w:bookmarkStart w:id="9" w:name="_Toc5875"/>
      <w:bookmarkStart w:id="10" w:name="_Toc29733"/>
      <w:r>
        <w:rPr>
          <w:rFonts w:hint="eastAsia" w:ascii="仿宋_GB2312" w:hAnsi="仿宋" w:eastAsia="仿宋_GB2312" w:cs="仿宋_GB2312"/>
          <w:b/>
          <w:color w:val="auto"/>
          <w:sz w:val="32"/>
          <w:szCs w:val="20"/>
          <w:highlight w:val="none"/>
          <w:lang w:val="en-US" w:eastAsia="zh-CN"/>
        </w:rPr>
        <w:t>一、总则</w:t>
      </w:r>
      <w:bookmarkEnd w:id="7"/>
      <w:bookmarkEnd w:id="8"/>
      <w:bookmarkEnd w:id="9"/>
      <w:bookmarkEnd w:id="10"/>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color w:val="auto"/>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”系指招标公告中载明的本项目的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3"/>
        </w:numPr>
        <w:spacing w:line="360" w:lineRule="auto"/>
        <w:ind w:left="567" w:leftChars="0" w:hanging="567" w:firstLineChars="0"/>
        <w:rPr>
          <w:rFonts w:ascii="仿宋_GB2312" w:hAnsi="仿宋" w:eastAsia="仿宋_GB2312"/>
          <w:b/>
          <w:color w:val="auto"/>
          <w:sz w:val="24"/>
          <w:highlight w:val="none"/>
        </w:rPr>
      </w:pPr>
      <w:r>
        <w:rPr>
          <w:rFonts w:hint="eastAsia" w:ascii="仿宋_GB2312" w:hAnsi="仿宋" w:eastAsia="仿宋_GB2312" w:cs="Times New Roman"/>
          <w:color w:val="auto"/>
          <w:sz w:val="24"/>
          <w:highlight w:val="none"/>
        </w:rPr>
        <w:t>“▲” 系指实质性要求条款，“★”系关键技术指标，“</w:t>
      </w:r>
      <w:r>
        <w:rPr>
          <w:rFonts w:hint="eastAsia" w:ascii="仿宋" w:hAnsi="仿宋" w:eastAsia="仿宋" w:cs="仿宋"/>
          <w:color w:val="auto"/>
          <w:kern w:val="28"/>
          <w:sz w:val="24"/>
          <w:szCs w:val="24"/>
          <w:highlight w:val="none"/>
          <w:lang w:val="en-US" w:eastAsia="zh-CN"/>
        </w:rPr>
        <w:sym w:font="Wingdings" w:char="00FE"/>
      </w:r>
      <w:r>
        <w:rPr>
          <w:rFonts w:hint="eastAsia" w:ascii="仿宋_GB2312" w:hAnsi="仿宋" w:eastAsia="仿宋_GB2312" w:cs="Times New Roman"/>
          <w:color w:val="auto"/>
          <w:sz w:val="24"/>
          <w:highlight w:val="none"/>
        </w:rPr>
        <w:t>” 系指适用本项目的要求，“☐” 系指不适用本项目的要求</w:t>
      </w:r>
      <w:r>
        <w:rPr>
          <w:rFonts w:hint="eastAsia" w:ascii="仿宋_GB2312" w:hAnsi="仿宋" w:eastAsia="仿宋_GB2312" w:cs="Times New Roman"/>
          <w:color w:val="auto"/>
          <w:sz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3"/>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color w:val="auto"/>
          <w:sz w:val="24"/>
          <w:highlight w:val="none"/>
          <w:lang w:val="en-US" w:eastAsia="zh-CN"/>
        </w:rPr>
        <w:t>10%-20%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lang w:val="en-US" w:eastAsia="zh-CN"/>
        </w:rPr>
        <w:t>4%-6%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pPr>
        <w:numPr>
          <w:ilvl w:val="2"/>
          <w:numId w:val="3"/>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pPr>
        <w:numPr>
          <w:ilvl w:val="2"/>
          <w:numId w:val="3"/>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lang w:eastAsia="zh-CN"/>
        </w:rPr>
        <w:t>。</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pPr>
        <w:numPr>
          <w:ilvl w:val="0"/>
          <w:numId w:val="0"/>
        </w:numPr>
        <w:spacing w:line="360" w:lineRule="auto"/>
        <w:ind w:leftChars="0"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numPr>
          <w:ilvl w:val="1"/>
          <w:numId w:val="3"/>
        </w:numPr>
        <w:spacing w:line="360" w:lineRule="auto"/>
        <w:ind w:left="567" w:leftChars="0" w:hanging="567" w:firstLineChars="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中小企业信用融资：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r>
        <w:rPr>
          <w:rFonts w:hint="eastAsia" w:ascii="仿宋_GB2312" w:hAnsi="仿宋" w:eastAsia="仿宋_GB2312" w:cs="Times New Roman"/>
          <w:color w:val="auto"/>
          <w:sz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p>
    <w:p>
      <w:pPr>
        <w:keepNext w:val="0"/>
        <w:keepLines w:val="0"/>
        <w:pageBreakBefore w:val="0"/>
        <w:widowControl w:val="0"/>
        <w:numPr>
          <w:ilvl w:val="1"/>
          <w:numId w:val="3"/>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1"/>
          <w:numId w:val="3"/>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供应商询问</w:t>
      </w:r>
    </w:p>
    <w:p>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left"/>
        <w:textAlignment w:val="auto"/>
        <w:outlineLvl w:val="9"/>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numPr>
          <w:ilvl w:val="1"/>
          <w:numId w:val="3"/>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供应商质疑</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提出质疑的供应商应当是参与所质疑项目采购活动的供应商。潜在供应商已依法获取其可质疑的招标文件的，可以对该文件提出质疑。</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提出质疑，否则，采购人或者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不予受理：</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对招标文件提出质疑的，质疑期限为供应商获得招标文件之日或者招标文件公告期限届满之日起计算。</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对采购过程提出质疑的，质疑期限为各采购程序环节结束之日起计算。</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对采购结果提出质疑的，质疑期限自采购结果公告期限届满之日起计算。</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供应商提出质疑应当提交质疑函和必要的证明材料。质疑函应当包括下列内容：</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供应商的姓名或者名称、地址、邮编、联系人及联系电话；</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质疑项目的名称、编号；</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具体、明确的质疑事项和与质疑事项相关的请求；</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事实依据；</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必要的法律依据；</w:t>
      </w:r>
    </w:p>
    <w:p>
      <w:pPr>
        <w:keepNext w:val="0"/>
        <w:keepLines w:val="0"/>
        <w:pageBreakBefore w:val="0"/>
        <w:widowControl w:val="0"/>
        <w:numPr>
          <w:ilvl w:val="3"/>
          <w:numId w:val="3"/>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提出质疑的日期。</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质疑函范本及制作说明详见附件2。</w:t>
      </w:r>
    </w:p>
    <w:p>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对同一采购程序环节的质疑，供应商须在法定质疑期内一次性提出。</w:t>
      </w:r>
    </w:p>
    <w:p>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在质疑回复后5个工作日内，在浙江政府采购网的“其他公告”栏目公开质疑答复，答复内容应当完整。质疑函作为附件上传。</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询问或者质疑事项可能影响采购结果的，采购人应当暂停签订合同，已经签订合同的，应当中止履行合同。</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质疑供应商对采购人、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的答复不满意或者采购人、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未在规定的时间内作出答复的，可以在答复期满后十五个工作日内向同级政府采购监督管理部门提出投诉。</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供应商投诉的事项不得超出已质疑事项的范围，基于质疑答复内容提出的投诉事项除外。</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供应商投诉应当有明确的请求和必要的证明材料。</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以联合体形式参加政府采购活动的，其投诉应当由组成联合体的所有供应商共同提出。</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浙江省本级、杭州市本级、拱墅区、富阳区政府采购项目投诉材料可寄送浙江省政府采购行政裁决服务中心（杭州），地址：杭州市上城区四季青街道新业路市民之家G03办公室，收件人：朱女士，电话：15121014815。（</w:t>
      </w:r>
      <w:r>
        <w:rPr>
          <w:rFonts w:hint="eastAsia" w:ascii="仿宋_GB2312" w:hAnsi="仿宋" w:eastAsia="仿宋_GB2312"/>
          <w:b w:val="0"/>
          <w:bCs/>
          <w:color w:val="auto"/>
          <w:sz w:val="24"/>
          <w:highlight w:val="none"/>
          <w:lang w:val="en-US" w:eastAsia="zh-CN"/>
        </w:rPr>
        <w:t>注意：</w:t>
      </w:r>
      <w:r>
        <w:rPr>
          <w:rFonts w:hint="eastAsia" w:ascii="仿宋_GB2312" w:hAnsi="仿宋" w:eastAsia="仿宋_GB2312"/>
          <w:b w:val="0"/>
          <w:bCs/>
          <w:color w:val="auto"/>
          <w:sz w:val="24"/>
          <w:highlight w:val="none"/>
          <w:lang w:val="zh-CN" w:eastAsia="zh-CN"/>
        </w:rPr>
        <w:t>本项目以公告中的联系方式为准</w:t>
      </w:r>
      <w:r>
        <w:rPr>
          <w:rFonts w:hint="eastAsia" w:ascii="仿宋_GB2312" w:hAnsi="仿宋" w:eastAsia="仿宋_GB2312"/>
          <w:b w:val="0"/>
          <w:bCs/>
          <w:color w:val="auto"/>
          <w:sz w:val="24"/>
          <w:highlight w:val="none"/>
          <w:lang w:val="zh-CN"/>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投诉书范本及制作说明详见附件3。</w:t>
      </w:r>
    </w:p>
    <w:p>
      <w:pPr>
        <w:rPr>
          <w:color w:val="auto"/>
          <w:highlight w:val="none"/>
        </w:rPr>
      </w:pPr>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11" w:name="_Toc2980"/>
      <w:bookmarkStart w:id="12" w:name="_Toc14473"/>
      <w:bookmarkStart w:id="13" w:name="_Toc27887"/>
      <w:bookmarkStart w:id="14" w:name="_Toc19992"/>
      <w:r>
        <w:rPr>
          <w:rFonts w:hint="eastAsia" w:ascii="仿宋_GB2312" w:hAnsi="仿宋" w:eastAsia="仿宋_GB2312" w:cs="仿宋_GB2312"/>
          <w:b/>
          <w:color w:val="auto"/>
          <w:sz w:val="32"/>
          <w:szCs w:val="20"/>
          <w:highlight w:val="none"/>
        </w:rPr>
        <w:t>二、招标文件的构成、澄清、修改</w:t>
      </w:r>
      <w:bookmarkEnd w:id="11"/>
      <w:bookmarkEnd w:id="12"/>
      <w:bookmarkEnd w:id="13"/>
      <w:bookmarkEnd w:id="14"/>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招标文件包括下列文件及附件：</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招标公告；</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投标人须知；</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采购需求；</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评标办法；</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拟签订的合同文本；</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应提交的有关格式范例。</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与本项目有关的澄清或者修改的内容为招标文件的组成部分。</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已获取招标文件的潜在投标人，若有问题需要澄清，应于投标截止时间前，以书面形式向</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提出。</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color w:val="auto"/>
          <w:sz w:val="24"/>
          <w:highlight w:val="none"/>
          <w:lang w:eastAsia="zh-CN"/>
        </w:rPr>
        <w:t>。</w:t>
      </w:r>
    </w:p>
    <w:p>
      <w:pPr>
        <w:bidi w:val="0"/>
        <w:rPr>
          <w:color w:val="auto"/>
          <w:highlight w:val="none"/>
          <w:lang w:val="en-US"/>
        </w:rPr>
      </w:pPr>
      <w:r>
        <w:rPr>
          <w:color w:val="auto"/>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bookmarkStart w:id="15" w:name="_Toc10627"/>
      <w:bookmarkStart w:id="16" w:name="_Toc10588"/>
      <w:bookmarkStart w:id="17" w:name="_Toc25644"/>
      <w:bookmarkStart w:id="18" w:name="_Toc30111"/>
      <w:r>
        <w:rPr>
          <w:rFonts w:hint="eastAsia" w:ascii="仿宋_GB2312" w:hAnsi="仿宋" w:eastAsia="仿宋_GB2312" w:cs="仿宋_GB2312"/>
          <w:b/>
          <w:color w:val="auto"/>
          <w:sz w:val="30"/>
          <w:szCs w:val="20"/>
          <w:highlight w:val="none"/>
        </w:rPr>
        <w:t>三、投标</w:t>
      </w:r>
      <w:bookmarkEnd w:id="15"/>
      <w:bookmarkEnd w:id="16"/>
      <w:bookmarkEnd w:id="17"/>
      <w:bookmarkEnd w:id="18"/>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pPr>
        <w:spacing w:line="360" w:lineRule="auto"/>
        <w:ind w:firstLine="420" w:firstLineChars="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pPr>
        <w:pStyle w:val="24"/>
        <w:spacing w:line="360" w:lineRule="auto"/>
        <w:ind w:firstLine="420" w:firstLineChars="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pPr>
        <w:pStyle w:val="11"/>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资格文件：</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符合参加政府采购活动应当具备的一般条件的承诺函；</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联合协议；（如果有）</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本项目专门面向中小企业</w:t>
      </w:r>
      <w:r>
        <w:rPr>
          <w:rFonts w:hint="eastAsia" w:ascii="仿宋_GB2312" w:hAnsi="仿宋" w:eastAsia="仿宋_GB2312"/>
          <w:b w:val="0"/>
          <w:bCs/>
          <w:color w:val="auto"/>
          <w:sz w:val="24"/>
          <w:highlight w:val="none"/>
          <w:lang w:eastAsia="zh-CN"/>
        </w:rPr>
        <w:t>）</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本项目的特定资格要求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本项目无</w:t>
      </w:r>
      <w:r>
        <w:rPr>
          <w:rFonts w:hint="eastAsia" w:ascii="仿宋_GB2312" w:hAnsi="仿宋" w:eastAsia="仿宋_GB2312"/>
          <w:b w:val="0"/>
          <w:bCs/>
          <w:color w:val="auto"/>
          <w:sz w:val="24"/>
          <w:highlight w:val="none"/>
          <w:lang w:eastAsia="zh-CN"/>
        </w:rPr>
        <w:t>）</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商务技术</w:t>
      </w:r>
      <w:r>
        <w:rPr>
          <w:rFonts w:hint="eastAsia" w:ascii="仿宋_GB2312" w:hAnsi="仿宋" w:eastAsia="仿宋_GB2312"/>
          <w:b/>
          <w:bCs w:val="0"/>
          <w:color w:val="auto"/>
          <w:sz w:val="24"/>
          <w:highlight w:val="none"/>
          <w:lang w:val="zh-CN"/>
        </w:rPr>
        <w:t>文件：</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投标函；</w:t>
      </w:r>
      <w:r>
        <w:rPr>
          <w:rFonts w:hint="eastAsia" w:ascii="仿宋_GB2312" w:hAnsi="仿宋" w:eastAsia="仿宋_GB2312"/>
          <w:b w:val="0"/>
          <w:bCs/>
          <w:color w:val="auto"/>
          <w:sz w:val="24"/>
          <w:highlight w:val="none"/>
          <w:lang w:val="zh-CN"/>
        </w:rPr>
        <w:t xml:space="preserve"> </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授权委托书或法定代表人（单位负责人、自然人本人）身份证明；</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auto"/>
          <w:sz w:val="24"/>
          <w:highlight w:val="none"/>
          <w:lang w:eastAsia="zh-CN"/>
        </w:rPr>
        <w:t>（如果有）</w:t>
      </w:r>
      <w:r>
        <w:rPr>
          <w:rFonts w:hint="eastAsia" w:ascii="仿宋_GB2312" w:hAnsi="仿宋" w:eastAsia="仿宋_GB2312"/>
          <w:b w:val="0"/>
          <w:bCs/>
          <w:color w:val="auto"/>
          <w:sz w:val="24"/>
          <w:highlight w:val="none"/>
        </w:rPr>
        <w:t>；</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符合性审查资料；</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评标标准相应的商务技术资料；</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投标标的清单；</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商务技术偏离表；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政府采购供应商廉洁自律承诺书。</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 xml:space="preserve">报价文件： </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开标一览表（报价表）；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cs="Times New Roman"/>
          <w:b w:val="0"/>
          <w:bCs/>
          <w:color w:val="auto"/>
          <w:sz w:val="24"/>
          <w:highlight w:val="none"/>
        </w:rPr>
      </w:pPr>
      <w:r>
        <w:rPr>
          <w:rFonts w:hint="eastAsia" w:ascii="仿宋_GB2312" w:hAnsi="仿宋" w:eastAsia="仿宋_GB2312" w:cs="Times New Roman"/>
          <w:b w:val="0"/>
          <w:bCs/>
          <w:color w:val="auto"/>
          <w:sz w:val="24"/>
          <w:highlight w:val="none"/>
        </w:rPr>
        <w:t>投标报价明细表。（自拟）</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投标文件按照招标文件第六部分格式要求进行签署、盖章。</w:t>
      </w:r>
    </w:p>
    <w:p>
      <w:pPr>
        <w:pStyle w:val="112"/>
        <w:keepNext w:val="0"/>
        <w:keepLines w:val="0"/>
        <w:pageBreakBefore w:val="0"/>
        <w:widowControl w:val="0"/>
        <w:kinsoku/>
        <w:wordWrap/>
        <w:overflowPunct/>
        <w:topLinePunct w:val="0"/>
        <w:autoSpaceDE/>
        <w:autoSpaceDN/>
        <w:bidi w:val="0"/>
        <w:adjustRightInd/>
        <w:snapToGrid w:val="0"/>
        <w:spacing w:before="0"/>
        <w:ind w:left="0" w:leftChars="0" w:firstLine="482" w:firstLineChars="200"/>
        <w:textAlignment w:val="auto"/>
        <w:outlineLvl w:val="9"/>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招标文件对投标文件签署、盖章的要求适用于电子签名。</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可以视情况延长投标文件提交的截止时间。在上述情况下，</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与投标人以前在投标截止期方面的全部权利、责任和义务，将适用于延长至新的投标截止期。</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bCs w:val="0"/>
          <w:color w:val="auto"/>
          <w:sz w:val="24"/>
          <w:highlight w:val="none"/>
        </w:rPr>
        <w:t>但采购人、</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不强制或变相强制投标人提交备份投标文件</w:t>
      </w:r>
      <w:r>
        <w:rPr>
          <w:rFonts w:hint="eastAsia" w:ascii="仿宋_GB2312" w:hAnsi="仿宋" w:eastAsia="仿宋_GB2312"/>
          <w:b w:val="0"/>
          <w:bCs/>
          <w:color w:val="auto"/>
          <w:sz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备份投标文件须在“政采云投标客户端”制作生成，并储存在DVD光盘</w:t>
      </w:r>
      <w:r>
        <w:rPr>
          <w:rFonts w:hint="eastAsia" w:ascii="仿宋_GB2312" w:hAnsi="仿宋" w:eastAsia="仿宋_GB2312"/>
          <w:b w:val="0"/>
          <w:bCs/>
          <w:color w:val="auto"/>
          <w:sz w:val="24"/>
          <w:highlight w:val="none"/>
          <w:lang w:eastAsia="zh-CN"/>
        </w:rPr>
        <w:t>或</w:t>
      </w:r>
      <w:r>
        <w:rPr>
          <w:rFonts w:hint="eastAsia" w:ascii="仿宋_GB2312" w:hAnsi="仿宋" w:eastAsia="仿宋_GB2312"/>
          <w:b w:val="0"/>
          <w:bCs/>
          <w:color w:val="auto"/>
          <w:sz w:val="24"/>
          <w:highlight w:val="none"/>
          <w:lang w:val="en-US" w:eastAsia="zh-CN"/>
        </w:rPr>
        <w:t>U盘</w:t>
      </w:r>
      <w:r>
        <w:rPr>
          <w:rFonts w:hint="eastAsia" w:ascii="仿宋_GB2312" w:hAnsi="仿宋" w:eastAsia="仿宋_GB2312"/>
          <w:b w:val="0"/>
          <w:bCs/>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bCs w:val="0"/>
          <w:color w:val="auto"/>
          <w:sz w:val="24"/>
          <w:highlight w:val="none"/>
        </w:rPr>
        <w:t>不符合上述制作、存储、密封规定的备份投标文件将被视为无效或者被拒绝接收。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直接提交备份投标文件的，投标人应于投标截止时间前在招标公告中载明的开标地点将备份投标文件提交给</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将拒绝接受逾期送达的备份投标文件</w:t>
      </w:r>
      <w:r>
        <w:rPr>
          <w:rFonts w:hint="eastAsia" w:ascii="仿宋_GB2312" w:hAnsi="仿宋" w:eastAsia="仿宋_GB2312"/>
          <w:b w:val="0"/>
          <w:bCs/>
          <w:color w:val="auto"/>
          <w:sz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将拒绝接受逾期送达的备份投标文件。邮寄过程中，电子备份投标文件发生泄露、遗失、损坏或延期送达等情况的，由投标人自行负责。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投标人仅提交备份投标文件，</w:t>
      </w:r>
      <w:r>
        <w:rPr>
          <w:rFonts w:hint="eastAsia" w:ascii="仿宋_GB2312" w:hAnsi="仿宋" w:eastAsia="仿宋_GB2312"/>
          <w:b/>
          <w:bCs w:val="0"/>
          <w:color w:val="auto"/>
          <w:sz w:val="24"/>
          <w:highlight w:val="none"/>
          <w:lang w:eastAsia="zh-CN"/>
        </w:rPr>
        <w:t>未</w:t>
      </w:r>
      <w:r>
        <w:rPr>
          <w:rFonts w:hint="eastAsia" w:ascii="仿宋_GB2312" w:hAnsi="仿宋" w:eastAsia="仿宋_GB2312"/>
          <w:b/>
          <w:bCs w:val="0"/>
          <w:color w:val="auto"/>
          <w:sz w:val="24"/>
          <w:highlight w:val="none"/>
        </w:rPr>
        <w:t>在电子交易平台传输递交投标文件的，投标无效。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pPr>
        <w:pStyle w:val="2"/>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投标有效期为从提交投标文件的截止之日起90天。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投标文件合格投递后，自投标截止日期起，在投标有效期内有效。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在原定投标有效期满之前，如果出现特殊情况，</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可以以书面形式通知投标人延长投标有效期。投标人同意延长的，不得要求或被允许修改其投标文件，投标人拒绝延长的，其投标无效。</w:t>
      </w:r>
    </w:p>
    <w:p>
      <w:pPr>
        <w:pStyle w:val="112"/>
        <w:spacing w:before="0"/>
        <w:ind w:firstLine="643"/>
        <w:rPr>
          <w:rFonts w:ascii="仿宋_GB2312" w:hAnsi="仿宋" w:eastAsia="仿宋_GB2312" w:cs="仿宋_GB2312"/>
          <w:b/>
          <w:color w:val="auto"/>
          <w:sz w:val="32"/>
          <w:highlight w:val="none"/>
        </w:rPr>
      </w:pPr>
    </w:p>
    <w:p>
      <w:pPr>
        <w:adjustRightInd/>
        <w:spacing w:line="360" w:lineRule="auto"/>
        <w:jc w:val="center"/>
        <w:outlineLvl w:val="1"/>
        <w:rPr>
          <w:rFonts w:hint="eastAsia" w:ascii="仿宋_GB2312" w:hAnsi="仿宋" w:eastAsia="仿宋_GB2312" w:cs="仿宋_GB2312"/>
          <w:b/>
          <w:color w:val="auto"/>
          <w:sz w:val="30"/>
          <w:szCs w:val="20"/>
          <w:highlight w:val="none"/>
        </w:rPr>
      </w:pPr>
      <w:bookmarkStart w:id="19" w:name="_Toc12572"/>
      <w:bookmarkStart w:id="20" w:name="_Toc3728"/>
      <w:bookmarkStart w:id="21" w:name="_Toc25497"/>
      <w:bookmarkStart w:id="22" w:name="_Toc23929"/>
      <w:r>
        <w:rPr>
          <w:rFonts w:hint="eastAsia" w:ascii="仿宋_GB2312" w:hAnsi="仿宋" w:eastAsia="仿宋_GB2312" w:cs="仿宋_GB2312"/>
          <w:b/>
          <w:color w:val="auto"/>
          <w:sz w:val="30"/>
          <w:szCs w:val="20"/>
          <w:highlight w:val="none"/>
        </w:rPr>
        <w:t>四、开标、资格审查与信用信息查询</w:t>
      </w:r>
      <w:bookmarkEnd w:id="19"/>
      <w:bookmarkEnd w:id="20"/>
      <w:bookmarkEnd w:id="21"/>
      <w:bookmarkEnd w:id="22"/>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按照招标文件规定的时间通过电子交易平台组织开标，所有投标人均应当准时在线参加。投标人不足3家的，不得开标。</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color w:val="auto"/>
          <w:sz w:val="24"/>
          <w:highlight w:val="none"/>
          <w:lang w:eastAsia="zh-CN"/>
        </w:rPr>
      </w:pPr>
      <w:r>
        <w:rPr>
          <w:rFonts w:hint="eastAsia" w:ascii="仿宋_GB2312" w:hAnsi="仿宋" w:eastAsia="仿宋_GB2312"/>
          <w:b/>
          <w:bCs w:val="0"/>
          <w:color w:val="auto"/>
          <w:sz w:val="24"/>
          <w:highlight w:val="none"/>
          <w:lang w:eastAsia="zh-CN"/>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采购人或采购代理机构依据法律法规和招标文件的规定，对投标人的资格进行审查。</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对未通过资格审查的投标人，采购人或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告知其未通过的原因。</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合格投标人不足3家的，不再评标。</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信用信息查询渠道及截止时间：</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将通过“信用中国”网站(www.creditchina.gov.cn)、中国政府采购网(www.ccgp.gov.cn)渠道查询投标人投标截止时间当天的信用记录。</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信用信息查询记录和证据留存的具体方式：现场查询的投标人的信用记录、查询结果经确认后将与采购文件一起存档。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信用信息的使用规则：经查询列入失信被执行人名单、重大税收违法案件当事人名单、政府采购严重违法失信行为记录名单的投标人将被拒绝参与政府采购活动。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cs="Times New Roman"/>
          <w:b w:val="0"/>
          <w:bCs/>
          <w:color w:val="auto"/>
          <w:sz w:val="24"/>
          <w:highlight w:val="none"/>
        </w:rPr>
      </w:pPr>
      <w:r>
        <w:rPr>
          <w:rFonts w:hint="eastAsia" w:ascii="仿宋_GB2312" w:hAnsi="仿宋" w:eastAsia="仿宋_GB2312" w:cs="Times New Roman"/>
          <w:b w:val="0"/>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auto"/>
          <w:sz w:val="36"/>
          <w:szCs w:val="36"/>
          <w:highlight w:val="none"/>
        </w:rPr>
      </w:pPr>
      <w:bookmarkStart w:id="23" w:name="_Toc19020"/>
      <w:bookmarkStart w:id="24" w:name="_Toc19433"/>
      <w:bookmarkStart w:id="25" w:name="_Toc22552"/>
      <w:bookmarkStart w:id="26" w:name="_Toc17363"/>
      <w:r>
        <w:rPr>
          <w:rFonts w:hint="eastAsia" w:ascii="仿宋_GB2312" w:hAnsi="仿宋" w:eastAsia="仿宋_GB2312" w:cs="仿宋_GB2312"/>
          <w:b/>
          <w:color w:val="auto"/>
          <w:sz w:val="36"/>
          <w:szCs w:val="36"/>
          <w:highlight w:val="none"/>
        </w:rPr>
        <w:t>五、评标</w:t>
      </w:r>
      <w:bookmarkEnd w:id="23"/>
      <w:bookmarkEnd w:id="24"/>
      <w:bookmarkEnd w:id="25"/>
      <w:bookmarkEnd w:id="26"/>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评标</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napToGrid w:val="0"/>
        <w:spacing w:line="360" w:lineRule="auto"/>
        <w:jc w:val="center"/>
        <w:outlineLvl w:val="1"/>
        <w:rPr>
          <w:rFonts w:ascii="仿宋_GB2312" w:hAnsi="仿宋" w:eastAsia="仿宋_GB2312" w:cs="仿宋_GB2312"/>
          <w:b/>
          <w:color w:val="auto"/>
          <w:sz w:val="36"/>
          <w:szCs w:val="36"/>
          <w:highlight w:val="none"/>
        </w:rPr>
      </w:pPr>
      <w:bookmarkStart w:id="27" w:name="_Toc20749"/>
      <w:bookmarkStart w:id="28" w:name="_Toc31668"/>
      <w:bookmarkStart w:id="29" w:name="_Toc13298"/>
      <w:bookmarkStart w:id="30" w:name="_Toc19300"/>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bookmarkEnd w:id="27"/>
      <w:bookmarkEnd w:id="28"/>
      <w:bookmarkEnd w:id="29"/>
      <w:bookmarkEnd w:id="30"/>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确定中标供应商</w:t>
      </w:r>
    </w:p>
    <w:p>
      <w:pPr>
        <w:pStyle w:val="112"/>
        <w:snapToGrid w:val="0"/>
        <w:spacing w:before="0"/>
        <w:ind w:left="0" w:leftChars="0" w:firstLine="420" w:firstLineChars="175"/>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中标通知与中标结果公告</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自中标人确定之日起2个工作日内，采购代理机构通过电子交易平台向中标人发出中标通知书，同时编制发布采购结果公告。采购代理机构也可以以纸质形式进行中标通知。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公告期限为1个工作日。</w:t>
      </w:r>
    </w:p>
    <w:p>
      <w:pPr>
        <w:bidi w:val="0"/>
        <w:rPr>
          <w:rFonts w:hint="eastAsia"/>
          <w:color w:val="auto"/>
          <w:highlight w:val="none"/>
          <w:lang w:eastAsia="zh-CN"/>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31" w:name="_Toc16906"/>
      <w:bookmarkStart w:id="32" w:name="_Toc31943"/>
      <w:bookmarkStart w:id="33" w:name="_Toc20170"/>
      <w:r>
        <w:rPr>
          <w:rFonts w:hint="eastAsia" w:ascii="仿宋_GB2312" w:hAnsi="仿宋" w:eastAsia="仿宋_GB2312" w:cs="仿宋_GB2312"/>
          <w:b/>
          <w:color w:val="auto"/>
          <w:sz w:val="36"/>
          <w:szCs w:val="36"/>
          <w:highlight w:val="none"/>
        </w:rPr>
        <w:t>七、合同授予</w:t>
      </w:r>
      <w:bookmarkEnd w:id="31"/>
      <w:bookmarkEnd w:id="32"/>
      <w:bookmarkEnd w:id="33"/>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合同授予</w:t>
      </w:r>
    </w:p>
    <w:p>
      <w:pPr>
        <w:widowControl/>
        <w:shd w:val="clear" w:color="auto" w:fill="FFFFFF"/>
        <w:spacing w:line="360" w:lineRule="auto"/>
        <w:ind w:firstLine="420" w:firstLineChars="0"/>
        <w:jc w:val="left"/>
        <w:rPr>
          <w:rFonts w:ascii="仿宋_GB2312" w:hAnsi="仿宋" w:eastAsia="仿宋_GB2312" w:cs="仿宋_GB2312"/>
          <w:b/>
          <w:color w:val="auto"/>
          <w:highlight w:val="none"/>
        </w:rPr>
      </w:pPr>
      <w:r>
        <w:rPr>
          <w:rFonts w:hint="eastAsia" w:ascii="仿宋_GB2312" w:hAnsi="仿宋" w:eastAsia="仿宋_GB2312" w:cs="仿宋_GB2312"/>
          <w:color w:val="auto"/>
          <w:sz w:val="24"/>
          <w:highlight w:val="none"/>
          <w:lang w:eastAsia="zh-CN"/>
        </w:rPr>
        <w:t>合同主要条款详见第五部分拟签订的合同文本。</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合同的签订</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如签订合同并生效后，供应商无故拒绝或延期，除按照合同条款处理外，列入不良行为记录一次，并给予通报。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ascii="仿宋_GB2312" w:hAnsi="仿宋" w:eastAsia="仿宋_GB2312" w:cs="仿宋_GB2312"/>
          <w:b/>
          <w:color w:val="auto"/>
          <w:highlight w:val="none"/>
        </w:rPr>
      </w:pPr>
      <w:r>
        <w:rPr>
          <w:rFonts w:hint="eastAsia" w:ascii="仿宋_GB2312" w:hAnsi="仿宋" w:eastAsia="仿宋_GB2312"/>
          <w:b w:val="0"/>
          <w:bCs/>
          <w:color w:val="auto"/>
          <w:sz w:val="24"/>
          <w:highlight w:val="none"/>
          <w:lang w:val="zh-CN" w:eastAsia="zh-CN"/>
        </w:rPr>
        <w:t>采购合同由采购人与中标供应商根据招标文件、投标文件等内容通过政府采购电子交易平台在线签订，自动备案。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履约保证金</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供应商</w:t>
      </w:r>
      <w:r>
        <w:rPr>
          <w:rFonts w:hint="eastAsia" w:ascii="仿宋_GB2312" w:hAnsi="仿宋" w:eastAsia="仿宋_GB2312"/>
          <w:b w:val="0"/>
          <w:bCs/>
          <w:color w:val="auto"/>
          <w:sz w:val="24"/>
          <w:highlight w:val="none"/>
          <w:lang w:val="en-US" w:eastAsia="zh-CN"/>
        </w:rPr>
        <w:t>可</w:t>
      </w:r>
      <w:r>
        <w:rPr>
          <w:rFonts w:hint="eastAsia" w:ascii="仿宋_GB2312" w:hAnsi="仿宋" w:eastAsia="仿宋_GB2312"/>
          <w:b w:val="0"/>
          <w:bCs/>
          <w:color w:val="auto"/>
          <w:sz w:val="24"/>
          <w:highlight w:val="none"/>
          <w:lang w:val="zh-CN" w:eastAsia="zh-CN"/>
        </w:rPr>
        <w:t>登录政采云平台-【金融服务】—【我的项目】—【已备案合同】以保函形式提供：</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供应商在合同列表选择需要投保的合同，点击【保函推荐】。</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在弹框里查看推荐的保函产品，供应商自行选择保函产品，点击【立即申请】。</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val="en-US" w:eastAsia="zh-CN"/>
        </w:rPr>
        <w:t>预付款</w:t>
      </w:r>
    </w:p>
    <w:p>
      <w:pPr>
        <w:numPr>
          <w:ilvl w:val="0"/>
          <w:numId w:val="0"/>
        </w:numPr>
        <w:tabs>
          <w:tab w:val="left" w:pos="210"/>
          <w:tab w:val="left" w:pos="640"/>
        </w:tabs>
        <w:snapToGrid w:val="0"/>
        <w:spacing w:line="360" w:lineRule="auto"/>
        <w:ind w:leftChars="0" w:firstLine="480" w:firstLineChars="200"/>
        <w:jc w:val="left"/>
        <w:outlineLvl w:val="3"/>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snapToGrid w:val="0"/>
        <w:spacing w:line="240" w:lineRule="auto"/>
        <w:ind w:firstLine="2518" w:firstLineChars="1045"/>
        <w:textAlignment w:val="auto"/>
        <w:rPr>
          <w:rFonts w:hint="eastAsia" w:ascii="仿宋_GB2312" w:hAnsi="仿宋" w:eastAsia="仿宋_GB2312" w:cs="仿宋_GB2312"/>
          <w:b/>
          <w:color w:val="auto"/>
          <w:sz w:val="24"/>
          <w:szCs w:val="21"/>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34" w:name="_Toc20626"/>
      <w:bookmarkStart w:id="35" w:name="_Toc26757"/>
      <w:r>
        <w:rPr>
          <w:rFonts w:hint="eastAsia" w:ascii="仿宋_GB2312" w:hAnsi="仿宋" w:eastAsia="仿宋_GB2312" w:cs="仿宋_GB2312"/>
          <w:b/>
          <w:color w:val="auto"/>
          <w:sz w:val="36"/>
          <w:szCs w:val="36"/>
          <w:highlight w:val="none"/>
        </w:rPr>
        <w:t>八、电子交易活动的中止</w:t>
      </w:r>
      <w:bookmarkEnd w:id="34"/>
      <w:bookmarkEnd w:id="35"/>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电子交易活动的中止</w:t>
      </w:r>
    </w:p>
    <w:p>
      <w:pPr>
        <w:pStyle w:val="112"/>
        <w:snapToGrid w:val="0"/>
        <w:spacing w:before="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可中止电子交易活动：</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电子交易平台发生故障而无法登录访问的； </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电子交易平台应用或数据库出现错误，不能进行正常操作的；</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电子交易平台发现严重安全漏洞，有潜在泄密危险的；</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病毒发作导致不能进行正常操作的； </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其他无法保证电子交易的公平、公正和安全的情况。</w:t>
      </w:r>
    </w:p>
    <w:p>
      <w:pPr>
        <w:numPr>
          <w:ilvl w:val="0"/>
          <w:numId w:val="3"/>
        </w:numPr>
        <w:tabs>
          <w:tab w:val="left" w:pos="210"/>
        </w:tabs>
        <w:snapToGrid w:val="0"/>
        <w:spacing w:line="360" w:lineRule="auto"/>
        <w:ind w:left="403" w:leftChars="0" w:hanging="40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36" w:name="_Toc1850"/>
      <w:bookmarkStart w:id="37" w:name="_Toc23815"/>
      <w:r>
        <w:rPr>
          <w:rFonts w:hint="eastAsia" w:ascii="仿宋_GB2312" w:hAnsi="仿宋" w:eastAsia="仿宋_GB2312" w:cs="仿宋_GB2312"/>
          <w:b/>
          <w:color w:val="auto"/>
          <w:sz w:val="36"/>
          <w:szCs w:val="36"/>
          <w:highlight w:val="none"/>
        </w:rPr>
        <w:t>九、验收</w:t>
      </w:r>
      <w:bookmarkEnd w:id="36"/>
      <w:bookmarkEnd w:id="37"/>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验收</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cs="Times New Roman"/>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_GB2312" w:hAnsi="仿宋" w:eastAsia="仿宋_GB2312" w:cs="Times New Roman"/>
          <w:b w:val="0"/>
          <w:bCs/>
          <w:color w:val="auto"/>
          <w:sz w:val="24"/>
          <w:highlight w:val="none"/>
          <w:lang w:val="zh-CN" w:eastAsia="zh-CN"/>
        </w:rPr>
        <w:t>。</w:t>
      </w:r>
    </w:p>
    <w:p>
      <w:pPr>
        <w:pStyle w:val="18"/>
        <w:rPr>
          <w:rFonts w:ascii="仿宋" w:hAnsi="仿宋" w:eastAsia="仿宋" w:cs="仿宋"/>
          <w:color w:val="auto"/>
          <w:highlight w:val="none"/>
        </w:rPr>
      </w:pPr>
    </w:p>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38" w:name="_Toc31190"/>
      <w:bookmarkStart w:id="39" w:name="_Toc83616202"/>
      <w:bookmarkStart w:id="40" w:name="_Toc242012796"/>
      <w:bookmarkStart w:id="41" w:name="_Toc22130"/>
      <w:r>
        <w:rPr>
          <w:rFonts w:hint="eastAsia" w:ascii="仿宋" w:hAnsi="仿宋" w:eastAsia="仿宋" w:cs="仿宋"/>
          <w:b/>
          <w:color w:val="auto"/>
          <w:sz w:val="30"/>
          <w:szCs w:val="30"/>
          <w:highlight w:val="none"/>
        </w:rPr>
        <w:t>第三部分</w:t>
      </w:r>
      <w:bookmarkEnd w:id="38"/>
      <w:bookmarkEnd w:id="39"/>
      <w:bookmarkEnd w:id="40"/>
      <w:r>
        <w:rPr>
          <w:rFonts w:hint="eastAsia" w:ascii="仿宋" w:hAnsi="仿宋" w:eastAsia="仿宋" w:cs="仿宋"/>
          <w:b/>
          <w:color w:val="auto"/>
          <w:sz w:val="30"/>
          <w:szCs w:val="30"/>
          <w:highlight w:val="none"/>
        </w:rPr>
        <w:t xml:space="preserve">  采购需求</w:t>
      </w:r>
      <w:bookmarkEnd w:id="41"/>
    </w:p>
    <w:p>
      <w:pPr>
        <w:pStyle w:val="4"/>
        <w:spacing w:before="120" w:after="120" w:line="360" w:lineRule="auto"/>
        <w:rPr>
          <w:rFonts w:hint="eastAsia" w:ascii="仿宋" w:hAnsi="仿宋" w:eastAsia="仿宋" w:cs="仿宋"/>
          <w:color w:val="auto"/>
          <w:sz w:val="24"/>
          <w:szCs w:val="24"/>
          <w:highlight w:val="none"/>
        </w:rPr>
      </w:pPr>
      <w:bookmarkStart w:id="42" w:name="_Toc418846105"/>
      <w:bookmarkStart w:id="43" w:name="_Toc30857"/>
      <w:bookmarkStart w:id="44" w:name="_Toc20101"/>
      <w:bookmarkStart w:id="45" w:name="_Toc24549"/>
      <w:bookmarkStart w:id="46" w:name="_Toc22955"/>
      <w:bookmarkStart w:id="47" w:name="_Toc1332"/>
      <w:bookmarkStart w:id="48" w:name="_Toc12471"/>
      <w:bookmarkStart w:id="49" w:name="_Toc306304665"/>
      <w:bookmarkStart w:id="50" w:name="_Toc203558307"/>
      <w:bookmarkStart w:id="51" w:name="_Toc194983818"/>
      <w:bookmarkStart w:id="52" w:name="_Toc342633574"/>
      <w:r>
        <w:rPr>
          <w:rFonts w:hint="eastAsia" w:ascii="仿宋" w:hAnsi="仿宋" w:eastAsia="仿宋" w:cs="仿宋"/>
          <w:color w:val="auto"/>
          <w:sz w:val="24"/>
          <w:szCs w:val="24"/>
          <w:highlight w:val="none"/>
        </w:rPr>
        <w:t>一、项目概况</w:t>
      </w:r>
      <w:bookmarkEnd w:id="42"/>
      <w:bookmarkEnd w:id="43"/>
      <w:bookmarkEnd w:id="44"/>
      <w:bookmarkEnd w:id="45"/>
      <w:bookmarkEnd w:id="46"/>
      <w:bookmarkEnd w:id="47"/>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eastAsia="zh-CN"/>
        </w:rPr>
      </w:pPr>
      <w:bookmarkStart w:id="53" w:name="_Toc418846106"/>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lang w:eastAsia="zh-CN"/>
        </w:rPr>
        <w:t>白杨街道垃圾分类误时投放点管理服务采购项目。</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2、项目主要内容：根据采购人要求配备相关人员，服务覆盖白杨街道生活小区误时投放点全部点位，指导居民开展垃圾分类工作，并在点位上进行二次分拣工作，协助社区开展垃圾分类工作等。</w:t>
      </w:r>
      <w:bookmarkEnd w:id="53"/>
    </w:p>
    <w:p>
      <w:pPr>
        <w:pStyle w:val="18"/>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、项目地点：按采购人指定地点。</w:t>
      </w:r>
    </w:p>
    <w:p>
      <w:pPr>
        <w:pStyle w:val="18"/>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、实施期限：</w:t>
      </w:r>
      <w:r>
        <w:rPr>
          <w:rFonts w:hint="eastAsia" w:ascii="仿宋" w:hAnsi="仿宋" w:eastAsia="仿宋" w:cs="仿宋"/>
          <w:color w:val="auto"/>
          <w:sz w:val="24"/>
          <w:highlight w:val="none"/>
        </w:rPr>
        <w:t>本项目服务期为两年，具体时间以合同签订时间为准。合同履行期间，</w:t>
      </w:r>
      <w:r>
        <w:rPr>
          <w:rFonts w:hint="eastAsia" w:ascii="仿宋" w:hAnsi="仿宋" w:eastAsia="仿宋" w:cs="仿宋"/>
          <w:color w:val="auto"/>
          <w:sz w:val="24"/>
          <w:highlight w:val="none"/>
          <w:lang w:val="en-US" w:eastAsia="zh-CN"/>
        </w:rPr>
        <w:t>采购人将</w:t>
      </w:r>
      <w:r>
        <w:rPr>
          <w:rFonts w:hint="eastAsia" w:ascii="仿宋" w:hAnsi="仿宋" w:eastAsia="仿宋" w:cs="仿宋"/>
          <w:color w:val="auto"/>
          <w:sz w:val="24"/>
          <w:highlight w:val="none"/>
        </w:rPr>
        <w:t>设立中期考核机制，根据考核情况</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有权提前终止合同，并保留追究</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责任的权利。</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5、投标人提供的</w:t>
      </w:r>
      <w:r>
        <w:rPr>
          <w:rFonts w:hint="eastAsia" w:ascii="仿宋" w:hAnsi="仿宋" w:eastAsia="仿宋" w:cs="仿宋"/>
          <w:color w:val="auto"/>
          <w:sz w:val="24"/>
          <w:highlight w:val="none"/>
          <w:lang w:val="en-US" w:eastAsia="zh-CN"/>
        </w:rPr>
        <w:t>服务、证明材料等</w:t>
      </w:r>
      <w:r>
        <w:rPr>
          <w:rFonts w:hint="eastAsia" w:ascii="仿宋" w:hAnsi="仿宋" w:eastAsia="仿宋" w:cs="仿宋"/>
          <w:color w:val="auto"/>
          <w:sz w:val="24"/>
          <w:highlight w:val="none"/>
        </w:rPr>
        <w:t>实际情况与投标文件中所承诺</w:t>
      </w:r>
      <w:r>
        <w:rPr>
          <w:rFonts w:hint="eastAsia" w:ascii="仿宋" w:hAnsi="仿宋" w:eastAsia="仿宋" w:cs="仿宋"/>
          <w:color w:val="auto"/>
          <w:sz w:val="24"/>
          <w:highlight w:val="none"/>
          <w:lang w:val="en-US" w:eastAsia="zh-CN"/>
        </w:rPr>
        <w:t>或响应内容</w:t>
      </w:r>
      <w:r>
        <w:rPr>
          <w:rFonts w:hint="eastAsia" w:ascii="仿宋" w:hAnsi="仿宋" w:eastAsia="仿宋" w:cs="仿宋"/>
          <w:color w:val="auto"/>
          <w:sz w:val="24"/>
          <w:highlight w:val="none"/>
        </w:rPr>
        <w:t>不符合，可视为虚假应标及欺诈行为，并追究相应责任。</w:t>
      </w:r>
    </w:p>
    <w:p>
      <w:pPr>
        <w:pStyle w:val="4"/>
        <w:spacing w:before="120" w:after="120" w:line="360" w:lineRule="auto"/>
        <w:rPr>
          <w:rFonts w:hint="eastAsia" w:ascii="仿宋" w:hAnsi="仿宋" w:eastAsia="仿宋" w:cs="仿宋"/>
          <w:color w:val="auto"/>
          <w:sz w:val="24"/>
          <w:szCs w:val="24"/>
          <w:highlight w:val="none"/>
          <w:lang w:val="en-US" w:eastAsia="zh-CN"/>
        </w:rPr>
      </w:pPr>
      <w:bookmarkStart w:id="54" w:name="_Toc19927"/>
      <w:bookmarkStart w:id="55" w:name="_Toc24080"/>
      <w:r>
        <w:rPr>
          <w:rFonts w:hint="eastAsia" w:ascii="仿宋" w:hAnsi="仿宋" w:eastAsia="仿宋" w:cs="仿宋"/>
          <w:color w:val="auto"/>
          <w:sz w:val="24"/>
          <w:szCs w:val="24"/>
          <w:highlight w:val="none"/>
          <w:lang w:val="en-US" w:eastAsia="zh-CN"/>
        </w:rPr>
        <w:t>二、工作</w:t>
      </w:r>
      <w:bookmarkEnd w:id="54"/>
      <w:bookmarkEnd w:id="55"/>
      <w:r>
        <w:rPr>
          <w:rFonts w:hint="eastAsia" w:ascii="仿宋" w:hAnsi="仿宋" w:eastAsia="仿宋" w:cs="仿宋"/>
          <w:color w:val="auto"/>
          <w:sz w:val="24"/>
          <w:szCs w:val="24"/>
          <w:highlight w:val="none"/>
          <w:lang w:val="en-US" w:eastAsia="zh-CN"/>
        </w:rPr>
        <w:t>内容</w:t>
      </w:r>
    </w:p>
    <w:p>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主要包括以下工作内容：</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1、在小区误时投放点位上指导前来投放垃圾的居民进行分类。</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2、在误时点位上对垃圾桶内未分类的垃圾进行二次分拣，保证分类质量。</w:t>
      </w:r>
    </w:p>
    <w:p>
      <w:pPr>
        <w:pStyle w:val="2"/>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中标人应注意做到：</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1、巡回检查垃圾桶内的分类质量（投放率和准确率），检查居民投放的易腐垃圾和其他垃圾；培养、教育、引导居民养成良好的垃圾分类习惯，逐步提高垃圾分类质量，并记录在册。</w:t>
      </w:r>
    </w:p>
    <w:p>
      <w:pPr>
        <w:tabs>
          <w:tab w:val="left" w:pos="0"/>
        </w:tabs>
        <w:adjustRightInd w:val="0"/>
        <w:snapToGrid w:val="0"/>
        <w:spacing w:line="360" w:lineRule="auto"/>
        <w:ind w:firstLine="480" w:firstLineChars="200"/>
        <w:rPr>
          <w:rFonts w:hint="default"/>
          <w:lang w:val="en-US" w:eastAsia="zh-CN"/>
        </w:rPr>
      </w:pPr>
      <w:r>
        <w:rPr>
          <w:rFonts w:hint="eastAsia" w:ascii="仿宋" w:hAnsi="仿宋" w:eastAsia="仿宋" w:cs="仿宋"/>
          <w:color w:val="auto"/>
          <w:sz w:val="24"/>
          <w:highlight w:val="none"/>
          <w:lang w:val="en-US" w:eastAsia="zh-CN"/>
        </w:rPr>
        <w:t>2、严格做好自身纪律工作，</w:t>
      </w:r>
      <w:r>
        <w:rPr>
          <w:rFonts w:hint="default" w:ascii="仿宋" w:hAnsi="仿宋" w:eastAsia="仿宋" w:cs="仿宋"/>
          <w:color w:val="auto"/>
          <w:sz w:val="24"/>
          <w:highlight w:val="none"/>
          <w:lang w:val="en-US" w:eastAsia="zh-CN"/>
        </w:rPr>
        <w:t>不得与小区居民、物业发生纠纷问题</w:t>
      </w:r>
      <w:r>
        <w:rPr>
          <w:rFonts w:hint="eastAsia" w:ascii="仿宋" w:hAnsi="仿宋" w:eastAsia="仿宋" w:cs="仿宋"/>
          <w:color w:val="auto"/>
          <w:sz w:val="24"/>
          <w:highlight w:val="none"/>
          <w:lang w:val="en-US" w:eastAsia="zh-CN"/>
        </w:rPr>
        <w:t>。</w:t>
      </w:r>
    </w:p>
    <w:p>
      <w:pPr>
        <w:pStyle w:val="4"/>
        <w:spacing w:before="120" w:after="120" w:line="360" w:lineRule="auto"/>
        <w:rPr>
          <w:rFonts w:hint="eastAsia" w:ascii="仿宋" w:hAnsi="仿宋" w:eastAsia="仿宋" w:cs="仿宋"/>
          <w:color w:val="auto"/>
          <w:sz w:val="24"/>
          <w:szCs w:val="24"/>
          <w:highlight w:val="none"/>
        </w:rPr>
      </w:pPr>
      <w:bookmarkStart w:id="56" w:name="_Toc17571"/>
      <w:bookmarkStart w:id="57" w:name="_Toc3352"/>
      <w:bookmarkStart w:id="58" w:name="_Toc7089"/>
      <w:bookmarkStart w:id="59" w:name="_Toc27576"/>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服务相关</w:t>
      </w:r>
      <w:r>
        <w:rPr>
          <w:rFonts w:hint="eastAsia" w:ascii="仿宋" w:hAnsi="仿宋" w:eastAsia="仿宋" w:cs="仿宋"/>
          <w:color w:val="auto"/>
          <w:sz w:val="24"/>
          <w:szCs w:val="24"/>
          <w:highlight w:val="none"/>
        </w:rPr>
        <w:t>要求</w:t>
      </w:r>
      <w:bookmarkEnd w:id="56"/>
      <w:bookmarkEnd w:id="57"/>
      <w:bookmarkEnd w:id="58"/>
      <w:bookmarkEnd w:id="59"/>
    </w:p>
    <w:p>
      <w:pPr>
        <w:pStyle w:val="18"/>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项目管理团队</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1、为本项目组建专门的项目管理团队，至少3人。该部分人员应提供人员清单（含人员姓名、身份证号码），及投标人为其缴纳的、距投标截止时间3个月任意时间的社保证明。否则人员不予认可。</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2、项目管理团队具有本科及以上文化水平，具有至少5年的垃圾分类相关项目管理或参与经验，可负责本项目人员的招录、培训、督察及日常工作管理指导，确保一线队伍建设的完整和规范化。</w:t>
      </w:r>
    </w:p>
    <w:p>
      <w:pPr>
        <w:adjustRightInd w:val="0"/>
        <w:snapToGrid w:val="0"/>
        <w:spacing w:line="360" w:lineRule="auto"/>
        <w:ind w:firstLine="480" w:firstLineChars="200"/>
        <w:rPr>
          <w:rFonts w:hint="default"/>
          <w:lang w:val="en-US" w:eastAsia="zh-CN"/>
        </w:rPr>
      </w:pPr>
      <w:r>
        <w:rPr>
          <w:rFonts w:hint="eastAsia" w:ascii="仿宋" w:hAnsi="仿宋" w:eastAsia="仿宋" w:cs="仿宋"/>
          <w:color w:val="auto"/>
          <w:sz w:val="24"/>
          <w:highlight w:val="none"/>
          <w:lang w:val="en-US" w:eastAsia="zh-CN"/>
        </w:rPr>
        <w:t>3、在误时点管理服务团队中设立项目负责人1名，负责误时点</w:t>
      </w:r>
      <w:r>
        <w:rPr>
          <w:rFonts w:hint="default" w:ascii="仿宋" w:hAnsi="仿宋" w:eastAsia="仿宋" w:cs="仿宋"/>
          <w:color w:val="auto"/>
          <w:sz w:val="24"/>
          <w:highlight w:val="none"/>
          <w:lang w:eastAsia="zh-CN"/>
        </w:rPr>
        <w:t>人员</w:t>
      </w:r>
      <w:r>
        <w:rPr>
          <w:rFonts w:hint="eastAsia" w:ascii="仿宋" w:hAnsi="仿宋" w:eastAsia="仿宋" w:cs="仿宋"/>
          <w:color w:val="auto"/>
          <w:sz w:val="24"/>
          <w:highlight w:val="none"/>
          <w:lang w:val="en-US" w:eastAsia="zh-CN"/>
        </w:rPr>
        <w:t>的</w:t>
      </w:r>
      <w:r>
        <w:rPr>
          <w:rFonts w:hint="default" w:ascii="仿宋" w:hAnsi="仿宋" w:eastAsia="仿宋" w:cs="仿宋"/>
          <w:color w:val="auto"/>
          <w:sz w:val="24"/>
          <w:highlight w:val="none"/>
          <w:lang w:eastAsia="zh-CN"/>
        </w:rPr>
        <w:t>日常</w:t>
      </w:r>
      <w:r>
        <w:rPr>
          <w:rFonts w:hint="eastAsia" w:ascii="仿宋" w:hAnsi="仿宋" w:eastAsia="仿宋" w:cs="仿宋"/>
          <w:color w:val="auto"/>
          <w:sz w:val="24"/>
          <w:highlight w:val="none"/>
          <w:lang w:val="en-US" w:eastAsia="zh-CN"/>
        </w:rPr>
        <w:t>管理，具备一定的管理经验和处理事件能力。投标文件中可提供项目负责人简历、身份证号码、经验证明（合同或甲方的第三方证明均可）。</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4、以上人员不纳入本项目所需的误时点管理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员数量中，所需费用由投标人自行考虑，计入本项目总报价中。</w:t>
      </w:r>
    </w:p>
    <w:p>
      <w:pPr>
        <w:pStyle w:val="18"/>
        <w:adjustRightInd w:val="0"/>
        <w:snapToGrid w:val="0"/>
        <w:spacing w:after="0" w:line="360" w:lineRule="auto"/>
        <w:ind w:firstLine="482" w:firstLineChars="200"/>
        <w:outlineLvl w:val="2"/>
        <w:rPr>
          <w:rFonts w:hint="default"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default" w:ascii="仿宋" w:hAnsi="仿宋" w:eastAsia="仿宋" w:cs="仿宋"/>
          <w:b/>
          <w:bCs/>
          <w:color w:val="auto"/>
          <w:sz w:val="24"/>
          <w:highlight w:val="none"/>
          <w:lang w:eastAsia="zh-CN"/>
        </w:rPr>
        <w:t>误时点管理人员</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1、数量及具体安排：</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前三个月，安排88</w:t>
      </w:r>
      <w:r>
        <w:rPr>
          <w:rFonts w:hint="default"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员对街道88个误时投放点进行全覆盖管理。三个月后，由每个点</w:t>
      </w:r>
      <w:r>
        <w:rPr>
          <w:rFonts w:hint="default" w:ascii="仿宋" w:hAnsi="仿宋" w:eastAsia="仿宋" w:cs="仿宋"/>
          <w:color w:val="auto"/>
          <w:sz w:val="24"/>
          <w:highlight w:val="none"/>
          <w:lang w:eastAsia="zh-CN"/>
        </w:rPr>
        <w:t>位</w:t>
      </w:r>
      <w:r>
        <w:rPr>
          <w:rFonts w:hint="eastAsia" w:ascii="仿宋" w:hAnsi="仿宋" w:eastAsia="仿宋" w:cs="仿宋"/>
          <w:color w:val="auto"/>
          <w:sz w:val="24"/>
          <w:highlight w:val="none"/>
          <w:lang w:val="en-US" w:eastAsia="zh-CN"/>
        </w:rPr>
        <w:t>配备1名</w:t>
      </w:r>
      <w:r>
        <w:rPr>
          <w:rFonts w:hint="default" w:ascii="仿宋" w:hAnsi="仿宋" w:eastAsia="仿宋" w:cs="仿宋"/>
          <w:color w:val="auto"/>
          <w:sz w:val="24"/>
          <w:highlight w:val="none"/>
          <w:lang w:eastAsia="zh-CN"/>
        </w:rPr>
        <w:t>调整</w:t>
      </w:r>
      <w:r>
        <w:rPr>
          <w:rFonts w:hint="eastAsia" w:ascii="仿宋" w:hAnsi="仿宋" w:eastAsia="仿宋" w:cs="仿宋"/>
          <w:color w:val="auto"/>
          <w:sz w:val="24"/>
          <w:highlight w:val="none"/>
          <w:lang w:val="en-US" w:eastAsia="zh-CN"/>
        </w:rPr>
        <w:t>为每个小区配备1名误时点管理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员，共需61</w:t>
      </w:r>
      <w:r>
        <w:rPr>
          <w:rFonts w:hint="default" w:ascii="仿宋" w:hAnsi="仿宋" w:eastAsia="仿宋" w:cs="仿宋"/>
          <w:color w:val="auto"/>
          <w:sz w:val="24"/>
          <w:highlight w:val="none"/>
          <w:lang w:eastAsia="zh-CN"/>
        </w:rPr>
        <w:t>名管理人员</w:t>
      </w:r>
      <w:r>
        <w:rPr>
          <w:rFonts w:hint="eastAsia" w:ascii="仿宋" w:hAnsi="仿宋" w:eastAsia="仿宋" w:cs="仿宋"/>
          <w:color w:val="auto"/>
          <w:sz w:val="24"/>
          <w:highlight w:val="none"/>
          <w:lang w:val="en-US" w:eastAsia="zh-CN"/>
        </w:rPr>
        <w:t>。第二年经费按照每个小区1人进行保障，共需61</w:t>
      </w:r>
      <w:r>
        <w:rPr>
          <w:rFonts w:hint="default"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2、年龄：年龄在55周岁以下。</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3、有一定的沟通协调能力和做群众工作的能力，有吃苦耐劳的精神和高度的责任感，文明素养高，服从工作安排。</w:t>
      </w:r>
    </w:p>
    <w:p>
      <w:pPr>
        <w:pStyle w:val="18"/>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投标文件中对以上内容进行响应及承诺。</w:t>
      </w:r>
    </w:p>
    <w:p>
      <w:pPr>
        <w:pStyle w:val="18"/>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（三）日常工作时间安排</w:t>
      </w:r>
    </w:p>
    <w:p>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1、原则上每日8：30-11：30（3小时）; 13：00-18：00（5小时）。</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员上班时间出勤率必须达到100%。如有工作安排或者遇到上级有关部门检查等特殊情况，适当延长工作时间</w:t>
      </w:r>
      <w:r>
        <w:rPr>
          <w:rFonts w:hint="eastAsia" w:ascii="仿宋" w:hAnsi="仿宋" w:eastAsia="仿宋" w:cs="仿宋"/>
          <w:snapToGrid w:val="0"/>
          <w:color w:val="auto"/>
          <w:kern w:val="0"/>
          <w:sz w:val="24"/>
          <w:highlight w:val="none"/>
          <w:lang w:val="en-US" w:eastAsia="zh-CN"/>
        </w:rPr>
        <w:t>。</w:t>
      </w:r>
    </w:p>
    <w:p>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3、中标人应合理考虑垃圾投放时间，不得影响垃圾分类工作正常开展。</w:t>
      </w:r>
    </w:p>
    <w:p>
      <w:pPr>
        <w:pStyle w:val="18"/>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（四）人员的招录、建档、劳务管理等方案</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投标人就以下内容提供方案。</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（1）建立</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招聘管理制度，做好招聘人员的行政和健康审查，规范做好劳动合同签订、续签、终止等手续并支付相关规定费用。</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color w:val="auto"/>
          <w:sz w:val="24"/>
          <w:highlight w:val="none"/>
          <w:lang w:val="en-US" w:eastAsia="zh-CN"/>
        </w:rPr>
        <w:t>应聘、录用、离职等人员管理档案规范，手续齐全，相应资料必须报采购单位备案.</w:t>
      </w:r>
    </w:p>
    <w:p>
      <w:pPr>
        <w:pStyle w:val="18"/>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color w:val="auto"/>
          <w:sz w:val="24"/>
          <w:highlight w:val="none"/>
          <w:lang w:val="en-US" w:eastAsia="zh-CN"/>
        </w:rPr>
        <w:t>采取切实有效措施保持误时点管理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员队伍的稳定，误时点管理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员更换应提前一个月以书面形式通知采购单位，确保服务质量不因人员变动而受影响，考核不到位的，采购单位有权提出人员解聘要求。</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（4）特殊情况下，可以配合采购人合理调配或及时补充</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数量，确保服务的不间断性、持续性与专业性。</w:t>
      </w:r>
    </w:p>
    <w:p>
      <w:pPr>
        <w:pStyle w:val="18"/>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（五）人员的培训、日常管理方案</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投标人就以下内容提供方案。</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1、培训相关要求</w:t>
      </w:r>
    </w:p>
    <w:p>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员受过专门的岗前培训，熟知业务范围内的现状和管理规定；</w:t>
      </w:r>
      <w:r>
        <w:rPr>
          <w:rFonts w:hint="eastAsia" w:ascii="仿宋" w:hAnsi="仿宋" w:eastAsia="仿宋" w:cs="仿宋"/>
          <w:i w:val="0"/>
          <w:color w:val="auto"/>
          <w:kern w:val="0"/>
          <w:sz w:val="24"/>
          <w:szCs w:val="24"/>
          <w:highlight w:val="none"/>
          <w:u w:val="none"/>
          <w:lang w:val="en-US" w:eastAsia="zh-CN" w:bidi="ar"/>
        </w:rPr>
        <w:t>培训计划应做到计划完善、培训内容符合工作内容、可操作性好。</w:t>
      </w:r>
    </w:p>
    <w:p>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（2）根据工作要求出发，经常性开展在岗人员业务培训。</w:t>
      </w:r>
      <w:r>
        <w:rPr>
          <w:rFonts w:hint="eastAsia" w:ascii="仿宋" w:hAnsi="仿宋" w:eastAsia="仿宋" w:cs="仿宋"/>
          <w:i w:val="0"/>
          <w:color w:val="auto"/>
          <w:kern w:val="0"/>
          <w:sz w:val="24"/>
          <w:szCs w:val="24"/>
          <w:highlight w:val="none"/>
          <w:u w:val="none"/>
          <w:lang w:val="en-US" w:eastAsia="zh-CN" w:bidi="ar"/>
        </w:rPr>
        <w:t>培训计划应做到计划完善、培训内容符合工作内容、可操作性好。</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2、日常管理相关要求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（1）建立</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绩效考核制度，要求制度完善、流程规范、可落实。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（2）建立</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工作纪律管理制度，要求</w:t>
      </w:r>
      <w:r>
        <w:rPr>
          <w:rFonts w:hint="eastAsia" w:ascii="仿宋" w:hAnsi="仿宋" w:eastAsia="仿宋" w:cs="仿宋"/>
          <w:i w:val="0"/>
          <w:color w:val="auto"/>
          <w:kern w:val="0"/>
          <w:sz w:val="24"/>
          <w:szCs w:val="24"/>
          <w:highlight w:val="none"/>
          <w:u w:val="none"/>
          <w:lang w:val="en-US" w:eastAsia="zh-CN" w:bidi="ar"/>
        </w:rPr>
        <w:t>计划完善、管理规范、符合工作内容、可落实</w:t>
      </w:r>
      <w:r>
        <w:rPr>
          <w:rFonts w:hint="eastAsia" w:ascii="仿宋" w:hAnsi="仿宋" w:eastAsia="仿宋" w:cs="仿宋"/>
          <w:snapToGrid w:val="0"/>
          <w:color w:val="auto"/>
          <w:kern w:val="0"/>
          <w:sz w:val="24"/>
          <w:highlight w:val="none"/>
          <w:lang w:val="en-US" w:eastAsia="zh-CN"/>
        </w:rPr>
        <w:t>。</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（3）采购人对一些重要岗位设置、人员录用及管理决策有直接参与权与审批权。</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（4）在处理特殊、紧急和突发事故时，采购人对中标人项目团队成员有直接指挥权。</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（6）投标人在做好工作的同时，有责任向采购人提供合理化建议，以提高管理效率和管理质量。</w:t>
      </w:r>
    </w:p>
    <w:p>
      <w:pPr>
        <w:pStyle w:val="18"/>
        <w:tabs>
          <w:tab w:val="left" w:pos="3570"/>
        </w:tabs>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（六）考核相关要求</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1、考核对象</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投标人的</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，完成垃圾分类日常工作。</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2、考核基本要求</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（1）中标单位需对</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做好岗前培训工作，熟知垃圾分类知识，积极主动进行二次分拣。</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（2）中标单位需做好对</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的日常管理工作，做好员工考勤等工作。</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（3）采购单位将对中标单位提供的</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进行考核，同时根据市区级检查成绩，出现低分小区时将对中标单位进行扣款。</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（4）采购单位对服务的</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不满意时，可以要求中标单位无条件更换员工。</w:t>
      </w:r>
    </w:p>
    <w:p>
      <w:pPr>
        <w:pStyle w:val="18"/>
        <w:tabs>
          <w:tab w:val="left" w:pos="3570"/>
        </w:tabs>
        <w:adjustRightInd w:val="0"/>
        <w:snapToGrid w:val="0"/>
        <w:spacing w:after="0" w:line="360" w:lineRule="auto"/>
        <w:ind w:firstLine="482" w:firstLineChars="200"/>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（七）注意事项</w:t>
      </w:r>
    </w:p>
    <w:p>
      <w:pPr>
        <w:pStyle w:val="18"/>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投标人</w:t>
      </w:r>
      <w:r>
        <w:rPr>
          <w:rFonts w:hint="default" w:ascii="仿宋" w:hAnsi="仿宋" w:eastAsia="仿宋" w:cs="仿宋"/>
          <w:color w:val="auto"/>
          <w:sz w:val="24"/>
          <w:highlight w:val="none"/>
          <w:lang w:val="en-US" w:eastAsia="zh-CN"/>
        </w:rPr>
        <w:t>应为</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default" w:ascii="仿宋" w:hAnsi="仿宋" w:eastAsia="仿宋" w:cs="仿宋"/>
          <w:color w:val="auto"/>
          <w:sz w:val="24"/>
          <w:highlight w:val="none"/>
          <w:lang w:val="en-US" w:eastAsia="zh-CN"/>
        </w:rPr>
        <w:t>投保人身意外险</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default" w:ascii="仿宋" w:hAnsi="仿宋" w:eastAsia="仿宋" w:cs="仿宋"/>
          <w:color w:val="auto"/>
          <w:sz w:val="24"/>
          <w:highlight w:val="none"/>
          <w:lang w:val="en-US" w:eastAsia="zh-CN"/>
        </w:rPr>
        <w:t>在岗履行工作职责期间，发生自身的人身伤害、伤亡或他人人身、财产损失的，由</w:t>
      </w:r>
      <w:r>
        <w:rPr>
          <w:rFonts w:hint="eastAsia" w:ascii="仿宋" w:hAnsi="仿宋" w:eastAsia="仿宋" w:cs="仿宋"/>
          <w:color w:val="auto"/>
          <w:sz w:val="24"/>
          <w:highlight w:val="none"/>
          <w:lang w:val="en-US" w:eastAsia="zh-CN"/>
        </w:rPr>
        <w:t>投标人</w:t>
      </w:r>
      <w:r>
        <w:rPr>
          <w:rFonts w:hint="default" w:ascii="仿宋" w:hAnsi="仿宋" w:eastAsia="仿宋" w:cs="仿宋"/>
          <w:color w:val="auto"/>
          <w:sz w:val="24"/>
          <w:highlight w:val="none"/>
          <w:lang w:val="en-US" w:eastAsia="zh-CN"/>
        </w:rPr>
        <w:t>全权负责，采购</w:t>
      </w:r>
      <w:r>
        <w:rPr>
          <w:rFonts w:hint="eastAsia" w:ascii="仿宋" w:hAnsi="仿宋" w:eastAsia="仿宋" w:cs="仿宋"/>
          <w:color w:val="auto"/>
          <w:sz w:val="24"/>
          <w:highlight w:val="none"/>
          <w:lang w:val="en-US" w:eastAsia="zh-CN"/>
        </w:rPr>
        <w:t>人</w:t>
      </w:r>
      <w:r>
        <w:rPr>
          <w:rFonts w:hint="default" w:ascii="仿宋" w:hAnsi="仿宋" w:eastAsia="仿宋" w:cs="仿宋"/>
          <w:color w:val="auto"/>
          <w:sz w:val="24"/>
          <w:highlight w:val="none"/>
          <w:lang w:val="en-US" w:eastAsia="zh-CN"/>
        </w:rPr>
        <w:t>不承担任何责任。</w:t>
      </w:r>
    </w:p>
    <w:p>
      <w:pPr>
        <w:pStyle w:val="18"/>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投标人</w:t>
      </w:r>
      <w:r>
        <w:rPr>
          <w:rFonts w:hint="default" w:ascii="仿宋" w:hAnsi="仿宋" w:eastAsia="仿宋" w:cs="仿宋"/>
          <w:color w:val="auto"/>
          <w:sz w:val="24"/>
          <w:highlight w:val="none"/>
          <w:lang w:val="en-US" w:eastAsia="zh-CN"/>
        </w:rPr>
        <w:t>违反国家相关法规，与聘用人员发生纠纷，均由</w:t>
      </w:r>
      <w:r>
        <w:rPr>
          <w:rFonts w:hint="eastAsia" w:ascii="仿宋" w:hAnsi="仿宋" w:eastAsia="仿宋" w:cs="仿宋"/>
          <w:color w:val="auto"/>
          <w:sz w:val="24"/>
          <w:highlight w:val="none"/>
          <w:lang w:val="en-US" w:eastAsia="zh-CN"/>
        </w:rPr>
        <w:t>投标人</w:t>
      </w:r>
      <w:r>
        <w:rPr>
          <w:rFonts w:hint="default" w:ascii="仿宋" w:hAnsi="仿宋" w:eastAsia="仿宋" w:cs="仿宋"/>
          <w:color w:val="auto"/>
          <w:sz w:val="24"/>
          <w:highlight w:val="none"/>
          <w:lang w:val="en-US" w:eastAsia="zh-CN"/>
        </w:rPr>
        <w:t>负责调解与处理，采购</w:t>
      </w:r>
      <w:r>
        <w:rPr>
          <w:rFonts w:hint="eastAsia" w:ascii="仿宋" w:hAnsi="仿宋" w:eastAsia="仿宋" w:cs="仿宋"/>
          <w:color w:val="auto"/>
          <w:sz w:val="24"/>
          <w:highlight w:val="none"/>
          <w:lang w:val="en-US" w:eastAsia="zh-CN"/>
        </w:rPr>
        <w:t>人</w:t>
      </w:r>
      <w:r>
        <w:rPr>
          <w:rFonts w:hint="default" w:ascii="仿宋" w:hAnsi="仿宋" w:eastAsia="仿宋" w:cs="仿宋"/>
          <w:color w:val="auto"/>
          <w:sz w:val="24"/>
          <w:highlight w:val="none"/>
          <w:lang w:val="en-US" w:eastAsia="zh-CN"/>
        </w:rPr>
        <w:t>不承担任何责任。</w:t>
      </w:r>
    </w:p>
    <w:p>
      <w:pPr>
        <w:pStyle w:val="18"/>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3、遇到重点任务时，如重要迎检工作或者遇到上级有关部门检查等特殊情况，需适当延长工作时间。</w:t>
      </w:r>
    </w:p>
    <w:p>
      <w:pPr>
        <w:pStyle w:val="4"/>
        <w:spacing w:before="120" w:after="120" w:line="360" w:lineRule="auto"/>
        <w:rPr>
          <w:rFonts w:hint="default" w:ascii="仿宋" w:hAnsi="仿宋" w:eastAsia="仿宋" w:cs="仿宋"/>
          <w:color w:val="auto"/>
          <w:sz w:val="24"/>
          <w:szCs w:val="24"/>
          <w:highlight w:val="none"/>
          <w:lang w:val="en-US" w:eastAsia="zh-CN"/>
        </w:rPr>
      </w:pPr>
      <w:bookmarkStart w:id="60" w:name="_Toc7119"/>
      <w:bookmarkStart w:id="61" w:name="_Toc28513"/>
      <w:r>
        <w:rPr>
          <w:rFonts w:hint="eastAsia" w:ascii="仿宋" w:hAnsi="仿宋" w:eastAsia="仿宋" w:cs="仿宋"/>
          <w:color w:val="auto"/>
          <w:sz w:val="24"/>
          <w:szCs w:val="24"/>
          <w:highlight w:val="none"/>
          <w:lang w:val="en-US" w:eastAsia="zh-CN"/>
        </w:rPr>
        <w:t>四、相关保障</w:t>
      </w:r>
      <w:bookmarkEnd w:id="60"/>
      <w:bookmarkEnd w:id="61"/>
    </w:p>
    <w:p>
      <w:pPr>
        <w:pStyle w:val="18"/>
        <w:adjustRightInd w:val="0"/>
        <w:snapToGrid w:val="0"/>
        <w:spacing w:after="0" w:line="360" w:lineRule="auto"/>
        <w:ind w:firstLine="482" w:firstLineChars="200"/>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（一）做好投诉、纠纷的妥善处理及应急预案</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工作表现不符合岗位要求时，投标人应督促相关人员遵守工作纪律要求、现场操作规范和各项安全制度；</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2、投标人应将其</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的状况如实汇总报告采购人，以备查实；</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w:t>
      </w:r>
      <w:r>
        <w:rPr>
          <w:rFonts w:hint="default" w:ascii="仿宋" w:hAnsi="仿宋" w:eastAsia="仿宋" w:cs="仿宋"/>
          <w:snapToGrid w:val="0"/>
          <w:color w:val="auto"/>
          <w:kern w:val="0"/>
          <w:sz w:val="24"/>
          <w:highlight w:val="none"/>
          <w:lang w:eastAsia="zh-CN"/>
        </w:rPr>
        <w:t>投标人</w:t>
      </w:r>
      <w:r>
        <w:rPr>
          <w:rFonts w:hint="eastAsia" w:ascii="仿宋" w:hAnsi="仿宋" w:eastAsia="仿宋" w:cs="仿宋"/>
          <w:snapToGrid w:val="0"/>
          <w:color w:val="auto"/>
          <w:kern w:val="0"/>
          <w:sz w:val="24"/>
          <w:highlight w:val="none"/>
          <w:lang w:val="en-US" w:eastAsia="zh-CN"/>
        </w:rPr>
        <w:t>与</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产生的各类劳动纠纷或仲裁，由</w:t>
      </w:r>
      <w:r>
        <w:rPr>
          <w:rFonts w:hint="default" w:ascii="仿宋" w:hAnsi="仿宋" w:eastAsia="仿宋" w:cs="仿宋"/>
          <w:snapToGrid w:val="0"/>
          <w:color w:val="auto"/>
          <w:kern w:val="0"/>
          <w:sz w:val="24"/>
          <w:highlight w:val="none"/>
          <w:lang w:eastAsia="zh-CN"/>
        </w:rPr>
        <w:t>投标</w:t>
      </w:r>
      <w:r>
        <w:rPr>
          <w:rFonts w:hint="eastAsia" w:ascii="仿宋" w:hAnsi="仿宋" w:eastAsia="仿宋" w:cs="仿宋"/>
          <w:snapToGrid w:val="0"/>
          <w:color w:val="auto"/>
          <w:kern w:val="0"/>
          <w:sz w:val="24"/>
          <w:highlight w:val="none"/>
          <w:lang w:val="en-US" w:eastAsia="zh-CN"/>
        </w:rPr>
        <w:t>人提出处理方案并经采购人同意后妥善处理；</w:t>
      </w:r>
    </w:p>
    <w:p>
      <w:pPr>
        <w:pStyle w:val="18"/>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0"/>
          <w:sz w:val="24"/>
          <w:highlight w:val="none"/>
          <w:lang w:val="en-US" w:eastAsia="zh-CN"/>
        </w:rPr>
        <w:t>4、投标人须熟悉服务区域与工作内容，充分考虑</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snapToGrid w:val="0"/>
          <w:color w:val="auto"/>
          <w:kern w:val="0"/>
          <w:sz w:val="24"/>
          <w:highlight w:val="none"/>
          <w:lang w:val="en-US" w:eastAsia="zh-CN"/>
        </w:rPr>
        <w:t>在工作环境内可能发生的突发性情况，并做好应急预案。</w:t>
      </w:r>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（二）响应时间及装备保障</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相关服装</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工作电瓶车（如需）根据采购人要求配备，</w:t>
      </w:r>
      <w:r>
        <w:rPr>
          <w:rFonts w:hint="eastAsia" w:ascii="仿宋" w:hAnsi="仿宋" w:eastAsia="仿宋" w:cs="仿宋"/>
          <w:snapToGrid w:val="0"/>
          <w:color w:val="auto"/>
          <w:kern w:val="0"/>
          <w:sz w:val="24"/>
          <w:szCs w:val="24"/>
          <w:highlight w:val="none"/>
        </w:rPr>
        <w:t>由中标单位配备齐全</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垃圾分类的相关讲解可由中标单位自行准备</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投标文件中提供承诺函。</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2、投标人应确保可以提供及时可靠的响应。一般情况下2个小时可做出响应；紧急情况下，15分钟可到达现场。如采购人提出要求，中标人可根据要求增派人员。投标文件中提供承诺函。</w:t>
      </w:r>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（三）针对突发问题的处理方案</w:t>
      </w:r>
    </w:p>
    <w:p>
      <w:pPr>
        <w:adjustRightInd w:val="0"/>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针对恶劣天气影响、自然灾害及政府性重大活动，重大节假日等特殊情况，投标文件中应制定应急处置方案。</w:t>
      </w:r>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（四）做好工作职责保障方案</w:t>
      </w:r>
    </w:p>
    <w:p>
      <w:pPr>
        <w:adjustRightInd w:val="0"/>
        <w:snapToGrid w:val="0"/>
        <w:spacing w:line="360" w:lineRule="auto"/>
        <w:ind w:firstLine="480" w:firstLineChars="200"/>
        <w:jc w:val="left"/>
        <w:rPr>
          <w:rFonts w:hint="default"/>
          <w:color w:val="auto"/>
          <w:highlight w:val="none"/>
          <w:lang w:val="en-US" w:eastAsia="zh-CN"/>
        </w:rPr>
      </w:pPr>
      <w:r>
        <w:rPr>
          <w:rFonts w:hint="eastAsia" w:ascii="仿宋" w:hAnsi="仿宋" w:eastAsia="仿宋" w:cs="仿宋"/>
          <w:snapToGrid w:val="0"/>
          <w:color w:val="auto"/>
          <w:kern w:val="0"/>
          <w:sz w:val="24"/>
          <w:szCs w:val="24"/>
          <w:highlight w:val="none"/>
          <w:lang w:val="en-US" w:eastAsia="zh-CN"/>
        </w:rPr>
        <w:t>包括：（1）相关台账数据核实、核查方案；（2）确保漏报、投诉等问题处置、回复、满意率均达100％的方案；（3）落实专人或机构负责对</w:t>
      </w:r>
      <w:r>
        <w:rPr>
          <w:rFonts w:hint="default" w:ascii="仿宋" w:hAnsi="仿宋" w:eastAsia="仿宋" w:cs="仿宋"/>
          <w:snapToGrid w:val="0"/>
          <w:color w:val="auto"/>
          <w:kern w:val="0"/>
          <w:sz w:val="24"/>
          <w:szCs w:val="24"/>
          <w:highlight w:val="none"/>
          <w:lang w:eastAsia="zh-CN"/>
        </w:rPr>
        <w:t>误时点管理人员</w:t>
      </w:r>
      <w:r>
        <w:rPr>
          <w:rFonts w:hint="eastAsia" w:ascii="仿宋" w:hAnsi="仿宋" w:eastAsia="仿宋" w:cs="仿宋"/>
          <w:snapToGrid w:val="0"/>
          <w:color w:val="auto"/>
          <w:kern w:val="0"/>
          <w:sz w:val="24"/>
          <w:szCs w:val="24"/>
          <w:highlight w:val="none"/>
          <w:lang w:val="en-US" w:eastAsia="zh-CN"/>
        </w:rPr>
        <w:t>上岗实行实时监控且建立管理体系</w:t>
      </w:r>
      <w:r>
        <w:rPr>
          <w:rStyle w:val="214"/>
          <w:rFonts w:hint="eastAsia" w:ascii="仿宋" w:hAnsi="仿宋" w:eastAsia="仿宋" w:cs="仿宋"/>
          <w:color w:val="auto"/>
          <w:kern w:val="0"/>
          <w:sz w:val="24"/>
          <w:szCs w:val="24"/>
          <w:highlight w:val="none"/>
        </w:rPr>
        <w:t>的</w:t>
      </w:r>
      <w:r>
        <w:rPr>
          <w:rStyle w:val="214"/>
          <w:rFonts w:hint="eastAsia" w:ascii="仿宋" w:hAnsi="仿宋" w:eastAsia="仿宋" w:cs="仿宋"/>
          <w:color w:val="auto"/>
          <w:kern w:val="0"/>
          <w:sz w:val="24"/>
          <w:szCs w:val="24"/>
          <w:highlight w:val="none"/>
          <w:lang w:val="en-US" w:eastAsia="zh-CN"/>
        </w:rPr>
        <w:t>方案</w:t>
      </w:r>
      <w:r>
        <w:rPr>
          <w:rFonts w:hint="eastAsia" w:ascii="仿宋" w:hAnsi="仿宋" w:eastAsia="仿宋" w:cs="仿宋"/>
          <w:snapToGrid w:val="0"/>
          <w:color w:val="auto"/>
          <w:kern w:val="0"/>
          <w:sz w:val="24"/>
          <w:szCs w:val="24"/>
          <w:highlight w:val="none"/>
          <w:lang w:val="en-US" w:eastAsia="zh-CN"/>
        </w:rPr>
        <w:t>；（4）</w:t>
      </w:r>
      <w:r>
        <w:rPr>
          <w:rStyle w:val="214"/>
          <w:rFonts w:hint="eastAsia" w:ascii="仿宋" w:hAnsi="仿宋" w:eastAsia="仿宋" w:cs="仿宋"/>
          <w:color w:val="auto"/>
          <w:kern w:val="0"/>
          <w:sz w:val="24"/>
          <w:szCs w:val="24"/>
          <w:highlight w:val="none"/>
          <w:lang w:val="en-US" w:eastAsia="zh-CN"/>
        </w:rPr>
        <w:t>预防触碰高压线的方案</w:t>
      </w:r>
      <w:r>
        <w:rPr>
          <w:rFonts w:hint="eastAsia" w:ascii="仿宋" w:hAnsi="仿宋" w:eastAsia="仿宋" w:cs="仿宋"/>
          <w:snapToGrid w:val="0"/>
          <w:color w:val="auto"/>
          <w:kern w:val="0"/>
          <w:sz w:val="24"/>
          <w:szCs w:val="24"/>
          <w:highlight w:val="none"/>
          <w:lang w:val="en-US" w:eastAsia="zh-CN"/>
        </w:rPr>
        <w:t>（杜绝虚假信息、“吃拿卡要”、有责纠纷事件发生等违规情形发生）；（5）确保宣传活动和入户宣传宣教效果的方案。</w:t>
      </w:r>
    </w:p>
    <w:p>
      <w:pPr>
        <w:pStyle w:val="4"/>
        <w:spacing w:before="120" w:after="120" w:line="360" w:lineRule="auto"/>
        <w:rPr>
          <w:rFonts w:hint="eastAsia" w:ascii="仿宋" w:hAnsi="仿宋" w:eastAsia="仿宋" w:cs="仿宋"/>
          <w:color w:val="auto"/>
          <w:sz w:val="24"/>
          <w:szCs w:val="24"/>
          <w:highlight w:val="none"/>
        </w:rPr>
      </w:pPr>
      <w:bookmarkStart w:id="62" w:name="_Toc6790"/>
      <w:bookmarkStart w:id="63" w:name="_Toc781"/>
      <w:r>
        <w:rPr>
          <w:rFonts w:hint="eastAsia" w:ascii="仿宋" w:hAnsi="仿宋" w:eastAsia="仿宋" w:cs="仿宋"/>
          <w:b/>
          <w:bCs/>
          <w:color w:val="auto"/>
          <w:sz w:val="24"/>
          <w:highlight w:val="none"/>
          <w:lang w:val="en-US" w:eastAsia="zh-CN"/>
        </w:rPr>
        <w:t>四．</w:t>
      </w:r>
      <w:bookmarkStart w:id="64" w:name="_Toc32406"/>
      <w:bookmarkStart w:id="65" w:name="_Toc13449"/>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w:t>
      </w:r>
      <w:bookmarkEnd w:id="62"/>
      <w:bookmarkEnd w:id="63"/>
      <w:bookmarkEnd w:id="64"/>
      <w:bookmarkEnd w:id="65"/>
    </w:p>
    <w:p>
      <w:pPr>
        <w:pStyle w:val="18"/>
        <w:adjustRightInd w:val="0"/>
        <w:snapToGrid w:val="0"/>
        <w:spacing w:after="0"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1、本项</w:t>
      </w:r>
      <w:r>
        <w:rPr>
          <w:rFonts w:hint="eastAsia" w:ascii="仿宋" w:hAnsi="仿宋" w:eastAsia="仿宋" w:cs="仿宋"/>
          <w:snapToGrid w:val="0"/>
          <w:color w:val="auto"/>
          <w:kern w:val="0"/>
          <w:sz w:val="24"/>
          <w:szCs w:val="24"/>
          <w:highlight w:val="none"/>
          <w:lang w:val="en-US" w:eastAsia="zh-CN"/>
        </w:rPr>
        <w:t>目报价为总价包干方式。</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报价为完成本采购文件所述的服务项目内容指标所需的全部费用，包括各种人工费、机械使用费、管理、利润、税务费、必要的保险费用、必须的专用工具、辅助材料费及合同实施过程中不可预见的费用的总和。</w:t>
      </w:r>
    </w:p>
    <w:p>
      <w:pPr>
        <w:snapToGrid w:val="0"/>
        <w:spacing w:line="360" w:lineRule="auto"/>
        <w:ind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2、因</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员数量</w:t>
      </w:r>
      <w:r>
        <w:rPr>
          <w:rFonts w:hint="eastAsia" w:ascii="仿宋" w:hAnsi="仿宋" w:eastAsia="仿宋" w:cs="仿宋"/>
          <w:snapToGrid w:val="0"/>
          <w:color w:val="auto"/>
          <w:kern w:val="0"/>
          <w:sz w:val="24"/>
          <w:szCs w:val="24"/>
          <w:highlight w:val="none"/>
          <w:lang w:val="en-US" w:eastAsia="zh-CN"/>
        </w:rPr>
        <w:t>及安排随时间不同要求不一样，本项目总价为两年服务期总价，请按两年服务期的服务内容及内容统一考虑。</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3、供应商报价低于项目预算50%的，应当在报价文件中详细阐述不影响服务质量或者诚信履约的具体理由。</w:t>
      </w:r>
    </w:p>
    <w:p>
      <w:pPr>
        <w:pStyle w:val="18"/>
        <w:adjustRightInd w:val="0"/>
        <w:snapToGrid w:val="0"/>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（二）履约担保</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562"/>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后7个工作日内，中标人应以支票、汇票、本票或者金融机构、担保机构出具的保函等非现金形式，提交合同价1%的履约保证金。履约保证金待项目验收合格后无息退还（如有违约内容，则扣除相应违约款项后，无息退还）。</w:t>
      </w:r>
    </w:p>
    <w:p>
      <w:pPr>
        <w:pStyle w:val="18"/>
        <w:adjustRightInd w:val="0"/>
        <w:snapToGrid w:val="0"/>
        <w:spacing w:after="0" w:line="360" w:lineRule="auto"/>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（三）合同款支付</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按月考核，按季支付</w:t>
      </w:r>
      <w:r>
        <w:rPr>
          <w:rFonts w:hint="eastAsia" w:ascii="仿宋" w:hAnsi="仿宋" w:eastAsia="仿宋" w:cs="仿宋"/>
          <w:snapToGrid w:val="0"/>
          <w:color w:val="auto"/>
          <w:kern w:val="0"/>
          <w:sz w:val="24"/>
          <w:szCs w:val="24"/>
          <w:highlight w:val="none"/>
          <w:lang w:eastAsia="zh-CN"/>
        </w:rPr>
        <w:t>。</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第一年度：合同生效且具备实施条件后</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个工作日内</w:t>
      </w:r>
      <w:r>
        <w:rPr>
          <w:rFonts w:hint="eastAsia" w:ascii="仿宋" w:hAnsi="仿宋" w:eastAsia="仿宋" w:cs="仿宋"/>
          <w:snapToGrid w:val="0"/>
          <w:color w:val="auto"/>
          <w:kern w:val="0"/>
          <w:sz w:val="24"/>
          <w:szCs w:val="24"/>
          <w:highlight w:val="none"/>
          <w:lang w:val="en-US" w:eastAsia="zh-CN"/>
        </w:rPr>
        <w:t>，支付第一年或当年</w:t>
      </w:r>
      <w:r>
        <w:rPr>
          <w:rFonts w:hint="eastAsia" w:ascii="仿宋" w:hAnsi="仿宋" w:eastAsia="仿宋" w:cs="仿宋"/>
          <w:snapToGrid w:val="0"/>
          <w:color w:val="auto"/>
          <w:kern w:val="0"/>
          <w:sz w:val="24"/>
          <w:szCs w:val="24"/>
          <w:highlight w:val="none"/>
          <w:lang w:eastAsia="zh-CN"/>
        </w:rPr>
        <w:t>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，合同第一、二季度款项抵扣预付款，后续季度款项按照年度基价25％经考核后在每季度结束后30天内支付，第一二季度考核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r>
        <w:rPr>
          <w:rFonts w:hint="eastAsia" w:ascii="仿宋" w:hAnsi="仿宋" w:eastAsia="仿宋" w:cs="仿宋"/>
          <w:snapToGrid w:val="0"/>
          <w:color w:val="auto"/>
          <w:kern w:val="0"/>
          <w:sz w:val="24"/>
          <w:szCs w:val="24"/>
          <w:highlight w:val="none"/>
          <w:lang w:eastAsia="zh-CN"/>
        </w:rPr>
        <w:t>。</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第二年度：</w:t>
      </w:r>
      <w:r>
        <w:rPr>
          <w:rFonts w:hint="eastAsia" w:ascii="仿宋" w:hAnsi="仿宋" w:eastAsia="仿宋" w:cs="仿宋"/>
          <w:snapToGrid w:val="0"/>
          <w:color w:val="auto"/>
          <w:kern w:val="0"/>
          <w:sz w:val="24"/>
          <w:szCs w:val="24"/>
          <w:highlight w:val="none"/>
          <w:lang w:val="en-US" w:eastAsia="zh-CN"/>
        </w:rPr>
        <w:t>第二年服务期开始且具备实施条件后5个工作日内，支付第二年或当年</w:t>
      </w:r>
      <w:r>
        <w:rPr>
          <w:rFonts w:hint="eastAsia" w:ascii="仿宋" w:hAnsi="仿宋" w:eastAsia="仿宋" w:cs="仿宋"/>
          <w:snapToGrid w:val="0"/>
          <w:color w:val="auto"/>
          <w:kern w:val="0"/>
          <w:sz w:val="24"/>
          <w:szCs w:val="24"/>
          <w:highlight w:val="none"/>
          <w:lang w:eastAsia="zh-CN"/>
        </w:rPr>
        <w:t>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，合同第一、二季度款项抵扣预付款，后续季度款项按照年度基价25％经考核后在每季度结束后30天内支付，第一二季度考核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r>
        <w:rPr>
          <w:rFonts w:hint="eastAsia" w:ascii="仿宋" w:hAnsi="仿宋" w:eastAsia="仿宋" w:cs="仿宋"/>
          <w:snapToGrid w:val="0"/>
          <w:color w:val="auto"/>
          <w:kern w:val="0"/>
          <w:sz w:val="24"/>
          <w:szCs w:val="24"/>
          <w:highlight w:val="none"/>
          <w:lang w:eastAsia="zh-CN"/>
        </w:rPr>
        <w:t>。</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4、采购人</w:t>
      </w:r>
      <w:r>
        <w:rPr>
          <w:rFonts w:hint="eastAsia" w:ascii="仿宋" w:hAnsi="仿宋" w:eastAsia="仿宋" w:cs="仿宋"/>
          <w:snapToGrid w:val="0"/>
          <w:color w:val="auto"/>
          <w:kern w:val="0"/>
          <w:sz w:val="24"/>
          <w:szCs w:val="24"/>
          <w:highlight w:val="none"/>
        </w:rPr>
        <w:t>每次付款前，</w:t>
      </w:r>
      <w:r>
        <w:rPr>
          <w:rFonts w:hint="eastAsia" w:ascii="仿宋" w:hAnsi="仿宋" w:eastAsia="仿宋" w:cs="仿宋"/>
          <w:snapToGrid w:val="0"/>
          <w:color w:val="auto"/>
          <w:kern w:val="0"/>
          <w:sz w:val="24"/>
          <w:szCs w:val="24"/>
          <w:highlight w:val="none"/>
          <w:lang w:val="en-US" w:eastAsia="zh-CN"/>
        </w:rPr>
        <w:t>中标人</w:t>
      </w:r>
      <w:r>
        <w:rPr>
          <w:rFonts w:hint="eastAsia" w:ascii="仿宋" w:hAnsi="仿宋" w:eastAsia="仿宋" w:cs="仿宋"/>
          <w:snapToGrid w:val="0"/>
          <w:color w:val="auto"/>
          <w:kern w:val="0"/>
          <w:sz w:val="24"/>
          <w:szCs w:val="24"/>
          <w:highlight w:val="none"/>
        </w:rPr>
        <w:t>应向</w:t>
      </w:r>
      <w:r>
        <w:rPr>
          <w:rFonts w:hint="eastAsia" w:ascii="仿宋" w:hAnsi="仿宋" w:eastAsia="仿宋" w:cs="仿宋"/>
          <w:snapToGrid w:val="0"/>
          <w:color w:val="auto"/>
          <w:kern w:val="0"/>
          <w:sz w:val="24"/>
          <w:szCs w:val="24"/>
          <w:highlight w:val="none"/>
          <w:lang w:val="en-US" w:eastAsia="zh-CN"/>
        </w:rPr>
        <w:t>采购人</w:t>
      </w:r>
      <w:r>
        <w:rPr>
          <w:rFonts w:hint="eastAsia" w:ascii="仿宋" w:hAnsi="仿宋" w:eastAsia="仿宋" w:cs="仿宋"/>
          <w:snapToGrid w:val="0"/>
          <w:color w:val="auto"/>
          <w:kern w:val="0"/>
          <w:sz w:val="24"/>
          <w:szCs w:val="24"/>
          <w:highlight w:val="none"/>
        </w:rPr>
        <w:t>开具等额有效的增值税发票，</w:t>
      </w:r>
      <w:r>
        <w:rPr>
          <w:rFonts w:hint="eastAsia" w:ascii="仿宋" w:hAnsi="仿宋" w:eastAsia="仿宋" w:cs="仿宋"/>
          <w:snapToGrid w:val="0"/>
          <w:color w:val="auto"/>
          <w:kern w:val="0"/>
          <w:sz w:val="24"/>
          <w:szCs w:val="24"/>
          <w:highlight w:val="none"/>
          <w:lang w:val="en-US" w:eastAsia="zh-CN"/>
        </w:rPr>
        <w:t>采购人</w:t>
      </w:r>
      <w:r>
        <w:rPr>
          <w:rFonts w:hint="eastAsia" w:ascii="仿宋" w:hAnsi="仿宋" w:eastAsia="仿宋" w:cs="仿宋"/>
          <w:snapToGrid w:val="0"/>
          <w:color w:val="auto"/>
          <w:kern w:val="0"/>
          <w:sz w:val="24"/>
          <w:szCs w:val="24"/>
          <w:highlight w:val="none"/>
        </w:rPr>
        <w:t>未收到发票的，有权不予支付相应款项直至</w:t>
      </w:r>
      <w:r>
        <w:rPr>
          <w:rFonts w:hint="eastAsia" w:ascii="仿宋" w:hAnsi="仿宋" w:eastAsia="仿宋" w:cs="仿宋"/>
          <w:snapToGrid w:val="0"/>
          <w:color w:val="auto"/>
          <w:kern w:val="0"/>
          <w:sz w:val="24"/>
          <w:szCs w:val="24"/>
          <w:highlight w:val="none"/>
          <w:lang w:val="en-US" w:eastAsia="zh-CN"/>
        </w:rPr>
        <w:t>中标人</w:t>
      </w:r>
      <w:r>
        <w:rPr>
          <w:rFonts w:hint="eastAsia" w:ascii="仿宋" w:hAnsi="仿宋" w:eastAsia="仿宋" w:cs="仿宋"/>
          <w:snapToGrid w:val="0"/>
          <w:color w:val="auto"/>
          <w:kern w:val="0"/>
          <w:sz w:val="24"/>
          <w:szCs w:val="24"/>
          <w:highlight w:val="none"/>
        </w:rPr>
        <w:t>提供合格发票，并不承担延迟付款责任。发票认证通过是付款的必要前提之一。</w:t>
      </w:r>
    </w:p>
    <w:p>
      <w:pPr>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在签订合同时，</w:t>
      </w:r>
      <w:r>
        <w:rPr>
          <w:rFonts w:hint="eastAsia" w:ascii="仿宋" w:hAnsi="仿宋" w:eastAsia="仿宋" w:cs="仿宋"/>
          <w:snapToGrid w:val="0"/>
          <w:color w:val="auto"/>
          <w:kern w:val="0"/>
          <w:sz w:val="24"/>
          <w:szCs w:val="24"/>
          <w:highlight w:val="none"/>
          <w:lang w:val="en-US" w:eastAsia="zh-CN"/>
        </w:rPr>
        <w:t>中标人</w:t>
      </w:r>
      <w:r>
        <w:rPr>
          <w:rFonts w:hint="eastAsia" w:ascii="仿宋" w:hAnsi="仿宋" w:eastAsia="仿宋" w:cs="仿宋"/>
          <w:snapToGrid w:val="0"/>
          <w:color w:val="auto"/>
          <w:kern w:val="0"/>
          <w:sz w:val="24"/>
          <w:szCs w:val="24"/>
          <w:highlight w:val="none"/>
        </w:rPr>
        <w:t>明确表示无需预付款或者主动要求降低预付款比例的，可不适用前述</w:t>
      </w:r>
      <w:r>
        <w:rPr>
          <w:rFonts w:hint="eastAsia" w:ascii="仿宋" w:hAnsi="仿宋" w:eastAsia="仿宋" w:cs="仿宋"/>
          <w:snapToGrid w:val="0"/>
          <w:color w:val="auto"/>
          <w:kern w:val="0"/>
          <w:sz w:val="24"/>
          <w:szCs w:val="24"/>
          <w:highlight w:val="none"/>
          <w:lang w:val="en-US" w:eastAsia="zh-CN"/>
        </w:rPr>
        <w:t>预付款</w:t>
      </w:r>
      <w:r>
        <w:rPr>
          <w:rFonts w:hint="eastAsia" w:ascii="仿宋" w:hAnsi="仿宋" w:eastAsia="仿宋" w:cs="仿宋"/>
          <w:snapToGrid w:val="0"/>
          <w:color w:val="auto"/>
          <w:kern w:val="0"/>
          <w:sz w:val="24"/>
          <w:szCs w:val="24"/>
          <w:highlight w:val="none"/>
        </w:rPr>
        <w:t>规定</w:t>
      </w:r>
      <w:r>
        <w:rPr>
          <w:rFonts w:hint="eastAsia" w:ascii="仿宋" w:hAnsi="仿宋" w:eastAsia="仿宋" w:cs="仿宋"/>
          <w:snapToGrid w:val="0"/>
          <w:color w:val="auto"/>
          <w:kern w:val="0"/>
          <w:sz w:val="24"/>
          <w:szCs w:val="24"/>
          <w:highlight w:val="none"/>
          <w:lang w:eastAsia="zh-CN"/>
        </w:rPr>
        <w:t>）</w:t>
      </w:r>
    </w:p>
    <w:p>
      <w:pPr>
        <w:pStyle w:val="18"/>
        <w:adjustRightInd w:val="0"/>
        <w:snapToGrid w:val="0"/>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（四）验收</w:t>
      </w:r>
    </w:p>
    <w:p>
      <w:pPr>
        <w:pStyle w:val="18"/>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1、本项目进行履约验收，验收合格报告作为项目支付的依据。</w:t>
      </w:r>
    </w:p>
    <w:p>
      <w:pPr>
        <w:pStyle w:val="18"/>
        <w:adjustRightInd w:val="0"/>
        <w:snapToGrid w:val="0"/>
        <w:spacing w:after="0" w:line="360" w:lineRule="auto"/>
        <w:ind w:firstLine="480" w:firstLineChars="200"/>
        <w:rPr>
          <w:rFonts w:hint="eastAsia"/>
          <w:color w:val="auto"/>
          <w:highlight w:val="none"/>
          <w:lang w:val="en-US" w:eastAsia="zh-CN"/>
        </w:rPr>
      </w:pPr>
      <w:r>
        <w:rPr>
          <w:rFonts w:hint="eastAsia" w:ascii="仿宋" w:hAnsi="仿宋" w:eastAsia="仿宋" w:cs="仿宋"/>
          <w:color w:val="auto"/>
          <w:sz w:val="24"/>
          <w:highlight w:val="none"/>
        </w:rPr>
        <w:t xml:space="preserve">2、验收依据：①采购文件确定的技术指标或者服务要求；②响应文件承诺、询标回复；③服务合同、甲方制定的考核标准。未进行相应约定的，应当符合国家强制性规定、政策要求、安全标准、行业或企业有关标准等。  </w:t>
      </w:r>
    </w:p>
    <w:p>
      <w:pPr>
        <w:pStyle w:val="4"/>
        <w:spacing w:before="120" w:after="120"/>
        <w:rPr>
          <w:rFonts w:hint="eastAsia" w:ascii="仿宋" w:hAnsi="仿宋" w:eastAsia="仿宋" w:cs="仿宋"/>
          <w:b/>
          <w:bCs/>
          <w:color w:val="auto"/>
          <w:sz w:val="24"/>
          <w:szCs w:val="24"/>
          <w:highlight w:val="none"/>
          <w:lang w:val="en-US" w:eastAsia="zh-CN"/>
        </w:rPr>
      </w:pPr>
      <w:bookmarkStart w:id="66" w:name="_Toc19627"/>
      <w:bookmarkStart w:id="67" w:name="_Toc7869"/>
      <w:bookmarkStart w:id="68" w:name="_Toc22098"/>
      <w:bookmarkStart w:id="69" w:name="_Toc2988"/>
      <w:r>
        <w:rPr>
          <w:rFonts w:hint="eastAsia" w:ascii="仿宋" w:hAnsi="仿宋" w:eastAsia="仿宋" w:cs="仿宋"/>
          <w:b/>
          <w:bCs/>
          <w:color w:val="auto"/>
          <w:sz w:val="24"/>
          <w:szCs w:val="24"/>
          <w:highlight w:val="none"/>
          <w:lang w:val="en-US" w:eastAsia="zh-CN"/>
        </w:rPr>
        <w:t>五、投标要求</w:t>
      </w:r>
      <w:bookmarkEnd w:id="66"/>
      <w:bookmarkEnd w:id="67"/>
      <w:bookmarkEnd w:id="68"/>
      <w:bookmarkEnd w:id="69"/>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（一）对投标人的要求</w:t>
      </w:r>
    </w:p>
    <w:p>
      <w:pPr>
        <w:adjustRightInd w:val="0"/>
        <w:snapToGrid w:val="0"/>
        <w:spacing w:line="360" w:lineRule="auto"/>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1、投标人需具有有效的质量管理体系论证、环境管理体系论证、职业健康体系论证。上述认证证书在全国认证认可信息公共服务平台查询状态为有效，且认证范围应包含与本项目相关的垃圾分类内容。</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2、投标人2020年1月1日以来应具有类似项目经验。类似项目系指与垃圾分类相关的第三方服务业绩经验，不限地域、行业及规模，以合同签订时间为准。</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投标时对服务相关方案的要求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bCs/>
          <w:color w:val="auto"/>
          <w:sz w:val="24"/>
          <w:highlight w:val="none"/>
          <w:lang w:val="en-US" w:eastAsia="zh-CN"/>
        </w:rPr>
        <w:t>投标人应通过</w:t>
      </w:r>
      <w:r>
        <w:rPr>
          <w:rFonts w:hint="eastAsia" w:ascii="仿宋" w:hAnsi="仿宋" w:eastAsia="仿宋" w:cs="仿宋"/>
          <w:color w:val="auto"/>
          <w:kern w:val="0"/>
          <w:sz w:val="24"/>
          <w:highlight w:val="none"/>
          <w:lang w:val="en-US" w:eastAsia="zh-CN"/>
        </w:rPr>
        <w:t>自行现场踏勘、资料搜集等各种手段，针对“工作内容”的具体内容及要求提供工作方案，同时对项目开展进行重难点分析，并提供整治措施、合理化建议，为采购人提供参考。</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2、服务方案应考虑如下内容：</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（1）根据采购需求提供符合要求的人员配置方案；（2）</w:t>
      </w:r>
      <w:r>
        <w:rPr>
          <w:rFonts w:hint="eastAsia" w:ascii="仿宋" w:hAnsi="仿宋" w:eastAsia="仿宋" w:cs="仿宋"/>
          <w:color w:val="auto"/>
          <w:sz w:val="24"/>
          <w:highlight w:val="none"/>
          <w:lang w:val="en-US" w:eastAsia="zh-CN"/>
        </w:rPr>
        <w:t>人员的招录、建档、劳务管理等方案</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lang w:val="en-US" w:eastAsia="zh-CN"/>
        </w:rPr>
        <w:t>人员的培训方案</w:t>
      </w: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lang w:val="en-US" w:eastAsia="zh-CN"/>
        </w:rPr>
        <w:t>人员的日常管理等方案；（5）满足考核要求的方案。</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3、保障相关方案应考虑如下内容：</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诉、纠纷的妥善处理及应急预案；（2）车辆、服装等装备保障；（3）响应时间的保障；（4）针对突发情况（包含恶劣天气影响、自然灾害及政府性重大活动，重大节假日等特殊情况制定应急处置方案等）的处理方案；（5）工作职责保障方案。</w:t>
      </w:r>
    </w:p>
    <w:p>
      <w:pPr>
        <w:pStyle w:val="4"/>
        <w:spacing w:before="120" w:after="120" w:line="360" w:lineRule="auto"/>
        <w:rPr>
          <w:rFonts w:hint="eastAsia" w:ascii="仿宋" w:hAnsi="仿宋" w:eastAsia="仿宋" w:cs="仿宋"/>
          <w:b/>
          <w:bCs/>
          <w:color w:val="auto"/>
          <w:sz w:val="24"/>
          <w:szCs w:val="24"/>
          <w:highlight w:val="none"/>
          <w:lang w:val="en-US" w:eastAsia="zh-CN"/>
        </w:rPr>
      </w:pPr>
      <w:bookmarkStart w:id="70" w:name="_Toc5760"/>
      <w:bookmarkStart w:id="71" w:name="_Toc26863"/>
      <w:bookmarkStart w:id="72" w:name="_Toc5721"/>
      <w:bookmarkStart w:id="73" w:name="_Toc20578"/>
      <w:r>
        <w:rPr>
          <w:rFonts w:hint="eastAsia" w:ascii="仿宋" w:hAnsi="仿宋" w:eastAsia="仿宋" w:cs="仿宋"/>
          <w:b/>
          <w:bCs/>
          <w:color w:val="auto"/>
          <w:sz w:val="24"/>
          <w:szCs w:val="24"/>
          <w:highlight w:val="none"/>
          <w:lang w:val="en-US" w:eastAsia="zh-CN"/>
        </w:rPr>
        <w:t>六、其他</w:t>
      </w:r>
      <w:bookmarkEnd w:id="70"/>
      <w:bookmarkEnd w:id="71"/>
      <w:bookmarkEnd w:id="72"/>
      <w:bookmarkEnd w:id="73"/>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（1）投标人不得将本合同范围的服务转包由其他单位承担；也不得未经采购人同意擅自将部分内容分包给其他单位承担；如有违反以上情形，采购人有权解除合同，并追究中标人的违约责任。 </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pPr>
        <w:adjustRightInd w:val="0"/>
        <w:snapToGrid w:val="0"/>
        <w:spacing w:line="360" w:lineRule="auto"/>
        <w:ind w:firstLine="480" w:firstLineChars="200"/>
        <w:rPr>
          <w:rFonts w:ascii="仿宋" w:hAnsi="仿宋" w:eastAsia="仿宋" w:cs="仿宋"/>
          <w:bCs/>
          <w:color w:val="auto"/>
          <w:highlight w:val="none"/>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pPr>
        <w:pStyle w:val="2"/>
        <w:rPr>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p>
    <w:bookmarkEnd w:id="48"/>
    <w:bookmarkEnd w:id="49"/>
    <w:bookmarkEnd w:id="50"/>
    <w:bookmarkEnd w:id="51"/>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74" w:name="_Toc649"/>
      <w:bookmarkStart w:id="75" w:name="_Toc14349"/>
      <w:r>
        <w:rPr>
          <w:rFonts w:hint="eastAsia" w:ascii="仿宋" w:hAnsi="仿宋" w:eastAsia="仿宋" w:cs="仿宋"/>
          <w:b/>
          <w:color w:val="auto"/>
          <w:sz w:val="30"/>
          <w:szCs w:val="30"/>
          <w:highlight w:val="none"/>
        </w:rPr>
        <w:t>第四部分  评标办法</w:t>
      </w:r>
      <w:bookmarkEnd w:id="74"/>
      <w:bookmarkEnd w:id="75"/>
    </w:p>
    <w:p>
      <w:pPr>
        <w:pStyle w:val="4"/>
        <w:snapToGrid w:val="0"/>
        <w:spacing w:before="120" w:beforeLines="50" w:after="120" w:afterLines="50" w:line="360" w:lineRule="auto"/>
        <w:rPr>
          <w:rFonts w:hint="eastAsia" w:ascii="仿宋" w:hAnsi="仿宋" w:eastAsia="仿宋" w:cs="仿宋"/>
          <w:color w:val="auto"/>
          <w:sz w:val="24"/>
          <w:szCs w:val="24"/>
          <w:highlight w:val="none"/>
        </w:rPr>
      </w:pPr>
      <w:bookmarkStart w:id="76" w:name="_Toc16598"/>
      <w:bookmarkStart w:id="77" w:name="_Toc22339"/>
      <w:r>
        <w:rPr>
          <w:rFonts w:hint="eastAsia" w:ascii="仿宋" w:hAnsi="仿宋" w:eastAsia="仿宋" w:cs="仿宋"/>
          <w:color w:val="auto"/>
          <w:sz w:val="24"/>
          <w:szCs w:val="24"/>
          <w:highlight w:val="none"/>
        </w:rPr>
        <w:t>评标办法前附表</w:t>
      </w:r>
      <w:bookmarkEnd w:id="76"/>
      <w:bookmarkEnd w:id="77"/>
    </w:p>
    <w:p>
      <w:pPr>
        <w:pageBreakBefore w:val="0"/>
        <w:widowControl w:val="0"/>
        <w:kinsoku/>
        <w:wordWrap/>
        <w:overflowPunct/>
        <w:topLinePunct w:val="0"/>
        <w:autoSpaceDE/>
        <w:autoSpaceDN/>
        <w:bidi w:val="0"/>
        <w:snapToGrid/>
        <w:textAlignment w:val="auto"/>
        <w:outlineLvl w:val="9"/>
      </w:pPr>
    </w:p>
    <w:p>
      <w:pPr>
        <w:pStyle w:val="2"/>
      </w:pPr>
    </w:p>
    <w:tbl>
      <w:tblPr>
        <w:tblStyle w:val="4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7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主观分/客观分属性</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投标人资信能力评价</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w:t>
            </w:r>
            <w:r>
              <w:rPr>
                <w:rStyle w:val="214"/>
                <w:rFonts w:hint="eastAsia" w:ascii="仿宋" w:hAnsi="仿宋" w:eastAsia="仿宋" w:cs="仿宋"/>
                <w:color w:val="auto"/>
                <w:kern w:val="0"/>
                <w:sz w:val="24"/>
                <w:szCs w:val="24"/>
                <w:highlight w:val="none"/>
                <w:lang w:val="en-US" w:eastAsia="zh-CN" w:bidi="ar-SA"/>
              </w:rPr>
              <w:t>2020年1月1日（按合同签订时间为准）以来，具有类似项目成功经验的，每一个得0.25分。最高得1分</w:t>
            </w:r>
            <w:r>
              <w:rPr>
                <w:rFonts w:hint="eastAsia" w:ascii="仿宋" w:hAnsi="仿宋" w:eastAsia="仿宋" w:cs="仿宋"/>
                <w:color w:val="auto"/>
                <w:sz w:val="24"/>
                <w:highlight w:val="none"/>
              </w:rPr>
              <w:t>；</w:t>
            </w:r>
          </w:p>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说明：</w:t>
            </w:r>
            <w:r>
              <w:rPr>
                <w:rStyle w:val="214"/>
                <w:rFonts w:hint="eastAsia" w:ascii="仿宋" w:hAnsi="仿宋" w:eastAsia="仿宋" w:cs="仿宋"/>
                <w:color w:val="auto"/>
                <w:kern w:val="0"/>
                <w:sz w:val="24"/>
                <w:szCs w:val="24"/>
                <w:highlight w:val="none"/>
                <w:lang w:val="en-US" w:eastAsia="zh-CN" w:bidi="ar-SA"/>
              </w:rPr>
              <w:t>①不限特定行业、特定区域、特定金额；②类似项目系指与垃圾分类相关的第三方服务业绩经验；③业绩证明材料需同时提供合同及履约评价（复印件或扫描件加盖公章）</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具有有效的质量体系认证，环境体系认证，职业健康安全管理体系认证证书的，每个得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说明：提供证书复印件或扫描件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证书在全国认证认可信息公共服务平台查询状态为有效</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针对本项目的</w:t>
            </w:r>
            <w:r>
              <w:rPr>
                <w:rFonts w:hint="eastAsia" w:ascii="仿宋" w:hAnsi="仿宋" w:eastAsia="仿宋" w:cs="仿宋"/>
                <w:color w:val="auto"/>
                <w:sz w:val="24"/>
                <w:highlight w:val="none"/>
                <w:lang w:val="en-US" w:eastAsia="zh-CN"/>
              </w:rPr>
              <w:t>工作内容，</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工作方案、重难点分析</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工作内容的具体内容及要求提供工作方案，确保工作及时且到位。根据方案的完整性、可行性、项目匹配性进行打分。完整性、可行性、项目匹配性好得5分；完整性、可行性、项目匹配性较好得4分；完整性、可行性、项目匹配性一般得3分；存在较大欠缺得2分；有方案但可操作性不佳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项目开展进行重难点分析，并提供整治措施、合理化建议。重难点分析针对性好，整治措施、合理化建议效果好、可落实性及项目匹配性好得5分；重难点分析针对性较好，整治措施、合理化建议效果较好、可落实性及项目匹配性较好得4分；重难点分析针对性一般，整治措施、合理化建议效果一般、可落实性及项目匹配性一般得3分；有较大欠缺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服务相关要求响应情况</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项目管理团队情况。该部分人员应提供人员清单（含人员姓名、身份证号码），及投标人为其缴纳的、距投标截止时间3个月任意时间的社保证明。否则评审时不予认可。</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（1）项目管理团队成员具有本科及以上文化水平，提供学历证书的复印件或扫描件。每人得1分，最多3分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（2）项目管理团队成员具有至少5年的垃圾分类相关项目管理或参与经验，提供自2018年1月1日以来合同证明（合同中无法体现人员的，可提供该合同甲方盖章的第三方证明作为辅助证明）。每人得2分，最多6分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p>
        </w:tc>
        <w:tc>
          <w:tcPr>
            <w:tcW w:w="5797" w:type="dxa"/>
            <w:noWrap w:val="0"/>
            <w:vAlign w:val="center"/>
          </w:tcPr>
          <w:p>
            <w:pPr>
              <w:keepNext w:val="0"/>
              <w:keepLines w:val="0"/>
              <w:widowControl/>
              <w:suppressLineNumbers w:val="0"/>
              <w:jc w:val="left"/>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eastAsia="zh-CN"/>
              </w:rPr>
              <w:t>误时点管理人员</w:t>
            </w:r>
            <w:r>
              <w:rPr>
                <w:rFonts w:hint="eastAsia" w:ascii="仿宋" w:hAnsi="仿宋" w:eastAsia="仿宋" w:cs="仿宋"/>
                <w:color w:val="auto"/>
                <w:sz w:val="24"/>
                <w:highlight w:val="none"/>
                <w:lang w:val="en-US" w:eastAsia="zh-CN"/>
              </w:rPr>
              <w:t>情况。承诺按招标文件“第三部分 采购需求”“三、服务相关要求”中，“（二）</w:t>
            </w:r>
            <w:r>
              <w:rPr>
                <w:rFonts w:hint="default" w:ascii="仿宋" w:hAnsi="仿宋" w:eastAsia="仿宋" w:cs="仿宋"/>
                <w:color w:val="auto"/>
                <w:sz w:val="24"/>
                <w:highlight w:val="none"/>
                <w:lang w:eastAsia="zh-CN"/>
              </w:rPr>
              <w:t>误时点管理人员</w:t>
            </w:r>
            <w:r>
              <w:rPr>
                <w:rFonts w:hint="eastAsia" w:ascii="仿宋" w:hAnsi="仿宋" w:eastAsia="仿宋" w:cs="仿宋"/>
                <w:color w:val="auto"/>
                <w:sz w:val="24"/>
                <w:highlight w:val="none"/>
                <w:lang w:val="en-US" w:eastAsia="zh-CN"/>
              </w:rPr>
              <w:t>”的相关要求配备</w:t>
            </w:r>
            <w:r>
              <w:rPr>
                <w:rFonts w:hint="default" w:ascii="仿宋" w:hAnsi="仿宋" w:eastAsia="仿宋" w:cs="仿宋"/>
                <w:color w:val="auto"/>
                <w:sz w:val="24"/>
                <w:highlight w:val="none"/>
                <w:lang w:eastAsia="zh-CN"/>
              </w:rPr>
              <w:t>管理人员</w:t>
            </w:r>
            <w:r>
              <w:rPr>
                <w:rFonts w:hint="eastAsia" w:ascii="仿宋" w:hAnsi="仿宋" w:eastAsia="仿宋" w:cs="仿宋"/>
                <w:color w:val="auto"/>
                <w:sz w:val="24"/>
                <w:highlight w:val="none"/>
                <w:lang w:val="en-US" w:eastAsia="zh-CN"/>
              </w:rPr>
              <w:t>的，得5分，未承诺或不满足的不得分。</w:t>
            </w:r>
          </w:p>
        </w:tc>
        <w:tc>
          <w:tcPr>
            <w:tcW w:w="1080" w:type="dxa"/>
            <w:noWrap w:val="0"/>
            <w:vAlign w:val="center"/>
          </w:tcPr>
          <w:p>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的招录、建档、劳务管理等方案，根据方案的完整性、可行性、项目匹配性进行打分。完整性、可行性、项目匹配性好得5分；完整性、可行性、项目匹配性较好得4分；完整性、可行性、项目匹配性一般得3分；存在较大欠缺得2分；有方案但可操作性不佳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的培训方案，根据方案的完整性、可行性、项目匹配性进行打分。完整性、可行性、项目匹配性好得5分；完整性、可行性、项目匹配性较好得4分；完整性、可行性、项目匹配性一般得3分；存在较大欠缺得2分；有方案但可操作性不佳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的日常管理方案，根据方案的完整性、可行性、项目匹配性进行打分。完整性、可行性、项目匹配性好得5分；完整性、可行性、项目匹配性较好得4分；完整性、可行性、项目匹配性一般得3分；存在较大欠缺得2分；有方案但可操作性不佳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满足考核基本要求的方案，根据方案的完整性、可行性、项目匹配性进行打分。完整性、可行性、项目匹配性好得5分；完整性、可行性、项目匹配性较好得4分；完整性、可行性、项目匹配性一般得3分；存在较大欠缺得2分；有方案但可操作性不佳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相关保障的响应情况</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诉、纠纷的妥善处理及应急预案，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承诺按采购人要求配备服装、装备、物料。满足得3分，不满足不得分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承诺一般情况下2个小时做出响应；紧急情况下，15分钟到达现场。如采购人提出要求，可根据要求增派人员。满足以上要求得3分，不满足不得分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突发情况（包含恶劣天气影响、自然灾害及政府性重大活动，重大节假日等特殊情况制定应急处置方案等）的处理方案，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工作职责保障方案</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214"/>
                <w:rFonts w:hint="eastAsia" w:ascii="仿宋" w:hAnsi="仿宋" w:eastAsia="仿宋" w:cs="仿宋"/>
                <w:color w:val="auto"/>
                <w:kern w:val="0"/>
                <w:sz w:val="24"/>
                <w:szCs w:val="24"/>
                <w:highlight w:val="none"/>
                <w:lang w:val="en-US" w:eastAsia="zh-CN" w:bidi="ar-SA"/>
              </w:rPr>
              <w:t>（1）投标人针对相关台账数据核实、核查的方案</w:t>
            </w:r>
            <w:r>
              <w:rPr>
                <w:rFonts w:hint="eastAsia" w:ascii="仿宋" w:hAnsi="仿宋" w:eastAsia="仿宋" w:cs="仿宋"/>
                <w:color w:val="auto"/>
                <w:sz w:val="24"/>
                <w:highlight w:val="none"/>
                <w:lang w:val="en-US" w:eastAsia="zh-CN"/>
              </w:rPr>
              <w:t>，根据方案的完整性、可行性、项目匹配性进行打分。完整性、可行性、项目匹配性好得4分；完整性、可行性、项目匹配性较好得3分；完整性、可行性、项目匹配性一般得2分；存在较大欠缺得1分；其余不得分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w:t>
            </w:r>
            <w:r>
              <w:rPr>
                <w:rStyle w:val="214"/>
                <w:rFonts w:hint="eastAsia" w:ascii="仿宋" w:hAnsi="仿宋" w:eastAsia="仿宋" w:cs="仿宋"/>
                <w:color w:val="auto"/>
                <w:kern w:val="0"/>
                <w:sz w:val="24"/>
                <w:szCs w:val="24"/>
                <w:highlight w:val="none"/>
              </w:rPr>
              <w:t>确保投诉等问题处置、回复、满意率均达100％的</w:t>
            </w:r>
            <w:r>
              <w:rPr>
                <w:rStyle w:val="214"/>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sz w:val="24"/>
                <w:highlight w:val="none"/>
                <w:lang w:val="en-US" w:eastAsia="zh-CN"/>
              </w:rPr>
              <w:t>，根据方案的完整性、可行性、项目匹配性进行打分。完整性、可行性、项目匹配性好得4分；完整性、可行性、项目匹配性较好得3分；完整性、可行性、项目匹配性一般得2分；存在较大欠缺得1分；其余不得分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rPr>
              <w:t>（3）落实专人或机构负责对</w:t>
            </w:r>
            <w:r>
              <w:rPr>
                <w:rFonts w:hint="default" w:ascii="仿宋" w:hAnsi="仿宋" w:eastAsia="仿宋" w:cs="仿宋"/>
                <w:snapToGrid w:val="0"/>
                <w:color w:val="auto"/>
                <w:kern w:val="0"/>
                <w:sz w:val="24"/>
                <w:szCs w:val="24"/>
                <w:highlight w:val="none"/>
                <w:lang w:eastAsia="zh-CN"/>
              </w:rPr>
              <w:t>误时点管理人员</w:t>
            </w:r>
            <w:r>
              <w:rPr>
                <w:rFonts w:hint="eastAsia" w:ascii="仿宋" w:hAnsi="仿宋" w:eastAsia="仿宋" w:cs="仿宋"/>
                <w:snapToGrid w:val="0"/>
                <w:color w:val="auto"/>
                <w:kern w:val="0"/>
                <w:sz w:val="24"/>
                <w:szCs w:val="24"/>
                <w:highlight w:val="none"/>
                <w:lang w:val="en-US" w:eastAsia="zh-CN"/>
              </w:rPr>
              <w:t>上岗实行实时监控且建立管理体系</w:t>
            </w:r>
            <w:r>
              <w:rPr>
                <w:rStyle w:val="214"/>
                <w:rFonts w:hint="eastAsia" w:ascii="仿宋" w:hAnsi="仿宋" w:eastAsia="仿宋" w:cs="仿宋"/>
                <w:color w:val="auto"/>
                <w:kern w:val="0"/>
                <w:sz w:val="24"/>
                <w:szCs w:val="24"/>
                <w:highlight w:val="none"/>
              </w:rPr>
              <w:t>的</w:t>
            </w:r>
            <w:r>
              <w:rPr>
                <w:rStyle w:val="214"/>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sz w:val="24"/>
                <w:highlight w:val="none"/>
                <w:lang w:val="en-US" w:eastAsia="zh-CN"/>
              </w:rPr>
              <w:t>，根据方案的完整性、可行性、项目匹配性进行打分。完整性、可行性、项目匹配性好得4分；完整性、可行性、项目匹配性较好得3分；完整性、可行性、项目匹配性一般得2分；存在较大欠缺得1分；其余不得分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214"/>
                <w:rFonts w:hint="eastAsia" w:ascii="仿宋" w:hAnsi="仿宋" w:eastAsia="仿宋" w:cs="仿宋"/>
                <w:color w:val="auto"/>
                <w:kern w:val="0"/>
                <w:sz w:val="24"/>
                <w:szCs w:val="24"/>
                <w:highlight w:val="none"/>
                <w:lang w:val="en-US" w:eastAsia="zh-CN"/>
              </w:rPr>
              <w:t>（4）预防触碰高压线的方案</w:t>
            </w:r>
            <w:r>
              <w:rPr>
                <w:rFonts w:hint="eastAsia" w:ascii="仿宋" w:hAnsi="仿宋" w:eastAsia="仿宋" w:cs="仿宋"/>
                <w:color w:val="auto"/>
                <w:sz w:val="24"/>
                <w:highlight w:val="none"/>
                <w:lang w:val="en-US" w:eastAsia="zh-CN"/>
              </w:rPr>
              <w:t>，根据方案的完整性、可行性、项目匹配性进行打分。完整性、可行性、项目匹配性好得4分；完整性、可行性、项目匹配性较好得3分；完整性、可行性、项目匹配性一般得2分；存在较大欠缺得1分；其余不得分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p>
        </w:tc>
        <w:tc>
          <w:tcPr>
            <w:tcW w:w="5797" w:type="dxa"/>
            <w:noWrap w:val="0"/>
            <w:vAlign w:val="center"/>
          </w:tcPr>
          <w:p>
            <w:pPr>
              <w:snapToGrid w:val="0"/>
              <w:rPr>
                <w:rStyle w:val="214"/>
                <w:rFonts w:hint="eastAsia" w:ascii="仿宋" w:hAnsi="仿宋" w:eastAsia="仿宋" w:cs="仿宋"/>
                <w:color w:val="auto"/>
                <w:kern w:val="0"/>
                <w:sz w:val="24"/>
                <w:szCs w:val="24"/>
                <w:highlight w:val="none"/>
                <w:lang w:val="en-US" w:eastAsia="zh-CN"/>
              </w:rPr>
            </w:pPr>
            <w:r>
              <w:rPr>
                <w:rStyle w:val="214"/>
                <w:rFonts w:hint="eastAsia" w:ascii="仿宋" w:hAnsi="仿宋" w:eastAsia="仿宋" w:cs="仿宋"/>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val="en-US" w:eastAsia="zh-CN"/>
              </w:rPr>
              <w:t>确保垃圾分类宣教效果的方案</w:t>
            </w:r>
            <w:r>
              <w:rPr>
                <w:rFonts w:hint="eastAsia" w:ascii="仿宋" w:hAnsi="仿宋" w:eastAsia="仿宋" w:cs="仿宋"/>
                <w:color w:val="auto"/>
                <w:sz w:val="24"/>
                <w:highlight w:val="none"/>
                <w:lang w:val="en-US" w:eastAsia="zh-CN"/>
              </w:rPr>
              <w:t>，根据方案的完整性、可行性、项目匹配性进行打分。完整性、可行性、项目匹配性好得4分；完整性、可行性、项目匹配性较好得3分；完整性、可行性、项目匹配性一般得2分；存在较大欠缺得1分；其余不得分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承诺满足采购人“商务要求”得5分，其余不得分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bl>
    <w:p>
      <w:pPr>
        <w:pageBreakBefore w:val="0"/>
        <w:widowControl w:val="0"/>
        <w:kinsoku/>
        <w:wordWrap/>
        <w:overflowPunct/>
        <w:topLinePunct w:val="0"/>
        <w:autoSpaceDE/>
        <w:autoSpaceDN/>
        <w:bidi w:val="0"/>
        <w:snapToGrid/>
        <w:textAlignment w:val="auto"/>
        <w:outlineLvl w:val="9"/>
        <w:rPr>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报价部分（权重为10）</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因落实政府采购政策需要进行价格调整的，以调整后的价格计算评标基准价和投标报价。（因专门面向中小企业，价格调整在本次项目不适用）</w:t>
      </w:r>
    </w:p>
    <w:p>
      <w:pPr>
        <w:pStyle w:val="2"/>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p>
    <w:p>
      <w:pPr>
        <w:pStyle w:val="18"/>
        <w:rPr>
          <w:rFonts w:ascii="仿宋" w:hAnsi="仿宋" w:eastAsia="仿宋" w:cs="仿宋"/>
          <w:b/>
          <w:color w:val="auto"/>
          <w:sz w:val="32"/>
          <w:highlight w:val="none"/>
        </w:rPr>
      </w:pPr>
    </w:p>
    <w:p>
      <w:pPr>
        <w:rPr>
          <w:rFonts w:ascii="仿宋" w:hAnsi="仿宋" w:eastAsia="仿宋" w:cs="仿宋"/>
          <w:b/>
          <w:color w:val="auto"/>
          <w:sz w:val="32"/>
          <w:highlight w:val="none"/>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78" w:name="_Toc9192"/>
      <w:r>
        <w:rPr>
          <w:rFonts w:hint="eastAsia" w:ascii="仿宋" w:hAnsi="仿宋" w:eastAsia="仿宋" w:cs="仿宋"/>
          <w:color w:val="auto"/>
          <w:sz w:val="24"/>
          <w:szCs w:val="24"/>
          <w:highlight w:val="none"/>
        </w:rPr>
        <w:br w:type="page"/>
      </w:r>
      <w:bookmarkEnd w:id="78"/>
      <w:bookmarkStart w:id="79" w:name="_Toc14163"/>
      <w:bookmarkStart w:id="80" w:name="_Toc5685"/>
      <w:bookmarkStart w:id="81" w:name="_Toc19686"/>
      <w:r>
        <w:rPr>
          <w:rFonts w:hint="eastAsia" w:ascii="仿宋_GB2312" w:hAnsi="仿宋" w:eastAsia="仿宋_GB2312" w:cs="仿宋_GB2312"/>
          <w:b/>
          <w:sz w:val="28"/>
          <w:szCs w:val="28"/>
          <w:highlight w:val="none"/>
        </w:rPr>
        <w:t>评标方法</w:t>
      </w:r>
      <w:bookmarkEnd w:id="79"/>
      <w:bookmarkEnd w:id="80"/>
      <w:bookmarkEnd w:id="81"/>
    </w:p>
    <w:p>
      <w:pPr>
        <w:numPr>
          <w:ilvl w:val="0"/>
          <w:numId w:val="5"/>
        </w:numPr>
        <w:tabs>
          <w:tab w:val="left" w:pos="210"/>
        </w:tabs>
        <w:adjustRightInd/>
        <w:spacing w:line="360" w:lineRule="auto"/>
        <w:ind w:left="405" w:leftChars="0" w:hanging="405" w:firstLineChars="0"/>
        <w:rPr>
          <w:rFonts w:ascii="仿宋_GB2312" w:hAnsi="仿宋" w:eastAsia="仿宋_GB2312" w:cs="Arial"/>
          <w:kern w:val="0"/>
          <w:sz w:val="24"/>
          <w:highlight w:val="none"/>
        </w:rPr>
      </w:pP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82" w:name="_Toc9518"/>
      <w:bookmarkStart w:id="83" w:name="_Toc26093"/>
      <w:bookmarkStart w:id="84" w:name="_Toc19233"/>
      <w:r>
        <w:rPr>
          <w:rFonts w:hint="eastAsia" w:ascii="仿宋_GB2312" w:hAnsi="仿宋" w:eastAsia="仿宋_GB2312" w:cs="仿宋_GB2312"/>
          <w:b/>
          <w:sz w:val="28"/>
          <w:szCs w:val="28"/>
          <w:highlight w:val="none"/>
        </w:rPr>
        <w:t>评标标准</w:t>
      </w:r>
      <w:bookmarkEnd w:id="82"/>
      <w:bookmarkEnd w:id="83"/>
      <w:bookmarkEnd w:id="84"/>
    </w:p>
    <w:p>
      <w:pPr>
        <w:numPr>
          <w:ilvl w:val="0"/>
          <w:numId w:val="5"/>
        </w:numPr>
        <w:tabs>
          <w:tab w:val="left" w:pos="210"/>
        </w:tabs>
        <w:adjustRightInd/>
        <w:spacing w:line="360" w:lineRule="auto"/>
        <w:ind w:left="405" w:leftChars="0" w:hanging="405" w:firstLineChars="0"/>
        <w:rPr>
          <w:rFonts w:hint="eastAsia" w:ascii="仿宋_GB2312" w:hAnsi="仿宋" w:eastAsia="仿宋_GB2312" w:cs="Arial"/>
          <w:kern w:val="0"/>
          <w:sz w:val="24"/>
          <w:highlight w:val="none"/>
        </w:rPr>
      </w:pPr>
      <w:r>
        <w:rPr>
          <w:rFonts w:hint="eastAsia" w:ascii="仿宋_GB2312" w:hAnsi="仿宋" w:eastAsia="仿宋_GB2312" w:cs="Arial"/>
          <w:b/>
          <w:bCs/>
          <w:kern w:val="0"/>
          <w:sz w:val="24"/>
          <w:highlight w:val="none"/>
        </w:rPr>
        <w:t>评标标准：</w:t>
      </w:r>
      <w:r>
        <w:rPr>
          <w:rFonts w:hint="eastAsia" w:ascii="仿宋_GB2312" w:hAnsi="仿宋" w:eastAsia="仿宋_GB2312" w:cs="Arial"/>
          <w:kern w:val="0"/>
          <w:sz w:val="24"/>
          <w:highlight w:val="none"/>
        </w:rPr>
        <w:t>见评标办法前附表。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85" w:name="_Toc26738"/>
      <w:bookmarkStart w:id="86" w:name="_Toc17735"/>
      <w:bookmarkStart w:id="87" w:name="_Toc1897"/>
      <w:r>
        <w:rPr>
          <w:rFonts w:hint="eastAsia" w:ascii="仿宋_GB2312" w:hAnsi="仿宋" w:eastAsia="仿宋_GB2312" w:cs="仿宋_GB2312"/>
          <w:b/>
          <w:sz w:val="28"/>
          <w:szCs w:val="28"/>
          <w:highlight w:val="none"/>
        </w:rPr>
        <w:t>评标程序</w:t>
      </w:r>
      <w:bookmarkEnd w:id="85"/>
      <w:bookmarkEnd w:id="86"/>
      <w:bookmarkEnd w:id="87"/>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符合性审查。</w:t>
      </w:r>
      <w:r>
        <w:rPr>
          <w:rFonts w:hint="eastAsia" w:ascii="仿宋_GB2312" w:hAnsi="仿宋" w:eastAsia="仿宋_GB2312" w:cs="Arial"/>
          <w:b w:val="0"/>
          <w:bCs w:val="0"/>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比较与评价。</w:t>
      </w:r>
      <w:r>
        <w:rPr>
          <w:rFonts w:hint="eastAsia" w:ascii="仿宋_GB2312" w:hAnsi="仿宋" w:eastAsia="仿宋_GB2312" w:cs="Arial"/>
          <w:b w:val="0"/>
          <w:bCs w:val="0"/>
          <w:kern w:val="0"/>
          <w:sz w:val="24"/>
          <w:highlight w:val="none"/>
        </w:rPr>
        <w:t>评标委员会应当按照招标文件中规定的评标方法和标准，对符合性审查合格的投标文件进行商务和技术评估，综合比较与评价。</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汇总商务技术得分。</w:t>
      </w:r>
      <w:r>
        <w:rPr>
          <w:rFonts w:hint="eastAsia" w:ascii="仿宋_GB2312" w:hAnsi="仿宋" w:eastAsia="仿宋_GB2312" w:cs="Arial"/>
          <w:b w:val="0"/>
          <w:bCs w:val="0"/>
          <w:kern w:val="0"/>
          <w:sz w:val="24"/>
          <w:highlight w:val="none"/>
        </w:rPr>
        <w:t>评标委员会各成员应当独立对每个投标人的商务和技术文件进行评价，并汇总商务技术得分情况。</w:t>
      </w:r>
    </w:p>
    <w:p>
      <w:pPr>
        <w:numPr>
          <w:ilvl w:val="-1"/>
          <w:numId w:val="0"/>
        </w:numPr>
        <w:tabs>
          <w:tab w:val="left" w:pos="210"/>
        </w:tabs>
        <w:adjustRightInd/>
        <w:spacing w:line="360" w:lineRule="auto"/>
        <w:ind w:left="0" w:leftChars="0" w:firstLine="480" w:firstLineChars="200"/>
        <w:rPr>
          <w:rFonts w:hint="eastAsia" w:ascii="仿宋_GB2312" w:hAnsi="仿宋" w:eastAsia="仿宋_GB2312" w:cs="Arial"/>
          <w:b/>
          <w:bCs/>
          <w:kern w:val="0"/>
          <w:sz w:val="24"/>
          <w:highlight w:val="none"/>
        </w:rPr>
      </w:pPr>
      <w:r>
        <w:rPr>
          <w:rFonts w:hint="eastAsia" w:ascii="仿宋_GB2312" w:hAnsi="仿宋" w:eastAsia="仿宋_GB2312" w:cs="Arial"/>
          <w:b w:val="0"/>
          <w:bCs w:val="0"/>
          <w:kern w:val="0"/>
          <w:sz w:val="24"/>
          <w:highlight w:val="none"/>
        </w:rPr>
        <w:t>评标委员会</w:t>
      </w:r>
      <w:r>
        <w:rPr>
          <w:rFonts w:hint="eastAsia" w:ascii="仿宋_GB2312" w:hAnsi="仿宋" w:eastAsia="仿宋_GB2312" w:cs="Arial"/>
          <w:b w:val="0"/>
          <w:bCs w:val="0"/>
          <w:kern w:val="0"/>
          <w:sz w:val="24"/>
          <w:highlight w:val="none"/>
          <w:lang w:eastAsia="zh-CN"/>
        </w:rPr>
        <w:t>各成员</w:t>
      </w:r>
      <w:r>
        <w:rPr>
          <w:rFonts w:hint="eastAsia" w:ascii="仿宋_GB2312" w:hAnsi="仿宋" w:eastAsia="仿宋_GB2312" w:cs="Arial"/>
          <w:b w:val="0"/>
          <w:bCs w:val="0"/>
          <w:kern w:val="0"/>
          <w:sz w:val="24"/>
          <w:highlight w:val="none"/>
        </w:rPr>
        <w:t>每人一份评分表，进行独自打分并签名。在统计得分时，如发现某一单项评分超过评分细则规定的分值范围，则该张评分表无效。投标人</w:t>
      </w:r>
      <w:r>
        <w:rPr>
          <w:rFonts w:hint="eastAsia" w:ascii="仿宋_GB2312" w:hAnsi="仿宋" w:eastAsia="仿宋_GB2312" w:cs="Arial"/>
          <w:b w:val="0"/>
          <w:bCs w:val="0"/>
          <w:kern w:val="0"/>
          <w:sz w:val="24"/>
          <w:highlight w:val="none"/>
          <w:lang w:eastAsia="zh-CN"/>
        </w:rPr>
        <w:t>商务</w:t>
      </w:r>
      <w:r>
        <w:rPr>
          <w:rFonts w:hint="eastAsia" w:ascii="仿宋_GB2312" w:hAnsi="仿宋" w:eastAsia="仿宋_GB2312" w:cs="Arial"/>
          <w:b w:val="0"/>
          <w:bCs w:val="0"/>
          <w:kern w:val="0"/>
          <w:sz w:val="24"/>
          <w:highlight w:val="none"/>
        </w:rPr>
        <w:t>技术部分的得分为评标委员会各成员的有效评分的算术平均值。</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报价评审。</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投标文件报价出现前后不一致的，按照下列规定修正：</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投标文件中开标一览表(报价表)内容与投标文件中相应内容不一致的，以开标一览表(报价表)为准;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大写金额和小写金额不一致的，以大写金额为准;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单价金额小数点或者百分比有明显错位的，以开标一览表的总价为准，并修改单价;</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总价金额与按单价汇总金额不一致的，以单价金额计算结果为准。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投标文件出现不是唯一的、有选择性投标报价的，投标无效。</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投标报价超过招标文件中规定的预算金额或者最高限价的，投标无效。</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sz w:val="24"/>
          <w:highlight w:val="none"/>
          <w:lang w:val="en-US" w:eastAsia="zh-CN"/>
        </w:rPr>
        <w:t>10%-2</w:t>
      </w:r>
      <w:r>
        <w:rPr>
          <w:rFonts w:hint="eastAsia" w:ascii="仿宋_GB2312" w:hAnsi="仿宋" w:eastAsia="仿宋_GB2312" w:cs="Arial"/>
          <w:b/>
          <w:bCs/>
          <w:color w:val="FF0000"/>
          <w:kern w:val="0"/>
          <w:sz w:val="24"/>
          <w:highlight w:val="none"/>
        </w:rPr>
        <w:t>0%</w:t>
      </w:r>
      <w:r>
        <w:rPr>
          <w:rFonts w:hint="eastAsia" w:ascii="仿宋_GB2312" w:hAnsi="仿宋" w:eastAsia="仿宋_GB2312" w:cs="Arial"/>
          <w:b w:val="0"/>
          <w:bCs w:val="0"/>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sz w:val="24"/>
          <w:highlight w:val="none"/>
          <w:lang w:val="en-US" w:eastAsia="zh-CN"/>
        </w:rPr>
        <w:t>4%-6</w:t>
      </w:r>
      <w:r>
        <w:rPr>
          <w:rFonts w:hint="eastAsia" w:ascii="仿宋_GB2312" w:hAnsi="仿宋" w:eastAsia="仿宋_GB2312" w:cs="Arial"/>
          <w:b/>
          <w:bCs/>
          <w:color w:val="FF0000"/>
          <w:kern w:val="0"/>
          <w:sz w:val="24"/>
          <w:highlight w:val="none"/>
        </w:rPr>
        <w:t>%</w:t>
      </w:r>
      <w:r>
        <w:rPr>
          <w:rFonts w:hint="eastAsia" w:ascii="仿宋_GB2312" w:hAnsi="仿宋" w:eastAsia="仿宋_GB2312" w:cs="Arial"/>
          <w:b w:val="0"/>
          <w:bCs w:val="0"/>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排序与推荐。</w:t>
      </w:r>
      <w:r>
        <w:rPr>
          <w:rFonts w:hint="eastAsia" w:ascii="仿宋_GB2312" w:hAnsi="仿宋" w:eastAsia="仿宋_GB2312" w:cs="Arial"/>
          <w:b w:val="0"/>
          <w:bCs w:val="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6"/>
        </w:numPr>
        <w:tabs>
          <w:tab w:val="left" w:pos="210"/>
        </w:tabs>
        <w:adjustRightInd/>
        <w:spacing w:line="360" w:lineRule="auto"/>
        <w:ind w:left="567" w:hanging="567"/>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评分时保留小数点后1位小数，计算评分值时保留小数点后2位小数。</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编写评标报告。</w:t>
      </w:r>
      <w:r>
        <w:rPr>
          <w:rFonts w:hint="eastAsia" w:ascii="仿宋_GB2312" w:hAnsi="仿宋" w:eastAsia="仿宋_GB2312" w:cs="Arial"/>
          <w:b w:val="0"/>
          <w:bCs w:val="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88" w:name="_Toc7972"/>
      <w:bookmarkStart w:id="89" w:name="_Toc14486"/>
      <w:bookmarkStart w:id="90" w:name="_Toc6871"/>
      <w:r>
        <w:rPr>
          <w:rFonts w:hint="eastAsia" w:ascii="仿宋_GB2312" w:hAnsi="仿宋" w:eastAsia="仿宋_GB2312" w:cs="仿宋_GB2312"/>
          <w:b/>
          <w:sz w:val="28"/>
          <w:szCs w:val="28"/>
          <w:highlight w:val="none"/>
        </w:rPr>
        <w:t>评标中的其他事项</w:t>
      </w:r>
      <w:bookmarkEnd w:id="88"/>
      <w:bookmarkEnd w:id="89"/>
      <w:bookmarkEnd w:id="90"/>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投标人澄清、说明或者补正。</w:t>
      </w:r>
      <w:r>
        <w:rPr>
          <w:rFonts w:hint="eastAsia" w:ascii="仿宋_GB2312" w:hAnsi="仿宋" w:eastAsia="仿宋_GB2312" w:cs="Arial"/>
          <w:b w:val="0"/>
          <w:bCs w:val="0"/>
          <w:kern w:val="0"/>
          <w:sz w:val="24"/>
          <w:highlight w:val="none"/>
        </w:rPr>
        <w:t>对于投标文件中含义不明确、同类问题表</w:t>
      </w:r>
      <w:r>
        <w:rPr>
          <w:rFonts w:hint="eastAsia" w:ascii="仿宋_GB2312" w:hAnsi="仿宋" w:eastAsia="仿宋_GB2312" w:cs="Arial"/>
          <w:b w:val="0"/>
          <w:bCs w:val="0"/>
          <w:kern w:val="0"/>
          <w:sz w:val="24"/>
          <w:highlight w:val="none"/>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kern w:val="0"/>
          <w:sz w:val="24"/>
          <w:highlight w:val="none"/>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投标无效。有下列情况之一的，投标无效：</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投标文件未按照招标文件要求签署、盖章的；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投标文件含有采购人不能接受的附加条件的；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投标文件中承诺的投标有效期少于招标文件中载明的投标有效期的；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投标文件出现不是唯一的、有选择性投标报价的;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投标报价超过招标文件中规定的预算金额或者最高限价的;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投标人对根据修正原则修正后的报价不确认的；</w:t>
      </w:r>
    </w:p>
    <w:p>
      <w:pPr>
        <w:numPr>
          <w:ilvl w:val="2"/>
          <w:numId w:val="7"/>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投标人提供虚假材料投标的；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投标人仅提交备份投标文件，没有在电子交易平台传输递交投标文件的，投标无效；</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lang w:val="en-US"/>
        </w:rPr>
      </w:pPr>
      <w:r>
        <w:rPr>
          <w:rFonts w:hint="eastAsia" w:ascii="仿宋_GB2312" w:hAnsi="仿宋" w:eastAsia="仿宋_GB2312" w:cs="Arial"/>
          <w:b/>
          <w:bCs/>
          <w:kern w:val="0"/>
          <w:sz w:val="24"/>
          <w:highlight w:val="none"/>
          <w:lang w:val="en-US"/>
        </w:rPr>
        <w:t>投标文件不满足招标文件的其它实质性要求的；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法律、法规、规章（适用本市的）及省级以上规范性文件（适用本市的）规定的其他无效情形。</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废标。</w:t>
      </w:r>
      <w:r>
        <w:rPr>
          <w:rFonts w:hint="eastAsia" w:ascii="仿宋_GB2312" w:hAnsi="仿宋" w:eastAsia="仿宋_GB2312" w:cs="Arial"/>
          <w:b w:val="0"/>
          <w:bCs w:val="0"/>
          <w:kern w:val="0"/>
          <w:sz w:val="24"/>
          <w:highlight w:val="none"/>
        </w:rPr>
        <w:t>根据《中华人民共和国政府采购法》第三十六条之规定，在采购中，出现下列情形之一的，应予废标：</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符合专业条件的供应商或者对招标文件作实质响应的供应商不足3家的；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出现影响采购公正的违法、违规行为的；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投标人的报价均超过了采购预算，采购人不能支付的；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因重大变故，采购任务取消的。</w:t>
      </w:r>
    </w:p>
    <w:p>
      <w:pPr>
        <w:pStyle w:val="2"/>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w:t>
      </w:r>
      <w:r>
        <w:rPr>
          <w:rFonts w:hint="eastAsia" w:ascii="仿宋_GB2312" w:hAnsi="仿宋" w:eastAsia="仿宋_GB2312" w:cs="仿宋_GB2312"/>
          <w:highlight w:val="none"/>
          <w:lang w:eastAsia="zh-CN"/>
        </w:rPr>
        <w:t>采购代理机构</w:t>
      </w:r>
      <w:r>
        <w:rPr>
          <w:rFonts w:hint="eastAsia" w:ascii="仿宋_GB2312" w:hAnsi="仿宋" w:eastAsia="仿宋_GB2312" w:cs="仿宋_GB2312"/>
          <w:highlight w:val="none"/>
        </w:rPr>
        <w:t>应当将废标理由通知所有投标人。</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修改招标文件，重新组织采购活动。</w:t>
      </w:r>
      <w:r>
        <w:rPr>
          <w:rFonts w:hint="eastAsia" w:ascii="仿宋_GB2312" w:hAnsi="仿宋" w:eastAsia="仿宋_GB2312" w:cs="Arial"/>
          <w:b w:val="0"/>
          <w:bCs w:val="0"/>
          <w:kern w:val="0"/>
          <w:sz w:val="24"/>
          <w:highlight w:val="none"/>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kern w:val="0"/>
          <w:sz w:val="24"/>
          <w:highlight w:val="none"/>
          <w:lang w:eastAsia="zh-CN"/>
        </w:rPr>
        <w:t>采购代理机构</w:t>
      </w:r>
      <w:r>
        <w:rPr>
          <w:rFonts w:hint="eastAsia" w:ascii="仿宋_GB2312" w:hAnsi="仿宋" w:eastAsia="仿宋_GB2312" w:cs="Arial"/>
          <w:b w:val="0"/>
          <w:bCs w:val="0"/>
          <w:kern w:val="0"/>
          <w:sz w:val="24"/>
          <w:highlight w:val="none"/>
        </w:rPr>
        <w:t>沟通并作书面记录。采购人、</w:t>
      </w:r>
      <w:r>
        <w:rPr>
          <w:rFonts w:hint="eastAsia" w:ascii="仿宋_GB2312" w:hAnsi="仿宋" w:eastAsia="仿宋_GB2312" w:cs="Arial"/>
          <w:b w:val="0"/>
          <w:bCs w:val="0"/>
          <w:kern w:val="0"/>
          <w:sz w:val="24"/>
          <w:highlight w:val="none"/>
          <w:lang w:eastAsia="zh-CN"/>
        </w:rPr>
        <w:t>采购代理机构</w:t>
      </w:r>
      <w:r>
        <w:rPr>
          <w:rFonts w:hint="eastAsia" w:ascii="仿宋_GB2312" w:hAnsi="仿宋" w:eastAsia="仿宋_GB2312" w:cs="Arial"/>
          <w:b w:val="0"/>
          <w:bCs w:val="0"/>
          <w:kern w:val="0"/>
          <w:sz w:val="24"/>
          <w:highlight w:val="none"/>
        </w:rPr>
        <w:t>确认后，将修改招标文件，重新组织采购活动。</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重新开展采购。</w:t>
      </w:r>
      <w:r>
        <w:rPr>
          <w:rFonts w:hint="eastAsia" w:ascii="仿宋_GB2312" w:hAnsi="仿宋" w:eastAsia="仿宋_GB2312" w:cs="Arial"/>
          <w:b w:val="0"/>
          <w:bCs w:val="0"/>
          <w:kern w:val="0"/>
          <w:sz w:val="24"/>
          <w:highlight w:val="none"/>
        </w:rPr>
        <w:t>有政府采购法第七十一条、第七十二条规定的违法行为之一，影响或者可能影响中标、成交结果的，依照下列规定处理：</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未确定中标或者中标人的，终止本次政府采购活动，重新开展政府采购活动。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政府采购合同已经履行，给采购人、供应商造成损失的，由责任人承担赔偿责任。</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pStyle w:val="2"/>
        <w:snapToGrid w:val="0"/>
        <w:rPr>
          <w:rFonts w:hint="eastAsia" w:ascii="仿宋_GB2312" w:hAnsi="仿宋" w:eastAsia="仿宋_GB2312" w:cs="Arial"/>
          <w:b w:val="0"/>
          <w:bCs w:val="0"/>
          <w:kern w:val="0"/>
          <w:sz w:val="24"/>
          <w:highlight w:val="none"/>
        </w:rPr>
      </w:pPr>
    </w:p>
    <w:p>
      <w:pPr>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br w:type="page"/>
      </w:r>
    </w:p>
    <w:bookmarkEnd w:id="52"/>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bookmarkStart w:id="91" w:name="_Toc19650"/>
      <w:bookmarkStart w:id="92" w:name="_Toc242012824"/>
      <w:bookmarkStart w:id="93" w:name="_Toc16257"/>
      <w:r>
        <w:rPr>
          <w:rFonts w:hint="eastAsia" w:ascii="仿宋" w:hAnsi="仿宋" w:eastAsia="仿宋" w:cs="仿宋"/>
          <w:b/>
          <w:color w:val="auto"/>
          <w:sz w:val="30"/>
          <w:szCs w:val="30"/>
          <w:highlight w:val="none"/>
        </w:rPr>
        <w:t>第五部分  合同条款</w:t>
      </w:r>
      <w:bookmarkEnd w:id="91"/>
      <w:bookmarkEnd w:id="92"/>
      <w:bookmarkEnd w:id="93"/>
    </w:p>
    <w:p>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94" w:name="_Hlk534720381"/>
      <w:bookmarkStart w:id="95" w:name="_Toc251566661"/>
      <w:bookmarkStart w:id="96" w:name="_Toc249760790"/>
      <w:r>
        <w:rPr>
          <w:rFonts w:hint="eastAsia" w:ascii="仿宋" w:hAnsi="仿宋" w:eastAsia="仿宋" w:cs="仿宋"/>
          <w:snapToGrid w:val="0"/>
          <w:color w:val="auto"/>
          <w:kern w:val="0"/>
          <w:szCs w:val="21"/>
          <w:highlight w:val="none"/>
        </w:rPr>
        <w:t>合同将由杭州市钱塘区人民政府白杨街道办事处（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94"/>
    <w:bookmarkEnd w:id="95"/>
    <w:bookmarkEnd w:id="96"/>
    <w:p>
      <w:pPr>
        <w:adjustRightInd w:val="0"/>
        <w:snapToGrid w:val="0"/>
        <w:spacing w:line="360" w:lineRule="auto"/>
        <w:ind w:firstLine="482" w:firstLineChars="200"/>
        <w:rPr>
          <w:rFonts w:hint="default" w:ascii="仿宋" w:hAnsi="仿宋" w:eastAsia="仿宋" w:cs="仿宋"/>
          <w:b/>
          <w:bCs/>
          <w:color w:val="auto"/>
          <w:sz w:val="24"/>
          <w:highlight w:val="none"/>
          <w:lang w:val="en-US" w:eastAsia="zh-CN"/>
        </w:rPr>
      </w:pPr>
      <w:bookmarkStart w:id="97" w:name="_Toc251566662"/>
      <w:bookmarkStart w:id="98" w:name="_Toc249760791"/>
      <w:bookmarkStart w:id="99" w:name="_Toc295465366"/>
      <w:bookmarkStart w:id="100" w:name="_Toc367274988"/>
      <w:bookmarkStart w:id="101" w:name="_Toc415814139"/>
      <w:r>
        <w:rPr>
          <w:rFonts w:hint="eastAsia" w:ascii="仿宋" w:hAnsi="仿宋" w:eastAsia="仿宋" w:cs="仿宋"/>
          <w:b/>
          <w:bCs/>
          <w:color w:val="auto"/>
          <w:sz w:val="24"/>
          <w:highlight w:val="none"/>
          <w:lang w:val="en-US" w:eastAsia="zh-CN"/>
        </w:rPr>
        <w:t>合同参考格式</w:t>
      </w:r>
    </w:p>
    <w:p>
      <w:pPr>
        <w:snapToGrid w:val="0"/>
        <w:spacing w:before="120" w:beforeLines="50" w:after="120" w:afterLines="50"/>
        <w:jc w:val="center"/>
        <w:rPr>
          <w:rFonts w:hint="eastAsia" w:ascii="仿宋" w:hAnsi="仿宋" w:eastAsia="仿宋" w:cs="仿宋"/>
          <w:b/>
          <w:color w:val="auto"/>
          <w:sz w:val="32"/>
          <w:szCs w:val="32"/>
          <w:highlight w:val="none"/>
          <w:lang w:val="zh-CN"/>
        </w:rPr>
      </w:pPr>
    </w:p>
    <w:p>
      <w:pPr>
        <w:snapToGrid w:val="0"/>
        <w:spacing w:before="120" w:beforeLines="50" w:after="120" w:afterLines="50"/>
        <w:jc w:val="cente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白杨街道垃圾分类误时投放点管理服务采购项目合同</w:t>
      </w:r>
    </w:p>
    <w:p>
      <w:pPr>
        <w:adjustRightInd w:val="0"/>
        <w:snapToGrid w:val="0"/>
        <w:spacing w:line="360" w:lineRule="auto"/>
        <w:ind w:firstLine="422" w:firstLineChars="200"/>
        <w:rPr>
          <w:rFonts w:ascii="仿宋" w:hAnsi="仿宋" w:eastAsia="仿宋" w:cs="仿宋"/>
          <w:b/>
          <w:color w:val="auto"/>
          <w:szCs w:val="21"/>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甲方：杭州市钱塘区人民政府白杨街道办事处</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ascii="仿宋" w:hAnsi="仿宋" w:eastAsia="仿宋" w:cs="仿宋"/>
          <w:color w:val="auto"/>
          <w:sz w:val="24"/>
          <w:highlight w:val="none"/>
        </w:rPr>
      </w:pPr>
    </w:p>
    <w:p>
      <w:pPr>
        <w:pStyle w:val="133"/>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白杨街道垃圾分类误时投放点管理服务采购项目</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QTCG-GK-2023-215</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w:t>
      </w:r>
      <w:r>
        <w:rPr>
          <w:rFonts w:hint="eastAsia" w:ascii="仿宋" w:hAnsi="仿宋" w:eastAsia="仿宋" w:cs="仿宋"/>
          <w:color w:val="auto"/>
          <w:szCs w:val="24"/>
          <w:highlight w:val="none"/>
          <w:u w:val="none"/>
          <w:lang w:val="en-US" w:eastAsia="zh-CN"/>
        </w:rPr>
        <w:t>承接单位。甲乙双方</w:t>
      </w:r>
      <w:r>
        <w:rPr>
          <w:rFonts w:hint="eastAsia" w:ascii="仿宋" w:hAnsi="仿宋" w:eastAsia="仿宋" w:cs="仿宋"/>
          <w:color w:val="auto"/>
          <w:szCs w:val="24"/>
          <w:highlight w:val="none"/>
        </w:rPr>
        <w:t>在平等自愿的基础上，同意按照下面的条款和条件，签署政府采购合同。</w:t>
      </w:r>
    </w:p>
    <w:p>
      <w:pPr>
        <w:pStyle w:val="133"/>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p>
    <w:p>
      <w:pPr>
        <w:pStyle w:val="133"/>
        <w:adjustRightInd w:val="0"/>
        <w:snapToGrid w:val="0"/>
        <w:spacing w:before="0" w:beforeAutospacing="0" w:after="0" w:afterAutospacing="0" w:line="360" w:lineRule="auto"/>
        <w:ind w:firstLine="482" w:firstLineChars="200"/>
        <w:rPr>
          <w:rFonts w:hint="eastAsia" w:ascii="仿宋" w:hAnsi="仿宋" w:eastAsia="仿宋" w:cs="仿宋"/>
          <w:b/>
          <w:bCs/>
          <w:color w:val="auto"/>
          <w:szCs w:val="24"/>
          <w:highlight w:val="none"/>
        </w:rPr>
      </w:pPr>
      <w:bookmarkStart w:id="102" w:name="_Toc15439"/>
      <w:bookmarkStart w:id="103" w:name="_Toc7747"/>
      <w:bookmarkStart w:id="104" w:name="_Toc9726"/>
      <w:bookmarkStart w:id="105" w:name="_Toc12150"/>
      <w:bookmarkStart w:id="106" w:name="_Toc30763"/>
      <w:bookmarkStart w:id="107" w:name="_Toc5416"/>
      <w:bookmarkStart w:id="108" w:name="_Toc18563"/>
      <w:bookmarkStart w:id="109" w:name="_Toc16068"/>
      <w:bookmarkStart w:id="110" w:name="_Toc25298"/>
      <w:bookmarkStart w:id="111" w:name="_Toc17489"/>
      <w:bookmarkStart w:id="112" w:name="_Toc20536"/>
      <w:bookmarkStart w:id="113" w:name="_Toc1602"/>
      <w:bookmarkStart w:id="114" w:name="_Toc22037"/>
      <w:bookmarkStart w:id="115" w:name="_Toc26493"/>
      <w:bookmarkStart w:id="116" w:name="_Toc25675"/>
      <w:bookmarkStart w:id="117" w:name="_Toc15574"/>
      <w:bookmarkStart w:id="118" w:name="_Toc18904"/>
      <w:bookmarkStart w:id="119" w:name="_Toc10896"/>
      <w:bookmarkStart w:id="120" w:name="_Toc29985"/>
      <w:bookmarkStart w:id="121" w:name="_Toc23598"/>
      <w:bookmarkStart w:id="122" w:name="_Toc8191"/>
      <w:r>
        <w:rPr>
          <w:rFonts w:hint="eastAsia" w:ascii="仿宋" w:hAnsi="仿宋" w:eastAsia="仿宋" w:cs="仿宋"/>
          <w:b/>
          <w:bCs/>
          <w:color w:val="auto"/>
          <w:szCs w:val="24"/>
          <w:highlight w:val="none"/>
          <w:lang w:val="en-US" w:eastAsia="zh-CN"/>
        </w:rPr>
        <w:t>一</w:t>
      </w:r>
      <w:r>
        <w:rPr>
          <w:rFonts w:hint="eastAsia" w:ascii="仿宋" w:hAnsi="仿宋" w:eastAsia="仿宋" w:cs="仿宋"/>
          <w:b/>
          <w:bCs/>
          <w:color w:val="auto"/>
          <w:szCs w:val="24"/>
          <w:highlight w:val="none"/>
        </w:rPr>
        <w:t>、合同组成</w:t>
      </w:r>
      <w:bookmarkEnd w:id="102"/>
      <w:bookmarkEnd w:id="103"/>
      <w:bookmarkEnd w:id="104"/>
      <w:bookmarkEnd w:id="105"/>
      <w:bookmarkEnd w:id="106"/>
      <w:bookmarkEnd w:id="107"/>
    </w:p>
    <w:bookmarkEnd w:id="108"/>
    <w:bookmarkEnd w:id="109"/>
    <w:p>
      <w:pPr>
        <w:pStyle w:val="24"/>
        <w:adjustRightInd w:val="0"/>
        <w:snapToGrid w:val="0"/>
        <w:spacing w:line="360" w:lineRule="auto"/>
        <w:ind w:firstLine="480" w:firstLineChars="200"/>
        <w:rPr>
          <w:rFonts w:hint="eastAsia" w:ascii="仿宋" w:hAnsi="仿宋" w:eastAsia="仿宋" w:cs="仿宋"/>
          <w:color w:val="auto"/>
          <w:sz w:val="24"/>
          <w:szCs w:val="24"/>
          <w:highlight w:val="none"/>
          <w:lang w:val="zh-CN"/>
        </w:rPr>
      </w:pPr>
      <w:bookmarkStart w:id="123" w:name="_Toc29502"/>
      <w:r>
        <w:rPr>
          <w:rFonts w:hint="eastAsia" w:ascii="仿宋" w:hAnsi="仿宋" w:eastAsia="仿宋" w:cs="仿宋"/>
          <w:color w:val="auto"/>
          <w:sz w:val="24"/>
          <w:szCs w:val="24"/>
          <w:highlight w:val="none"/>
          <w:lang w:val="zh-CN"/>
        </w:rPr>
        <w:t>下列文件构成本合同的组成部分，应该认为是一个整体，彼此相互解释，相互补充。组成合同的多个文件的优先支配地位的次序如下：</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24"/>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1、本合同书；　</w:t>
      </w:r>
    </w:p>
    <w:p>
      <w:pPr>
        <w:pStyle w:val="24"/>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val="zh-CN"/>
        </w:rPr>
        <w:t>通知书；</w:t>
      </w:r>
      <w:r>
        <w:rPr>
          <w:rFonts w:hint="eastAsia" w:ascii="仿宋" w:hAnsi="仿宋" w:eastAsia="仿宋" w:cs="仿宋"/>
          <w:color w:val="auto"/>
          <w:sz w:val="24"/>
          <w:szCs w:val="24"/>
          <w:highlight w:val="none"/>
          <w:lang w:val="zh-CN"/>
        </w:rPr>
        <w:tab/>
      </w:r>
    </w:p>
    <w:p>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澄清修改文件；</w:t>
      </w:r>
    </w:p>
    <w:p>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中标的投标</w:t>
      </w:r>
      <w:r>
        <w:rPr>
          <w:rFonts w:hint="eastAsia" w:ascii="仿宋" w:hAnsi="仿宋" w:eastAsia="仿宋" w:cs="仿宋"/>
          <w:color w:val="auto"/>
          <w:sz w:val="24"/>
          <w:szCs w:val="24"/>
          <w:highlight w:val="none"/>
        </w:rPr>
        <w:t>文件；</w:t>
      </w:r>
    </w:p>
    <w:p>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5、采购文件澄清修改文件；</w:t>
      </w:r>
    </w:p>
    <w:p>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pPr>
        <w:pStyle w:val="24"/>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7、标准、规范及有关技术文件、技术要求。</w:t>
      </w:r>
      <w:r>
        <w:rPr>
          <w:rFonts w:hint="eastAsia" w:ascii="仿宋" w:hAnsi="仿宋" w:eastAsia="仿宋" w:cs="仿宋"/>
          <w:color w:val="auto"/>
          <w:sz w:val="24"/>
          <w:szCs w:val="24"/>
          <w:highlight w:val="none"/>
        </w:rPr>
        <w:tab/>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二、合同内容</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主要内容</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乙方甲方要求配备相关人员，服务覆盖白杨街道生活小区误时投放点全部点位，指导居民开展垃圾分类工作，并在点位上进行二次分拣工作，协助社区开展垃圾分类工作等</w:t>
      </w:r>
      <w:r>
        <w:rPr>
          <w:rFonts w:hint="eastAsia" w:ascii="仿宋" w:hAnsi="仿宋" w:eastAsia="仿宋" w:cs="仿宋"/>
          <w:color w:val="auto"/>
          <w:sz w:val="24"/>
          <w:szCs w:val="24"/>
          <w:highlight w:val="none"/>
          <w:lang w:val="en-US" w:eastAsia="zh-CN"/>
        </w:rPr>
        <w:t>。乙方应保证：</w:t>
      </w:r>
    </w:p>
    <w:p>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（1）在小区误时投放点位上指导前来投放垃圾的居民进行分类；</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（2）在误时点位上对垃圾桶内未分类的垃圾进行二次分拣，保证分类质量；</w:t>
      </w:r>
    </w:p>
    <w:p>
      <w:pPr>
        <w:tabs>
          <w:tab w:val="left" w:pos="0"/>
        </w:tabs>
        <w:adjustRightInd w:val="0"/>
        <w:snapToGrid w:val="0"/>
        <w:spacing w:line="360" w:lineRule="auto"/>
        <w:ind w:firstLine="480" w:firstLineChars="200"/>
        <w:rPr>
          <w:rFonts w:hint="default"/>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不得与小区居民、物业发生纠纷问题</w:t>
      </w:r>
      <w:r>
        <w:rPr>
          <w:rFonts w:hint="eastAsia" w:ascii="仿宋" w:hAnsi="仿宋" w:eastAsia="仿宋" w:cs="仿宋"/>
          <w:color w:val="auto"/>
          <w:sz w:val="24"/>
          <w:highlight w:val="none"/>
          <w:lang w:val="en-US" w:eastAsia="zh-CN"/>
        </w:rPr>
        <w:t>。</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2.2项目实施区域：白杨街道全域实施生活垃圾分类的范围。</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2.3项目实施时间：本项目服务期为两年，自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日至</w:t>
      </w: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日</w:t>
      </w:r>
      <w:r>
        <w:rPr>
          <w:rFonts w:hint="eastAsia" w:ascii="仿宋" w:hAnsi="仿宋" w:eastAsia="仿宋" w:cs="仿宋"/>
          <w:color w:val="auto"/>
          <w:sz w:val="24"/>
          <w:szCs w:val="24"/>
          <w:highlight w:val="none"/>
          <w:lang w:val="en-US" w:eastAsia="zh-CN"/>
        </w:rPr>
        <w:t>。合同履行期间，甲方设立中期考核机制，根据考核情况甲方有权提前终止合同，并保留追究乙方责任的权利。</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三、合同金额</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金额为（大写）：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以上包含所有今后项目实施过程中所涉及到的一切费用。将实施而未列入报价的费用将被视为投标人优惠，甲方将不再另行支付。</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四、相关要求</w:t>
      </w:r>
    </w:p>
    <w:p>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时间响应</w:t>
      </w:r>
      <w:r>
        <w:rPr>
          <w:rFonts w:hint="eastAsia" w:ascii="仿宋" w:hAnsi="仿宋" w:eastAsia="仿宋" w:cs="仿宋"/>
          <w:b/>
          <w:bCs/>
          <w:color w:val="auto"/>
          <w:sz w:val="24"/>
          <w:szCs w:val="24"/>
          <w:highlight w:val="none"/>
        </w:rPr>
        <w:t>要求</w:t>
      </w:r>
    </w:p>
    <w:p>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1、原则上每日8：30-11：30（3小时）; 13：00-18：00（5小时）。</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eastAsia="zh-CN"/>
        </w:rPr>
        <w:t>误时点管理人员</w:t>
      </w:r>
      <w:r>
        <w:rPr>
          <w:rFonts w:hint="eastAsia" w:ascii="仿宋" w:hAnsi="仿宋" w:eastAsia="仿宋" w:cs="仿宋"/>
          <w:color w:val="auto"/>
          <w:sz w:val="24"/>
          <w:highlight w:val="none"/>
          <w:lang w:val="en-US" w:eastAsia="zh-CN"/>
        </w:rPr>
        <w:t>上班时间出勤率必须达到100%。如有工作安排或者遇到上级有关部门检查等特殊情况，适当延长工作时间</w:t>
      </w:r>
      <w:r>
        <w:rPr>
          <w:rFonts w:hint="eastAsia" w:ascii="仿宋" w:hAnsi="仿宋" w:eastAsia="仿宋" w:cs="仿宋"/>
          <w:snapToGrid w:val="0"/>
          <w:color w:val="auto"/>
          <w:kern w:val="0"/>
          <w:sz w:val="24"/>
          <w:highlight w:val="none"/>
          <w:lang w:val="en-US" w:eastAsia="zh-CN"/>
        </w:rPr>
        <w:t>。</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3、中标人应合理考虑垃圾投放时间，不得影响垃圾分类工作正常开展。</w:t>
      </w:r>
    </w:p>
    <w:p>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相关配置</w:t>
      </w:r>
    </w:p>
    <w:p>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1、人员</w:t>
      </w:r>
    </w:p>
    <w:p>
      <w:pPr>
        <w:pStyle w:val="18"/>
        <w:adjustRightInd w:val="0"/>
        <w:snapToGrid w:val="0"/>
        <w:spacing w:after="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前三个月，安排88</w:t>
      </w:r>
      <w:r>
        <w:rPr>
          <w:rFonts w:hint="default"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员对街道88个误时投放点进行全覆盖管理。三个月后，由每个点</w:t>
      </w:r>
      <w:r>
        <w:rPr>
          <w:rFonts w:hint="default" w:ascii="仿宋" w:hAnsi="仿宋" w:eastAsia="仿宋" w:cs="仿宋"/>
          <w:color w:val="auto"/>
          <w:sz w:val="24"/>
          <w:highlight w:val="none"/>
          <w:lang w:eastAsia="zh-CN"/>
        </w:rPr>
        <w:t>位</w:t>
      </w:r>
      <w:r>
        <w:rPr>
          <w:rFonts w:hint="eastAsia" w:ascii="仿宋" w:hAnsi="仿宋" w:eastAsia="仿宋" w:cs="仿宋"/>
          <w:color w:val="auto"/>
          <w:sz w:val="24"/>
          <w:highlight w:val="none"/>
          <w:lang w:val="en-US" w:eastAsia="zh-CN"/>
        </w:rPr>
        <w:t>配备1名</w:t>
      </w:r>
      <w:r>
        <w:rPr>
          <w:rFonts w:hint="default" w:ascii="仿宋" w:hAnsi="仿宋" w:eastAsia="仿宋" w:cs="仿宋"/>
          <w:color w:val="auto"/>
          <w:sz w:val="24"/>
          <w:highlight w:val="none"/>
          <w:lang w:eastAsia="zh-CN"/>
        </w:rPr>
        <w:t>调整</w:t>
      </w:r>
      <w:r>
        <w:rPr>
          <w:rFonts w:hint="eastAsia" w:ascii="仿宋" w:hAnsi="仿宋" w:eastAsia="仿宋" w:cs="仿宋"/>
          <w:color w:val="auto"/>
          <w:sz w:val="24"/>
          <w:highlight w:val="none"/>
          <w:lang w:val="en-US" w:eastAsia="zh-CN"/>
        </w:rPr>
        <w:t>为每个小区配备1名误时点管理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员，共需61</w:t>
      </w:r>
      <w:r>
        <w:rPr>
          <w:rFonts w:hint="default" w:ascii="仿宋" w:hAnsi="仿宋" w:eastAsia="仿宋" w:cs="仿宋"/>
          <w:color w:val="auto"/>
          <w:sz w:val="24"/>
          <w:highlight w:val="none"/>
          <w:lang w:eastAsia="zh-CN"/>
        </w:rPr>
        <w:t>名管理人员</w:t>
      </w:r>
      <w:r>
        <w:rPr>
          <w:rFonts w:hint="eastAsia" w:ascii="仿宋" w:hAnsi="仿宋" w:eastAsia="仿宋" w:cs="仿宋"/>
          <w:color w:val="auto"/>
          <w:sz w:val="24"/>
          <w:highlight w:val="none"/>
          <w:lang w:val="en-US" w:eastAsia="zh-CN"/>
        </w:rPr>
        <w:t>。第二年经费按照每个小区1人进行保障，共需61</w:t>
      </w:r>
      <w:r>
        <w:rPr>
          <w:rFonts w:hint="default"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误时点管理</w:t>
      </w:r>
      <w:r>
        <w:rPr>
          <w:rFonts w:hint="default"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员。</w:t>
      </w:r>
      <w:r>
        <w:rPr>
          <w:rFonts w:hint="eastAsia" w:ascii="仿宋" w:hAnsi="仿宋" w:eastAsia="仿宋" w:cs="仿宋"/>
          <w:color w:val="auto"/>
          <w:sz w:val="24"/>
          <w:szCs w:val="24"/>
          <w:highlight w:val="none"/>
          <w:lang w:val="en-US" w:eastAsia="zh-CN"/>
        </w:rPr>
        <w:t>误时投放点人员要求年龄不大于55周岁。</w:t>
      </w:r>
    </w:p>
    <w:p>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2、如有设备、车辆等，乙方按甲方要求、投标文件承诺内容予以配置。</w:t>
      </w:r>
    </w:p>
    <w:p>
      <w:pPr>
        <w:pStyle w:val="153"/>
        <w:adjustRightInd w:val="0"/>
        <w:snapToGrid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（三）岗位职责及服务要求，见甲方采购文件采购需求、乙方投标文件响应内容。</w:t>
      </w:r>
    </w:p>
    <w:p>
      <w:pPr>
        <w:pStyle w:val="153"/>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）其他</w:t>
      </w:r>
    </w:p>
    <w:p>
      <w:pPr>
        <w:pStyle w:val="153"/>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（如有补充</w:t>
      </w:r>
      <w:r>
        <w:rPr>
          <w:rFonts w:hint="eastAsia" w:ascii="仿宋" w:hAnsi="仿宋" w:eastAsia="仿宋" w:cs="仿宋"/>
          <w:color w:val="auto"/>
          <w:sz w:val="24"/>
          <w:szCs w:val="24"/>
          <w:highlight w:val="none"/>
          <w:lang w:val="en-US" w:eastAsia="zh-CN"/>
        </w:rPr>
        <w:t>或双方协商</w:t>
      </w:r>
      <w:r>
        <w:rPr>
          <w:rFonts w:hint="eastAsia" w:ascii="仿宋" w:hAnsi="仿宋" w:eastAsia="仿宋" w:cs="仿宋"/>
          <w:color w:val="auto"/>
          <w:sz w:val="24"/>
          <w:szCs w:val="24"/>
          <w:highlight w:val="none"/>
        </w:rPr>
        <w:t>内容，则增加相应内容）</w:t>
      </w:r>
    </w:p>
    <w:p>
      <w:pPr>
        <w:pStyle w:val="153"/>
        <w:adjustRightInd w:val="0"/>
        <w:snapToGrid w:val="0"/>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五、履约担保</w:t>
      </w:r>
    </w:p>
    <w:p>
      <w:pPr>
        <w:pStyle w:val="15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合同生效后7个工作日内，乙方应以支票、汇票、本票或者金融机构、担保机构出具的保函等非现金形式，提交合同价1%的履约保证金，待项目验收合格后无息退还（如有违约内容，则扣除相应违约款项后，无息退还）。</w:t>
      </w:r>
    </w:p>
    <w:p>
      <w:pPr>
        <w:pStyle w:val="15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strike w:val="0"/>
          <w:dstrike w:val="0"/>
          <w:color w:val="auto"/>
          <w:sz w:val="24"/>
          <w:szCs w:val="24"/>
          <w:highlight w:val="none"/>
          <w:lang w:val="zh-CN" w:eastAsia="zh-CN"/>
        </w:rPr>
        <w:t>2、</w:t>
      </w:r>
      <w:r>
        <w:rPr>
          <w:rFonts w:hint="eastAsia" w:ascii="仿宋" w:hAnsi="仿宋" w:eastAsia="仿宋" w:cs="仿宋"/>
          <w:color w:val="auto"/>
          <w:sz w:val="24"/>
          <w:szCs w:val="24"/>
          <w:highlight w:val="none"/>
          <w:lang w:val="zh-CN"/>
        </w:rPr>
        <w:t>乙方没有履行本合同项下约定的责任和义务所需承担的违约金、赔偿金、</w:t>
      </w:r>
      <w:r>
        <w:rPr>
          <w:rFonts w:hint="eastAsia" w:ascii="仿宋" w:hAnsi="仿宋" w:eastAsia="仿宋" w:cs="仿宋"/>
          <w:color w:val="auto"/>
          <w:sz w:val="24"/>
          <w:szCs w:val="24"/>
          <w:highlight w:val="none"/>
          <w:lang w:val="en-US" w:eastAsia="zh-CN"/>
        </w:rPr>
        <w:t>扣款</w:t>
      </w:r>
      <w:r>
        <w:rPr>
          <w:rFonts w:hint="eastAsia" w:ascii="仿宋" w:hAnsi="仿宋" w:eastAsia="仿宋" w:cs="仿宋"/>
          <w:color w:val="auto"/>
          <w:sz w:val="24"/>
          <w:szCs w:val="24"/>
          <w:highlight w:val="none"/>
          <w:lang w:val="zh-CN"/>
        </w:rPr>
        <w:t>及其他费用，</w:t>
      </w:r>
      <w:r>
        <w:rPr>
          <w:rFonts w:hint="eastAsia" w:ascii="仿宋" w:hAnsi="仿宋" w:eastAsia="仿宋" w:cs="仿宋"/>
          <w:color w:val="auto"/>
          <w:sz w:val="24"/>
          <w:szCs w:val="24"/>
          <w:highlight w:val="none"/>
          <w:lang w:val="zh-CN" w:eastAsia="zh-CN"/>
        </w:rPr>
        <w:t>除本合同另有约定外，甲</w:t>
      </w:r>
      <w:r>
        <w:rPr>
          <w:rFonts w:hint="eastAsia" w:ascii="仿宋" w:hAnsi="仿宋" w:eastAsia="仿宋" w:cs="仿宋"/>
          <w:color w:val="auto"/>
          <w:sz w:val="24"/>
          <w:szCs w:val="24"/>
          <w:highlight w:val="none"/>
          <w:lang w:val="zh-CN"/>
        </w:rPr>
        <w:t>方有权直接从履约保证金中扣除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履约保证金不足以扣除的，</w:t>
      </w:r>
      <w:r>
        <w:rPr>
          <w:rFonts w:hint="eastAsia" w:ascii="仿宋" w:hAnsi="仿宋" w:eastAsia="仿宋" w:cs="仿宋"/>
          <w:color w:val="auto"/>
          <w:sz w:val="24"/>
          <w:szCs w:val="24"/>
          <w:highlight w:val="none"/>
          <w:lang w:val="zh-CN" w:eastAsia="zh-CN"/>
        </w:rPr>
        <w:t>甲</w:t>
      </w:r>
      <w:r>
        <w:rPr>
          <w:rFonts w:hint="eastAsia" w:ascii="仿宋" w:hAnsi="仿宋" w:eastAsia="仿宋" w:cs="仿宋"/>
          <w:color w:val="auto"/>
          <w:sz w:val="24"/>
          <w:szCs w:val="24"/>
          <w:highlight w:val="none"/>
          <w:lang w:val="zh-CN"/>
        </w:rPr>
        <w:t>方有权从</w:t>
      </w:r>
      <w:r>
        <w:rPr>
          <w:rFonts w:hint="eastAsia" w:ascii="仿宋" w:hAnsi="仿宋" w:eastAsia="仿宋" w:cs="仿宋"/>
          <w:color w:val="auto"/>
          <w:sz w:val="24"/>
          <w:szCs w:val="24"/>
          <w:highlight w:val="none"/>
          <w:lang w:val="zh-CN" w:eastAsia="zh-CN"/>
        </w:rPr>
        <w:t>合同</w:t>
      </w:r>
      <w:r>
        <w:rPr>
          <w:rFonts w:hint="eastAsia" w:ascii="仿宋" w:hAnsi="仿宋" w:eastAsia="仿宋" w:cs="仿宋"/>
          <w:color w:val="auto"/>
          <w:sz w:val="24"/>
          <w:szCs w:val="24"/>
          <w:highlight w:val="none"/>
          <w:lang w:val="zh-CN"/>
        </w:rPr>
        <w:t>款中扣除。</w:t>
      </w:r>
    </w:p>
    <w:p>
      <w:pPr>
        <w:pStyle w:val="153"/>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zh-CN" w:eastAsia="zh-CN"/>
        </w:rPr>
        <w:t>因乙方违反本合同约定导致甲方扣除相应履约保证金的，乙方应当在甲方通知乙方扣除履约保证金之日起7日内将扣除部分补足，否则甲方有权自逾期之日起要求乙方按照应补足未补足部分金额的【】%/日支付滞纳金。</w:t>
      </w:r>
    </w:p>
    <w:p>
      <w:pPr>
        <w:adjustRightInd w:val="0"/>
        <w:snapToGrid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六、付款方式</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1、合同款</w:t>
      </w:r>
      <w:r>
        <w:rPr>
          <w:rFonts w:hint="eastAsia" w:ascii="仿宋" w:hAnsi="仿宋" w:eastAsia="仿宋" w:cs="仿宋"/>
          <w:snapToGrid w:val="0"/>
          <w:color w:val="auto"/>
          <w:kern w:val="0"/>
          <w:sz w:val="24"/>
          <w:szCs w:val="24"/>
          <w:highlight w:val="none"/>
        </w:rPr>
        <w:t>按月考核，按季支付</w:t>
      </w:r>
      <w:r>
        <w:rPr>
          <w:rFonts w:hint="eastAsia" w:ascii="仿宋" w:hAnsi="仿宋" w:eastAsia="仿宋" w:cs="仿宋"/>
          <w:snapToGrid w:val="0"/>
          <w:color w:val="auto"/>
          <w:kern w:val="0"/>
          <w:sz w:val="24"/>
          <w:szCs w:val="24"/>
          <w:highlight w:val="none"/>
          <w:lang w:eastAsia="zh-CN"/>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第一年度：合同生效且具备实施条件后</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个工作日内</w:t>
      </w:r>
      <w:r>
        <w:rPr>
          <w:rFonts w:hint="eastAsia" w:ascii="仿宋" w:hAnsi="仿宋" w:eastAsia="仿宋" w:cs="仿宋"/>
          <w:snapToGrid w:val="0"/>
          <w:color w:val="auto"/>
          <w:kern w:val="0"/>
          <w:sz w:val="24"/>
          <w:szCs w:val="24"/>
          <w:highlight w:val="none"/>
          <w:lang w:val="en-US" w:eastAsia="zh-CN"/>
        </w:rPr>
        <w:t>，支付第一年或当年</w:t>
      </w:r>
      <w:r>
        <w:rPr>
          <w:rFonts w:hint="eastAsia" w:ascii="仿宋" w:hAnsi="仿宋" w:eastAsia="仿宋" w:cs="仿宋"/>
          <w:snapToGrid w:val="0"/>
          <w:color w:val="auto"/>
          <w:kern w:val="0"/>
          <w:sz w:val="24"/>
          <w:szCs w:val="24"/>
          <w:highlight w:val="none"/>
          <w:lang w:eastAsia="zh-CN"/>
        </w:rPr>
        <w:t>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w:t>
      </w:r>
      <w:r>
        <w:rPr>
          <w:rFonts w:hint="eastAsia" w:ascii="仿宋" w:hAnsi="仿宋" w:eastAsia="仿宋" w:cs="仿宋"/>
          <w:snapToGrid w:val="0"/>
          <w:color w:val="auto"/>
          <w:kern w:val="0"/>
          <w:sz w:val="24"/>
          <w:szCs w:val="24"/>
          <w:highlight w:val="none"/>
        </w:rPr>
        <w:t>年度基价25％</w:t>
      </w:r>
      <w:r>
        <w:rPr>
          <w:rFonts w:hint="eastAsia" w:ascii="仿宋" w:hAnsi="仿宋" w:eastAsia="仿宋" w:cs="仿宋"/>
          <w:snapToGrid w:val="0"/>
          <w:color w:val="auto"/>
          <w:kern w:val="0"/>
          <w:sz w:val="24"/>
          <w:szCs w:val="24"/>
          <w:highlight w:val="none"/>
          <w:lang w:eastAsia="zh-CN"/>
        </w:rPr>
        <w:t>经考核后</w:t>
      </w:r>
      <w:r>
        <w:rPr>
          <w:rFonts w:hint="eastAsia" w:ascii="仿宋" w:hAnsi="仿宋" w:eastAsia="仿宋" w:cs="仿宋"/>
          <w:snapToGrid w:val="0"/>
          <w:color w:val="auto"/>
          <w:kern w:val="0"/>
          <w:sz w:val="24"/>
          <w:szCs w:val="24"/>
          <w:highlight w:val="none"/>
        </w:rPr>
        <w:t>在每季度结束后30天内支付</w:t>
      </w:r>
      <w:r>
        <w:rPr>
          <w:rFonts w:hint="eastAsia" w:ascii="仿宋" w:hAnsi="仿宋" w:eastAsia="仿宋" w:cs="仿宋"/>
          <w:snapToGrid w:val="0"/>
          <w:color w:val="auto"/>
          <w:kern w:val="0"/>
          <w:sz w:val="24"/>
          <w:szCs w:val="24"/>
          <w:highlight w:val="none"/>
          <w:lang w:eastAsia="zh-CN"/>
        </w:rPr>
        <w:t>，第一二季度考核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r>
        <w:rPr>
          <w:rFonts w:hint="eastAsia" w:ascii="仿宋" w:hAnsi="仿宋" w:eastAsia="仿宋" w:cs="仿宋"/>
          <w:snapToGrid w:val="0"/>
          <w:color w:val="auto"/>
          <w:kern w:val="0"/>
          <w:sz w:val="24"/>
          <w:szCs w:val="24"/>
          <w:highlight w:val="none"/>
          <w:lang w:eastAsia="zh-CN"/>
        </w:rPr>
        <w:t>。</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第二年度：</w:t>
      </w:r>
      <w:r>
        <w:rPr>
          <w:rFonts w:hint="eastAsia" w:ascii="仿宋" w:hAnsi="仿宋" w:eastAsia="仿宋" w:cs="仿宋"/>
          <w:snapToGrid w:val="0"/>
          <w:color w:val="auto"/>
          <w:kern w:val="0"/>
          <w:sz w:val="24"/>
          <w:szCs w:val="24"/>
          <w:highlight w:val="none"/>
          <w:lang w:val="en-US" w:eastAsia="zh-CN"/>
        </w:rPr>
        <w:t>第二年服务期生效且具备实施条件后5个工作日内，支付第二年或当年</w:t>
      </w:r>
      <w:r>
        <w:rPr>
          <w:rFonts w:hint="eastAsia" w:ascii="仿宋" w:hAnsi="仿宋" w:eastAsia="仿宋" w:cs="仿宋"/>
          <w:snapToGrid w:val="0"/>
          <w:color w:val="auto"/>
          <w:kern w:val="0"/>
          <w:sz w:val="24"/>
          <w:szCs w:val="24"/>
          <w:highlight w:val="none"/>
          <w:lang w:eastAsia="zh-CN"/>
        </w:rPr>
        <w:t>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w:t>
      </w:r>
      <w:r>
        <w:rPr>
          <w:rFonts w:hint="eastAsia" w:ascii="仿宋" w:hAnsi="仿宋" w:eastAsia="仿宋" w:cs="仿宋"/>
          <w:snapToGrid w:val="0"/>
          <w:color w:val="auto"/>
          <w:kern w:val="0"/>
          <w:sz w:val="24"/>
          <w:szCs w:val="24"/>
          <w:highlight w:val="none"/>
        </w:rPr>
        <w:t>年度基价25％</w:t>
      </w:r>
      <w:r>
        <w:rPr>
          <w:rFonts w:hint="eastAsia" w:ascii="仿宋" w:hAnsi="仿宋" w:eastAsia="仿宋" w:cs="仿宋"/>
          <w:snapToGrid w:val="0"/>
          <w:color w:val="auto"/>
          <w:kern w:val="0"/>
          <w:sz w:val="24"/>
          <w:szCs w:val="24"/>
          <w:highlight w:val="none"/>
          <w:lang w:eastAsia="zh-CN"/>
        </w:rPr>
        <w:t>经考核后</w:t>
      </w:r>
      <w:r>
        <w:rPr>
          <w:rFonts w:hint="eastAsia" w:ascii="仿宋" w:hAnsi="仿宋" w:eastAsia="仿宋" w:cs="仿宋"/>
          <w:snapToGrid w:val="0"/>
          <w:color w:val="auto"/>
          <w:kern w:val="0"/>
          <w:sz w:val="24"/>
          <w:szCs w:val="24"/>
          <w:highlight w:val="none"/>
        </w:rPr>
        <w:t>在每季度结束后30天内支付</w:t>
      </w:r>
      <w:r>
        <w:rPr>
          <w:rFonts w:hint="eastAsia" w:ascii="仿宋" w:hAnsi="仿宋" w:eastAsia="仿宋" w:cs="仿宋"/>
          <w:snapToGrid w:val="0"/>
          <w:color w:val="auto"/>
          <w:kern w:val="0"/>
          <w:sz w:val="24"/>
          <w:szCs w:val="24"/>
          <w:highlight w:val="none"/>
          <w:lang w:eastAsia="zh-CN"/>
        </w:rPr>
        <w:t>，第一二季度考核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r>
        <w:rPr>
          <w:rFonts w:hint="eastAsia" w:ascii="仿宋" w:hAnsi="仿宋" w:eastAsia="仿宋" w:cs="仿宋"/>
          <w:snapToGrid w:val="0"/>
          <w:color w:val="auto"/>
          <w:kern w:val="0"/>
          <w:sz w:val="24"/>
          <w:szCs w:val="24"/>
          <w:highlight w:val="none"/>
          <w:lang w:eastAsia="zh-CN"/>
        </w:rPr>
        <w:t>。</w:t>
      </w:r>
    </w:p>
    <w:p>
      <w:pPr>
        <w:pStyle w:val="153"/>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甲方每次付款前，乙方应向甲方开具等额有效的增值税发票，甲方未收到发票的，有权不予支付相应款项直至乙方提供合格发票，并不承担延迟付款责任。发票认证通过是付款的必要前提之一。</w:t>
      </w:r>
    </w:p>
    <w:p>
      <w:pPr>
        <w:pStyle w:val="153"/>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在签订合同时，</w:t>
      </w:r>
      <w:r>
        <w:rPr>
          <w:rFonts w:hint="eastAsia" w:ascii="仿宋" w:hAnsi="仿宋" w:eastAsia="仿宋" w:cs="仿宋"/>
          <w:snapToGrid w:val="0"/>
          <w:color w:val="auto"/>
          <w:kern w:val="0"/>
          <w:sz w:val="24"/>
          <w:szCs w:val="24"/>
          <w:highlight w:val="none"/>
          <w:lang w:val="en-US" w:eastAsia="zh-CN"/>
        </w:rPr>
        <w:t>乙方</w:t>
      </w:r>
      <w:r>
        <w:rPr>
          <w:rFonts w:hint="eastAsia" w:ascii="仿宋" w:hAnsi="仿宋" w:eastAsia="仿宋" w:cs="仿宋"/>
          <w:snapToGrid w:val="0"/>
          <w:color w:val="auto"/>
          <w:kern w:val="0"/>
          <w:sz w:val="24"/>
          <w:szCs w:val="24"/>
          <w:highlight w:val="none"/>
        </w:rPr>
        <w:t>明确表示无需预付款或者主动要求降低预付款比例的，可不适用前述</w:t>
      </w:r>
      <w:r>
        <w:rPr>
          <w:rFonts w:hint="eastAsia" w:ascii="仿宋" w:hAnsi="仿宋" w:eastAsia="仿宋" w:cs="仿宋"/>
          <w:snapToGrid w:val="0"/>
          <w:color w:val="auto"/>
          <w:kern w:val="0"/>
          <w:sz w:val="24"/>
          <w:szCs w:val="24"/>
          <w:highlight w:val="none"/>
          <w:lang w:val="en-US" w:eastAsia="zh-CN"/>
        </w:rPr>
        <w:t>预付款</w:t>
      </w:r>
      <w:r>
        <w:rPr>
          <w:rFonts w:hint="eastAsia" w:ascii="仿宋" w:hAnsi="仿宋" w:eastAsia="仿宋" w:cs="仿宋"/>
          <w:snapToGrid w:val="0"/>
          <w:color w:val="auto"/>
          <w:kern w:val="0"/>
          <w:sz w:val="24"/>
          <w:szCs w:val="24"/>
          <w:highlight w:val="none"/>
        </w:rPr>
        <w:t>规定</w:t>
      </w:r>
      <w:r>
        <w:rPr>
          <w:rFonts w:hint="eastAsia" w:ascii="仿宋" w:hAnsi="仿宋" w:eastAsia="仿宋" w:cs="仿宋"/>
          <w:snapToGrid w:val="0"/>
          <w:color w:val="auto"/>
          <w:kern w:val="0"/>
          <w:sz w:val="24"/>
          <w:szCs w:val="24"/>
          <w:highlight w:val="none"/>
          <w:lang w:eastAsia="zh-CN"/>
        </w:rPr>
        <w:t>）</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七、违约处理</w:t>
      </w:r>
    </w:p>
    <w:p>
      <w:pPr>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1、考核</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（1）乙方需对误时点</w:t>
      </w:r>
      <w:r>
        <w:rPr>
          <w:rFonts w:hint="default" w:ascii="仿宋" w:hAnsi="仿宋" w:eastAsia="仿宋" w:cs="仿宋"/>
          <w:color w:val="auto"/>
          <w:sz w:val="24"/>
          <w:szCs w:val="24"/>
          <w:highlight w:val="none"/>
          <w:lang w:eastAsia="zh-CN"/>
        </w:rPr>
        <w:t>管理人员</w:t>
      </w:r>
      <w:r>
        <w:rPr>
          <w:rFonts w:hint="eastAsia" w:ascii="仿宋" w:hAnsi="仿宋" w:eastAsia="仿宋" w:cs="仿宋"/>
          <w:color w:val="auto"/>
          <w:sz w:val="24"/>
          <w:szCs w:val="24"/>
          <w:highlight w:val="none"/>
          <w:lang w:val="en-US" w:eastAsia="zh-CN"/>
        </w:rPr>
        <w:t>做好岗前培训工作，熟知垃圾分类知识，积极主动进行二次分拣。</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（2）乙方需做好对误时点</w:t>
      </w:r>
      <w:r>
        <w:rPr>
          <w:rFonts w:hint="default" w:ascii="仿宋" w:hAnsi="仿宋" w:eastAsia="仿宋" w:cs="仿宋"/>
          <w:color w:val="auto"/>
          <w:sz w:val="24"/>
          <w:szCs w:val="24"/>
          <w:highlight w:val="none"/>
          <w:lang w:eastAsia="zh-CN"/>
        </w:rPr>
        <w:t>管理人员</w:t>
      </w:r>
      <w:r>
        <w:rPr>
          <w:rFonts w:hint="eastAsia" w:ascii="仿宋" w:hAnsi="仿宋" w:eastAsia="仿宋" w:cs="仿宋"/>
          <w:color w:val="auto"/>
          <w:sz w:val="24"/>
          <w:szCs w:val="24"/>
          <w:highlight w:val="none"/>
          <w:lang w:val="en-US" w:eastAsia="zh-CN"/>
        </w:rPr>
        <w:t>的日常管理工作，做好员工考勤等工作。</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（3）甲方将对乙方提供的</w:t>
      </w:r>
      <w:r>
        <w:rPr>
          <w:rFonts w:hint="default" w:ascii="仿宋" w:hAnsi="仿宋" w:eastAsia="仿宋" w:cs="仿宋"/>
          <w:color w:val="auto"/>
          <w:sz w:val="24"/>
          <w:szCs w:val="24"/>
          <w:highlight w:val="none"/>
          <w:lang w:eastAsia="zh-CN"/>
        </w:rPr>
        <w:t>管理人员</w:t>
      </w:r>
      <w:r>
        <w:rPr>
          <w:rFonts w:hint="eastAsia" w:ascii="仿宋" w:hAnsi="仿宋" w:eastAsia="仿宋" w:cs="仿宋"/>
          <w:color w:val="auto"/>
          <w:sz w:val="24"/>
          <w:szCs w:val="24"/>
          <w:highlight w:val="none"/>
          <w:lang w:val="en-US" w:eastAsia="zh-CN"/>
        </w:rPr>
        <w:t>进行考核，同时根据市区级检查成绩，出现低分小区时将对中标单位进行扣款。</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（4）甲方对服务</w:t>
      </w:r>
      <w:r>
        <w:rPr>
          <w:rFonts w:hint="default" w:ascii="仿宋" w:hAnsi="仿宋" w:eastAsia="仿宋" w:cs="仿宋"/>
          <w:color w:val="auto"/>
          <w:sz w:val="24"/>
          <w:szCs w:val="24"/>
          <w:highlight w:val="none"/>
          <w:lang w:eastAsia="zh-CN"/>
        </w:rPr>
        <w:t>管理人员</w:t>
      </w:r>
      <w:r>
        <w:rPr>
          <w:rFonts w:hint="eastAsia" w:ascii="仿宋" w:hAnsi="仿宋" w:eastAsia="仿宋" w:cs="仿宋"/>
          <w:color w:val="auto"/>
          <w:sz w:val="24"/>
          <w:szCs w:val="24"/>
          <w:highlight w:val="none"/>
          <w:lang w:val="en-US" w:eastAsia="zh-CN"/>
        </w:rPr>
        <w:t>不满意时，可以要求中标单位无条件更换员工。</w:t>
      </w:r>
    </w:p>
    <w:p>
      <w:pPr>
        <w:spacing w:line="360" w:lineRule="auto"/>
        <w:ind w:firstLine="480" w:firstLineChars="200"/>
        <w:jc w:val="left"/>
        <w:rPr>
          <w:rFonts w:hint="eastAsia"/>
          <w:highlight w:val="none"/>
          <w:lang w:val="en-US" w:eastAsia="zh-CN"/>
        </w:rPr>
      </w:pPr>
      <w:r>
        <w:rPr>
          <w:rFonts w:hint="eastAsia" w:ascii="仿宋" w:hAnsi="仿宋" w:eastAsia="仿宋" w:cs="仿宋"/>
          <w:color w:val="auto"/>
          <w:sz w:val="24"/>
          <w:szCs w:val="24"/>
          <w:highlight w:val="none"/>
          <w:lang w:val="en-US" w:eastAsia="zh-CN"/>
        </w:rPr>
        <w:t>考核办法及标准</w:t>
      </w:r>
      <w:r>
        <w:rPr>
          <w:rFonts w:hint="eastAsia" w:ascii="仿宋" w:hAnsi="仿宋" w:eastAsia="仿宋" w:cs="仿宋"/>
          <w:bCs/>
          <w:color w:val="auto"/>
          <w:sz w:val="24"/>
          <w:szCs w:val="24"/>
          <w:highlight w:val="none"/>
          <w:lang w:val="en-US" w:eastAsia="zh-CN" w:bidi="ar"/>
        </w:rPr>
        <w:t>以甲方最终实施的要求为准。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2、违约责任与解决争议的方法：</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果乙方没有按照合同约定的期限、地址和方式履行，那么甲方可要求乙方支付违约金，违约金按每迟延履行一日的应提供而未提供服务价格的0.05%计算，最高限额为本合同总价的20%；迟延履行的违约金计算数额达到前述最高限额之日起，甲方有权在要求乙方支付违约金的同时，书面通知乙方解除本合同</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除不可抗力外，如果甲方没有按照本合同约定的付款方式付款，那么乙方可要求甲方支付违约金，违约金按每迟延付款一日的应付而未付款的0.05%（可根据情况修改）计算，最高限额为本合同总价的20%；迟延付款的违约金计算数额达到前述最高限额之日起，乙方有权在要求甲方支付违约金的同时，书面通知甲方解除本合同；</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如果出现政府采购监督管理部门在处理投诉事项期间，书面通知甲方暂停采购活动的情形，或者询问或质疑事项可能影响中标结果的，导致甲方中止履行合同的情形，均不视为甲方违约。</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（6）违约责任另有约定的，从其约定。</w:t>
      </w:r>
    </w:p>
    <w:p>
      <w:pPr>
        <w:adjustRightInd w:val="0"/>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z w:val="24"/>
        </w:rPr>
        <w:t>本项目中涉及的垃圾分类小区，若</w:t>
      </w:r>
      <w:r>
        <w:rPr>
          <w:rFonts w:hint="eastAsia" w:ascii="仿宋" w:hAnsi="仿宋" w:eastAsia="仿宋" w:cs="仿宋"/>
          <w:sz w:val="24"/>
          <w:lang w:eastAsia="zh-CN"/>
        </w:rPr>
        <w:t>被</w:t>
      </w:r>
      <w:r>
        <w:rPr>
          <w:rFonts w:hint="eastAsia" w:ascii="仿宋" w:hAnsi="仿宋" w:eastAsia="仿宋" w:cs="仿宋"/>
          <w:sz w:val="24"/>
        </w:rPr>
        <w:t>杭州市市容环卫主管部门或其他行政监管部门</w:t>
      </w:r>
      <w:r>
        <w:rPr>
          <w:rFonts w:hint="eastAsia" w:ascii="仿宋" w:hAnsi="仿宋" w:eastAsia="仿宋" w:cs="仿宋"/>
          <w:sz w:val="24"/>
          <w:lang w:eastAsia="zh-CN"/>
        </w:rPr>
        <w:t>通报批评或检查中列入黑榜，按考核细则扣款，若被通报表扬或检查中列入红榜，甲方给予适当奖励</w:t>
      </w:r>
      <w:r>
        <w:rPr>
          <w:rFonts w:hint="eastAsia" w:ascii="仿宋" w:hAnsi="仿宋" w:eastAsia="仿宋" w:cs="仿宋"/>
          <w:sz w:val="24"/>
        </w:rPr>
        <w:t>。</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乙方应遵守甲方相关规章、制度。</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转让和分包：未经甲方事先书面同意，乙方不得部分转让或全部转让其应履行的合同义务，否则甲方有权终止合同，引起的一切损失由乙方负责。</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6、除不可抗力外，出现下列情形，致使本合同的履行成为不必要或不可能的，甲方有权根据招标文件和相应的法律法规要求对乙方进行处罚，并有权提前终止合同：</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在甲方组织的对乙方的评价中，如出现连续两次或累计三次不合格的，乙方必须更换项目经理。在此之后如再次出现评价不合格的情况，必须由乙方法人代表或总经理出任项目经理直至合同结束。如乙方拒不执行，甲方有权终止合同。</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无正当理由，因</w:t>
      </w:r>
      <w:r>
        <w:rPr>
          <w:rFonts w:hint="eastAsia" w:ascii="仿宋" w:hAnsi="仿宋" w:eastAsia="仿宋" w:cs="仿宋"/>
          <w:color w:val="auto"/>
          <w:sz w:val="24"/>
          <w:szCs w:val="24"/>
          <w:highlight w:val="none"/>
          <w:lang w:val="zh-CN" w:eastAsia="zh-CN"/>
        </w:rPr>
        <w:t>乙方</w:t>
      </w:r>
      <w:r>
        <w:rPr>
          <w:rFonts w:hint="eastAsia" w:ascii="仿宋" w:hAnsi="仿宋" w:eastAsia="仿宋" w:cs="仿宋"/>
          <w:color w:val="auto"/>
          <w:sz w:val="24"/>
          <w:szCs w:val="24"/>
          <w:highlight w:val="none"/>
          <w:lang w:val="en-US" w:eastAsia="zh-CN"/>
        </w:rPr>
        <w:t>自身</w:t>
      </w:r>
      <w:r>
        <w:rPr>
          <w:rFonts w:hint="eastAsia" w:ascii="仿宋" w:hAnsi="仿宋" w:eastAsia="仿宋" w:cs="仿宋"/>
          <w:color w:val="auto"/>
          <w:sz w:val="24"/>
          <w:szCs w:val="24"/>
          <w:highlight w:val="none"/>
          <w:lang w:val="zh-CN" w:eastAsia="zh-CN"/>
        </w:rPr>
        <w:t>原因延期完成技术条款中“项目启动时间” 超过1周或验收整改超过1周的。</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）乙方违反相关法律法规、</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val="zh-CN" w:eastAsia="zh-CN"/>
        </w:rPr>
        <w:t>拒不整改的。</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）甲方在年度考核中，对乙方的扣款超过10万元的、</w:t>
      </w:r>
      <w:r>
        <w:rPr>
          <w:rFonts w:hint="eastAsia" w:ascii="仿宋" w:hAnsi="仿宋" w:eastAsia="仿宋" w:cs="仿宋"/>
          <w:color w:val="auto"/>
          <w:sz w:val="24"/>
          <w:szCs w:val="24"/>
          <w:highlight w:val="none"/>
          <w:lang w:val="en-US" w:eastAsia="zh-CN"/>
        </w:rPr>
        <w:t>或者考核分数连续3个月低于70分的</w:t>
      </w:r>
      <w:r>
        <w:rPr>
          <w:rFonts w:hint="eastAsia" w:ascii="仿宋" w:hAnsi="仿宋" w:eastAsia="仿宋" w:cs="仿宋"/>
          <w:color w:val="auto"/>
          <w:sz w:val="24"/>
          <w:szCs w:val="24"/>
          <w:highlight w:val="none"/>
          <w:lang w:val="zh-CN" w:eastAsia="zh-CN"/>
        </w:rPr>
        <w:t>。</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）乙方在合同期内编造、伪造、捏造虚假数据，一经查实甲方有权立即与乙方解除合同。</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7、对于乙方无法按合同约定完成的工作，在甲方给以一定合理改进期限后仍无法完成的，甲方有权委托第三方完成，所需的合理费用由乙方支付。</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八、验收</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1、本项目需进行履约验收，验收合格报告作为项目支付的依据。</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验收依据：①采购文件确定的技术指标或者服务要求；②投标文件承诺、询标回复；③服务合同、甲方制定的考核标准。未进行相应约定的，应当符合国家强制性规定、政策要求、安全标准、行业或企业有关标准等。</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九、不可抗力</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不可抗力：如果双方中任何一方由于战争、严重火灾、水灾、台风、地震、</w:t>
      </w:r>
      <w:r>
        <w:rPr>
          <w:rFonts w:hint="eastAsia" w:ascii="仿宋" w:hAnsi="仿宋" w:eastAsia="仿宋" w:cs="仿宋"/>
          <w:color w:val="auto"/>
          <w:sz w:val="24"/>
          <w:szCs w:val="24"/>
          <w:highlight w:val="none"/>
          <w:lang w:val="en-US" w:eastAsia="zh-CN"/>
        </w:rPr>
        <w:t>政策因素</w:t>
      </w:r>
      <w:r>
        <w:rPr>
          <w:rFonts w:hint="eastAsia" w:ascii="仿宋" w:hAnsi="仿宋" w:eastAsia="仿宋" w:cs="仿宋"/>
          <w:color w:val="auto"/>
          <w:sz w:val="24"/>
          <w:szCs w:val="24"/>
          <w:highlight w:val="none"/>
          <w:lang w:val="zh-CN"/>
        </w:rPr>
        <w:t>以及其它经双方同意属于不可抗力的事故，致使合同履行受阻时，履行合同的期限应予延长，延长的期限应相当于事故所影响的时间。</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受事故影响的一方应在不可抗力的事故发生后尽快以书面形式通知另一方，并在事故发生后14天内，将有关证明送给另一方。如果不可抗力影响时间延续120天以上的，双方应通过友好协商在合理的时间内达成进一步履行合同的协议。</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十、法律适用与争议解决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种方式解决。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lang w:val="en-US" w:eastAsia="zh-CN"/>
        </w:rPr>
        <w:t>甲方所在地</w:t>
      </w:r>
      <w:r>
        <w:rPr>
          <w:rFonts w:hint="eastAsia" w:ascii="仿宋" w:hAnsi="仿宋" w:eastAsia="仿宋" w:cs="仿宋"/>
          <w:color w:val="auto"/>
          <w:sz w:val="24"/>
          <w:szCs w:val="24"/>
          <w:highlight w:val="none"/>
        </w:rPr>
        <w:t>人民法院提起诉讼。</w:t>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十一、合同生效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1、本合同由甲乙双方签字盖章之日起生效。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2、对本合同的任何修改和补充均应以补充合同的形式作出，由双方签字盖章后生效。本合同的附件、补充合同与本合同具有同等法律效力。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3、本合同部分无效，不影响其他部分效力的，其他部分仍然有效。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4．本合同一式</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份，甲方执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份，乙方执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5．与本合同有关的</w:t>
      </w:r>
      <w:r>
        <w:rPr>
          <w:rFonts w:hint="eastAsia" w:ascii="仿宋" w:hAnsi="仿宋" w:eastAsia="仿宋" w:cs="仿宋"/>
          <w:snapToGrid w:val="0"/>
          <w:color w:val="auto"/>
          <w:sz w:val="24"/>
          <w:szCs w:val="24"/>
          <w:highlight w:val="none"/>
          <w:lang w:val="en-US" w:eastAsia="zh-CN"/>
        </w:rPr>
        <w:t>采购</w:t>
      </w:r>
      <w:r>
        <w:rPr>
          <w:rFonts w:hint="eastAsia" w:ascii="仿宋" w:hAnsi="仿宋" w:eastAsia="仿宋" w:cs="仿宋"/>
          <w:snapToGrid w:val="0"/>
          <w:color w:val="auto"/>
          <w:sz w:val="24"/>
          <w:szCs w:val="24"/>
          <w:highlight w:val="none"/>
        </w:rPr>
        <w:t>文件、投标文件、询价纪要、澄清回复、补充协议等与本合同同样具有法律效力。</w:t>
      </w:r>
    </w:p>
    <w:p>
      <w:pPr>
        <w:adjustRightInd w:val="0"/>
        <w:snapToGrid w:val="0"/>
        <w:spacing w:line="360" w:lineRule="auto"/>
        <w:ind w:firstLine="480" w:firstLineChars="200"/>
        <w:jc w:val="left"/>
        <w:rPr>
          <w:rFonts w:ascii="仿宋" w:hAnsi="仿宋" w:eastAsia="仿宋" w:cs="仿宋"/>
          <w:color w:val="auto"/>
          <w:sz w:val="24"/>
          <w:highlight w:val="none"/>
        </w:rPr>
      </w:pPr>
    </w:p>
    <w:p>
      <w:pPr>
        <w:adjustRightInd w:val="0"/>
        <w:snapToGrid w:val="0"/>
        <w:spacing w:line="360" w:lineRule="auto"/>
        <w:ind w:firstLine="314" w:firstLineChars="131"/>
        <w:rPr>
          <w:rFonts w:ascii="仿宋" w:hAnsi="仿宋" w:eastAsia="仿宋" w:cs="仿宋"/>
          <w:color w:val="auto"/>
          <w:sz w:val="24"/>
          <w:highlight w:val="none"/>
        </w:rPr>
      </w:pPr>
    </w:p>
    <w:p>
      <w:pPr>
        <w:adjustRightInd w:val="0"/>
        <w:snapToGrid w:val="0"/>
        <w:spacing w:line="360" w:lineRule="auto"/>
        <w:ind w:firstLine="482" w:firstLineChars="200"/>
        <w:rPr>
          <w:rFonts w:ascii="仿宋" w:hAnsi="仿宋" w:eastAsia="仿宋" w:cs="仿宋"/>
          <w:b/>
          <w:i/>
          <w:color w:val="auto"/>
          <w:sz w:val="24"/>
          <w:highlight w:val="none"/>
        </w:rPr>
      </w:pPr>
    </w:p>
    <w:p>
      <w:pPr>
        <w:adjustRightInd w:val="0"/>
        <w:snapToGrid w:val="0"/>
        <w:spacing w:line="360" w:lineRule="auto"/>
        <w:ind w:firstLine="482" w:firstLineChars="200"/>
        <w:rPr>
          <w:rFonts w:ascii="仿宋" w:hAnsi="仿宋" w:eastAsia="仿宋" w:cs="仿宋"/>
          <w:b/>
          <w:i/>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p>
    <w:p>
      <w:pPr>
        <w:adjustRightInd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tbl>
      <w:tblPr>
        <w:tblStyle w:val="46"/>
        <w:tblW w:w="8895" w:type="dxa"/>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r>
    </w:tbl>
    <w:p>
      <w:pPr>
        <w:adjustRightInd w:val="0"/>
        <w:snapToGrid w:val="0"/>
        <w:spacing w:line="360" w:lineRule="auto"/>
        <w:rPr>
          <w:rFonts w:ascii="仿宋" w:hAnsi="仿宋" w:eastAsia="仿宋" w:cs="仿宋"/>
          <w:color w:val="auto"/>
          <w:kern w:val="0"/>
          <w:sz w:val="24"/>
          <w:highlight w:val="none"/>
        </w:rPr>
      </w:pP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pPr>
        <w:adjustRightInd w:val="0"/>
        <w:snapToGrid w:val="0"/>
        <w:spacing w:line="360" w:lineRule="auto"/>
        <w:rPr>
          <w:rFonts w:hint="eastAsia" w:ascii="仿宋" w:hAnsi="仿宋" w:eastAsia="仿宋" w:cs="仿宋"/>
          <w:color w:val="auto"/>
          <w:kern w:val="0"/>
          <w:sz w:val="24"/>
          <w:highlight w:val="none"/>
        </w:rPr>
      </w:pPr>
    </w:p>
    <w:p>
      <w:pPr>
        <w:adjustRightInd w:val="0"/>
        <w:snapToGrid w:val="0"/>
        <w:spacing w:line="360" w:lineRule="auto"/>
        <w:rPr>
          <w:rFonts w:hint="eastAsia" w:ascii="仿宋" w:hAnsi="仿宋" w:eastAsia="仿宋" w:cs="仿宋"/>
          <w:color w:val="auto"/>
          <w:kern w:val="0"/>
          <w:sz w:val="24"/>
          <w:highlight w:val="none"/>
        </w:rPr>
      </w:pP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pPr>
        <w:pStyle w:val="4"/>
        <w:rPr>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bookmarkEnd w:id="97"/>
    <w:bookmarkEnd w:id="98"/>
    <w:bookmarkEnd w:id="99"/>
    <w:bookmarkEnd w:id="100"/>
    <w:bookmarkEnd w:id="101"/>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124" w:name="_Toc251566668"/>
      <w:bookmarkStart w:id="125" w:name="_Toc21376"/>
      <w:bookmarkStart w:id="126" w:name="_Toc1306"/>
      <w:bookmarkStart w:id="127" w:name="_Toc234764855"/>
      <w:bookmarkStart w:id="128" w:name="_Toc249760797"/>
      <w:r>
        <w:rPr>
          <w:rFonts w:hint="eastAsia" w:ascii="仿宋" w:hAnsi="仿宋" w:eastAsia="仿宋" w:cs="仿宋"/>
          <w:b/>
          <w:color w:val="auto"/>
          <w:sz w:val="30"/>
          <w:szCs w:val="30"/>
          <w:highlight w:val="none"/>
        </w:rPr>
        <w:t>第六部分  投标文件格式</w:t>
      </w:r>
      <w:bookmarkEnd w:id="124"/>
      <w:bookmarkEnd w:id="125"/>
      <w:bookmarkEnd w:id="126"/>
      <w:bookmarkEnd w:id="127"/>
      <w:bookmarkEnd w:id="128"/>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ascii="仿宋" w:hAnsi="仿宋" w:eastAsia="仿宋" w:cs="仿宋"/>
          <w:b/>
          <w:color w:val="auto"/>
          <w:kern w:val="0"/>
          <w:sz w:val="36"/>
          <w:szCs w:val="36"/>
          <w:highlight w:val="none"/>
        </w:rPr>
      </w:pPr>
      <w:bookmarkStart w:id="129" w:name="_Toc23772"/>
      <w:bookmarkStart w:id="130" w:name="_Toc25507"/>
      <w:bookmarkStart w:id="131" w:name="_Toc31598"/>
      <w:bookmarkStart w:id="132" w:name="_Toc23013"/>
      <w:r>
        <w:rPr>
          <w:rFonts w:hint="eastAsia" w:ascii="仿宋" w:hAnsi="仿宋" w:eastAsia="仿宋" w:cs="仿宋"/>
          <w:b/>
          <w:color w:val="auto"/>
          <w:kern w:val="0"/>
          <w:sz w:val="36"/>
          <w:szCs w:val="36"/>
          <w:highlight w:val="none"/>
        </w:rPr>
        <w:t>资格文件部分</w:t>
      </w:r>
      <w:bookmarkEnd w:id="129"/>
      <w:bookmarkEnd w:id="130"/>
      <w:bookmarkEnd w:id="131"/>
      <w:bookmarkEnd w:id="132"/>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（4）联合协议（如有）……………………………………………………（页码）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pPr>
        <w:snapToGrid w:val="0"/>
        <w:spacing w:line="360" w:lineRule="auto"/>
        <w:ind w:firstLine="420" w:firstLineChars="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_GB2312" w:hAnsi="仿宋" w:eastAsia="仿宋_GB2312" w:cs="仿宋_GB2312"/>
          <w:sz w:val="24"/>
          <w:highlight w:val="none"/>
          <w:u w:val="single"/>
        </w:rPr>
        <w:t>（项目名称）</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u w:val="singl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pStyle w:val="2"/>
        <w:rPr>
          <w:rFonts w:ascii="仿宋_GB2312" w:hAnsi="仿宋" w:eastAsia="仿宋_GB2312" w:cs="仿宋_GB2312"/>
          <w:sz w:val="24"/>
          <w:highlight w:val="none"/>
        </w:rPr>
      </w:pPr>
    </w:p>
    <w:p>
      <w:pPr>
        <w:rPr>
          <w:highlight w:val="none"/>
        </w:rPr>
      </w:pP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年</w:t>
      </w:r>
      <w:r>
        <w:rPr>
          <w:rFonts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二、联合协议</w:t>
      </w:r>
      <w:r>
        <w:rPr>
          <w:rFonts w:hint="eastAsia" w:ascii="仿宋_GB2312" w:hAnsi="仿宋" w:eastAsia="仿宋_GB2312" w:cs="仿宋_GB2312"/>
          <w:b/>
          <w:color w:val="FF0000"/>
          <w:kern w:val="0"/>
          <w:sz w:val="32"/>
          <w:szCs w:val="32"/>
          <w:highlight w:val="none"/>
        </w:rPr>
        <w:t>（如果有）</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三</w:t>
      </w:r>
      <w:r>
        <w:rPr>
          <w:rFonts w:hint="eastAsia" w:ascii="仿宋_GB2312" w:hAnsi="仿宋" w:eastAsia="仿宋_GB2312" w:cs="仿宋_GB2312"/>
          <w:b/>
          <w:kern w:val="0"/>
          <w:sz w:val="32"/>
          <w:szCs w:val="32"/>
          <w:highlight w:val="none"/>
        </w:rPr>
        <w:t>、落实政府采购政策需满足的资格要求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highlight w:val="none"/>
        </w:rPr>
      </w:pPr>
    </w:p>
    <w:p>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pPr>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pPr>
        <w:rPr>
          <w:highlight w:val="none"/>
          <w:lang w:val="zh-CN"/>
        </w:rPr>
      </w:pPr>
      <w:r>
        <w:rPr>
          <w:highlight w:val="none"/>
          <w:lang w:val="zh-CN"/>
        </w:rPr>
        <w:br w:type="page"/>
      </w: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highlight w:val="none"/>
          <w:lang w:val="zh-CN"/>
        </w:rPr>
      </w:pPr>
    </w:p>
    <w:p>
      <w:pPr>
        <w:rPr>
          <w:rFonts w:hint="eastAsia" w:ascii="仿宋_GB2312" w:hAnsi="仿宋" w:eastAsia="仿宋_GB2312" w:cs="仿宋_GB2312"/>
          <w:kern w:val="0"/>
          <w:sz w:val="24"/>
          <w:highlight w:val="none"/>
          <w:lang w:val="en-US" w:eastAsia="zh-CN"/>
        </w:rPr>
      </w:pPr>
      <w:r>
        <w:rPr>
          <w:rFonts w:hint="eastAsia" w:ascii="仿宋_GB2312" w:hAnsi="仿宋" w:eastAsia="仿宋_GB2312" w:cs="仿宋_GB2312"/>
          <w:color w:val="FF0000"/>
          <w:kern w:val="0"/>
          <w:sz w:val="24"/>
          <w:highlight w:val="none"/>
          <w:lang w:val="en-US" w:eastAsia="zh-CN"/>
        </w:rPr>
        <w:t>本项目专门面向中小企业，中小企业声明函示范格式如下：</w:t>
      </w:r>
    </w:p>
    <w:p>
      <w:pPr>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（服务）</w:t>
      </w:r>
    </w:p>
    <w:p>
      <w:pPr>
        <w:pageBreakBefore w:val="0"/>
        <w:widowControl w:val="0"/>
        <w:kinsoku/>
        <w:wordWrap/>
        <w:overflowPunct/>
        <w:topLinePunct w:val="0"/>
        <w:autoSpaceDE/>
        <w:autoSpaceDN/>
        <w:bidi w:val="0"/>
        <w:adjustRightInd w:val="0"/>
        <w:snapToGrid w:val="0"/>
        <w:spacing w:line="360" w:lineRule="auto"/>
        <w:ind w:right="0"/>
        <w:textAlignment w:val="auto"/>
        <w:rPr>
          <w:rFonts w:ascii="仿宋_GB2312" w:hAnsi="仿宋" w:eastAsia="仿宋_GB231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u w:val="single"/>
        </w:rPr>
        <w:t xml:space="preserve"> </w:t>
      </w:r>
      <w:r>
        <w:rPr>
          <w:rFonts w:hint="eastAsia" w:ascii="仿宋_GB2312" w:hAnsi="宋体" w:eastAsia="仿宋_GB2312"/>
          <w:color w:val="FF0000"/>
          <w:sz w:val="24"/>
          <w:highlight w:val="none"/>
          <w:u w:val="single"/>
        </w:rPr>
        <w:t>杭州市钱塘区人民政府白杨街道办事处</w:t>
      </w:r>
      <w:r>
        <w:rPr>
          <w:rFonts w:ascii="仿宋_GB2312" w:hAnsi="宋体" w:eastAsia="仿宋_GB2312"/>
          <w:color w:val="FF0000"/>
          <w:sz w:val="24"/>
          <w:highlight w:val="none"/>
          <w:u w:val="single"/>
        </w:rPr>
        <w:t xml:space="preserve"> </w:t>
      </w:r>
      <w:r>
        <w:rPr>
          <w:rFonts w:hint="eastAsia" w:ascii="仿宋_GB2312" w:hAnsi="宋体" w:eastAsia="仿宋_GB2312"/>
          <w:color w:val="FF0000"/>
          <w:sz w:val="24"/>
          <w:highlight w:val="none"/>
        </w:rPr>
        <w:t>的</w:t>
      </w:r>
      <w:r>
        <w:rPr>
          <w:rFonts w:ascii="仿宋_GB2312" w:hAnsi="宋体" w:eastAsia="仿宋_GB2312"/>
          <w:color w:val="FF0000"/>
          <w:sz w:val="24"/>
          <w:highlight w:val="none"/>
          <w:u w:val="single"/>
        </w:rPr>
        <w:t xml:space="preserve"> </w:t>
      </w:r>
      <w:r>
        <w:rPr>
          <w:rFonts w:hint="eastAsia" w:ascii="仿宋_GB2312" w:hAnsi="宋体" w:eastAsia="仿宋_GB2312"/>
          <w:color w:val="FF0000"/>
          <w:sz w:val="24"/>
          <w:highlight w:val="none"/>
          <w:u w:val="single"/>
          <w:lang w:eastAsia="zh-CN"/>
        </w:rPr>
        <w:t>白杨街道垃圾分类误时投放点管理服务采购项目</w:t>
      </w:r>
      <w:r>
        <w:rPr>
          <w:rFonts w:hint="eastAsia" w:ascii="仿宋" w:hAnsi="仿宋" w:eastAsia="仿宋" w:cs="仿宋"/>
          <w:kern w:val="0"/>
          <w:sz w:val="24"/>
          <w:highlight w:val="none"/>
          <w:u w:val="single"/>
          <w:lang w:val="en-US" w:eastAsia="zh-CN"/>
        </w:rPr>
        <w:t xml:space="preserve"> </w:t>
      </w:r>
      <w:r>
        <w:rPr>
          <w:rFonts w:hint="eastAsia" w:ascii="仿宋_GB2312" w:hAnsi="宋体" w:eastAsia="仿宋_GB2312"/>
          <w:sz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b w:val="0"/>
          <w:bCs w:val="0"/>
          <w:sz w:val="24"/>
          <w:highlight w:val="none"/>
          <w:u w:val="single"/>
          <w:lang w:val="en-US" w:eastAsia="zh-CN"/>
        </w:rPr>
        <w:t xml:space="preserve"> </w:t>
      </w:r>
      <w:r>
        <w:rPr>
          <w:rFonts w:hint="eastAsia" w:ascii="仿宋" w:hAnsi="仿宋" w:eastAsia="仿宋" w:cs="仿宋"/>
          <w:b w:val="0"/>
          <w:bCs w:val="0"/>
          <w:color w:val="FF0000"/>
          <w:kern w:val="0"/>
          <w:sz w:val="24"/>
          <w:szCs w:val="24"/>
          <w:highlight w:val="none"/>
          <w:u w:val="single"/>
          <w:lang w:val="en-US" w:eastAsia="zh-CN"/>
        </w:rPr>
        <w:t>白杨街道垃圾分类误时投放点管理服务</w:t>
      </w:r>
      <w:r>
        <w:rPr>
          <w:rFonts w:hint="eastAsia" w:ascii="仿宋_GB2312" w:hAnsi="宋体" w:eastAsia="仿宋_GB2312"/>
          <w:b w:val="0"/>
          <w:bCs w:val="0"/>
          <w:sz w:val="24"/>
          <w:highlight w:val="none"/>
          <w:u w:val="single"/>
          <w:lang w:val="en-US" w:eastAsia="zh-CN"/>
        </w:rPr>
        <w:t xml:space="preserve"> </w:t>
      </w:r>
      <w:r>
        <w:rPr>
          <w:rFonts w:hint="eastAsia" w:ascii="仿宋_GB2312" w:hAnsi="宋体" w:eastAsia="仿宋_GB2312"/>
          <w:sz w:val="24"/>
          <w:highlight w:val="none"/>
        </w:rPr>
        <w:t>，属于</w:t>
      </w:r>
      <w:r>
        <w:rPr>
          <w:rFonts w:ascii="仿宋_GB2312" w:hAnsi="宋体" w:eastAsia="仿宋_GB2312"/>
          <w:color w:val="FF0000"/>
          <w:sz w:val="24"/>
          <w:highlight w:val="none"/>
          <w:u w:val="single"/>
        </w:rPr>
        <w:t xml:space="preserve"> </w:t>
      </w:r>
      <w:r>
        <w:rPr>
          <w:rFonts w:hint="eastAsia" w:ascii="仿宋_GB2312" w:hAnsi="宋体" w:eastAsia="仿宋_GB2312"/>
          <w:color w:val="FF0000"/>
          <w:sz w:val="24"/>
          <w:highlight w:val="none"/>
          <w:u w:val="single"/>
          <w:lang w:val="en-US" w:eastAsia="zh-CN"/>
        </w:rPr>
        <w:t>租赁和商务服务业</w:t>
      </w:r>
      <w:r>
        <w:rPr>
          <w:rFonts w:hint="eastAsia" w:ascii="仿宋_GB2312" w:hAnsi="宋体" w:eastAsia="仿宋_GB2312" w:cs="Times New Roman"/>
          <w:color w:val="FF0000"/>
          <w:sz w:val="24"/>
          <w:highlight w:val="none"/>
          <w:u w:val="single"/>
          <w:lang w:val="en-US" w:eastAsia="zh-CN"/>
        </w:rPr>
        <w:t xml:space="preserve"> </w:t>
      </w:r>
      <w:r>
        <w:rPr>
          <w:rFonts w:ascii="仿宋_GB2312" w:hAnsi="宋体" w:eastAsia="仿宋_GB2312"/>
          <w:sz w:val="24"/>
          <w:highlight w:val="none"/>
        </w:rPr>
        <w:t>；承接企业为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属于</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w:t>
      </w:r>
      <w:r>
        <w:rPr>
          <w:rFonts w:hint="eastAsia" w:ascii="仿宋_GB2312" w:hAnsi="宋体" w:eastAsia="仿宋_GB2312"/>
          <w:sz w:val="24"/>
          <w:highlight w:val="none"/>
          <w:u w:val="single"/>
          <w:lang w:val="en-US" w:eastAsia="zh-CN"/>
        </w:rPr>
        <w:t>填写</w:t>
      </w:r>
      <w:r>
        <w:rPr>
          <w:rFonts w:ascii="仿宋_GB2312" w:hAnsi="宋体" w:eastAsia="仿宋_GB2312"/>
          <w:sz w:val="24"/>
          <w:highlight w:val="none"/>
          <w:u w:val="single"/>
        </w:rPr>
        <w:t>中型企业</w:t>
      </w:r>
      <w:r>
        <w:rPr>
          <w:rFonts w:hint="eastAsia" w:ascii="仿宋_GB2312" w:hAnsi="宋体" w:eastAsia="仿宋_GB2312"/>
          <w:sz w:val="24"/>
          <w:highlight w:val="none"/>
          <w:u w:val="single"/>
          <w:lang w:val="en-US" w:eastAsia="zh-CN"/>
        </w:rPr>
        <w:t>或</w:t>
      </w:r>
      <w:r>
        <w:rPr>
          <w:rFonts w:ascii="仿宋_GB2312" w:hAnsi="宋体" w:eastAsia="仿宋_GB2312"/>
          <w:sz w:val="24"/>
          <w:highlight w:val="none"/>
          <w:u w:val="single"/>
        </w:rPr>
        <w:t>小型企业</w:t>
      </w:r>
      <w:r>
        <w:rPr>
          <w:rFonts w:hint="eastAsia" w:ascii="仿宋_GB2312" w:hAnsi="宋体" w:eastAsia="仿宋_GB2312"/>
          <w:sz w:val="24"/>
          <w:highlight w:val="none"/>
          <w:u w:val="single"/>
          <w:lang w:val="en-US" w:eastAsia="zh-CN"/>
        </w:rPr>
        <w:t>或</w:t>
      </w:r>
      <w:r>
        <w:rPr>
          <w:rFonts w:ascii="仿宋_GB2312" w:hAnsi="宋体" w:eastAsia="仿宋_GB2312"/>
          <w:sz w:val="24"/>
          <w:highlight w:val="none"/>
          <w:u w:val="single"/>
        </w:rPr>
        <w:t>微型企业</w:t>
      </w:r>
      <w:r>
        <w:rPr>
          <w:rFonts w:hint="eastAsia" w:ascii="仿宋_GB2312" w:hAnsi="宋体" w:eastAsia="仿宋_GB2312"/>
          <w:sz w:val="24"/>
          <w:highlight w:val="none"/>
          <w:u w:val="single"/>
          <w:lang w:val="en-US" w:eastAsia="zh-CN"/>
        </w:rPr>
        <w:t>的一种</w:t>
      </w:r>
      <w:r>
        <w:rPr>
          <w:rFonts w:ascii="仿宋_GB2312" w:hAnsi="宋体" w:eastAsia="仿宋_GB2312"/>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right="0"/>
        <w:jc w:val="right"/>
        <w:textAlignment w:val="auto"/>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highlight w:val="none"/>
          <w:lang w:val="zh-CN"/>
        </w:rPr>
      </w:pP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highlight w:val="none"/>
          <w:lang w:val="zh-CN"/>
        </w:rPr>
      </w:pPr>
    </w:p>
    <w:p>
      <w:pP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ind w:right="420"/>
        <w:jc w:val="center"/>
        <w:outlineLvl w:val="1"/>
        <w:rPr>
          <w:rFonts w:ascii="仿宋" w:hAnsi="仿宋" w:eastAsia="仿宋" w:cs="仿宋"/>
          <w:b/>
          <w:color w:val="auto"/>
          <w:kern w:val="0"/>
          <w:sz w:val="36"/>
          <w:szCs w:val="36"/>
          <w:highlight w:val="none"/>
        </w:rPr>
      </w:pPr>
      <w:bookmarkStart w:id="133" w:name="_Toc23502"/>
      <w:bookmarkStart w:id="134" w:name="_Toc4272"/>
      <w:bookmarkStart w:id="135" w:name="_Toc20051"/>
      <w:bookmarkStart w:id="136" w:name="_Toc3036"/>
      <w:r>
        <w:rPr>
          <w:rFonts w:hint="eastAsia" w:ascii="仿宋" w:hAnsi="仿宋" w:eastAsia="仿宋" w:cs="仿宋"/>
          <w:b/>
          <w:color w:val="auto"/>
          <w:kern w:val="0"/>
          <w:sz w:val="36"/>
          <w:szCs w:val="36"/>
          <w:highlight w:val="none"/>
        </w:rPr>
        <w:t>商务技术文件部分</w:t>
      </w:r>
      <w:bookmarkEnd w:id="133"/>
      <w:bookmarkEnd w:id="134"/>
      <w:bookmarkEnd w:id="135"/>
      <w:bookmarkEnd w:id="136"/>
    </w:p>
    <w:p>
      <w:pPr>
        <w:spacing w:line="360" w:lineRule="auto"/>
        <w:jc w:val="center"/>
        <w:rPr>
          <w:rFonts w:ascii="仿宋" w:hAnsi="仿宋" w:eastAsia="仿宋" w:cs="仿宋"/>
          <w:b/>
          <w:color w:val="auto"/>
          <w:kern w:val="0"/>
          <w:sz w:val="24"/>
          <w:highlight w:val="none"/>
        </w:rPr>
      </w:pPr>
    </w:p>
    <w:p>
      <w:pPr>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投标函…………………………………………………………………………（页码）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授权委托书或法定代表人（单位负责人、自然人本人）身份证明………（页码）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分包意向协议…………………………………………………………………（页码）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符合性审查资料………………………………………………………………（页码）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评标标准相应的商务技术资料………………………………………………（页码）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投标标的清单……………………………………………………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商务技术偏离表………………………………………………………………（页码）</w:t>
      </w:r>
    </w:p>
    <w:p>
      <w:pPr>
        <w:numPr>
          <w:ilvl w:val="0"/>
          <w:numId w:val="10"/>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sz w:val="24"/>
          <w:szCs w:val="24"/>
          <w:highlight w:val="none"/>
        </w:rPr>
        <w:t>……………………………………………（页码）</w:t>
      </w:r>
    </w:p>
    <w:p>
      <w:pPr>
        <w:bidi w:val="0"/>
        <w:rPr>
          <w:highlight w:val="none"/>
          <w:lang w:val="zh-CN"/>
        </w:rPr>
      </w:pPr>
    </w:p>
    <w:p>
      <w:pPr>
        <w:bidi w:val="0"/>
        <w:rPr>
          <w:highlight w:val="none"/>
          <w:lang w:val="zh-CN"/>
        </w:rPr>
      </w:pPr>
    </w:p>
    <w:p>
      <w:pPr>
        <w:bidi w:val="0"/>
        <w:rPr>
          <w:highlight w:val="none"/>
          <w:lang w:val="zh-CN"/>
        </w:rPr>
      </w:pPr>
    </w:p>
    <w:p>
      <w:pPr>
        <w:bidi w:val="0"/>
        <w:rPr>
          <w:highlight w:val="none"/>
          <w:lang w:val="zh-CN"/>
        </w:rPr>
      </w:pPr>
    </w:p>
    <w:p>
      <w:pPr>
        <w:bidi w:val="0"/>
        <w:rPr>
          <w:highlight w:val="none"/>
          <w:lang w:val="zh-CN"/>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2.1.2</w:t>
      </w:r>
      <w:r>
        <w:rPr>
          <w:rFonts w:hint="eastAsia" w:ascii="仿宋_GB2312" w:hAnsi="仿宋" w:eastAsia="仿宋_GB2312" w:cs="仿宋_GB2312"/>
          <w:sz w:val="24"/>
          <w:highlight w:val="none"/>
        </w:rPr>
        <w:t>联合协议；</w:t>
      </w:r>
      <w:r>
        <w:rPr>
          <w:rFonts w:hint="eastAsia" w:ascii="仿宋_GB2312" w:hAnsi="仿宋" w:eastAsia="仿宋_GB2312" w:cs="仿宋_GB2312"/>
          <w:color w:val="FF0000"/>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2.1.3</w:t>
      </w:r>
      <w:r>
        <w:rPr>
          <w:rFonts w:ascii="仿宋_GB2312" w:hAnsi="仿宋" w:eastAsia="仿宋_GB2312" w:cs="仿宋_GB2312"/>
          <w:sz w:val="24"/>
          <w:highlight w:val="none"/>
        </w:rPr>
        <w:t>落实政府采购政策需满足的资格要求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提供中小企业声明函</w:t>
      </w:r>
      <w:r>
        <w:rPr>
          <w:rFonts w:hint="eastAsia" w:ascii="仿宋_GB2312" w:hAnsi="仿宋" w:eastAsia="仿宋_GB2312"/>
          <w:b w:val="0"/>
          <w:bCs/>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_GB2312" w:hAnsi="仿宋" w:eastAsia="仿宋_GB2312" w:cs="仿宋_GB2312"/>
          <w:sz w:val="24"/>
          <w:highlight w:val="none"/>
        </w:rPr>
      </w:pPr>
      <w:r>
        <w:rPr>
          <w:rFonts w:ascii="仿宋_GB2312" w:hAnsi="仿宋" w:eastAsia="仿宋_GB2312" w:cs="仿宋_GB2312"/>
          <w:sz w:val="24"/>
          <w:highlight w:val="none"/>
        </w:rPr>
        <w:t>2.1.</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本项目的特定资格要求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本项目无</w:t>
      </w:r>
      <w:r>
        <w:rPr>
          <w:rFonts w:hint="eastAsia" w:ascii="仿宋_GB2312" w:hAnsi="仿宋" w:eastAsia="仿宋_GB2312"/>
          <w:b w:val="0"/>
          <w:bCs/>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FF0000"/>
          <w:sz w:val="24"/>
          <w:highlight w:val="none"/>
        </w:rPr>
      </w:pPr>
      <w:r>
        <w:rPr>
          <w:rFonts w:hint="eastAsia" w:ascii="仿宋_GB2312" w:hAnsi="仿宋" w:eastAsia="仿宋_GB2312" w:cs="仿宋_GB2312"/>
          <w:sz w:val="24"/>
          <w:highlight w:val="none"/>
          <w:lang w:val="en-US" w:eastAsia="zh-CN"/>
        </w:rPr>
        <w:t>2.2.3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w:t>
      </w:r>
      <w:r>
        <w:rPr>
          <w:rFonts w:hint="eastAsia" w:ascii="仿宋_GB2312" w:hAnsi="仿宋" w:eastAsia="仿宋_GB2312" w:cs="仿宋_GB2312"/>
          <w:color w:val="FF0000"/>
          <w:sz w:val="24"/>
          <w:highlight w:val="none"/>
          <w:lang w:eastAsia="zh-CN"/>
        </w:rPr>
        <w:t>（</w:t>
      </w:r>
      <w:r>
        <w:rPr>
          <w:rFonts w:hint="eastAsia" w:ascii="仿宋_GB2312" w:hAnsi="仿宋" w:eastAsia="仿宋_GB2312"/>
          <w:b w:val="0"/>
          <w:bCs/>
          <w:color w:val="FF0000"/>
          <w:sz w:val="24"/>
          <w:highlight w:val="none"/>
          <w:lang w:eastAsia="zh-CN"/>
        </w:rPr>
        <w:t>如果有</w:t>
      </w:r>
      <w:r>
        <w:rPr>
          <w:rFonts w:hint="eastAsia" w:ascii="仿宋_GB2312" w:hAnsi="仿宋" w:eastAsia="仿宋_GB2312" w:cs="仿宋_GB2312"/>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6</w:t>
      </w:r>
      <w:r>
        <w:rPr>
          <w:rFonts w:hint="eastAsia" w:ascii="仿宋_GB2312" w:hAnsi="仿宋" w:eastAsia="仿宋_GB2312" w:cs="仿宋_GB2312"/>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7</w:t>
      </w:r>
      <w:r>
        <w:rPr>
          <w:rFonts w:ascii="仿宋_GB2312" w:hAnsi="仿宋" w:eastAsia="仿宋_GB2312" w:cs="仿宋_GB2312"/>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kinsoku/>
        <w:wordWrap/>
        <w:overflowPunct/>
        <w:topLinePunct w:val="0"/>
        <w:bidi w:val="0"/>
        <w:adjustRightInd w:val="0"/>
        <w:snapToGrid w:val="0"/>
        <w:spacing w:line="400" w:lineRule="exact"/>
        <w:ind w:left="420" w:leftChars="200"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 w:hAnsi="仿宋" w:eastAsia="仿宋" w:cs="仿宋"/>
          <w:color w:val="auto"/>
          <w:sz w:val="24"/>
          <w:highlight w:val="none"/>
        </w:rPr>
        <w:t>2.3.2投标报价明细表。（自拟）</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仿宋_GB2312" w:hAnsi="仿宋" w:eastAsia="仿宋_GB2312" w:cs="仿宋_GB2312"/>
          <w:kern w:val="0"/>
          <w:sz w:val="24"/>
          <w:highlight w:val="none"/>
          <w:u w:val="single"/>
          <w:lang w:val="zh-CN"/>
        </w:rPr>
      </w:pPr>
      <w:r>
        <w:rPr>
          <w:rFonts w:ascii="仿宋_GB2312" w:hAnsi="仿宋" w:eastAsia="仿宋_GB2312" w:cs="仿宋_GB2312"/>
          <w:sz w:val="24"/>
          <w:highlight w:val="none"/>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pacing w:line="360" w:lineRule="auto"/>
        <w:ind w:right="420"/>
        <w:textAlignment w:val="auto"/>
        <w:outlineLvl w:val="9"/>
        <w:rPr>
          <w:rFonts w:hint="eastAsia" w:ascii="宋体" w:hAnsi="宋体" w:cs="宋体"/>
          <w:sz w:val="24"/>
          <w:highlight w:val="none"/>
        </w:rPr>
      </w:pPr>
    </w:p>
    <w:p>
      <w:pPr>
        <w:keepNext w:val="0"/>
        <w:keepLines w:val="0"/>
        <w:pageBreakBefore w:val="0"/>
        <w:kinsoku/>
        <w:wordWrap/>
        <w:overflowPunct/>
        <w:topLinePunct w:val="0"/>
        <w:bidi w:val="0"/>
        <w:spacing w:line="360" w:lineRule="auto"/>
        <w:ind w:right="420"/>
        <w:textAlignment w:val="auto"/>
        <w:outlineLvl w:val="9"/>
        <w:rPr>
          <w:rFonts w:ascii="宋体" w:hAnsi="宋体" w:cs="宋体"/>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起至</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ascii="仿宋_GB2312" w:hAnsi="仿宋" w:eastAsia="仿宋_GB2312" w:cs="仿宋_GB2312"/>
          <w:color w:val="0000FF"/>
          <w:kern w:val="0"/>
          <w:sz w:val="24"/>
          <w:highlight w:val="none"/>
        </w:rPr>
        <w:t xml:space="preserve"> </w:t>
      </w:r>
      <w:r>
        <w:rPr>
          <w:rFonts w:hint="eastAsia" w:ascii="仿宋_GB2312" w:hAnsi="仿宋" w:eastAsia="仿宋_GB2312" w:cs="仿宋_GB2312"/>
          <w:color w:val="auto"/>
          <w:kern w:val="0"/>
          <w:sz w:val="24"/>
          <w:highlight w:val="none"/>
          <w:lang w:eastAsia="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起至</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highlight w:val="none"/>
        </w:rPr>
      </w:pP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760" w:firstLineChars="2400"/>
        <w:textAlignment w:val="auto"/>
        <w:outlineLvl w:val="9"/>
        <w:rPr>
          <w:highlight w:val="none"/>
        </w:rPr>
      </w:pP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93"/>
        <w:keepNext w:val="0"/>
        <w:keepLines w:val="0"/>
        <w:pageBreakBefore w:val="0"/>
        <w:kinsoku/>
        <w:wordWrap/>
        <w:overflowPunct/>
        <w:topLinePunct w:val="0"/>
        <w:bidi w:val="0"/>
        <w:spacing w:line="360" w:lineRule="auto"/>
        <w:textAlignment w:val="auto"/>
        <w:outlineLvl w:val="9"/>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3"/>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93"/>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sz w:val="24"/>
                <w:highlight w:val="none"/>
              </w:rPr>
            </w:pPr>
          </w:p>
        </w:tc>
      </w:tr>
    </w:tbl>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FF0000"/>
          <w:kern w:val="0"/>
          <w:sz w:val="32"/>
          <w:szCs w:val="32"/>
          <w:highlight w:val="none"/>
          <w:lang w:val="zh-CN"/>
        </w:rPr>
      </w:pPr>
      <w:r>
        <w:rPr>
          <w:rFonts w:hint="eastAsia" w:ascii="仿宋_GB2312" w:hAnsi="仿宋" w:eastAsia="仿宋_GB2312" w:cs="仿宋_GB2312"/>
          <w:b/>
          <w:kern w:val="0"/>
          <w:sz w:val="32"/>
          <w:szCs w:val="32"/>
          <w:highlight w:val="none"/>
          <w:lang w:val="zh-CN"/>
        </w:rPr>
        <w:t>三、分包意向协议</w:t>
      </w:r>
      <w:r>
        <w:rPr>
          <w:rFonts w:hint="eastAsia" w:ascii="仿宋_GB2312" w:hAnsi="仿宋" w:eastAsia="仿宋_GB2312" w:cs="仿宋_GB2312"/>
          <w:b/>
          <w:color w:val="FF0000"/>
          <w:kern w:val="0"/>
          <w:sz w:val="32"/>
          <w:szCs w:val="32"/>
          <w:highlight w:val="none"/>
          <w:lang w:val="zh-CN"/>
        </w:rPr>
        <w:t>（如果有）</w:t>
      </w:r>
    </w:p>
    <w:p>
      <w:pPr>
        <w:keepNext w:val="0"/>
        <w:keepLines w:val="0"/>
        <w:pageBreakBefore w:val="0"/>
        <w:widowControl/>
        <w:kinsoku/>
        <w:wordWrap/>
        <w:overflowPunct/>
        <w:topLinePunct w:val="0"/>
        <w:bidi w:val="0"/>
        <w:spacing w:line="360" w:lineRule="auto"/>
        <w:ind w:firstLine="482" w:firstLineChars="200"/>
        <w:jc w:val="left"/>
        <w:textAlignment w:val="auto"/>
        <w:outlineLvl w:val="9"/>
        <w:rPr>
          <w:rFonts w:ascii="仿宋_GB2312" w:hAnsi="仿宋" w:eastAsia="仿宋_GB2312" w:cs="仿宋_GB2312"/>
          <w:sz w:val="24"/>
          <w:highlight w:val="none"/>
        </w:rPr>
      </w:pPr>
      <w:r>
        <w:rPr>
          <w:rFonts w:hint="eastAsia" w:ascii="仿宋_GB2312" w:hAnsi="仿宋" w:eastAsia="仿宋_GB2312" w:cs="仿宋_GB2312"/>
          <w:b/>
          <w:sz w:val="24"/>
          <w:highlight w:val="none"/>
        </w:rPr>
        <w:t>[中标后以分包方式履行合同的，提供分包意向协议(附件6)；采购人不同意分包或者投标人中标后不以分包方式履行合同的，则不需要提供。]</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四、符合性审查资料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tbl>
      <w:tblPr>
        <w:tblStyle w:val="4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rPr>
            </w:pPr>
            <w:r>
              <w:rPr>
                <w:rFonts w:hint="eastAsia" w:ascii="仿宋" w:hAnsi="仿宋" w:eastAsia="仿宋" w:cs="Times New Roman"/>
                <w:b w:val="0"/>
                <w:bCs/>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lang w:eastAsia="zh-CN"/>
              </w:rPr>
            </w:pPr>
            <w:r>
              <w:rPr>
                <w:rFonts w:hint="eastAsia" w:ascii="仿宋" w:hAnsi="仿宋" w:eastAsia="仿宋" w:cs="Times New Roman"/>
                <w:b w:val="0"/>
                <w:bCs/>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 w:hAnsi="仿宋" w:eastAsia="仿宋"/>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lang w:eastAsia="zh-CN"/>
              </w:rPr>
            </w:pPr>
            <w:r>
              <w:rPr>
                <w:rFonts w:hint="eastAsia" w:ascii="仿宋" w:hAnsi="仿宋" w:eastAsia="仿宋" w:cs="Times New Roman"/>
                <w:b w:val="0"/>
                <w:bCs/>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keepNext w:val="0"/>
        <w:keepLines w:val="0"/>
        <w:pageBreakBefore w:val="0"/>
        <w:kinsoku/>
        <w:wordWrap/>
        <w:overflowPunct/>
        <w:topLinePunct w:val="0"/>
        <w:bidi w:val="0"/>
        <w:spacing w:line="360" w:lineRule="auto"/>
        <w:ind w:right="420"/>
        <w:textAlignment w:val="auto"/>
        <w:outlineLvl w:val="9"/>
        <w:rPr>
          <w:rFonts w:ascii="宋体" w:hAnsi="宋体" w:cs="宋体"/>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五、评标标准相应的商务技术资料</w:t>
      </w:r>
    </w:p>
    <w:p>
      <w:pPr>
        <w:keepNext w:val="0"/>
        <w:keepLines w:val="0"/>
        <w:pageBreakBefore w:val="0"/>
        <w:kinsoku/>
        <w:wordWrap/>
        <w:overflowPunct/>
        <w:topLinePunct w:val="0"/>
        <w:bidi w:val="0"/>
        <w:snapToGrid w:val="0"/>
        <w:spacing w:line="360" w:lineRule="auto"/>
        <w:jc w:val="left"/>
        <w:textAlignment w:val="auto"/>
        <w:outlineLvl w:val="9"/>
        <w:rPr>
          <w:rFonts w:hint="eastAsia" w:ascii="仿宋_GB2312" w:hAnsi="仿宋" w:eastAsia="仿宋_GB2312" w:cs="仿宋_GB2312"/>
          <w:b/>
          <w:sz w:val="24"/>
          <w:highlight w:val="none"/>
        </w:rPr>
      </w:pPr>
    </w:p>
    <w:p>
      <w:pPr>
        <w:keepNext w:val="0"/>
        <w:keepLines w:val="0"/>
        <w:pageBreakBefore w:val="0"/>
        <w:kinsoku/>
        <w:wordWrap/>
        <w:overflowPunct/>
        <w:topLinePunct w:val="0"/>
        <w:bidi w:val="0"/>
        <w:snapToGrid w:val="0"/>
        <w:spacing w:line="360" w:lineRule="auto"/>
        <w:jc w:val="left"/>
        <w:textAlignment w:val="auto"/>
        <w:outlineLvl w:val="9"/>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六、投标标的清单</w:t>
      </w:r>
    </w:p>
    <w:tbl>
      <w:tblPr>
        <w:tblStyle w:val="4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备注</w:t>
            </w:r>
            <w:r>
              <w:rPr>
                <w:rFonts w:hint="eastAsia" w:ascii="宋体" w:hAnsi="宋体" w:cs="宋体"/>
                <w:b/>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bl>
    <w:p>
      <w:pPr>
        <w:keepNext w:val="0"/>
        <w:keepLines w:val="0"/>
        <w:pageBreakBefore w:val="0"/>
        <w:kinsoku/>
        <w:wordWrap/>
        <w:overflowPunct/>
        <w:topLinePunct w:val="0"/>
        <w:bidi w:val="0"/>
        <w:spacing w:line="360" w:lineRule="auto"/>
        <w:ind w:right="420"/>
        <w:textAlignment w:val="auto"/>
        <w:outlineLvl w:val="9"/>
        <w:rPr>
          <w:rFonts w:hint="eastAsia" w:ascii="宋体" w:hAnsi="宋体" w:eastAsia="宋体" w:cs="宋体"/>
          <w:sz w:val="24"/>
          <w:highlight w:val="none"/>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七、商务技术偏离表</w:t>
      </w:r>
    </w:p>
    <w:p>
      <w:pPr>
        <w:keepNext w:val="0"/>
        <w:keepLines w:val="0"/>
        <w:pageBreakBefore w:val="0"/>
        <w:kinsoku/>
        <w:wordWrap/>
        <w:overflowPunct/>
        <w:topLinePunct w:val="0"/>
        <w:bidi w:val="0"/>
        <w:jc w:val="center"/>
        <w:textAlignment w:val="auto"/>
        <w:outlineLvl w:val="9"/>
        <w:rPr>
          <w:rFonts w:hint="eastAsia" w:ascii="仿宋_GB2312" w:hAnsi="仿宋" w:eastAsia="仿宋_GB2312"/>
          <w:b/>
          <w:bCs/>
          <w:sz w:val="24"/>
          <w:highlight w:val="none"/>
        </w:rPr>
      </w:pP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bl>
    <w:p>
      <w:pPr>
        <w:keepNext w:val="0"/>
        <w:keepLines w:val="0"/>
        <w:pageBreakBefore w:val="0"/>
        <w:kinsoku/>
        <w:wordWrap/>
        <w:overflowPunct/>
        <w:topLinePunct w:val="0"/>
        <w:bidi w:val="0"/>
        <w:jc w:val="left"/>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spacing w:line="360" w:lineRule="auto"/>
        <w:ind w:right="420"/>
        <w:textAlignment w:val="auto"/>
        <w:outlineLvl w:val="9"/>
        <w:rPr>
          <w:rFonts w:ascii="宋体" w:hAnsi="宋体" w:cs="宋体"/>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八、政府采购供应商廉洁自律承诺书</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w:t>
      </w:r>
      <w:r>
        <w:rPr>
          <w:rFonts w:hint="eastAsia" w:ascii="仿宋_GB2312" w:hAnsi="仿宋_GB2312" w:eastAsia="仿宋_GB2312" w:cs="仿宋_GB2312"/>
          <w:kern w:val="0"/>
          <w:sz w:val="24"/>
          <w:highlight w:val="none"/>
          <w:lang w:val="en-US" w:eastAsia="zh-CN"/>
        </w:rPr>
        <w:t>监管部门</w:t>
      </w:r>
      <w:r>
        <w:rPr>
          <w:rFonts w:hint="eastAsia" w:ascii="仿宋_GB2312" w:hAnsi="仿宋_GB2312" w:eastAsia="仿宋_GB2312" w:cs="仿宋_GB2312"/>
          <w:kern w:val="0"/>
          <w:sz w:val="24"/>
          <w:highlight w:val="none"/>
          <w:lang w:val="zh-CN"/>
        </w:rPr>
        <w:t>。由此引起的相应损失均由我单位承担。</w:t>
      </w: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bidi w:val="0"/>
        <w:spacing w:line="360" w:lineRule="auto"/>
        <w:ind w:left="4620" w:leftChars="2200"/>
        <w:textAlignment w:val="auto"/>
        <w:outlineLvl w:val="9"/>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pacing w:line="360" w:lineRule="auto"/>
        <w:textAlignment w:val="auto"/>
        <w:outlineLvl w:val="9"/>
        <w:rPr>
          <w:rFonts w:ascii="仿宋" w:hAnsi="仿宋" w:eastAsia="仿宋" w:cs="仿宋"/>
          <w:color w:val="auto"/>
          <w:sz w:val="24"/>
          <w:highlight w:val="none"/>
        </w:rPr>
      </w:pP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bookmarkStart w:id="137" w:name="_Toc29208"/>
      <w:bookmarkStart w:id="138" w:name="_Toc3363"/>
      <w:bookmarkStart w:id="139" w:name="_Toc21062"/>
      <w:bookmarkStart w:id="140" w:name="_Toc5590"/>
      <w:r>
        <w:rPr>
          <w:rFonts w:hint="eastAsia" w:ascii="仿宋" w:hAnsi="仿宋" w:eastAsia="仿宋" w:cs="仿宋"/>
          <w:b/>
          <w:color w:val="auto"/>
          <w:kern w:val="0"/>
          <w:sz w:val="36"/>
          <w:szCs w:val="36"/>
          <w:highlight w:val="none"/>
        </w:rPr>
        <w:t>报价文件部分</w:t>
      </w:r>
      <w:bookmarkEnd w:id="137"/>
      <w:bookmarkEnd w:id="138"/>
      <w:bookmarkEnd w:id="139"/>
      <w:bookmarkEnd w:id="140"/>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_GB2312" w:hAnsi="仿宋" w:eastAsia="仿宋_GB2312" w:cs="仿宋_GB2312"/>
          <w:color w:val="auto"/>
          <w:sz w:val="24"/>
          <w:highlight w:val="none"/>
        </w:rPr>
        <w:t>投标报价明细表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17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17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141" w:name="_Toc9655"/>
      <w:bookmarkStart w:id="142" w:name="_Toc17498"/>
      <w:bookmarkStart w:id="143" w:name="_Toc26125"/>
      <w:bookmarkStart w:id="144" w:name="_Toc16414"/>
      <w:bookmarkStart w:id="145" w:name="_Toc21526"/>
      <w:bookmarkStart w:id="146" w:name="_Toc13843"/>
      <w:bookmarkStart w:id="147" w:name="_Toc5399"/>
      <w:bookmarkStart w:id="148" w:name="_Toc11262"/>
      <w:bookmarkStart w:id="149" w:name="_Toc21682"/>
      <w:bookmarkStart w:id="150" w:name="_Toc11552"/>
      <w:bookmarkStart w:id="151" w:name="_Toc8039"/>
      <w:bookmarkStart w:id="152" w:name="_Toc19569"/>
      <w:bookmarkStart w:id="153" w:name="_Toc25033"/>
      <w:bookmarkStart w:id="154" w:name="_Toc15988"/>
      <w:bookmarkStart w:id="155" w:name="_Toc31352"/>
      <w:r>
        <w:rPr>
          <w:rFonts w:hint="eastAsia" w:ascii="仿宋" w:hAnsi="仿宋" w:eastAsia="仿宋" w:cs="仿宋"/>
          <w:color w:val="auto"/>
          <w:kern w:val="2"/>
          <w:sz w:val="32"/>
          <w:szCs w:val="32"/>
          <w:highlight w:val="none"/>
        </w:rPr>
        <w:t>一、开标一览表（报价表）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投标报价</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元</w:t>
            </w:r>
            <w:r>
              <w:rPr>
                <w:rFonts w:hint="eastAsia" w:ascii="仿宋" w:hAnsi="仿宋" w:eastAsia="仿宋" w:cs="仿宋"/>
                <w:snapToGrid w:val="0"/>
                <w:color w:val="auto"/>
                <w:kern w:val="0"/>
                <w:szCs w:val="21"/>
                <w:highlight w:val="none"/>
                <w:lang w:eastAsia="zh-CN"/>
              </w:rPr>
              <w:t>）</w:t>
            </w:r>
          </w:p>
        </w:tc>
        <w:tc>
          <w:tcPr>
            <w:tcW w:w="6286" w:type="dxa"/>
            <w:noWrap/>
            <w:vAlign w:val="center"/>
          </w:tcPr>
          <w:p>
            <w:pPr>
              <w:adjustRightInd w:val="0"/>
              <w:snapToGrid w:val="0"/>
              <w:ind w:left="72"/>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备注（大写金额）</w:t>
            </w:r>
          </w:p>
        </w:tc>
        <w:tc>
          <w:tcPr>
            <w:tcW w:w="6286" w:type="dxa"/>
            <w:noWrap/>
            <w:vAlign w:val="center"/>
          </w:tcPr>
          <w:p>
            <w:pPr>
              <w:adjustRightInd w:val="0"/>
              <w:snapToGrid w:val="0"/>
              <w:ind w:left="72"/>
              <w:rPr>
                <w:rFonts w:hint="eastAsia" w:ascii="仿宋" w:hAnsi="仿宋" w:eastAsia="仿宋" w:cs="仿宋"/>
                <w:snapToGrid w:val="0"/>
                <w:color w:val="auto"/>
                <w:kern w:val="0"/>
                <w:szCs w:val="21"/>
                <w:highlight w:val="none"/>
                <w:u w:val="single"/>
                <w:lang w:val="en-US" w:eastAsia="zh-CN"/>
              </w:rPr>
            </w:pPr>
          </w:p>
        </w:tc>
      </w:tr>
    </w:tbl>
    <w:p>
      <w:pPr>
        <w:adjustRightInd w:val="0"/>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rPr>
      </w:pPr>
    </w:p>
    <w:p>
      <w:pPr>
        <w:spacing w:line="360" w:lineRule="auto"/>
        <w:ind w:firstLine="482" w:firstLineChars="200"/>
        <w:rPr>
          <w:rFonts w:ascii="仿宋" w:hAnsi="仿宋" w:eastAsia="仿宋" w:cs="仿宋"/>
          <w:b/>
          <w:color w:val="auto"/>
          <w:kern w:val="0"/>
          <w:sz w:val="24"/>
          <w:highlight w:val="none"/>
        </w:rPr>
      </w:pPr>
    </w:p>
    <w:p>
      <w:pPr>
        <w:pStyle w:val="17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17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白杨街道垃圾分类误时投放点管理服务采购项目</w:t>
      </w:r>
    </w:p>
    <w:p>
      <w:pPr>
        <w:pStyle w:val="18"/>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QTCG-GK-2023-215</w:t>
      </w:r>
    </w:p>
    <w:p>
      <w:pPr>
        <w:rPr>
          <w:rFonts w:ascii="仿宋" w:hAnsi="仿宋" w:eastAsia="仿宋" w:cs="仿宋"/>
          <w:color w:val="auto"/>
          <w:szCs w:val="21"/>
          <w:highlight w:val="none"/>
        </w:rPr>
      </w:pPr>
    </w:p>
    <w:p>
      <w:pPr>
        <w:pStyle w:val="2"/>
        <w:rPr>
          <w:rFonts w:ascii="仿宋" w:hAnsi="仿宋" w:eastAsia="仿宋" w:cs="仿宋"/>
          <w:color w:val="auto"/>
          <w:szCs w:val="21"/>
          <w:highlight w:val="none"/>
        </w:rPr>
      </w:pPr>
      <w:r>
        <w:rPr>
          <w:rFonts w:hint="eastAsia" w:ascii="仿宋" w:hAnsi="仿宋" w:eastAsia="仿宋" w:cs="仿宋"/>
          <w:color w:val="auto"/>
          <w:szCs w:val="21"/>
          <w:highlight w:val="none"/>
        </w:rPr>
        <w:t>（自拟）</w:t>
      </w:r>
    </w:p>
    <w:p>
      <w:pPr>
        <w:rPr>
          <w:rFonts w:ascii="仿宋" w:hAnsi="仿宋" w:eastAsia="仿宋" w:cs="仿宋"/>
          <w:color w:val="auto"/>
          <w:highlight w:val="none"/>
        </w:rPr>
      </w:pP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4.投标人报价低于本项目预算50%的，应当在报价文件中详细阐述不影响服务质量或者诚信履约的具体理由。</w:t>
      </w:r>
    </w:p>
    <w:p>
      <w:pPr>
        <w:adjustRightInd w:val="0"/>
        <w:spacing w:line="360" w:lineRule="auto"/>
        <w:ind w:firstLine="4515" w:firstLineChars="2150"/>
        <w:rPr>
          <w:rFonts w:ascii="仿宋" w:hAnsi="仿宋" w:eastAsia="仿宋" w:cs="仿宋"/>
          <w:color w:val="auto"/>
          <w:szCs w:val="21"/>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73"/>
        <w:keepNext w:val="0"/>
        <w:pageBreakBefore w:val="0"/>
        <w:tabs>
          <w:tab w:val="clear" w:pos="720"/>
        </w:tabs>
        <w:snapToGrid w:val="0"/>
        <w:spacing w:before="120" w:after="120"/>
        <w:ind w:firstLine="643"/>
        <w:outlineLvl w:val="9"/>
        <w:rPr>
          <w:rFonts w:ascii="仿宋" w:hAnsi="仿宋" w:eastAsia="仿宋" w:cs="仿宋"/>
          <w:color w:val="auto"/>
          <w:highlight w:val="none"/>
        </w:rPr>
      </w:pPr>
    </w:p>
    <w:p>
      <w:pPr>
        <w:pStyle w:val="173"/>
        <w:keepNext w:val="0"/>
        <w:pageBreakBefore w:val="0"/>
        <w:tabs>
          <w:tab w:val="clear" w:pos="720"/>
        </w:tabs>
        <w:snapToGrid w:val="0"/>
        <w:spacing w:before="120" w:after="120"/>
        <w:ind w:firstLine="643"/>
        <w:outlineLvl w:val="9"/>
        <w:rPr>
          <w:rFonts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pPr>
        <w:rPr>
          <w:rFonts w:ascii="仿宋" w:hAnsi="仿宋" w:eastAsia="仿宋" w:cs="仿宋"/>
          <w:color w:val="auto"/>
          <w:highlight w:val="none"/>
        </w:rPr>
      </w:pP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156" w:name="OLE_LINK14"/>
      <w:bookmarkStart w:id="157" w:name="OLE_LINK13"/>
      <w:r>
        <w:rPr>
          <w:rFonts w:hint="eastAsia" w:ascii="仿宋" w:hAnsi="仿宋" w:eastAsia="仿宋" w:cs="仿宋"/>
          <w:b/>
          <w:color w:val="auto"/>
          <w:spacing w:val="6"/>
          <w:sz w:val="32"/>
          <w:szCs w:val="32"/>
          <w:highlight w:val="none"/>
        </w:rPr>
        <w:t>残疾人福利性单位声明函</w:t>
      </w:r>
    </w:p>
    <w:bookmarkEnd w:id="156"/>
    <w:bookmarkEnd w:id="157"/>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ascii="宋体" w:hAnsi="宋体" w:cs="宋体"/>
          <w:b/>
          <w:kern w:val="0"/>
          <w:sz w:val="32"/>
          <w:szCs w:val="32"/>
          <w:highlight w:val="none"/>
          <w:lang w:val="zh-CN"/>
        </w:rPr>
      </w:pPr>
      <w:r>
        <w:rPr>
          <w:rFonts w:hint="eastAsia" w:ascii="仿宋" w:hAnsi="仿宋" w:eastAsia="仿宋"/>
          <w:b/>
          <w:bCs/>
          <w:sz w:val="32"/>
          <w:szCs w:val="32"/>
          <w:highlight w:val="none"/>
        </w:rPr>
        <w:t>附件5：</w:t>
      </w:r>
      <w:r>
        <w:rPr>
          <w:rFonts w:hint="eastAsia" w:ascii="仿宋" w:hAnsi="仿宋" w:eastAsia="仿宋"/>
          <w:b/>
          <w:bCs/>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w:t>
      </w:r>
      <w:r>
        <w:rPr>
          <w:rFonts w:hint="eastAsia" w:ascii="仿宋" w:hAnsi="仿宋" w:eastAsia="仿宋" w:cs="仿宋"/>
          <w:kern w:val="0"/>
          <w:sz w:val="24"/>
          <w:highlight w:val="none"/>
          <w:u w:val="single"/>
        </w:rPr>
        <w:t>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158" w:name="_Hlk101131882"/>
      <w:r>
        <w:rPr>
          <w:rFonts w:hint="eastAsia" w:ascii="仿宋" w:hAnsi="仿宋" w:eastAsia="仿宋" w:cs="仿宋"/>
          <w:kern w:val="0"/>
          <w:sz w:val="24"/>
          <w:highlight w:val="none"/>
          <w:u w:val="single"/>
        </w:rPr>
        <w:t>联合体成员X,……</w:t>
      </w:r>
      <w:bookmarkEnd w:id="158"/>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159"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eastAsia="仿宋" w:cs="仿宋"/>
          <w:b/>
          <w:color w:val="FF0000"/>
          <w:kern w:val="0"/>
          <w:sz w:val="24"/>
          <w:highlight w:val="none"/>
          <w:lang w:val="zh-CN"/>
        </w:rPr>
        <w:t>对联合体报价按评标标准确定的比例给予扣除</w:t>
      </w:r>
      <w:r>
        <w:rPr>
          <w:rFonts w:hint="eastAsia" w:ascii="仿宋" w:hAnsi="仿宋" w:eastAsia="仿宋" w:cs="仿宋"/>
          <w:b/>
          <w:kern w:val="0"/>
          <w:sz w:val="24"/>
          <w:highlight w:val="none"/>
          <w:lang w:val="zh-CN"/>
        </w:rPr>
        <w:t>。供应商</w:t>
      </w:r>
      <w:r>
        <w:rPr>
          <w:rFonts w:hint="eastAsia" w:ascii="仿宋" w:hAnsi="仿宋" w:eastAsia="仿宋" w:cs="仿宋"/>
          <w:b/>
          <w:sz w:val="24"/>
          <w:highlight w:val="none"/>
        </w:rPr>
        <w:t>拟享受以上价格扣除政策的，填写有关内容。</w:t>
      </w:r>
      <w:bookmarkEnd w:id="159"/>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160"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160"/>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widowControl/>
        <w:adjustRightInd/>
        <w:jc w:val="left"/>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snapToGrid w:val="0"/>
        <w:spacing w:line="360" w:lineRule="auto"/>
        <w:ind w:left="0" w:leftChars="0" w:firstLine="0" w:firstLineChars="0"/>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pageBreakBefore w:val="0"/>
        <w:tabs>
          <w:tab w:val="left" w:pos="432"/>
        </w:tabs>
        <w:kinsoku/>
        <w:wordWrap/>
        <w:overflowPunct/>
        <w:topLinePunct w:val="0"/>
        <w:bidi w:val="0"/>
        <w:textAlignment w:val="auto"/>
        <w:outlineLvl w:val="9"/>
        <w:rPr>
          <w:rFonts w:hint="eastAsia"/>
          <w:highlight w:val="none"/>
        </w:rPr>
      </w:pP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u w:val="single"/>
        </w:rPr>
        <w:t>（投标人名</w:t>
      </w:r>
      <w:r>
        <w:rPr>
          <w:rFonts w:hint="eastAsia" w:ascii="仿宋" w:hAnsi="仿宋" w:eastAsia="仿宋" w:cs="仿宋"/>
          <w:color w:val="auto"/>
          <w:kern w:val="0"/>
          <w:sz w:val="24"/>
          <w:highlight w:val="none"/>
          <w:u w:val="single"/>
        </w:rPr>
        <w:t>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ageBreakBefore w:val="0"/>
        <w:tabs>
          <w:tab w:val="left" w:pos="432"/>
        </w:tabs>
        <w:kinsoku/>
        <w:wordWrap/>
        <w:overflowPunct/>
        <w:topLinePunct w:val="0"/>
        <w:bidi w:val="0"/>
        <w:ind w:left="664" w:leftChars="316" w:firstLine="228" w:firstLineChars="95"/>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pageBreakBefore w:val="0"/>
        <w:kinsoku/>
        <w:wordWrap/>
        <w:overflowPunct/>
        <w:topLinePunct w:val="0"/>
        <w:bidi w:val="0"/>
        <w:textAlignment w:val="auto"/>
        <w:outlineLvl w:val="9"/>
        <w:rPr>
          <w:rFonts w:hint="eastAsia" w:ascii="仿宋" w:hAnsi="仿宋" w:eastAsia="仿宋" w:cs="仿宋"/>
          <w:highlight w:val="none"/>
        </w:rPr>
      </w:pPr>
      <w:r>
        <w:rPr>
          <w:rFonts w:hint="eastAsia" w:ascii="仿宋" w:hAnsi="仿宋" w:eastAsia="仿宋" w:cs="仿宋"/>
          <w:highlight w:val="none"/>
          <w:lang w:val="zh-CN"/>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eastAsia="仿宋" w:cs="仿宋"/>
          <w:b/>
          <w:color w:val="FF0000"/>
          <w:kern w:val="0"/>
          <w:sz w:val="24"/>
          <w:highlight w:val="none"/>
          <w:lang w:val="zh-CN"/>
        </w:rPr>
        <w:t>，对大中型企业的报价按评标标准确定的比例给予扣除</w:t>
      </w:r>
      <w:r>
        <w:rPr>
          <w:rFonts w:hint="eastAsia" w:ascii="仿宋" w:hAnsi="仿宋" w:eastAsia="仿宋" w:cs="仿宋"/>
          <w:b/>
          <w:kern w:val="0"/>
          <w:sz w:val="24"/>
          <w:highlight w:val="none"/>
          <w:lang w:val="zh-CN"/>
        </w:rPr>
        <w:t>。供应商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pPr>
        <w:pageBreakBefore w:val="0"/>
        <w:kinsoku/>
        <w:wordWrap/>
        <w:overflowPunct/>
        <w:topLinePunct w:val="0"/>
        <w:bidi w:val="0"/>
        <w:snapToGrid w:val="0"/>
        <w:spacing w:line="360" w:lineRule="auto"/>
        <w:jc w:val="right"/>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pPr>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highlight w:val="none"/>
        </w:rPr>
      </w:pPr>
      <w:r>
        <w:rPr>
          <w:rFonts w:hint="eastAsia" w:ascii="仿宋" w:hAnsi="仿宋" w:eastAsia="仿宋" w:cs="仿宋"/>
          <w:kern w:val="0"/>
          <w:sz w:val="24"/>
          <w:highlight w:val="none"/>
          <w:lang w:val="zh-CN"/>
        </w:rPr>
        <w:t>……</w:t>
      </w:r>
    </w:p>
    <w:p>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pageBreakBefore w:val="0"/>
        <w:kinsoku/>
        <w:wordWrap/>
        <w:overflowPunct/>
        <w:topLinePunct w:val="0"/>
        <w:bidi w:val="0"/>
        <w:textAlignment w:val="auto"/>
        <w:outlineLvl w:val="9"/>
        <w:rPr>
          <w:rFonts w:hint="eastAsia" w:ascii="仿宋" w:hAnsi="仿宋" w:eastAsia="仿宋"/>
          <w:b/>
          <w:spacing w:val="6"/>
          <w:sz w:val="32"/>
          <w:szCs w:val="32"/>
          <w:highlight w:val="none"/>
        </w:rPr>
      </w:pPr>
    </w:p>
    <w:p>
      <w:pPr>
        <w:pageBreakBefore w:val="0"/>
        <w:kinsoku/>
        <w:wordWrap/>
        <w:overflowPunct/>
        <w:topLinePunct w:val="0"/>
        <w:bidi w:val="0"/>
        <w:textAlignment w:val="auto"/>
        <w:outlineLvl w:val="9"/>
        <w:rPr>
          <w:rFonts w:hint="eastAsia" w:ascii="仿宋" w:hAnsi="仿宋" w:eastAsia="仿宋"/>
          <w:b/>
          <w:spacing w:val="6"/>
          <w:sz w:val="32"/>
          <w:szCs w:val="32"/>
          <w:highlight w:val="none"/>
        </w:rPr>
      </w:pPr>
      <w:r>
        <w:rPr>
          <w:rFonts w:hint="eastAsia" w:ascii="仿宋" w:hAnsi="仿宋" w:eastAsia="仿宋"/>
          <w:b/>
          <w:spacing w:val="6"/>
          <w:sz w:val="32"/>
          <w:szCs w:val="32"/>
          <w:highlight w:val="none"/>
        </w:rPr>
        <w:br w:type="page"/>
      </w:r>
    </w:p>
    <w:p>
      <w:pPr>
        <w:pageBreakBefore w:val="0"/>
        <w:kinsoku/>
        <w:wordWrap/>
        <w:overflowPunct/>
        <w:topLinePunct w:val="0"/>
        <w:autoSpaceDE w:val="0"/>
        <w:autoSpaceDN w:val="0"/>
        <w:bidi w:val="0"/>
        <w:jc w:val="center"/>
        <w:textAlignment w:val="auto"/>
        <w:outlineLvl w:val="9"/>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hint="eastAsia" w:ascii="仿宋" w:hAnsi="仿宋" w:eastAsia="仿宋"/>
          <w:b/>
          <w:spacing w:val="6"/>
          <w:sz w:val="32"/>
          <w:szCs w:val="32"/>
          <w:highlight w:val="none"/>
          <w:lang w:val="en-US" w:eastAsia="zh-CN"/>
        </w:rPr>
        <w:t>7</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pageBreakBefore w:val="0"/>
        <w:kinsoku/>
        <w:wordWrap/>
        <w:overflowPunct/>
        <w:topLinePunct w:val="0"/>
        <w:bidi w:val="0"/>
        <w:spacing w:line="360" w:lineRule="auto"/>
        <w:jc w:val="center"/>
        <w:textAlignment w:val="auto"/>
        <w:outlineLvl w:val="9"/>
        <w:rPr>
          <w:rFonts w:ascii="仿宋" w:hAnsi="仿宋" w:eastAsia="仿宋" w:cs="仿宋"/>
          <w:color w:val="auto"/>
          <w:sz w:val="24"/>
          <w:highlight w:val="none"/>
          <w:u w:val="single"/>
        </w:rPr>
      </w:pPr>
    </w:p>
    <w:p>
      <w:pPr>
        <w:pageBreakBefore w:val="0"/>
        <w:kinsoku/>
        <w:wordWrap/>
        <w:overflowPunct/>
        <w:topLinePunct w:val="0"/>
        <w:bidi w:val="0"/>
        <w:textAlignment w:val="auto"/>
        <w:outlineLvl w:val="9"/>
        <w:rPr>
          <w:rFonts w:hint="eastAsia" w:ascii="仿宋" w:hAnsi="仿宋" w:eastAsia="仿宋" w:cs="仿宋"/>
          <w:b w:val="0"/>
          <w:bCs/>
          <w:color w:val="FF0000"/>
          <w:sz w:val="24"/>
          <w:szCs w:val="24"/>
          <w:highlight w:val="none"/>
          <w:lang w:val="en-US" w:eastAsia="zh-CN"/>
        </w:rPr>
      </w:pPr>
      <w:r>
        <w:rPr>
          <w:rFonts w:hint="eastAsia" w:ascii="仿宋" w:hAnsi="仿宋" w:eastAsia="仿宋" w:cs="仿宋"/>
          <w:b w:val="0"/>
          <w:bCs/>
          <w:color w:val="FF0000"/>
          <w:sz w:val="24"/>
          <w:szCs w:val="24"/>
          <w:highlight w:val="none"/>
          <w:lang w:val="en-US" w:eastAsia="zh-CN"/>
        </w:rPr>
        <w:t>（资格文件部分有示范格式）</w:t>
      </w:r>
    </w:p>
    <w:p>
      <w:pPr>
        <w:pageBreakBefore w:val="0"/>
        <w:kinsoku/>
        <w:wordWrap/>
        <w:overflowPunct/>
        <w:topLinePunct w:val="0"/>
        <w:bidi w:val="0"/>
        <w:spacing w:line="360" w:lineRule="auto"/>
        <w:jc w:val="center"/>
        <w:textAlignment w:val="auto"/>
        <w:outlineLvl w:val="9"/>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pageBreakBefore w:val="0"/>
        <w:kinsoku/>
        <w:wordWrap/>
        <w:overflowPunct/>
        <w:topLinePunct w:val="0"/>
        <w:bidi w:val="0"/>
        <w:spacing w:line="360" w:lineRule="auto"/>
        <w:textAlignment w:val="auto"/>
        <w:outlineLvl w:val="9"/>
        <w:rPr>
          <w:rFonts w:ascii="仿宋" w:hAnsi="仿宋" w:eastAsia="仿宋" w:cs="仿宋"/>
          <w:color w:val="auto"/>
          <w:highlight w:val="none"/>
        </w:rPr>
      </w:pPr>
    </w:p>
    <w:p>
      <w:pPr>
        <w:pageBreakBefore w:val="0"/>
        <w:kinsoku/>
        <w:wordWrap/>
        <w:overflowPunct/>
        <w:topLinePunct w:val="0"/>
        <w:bidi w:val="0"/>
        <w:spacing w:line="360" w:lineRule="auto"/>
        <w:ind w:firstLine="360" w:firstLineChars="15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val="en-US" w:eastAsia="zh-CN"/>
        </w:rPr>
        <w:t xml:space="preserve">      （采购人）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pageBreakBefore w:val="0"/>
        <w:numPr>
          <w:ilvl w:val="0"/>
          <w:numId w:val="11"/>
        </w:numPr>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w:t>
      </w:r>
    </w:p>
    <w:p>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pageBreakBefore w:val="0"/>
        <w:kinsoku/>
        <w:wordWrap/>
        <w:overflowPunct/>
        <w:topLinePunct w:val="0"/>
        <w:bidi w:val="0"/>
        <w:spacing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pageBreakBefore w:val="0"/>
        <w:kinsoku/>
        <w:wordWrap/>
        <w:overflowPunct/>
        <w:topLinePunct w:val="0"/>
        <w:bidi w:val="0"/>
        <w:spacing w:line="360" w:lineRule="auto"/>
        <w:ind w:right="1760"/>
        <w:jc w:val="righ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pageBreakBefore w:val="0"/>
        <w:kinsoku/>
        <w:wordWrap/>
        <w:overflowPunct/>
        <w:topLinePunct w:val="0"/>
        <w:bidi w:val="0"/>
        <w:spacing w:line="360" w:lineRule="auto"/>
        <w:ind w:right="1120" w:firstLine="4680" w:firstLineChars="195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pageBreakBefore w:val="0"/>
        <w:kinsoku/>
        <w:wordWrap/>
        <w:overflowPunct/>
        <w:topLinePunct w:val="0"/>
        <w:bidi w:val="0"/>
        <w:spacing w:line="360" w:lineRule="auto"/>
        <w:ind w:firstLine="310" w:firstLineChars="147"/>
        <w:jc w:val="left"/>
        <w:textAlignment w:val="auto"/>
        <w:outlineLvl w:val="9"/>
        <w:rPr>
          <w:rFonts w:ascii="仿宋" w:hAnsi="仿宋" w:eastAsia="仿宋" w:cs="仿宋"/>
          <w:b/>
          <w:color w:val="auto"/>
          <w:szCs w:val="21"/>
          <w:highlight w:val="none"/>
        </w:rPr>
      </w:pPr>
    </w:p>
    <w:p>
      <w:pPr>
        <w:pageBreakBefore w:val="0"/>
        <w:kinsoku/>
        <w:wordWrap/>
        <w:overflowPunct/>
        <w:topLinePunct w:val="0"/>
        <w:bidi w:val="0"/>
        <w:spacing w:line="360" w:lineRule="auto"/>
        <w:ind w:right="420"/>
        <w:textAlignment w:val="auto"/>
        <w:outlineLvl w:val="9"/>
        <w:rPr>
          <w:rFonts w:ascii="仿宋_GB2312" w:hAnsi="仿宋" w:eastAsia="仿宋_GB2312" w:cs="仿宋_GB2312"/>
          <w:color w:val="auto"/>
          <w:sz w:val="24"/>
          <w:highlight w:val="none"/>
        </w:rPr>
      </w:pPr>
    </w:p>
    <w:p>
      <w:pPr>
        <w:pageBreakBefore w:val="0"/>
        <w:kinsoku/>
        <w:wordWrap/>
        <w:overflowPunct/>
        <w:topLinePunct w:val="0"/>
        <w:bidi w:val="0"/>
        <w:spacing w:line="360" w:lineRule="auto"/>
        <w:ind w:right="42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ageBreakBefore w:val="0"/>
        <w:kinsoku/>
        <w:wordWrap/>
        <w:overflowPunct/>
        <w:topLinePunct w:val="0"/>
        <w:bidi w:val="0"/>
        <w:spacing w:line="360" w:lineRule="auto"/>
        <w:ind w:right="420"/>
        <w:textAlignment w:val="auto"/>
        <w:outlineLvl w:val="9"/>
        <w:rPr>
          <w:rFonts w:ascii="仿宋" w:hAnsi="仿宋" w:eastAsia="仿宋" w:cs="仿宋"/>
          <w:color w:val="auto"/>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val="0"/>
        <w:kinsoku/>
        <w:wordWrap/>
        <w:overflowPunct/>
        <w:topLinePunct w:val="0"/>
        <w:bidi w:val="0"/>
        <w:spacing w:line="360" w:lineRule="auto"/>
        <w:ind w:right="420"/>
        <w:textAlignment w:val="auto"/>
        <w:outlineLvl w:val="9"/>
        <w:rPr>
          <w:rFonts w:ascii="仿宋" w:hAnsi="仿宋" w:eastAsia="仿宋" w:cs="仿宋"/>
          <w:color w:val="auto"/>
          <w:highlight w:val="none"/>
        </w:rPr>
      </w:pPr>
    </w:p>
    <w:p>
      <w:pPr>
        <w:pStyle w:val="183"/>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pageBreakBefore w:val="0"/>
        <w:kinsoku/>
        <w:wordWrap/>
        <w:overflowPunct/>
        <w:topLinePunct w:val="0"/>
        <w:autoSpaceDE w:val="0"/>
        <w:autoSpaceDN w:val="0"/>
        <w:bidi w:val="0"/>
        <w:jc w:val="center"/>
        <w:textAlignment w:val="auto"/>
        <w:outlineLvl w:val="9"/>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pPr>
        <w:pageBreakBefore w:val="0"/>
        <w:kinsoku/>
        <w:wordWrap/>
        <w:overflowPunct/>
        <w:topLinePunct w:val="0"/>
        <w:bidi w:val="0"/>
        <w:spacing w:line="360" w:lineRule="auto"/>
        <w:jc w:val="center"/>
        <w:textAlignment w:val="auto"/>
        <w:outlineLvl w:val="9"/>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pPr>
        <w:pageBreakBefore w:val="0"/>
        <w:kinsoku/>
        <w:wordWrap/>
        <w:overflowPunct/>
        <w:topLinePunct w:val="0"/>
        <w:bidi w:val="0"/>
        <w:spacing w:line="360" w:lineRule="auto"/>
        <w:jc w:val="center"/>
        <w:textAlignment w:val="auto"/>
        <w:outlineLvl w:val="9"/>
        <w:rPr>
          <w:rFonts w:ascii="仿宋" w:hAnsi="仿宋" w:eastAsia="仿宋" w:cs="仿宋"/>
          <w:b/>
          <w:color w:val="auto"/>
          <w:sz w:val="10"/>
          <w:szCs w:val="10"/>
          <w:highlight w:val="none"/>
        </w:rPr>
      </w:pP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pPr>
        <w:pageBreakBefore w:val="0"/>
        <w:kinsoku/>
        <w:wordWrap/>
        <w:overflowPunct/>
        <w:topLinePunct w:val="0"/>
        <w:bidi w:val="0"/>
        <w:spacing w:line="360" w:lineRule="auto"/>
        <w:ind w:firstLine="420" w:firstLineChars="200"/>
        <w:textAlignment w:val="auto"/>
        <w:outlineLvl w:val="9"/>
        <w:rPr>
          <w:rFonts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pPr>
        <w:pageBreakBefore w:val="0"/>
        <w:kinsoku/>
        <w:wordWrap/>
        <w:overflowPunct/>
        <w:topLinePunct w:val="0"/>
        <w:bidi w:val="0"/>
        <w:spacing w:line="360" w:lineRule="auto"/>
        <w:ind w:firstLine="422" w:firstLineChars="200"/>
        <w:textAlignment w:val="auto"/>
        <w:outlineLvl w:val="9"/>
        <w:rPr>
          <w:rFonts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6"/>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jc w:val="center"/>
              <w:textAlignment w:val="auto"/>
              <w:outlineLvl w:val="9"/>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pPr>
        <w:pStyle w:val="183"/>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pPr>
        <w:pStyle w:val="183"/>
        <w:pageBreakBefore w:val="0"/>
        <w:widowControl w:val="0"/>
        <w:kinsoku/>
        <w:wordWrap/>
        <w:overflowPunct/>
        <w:topLinePunct w:val="0"/>
        <w:bidi w:val="0"/>
        <w:snapToGrid w:val="0"/>
        <w:spacing w:line="500" w:lineRule="exact"/>
        <w:textAlignment w:val="auto"/>
        <w:outlineLvl w:val="9"/>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83"/>
        <w:pageBreakBefore w:val="0"/>
        <w:widowControl w:val="0"/>
        <w:kinsoku/>
        <w:wordWrap/>
        <w:overflowPunct/>
        <w:topLinePunct w:val="0"/>
        <w:bidi w:val="0"/>
        <w:snapToGrid w:val="0"/>
        <w:spacing w:line="500" w:lineRule="exact"/>
        <w:jc w:val="center"/>
        <w:textAlignment w:val="auto"/>
        <w:outlineLvl w:val="9"/>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183"/>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p>
    <w:p>
      <w:pPr>
        <w:pStyle w:val="183"/>
        <w:pageBreakBefore w:val="0"/>
        <w:widowControl w:val="0"/>
        <w:kinsoku/>
        <w:wordWrap/>
        <w:overflowPunct/>
        <w:topLinePunct w:val="0"/>
        <w:bidi w:val="0"/>
        <w:adjustRightInd w:val="0"/>
        <w:snapToGrid w:val="0"/>
        <w:spacing w:line="360" w:lineRule="auto"/>
        <w:jc w:val="both"/>
        <w:textAlignment w:val="auto"/>
        <w:outlineLvl w:val="9"/>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FangSong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p>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D6315F5"/>
    <w:multiLevelType w:val="singleLevel"/>
    <w:tmpl w:val="0D6315F5"/>
    <w:lvl w:ilvl="0" w:tentative="0">
      <w:start w:val="1"/>
      <w:numFmt w:val="decimal"/>
      <w:suff w:val="space"/>
      <w:lvlText w:val="%1."/>
      <w:lvlJc w:val="left"/>
    </w:lvl>
  </w:abstractNum>
  <w:abstractNum w:abstractNumId="6">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BCB5E2A"/>
    <w:multiLevelType w:val="singleLevel"/>
    <w:tmpl w:val="6BCB5E2A"/>
    <w:lvl w:ilvl="0" w:tentative="0">
      <w:start w:val="1"/>
      <w:numFmt w:val="decimal"/>
      <w:suff w:val="space"/>
      <w:lvlText w:val="%1."/>
      <w:lvlJc w:val="left"/>
    </w:lvl>
  </w:abstractNum>
  <w:num w:numId="1">
    <w:abstractNumId w:val="1"/>
  </w:num>
  <w:num w:numId="2">
    <w:abstractNumId w:val="2"/>
  </w:num>
  <w:num w:numId="3">
    <w:abstractNumId w:val="7"/>
  </w:num>
  <w:num w:numId="4">
    <w:abstractNumId w:val="0"/>
  </w:num>
  <w:num w:numId="5">
    <w:abstractNumId w:val="6"/>
  </w:num>
  <w:num w:numId="6">
    <w:abstractNumId w:val="9"/>
  </w:num>
  <w:num w:numId="7">
    <w:abstractNumId w:val="3"/>
  </w:num>
  <w:num w:numId="8">
    <w:abstractNumId w:val="4"/>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5966"/>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562523"/>
    <w:rsid w:val="016A18BB"/>
    <w:rsid w:val="01767F39"/>
    <w:rsid w:val="01837032"/>
    <w:rsid w:val="01891C53"/>
    <w:rsid w:val="018F3568"/>
    <w:rsid w:val="01A026F0"/>
    <w:rsid w:val="01AF1DEF"/>
    <w:rsid w:val="01B5447A"/>
    <w:rsid w:val="01C045F9"/>
    <w:rsid w:val="01C23D30"/>
    <w:rsid w:val="01D40D2C"/>
    <w:rsid w:val="01D85D7E"/>
    <w:rsid w:val="01DD653E"/>
    <w:rsid w:val="01F03100"/>
    <w:rsid w:val="01FC6168"/>
    <w:rsid w:val="02205968"/>
    <w:rsid w:val="023C6877"/>
    <w:rsid w:val="023D593B"/>
    <w:rsid w:val="024A4B3B"/>
    <w:rsid w:val="02546DDA"/>
    <w:rsid w:val="025E069A"/>
    <w:rsid w:val="02676E1B"/>
    <w:rsid w:val="02731095"/>
    <w:rsid w:val="02772BD8"/>
    <w:rsid w:val="029F7028"/>
    <w:rsid w:val="02A77100"/>
    <w:rsid w:val="02C00B3F"/>
    <w:rsid w:val="02EF19D6"/>
    <w:rsid w:val="02F77757"/>
    <w:rsid w:val="02FA23A8"/>
    <w:rsid w:val="032062CB"/>
    <w:rsid w:val="032F0848"/>
    <w:rsid w:val="03310592"/>
    <w:rsid w:val="033A0E9D"/>
    <w:rsid w:val="033F29FA"/>
    <w:rsid w:val="034641C3"/>
    <w:rsid w:val="03485A0F"/>
    <w:rsid w:val="035B47DA"/>
    <w:rsid w:val="036D3BCF"/>
    <w:rsid w:val="036D5065"/>
    <w:rsid w:val="037557A7"/>
    <w:rsid w:val="03756445"/>
    <w:rsid w:val="037E4B04"/>
    <w:rsid w:val="038652C6"/>
    <w:rsid w:val="03936BB9"/>
    <w:rsid w:val="03A9328A"/>
    <w:rsid w:val="03C17E5B"/>
    <w:rsid w:val="03DB2543"/>
    <w:rsid w:val="03FC0994"/>
    <w:rsid w:val="042451DA"/>
    <w:rsid w:val="04266BBA"/>
    <w:rsid w:val="04281C40"/>
    <w:rsid w:val="042E4DD9"/>
    <w:rsid w:val="04325931"/>
    <w:rsid w:val="04513859"/>
    <w:rsid w:val="045F036E"/>
    <w:rsid w:val="046532AA"/>
    <w:rsid w:val="04735F53"/>
    <w:rsid w:val="04757F77"/>
    <w:rsid w:val="04813F74"/>
    <w:rsid w:val="049B4ADB"/>
    <w:rsid w:val="04A21EFD"/>
    <w:rsid w:val="04A76479"/>
    <w:rsid w:val="04B63BFF"/>
    <w:rsid w:val="04BB391E"/>
    <w:rsid w:val="04D57147"/>
    <w:rsid w:val="04F11AB8"/>
    <w:rsid w:val="04FA4853"/>
    <w:rsid w:val="04FC5702"/>
    <w:rsid w:val="04FE5BD1"/>
    <w:rsid w:val="050B0CD7"/>
    <w:rsid w:val="050E113B"/>
    <w:rsid w:val="05103D50"/>
    <w:rsid w:val="052203F1"/>
    <w:rsid w:val="053179BA"/>
    <w:rsid w:val="053921E2"/>
    <w:rsid w:val="053E62FD"/>
    <w:rsid w:val="05407769"/>
    <w:rsid w:val="05455794"/>
    <w:rsid w:val="0549386E"/>
    <w:rsid w:val="054E5ED7"/>
    <w:rsid w:val="056B4BA9"/>
    <w:rsid w:val="059557B1"/>
    <w:rsid w:val="059F0331"/>
    <w:rsid w:val="05A0616A"/>
    <w:rsid w:val="05A133AA"/>
    <w:rsid w:val="05D62E8D"/>
    <w:rsid w:val="05F077D4"/>
    <w:rsid w:val="060D4D85"/>
    <w:rsid w:val="06136FCC"/>
    <w:rsid w:val="061834A6"/>
    <w:rsid w:val="063F1073"/>
    <w:rsid w:val="06477A15"/>
    <w:rsid w:val="064C7D14"/>
    <w:rsid w:val="065426BE"/>
    <w:rsid w:val="06545B13"/>
    <w:rsid w:val="06565F89"/>
    <w:rsid w:val="065E3C59"/>
    <w:rsid w:val="06711361"/>
    <w:rsid w:val="0676065B"/>
    <w:rsid w:val="069B792B"/>
    <w:rsid w:val="06A11AE7"/>
    <w:rsid w:val="06AD2B3B"/>
    <w:rsid w:val="06B4101E"/>
    <w:rsid w:val="06D74D2C"/>
    <w:rsid w:val="06D87FE9"/>
    <w:rsid w:val="06DD48E9"/>
    <w:rsid w:val="06E40402"/>
    <w:rsid w:val="06F14E7D"/>
    <w:rsid w:val="06F15F3E"/>
    <w:rsid w:val="070736C4"/>
    <w:rsid w:val="07272FEF"/>
    <w:rsid w:val="072A05F0"/>
    <w:rsid w:val="07387D99"/>
    <w:rsid w:val="074618E0"/>
    <w:rsid w:val="0756170A"/>
    <w:rsid w:val="07611FC2"/>
    <w:rsid w:val="07701844"/>
    <w:rsid w:val="07810992"/>
    <w:rsid w:val="078656CD"/>
    <w:rsid w:val="07881B83"/>
    <w:rsid w:val="079F1279"/>
    <w:rsid w:val="07A267CB"/>
    <w:rsid w:val="07A85F84"/>
    <w:rsid w:val="07C766EF"/>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752AC1"/>
    <w:rsid w:val="08757F68"/>
    <w:rsid w:val="08895C65"/>
    <w:rsid w:val="089153C7"/>
    <w:rsid w:val="08936E11"/>
    <w:rsid w:val="08A344C0"/>
    <w:rsid w:val="08AD7D17"/>
    <w:rsid w:val="08B7057E"/>
    <w:rsid w:val="08BD56F0"/>
    <w:rsid w:val="08BF66FF"/>
    <w:rsid w:val="08D351BE"/>
    <w:rsid w:val="08DD1D65"/>
    <w:rsid w:val="08DD2846"/>
    <w:rsid w:val="08E13796"/>
    <w:rsid w:val="08E21174"/>
    <w:rsid w:val="08E32E74"/>
    <w:rsid w:val="08F740E9"/>
    <w:rsid w:val="08F84BFB"/>
    <w:rsid w:val="09023E0B"/>
    <w:rsid w:val="091D5275"/>
    <w:rsid w:val="091F1596"/>
    <w:rsid w:val="092422D4"/>
    <w:rsid w:val="092E0CF2"/>
    <w:rsid w:val="0941147D"/>
    <w:rsid w:val="094E5EB9"/>
    <w:rsid w:val="09503F28"/>
    <w:rsid w:val="09647A9E"/>
    <w:rsid w:val="0967778B"/>
    <w:rsid w:val="0972141D"/>
    <w:rsid w:val="098B5CEE"/>
    <w:rsid w:val="09B0689E"/>
    <w:rsid w:val="09E0485F"/>
    <w:rsid w:val="09EF6144"/>
    <w:rsid w:val="09FD39CA"/>
    <w:rsid w:val="0A030A5B"/>
    <w:rsid w:val="0A110ED0"/>
    <w:rsid w:val="0A2A682C"/>
    <w:rsid w:val="0A2C7D49"/>
    <w:rsid w:val="0A4707FD"/>
    <w:rsid w:val="0A4D6348"/>
    <w:rsid w:val="0A690634"/>
    <w:rsid w:val="0AA350C7"/>
    <w:rsid w:val="0AA867C8"/>
    <w:rsid w:val="0AB16EAD"/>
    <w:rsid w:val="0AC92E5A"/>
    <w:rsid w:val="0AE67C59"/>
    <w:rsid w:val="0AEB64A8"/>
    <w:rsid w:val="0AED3445"/>
    <w:rsid w:val="0AF315E8"/>
    <w:rsid w:val="0AF344E1"/>
    <w:rsid w:val="0AFE6184"/>
    <w:rsid w:val="0B1449F6"/>
    <w:rsid w:val="0B1A1E43"/>
    <w:rsid w:val="0B2912D0"/>
    <w:rsid w:val="0B361B49"/>
    <w:rsid w:val="0B476BBC"/>
    <w:rsid w:val="0B48684A"/>
    <w:rsid w:val="0B4D48A4"/>
    <w:rsid w:val="0B533B29"/>
    <w:rsid w:val="0B631A54"/>
    <w:rsid w:val="0B823FD1"/>
    <w:rsid w:val="0B9630C2"/>
    <w:rsid w:val="0B975356"/>
    <w:rsid w:val="0BA7004E"/>
    <w:rsid w:val="0BA8144D"/>
    <w:rsid w:val="0BAD7ADF"/>
    <w:rsid w:val="0BBD4675"/>
    <w:rsid w:val="0BE0144B"/>
    <w:rsid w:val="0BE10566"/>
    <w:rsid w:val="0BEB5940"/>
    <w:rsid w:val="0C004908"/>
    <w:rsid w:val="0C013897"/>
    <w:rsid w:val="0C176CBC"/>
    <w:rsid w:val="0C3236E7"/>
    <w:rsid w:val="0C352A19"/>
    <w:rsid w:val="0C494A35"/>
    <w:rsid w:val="0C49575D"/>
    <w:rsid w:val="0C6D71DA"/>
    <w:rsid w:val="0C6F619B"/>
    <w:rsid w:val="0C756558"/>
    <w:rsid w:val="0C7905D8"/>
    <w:rsid w:val="0C952C04"/>
    <w:rsid w:val="0C95435A"/>
    <w:rsid w:val="0CA87625"/>
    <w:rsid w:val="0CAD6CD5"/>
    <w:rsid w:val="0CAF4411"/>
    <w:rsid w:val="0CB02F58"/>
    <w:rsid w:val="0CB71182"/>
    <w:rsid w:val="0CC7607D"/>
    <w:rsid w:val="0CD31EEE"/>
    <w:rsid w:val="0D2B6157"/>
    <w:rsid w:val="0D3244DD"/>
    <w:rsid w:val="0D5864B2"/>
    <w:rsid w:val="0D6A1AC0"/>
    <w:rsid w:val="0D6B0852"/>
    <w:rsid w:val="0D6D3302"/>
    <w:rsid w:val="0D7F3975"/>
    <w:rsid w:val="0D8C26CD"/>
    <w:rsid w:val="0D9A0057"/>
    <w:rsid w:val="0DA27718"/>
    <w:rsid w:val="0DB1010B"/>
    <w:rsid w:val="0DBB55AD"/>
    <w:rsid w:val="0DE57D7F"/>
    <w:rsid w:val="0E096E39"/>
    <w:rsid w:val="0E1C1EC9"/>
    <w:rsid w:val="0E442EAE"/>
    <w:rsid w:val="0E4C3071"/>
    <w:rsid w:val="0E60507D"/>
    <w:rsid w:val="0E971A66"/>
    <w:rsid w:val="0EA72BA6"/>
    <w:rsid w:val="0EAA475B"/>
    <w:rsid w:val="0EAC11AD"/>
    <w:rsid w:val="0EC74501"/>
    <w:rsid w:val="0EDA0876"/>
    <w:rsid w:val="0EEB4C90"/>
    <w:rsid w:val="0EF162BD"/>
    <w:rsid w:val="0F032F2D"/>
    <w:rsid w:val="0F14495A"/>
    <w:rsid w:val="0F305AAD"/>
    <w:rsid w:val="0F321605"/>
    <w:rsid w:val="0F3353B7"/>
    <w:rsid w:val="0F48505B"/>
    <w:rsid w:val="0F5342DC"/>
    <w:rsid w:val="0F566845"/>
    <w:rsid w:val="0F684F69"/>
    <w:rsid w:val="0F68565B"/>
    <w:rsid w:val="0F687084"/>
    <w:rsid w:val="0F7B6A00"/>
    <w:rsid w:val="0F8A27DB"/>
    <w:rsid w:val="0F96006E"/>
    <w:rsid w:val="0F9F1B67"/>
    <w:rsid w:val="0FA56B5C"/>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D7AF8"/>
    <w:rsid w:val="10B15399"/>
    <w:rsid w:val="10E87676"/>
    <w:rsid w:val="10F378F4"/>
    <w:rsid w:val="10F55783"/>
    <w:rsid w:val="111649EF"/>
    <w:rsid w:val="111C76BD"/>
    <w:rsid w:val="111F3BCF"/>
    <w:rsid w:val="112A66B2"/>
    <w:rsid w:val="11382462"/>
    <w:rsid w:val="114306D4"/>
    <w:rsid w:val="11506166"/>
    <w:rsid w:val="11567833"/>
    <w:rsid w:val="116228F0"/>
    <w:rsid w:val="1163689E"/>
    <w:rsid w:val="117F37A7"/>
    <w:rsid w:val="11896F02"/>
    <w:rsid w:val="118D0A84"/>
    <w:rsid w:val="118E3A37"/>
    <w:rsid w:val="1194645C"/>
    <w:rsid w:val="11967803"/>
    <w:rsid w:val="11A163D0"/>
    <w:rsid w:val="11B23EB0"/>
    <w:rsid w:val="11B562D3"/>
    <w:rsid w:val="11D83EE0"/>
    <w:rsid w:val="11DB1F31"/>
    <w:rsid w:val="11DC0428"/>
    <w:rsid w:val="11E7187D"/>
    <w:rsid w:val="11F65457"/>
    <w:rsid w:val="1203249B"/>
    <w:rsid w:val="1207675D"/>
    <w:rsid w:val="122E4B3D"/>
    <w:rsid w:val="12361FE3"/>
    <w:rsid w:val="1238092A"/>
    <w:rsid w:val="12491D3D"/>
    <w:rsid w:val="125011C5"/>
    <w:rsid w:val="12665CAA"/>
    <w:rsid w:val="126A3793"/>
    <w:rsid w:val="1273400A"/>
    <w:rsid w:val="127759F8"/>
    <w:rsid w:val="1288457B"/>
    <w:rsid w:val="128B45A0"/>
    <w:rsid w:val="12A30010"/>
    <w:rsid w:val="12A400B1"/>
    <w:rsid w:val="12B94748"/>
    <w:rsid w:val="12CE6A83"/>
    <w:rsid w:val="12EB69CE"/>
    <w:rsid w:val="12ED3A80"/>
    <w:rsid w:val="12F2222C"/>
    <w:rsid w:val="12F2530F"/>
    <w:rsid w:val="13021A2C"/>
    <w:rsid w:val="13152DB4"/>
    <w:rsid w:val="132A3E1B"/>
    <w:rsid w:val="133632F5"/>
    <w:rsid w:val="13465BC3"/>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120CA8"/>
    <w:rsid w:val="141D6D49"/>
    <w:rsid w:val="142B1664"/>
    <w:rsid w:val="144759A8"/>
    <w:rsid w:val="14587641"/>
    <w:rsid w:val="145B492E"/>
    <w:rsid w:val="146769B7"/>
    <w:rsid w:val="14791424"/>
    <w:rsid w:val="147B2758"/>
    <w:rsid w:val="14961447"/>
    <w:rsid w:val="149B3737"/>
    <w:rsid w:val="149D6626"/>
    <w:rsid w:val="149F2901"/>
    <w:rsid w:val="14A44639"/>
    <w:rsid w:val="14A7200E"/>
    <w:rsid w:val="14AF52CE"/>
    <w:rsid w:val="14B34ACE"/>
    <w:rsid w:val="14B8155B"/>
    <w:rsid w:val="14C678DA"/>
    <w:rsid w:val="14CB4D1A"/>
    <w:rsid w:val="14D64FA0"/>
    <w:rsid w:val="14DE22A2"/>
    <w:rsid w:val="14F54092"/>
    <w:rsid w:val="14F64B17"/>
    <w:rsid w:val="1525553B"/>
    <w:rsid w:val="15296903"/>
    <w:rsid w:val="152B75D2"/>
    <w:rsid w:val="153C5776"/>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1578BF"/>
    <w:rsid w:val="16162EF0"/>
    <w:rsid w:val="16337E88"/>
    <w:rsid w:val="1640771C"/>
    <w:rsid w:val="164E4741"/>
    <w:rsid w:val="164E668F"/>
    <w:rsid w:val="165635D9"/>
    <w:rsid w:val="1658525F"/>
    <w:rsid w:val="16A1133A"/>
    <w:rsid w:val="16B001AD"/>
    <w:rsid w:val="16F5338F"/>
    <w:rsid w:val="1700661C"/>
    <w:rsid w:val="17193A6D"/>
    <w:rsid w:val="171D2783"/>
    <w:rsid w:val="171F52F1"/>
    <w:rsid w:val="172C3D13"/>
    <w:rsid w:val="173C1070"/>
    <w:rsid w:val="175A32D2"/>
    <w:rsid w:val="176424DC"/>
    <w:rsid w:val="1767731A"/>
    <w:rsid w:val="176C179B"/>
    <w:rsid w:val="176F6360"/>
    <w:rsid w:val="17790994"/>
    <w:rsid w:val="1783643C"/>
    <w:rsid w:val="178B7F80"/>
    <w:rsid w:val="17A54A43"/>
    <w:rsid w:val="17E97420"/>
    <w:rsid w:val="17E979B2"/>
    <w:rsid w:val="17F36885"/>
    <w:rsid w:val="18004438"/>
    <w:rsid w:val="1809236A"/>
    <w:rsid w:val="180E3449"/>
    <w:rsid w:val="18105287"/>
    <w:rsid w:val="18110CF1"/>
    <w:rsid w:val="182527C9"/>
    <w:rsid w:val="183E5722"/>
    <w:rsid w:val="18423C4B"/>
    <w:rsid w:val="18534811"/>
    <w:rsid w:val="187637AB"/>
    <w:rsid w:val="187D6A8B"/>
    <w:rsid w:val="188B0AC6"/>
    <w:rsid w:val="18902376"/>
    <w:rsid w:val="18AB7E54"/>
    <w:rsid w:val="18E17C22"/>
    <w:rsid w:val="18ED7DF7"/>
    <w:rsid w:val="190D3E7D"/>
    <w:rsid w:val="19221422"/>
    <w:rsid w:val="19250B27"/>
    <w:rsid w:val="19264BDF"/>
    <w:rsid w:val="19346A4B"/>
    <w:rsid w:val="193B3A99"/>
    <w:rsid w:val="1940592C"/>
    <w:rsid w:val="195722CB"/>
    <w:rsid w:val="195C5947"/>
    <w:rsid w:val="19671C74"/>
    <w:rsid w:val="19776586"/>
    <w:rsid w:val="199146A9"/>
    <w:rsid w:val="19930F16"/>
    <w:rsid w:val="19A60451"/>
    <w:rsid w:val="19AB7B63"/>
    <w:rsid w:val="19AC7816"/>
    <w:rsid w:val="19C31A2B"/>
    <w:rsid w:val="19D27DA3"/>
    <w:rsid w:val="19D34CDE"/>
    <w:rsid w:val="19D4436D"/>
    <w:rsid w:val="19DC7A10"/>
    <w:rsid w:val="19E26DAC"/>
    <w:rsid w:val="19ED3CEA"/>
    <w:rsid w:val="1A0770C2"/>
    <w:rsid w:val="1A343559"/>
    <w:rsid w:val="1A3641C6"/>
    <w:rsid w:val="1A4F04C3"/>
    <w:rsid w:val="1A4F1C7C"/>
    <w:rsid w:val="1A5176FD"/>
    <w:rsid w:val="1A617DCC"/>
    <w:rsid w:val="1A6C2697"/>
    <w:rsid w:val="1A6D1B43"/>
    <w:rsid w:val="1A831294"/>
    <w:rsid w:val="1A8D3F8F"/>
    <w:rsid w:val="1A9100C3"/>
    <w:rsid w:val="1A9D75F4"/>
    <w:rsid w:val="1ABB3DE0"/>
    <w:rsid w:val="1AC62341"/>
    <w:rsid w:val="1AC6675E"/>
    <w:rsid w:val="1AEA7E63"/>
    <w:rsid w:val="1AEE0B2F"/>
    <w:rsid w:val="1AEE1B94"/>
    <w:rsid w:val="1AFD065A"/>
    <w:rsid w:val="1B03409D"/>
    <w:rsid w:val="1B111517"/>
    <w:rsid w:val="1B152B4D"/>
    <w:rsid w:val="1B2A45D6"/>
    <w:rsid w:val="1B55025B"/>
    <w:rsid w:val="1B5A2E9D"/>
    <w:rsid w:val="1B7C399D"/>
    <w:rsid w:val="1B9A3B85"/>
    <w:rsid w:val="1B9E46F5"/>
    <w:rsid w:val="1BAF5235"/>
    <w:rsid w:val="1BB3174C"/>
    <w:rsid w:val="1BC06EA2"/>
    <w:rsid w:val="1BC34FCD"/>
    <w:rsid w:val="1BC50628"/>
    <w:rsid w:val="1BC50972"/>
    <w:rsid w:val="1BC55301"/>
    <w:rsid w:val="1BC57B47"/>
    <w:rsid w:val="1BC82618"/>
    <w:rsid w:val="1BCD4B2F"/>
    <w:rsid w:val="1BD74EFE"/>
    <w:rsid w:val="1BDE3B4C"/>
    <w:rsid w:val="1C0E3977"/>
    <w:rsid w:val="1C1A6FEC"/>
    <w:rsid w:val="1C1E2754"/>
    <w:rsid w:val="1C225C02"/>
    <w:rsid w:val="1C254629"/>
    <w:rsid w:val="1C2D471C"/>
    <w:rsid w:val="1C3768C3"/>
    <w:rsid w:val="1C393D1E"/>
    <w:rsid w:val="1C3C55D4"/>
    <w:rsid w:val="1C4943A4"/>
    <w:rsid w:val="1C4A6789"/>
    <w:rsid w:val="1C577B84"/>
    <w:rsid w:val="1C5C3956"/>
    <w:rsid w:val="1C654987"/>
    <w:rsid w:val="1C723F66"/>
    <w:rsid w:val="1C746750"/>
    <w:rsid w:val="1C825C78"/>
    <w:rsid w:val="1C8E121B"/>
    <w:rsid w:val="1C8F233B"/>
    <w:rsid w:val="1CA86307"/>
    <w:rsid w:val="1CBA6E7B"/>
    <w:rsid w:val="1CBE2B3D"/>
    <w:rsid w:val="1CD90366"/>
    <w:rsid w:val="1CEE2D5A"/>
    <w:rsid w:val="1D1252E8"/>
    <w:rsid w:val="1D185B98"/>
    <w:rsid w:val="1D1F3740"/>
    <w:rsid w:val="1D2E4533"/>
    <w:rsid w:val="1D361885"/>
    <w:rsid w:val="1D45790F"/>
    <w:rsid w:val="1D5232E9"/>
    <w:rsid w:val="1D542175"/>
    <w:rsid w:val="1D625BC2"/>
    <w:rsid w:val="1D763161"/>
    <w:rsid w:val="1D767C76"/>
    <w:rsid w:val="1D7F6A99"/>
    <w:rsid w:val="1D8E03FA"/>
    <w:rsid w:val="1D8F2F1D"/>
    <w:rsid w:val="1D982ACF"/>
    <w:rsid w:val="1DAB310F"/>
    <w:rsid w:val="1DB14064"/>
    <w:rsid w:val="1DC23D0F"/>
    <w:rsid w:val="1DD71650"/>
    <w:rsid w:val="1DEE1EFA"/>
    <w:rsid w:val="1E12611C"/>
    <w:rsid w:val="1E157A3A"/>
    <w:rsid w:val="1E3078D5"/>
    <w:rsid w:val="1E4644CC"/>
    <w:rsid w:val="1E61167C"/>
    <w:rsid w:val="1E7077F5"/>
    <w:rsid w:val="1E873F99"/>
    <w:rsid w:val="1E8B73A7"/>
    <w:rsid w:val="1E970166"/>
    <w:rsid w:val="1E9811D0"/>
    <w:rsid w:val="1EAA335B"/>
    <w:rsid w:val="1EAE6ECC"/>
    <w:rsid w:val="1EBB2DC6"/>
    <w:rsid w:val="1EBE7E01"/>
    <w:rsid w:val="1F161228"/>
    <w:rsid w:val="1F1906B6"/>
    <w:rsid w:val="1F1D3032"/>
    <w:rsid w:val="1F390D89"/>
    <w:rsid w:val="1F3E7F5B"/>
    <w:rsid w:val="1F4A124B"/>
    <w:rsid w:val="1F513ECC"/>
    <w:rsid w:val="1F583E13"/>
    <w:rsid w:val="1F686EA8"/>
    <w:rsid w:val="1F6A3BAE"/>
    <w:rsid w:val="1F6F027D"/>
    <w:rsid w:val="1F7B7564"/>
    <w:rsid w:val="1F885F5F"/>
    <w:rsid w:val="1F8B0D13"/>
    <w:rsid w:val="1FB3007D"/>
    <w:rsid w:val="1FC86FB2"/>
    <w:rsid w:val="1FE039FF"/>
    <w:rsid w:val="1FFD682A"/>
    <w:rsid w:val="20017C8D"/>
    <w:rsid w:val="200E563D"/>
    <w:rsid w:val="2022167F"/>
    <w:rsid w:val="203C1C0C"/>
    <w:rsid w:val="20570026"/>
    <w:rsid w:val="20583861"/>
    <w:rsid w:val="206E7E55"/>
    <w:rsid w:val="2071673B"/>
    <w:rsid w:val="207724C8"/>
    <w:rsid w:val="20831771"/>
    <w:rsid w:val="208D5545"/>
    <w:rsid w:val="2097311F"/>
    <w:rsid w:val="20A84CA6"/>
    <w:rsid w:val="20BA620C"/>
    <w:rsid w:val="20BD50EA"/>
    <w:rsid w:val="20C22280"/>
    <w:rsid w:val="20C51FFF"/>
    <w:rsid w:val="20C90FE1"/>
    <w:rsid w:val="20CB1F1C"/>
    <w:rsid w:val="20CE35DC"/>
    <w:rsid w:val="20D91FEB"/>
    <w:rsid w:val="20EC236D"/>
    <w:rsid w:val="20F862CA"/>
    <w:rsid w:val="20FA4D71"/>
    <w:rsid w:val="20FB633F"/>
    <w:rsid w:val="20FF4C3E"/>
    <w:rsid w:val="210260CC"/>
    <w:rsid w:val="21192E6C"/>
    <w:rsid w:val="211E47B1"/>
    <w:rsid w:val="213B0E23"/>
    <w:rsid w:val="21410A8D"/>
    <w:rsid w:val="214915A6"/>
    <w:rsid w:val="214F3C0C"/>
    <w:rsid w:val="21535276"/>
    <w:rsid w:val="21812056"/>
    <w:rsid w:val="21977FF2"/>
    <w:rsid w:val="21A56EDA"/>
    <w:rsid w:val="21B002AA"/>
    <w:rsid w:val="21B5199E"/>
    <w:rsid w:val="21BF6859"/>
    <w:rsid w:val="21C32279"/>
    <w:rsid w:val="21D867B6"/>
    <w:rsid w:val="21DB0BBB"/>
    <w:rsid w:val="21F029E2"/>
    <w:rsid w:val="21F5181A"/>
    <w:rsid w:val="22054352"/>
    <w:rsid w:val="221701F3"/>
    <w:rsid w:val="2244378B"/>
    <w:rsid w:val="224C7E9B"/>
    <w:rsid w:val="2254079F"/>
    <w:rsid w:val="22795451"/>
    <w:rsid w:val="228372A6"/>
    <w:rsid w:val="22855412"/>
    <w:rsid w:val="228B768D"/>
    <w:rsid w:val="22AC4FD3"/>
    <w:rsid w:val="22B1623E"/>
    <w:rsid w:val="22B22C63"/>
    <w:rsid w:val="22B318BC"/>
    <w:rsid w:val="22B83C0A"/>
    <w:rsid w:val="22C71DA9"/>
    <w:rsid w:val="22DA316B"/>
    <w:rsid w:val="22E80A9D"/>
    <w:rsid w:val="22EC0514"/>
    <w:rsid w:val="22F70D69"/>
    <w:rsid w:val="23061CAF"/>
    <w:rsid w:val="230963C7"/>
    <w:rsid w:val="230B64DF"/>
    <w:rsid w:val="231A52F5"/>
    <w:rsid w:val="231F64C9"/>
    <w:rsid w:val="232E7024"/>
    <w:rsid w:val="233A4131"/>
    <w:rsid w:val="233A4278"/>
    <w:rsid w:val="233E4A36"/>
    <w:rsid w:val="23607F20"/>
    <w:rsid w:val="23846FD7"/>
    <w:rsid w:val="23B25529"/>
    <w:rsid w:val="23B420F8"/>
    <w:rsid w:val="23BC0851"/>
    <w:rsid w:val="23C1595F"/>
    <w:rsid w:val="23CD6B0E"/>
    <w:rsid w:val="23ED1676"/>
    <w:rsid w:val="23FE2357"/>
    <w:rsid w:val="24624308"/>
    <w:rsid w:val="246F5780"/>
    <w:rsid w:val="247C28FF"/>
    <w:rsid w:val="2499166B"/>
    <w:rsid w:val="24A905E3"/>
    <w:rsid w:val="24AA7332"/>
    <w:rsid w:val="24AC37E9"/>
    <w:rsid w:val="24AF4AB0"/>
    <w:rsid w:val="24B81E16"/>
    <w:rsid w:val="24C63A20"/>
    <w:rsid w:val="24DE0E5E"/>
    <w:rsid w:val="24FB111E"/>
    <w:rsid w:val="251F3280"/>
    <w:rsid w:val="25203277"/>
    <w:rsid w:val="253E3EBC"/>
    <w:rsid w:val="25404CD9"/>
    <w:rsid w:val="25416241"/>
    <w:rsid w:val="254B1650"/>
    <w:rsid w:val="2553463D"/>
    <w:rsid w:val="255B0BA0"/>
    <w:rsid w:val="25763B01"/>
    <w:rsid w:val="25931026"/>
    <w:rsid w:val="25BC5CB5"/>
    <w:rsid w:val="25BE7846"/>
    <w:rsid w:val="25C757F6"/>
    <w:rsid w:val="25CA0C55"/>
    <w:rsid w:val="25DB00D2"/>
    <w:rsid w:val="25E70335"/>
    <w:rsid w:val="25EB0B51"/>
    <w:rsid w:val="25ED2BD0"/>
    <w:rsid w:val="260B3108"/>
    <w:rsid w:val="260C5E52"/>
    <w:rsid w:val="261301D0"/>
    <w:rsid w:val="26140373"/>
    <w:rsid w:val="26195456"/>
    <w:rsid w:val="26280C7C"/>
    <w:rsid w:val="26460C0D"/>
    <w:rsid w:val="26517D5A"/>
    <w:rsid w:val="265A1637"/>
    <w:rsid w:val="265D4D90"/>
    <w:rsid w:val="266427D3"/>
    <w:rsid w:val="266A6683"/>
    <w:rsid w:val="2675674A"/>
    <w:rsid w:val="26843375"/>
    <w:rsid w:val="26846979"/>
    <w:rsid w:val="268B606C"/>
    <w:rsid w:val="269359D8"/>
    <w:rsid w:val="26A4798B"/>
    <w:rsid w:val="26D1232B"/>
    <w:rsid w:val="26EE0FB2"/>
    <w:rsid w:val="273A03D9"/>
    <w:rsid w:val="27512D73"/>
    <w:rsid w:val="27515A3B"/>
    <w:rsid w:val="27540081"/>
    <w:rsid w:val="275A1503"/>
    <w:rsid w:val="27707D9F"/>
    <w:rsid w:val="27710808"/>
    <w:rsid w:val="277736B5"/>
    <w:rsid w:val="2777522A"/>
    <w:rsid w:val="27A256BD"/>
    <w:rsid w:val="27AE05E7"/>
    <w:rsid w:val="27B0758A"/>
    <w:rsid w:val="27BC244A"/>
    <w:rsid w:val="27C93226"/>
    <w:rsid w:val="27E04F87"/>
    <w:rsid w:val="27E3520A"/>
    <w:rsid w:val="280C2F29"/>
    <w:rsid w:val="280E3E73"/>
    <w:rsid w:val="281A5069"/>
    <w:rsid w:val="283C47A1"/>
    <w:rsid w:val="286B3E9F"/>
    <w:rsid w:val="286D568F"/>
    <w:rsid w:val="28771649"/>
    <w:rsid w:val="287A5694"/>
    <w:rsid w:val="28907A65"/>
    <w:rsid w:val="289F2FF8"/>
    <w:rsid w:val="28A74874"/>
    <w:rsid w:val="28AC48F5"/>
    <w:rsid w:val="28AF48FE"/>
    <w:rsid w:val="28B30360"/>
    <w:rsid w:val="28B700D8"/>
    <w:rsid w:val="28B81A59"/>
    <w:rsid w:val="28BC0025"/>
    <w:rsid w:val="28BD749A"/>
    <w:rsid w:val="28BF5BE1"/>
    <w:rsid w:val="28DE736F"/>
    <w:rsid w:val="28E215E7"/>
    <w:rsid w:val="28E75C23"/>
    <w:rsid w:val="28F66F27"/>
    <w:rsid w:val="28F74D45"/>
    <w:rsid w:val="28FE3091"/>
    <w:rsid w:val="28FF44FC"/>
    <w:rsid w:val="29004CA4"/>
    <w:rsid w:val="29060DC1"/>
    <w:rsid w:val="29077127"/>
    <w:rsid w:val="2908154A"/>
    <w:rsid w:val="29122857"/>
    <w:rsid w:val="293E708B"/>
    <w:rsid w:val="29594737"/>
    <w:rsid w:val="295E4802"/>
    <w:rsid w:val="2967522D"/>
    <w:rsid w:val="296E63D4"/>
    <w:rsid w:val="297D2E22"/>
    <w:rsid w:val="29931A80"/>
    <w:rsid w:val="299E45D3"/>
    <w:rsid w:val="299F2675"/>
    <w:rsid w:val="29A671D2"/>
    <w:rsid w:val="29AD6F45"/>
    <w:rsid w:val="29B444FC"/>
    <w:rsid w:val="29BD120F"/>
    <w:rsid w:val="29C769C8"/>
    <w:rsid w:val="29E2264F"/>
    <w:rsid w:val="29E4464B"/>
    <w:rsid w:val="29F36D30"/>
    <w:rsid w:val="29F84CE2"/>
    <w:rsid w:val="2A0343F7"/>
    <w:rsid w:val="2A277F19"/>
    <w:rsid w:val="2A4B31B4"/>
    <w:rsid w:val="2A676A61"/>
    <w:rsid w:val="2A77544F"/>
    <w:rsid w:val="2A7C4B41"/>
    <w:rsid w:val="2A8C5942"/>
    <w:rsid w:val="2AA059B0"/>
    <w:rsid w:val="2AA2170A"/>
    <w:rsid w:val="2AAC3BC6"/>
    <w:rsid w:val="2AC15811"/>
    <w:rsid w:val="2ACE3624"/>
    <w:rsid w:val="2ACF5A8C"/>
    <w:rsid w:val="2ADF4AAE"/>
    <w:rsid w:val="2AF51552"/>
    <w:rsid w:val="2AFE28F4"/>
    <w:rsid w:val="2B0C00B5"/>
    <w:rsid w:val="2B0F60E3"/>
    <w:rsid w:val="2B171B79"/>
    <w:rsid w:val="2B2621F1"/>
    <w:rsid w:val="2B2E661F"/>
    <w:rsid w:val="2B3561CA"/>
    <w:rsid w:val="2B3E61BC"/>
    <w:rsid w:val="2B646A04"/>
    <w:rsid w:val="2B833DCF"/>
    <w:rsid w:val="2B9C72A6"/>
    <w:rsid w:val="2BA867E1"/>
    <w:rsid w:val="2BAA72ED"/>
    <w:rsid w:val="2BAD5346"/>
    <w:rsid w:val="2BB03333"/>
    <w:rsid w:val="2BC67E03"/>
    <w:rsid w:val="2BCC0AF7"/>
    <w:rsid w:val="2BDA19F5"/>
    <w:rsid w:val="2BDC54EB"/>
    <w:rsid w:val="2BF93228"/>
    <w:rsid w:val="2BFC41C0"/>
    <w:rsid w:val="2BFF6824"/>
    <w:rsid w:val="2C08797B"/>
    <w:rsid w:val="2C0E1ED5"/>
    <w:rsid w:val="2C37329E"/>
    <w:rsid w:val="2C3A254F"/>
    <w:rsid w:val="2C4D331F"/>
    <w:rsid w:val="2C7E0919"/>
    <w:rsid w:val="2C8F010A"/>
    <w:rsid w:val="2CA05BB5"/>
    <w:rsid w:val="2CA820AE"/>
    <w:rsid w:val="2CB949F3"/>
    <w:rsid w:val="2CCA2003"/>
    <w:rsid w:val="2CD10B96"/>
    <w:rsid w:val="2CD52350"/>
    <w:rsid w:val="2D076456"/>
    <w:rsid w:val="2D0A3C12"/>
    <w:rsid w:val="2D1947D7"/>
    <w:rsid w:val="2D200AE1"/>
    <w:rsid w:val="2D2D366D"/>
    <w:rsid w:val="2D485824"/>
    <w:rsid w:val="2D6B7AAF"/>
    <w:rsid w:val="2D7979A9"/>
    <w:rsid w:val="2D90359F"/>
    <w:rsid w:val="2D962D8D"/>
    <w:rsid w:val="2DA210D2"/>
    <w:rsid w:val="2DA65AC5"/>
    <w:rsid w:val="2DAD5937"/>
    <w:rsid w:val="2DD11D00"/>
    <w:rsid w:val="2DDC0D17"/>
    <w:rsid w:val="2DDD3AA0"/>
    <w:rsid w:val="2DE07B9D"/>
    <w:rsid w:val="2DE87C4A"/>
    <w:rsid w:val="2DE90351"/>
    <w:rsid w:val="2E0C18B0"/>
    <w:rsid w:val="2E0C73C5"/>
    <w:rsid w:val="2E273777"/>
    <w:rsid w:val="2E3E1438"/>
    <w:rsid w:val="2E4B657B"/>
    <w:rsid w:val="2E6469A0"/>
    <w:rsid w:val="2E7656FD"/>
    <w:rsid w:val="2E7F2143"/>
    <w:rsid w:val="2E81758A"/>
    <w:rsid w:val="2E822F30"/>
    <w:rsid w:val="2E857D2F"/>
    <w:rsid w:val="2E8E5CB9"/>
    <w:rsid w:val="2E9417EC"/>
    <w:rsid w:val="2E9C1C84"/>
    <w:rsid w:val="2EAD0874"/>
    <w:rsid w:val="2EB53575"/>
    <w:rsid w:val="2EE72AF7"/>
    <w:rsid w:val="2EE87514"/>
    <w:rsid w:val="2EF36922"/>
    <w:rsid w:val="2EF62E8D"/>
    <w:rsid w:val="2EFF15EE"/>
    <w:rsid w:val="2F000DF7"/>
    <w:rsid w:val="2F10450B"/>
    <w:rsid w:val="2F130058"/>
    <w:rsid w:val="2F1468C2"/>
    <w:rsid w:val="2F277E48"/>
    <w:rsid w:val="2F5F5B1B"/>
    <w:rsid w:val="2F6971AB"/>
    <w:rsid w:val="2F6C5CA5"/>
    <w:rsid w:val="2F6C7A55"/>
    <w:rsid w:val="2F957CAF"/>
    <w:rsid w:val="2F9D34D5"/>
    <w:rsid w:val="2FC836E2"/>
    <w:rsid w:val="2FCF2A28"/>
    <w:rsid w:val="2FD97E44"/>
    <w:rsid w:val="2FE23FCB"/>
    <w:rsid w:val="2FE5465A"/>
    <w:rsid w:val="2FEA3641"/>
    <w:rsid w:val="2FF454EA"/>
    <w:rsid w:val="2FFB9F57"/>
    <w:rsid w:val="30042D9F"/>
    <w:rsid w:val="30194492"/>
    <w:rsid w:val="302152AE"/>
    <w:rsid w:val="30235E16"/>
    <w:rsid w:val="30387810"/>
    <w:rsid w:val="303956AD"/>
    <w:rsid w:val="30424923"/>
    <w:rsid w:val="30442EDE"/>
    <w:rsid w:val="30527FC5"/>
    <w:rsid w:val="3053398E"/>
    <w:rsid w:val="306D31AB"/>
    <w:rsid w:val="307427C9"/>
    <w:rsid w:val="309950F4"/>
    <w:rsid w:val="30B14C74"/>
    <w:rsid w:val="30B73992"/>
    <w:rsid w:val="30BD6ACE"/>
    <w:rsid w:val="30BF415F"/>
    <w:rsid w:val="30C72B81"/>
    <w:rsid w:val="30C82D31"/>
    <w:rsid w:val="30CB5389"/>
    <w:rsid w:val="3106371A"/>
    <w:rsid w:val="310900FE"/>
    <w:rsid w:val="310D28FD"/>
    <w:rsid w:val="31132938"/>
    <w:rsid w:val="312622CD"/>
    <w:rsid w:val="31282B8E"/>
    <w:rsid w:val="312C75A1"/>
    <w:rsid w:val="313A3CC4"/>
    <w:rsid w:val="3156310C"/>
    <w:rsid w:val="315A1862"/>
    <w:rsid w:val="316049FB"/>
    <w:rsid w:val="317A2589"/>
    <w:rsid w:val="3188610E"/>
    <w:rsid w:val="318A4E74"/>
    <w:rsid w:val="318D5CFE"/>
    <w:rsid w:val="319627F6"/>
    <w:rsid w:val="319F3C19"/>
    <w:rsid w:val="31C132B8"/>
    <w:rsid w:val="31D16BBF"/>
    <w:rsid w:val="31F65A58"/>
    <w:rsid w:val="320B1A06"/>
    <w:rsid w:val="3210733A"/>
    <w:rsid w:val="32263C46"/>
    <w:rsid w:val="32267886"/>
    <w:rsid w:val="322B2A37"/>
    <w:rsid w:val="322B6746"/>
    <w:rsid w:val="3237213F"/>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E7022E"/>
    <w:rsid w:val="330271CA"/>
    <w:rsid w:val="330E5872"/>
    <w:rsid w:val="330E7FD6"/>
    <w:rsid w:val="33161561"/>
    <w:rsid w:val="331E7F08"/>
    <w:rsid w:val="331F6A4D"/>
    <w:rsid w:val="334603F1"/>
    <w:rsid w:val="3353338A"/>
    <w:rsid w:val="33701A05"/>
    <w:rsid w:val="33702795"/>
    <w:rsid w:val="337C00DB"/>
    <w:rsid w:val="33C62D00"/>
    <w:rsid w:val="33CE4A55"/>
    <w:rsid w:val="33DE50CB"/>
    <w:rsid w:val="33E123CD"/>
    <w:rsid w:val="33E23E40"/>
    <w:rsid w:val="33EC1514"/>
    <w:rsid w:val="33FF0C21"/>
    <w:rsid w:val="341A06B8"/>
    <w:rsid w:val="344D5388"/>
    <w:rsid w:val="346E46B7"/>
    <w:rsid w:val="3471177D"/>
    <w:rsid w:val="34726277"/>
    <w:rsid w:val="347B23B3"/>
    <w:rsid w:val="34821BE3"/>
    <w:rsid w:val="34832720"/>
    <w:rsid w:val="34915EA2"/>
    <w:rsid w:val="34940253"/>
    <w:rsid w:val="34983684"/>
    <w:rsid w:val="34A57D6A"/>
    <w:rsid w:val="34A913BC"/>
    <w:rsid w:val="34BC2226"/>
    <w:rsid w:val="34C03AF1"/>
    <w:rsid w:val="34D5003A"/>
    <w:rsid w:val="34E87B0F"/>
    <w:rsid w:val="34F26658"/>
    <w:rsid w:val="34FB7282"/>
    <w:rsid w:val="34FC4642"/>
    <w:rsid w:val="3520042F"/>
    <w:rsid w:val="3521031A"/>
    <w:rsid w:val="35210A8D"/>
    <w:rsid w:val="35216B3A"/>
    <w:rsid w:val="35354DFA"/>
    <w:rsid w:val="35393D99"/>
    <w:rsid w:val="35485A54"/>
    <w:rsid w:val="354E3B51"/>
    <w:rsid w:val="35522C36"/>
    <w:rsid w:val="355B4C65"/>
    <w:rsid w:val="356C52F9"/>
    <w:rsid w:val="35852EE6"/>
    <w:rsid w:val="35936C62"/>
    <w:rsid w:val="35945057"/>
    <w:rsid w:val="359B56A3"/>
    <w:rsid w:val="35A270E4"/>
    <w:rsid w:val="35D30C65"/>
    <w:rsid w:val="35D61456"/>
    <w:rsid w:val="35D65B34"/>
    <w:rsid w:val="35DA5022"/>
    <w:rsid w:val="35E644CB"/>
    <w:rsid w:val="35E81A7F"/>
    <w:rsid w:val="35F3004D"/>
    <w:rsid w:val="360139B8"/>
    <w:rsid w:val="36256DC5"/>
    <w:rsid w:val="36290C2F"/>
    <w:rsid w:val="36301CAE"/>
    <w:rsid w:val="3637718E"/>
    <w:rsid w:val="36384921"/>
    <w:rsid w:val="366B14B6"/>
    <w:rsid w:val="368045CB"/>
    <w:rsid w:val="36900EB9"/>
    <w:rsid w:val="36A24CBE"/>
    <w:rsid w:val="36A85C45"/>
    <w:rsid w:val="36AF6AB1"/>
    <w:rsid w:val="36B36BA8"/>
    <w:rsid w:val="36BC7D30"/>
    <w:rsid w:val="36C515C6"/>
    <w:rsid w:val="36C7685E"/>
    <w:rsid w:val="36C8518D"/>
    <w:rsid w:val="36D70F63"/>
    <w:rsid w:val="36D911EF"/>
    <w:rsid w:val="36E93F55"/>
    <w:rsid w:val="36EE3F4B"/>
    <w:rsid w:val="36F679D7"/>
    <w:rsid w:val="36FE1C40"/>
    <w:rsid w:val="37035E09"/>
    <w:rsid w:val="37110A52"/>
    <w:rsid w:val="371C79AA"/>
    <w:rsid w:val="371F3DE4"/>
    <w:rsid w:val="372248E3"/>
    <w:rsid w:val="37230362"/>
    <w:rsid w:val="37283FBD"/>
    <w:rsid w:val="373A41EA"/>
    <w:rsid w:val="37465029"/>
    <w:rsid w:val="37543839"/>
    <w:rsid w:val="37585C03"/>
    <w:rsid w:val="376B44C4"/>
    <w:rsid w:val="376D0E2E"/>
    <w:rsid w:val="37802D3A"/>
    <w:rsid w:val="37850091"/>
    <w:rsid w:val="379116A8"/>
    <w:rsid w:val="37A60983"/>
    <w:rsid w:val="37A93BCE"/>
    <w:rsid w:val="37B71B23"/>
    <w:rsid w:val="37BB194B"/>
    <w:rsid w:val="37BF843D"/>
    <w:rsid w:val="37DA2CF5"/>
    <w:rsid w:val="37DF0D06"/>
    <w:rsid w:val="37EF25FC"/>
    <w:rsid w:val="37F7120E"/>
    <w:rsid w:val="37FE5FF1"/>
    <w:rsid w:val="38035DBC"/>
    <w:rsid w:val="380D2520"/>
    <w:rsid w:val="380F56A1"/>
    <w:rsid w:val="38134DDD"/>
    <w:rsid w:val="381B6DB3"/>
    <w:rsid w:val="383B13D4"/>
    <w:rsid w:val="38546D78"/>
    <w:rsid w:val="385566B6"/>
    <w:rsid w:val="386144A9"/>
    <w:rsid w:val="38785F5F"/>
    <w:rsid w:val="388B52AB"/>
    <w:rsid w:val="389D5144"/>
    <w:rsid w:val="38A34CC6"/>
    <w:rsid w:val="38A66177"/>
    <w:rsid w:val="38A74DA6"/>
    <w:rsid w:val="38AB6509"/>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9D5052"/>
    <w:rsid w:val="39AE5A5B"/>
    <w:rsid w:val="39B72078"/>
    <w:rsid w:val="39B96310"/>
    <w:rsid w:val="39BB0FB8"/>
    <w:rsid w:val="39C830C2"/>
    <w:rsid w:val="39EC7D3C"/>
    <w:rsid w:val="39ED1A22"/>
    <w:rsid w:val="3A2053A6"/>
    <w:rsid w:val="3A26050E"/>
    <w:rsid w:val="3A271F33"/>
    <w:rsid w:val="3A446E54"/>
    <w:rsid w:val="3A6B361F"/>
    <w:rsid w:val="3A714511"/>
    <w:rsid w:val="3A7FA0D8"/>
    <w:rsid w:val="3A894E1A"/>
    <w:rsid w:val="3A985B80"/>
    <w:rsid w:val="3AA51A0D"/>
    <w:rsid w:val="3ABD00AF"/>
    <w:rsid w:val="3AC76E36"/>
    <w:rsid w:val="3ACB54EE"/>
    <w:rsid w:val="3ACB56B9"/>
    <w:rsid w:val="3ADF037E"/>
    <w:rsid w:val="3AE22C48"/>
    <w:rsid w:val="3AEF41B2"/>
    <w:rsid w:val="3AF07D51"/>
    <w:rsid w:val="3AFD60FD"/>
    <w:rsid w:val="3B040FE4"/>
    <w:rsid w:val="3B0D0484"/>
    <w:rsid w:val="3B16605B"/>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242CB"/>
    <w:rsid w:val="3BC255BB"/>
    <w:rsid w:val="3BEA2018"/>
    <w:rsid w:val="3C1C68FB"/>
    <w:rsid w:val="3C266052"/>
    <w:rsid w:val="3C322630"/>
    <w:rsid w:val="3C390C19"/>
    <w:rsid w:val="3C5D3905"/>
    <w:rsid w:val="3C5E7B6B"/>
    <w:rsid w:val="3C720A34"/>
    <w:rsid w:val="3C731522"/>
    <w:rsid w:val="3C7B26C4"/>
    <w:rsid w:val="3C8D6778"/>
    <w:rsid w:val="3C935899"/>
    <w:rsid w:val="3C9E74DC"/>
    <w:rsid w:val="3CA40291"/>
    <w:rsid w:val="3CB35C1A"/>
    <w:rsid w:val="3CB46D18"/>
    <w:rsid w:val="3D066D21"/>
    <w:rsid w:val="3D0E1D7A"/>
    <w:rsid w:val="3D146378"/>
    <w:rsid w:val="3D1A551E"/>
    <w:rsid w:val="3D2364DC"/>
    <w:rsid w:val="3D3313E5"/>
    <w:rsid w:val="3D3B13BE"/>
    <w:rsid w:val="3D4566E6"/>
    <w:rsid w:val="3D617252"/>
    <w:rsid w:val="3D636911"/>
    <w:rsid w:val="3D8865AD"/>
    <w:rsid w:val="3D9D0729"/>
    <w:rsid w:val="3DA917B8"/>
    <w:rsid w:val="3DAC39CF"/>
    <w:rsid w:val="3DAE434A"/>
    <w:rsid w:val="3DB377D0"/>
    <w:rsid w:val="3DC44B1D"/>
    <w:rsid w:val="3DCB1B13"/>
    <w:rsid w:val="3DCD4D10"/>
    <w:rsid w:val="3DCE20C0"/>
    <w:rsid w:val="3DD223B2"/>
    <w:rsid w:val="3DEA0E7D"/>
    <w:rsid w:val="3DEA4188"/>
    <w:rsid w:val="3DFD3C46"/>
    <w:rsid w:val="3E234D34"/>
    <w:rsid w:val="3E28157C"/>
    <w:rsid w:val="3E313576"/>
    <w:rsid w:val="3E36697B"/>
    <w:rsid w:val="3E493FE3"/>
    <w:rsid w:val="3E4B6981"/>
    <w:rsid w:val="3E672EB4"/>
    <w:rsid w:val="3E695273"/>
    <w:rsid w:val="3E6D11EF"/>
    <w:rsid w:val="3E89310E"/>
    <w:rsid w:val="3E8D5C11"/>
    <w:rsid w:val="3EA22D08"/>
    <w:rsid w:val="3EA610B6"/>
    <w:rsid w:val="3EA6508A"/>
    <w:rsid w:val="3EB70181"/>
    <w:rsid w:val="3EBB151E"/>
    <w:rsid w:val="3EBC352D"/>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AEC77E"/>
    <w:rsid w:val="3FB079D9"/>
    <w:rsid w:val="3FB44390"/>
    <w:rsid w:val="3FBD255C"/>
    <w:rsid w:val="3FBE48F8"/>
    <w:rsid w:val="3FD010CB"/>
    <w:rsid w:val="3FD049EC"/>
    <w:rsid w:val="3FDA1D33"/>
    <w:rsid w:val="3FE815EE"/>
    <w:rsid w:val="3FF76861"/>
    <w:rsid w:val="40023C70"/>
    <w:rsid w:val="40086A92"/>
    <w:rsid w:val="402158C5"/>
    <w:rsid w:val="402F7539"/>
    <w:rsid w:val="404264F9"/>
    <w:rsid w:val="405F542D"/>
    <w:rsid w:val="406518C8"/>
    <w:rsid w:val="40736AAC"/>
    <w:rsid w:val="40774C91"/>
    <w:rsid w:val="40847B20"/>
    <w:rsid w:val="40872663"/>
    <w:rsid w:val="408847A8"/>
    <w:rsid w:val="40A36975"/>
    <w:rsid w:val="40A92D7E"/>
    <w:rsid w:val="40DC05C4"/>
    <w:rsid w:val="40EC294D"/>
    <w:rsid w:val="41112814"/>
    <w:rsid w:val="41220DC3"/>
    <w:rsid w:val="41336AA7"/>
    <w:rsid w:val="413A078C"/>
    <w:rsid w:val="413C022C"/>
    <w:rsid w:val="41465A7C"/>
    <w:rsid w:val="414A27E7"/>
    <w:rsid w:val="41567FFC"/>
    <w:rsid w:val="415A2C36"/>
    <w:rsid w:val="416C6812"/>
    <w:rsid w:val="417A2E1B"/>
    <w:rsid w:val="419A3818"/>
    <w:rsid w:val="419C55D6"/>
    <w:rsid w:val="419F3437"/>
    <w:rsid w:val="41CC0CFB"/>
    <w:rsid w:val="41CE1449"/>
    <w:rsid w:val="41E31636"/>
    <w:rsid w:val="41E6684E"/>
    <w:rsid w:val="42007BC3"/>
    <w:rsid w:val="42187677"/>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72E5"/>
    <w:rsid w:val="446374FE"/>
    <w:rsid w:val="44643E47"/>
    <w:rsid w:val="44836571"/>
    <w:rsid w:val="44897E3F"/>
    <w:rsid w:val="448C6DF0"/>
    <w:rsid w:val="449A179A"/>
    <w:rsid w:val="44A92E36"/>
    <w:rsid w:val="44C25CAA"/>
    <w:rsid w:val="44DF52E6"/>
    <w:rsid w:val="44F17CAA"/>
    <w:rsid w:val="45184507"/>
    <w:rsid w:val="451A1E03"/>
    <w:rsid w:val="451F4451"/>
    <w:rsid w:val="45201CD0"/>
    <w:rsid w:val="45261C17"/>
    <w:rsid w:val="45297843"/>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412DE"/>
    <w:rsid w:val="45C42B72"/>
    <w:rsid w:val="45C65B0E"/>
    <w:rsid w:val="45C70A4F"/>
    <w:rsid w:val="45D16D59"/>
    <w:rsid w:val="45E10B02"/>
    <w:rsid w:val="45E56CA3"/>
    <w:rsid w:val="45EB06EF"/>
    <w:rsid w:val="45F17488"/>
    <w:rsid w:val="45FD6F20"/>
    <w:rsid w:val="460F492E"/>
    <w:rsid w:val="46186197"/>
    <w:rsid w:val="461934A2"/>
    <w:rsid w:val="461A4C1A"/>
    <w:rsid w:val="46332BF8"/>
    <w:rsid w:val="463E476D"/>
    <w:rsid w:val="46445707"/>
    <w:rsid w:val="464610B0"/>
    <w:rsid w:val="465638A4"/>
    <w:rsid w:val="4675215E"/>
    <w:rsid w:val="467B0514"/>
    <w:rsid w:val="467B30A8"/>
    <w:rsid w:val="467B4EE0"/>
    <w:rsid w:val="4691113B"/>
    <w:rsid w:val="469C3D47"/>
    <w:rsid w:val="46A85E78"/>
    <w:rsid w:val="46B04AE1"/>
    <w:rsid w:val="46B40B6B"/>
    <w:rsid w:val="46BA47C2"/>
    <w:rsid w:val="46BB765E"/>
    <w:rsid w:val="46D64DD7"/>
    <w:rsid w:val="46D7495C"/>
    <w:rsid w:val="46F427C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7B2B8E"/>
    <w:rsid w:val="47814304"/>
    <w:rsid w:val="47843F76"/>
    <w:rsid w:val="478B7614"/>
    <w:rsid w:val="479F6D48"/>
    <w:rsid w:val="47A74A6E"/>
    <w:rsid w:val="47B2140D"/>
    <w:rsid w:val="47B279FC"/>
    <w:rsid w:val="47B70B10"/>
    <w:rsid w:val="47C76806"/>
    <w:rsid w:val="47F241AB"/>
    <w:rsid w:val="47FF773A"/>
    <w:rsid w:val="47FFF4BB"/>
    <w:rsid w:val="48025E63"/>
    <w:rsid w:val="48164085"/>
    <w:rsid w:val="48282106"/>
    <w:rsid w:val="484564C5"/>
    <w:rsid w:val="4854681C"/>
    <w:rsid w:val="485D351D"/>
    <w:rsid w:val="485E64DF"/>
    <w:rsid w:val="48797688"/>
    <w:rsid w:val="487F180D"/>
    <w:rsid w:val="488327FF"/>
    <w:rsid w:val="48A279E5"/>
    <w:rsid w:val="48AE07FB"/>
    <w:rsid w:val="48CA5BDD"/>
    <w:rsid w:val="48D91E9A"/>
    <w:rsid w:val="48E1229C"/>
    <w:rsid w:val="48FD3F53"/>
    <w:rsid w:val="48FE483B"/>
    <w:rsid w:val="49204394"/>
    <w:rsid w:val="49273E0A"/>
    <w:rsid w:val="49295B00"/>
    <w:rsid w:val="493605C1"/>
    <w:rsid w:val="49383978"/>
    <w:rsid w:val="49422109"/>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60E41"/>
    <w:rsid w:val="4A13062D"/>
    <w:rsid w:val="4A247656"/>
    <w:rsid w:val="4A27484B"/>
    <w:rsid w:val="4A35554B"/>
    <w:rsid w:val="4A4D4AF3"/>
    <w:rsid w:val="4A551DC2"/>
    <w:rsid w:val="4A5C4BFA"/>
    <w:rsid w:val="4A637FA2"/>
    <w:rsid w:val="4A683F6B"/>
    <w:rsid w:val="4A7578C9"/>
    <w:rsid w:val="4A7D7891"/>
    <w:rsid w:val="4A7E4254"/>
    <w:rsid w:val="4A922B5E"/>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7C3D8C"/>
    <w:rsid w:val="4B975535"/>
    <w:rsid w:val="4BA44B18"/>
    <w:rsid w:val="4BB12A34"/>
    <w:rsid w:val="4BB15C21"/>
    <w:rsid w:val="4BCD4D56"/>
    <w:rsid w:val="4BDB6776"/>
    <w:rsid w:val="4BE06EB7"/>
    <w:rsid w:val="4BE33950"/>
    <w:rsid w:val="4BEB7DF9"/>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A1400"/>
    <w:rsid w:val="4D1E4578"/>
    <w:rsid w:val="4D447064"/>
    <w:rsid w:val="4D4F3090"/>
    <w:rsid w:val="4D722A68"/>
    <w:rsid w:val="4D7C0D00"/>
    <w:rsid w:val="4D87352F"/>
    <w:rsid w:val="4D931243"/>
    <w:rsid w:val="4DBC6539"/>
    <w:rsid w:val="4DD776AB"/>
    <w:rsid w:val="4DDB5EB1"/>
    <w:rsid w:val="4DF831B6"/>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E4B10"/>
    <w:rsid w:val="4F7864E2"/>
    <w:rsid w:val="4F972442"/>
    <w:rsid w:val="4FA25A31"/>
    <w:rsid w:val="4FB91209"/>
    <w:rsid w:val="4FBD1A1F"/>
    <w:rsid w:val="4FBE1DF5"/>
    <w:rsid w:val="4FC24E8A"/>
    <w:rsid w:val="4FF10B69"/>
    <w:rsid w:val="4FF721D3"/>
    <w:rsid w:val="4FFD57A5"/>
    <w:rsid w:val="500D5DB3"/>
    <w:rsid w:val="5010374D"/>
    <w:rsid w:val="501613EA"/>
    <w:rsid w:val="5033292A"/>
    <w:rsid w:val="503E0ED2"/>
    <w:rsid w:val="505356F4"/>
    <w:rsid w:val="5067527D"/>
    <w:rsid w:val="506816E0"/>
    <w:rsid w:val="50744D60"/>
    <w:rsid w:val="50803083"/>
    <w:rsid w:val="508865A2"/>
    <w:rsid w:val="50A34C80"/>
    <w:rsid w:val="50AD68A1"/>
    <w:rsid w:val="50B65562"/>
    <w:rsid w:val="50C3153F"/>
    <w:rsid w:val="50C833CB"/>
    <w:rsid w:val="50EE3A87"/>
    <w:rsid w:val="510224A3"/>
    <w:rsid w:val="51096FBC"/>
    <w:rsid w:val="510C0E2E"/>
    <w:rsid w:val="511023D2"/>
    <w:rsid w:val="513833F4"/>
    <w:rsid w:val="513B4C0C"/>
    <w:rsid w:val="51431745"/>
    <w:rsid w:val="516171A0"/>
    <w:rsid w:val="5162232C"/>
    <w:rsid w:val="51636DAE"/>
    <w:rsid w:val="51722F47"/>
    <w:rsid w:val="51767FF0"/>
    <w:rsid w:val="51955D74"/>
    <w:rsid w:val="51A551DA"/>
    <w:rsid w:val="51AE6FCB"/>
    <w:rsid w:val="51B63DF6"/>
    <w:rsid w:val="51E23F34"/>
    <w:rsid w:val="51E473ED"/>
    <w:rsid w:val="51ED0FAB"/>
    <w:rsid w:val="51F9411A"/>
    <w:rsid w:val="51FD1A5C"/>
    <w:rsid w:val="52211C80"/>
    <w:rsid w:val="5226155A"/>
    <w:rsid w:val="522639F0"/>
    <w:rsid w:val="522B3864"/>
    <w:rsid w:val="523C2CD5"/>
    <w:rsid w:val="5241072B"/>
    <w:rsid w:val="524C3FFD"/>
    <w:rsid w:val="52523205"/>
    <w:rsid w:val="52634BD2"/>
    <w:rsid w:val="52682C3F"/>
    <w:rsid w:val="52760D63"/>
    <w:rsid w:val="527F6CB5"/>
    <w:rsid w:val="528668E2"/>
    <w:rsid w:val="528D53C6"/>
    <w:rsid w:val="52A36D3A"/>
    <w:rsid w:val="52B61074"/>
    <w:rsid w:val="52CC22C8"/>
    <w:rsid w:val="52D37065"/>
    <w:rsid w:val="52F3427A"/>
    <w:rsid w:val="52F5267F"/>
    <w:rsid w:val="52FA0223"/>
    <w:rsid w:val="530144F2"/>
    <w:rsid w:val="53074D0E"/>
    <w:rsid w:val="531C6B04"/>
    <w:rsid w:val="53346DCF"/>
    <w:rsid w:val="53365130"/>
    <w:rsid w:val="533EC6B1"/>
    <w:rsid w:val="535F4C6A"/>
    <w:rsid w:val="53615D77"/>
    <w:rsid w:val="537428F6"/>
    <w:rsid w:val="537A110E"/>
    <w:rsid w:val="538A3FFC"/>
    <w:rsid w:val="539908EE"/>
    <w:rsid w:val="53C3637A"/>
    <w:rsid w:val="53F47C07"/>
    <w:rsid w:val="53FA7012"/>
    <w:rsid w:val="54017C77"/>
    <w:rsid w:val="5405643C"/>
    <w:rsid w:val="54154D59"/>
    <w:rsid w:val="54282813"/>
    <w:rsid w:val="544A47D3"/>
    <w:rsid w:val="545B53C8"/>
    <w:rsid w:val="54730839"/>
    <w:rsid w:val="547D2F9E"/>
    <w:rsid w:val="547D731B"/>
    <w:rsid w:val="54895F6F"/>
    <w:rsid w:val="5496345A"/>
    <w:rsid w:val="54B30C5E"/>
    <w:rsid w:val="54B8031D"/>
    <w:rsid w:val="54BC4F94"/>
    <w:rsid w:val="54BD088F"/>
    <w:rsid w:val="54DB1C81"/>
    <w:rsid w:val="54DD0277"/>
    <w:rsid w:val="54E04D60"/>
    <w:rsid w:val="54E36374"/>
    <w:rsid w:val="54EF288B"/>
    <w:rsid w:val="54F070DE"/>
    <w:rsid w:val="550B5058"/>
    <w:rsid w:val="5515023E"/>
    <w:rsid w:val="551D5901"/>
    <w:rsid w:val="552176E2"/>
    <w:rsid w:val="5535086A"/>
    <w:rsid w:val="553B15EC"/>
    <w:rsid w:val="55692886"/>
    <w:rsid w:val="55781630"/>
    <w:rsid w:val="55787787"/>
    <w:rsid w:val="5588360C"/>
    <w:rsid w:val="558C23AE"/>
    <w:rsid w:val="558C4235"/>
    <w:rsid w:val="55B70915"/>
    <w:rsid w:val="55BF392A"/>
    <w:rsid w:val="55C335FF"/>
    <w:rsid w:val="55D24AB8"/>
    <w:rsid w:val="55D70A42"/>
    <w:rsid w:val="55D903ED"/>
    <w:rsid w:val="55DB0461"/>
    <w:rsid w:val="55FF46FF"/>
    <w:rsid w:val="56124F67"/>
    <w:rsid w:val="56253E24"/>
    <w:rsid w:val="562770B6"/>
    <w:rsid w:val="562F0650"/>
    <w:rsid w:val="56325048"/>
    <w:rsid w:val="564E5475"/>
    <w:rsid w:val="565270C9"/>
    <w:rsid w:val="56556039"/>
    <w:rsid w:val="565D713B"/>
    <w:rsid w:val="566E43CB"/>
    <w:rsid w:val="567134D1"/>
    <w:rsid w:val="567601AC"/>
    <w:rsid w:val="56817115"/>
    <w:rsid w:val="568D1ECF"/>
    <w:rsid w:val="56A81C1A"/>
    <w:rsid w:val="56B778AE"/>
    <w:rsid w:val="56C4326C"/>
    <w:rsid w:val="56CB1868"/>
    <w:rsid w:val="56CC25C8"/>
    <w:rsid w:val="56E056D4"/>
    <w:rsid w:val="56EE30C2"/>
    <w:rsid w:val="56F24CD2"/>
    <w:rsid w:val="56F813A0"/>
    <w:rsid w:val="5701658C"/>
    <w:rsid w:val="57032046"/>
    <w:rsid w:val="57096108"/>
    <w:rsid w:val="571662CD"/>
    <w:rsid w:val="57455942"/>
    <w:rsid w:val="574B0213"/>
    <w:rsid w:val="574F2990"/>
    <w:rsid w:val="57B45537"/>
    <w:rsid w:val="57CA30B6"/>
    <w:rsid w:val="57D17F4B"/>
    <w:rsid w:val="57EF1159"/>
    <w:rsid w:val="57F934C0"/>
    <w:rsid w:val="57F93FED"/>
    <w:rsid w:val="58013D55"/>
    <w:rsid w:val="58233E6B"/>
    <w:rsid w:val="583F6838"/>
    <w:rsid w:val="58634DD0"/>
    <w:rsid w:val="586844B6"/>
    <w:rsid w:val="58786C58"/>
    <w:rsid w:val="58951C97"/>
    <w:rsid w:val="58AF735F"/>
    <w:rsid w:val="58B0410D"/>
    <w:rsid w:val="58BB21A4"/>
    <w:rsid w:val="58C62C27"/>
    <w:rsid w:val="58C963C2"/>
    <w:rsid w:val="58CA4549"/>
    <w:rsid w:val="58CC2A45"/>
    <w:rsid w:val="58D222ED"/>
    <w:rsid w:val="58E86451"/>
    <w:rsid w:val="58FC5AEF"/>
    <w:rsid w:val="59035AFA"/>
    <w:rsid w:val="5904247D"/>
    <w:rsid w:val="591E45BB"/>
    <w:rsid w:val="59201ECA"/>
    <w:rsid w:val="592F1BA0"/>
    <w:rsid w:val="593E64CA"/>
    <w:rsid w:val="594556FD"/>
    <w:rsid w:val="595A2183"/>
    <w:rsid w:val="596379A9"/>
    <w:rsid w:val="597115A7"/>
    <w:rsid w:val="59787FEA"/>
    <w:rsid w:val="597D0736"/>
    <w:rsid w:val="59834524"/>
    <w:rsid w:val="5991071A"/>
    <w:rsid w:val="59934B4F"/>
    <w:rsid w:val="59AA1CA3"/>
    <w:rsid w:val="59C02604"/>
    <w:rsid w:val="59CF1ADD"/>
    <w:rsid w:val="59D17D75"/>
    <w:rsid w:val="59D471D7"/>
    <w:rsid w:val="59E61693"/>
    <w:rsid w:val="5A1317F0"/>
    <w:rsid w:val="5A2646DB"/>
    <w:rsid w:val="5A2B57AE"/>
    <w:rsid w:val="5A321BEA"/>
    <w:rsid w:val="5A366F84"/>
    <w:rsid w:val="5A3F0176"/>
    <w:rsid w:val="5A6D2DB1"/>
    <w:rsid w:val="5A6E407A"/>
    <w:rsid w:val="5A7E74F9"/>
    <w:rsid w:val="5A8E165E"/>
    <w:rsid w:val="5AA72176"/>
    <w:rsid w:val="5AAE0441"/>
    <w:rsid w:val="5AAE5BEC"/>
    <w:rsid w:val="5AB6019F"/>
    <w:rsid w:val="5AD1351F"/>
    <w:rsid w:val="5AD339D9"/>
    <w:rsid w:val="5AD85B99"/>
    <w:rsid w:val="5AE8322E"/>
    <w:rsid w:val="5AEF1185"/>
    <w:rsid w:val="5AF11C14"/>
    <w:rsid w:val="5AFA3298"/>
    <w:rsid w:val="5B016D34"/>
    <w:rsid w:val="5B0D7295"/>
    <w:rsid w:val="5B206399"/>
    <w:rsid w:val="5B224853"/>
    <w:rsid w:val="5B4C2ADE"/>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3E78DA"/>
    <w:rsid w:val="5C5342DE"/>
    <w:rsid w:val="5C5E1DE9"/>
    <w:rsid w:val="5C611C30"/>
    <w:rsid w:val="5C640E34"/>
    <w:rsid w:val="5C654CF3"/>
    <w:rsid w:val="5C6D3417"/>
    <w:rsid w:val="5C8D2EAA"/>
    <w:rsid w:val="5C9256E7"/>
    <w:rsid w:val="5CA531D1"/>
    <w:rsid w:val="5CAD5B70"/>
    <w:rsid w:val="5CB75213"/>
    <w:rsid w:val="5CBC5D91"/>
    <w:rsid w:val="5CC20563"/>
    <w:rsid w:val="5CCA12C8"/>
    <w:rsid w:val="5CFB164F"/>
    <w:rsid w:val="5D160E63"/>
    <w:rsid w:val="5D170048"/>
    <w:rsid w:val="5D17051D"/>
    <w:rsid w:val="5D2E727E"/>
    <w:rsid w:val="5D40035D"/>
    <w:rsid w:val="5D49706D"/>
    <w:rsid w:val="5D5F77DD"/>
    <w:rsid w:val="5D717B18"/>
    <w:rsid w:val="5D840C43"/>
    <w:rsid w:val="5DAA3645"/>
    <w:rsid w:val="5DAE77A4"/>
    <w:rsid w:val="5DB57EF0"/>
    <w:rsid w:val="5DE8676B"/>
    <w:rsid w:val="5DF47894"/>
    <w:rsid w:val="5E1044A2"/>
    <w:rsid w:val="5E162F9C"/>
    <w:rsid w:val="5E192361"/>
    <w:rsid w:val="5E1F592C"/>
    <w:rsid w:val="5E2B3F08"/>
    <w:rsid w:val="5E366F27"/>
    <w:rsid w:val="5E386453"/>
    <w:rsid w:val="5E415746"/>
    <w:rsid w:val="5E67210D"/>
    <w:rsid w:val="5E7D126D"/>
    <w:rsid w:val="5E8001BD"/>
    <w:rsid w:val="5E915FF6"/>
    <w:rsid w:val="5E9206AE"/>
    <w:rsid w:val="5EB455C5"/>
    <w:rsid w:val="5EBE29B5"/>
    <w:rsid w:val="5ED351EB"/>
    <w:rsid w:val="5EE335F7"/>
    <w:rsid w:val="5EFD4006"/>
    <w:rsid w:val="5EFF0ED2"/>
    <w:rsid w:val="5F126D05"/>
    <w:rsid w:val="5F204F1D"/>
    <w:rsid w:val="5F2B1DCB"/>
    <w:rsid w:val="5F401BE4"/>
    <w:rsid w:val="5F4A1EBB"/>
    <w:rsid w:val="5F4B5E88"/>
    <w:rsid w:val="5F595662"/>
    <w:rsid w:val="5F597B7C"/>
    <w:rsid w:val="5F5B7782"/>
    <w:rsid w:val="5F5E1936"/>
    <w:rsid w:val="5F675B22"/>
    <w:rsid w:val="5F6C4C79"/>
    <w:rsid w:val="5F732EBB"/>
    <w:rsid w:val="5F7D448F"/>
    <w:rsid w:val="5F8250FF"/>
    <w:rsid w:val="5F906917"/>
    <w:rsid w:val="5F912ACF"/>
    <w:rsid w:val="5F9173F4"/>
    <w:rsid w:val="5FA20BE3"/>
    <w:rsid w:val="5FBE282E"/>
    <w:rsid w:val="5FD15BC7"/>
    <w:rsid w:val="5FD367A6"/>
    <w:rsid w:val="5FD73AA6"/>
    <w:rsid w:val="5FD85EAF"/>
    <w:rsid w:val="5FF41C37"/>
    <w:rsid w:val="60104EE3"/>
    <w:rsid w:val="602533C0"/>
    <w:rsid w:val="6027337A"/>
    <w:rsid w:val="605B4538"/>
    <w:rsid w:val="60896264"/>
    <w:rsid w:val="608F1BD3"/>
    <w:rsid w:val="60977BEA"/>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80258F"/>
    <w:rsid w:val="61862C2F"/>
    <w:rsid w:val="618C70A4"/>
    <w:rsid w:val="61A23F59"/>
    <w:rsid w:val="61B90BF2"/>
    <w:rsid w:val="61BC1E65"/>
    <w:rsid w:val="61E8288B"/>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4430"/>
    <w:rsid w:val="62C671FE"/>
    <w:rsid w:val="62CD11E8"/>
    <w:rsid w:val="62DF39AC"/>
    <w:rsid w:val="62F7131A"/>
    <w:rsid w:val="63111189"/>
    <w:rsid w:val="6337309B"/>
    <w:rsid w:val="633A09A7"/>
    <w:rsid w:val="633C776F"/>
    <w:rsid w:val="636176F3"/>
    <w:rsid w:val="63877230"/>
    <w:rsid w:val="638C249A"/>
    <w:rsid w:val="63A8579E"/>
    <w:rsid w:val="63AF2E7A"/>
    <w:rsid w:val="63B1353D"/>
    <w:rsid w:val="63B425DD"/>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A14C54"/>
    <w:rsid w:val="64A55457"/>
    <w:rsid w:val="64AF0893"/>
    <w:rsid w:val="64B0068F"/>
    <w:rsid w:val="64B0634B"/>
    <w:rsid w:val="64B7DBF3"/>
    <w:rsid w:val="64BC5A53"/>
    <w:rsid w:val="64BD61FD"/>
    <w:rsid w:val="64C60289"/>
    <w:rsid w:val="64D03662"/>
    <w:rsid w:val="64E71808"/>
    <w:rsid w:val="64F302E2"/>
    <w:rsid w:val="64F44A85"/>
    <w:rsid w:val="64FC3B23"/>
    <w:rsid w:val="650F4BE9"/>
    <w:rsid w:val="651E0B7C"/>
    <w:rsid w:val="65301037"/>
    <w:rsid w:val="653D4887"/>
    <w:rsid w:val="655D27A0"/>
    <w:rsid w:val="65691302"/>
    <w:rsid w:val="656B45D6"/>
    <w:rsid w:val="6577186E"/>
    <w:rsid w:val="6583118B"/>
    <w:rsid w:val="6583791F"/>
    <w:rsid w:val="658F1D57"/>
    <w:rsid w:val="658F6146"/>
    <w:rsid w:val="658F6F58"/>
    <w:rsid w:val="65995DFE"/>
    <w:rsid w:val="659A3745"/>
    <w:rsid w:val="65A62B21"/>
    <w:rsid w:val="65AD379D"/>
    <w:rsid w:val="65BB7BCB"/>
    <w:rsid w:val="65CE14C4"/>
    <w:rsid w:val="65D63B34"/>
    <w:rsid w:val="65DB4320"/>
    <w:rsid w:val="65DD0D4C"/>
    <w:rsid w:val="65E6167B"/>
    <w:rsid w:val="65E842FE"/>
    <w:rsid w:val="65F21C27"/>
    <w:rsid w:val="65F63A27"/>
    <w:rsid w:val="660A6E49"/>
    <w:rsid w:val="661360BB"/>
    <w:rsid w:val="66253C88"/>
    <w:rsid w:val="663C2578"/>
    <w:rsid w:val="663F36BF"/>
    <w:rsid w:val="66482D7B"/>
    <w:rsid w:val="66497400"/>
    <w:rsid w:val="66517729"/>
    <w:rsid w:val="667558EB"/>
    <w:rsid w:val="66866840"/>
    <w:rsid w:val="66950E06"/>
    <w:rsid w:val="66A12504"/>
    <w:rsid w:val="66A46015"/>
    <w:rsid w:val="66BB34F8"/>
    <w:rsid w:val="66CF4C55"/>
    <w:rsid w:val="66D11DEE"/>
    <w:rsid w:val="66D63CEA"/>
    <w:rsid w:val="66DD70A5"/>
    <w:rsid w:val="66E40448"/>
    <w:rsid w:val="670871A8"/>
    <w:rsid w:val="672D3127"/>
    <w:rsid w:val="67420658"/>
    <w:rsid w:val="674533A1"/>
    <w:rsid w:val="675178A4"/>
    <w:rsid w:val="67782CEF"/>
    <w:rsid w:val="677835B0"/>
    <w:rsid w:val="67802496"/>
    <w:rsid w:val="6788348E"/>
    <w:rsid w:val="6797CC6D"/>
    <w:rsid w:val="67A400CA"/>
    <w:rsid w:val="67A50830"/>
    <w:rsid w:val="67A538BA"/>
    <w:rsid w:val="67A73955"/>
    <w:rsid w:val="67A90441"/>
    <w:rsid w:val="67C20C79"/>
    <w:rsid w:val="67C57F48"/>
    <w:rsid w:val="67D60266"/>
    <w:rsid w:val="67DE4EEE"/>
    <w:rsid w:val="67E46554"/>
    <w:rsid w:val="67ED5955"/>
    <w:rsid w:val="67EF19DB"/>
    <w:rsid w:val="68022E63"/>
    <w:rsid w:val="68052F36"/>
    <w:rsid w:val="6808141A"/>
    <w:rsid w:val="68114ECE"/>
    <w:rsid w:val="681A272F"/>
    <w:rsid w:val="68400AB2"/>
    <w:rsid w:val="6841737C"/>
    <w:rsid w:val="68536D0C"/>
    <w:rsid w:val="686B3644"/>
    <w:rsid w:val="687122A5"/>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85E16"/>
    <w:rsid w:val="6922628D"/>
    <w:rsid w:val="69243CCB"/>
    <w:rsid w:val="692D10A8"/>
    <w:rsid w:val="694E1343"/>
    <w:rsid w:val="696778E1"/>
    <w:rsid w:val="6976628D"/>
    <w:rsid w:val="69781887"/>
    <w:rsid w:val="6979522C"/>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771266"/>
    <w:rsid w:val="6A856090"/>
    <w:rsid w:val="6A8E7D3F"/>
    <w:rsid w:val="6A9B7BF1"/>
    <w:rsid w:val="6A9F3D8E"/>
    <w:rsid w:val="6AA04EB0"/>
    <w:rsid w:val="6ABD3F83"/>
    <w:rsid w:val="6AC86960"/>
    <w:rsid w:val="6ACB1AF0"/>
    <w:rsid w:val="6ADFB8F3"/>
    <w:rsid w:val="6AF14EA4"/>
    <w:rsid w:val="6B004DE3"/>
    <w:rsid w:val="6B0933D8"/>
    <w:rsid w:val="6B2347F8"/>
    <w:rsid w:val="6B2D2415"/>
    <w:rsid w:val="6B353BDC"/>
    <w:rsid w:val="6B810BED"/>
    <w:rsid w:val="6B8428B4"/>
    <w:rsid w:val="6B851189"/>
    <w:rsid w:val="6B91457B"/>
    <w:rsid w:val="6B930274"/>
    <w:rsid w:val="6BA47A68"/>
    <w:rsid w:val="6BBFA03B"/>
    <w:rsid w:val="6BCF2AB2"/>
    <w:rsid w:val="6BF61AFE"/>
    <w:rsid w:val="6C0D7E8A"/>
    <w:rsid w:val="6C261FA5"/>
    <w:rsid w:val="6C267CEF"/>
    <w:rsid w:val="6C271424"/>
    <w:rsid w:val="6C4F3C53"/>
    <w:rsid w:val="6C63308B"/>
    <w:rsid w:val="6C736123"/>
    <w:rsid w:val="6C7A1C7C"/>
    <w:rsid w:val="6C915824"/>
    <w:rsid w:val="6C98717A"/>
    <w:rsid w:val="6C9A696F"/>
    <w:rsid w:val="6C9E3F84"/>
    <w:rsid w:val="6C9F2ED4"/>
    <w:rsid w:val="6CA45DFE"/>
    <w:rsid w:val="6CB77895"/>
    <w:rsid w:val="6CC32DC1"/>
    <w:rsid w:val="6CCB2A5C"/>
    <w:rsid w:val="6CCB57A9"/>
    <w:rsid w:val="6CCE109B"/>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35541C"/>
    <w:rsid w:val="6E451788"/>
    <w:rsid w:val="6E541B46"/>
    <w:rsid w:val="6E641F84"/>
    <w:rsid w:val="6E726FC5"/>
    <w:rsid w:val="6E7D66A2"/>
    <w:rsid w:val="6E8C7D79"/>
    <w:rsid w:val="6E957A3F"/>
    <w:rsid w:val="6EA77046"/>
    <w:rsid w:val="6EC553D5"/>
    <w:rsid w:val="6EE7018C"/>
    <w:rsid w:val="6EF5C34B"/>
    <w:rsid w:val="6EF76DEC"/>
    <w:rsid w:val="6F074349"/>
    <w:rsid w:val="6F0B05C6"/>
    <w:rsid w:val="6F130C23"/>
    <w:rsid w:val="6F150B51"/>
    <w:rsid w:val="6F193BD1"/>
    <w:rsid w:val="6F270A73"/>
    <w:rsid w:val="6F364C63"/>
    <w:rsid w:val="6F572727"/>
    <w:rsid w:val="6F5C26F0"/>
    <w:rsid w:val="6F68212E"/>
    <w:rsid w:val="6F792725"/>
    <w:rsid w:val="6F88611E"/>
    <w:rsid w:val="6F925E36"/>
    <w:rsid w:val="6FA303AB"/>
    <w:rsid w:val="6FA6D380"/>
    <w:rsid w:val="6FAA58A9"/>
    <w:rsid w:val="6FB6420C"/>
    <w:rsid w:val="6FB81081"/>
    <w:rsid w:val="6FBC0361"/>
    <w:rsid w:val="6FC844B0"/>
    <w:rsid w:val="6FC91D09"/>
    <w:rsid w:val="6FCF744E"/>
    <w:rsid w:val="6FDB250C"/>
    <w:rsid w:val="6FDBACE9"/>
    <w:rsid w:val="6FE27002"/>
    <w:rsid w:val="6FEA3F10"/>
    <w:rsid w:val="6FEA761E"/>
    <w:rsid w:val="6FEC76E2"/>
    <w:rsid w:val="6FF6867F"/>
    <w:rsid w:val="6FF925B2"/>
    <w:rsid w:val="6FFFB0FE"/>
    <w:rsid w:val="70062004"/>
    <w:rsid w:val="700F02F2"/>
    <w:rsid w:val="701D4C6D"/>
    <w:rsid w:val="702211B8"/>
    <w:rsid w:val="70285C83"/>
    <w:rsid w:val="70360700"/>
    <w:rsid w:val="704B6227"/>
    <w:rsid w:val="704F480E"/>
    <w:rsid w:val="70531176"/>
    <w:rsid w:val="70CE3CD6"/>
    <w:rsid w:val="70D5200B"/>
    <w:rsid w:val="70D77435"/>
    <w:rsid w:val="70D86A93"/>
    <w:rsid w:val="70E72C7C"/>
    <w:rsid w:val="70F30CAD"/>
    <w:rsid w:val="70F33611"/>
    <w:rsid w:val="70FC164A"/>
    <w:rsid w:val="70FE3E55"/>
    <w:rsid w:val="711F5147"/>
    <w:rsid w:val="713664A7"/>
    <w:rsid w:val="713E00F5"/>
    <w:rsid w:val="713F2452"/>
    <w:rsid w:val="714A76D4"/>
    <w:rsid w:val="714F7DC5"/>
    <w:rsid w:val="71606F55"/>
    <w:rsid w:val="7164280C"/>
    <w:rsid w:val="716B28F4"/>
    <w:rsid w:val="717568BB"/>
    <w:rsid w:val="7176061E"/>
    <w:rsid w:val="71A71FCA"/>
    <w:rsid w:val="71AE1825"/>
    <w:rsid w:val="71B23F18"/>
    <w:rsid w:val="71BF7712"/>
    <w:rsid w:val="71CF510A"/>
    <w:rsid w:val="71D11979"/>
    <w:rsid w:val="71D23CA4"/>
    <w:rsid w:val="71D821BD"/>
    <w:rsid w:val="71E54C93"/>
    <w:rsid w:val="71FB2A90"/>
    <w:rsid w:val="720B2724"/>
    <w:rsid w:val="72264CCC"/>
    <w:rsid w:val="722A0E8A"/>
    <w:rsid w:val="72361EFD"/>
    <w:rsid w:val="72391B27"/>
    <w:rsid w:val="724D0CB0"/>
    <w:rsid w:val="725E5BA2"/>
    <w:rsid w:val="728D3332"/>
    <w:rsid w:val="729B26AC"/>
    <w:rsid w:val="72D1040D"/>
    <w:rsid w:val="72DE24DB"/>
    <w:rsid w:val="72EA0498"/>
    <w:rsid w:val="72EA3482"/>
    <w:rsid w:val="72F40F30"/>
    <w:rsid w:val="72F56855"/>
    <w:rsid w:val="7304299B"/>
    <w:rsid w:val="730A2B08"/>
    <w:rsid w:val="730A558D"/>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B32B4"/>
    <w:rsid w:val="73EA000A"/>
    <w:rsid w:val="73F67F63"/>
    <w:rsid w:val="73FE361A"/>
    <w:rsid w:val="740800C7"/>
    <w:rsid w:val="74187158"/>
    <w:rsid w:val="74225CAE"/>
    <w:rsid w:val="74232A0F"/>
    <w:rsid w:val="74356168"/>
    <w:rsid w:val="7438012B"/>
    <w:rsid w:val="74394754"/>
    <w:rsid w:val="744276DF"/>
    <w:rsid w:val="74450836"/>
    <w:rsid w:val="744566B3"/>
    <w:rsid w:val="744E15D3"/>
    <w:rsid w:val="744F5D6A"/>
    <w:rsid w:val="745500FA"/>
    <w:rsid w:val="74591A28"/>
    <w:rsid w:val="74633D61"/>
    <w:rsid w:val="74897BA8"/>
    <w:rsid w:val="74921949"/>
    <w:rsid w:val="74981804"/>
    <w:rsid w:val="74A62A32"/>
    <w:rsid w:val="74AF7E07"/>
    <w:rsid w:val="74C303AA"/>
    <w:rsid w:val="74DA01CE"/>
    <w:rsid w:val="74E11CE7"/>
    <w:rsid w:val="74EA0887"/>
    <w:rsid w:val="74F54377"/>
    <w:rsid w:val="751B69AC"/>
    <w:rsid w:val="75227415"/>
    <w:rsid w:val="75285984"/>
    <w:rsid w:val="752B18E8"/>
    <w:rsid w:val="752B58CD"/>
    <w:rsid w:val="75550DBA"/>
    <w:rsid w:val="75562889"/>
    <w:rsid w:val="756225D4"/>
    <w:rsid w:val="75646065"/>
    <w:rsid w:val="757A24EA"/>
    <w:rsid w:val="758868F7"/>
    <w:rsid w:val="75913442"/>
    <w:rsid w:val="759D41D5"/>
    <w:rsid w:val="759F6E47"/>
    <w:rsid w:val="75AE3429"/>
    <w:rsid w:val="75BD26ED"/>
    <w:rsid w:val="75D32087"/>
    <w:rsid w:val="75DF28CE"/>
    <w:rsid w:val="75E53387"/>
    <w:rsid w:val="75E874E8"/>
    <w:rsid w:val="760602D2"/>
    <w:rsid w:val="760729A8"/>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7052BDB"/>
    <w:rsid w:val="770E458F"/>
    <w:rsid w:val="772623E4"/>
    <w:rsid w:val="77517517"/>
    <w:rsid w:val="775D7B56"/>
    <w:rsid w:val="77645A0B"/>
    <w:rsid w:val="778234EF"/>
    <w:rsid w:val="778612B4"/>
    <w:rsid w:val="779A3B25"/>
    <w:rsid w:val="77A16F59"/>
    <w:rsid w:val="77A61A19"/>
    <w:rsid w:val="77A8713B"/>
    <w:rsid w:val="77B024F4"/>
    <w:rsid w:val="77BB27AB"/>
    <w:rsid w:val="77C7030D"/>
    <w:rsid w:val="77D12E2D"/>
    <w:rsid w:val="77D40517"/>
    <w:rsid w:val="77DB1D1B"/>
    <w:rsid w:val="77E804AB"/>
    <w:rsid w:val="77E85E69"/>
    <w:rsid w:val="77ED1164"/>
    <w:rsid w:val="77EE1A98"/>
    <w:rsid w:val="780D018B"/>
    <w:rsid w:val="781A0DB5"/>
    <w:rsid w:val="78256ACF"/>
    <w:rsid w:val="782D7B09"/>
    <w:rsid w:val="78346968"/>
    <w:rsid w:val="783D7C3D"/>
    <w:rsid w:val="784C03CB"/>
    <w:rsid w:val="784D2006"/>
    <w:rsid w:val="7855282E"/>
    <w:rsid w:val="787A665F"/>
    <w:rsid w:val="7884180F"/>
    <w:rsid w:val="78915BE9"/>
    <w:rsid w:val="78957992"/>
    <w:rsid w:val="78B3587F"/>
    <w:rsid w:val="78B86EC2"/>
    <w:rsid w:val="78C141FE"/>
    <w:rsid w:val="78C20890"/>
    <w:rsid w:val="78D4655D"/>
    <w:rsid w:val="78D665EA"/>
    <w:rsid w:val="78D66912"/>
    <w:rsid w:val="78E05ACF"/>
    <w:rsid w:val="78E9231B"/>
    <w:rsid w:val="78ED13FE"/>
    <w:rsid w:val="78EE54C1"/>
    <w:rsid w:val="78F27200"/>
    <w:rsid w:val="78F82D58"/>
    <w:rsid w:val="78F856CB"/>
    <w:rsid w:val="7903679E"/>
    <w:rsid w:val="7903780E"/>
    <w:rsid w:val="790C6E07"/>
    <w:rsid w:val="791A21AC"/>
    <w:rsid w:val="791F2A74"/>
    <w:rsid w:val="794701C8"/>
    <w:rsid w:val="7953089D"/>
    <w:rsid w:val="795403AF"/>
    <w:rsid w:val="795A247F"/>
    <w:rsid w:val="795F670E"/>
    <w:rsid w:val="79647BD1"/>
    <w:rsid w:val="796513FD"/>
    <w:rsid w:val="79660E3F"/>
    <w:rsid w:val="79683E73"/>
    <w:rsid w:val="797236C0"/>
    <w:rsid w:val="797876C3"/>
    <w:rsid w:val="797A12D2"/>
    <w:rsid w:val="79821501"/>
    <w:rsid w:val="798F5BB2"/>
    <w:rsid w:val="79A57893"/>
    <w:rsid w:val="79A64908"/>
    <w:rsid w:val="79C721B0"/>
    <w:rsid w:val="79C87D55"/>
    <w:rsid w:val="79CC3B9C"/>
    <w:rsid w:val="79CF4756"/>
    <w:rsid w:val="79D17055"/>
    <w:rsid w:val="79D81A97"/>
    <w:rsid w:val="79DB0FFE"/>
    <w:rsid w:val="79E93CD4"/>
    <w:rsid w:val="79EA3EAF"/>
    <w:rsid w:val="79F15391"/>
    <w:rsid w:val="7A122883"/>
    <w:rsid w:val="7A37269B"/>
    <w:rsid w:val="7A3F46A8"/>
    <w:rsid w:val="7A3F6A69"/>
    <w:rsid w:val="7A4260F2"/>
    <w:rsid w:val="7A511CEA"/>
    <w:rsid w:val="7A514314"/>
    <w:rsid w:val="7A5B6BF1"/>
    <w:rsid w:val="7A745689"/>
    <w:rsid w:val="7A74617C"/>
    <w:rsid w:val="7A882AAB"/>
    <w:rsid w:val="7A8935AA"/>
    <w:rsid w:val="7A8C5A62"/>
    <w:rsid w:val="7A9B02A0"/>
    <w:rsid w:val="7AAC493D"/>
    <w:rsid w:val="7AB70A93"/>
    <w:rsid w:val="7AC77AD7"/>
    <w:rsid w:val="7AE56790"/>
    <w:rsid w:val="7AFF5BCE"/>
    <w:rsid w:val="7B10013E"/>
    <w:rsid w:val="7B326C07"/>
    <w:rsid w:val="7B362E62"/>
    <w:rsid w:val="7B556837"/>
    <w:rsid w:val="7B676012"/>
    <w:rsid w:val="7B6A7511"/>
    <w:rsid w:val="7B711CC9"/>
    <w:rsid w:val="7B890DF9"/>
    <w:rsid w:val="7B9C2817"/>
    <w:rsid w:val="7BA311A3"/>
    <w:rsid w:val="7BA46460"/>
    <w:rsid w:val="7BBA247E"/>
    <w:rsid w:val="7BBA2AA5"/>
    <w:rsid w:val="7BBB6AF8"/>
    <w:rsid w:val="7BBF2239"/>
    <w:rsid w:val="7BD84BDB"/>
    <w:rsid w:val="7BE72A58"/>
    <w:rsid w:val="7BEA1821"/>
    <w:rsid w:val="7BEF2D8B"/>
    <w:rsid w:val="7C1773FB"/>
    <w:rsid w:val="7C1E7985"/>
    <w:rsid w:val="7C2F634D"/>
    <w:rsid w:val="7C304464"/>
    <w:rsid w:val="7C357268"/>
    <w:rsid w:val="7C373459"/>
    <w:rsid w:val="7C394685"/>
    <w:rsid w:val="7C3946D8"/>
    <w:rsid w:val="7C3C1819"/>
    <w:rsid w:val="7C41114A"/>
    <w:rsid w:val="7C470595"/>
    <w:rsid w:val="7C5442D6"/>
    <w:rsid w:val="7C5A528B"/>
    <w:rsid w:val="7C620617"/>
    <w:rsid w:val="7C7878E3"/>
    <w:rsid w:val="7C826ECF"/>
    <w:rsid w:val="7C8C0A8D"/>
    <w:rsid w:val="7C8E3BC1"/>
    <w:rsid w:val="7C927AF3"/>
    <w:rsid w:val="7C97014B"/>
    <w:rsid w:val="7CA273D9"/>
    <w:rsid w:val="7CA874EC"/>
    <w:rsid w:val="7CB14A8A"/>
    <w:rsid w:val="7CBC0EDA"/>
    <w:rsid w:val="7CBE6E05"/>
    <w:rsid w:val="7CC01527"/>
    <w:rsid w:val="7CC318EA"/>
    <w:rsid w:val="7CCE5944"/>
    <w:rsid w:val="7CE4315C"/>
    <w:rsid w:val="7CF242BC"/>
    <w:rsid w:val="7CFE6AE4"/>
    <w:rsid w:val="7CFF2B54"/>
    <w:rsid w:val="7CFFACC2"/>
    <w:rsid w:val="7D001143"/>
    <w:rsid w:val="7D0905C7"/>
    <w:rsid w:val="7D180251"/>
    <w:rsid w:val="7D2E5F39"/>
    <w:rsid w:val="7D345D3C"/>
    <w:rsid w:val="7D3D4510"/>
    <w:rsid w:val="7D512219"/>
    <w:rsid w:val="7D5DAFFF"/>
    <w:rsid w:val="7D6A7CF0"/>
    <w:rsid w:val="7D7BAA86"/>
    <w:rsid w:val="7D7DEBB7"/>
    <w:rsid w:val="7DA77B7C"/>
    <w:rsid w:val="7DAB26E8"/>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2447D7"/>
    <w:rsid w:val="7E3201EE"/>
    <w:rsid w:val="7E3A3239"/>
    <w:rsid w:val="7E3B60E6"/>
    <w:rsid w:val="7E5656C0"/>
    <w:rsid w:val="7E5A3003"/>
    <w:rsid w:val="7E694EB9"/>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176427"/>
    <w:rsid w:val="7F181840"/>
    <w:rsid w:val="7F2B63DB"/>
    <w:rsid w:val="7F396F3C"/>
    <w:rsid w:val="7F434859"/>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5C7F9"/>
    <w:rsid w:val="7FFB1D68"/>
    <w:rsid w:val="7FFFE5CE"/>
    <w:rsid w:val="9DE349CA"/>
    <w:rsid w:val="9F7BBE3B"/>
    <w:rsid w:val="A5FF920B"/>
    <w:rsid w:val="A7CF87A4"/>
    <w:rsid w:val="A7FF6531"/>
    <w:rsid w:val="AE2FD64D"/>
    <w:rsid w:val="AFF7847B"/>
    <w:rsid w:val="B56A2165"/>
    <w:rsid w:val="B7F4557A"/>
    <w:rsid w:val="B89E4E64"/>
    <w:rsid w:val="B8FE473A"/>
    <w:rsid w:val="B98AB133"/>
    <w:rsid w:val="BBFF417C"/>
    <w:rsid w:val="BCFFC4EA"/>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DFD3CC"/>
    <w:rsid w:val="EFFE9AA7"/>
    <w:rsid w:val="F2FF462E"/>
    <w:rsid w:val="F3D53566"/>
    <w:rsid w:val="F5DFAABC"/>
    <w:rsid w:val="F7D393A2"/>
    <w:rsid w:val="F9D7F67F"/>
    <w:rsid w:val="FB6F6285"/>
    <w:rsid w:val="FDBDDA66"/>
    <w:rsid w:val="FDD82E6C"/>
    <w:rsid w:val="FDF315CB"/>
    <w:rsid w:val="FE3FA395"/>
    <w:rsid w:val="FE5B8028"/>
    <w:rsid w:val="FE7F1E31"/>
    <w:rsid w:val="FEDB3E6A"/>
    <w:rsid w:val="FEFB1BFD"/>
    <w:rsid w:val="FF75CE6E"/>
    <w:rsid w:val="FF9EA0AC"/>
    <w:rsid w:val="FF9FBD61"/>
    <w:rsid w:val="FFAFF89C"/>
    <w:rsid w:val="FFC7D48D"/>
    <w:rsid w:val="FFE6C866"/>
    <w:rsid w:val="FFE6D7EA"/>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jc w:val="left"/>
      <w:outlineLvl w:val="4"/>
    </w:pPr>
    <w:rPr>
      <w:rFonts w:ascii="MS Sans Serif" w:eastAsia="MS Sans Serif"/>
      <w:kern w:val="0"/>
      <w:sz w:val="24"/>
      <w:szCs w:val="20"/>
    </w:rPr>
  </w:style>
  <w:style w:type="paragraph" w:styleId="8">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9">
    <w:name w:val="heading 7"/>
    <w:basedOn w:val="1"/>
    <w:next w:val="1"/>
    <w:qFormat/>
    <w:uiPriority w:val="0"/>
    <w:pPr>
      <w:keepNext/>
      <w:keepLines/>
      <w:spacing w:line="320" w:lineRule="auto"/>
      <w:outlineLvl w:val="6"/>
    </w:pPr>
    <w:rPr>
      <w:b/>
      <w:sz w:val="24"/>
      <w:szCs w:val="20"/>
    </w:rPr>
  </w:style>
  <w:style w:type="paragraph" w:styleId="10">
    <w:name w:val="heading 8"/>
    <w:basedOn w:val="1"/>
    <w:next w:val="11"/>
    <w:qFormat/>
    <w:uiPriority w:val="0"/>
    <w:pPr>
      <w:keepNext/>
      <w:keepLines/>
      <w:spacing w:line="320" w:lineRule="auto"/>
      <w:outlineLvl w:val="7"/>
    </w:pPr>
    <w:rPr>
      <w:rFonts w:ascii="黑体" w:hAnsi="黑体" w:eastAsia="楷体"/>
      <w:sz w:val="24"/>
      <w:szCs w:val="20"/>
    </w:rPr>
  </w:style>
  <w:style w:type="paragraph" w:styleId="12">
    <w:name w:val="heading 9"/>
    <w:basedOn w:val="1"/>
    <w:next w:val="11"/>
    <w:qFormat/>
    <w:uiPriority w:val="0"/>
    <w:pPr>
      <w:keepNext/>
      <w:keepLines/>
      <w:spacing w:line="320" w:lineRule="auto"/>
      <w:outlineLvl w:val="8"/>
    </w:pPr>
    <w:rPr>
      <w:rFonts w:ascii="黑体" w:hAnsi="黑体" w:eastAsia="楷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2"/>
    <w:qFormat/>
    <w:uiPriority w:val="0"/>
    <w:pPr>
      <w:adjustRightInd w:val="0"/>
      <w:spacing w:line="360" w:lineRule="auto"/>
      <w:ind w:firstLine="490"/>
      <w:jc w:val="left"/>
    </w:pPr>
    <w:rPr>
      <w:rFonts w:ascii="Century Gothic" w:hAnsi="Century Gothic" w:eastAsia="Century Gothic"/>
      <w:sz w:val="24"/>
      <w:szCs w:val="20"/>
    </w:rPr>
  </w:style>
  <w:style w:type="paragraph" w:styleId="11">
    <w:name w:val="Normal Indent"/>
    <w:basedOn w:val="1"/>
    <w:next w:val="1"/>
    <w:link w:val="61"/>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next w:val="19"/>
    <w:qFormat/>
    <w:uiPriority w:val="0"/>
  </w:style>
  <w:style w:type="paragraph" w:customStyle="1" w:styleId="19">
    <w:name w:val="_Style 2"/>
    <w:basedOn w:val="1"/>
    <w:qFormat/>
    <w:uiPriority w:val="0"/>
    <w:pPr>
      <w:ind w:firstLine="200" w:firstLineChars="200"/>
    </w:pPr>
    <w:rPr>
      <w:rFonts w:ascii="Calibri" w:hAnsi="Calibri"/>
      <w:sz w:val="28"/>
      <w:szCs w:val="22"/>
    </w:r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63"/>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64"/>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7"/>
    <w:next w:val="17"/>
    <w:semiHidden/>
    <w:qFormat/>
    <w:uiPriority w:val="0"/>
    <w:rPr>
      <w:b/>
      <w:bCs/>
    </w:rPr>
  </w:style>
  <w:style w:type="paragraph" w:styleId="44">
    <w:name w:val="Body Text First Indent"/>
    <w:basedOn w:val="18"/>
    <w:next w:val="34"/>
    <w:qFormat/>
    <w:uiPriority w:val="0"/>
    <w:pPr>
      <w:ind w:firstLine="420"/>
    </w:pPr>
  </w:style>
  <w:style w:type="paragraph" w:styleId="45">
    <w:name w:val="Body Text First Indent 2"/>
    <w:basedOn w:val="2"/>
    <w:qFormat/>
    <w:uiPriority w:val="0"/>
    <w:pPr>
      <w:ind w:firstLine="420" w:firstLineChars="200"/>
    </w:pPr>
  </w:style>
  <w:style w:type="table" w:styleId="47">
    <w:name w:val="Table Grid"/>
    <w:basedOn w:val="4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rPr>
  </w:style>
  <w:style w:type="character" w:styleId="50">
    <w:name w:val="page number"/>
    <w:qFormat/>
    <w:uiPriority w:val="0"/>
  </w:style>
  <w:style w:type="character" w:styleId="51">
    <w:name w:val="FollowedHyperlink"/>
    <w:qFormat/>
    <w:uiPriority w:val="0"/>
    <w:rPr>
      <w:color w:val="3177FD"/>
      <w:sz w:val="21"/>
      <w:szCs w:val="21"/>
      <w:u w:val="none"/>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Keyboard"/>
    <w:qFormat/>
    <w:uiPriority w:val="0"/>
    <w:rPr>
      <w:rFonts w:ascii="Consolas" w:hAnsi="Consolas" w:eastAsia="Consolas" w:cs="Consolas"/>
      <w:sz w:val="21"/>
      <w:szCs w:val="21"/>
    </w:rPr>
  </w:style>
  <w:style w:type="character" w:styleId="57">
    <w:name w:val="HTML Sample"/>
    <w:qFormat/>
    <w:uiPriority w:val="0"/>
    <w:rPr>
      <w:rFonts w:hint="default" w:ascii="Consolas" w:hAnsi="Consolas" w:eastAsia="Consolas" w:cs="Consolas"/>
      <w:sz w:val="21"/>
      <w:szCs w:val="21"/>
    </w:rPr>
  </w:style>
  <w:style w:type="paragraph" w:styleId="58">
    <w:name w:val="List Paragraph"/>
    <w:basedOn w:val="1"/>
    <w:link w:val="90"/>
    <w:qFormat/>
    <w:uiPriority w:val="34"/>
    <w:pPr>
      <w:ind w:firstLine="420" w:firstLineChars="200"/>
    </w:pPr>
    <w:rPr>
      <w:rFonts w:ascii="Times New Roman" w:hAnsi="Times New Roman"/>
    </w:rPr>
  </w:style>
  <w:style w:type="paragraph" w:customStyle="1" w:styleId="59">
    <w:name w:val="_Style 1"/>
    <w:qFormat/>
    <w:uiPriority w:val="0"/>
    <w:rPr>
      <w:rFonts w:ascii="Calibri" w:hAnsi="Calibri" w:eastAsia="宋体" w:cs="Times New Roman"/>
      <w:kern w:val="2"/>
      <w:sz w:val="28"/>
      <w:szCs w:val="22"/>
      <w:lang w:val="en-US" w:eastAsia="zh-CN" w:bidi="ar-SA"/>
    </w:rPr>
  </w:style>
  <w:style w:type="character" w:customStyle="1" w:styleId="60">
    <w:name w:val="标题 1 Char"/>
    <w:link w:val="3"/>
    <w:qFormat/>
    <w:uiPriority w:val="0"/>
    <w:rPr>
      <w:rFonts w:eastAsia="Century Gothic"/>
      <w:b/>
      <w:bCs/>
      <w:kern w:val="44"/>
      <w:sz w:val="44"/>
      <w:szCs w:val="44"/>
      <w:lang w:val="en-US" w:eastAsia="zh-CN" w:bidi="ar-SA"/>
    </w:rPr>
  </w:style>
  <w:style w:type="character" w:customStyle="1" w:styleId="61">
    <w:name w:val="正文缩进 Char"/>
    <w:link w:val="11"/>
    <w:qFormat/>
    <w:uiPriority w:val="0"/>
    <w:rPr>
      <w:rFonts w:ascii="Arial" w:hAnsi="Arial" w:eastAsia="宋体" w:cs="Arial"/>
      <w:lang w:val="en-US" w:eastAsia="zh-CN" w:bidi="ar-SA"/>
    </w:rPr>
  </w:style>
  <w:style w:type="character" w:customStyle="1" w:styleId="62">
    <w:name w:val="正文文本缩进 Char"/>
    <w:link w:val="2"/>
    <w:semiHidden/>
    <w:qFormat/>
    <w:uiPriority w:val="0"/>
    <w:rPr>
      <w:rFonts w:ascii="Century Gothic" w:hAnsi="Century Gothic" w:eastAsia="Century Gothic"/>
      <w:kern w:val="2"/>
      <w:sz w:val="24"/>
      <w:lang w:val="en-US" w:eastAsia="zh-CN" w:bidi="ar-SA"/>
    </w:rPr>
  </w:style>
  <w:style w:type="character" w:customStyle="1" w:styleId="63">
    <w:name w:val="纯文本 Char"/>
    <w:link w:val="24"/>
    <w:qFormat/>
    <w:uiPriority w:val="0"/>
    <w:rPr>
      <w:rFonts w:ascii="Century Gothic" w:hAnsi="楷体_GB2312" w:eastAsia="Century Gothic" w:cs="楷体_GB2312"/>
      <w:kern w:val="2"/>
      <w:sz w:val="21"/>
      <w:szCs w:val="21"/>
      <w:lang w:val="en-US" w:eastAsia="zh-CN" w:bidi="ar-SA"/>
    </w:rPr>
  </w:style>
  <w:style w:type="character" w:customStyle="1" w:styleId="64">
    <w:name w:val="页脚 Char"/>
    <w:link w:val="29"/>
    <w:qFormat/>
    <w:uiPriority w:val="0"/>
    <w:rPr>
      <w:rFonts w:eastAsia="Century Gothic"/>
      <w:kern w:val="2"/>
      <w:sz w:val="18"/>
      <w:lang w:val="en-US" w:eastAsia="zh-CN" w:bidi="ar-SA"/>
    </w:rPr>
  </w:style>
  <w:style w:type="character" w:customStyle="1" w:styleId="65">
    <w:name w:val="zbggmain style9"/>
    <w:qFormat/>
    <w:uiPriority w:val="0"/>
    <w:rPr>
      <w:rFonts w:ascii="Courier New" w:eastAsia="Courier New"/>
      <w:b/>
      <w:kern w:val="2"/>
      <w:sz w:val="32"/>
      <w:szCs w:val="32"/>
      <w:lang w:val="en-US" w:eastAsia="zh-CN" w:bidi="ar-SA"/>
    </w:rPr>
  </w:style>
  <w:style w:type="character" w:customStyle="1" w:styleId="66">
    <w:name w:val="temp1"/>
    <w:qFormat/>
    <w:uiPriority w:val="0"/>
  </w:style>
  <w:style w:type="character" w:customStyle="1" w:styleId="67">
    <w:name w:val="Char Char21"/>
    <w:qFormat/>
    <w:uiPriority w:val="0"/>
    <w:rPr>
      <w:rFonts w:eastAsia="Century Gothic"/>
      <w:b/>
      <w:bCs/>
      <w:kern w:val="44"/>
      <w:sz w:val="32"/>
      <w:szCs w:val="44"/>
      <w:lang w:val="en-US" w:eastAsia="zh-CN" w:bidi="ar-SA"/>
    </w:rPr>
  </w:style>
  <w:style w:type="character" w:customStyle="1" w:styleId="68">
    <w:name w:val="Char Char12"/>
    <w:qFormat/>
    <w:uiPriority w:val="0"/>
    <w:rPr>
      <w:rFonts w:ascii="Century Gothic" w:hAnsi="楷体_GB2312" w:eastAsia="Century Gothic" w:cs="楷体_GB2312"/>
      <w:kern w:val="2"/>
      <w:sz w:val="21"/>
      <w:szCs w:val="21"/>
      <w:lang w:val="en-US" w:eastAsia="zh-CN" w:bidi="ar-SA"/>
    </w:rPr>
  </w:style>
  <w:style w:type="character" w:customStyle="1" w:styleId="69">
    <w:name w:val="first-child7"/>
    <w:qFormat/>
    <w:uiPriority w:val="0"/>
  </w:style>
  <w:style w:type="character" w:customStyle="1" w:styleId="70">
    <w:name w:val="ant-select-tree-checkbox"/>
    <w:qFormat/>
    <w:uiPriority w:val="0"/>
  </w:style>
  <w:style w:type="character" w:customStyle="1" w:styleId="71">
    <w:name w:val="tag-type"/>
    <w:qFormat/>
    <w:uiPriority w:val="0"/>
    <w:rPr>
      <w:color w:val="FFFFFF"/>
      <w:sz w:val="18"/>
      <w:szCs w:val="18"/>
      <w:shd w:val="clear" w:color="auto" w:fill="317FFD"/>
    </w:rPr>
  </w:style>
  <w:style w:type="character" w:customStyle="1" w:styleId="72">
    <w:name w:val="ant-select-tree-switcher"/>
    <w:qFormat/>
    <w:uiPriority w:val="0"/>
  </w:style>
  <w:style w:type="character" w:customStyle="1" w:styleId="73">
    <w:name w:val="Default Char"/>
    <w:link w:val="74"/>
    <w:qFormat/>
    <w:uiPriority w:val="0"/>
    <w:rPr>
      <w:rFonts w:ascii="楷体" w:eastAsia="楷体"/>
      <w:color w:val="000000"/>
      <w:sz w:val="24"/>
      <w:szCs w:val="24"/>
      <w:lang w:val="en-US" w:eastAsia="zh-CN" w:bidi="ar-SA"/>
    </w:rPr>
  </w:style>
  <w:style w:type="paragraph" w:customStyle="1" w:styleId="74">
    <w:name w:val="Default"/>
    <w:next w:val="75"/>
    <w:link w:val="73"/>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78">
    <w:name w:val="font71"/>
    <w:qFormat/>
    <w:uiPriority w:val="0"/>
    <w:rPr>
      <w:rFonts w:hint="eastAsia" w:ascii="宋体" w:hAnsi="宋体" w:eastAsia="宋体" w:cs="宋体"/>
      <w:color w:val="000000"/>
      <w:sz w:val="20"/>
      <w:szCs w:val="20"/>
      <w:u w:val="none"/>
    </w:rPr>
  </w:style>
  <w:style w:type="character" w:customStyle="1" w:styleId="79">
    <w:name w:val="current"/>
    <w:qFormat/>
    <w:uiPriority w:val="0"/>
    <w:rPr>
      <w:color w:val="00C1DE"/>
    </w:rPr>
  </w:style>
  <w:style w:type="character" w:customStyle="1" w:styleId="80">
    <w:name w:val="last-of-type"/>
    <w:qFormat/>
    <w:uiPriority w:val="0"/>
    <w:rPr>
      <w:color w:val="FF4A44"/>
      <w:sz w:val="27"/>
      <w:szCs w:val="27"/>
    </w:rPr>
  </w:style>
  <w:style w:type="character" w:customStyle="1" w:styleId="81">
    <w:name w:val="font121"/>
    <w:qFormat/>
    <w:uiPriority w:val="0"/>
    <w:rPr>
      <w:rFonts w:hint="eastAsia" w:ascii="宋体" w:hAnsi="宋体" w:eastAsia="宋体" w:cs="宋体"/>
      <w:b/>
      <w:color w:val="000000"/>
      <w:sz w:val="20"/>
      <w:szCs w:val="20"/>
      <w:u w:val="none"/>
    </w:rPr>
  </w:style>
  <w:style w:type="character" w:customStyle="1" w:styleId="82">
    <w:name w:val="font01"/>
    <w:basedOn w:val="48"/>
    <w:qFormat/>
    <w:uiPriority w:val="0"/>
    <w:rPr>
      <w:rFonts w:hint="eastAsia" w:ascii="宋体" w:hAnsi="宋体" w:eastAsia="宋体" w:cs="宋体"/>
      <w:color w:val="000000"/>
      <w:sz w:val="20"/>
      <w:szCs w:val="20"/>
      <w:u w:val="none"/>
      <w:vertAlign w:val="superscript"/>
    </w:rPr>
  </w:style>
  <w:style w:type="character" w:customStyle="1" w:styleId="83">
    <w:name w:val="first-child"/>
    <w:qFormat/>
    <w:uiPriority w:val="0"/>
  </w:style>
  <w:style w:type="character" w:customStyle="1" w:styleId="84">
    <w:name w:val="current1"/>
    <w:qFormat/>
    <w:uiPriority w:val="0"/>
    <w:rPr>
      <w:color w:val="00C1DE"/>
    </w:rPr>
  </w:style>
  <w:style w:type="character" w:customStyle="1" w:styleId="85">
    <w:name w:val="zbggtop11 style5"/>
    <w:qFormat/>
    <w:uiPriority w:val="0"/>
  </w:style>
  <w:style w:type="character" w:customStyle="1" w:styleId="86">
    <w:name w:val="style1"/>
    <w:qFormat/>
    <w:uiPriority w:val="0"/>
  </w:style>
  <w:style w:type="character" w:customStyle="1" w:styleId="87">
    <w:name w:val="ant-tree-iconele"/>
    <w:qFormat/>
    <w:uiPriority w:val="0"/>
  </w:style>
  <w:style w:type="character" w:customStyle="1" w:styleId="88">
    <w:name w:val="content"/>
    <w:qFormat/>
    <w:uiPriority w:val="0"/>
  </w:style>
  <w:style w:type="character" w:customStyle="1" w:styleId="89">
    <w:name w:val="font51"/>
    <w:qFormat/>
    <w:uiPriority w:val="0"/>
    <w:rPr>
      <w:rFonts w:hint="eastAsia" w:ascii="宋体" w:hAnsi="宋体" w:eastAsia="宋体" w:cs="宋体"/>
      <w:color w:val="000000"/>
      <w:sz w:val="20"/>
      <w:szCs w:val="20"/>
      <w:u w:val="none"/>
    </w:rPr>
  </w:style>
  <w:style w:type="character" w:customStyle="1" w:styleId="90">
    <w:name w:val="列出段落 Char"/>
    <w:link w:val="58"/>
    <w:qFormat/>
    <w:uiPriority w:val="34"/>
    <w:rPr>
      <w:kern w:val="2"/>
      <w:sz w:val="21"/>
      <w:szCs w:val="24"/>
    </w:rPr>
  </w:style>
  <w:style w:type="character" w:customStyle="1" w:styleId="91">
    <w:name w:val="ant-select-tree-iconele"/>
    <w:qFormat/>
    <w:uiPriority w:val="0"/>
  </w:style>
  <w:style w:type="character" w:customStyle="1" w:styleId="92">
    <w:name w:val="bookmark-item uuid-1588129097073 code-23007 addword single-line-text-input-box-cls readonly"/>
    <w:qFormat/>
    <w:uiPriority w:val="0"/>
  </w:style>
  <w:style w:type="character" w:customStyle="1" w:styleId="93">
    <w:name w:val="ant-badge-status-dot2"/>
    <w:qFormat/>
    <w:uiPriority w:val="0"/>
    <w:rPr>
      <w:shd w:val="clear" w:color="auto" w:fill="FFFFFF"/>
    </w:rPr>
  </w:style>
  <w:style w:type="character" w:customStyle="1" w:styleId="94">
    <w:name w:val="change-camera-place"/>
    <w:qFormat/>
    <w:uiPriority w:val="0"/>
    <w:rPr>
      <w:color w:val="3177FD"/>
    </w:rPr>
  </w:style>
  <w:style w:type="character" w:customStyle="1" w:styleId="95">
    <w:name w:val="last-child1"/>
    <w:qFormat/>
    <w:uiPriority w:val="0"/>
  </w:style>
  <w:style w:type="character" w:customStyle="1" w:styleId="96">
    <w:name w:val="first-child9"/>
    <w:qFormat/>
    <w:uiPriority w:val="0"/>
  </w:style>
  <w:style w:type="character" w:customStyle="1" w:styleId="97">
    <w:name w:val="all-fit-info2"/>
    <w:qFormat/>
    <w:uiPriority w:val="0"/>
    <w:rPr>
      <w:color w:val="939393"/>
    </w:rPr>
  </w:style>
  <w:style w:type="character" w:customStyle="1" w:styleId="98">
    <w:name w:val="ant-tree-switcher"/>
    <w:qFormat/>
    <w:uiPriority w:val="0"/>
  </w:style>
  <w:style w:type="character" w:customStyle="1" w:styleId="99">
    <w:name w:val="temp2"/>
    <w:qFormat/>
    <w:uiPriority w:val="0"/>
  </w:style>
  <w:style w:type="character" w:customStyle="1" w:styleId="100">
    <w:name w:val="tpc_content1"/>
    <w:qFormat/>
    <w:uiPriority w:val="0"/>
    <w:rPr>
      <w:sz w:val="20"/>
      <w:szCs w:val="20"/>
    </w:rPr>
  </w:style>
  <w:style w:type="character" w:customStyle="1" w:styleId="101">
    <w:name w:val="font81"/>
    <w:basedOn w:val="48"/>
    <w:qFormat/>
    <w:uiPriority w:val="0"/>
    <w:rPr>
      <w:rFonts w:hint="eastAsia" w:ascii="宋体" w:hAnsi="宋体" w:eastAsia="宋体" w:cs="宋体"/>
      <w:color w:val="FF0000"/>
      <w:sz w:val="24"/>
      <w:szCs w:val="24"/>
      <w:u w:val="none"/>
    </w:rPr>
  </w:style>
  <w:style w:type="character" w:customStyle="1" w:styleId="102">
    <w:name w:val="tag-type1"/>
    <w:qFormat/>
    <w:uiPriority w:val="0"/>
    <w:rPr>
      <w:color w:val="FFFFFF"/>
      <w:sz w:val="18"/>
      <w:szCs w:val="18"/>
      <w:shd w:val="clear" w:color="auto" w:fill="317FFD"/>
    </w:rPr>
  </w:style>
  <w:style w:type="character" w:customStyle="1" w:styleId="103">
    <w:name w:val="font21"/>
    <w:basedOn w:val="48"/>
    <w:qFormat/>
    <w:uiPriority w:val="0"/>
    <w:rPr>
      <w:rFonts w:hint="default" w:ascii="Arial" w:hAnsi="Arial" w:cs="Arial"/>
      <w:color w:val="000000"/>
      <w:sz w:val="21"/>
      <w:szCs w:val="21"/>
      <w:u w:val="none"/>
    </w:rPr>
  </w:style>
  <w:style w:type="character" w:customStyle="1" w:styleId="104">
    <w:name w:val="last-child2"/>
    <w:qFormat/>
    <w:uiPriority w:val="0"/>
  </w:style>
  <w:style w:type="character" w:customStyle="1" w:styleId="105">
    <w:name w:val="info-content"/>
    <w:qFormat/>
    <w:uiPriority w:val="0"/>
    <w:rPr>
      <w:color w:val="808080"/>
    </w:rPr>
  </w:style>
  <w:style w:type="character" w:customStyle="1" w:styleId="106">
    <w:name w:val="Char Char"/>
    <w:qFormat/>
    <w:uiPriority w:val="0"/>
    <w:rPr>
      <w:rFonts w:ascii="Courier New" w:eastAsia="Courier New"/>
      <w:color w:val="FF0000"/>
      <w:kern w:val="2"/>
      <w:sz w:val="24"/>
      <w:szCs w:val="24"/>
      <w:u w:val="single"/>
      <w:lang w:val="en-US" w:eastAsia="zh-CN" w:bidi="ar-SA"/>
    </w:rPr>
  </w:style>
  <w:style w:type="character" w:customStyle="1" w:styleId="107">
    <w:name w:val="ant-tree-checkbox2"/>
    <w:qFormat/>
    <w:uiPriority w:val="0"/>
  </w:style>
  <w:style w:type="character" w:customStyle="1" w:styleId="108">
    <w:name w:val="label2"/>
    <w:qFormat/>
    <w:uiPriority w:val="0"/>
  </w:style>
  <w:style w:type="character" w:customStyle="1" w:styleId="109">
    <w:name w:val="标准文本 Char"/>
    <w:link w:val="110"/>
    <w:qFormat/>
    <w:uiPriority w:val="0"/>
    <w:rPr>
      <w:rFonts w:eastAsia="宋体" w:cs="宋体"/>
      <w:kern w:val="2"/>
      <w:sz w:val="24"/>
      <w:lang w:val="en-US" w:eastAsia="zh-CN" w:bidi="ar-SA"/>
    </w:rPr>
  </w:style>
  <w:style w:type="paragraph" w:customStyle="1" w:styleId="110">
    <w:name w:val="标准文本"/>
    <w:basedOn w:val="1"/>
    <w:link w:val="109"/>
    <w:qFormat/>
    <w:uiPriority w:val="0"/>
    <w:pPr>
      <w:spacing w:line="360" w:lineRule="auto"/>
      <w:ind w:firstLine="480" w:firstLineChars="200"/>
    </w:pPr>
    <w:rPr>
      <w:rFonts w:ascii="Times New Roman" w:hAnsi="Times New Roman" w:cs="宋体"/>
      <w:sz w:val="24"/>
      <w:szCs w:val="20"/>
    </w:rPr>
  </w:style>
  <w:style w:type="character" w:customStyle="1" w:styleId="111">
    <w:name w:val="正文2 Char"/>
    <w:link w:val="112"/>
    <w:qFormat/>
    <w:uiPriority w:val="0"/>
    <w:rPr>
      <w:rFonts w:eastAsia="宋体"/>
      <w:kern w:val="2"/>
      <w:sz w:val="24"/>
      <w:lang w:val="en-US" w:eastAsia="zh-CN" w:bidi="ar-SA"/>
    </w:rPr>
  </w:style>
  <w:style w:type="paragraph" w:customStyle="1" w:styleId="112">
    <w:name w:val="正文2"/>
    <w:basedOn w:val="1"/>
    <w:link w:val="111"/>
    <w:qFormat/>
    <w:uiPriority w:val="0"/>
    <w:pPr>
      <w:spacing w:line="360" w:lineRule="auto"/>
      <w:ind w:firstLine="510" w:firstLineChars="200"/>
    </w:pPr>
    <w:rPr>
      <w:rFonts w:ascii="Times New Roman" w:hAnsi="Times New Roman"/>
      <w:sz w:val="24"/>
      <w:szCs w:val="20"/>
    </w:rPr>
  </w:style>
  <w:style w:type="character" w:customStyle="1" w:styleId="113">
    <w:name w:val="bulletintext1"/>
    <w:qFormat/>
    <w:uiPriority w:val="0"/>
    <w:rPr>
      <w:color w:val="000000"/>
      <w:sz w:val="18"/>
    </w:rPr>
  </w:style>
  <w:style w:type="character" w:customStyle="1" w:styleId="114">
    <w:name w:val="last-child"/>
    <w:qFormat/>
    <w:uiPriority w:val="0"/>
  </w:style>
  <w:style w:type="character" w:customStyle="1" w:styleId="115">
    <w:name w:val="font101"/>
    <w:qFormat/>
    <w:uiPriority w:val="0"/>
    <w:rPr>
      <w:rFonts w:ascii="Calibri" w:hAnsi="Calibri" w:cs="Calibri"/>
      <w:color w:val="000000"/>
      <w:sz w:val="20"/>
      <w:szCs w:val="20"/>
      <w:u w:val="none"/>
    </w:rPr>
  </w:style>
  <w:style w:type="character" w:customStyle="1" w:styleId="116">
    <w:name w:val="font61"/>
    <w:basedOn w:val="48"/>
    <w:qFormat/>
    <w:uiPriority w:val="0"/>
    <w:rPr>
      <w:rFonts w:hint="eastAsia" w:ascii="宋体" w:hAnsi="宋体" w:eastAsia="宋体" w:cs="宋体"/>
      <w:color w:val="161616"/>
      <w:sz w:val="20"/>
      <w:szCs w:val="20"/>
      <w:u w:val="none"/>
    </w:rPr>
  </w:style>
  <w:style w:type="character" w:customStyle="1" w:styleId="117">
    <w:name w:val="all-fit-info"/>
    <w:qFormat/>
    <w:uiPriority w:val="0"/>
    <w:rPr>
      <w:color w:val="939393"/>
    </w:rPr>
  </w:style>
  <w:style w:type="character" w:customStyle="1" w:styleId="118">
    <w:name w:val="ant-tree-checkbox"/>
    <w:qFormat/>
    <w:uiPriority w:val="0"/>
  </w:style>
  <w:style w:type="character" w:customStyle="1" w:styleId="119">
    <w:name w:val="ant-badge-status-dot"/>
    <w:qFormat/>
    <w:uiPriority w:val="0"/>
    <w:rPr>
      <w:shd w:val="clear" w:color="auto" w:fill="FFFFFF"/>
    </w:rPr>
  </w:style>
  <w:style w:type="character" w:customStyle="1" w:styleId="120">
    <w:name w:val="bookmark-item uuid-1591619842642 code-23011 addword date-time-selection-cls"/>
    <w:qFormat/>
    <w:uiPriority w:val="0"/>
  </w:style>
  <w:style w:type="character" w:customStyle="1" w:styleId="121">
    <w:name w:val="content8"/>
    <w:qFormat/>
    <w:uiPriority w:val="0"/>
  </w:style>
  <w:style w:type="character" w:customStyle="1" w:styleId="122">
    <w:name w:val="info-label"/>
    <w:qFormat/>
    <w:uiPriority w:val="0"/>
    <w:rPr>
      <w:b/>
    </w:rPr>
  </w:style>
  <w:style w:type="character" w:customStyle="1" w:styleId="123">
    <w:name w:val="ant-select-tree-checkbox2"/>
    <w:qFormat/>
    <w:uiPriority w:val="0"/>
  </w:style>
  <w:style w:type="character" w:customStyle="1" w:styleId="124">
    <w:name w:val="temp"/>
    <w:qFormat/>
    <w:uiPriority w:val="0"/>
  </w:style>
  <w:style w:type="character" w:customStyle="1" w:styleId="125">
    <w:name w:val="label"/>
    <w:qFormat/>
    <w:uiPriority w:val="0"/>
  </w:style>
  <w:style w:type="character" w:customStyle="1" w:styleId="126">
    <w:name w:val="ant-tree-icon_loading"/>
    <w:qFormat/>
    <w:uiPriority w:val="0"/>
    <w:rPr>
      <w:shd w:val="clear" w:color="auto" w:fill="FFFFFF"/>
    </w:rPr>
  </w:style>
  <w:style w:type="character" w:customStyle="1" w:styleId="127">
    <w:name w:val="last-child3"/>
    <w:qFormat/>
    <w:uiPriority w:val="0"/>
  </w:style>
  <w:style w:type="character" w:customStyle="1" w:styleId="128">
    <w:name w:val="font11"/>
    <w:basedOn w:val="48"/>
    <w:qFormat/>
    <w:uiPriority w:val="0"/>
    <w:rPr>
      <w:rFonts w:hint="eastAsia" w:ascii="宋体" w:hAnsi="宋体" w:eastAsia="宋体" w:cs="宋体"/>
      <w:color w:val="000000"/>
      <w:sz w:val="21"/>
      <w:szCs w:val="21"/>
      <w:u w:val="none"/>
    </w:rPr>
  </w:style>
  <w:style w:type="character" w:customStyle="1" w:styleId="129">
    <w:name w:val="all-fit-info1"/>
    <w:qFormat/>
    <w:uiPriority w:val="0"/>
    <w:rPr>
      <w:color w:val="939393"/>
    </w:rPr>
  </w:style>
  <w:style w:type="paragraph" w:customStyle="1" w:styleId="130">
    <w:name w:val="[Normal]"/>
    <w:qFormat/>
    <w:uiPriority w:val="0"/>
    <w:rPr>
      <w:rFonts w:ascii="宋体" w:hAnsi="宋体" w:eastAsia="宋体" w:cs="Arial"/>
      <w:sz w:val="24"/>
      <w:szCs w:val="22"/>
      <w:lang w:val="zh-CN" w:eastAsia="zh-CN" w:bidi="ar-SA"/>
    </w:rPr>
  </w:style>
  <w:style w:type="paragraph" w:customStyle="1" w:styleId="131">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2">
    <w:name w:val="样式5"/>
    <w:basedOn w:val="6"/>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34">
    <w:name w:val="标书标题4"/>
    <w:basedOn w:val="6"/>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35">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7">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38">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9">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ont6"/>
    <w:basedOn w:val="1"/>
    <w:qFormat/>
    <w:uiPriority w:val="0"/>
    <w:pPr>
      <w:widowControl/>
      <w:spacing w:beforeAutospacing="1" w:afterAutospacing="1"/>
      <w:jc w:val="left"/>
    </w:pPr>
    <w:rPr>
      <w:kern w:val="0"/>
      <w:sz w:val="18"/>
      <w:szCs w:val="18"/>
    </w:rPr>
  </w:style>
  <w:style w:type="paragraph" w:customStyle="1" w:styleId="14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3">
    <w:name w:val="列出段落1"/>
    <w:basedOn w:val="1"/>
    <w:qFormat/>
    <w:uiPriority w:val="0"/>
    <w:pPr>
      <w:ind w:firstLine="420" w:firstLineChars="200"/>
    </w:pPr>
    <w:rPr>
      <w:rFonts w:ascii="等线" w:hAnsi="等线"/>
      <w:szCs w:val="21"/>
    </w:rPr>
  </w:style>
  <w:style w:type="paragraph" w:customStyle="1" w:styleId="144">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4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6">
    <w:name w:val="BodyText1I"/>
    <w:basedOn w:val="147"/>
    <w:qFormat/>
    <w:uiPriority w:val="0"/>
    <w:pPr>
      <w:spacing w:after="120"/>
      <w:ind w:firstLine="420" w:firstLineChars="100"/>
    </w:pPr>
  </w:style>
  <w:style w:type="paragraph" w:customStyle="1" w:styleId="147">
    <w:name w:val="BodyText"/>
    <w:basedOn w:val="1"/>
    <w:next w:val="146"/>
    <w:qFormat/>
    <w:uiPriority w:val="0"/>
    <w:rPr>
      <w:sz w:val="20"/>
    </w:rPr>
  </w:style>
  <w:style w:type="paragraph" w:customStyle="1" w:styleId="148">
    <w:name w:val="索引 11"/>
    <w:basedOn w:val="1"/>
    <w:next w:val="1"/>
    <w:qFormat/>
    <w:uiPriority w:val="99"/>
    <w:pPr>
      <w:spacing w:line="360" w:lineRule="auto"/>
    </w:pPr>
    <w:rPr>
      <w:rFonts w:ascii="仿宋_GB2312" w:eastAsia="仿宋_GB2312"/>
      <w:sz w:val="24"/>
      <w:szCs w:val="20"/>
    </w:rPr>
  </w:style>
  <w:style w:type="paragraph" w:customStyle="1" w:styleId="149">
    <w:name w:val="Char Char Char Char Char"/>
    <w:basedOn w:val="1"/>
    <w:qFormat/>
    <w:uiPriority w:val="0"/>
    <w:pPr>
      <w:widowControl/>
      <w:spacing w:line="240" w:lineRule="exact"/>
      <w:jc w:val="left"/>
    </w:pPr>
    <w:rPr>
      <w:rFonts w:ascii="Verdana" w:hAnsi="Verdana" w:eastAsia="华文细黑"/>
    </w:rPr>
  </w:style>
  <w:style w:type="paragraph" w:customStyle="1" w:styleId="150">
    <w:name w:val="无间距1"/>
    <w:qFormat/>
    <w:uiPriority w:val="0"/>
    <w:rPr>
      <w:rFonts w:ascii="Times New Roman" w:hAnsi="Times New Roman" w:eastAsia="??" w:cs="宋体"/>
      <w:sz w:val="22"/>
      <w:szCs w:val="22"/>
      <w:lang w:val="en-US" w:eastAsia="en-US" w:bidi="ar-SA"/>
    </w:rPr>
  </w:style>
  <w:style w:type="paragraph" w:customStyle="1" w:styleId="151">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2">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方案三级标题"/>
    <w:basedOn w:val="4"/>
    <w:qFormat/>
    <w:uiPriority w:val="0"/>
    <w:pPr>
      <w:spacing w:before="120" w:after="120" w:line="300" w:lineRule="auto"/>
    </w:pPr>
    <w:rPr>
      <w:rFonts w:ascii="宋体" w:hAnsi="宋体" w:eastAsia="宋体"/>
      <w:sz w:val="30"/>
    </w:rPr>
  </w:style>
  <w:style w:type="paragraph" w:customStyle="1" w:styleId="155">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56">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57">
    <w:name w:val="正文（缩进）"/>
    <w:basedOn w:val="1"/>
    <w:qFormat/>
    <w:uiPriority w:val="0"/>
    <w:pPr>
      <w:spacing w:before="156" w:after="156"/>
      <w:ind w:firstLine="480"/>
    </w:pPr>
    <w:rPr>
      <w:rFonts w:ascii="Times New Roman" w:hAnsi="Times New Roman"/>
    </w:rPr>
  </w:style>
  <w:style w:type="paragraph" w:customStyle="1" w:styleId="158">
    <w:name w:val="Body Text Indent1"/>
    <w:basedOn w:val="1"/>
    <w:qFormat/>
    <w:uiPriority w:val="0"/>
    <w:pPr>
      <w:spacing w:line="200" w:lineRule="exact"/>
      <w:ind w:firstLine="301"/>
    </w:pPr>
    <w:rPr>
      <w:rFonts w:ascii="宋体" w:hAnsi="Courier New"/>
      <w:spacing w:val="-4"/>
      <w:sz w:val="18"/>
    </w:rPr>
  </w:style>
  <w:style w:type="paragraph" w:customStyle="1" w:styleId="159">
    <w:name w:val="title11"/>
    <w:basedOn w:val="1"/>
    <w:qFormat/>
    <w:uiPriority w:val="0"/>
    <w:pPr>
      <w:spacing w:before="150"/>
      <w:jc w:val="left"/>
    </w:pPr>
    <w:rPr>
      <w:b/>
      <w:kern w:val="0"/>
    </w:rPr>
  </w:style>
  <w:style w:type="paragraph" w:customStyle="1" w:styleId="160">
    <w:name w:val="Char Char Char Char"/>
    <w:basedOn w:val="1"/>
    <w:qFormat/>
    <w:uiPriority w:val="0"/>
    <w:rPr>
      <w:szCs w:val="20"/>
    </w:rPr>
  </w:style>
  <w:style w:type="paragraph" w:customStyle="1" w:styleId="161">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纯文本1"/>
    <w:basedOn w:val="1"/>
    <w:qFormat/>
    <w:uiPriority w:val="0"/>
    <w:rPr>
      <w:rFonts w:ascii="宋体" w:hAnsi="Courier New"/>
      <w:kern w:val="0"/>
      <w:sz w:val="20"/>
      <w:szCs w:val="20"/>
    </w:rPr>
  </w:style>
  <w:style w:type="paragraph" w:customStyle="1" w:styleId="163">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4">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5">
    <w:name w:val="标书标题3"/>
    <w:basedOn w:val="5"/>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66">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67">
    <w:name w:val="p0"/>
    <w:basedOn w:val="1"/>
    <w:unhideWhenUsed/>
    <w:qFormat/>
    <w:uiPriority w:val="0"/>
    <w:pPr>
      <w:widowControl/>
    </w:pPr>
    <w:rPr>
      <w:rFonts w:hint="eastAsia"/>
    </w:rPr>
  </w:style>
  <w:style w:type="paragraph" w:customStyle="1" w:styleId="168">
    <w:name w:val="正文段"/>
    <w:basedOn w:val="1"/>
    <w:qFormat/>
    <w:uiPriority w:val="0"/>
    <w:pPr>
      <w:widowControl/>
      <w:snapToGrid w:val="0"/>
      <w:spacing w:afterLines="50"/>
      <w:ind w:firstLine="200" w:firstLineChars="200"/>
    </w:pPr>
    <w:rPr>
      <w:kern w:val="0"/>
      <w:sz w:val="24"/>
      <w:szCs w:val="20"/>
    </w:rPr>
  </w:style>
  <w:style w:type="paragraph" w:customStyle="1" w:styleId="169">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70">
    <w:name w:val="正文文字"/>
    <w:basedOn w:val="1"/>
    <w:qFormat/>
    <w:uiPriority w:val="0"/>
    <w:pPr>
      <w:widowControl/>
      <w:spacing w:line="952" w:lineRule="atLeast"/>
      <w:ind w:firstLine="419"/>
    </w:pPr>
    <w:rPr>
      <w:b/>
      <w:color w:val="000000"/>
      <w:sz w:val="44"/>
      <w:szCs w:val="20"/>
    </w:rPr>
  </w:style>
  <w:style w:type="paragraph" w:customStyle="1" w:styleId="171">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2">
    <w:name w:val="Char3 Char Char Char"/>
    <w:basedOn w:val="1"/>
    <w:qFormat/>
    <w:uiPriority w:val="0"/>
    <w:pPr>
      <w:widowControl/>
      <w:spacing w:line="240" w:lineRule="exact"/>
      <w:jc w:val="left"/>
    </w:pPr>
    <w:rPr>
      <w:szCs w:val="20"/>
    </w:rPr>
  </w:style>
  <w:style w:type="paragraph" w:customStyle="1" w:styleId="1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5">
    <w:name w:val="小节"/>
    <w:basedOn w:val="5"/>
    <w:qFormat/>
    <w:uiPriority w:val="0"/>
    <w:pPr>
      <w:spacing w:line="560" w:lineRule="exact"/>
      <w:jc w:val="left"/>
    </w:pPr>
    <w:rPr>
      <w:rFonts w:ascii="Century Gothic" w:hAnsi="Century Gothic"/>
      <w:bCs w:val="0"/>
      <w:color w:val="000000"/>
      <w:spacing w:val="10"/>
      <w:kern w:val="24"/>
      <w:sz w:val="28"/>
    </w:rPr>
  </w:style>
  <w:style w:type="paragraph" w:customStyle="1" w:styleId="176">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77">
    <w:name w:val="1正文"/>
    <w:basedOn w:val="1"/>
    <w:qFormat/>
    <w:uiPriority w:val="0"/>
    <w:rPr>
      <w:rFonts w:ascii="仿宋_GB2312" w:hAnsi="仿宋_GB2312"/>
      <w:szCs w:val="28"/>
    </w:rPr>
  </w:style>
  <w:style w:type="paragraph" w:customStyle="1" w:styleId="178">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9">
    <w:name w:val="Char1"/>
    <w:basedOn w:val="1"/>
    <w:qFormat/>
    <w:uiPriority w:val="0"/>
    <w:pPr>
      <w:widowControl/>
      <w:spacing w:line="240" w:lineRule="exact"/>
      <w:jc w:val="left"/>
    </w:pPr>
    <w:rPr>
      <w:szCs w:val="20"/>
    </w:rPr>
  </w:style>
  <w:style w:type="paragraph" w:customStyle="1" w:styleId="180">
    <w:name w:val="Char"/>
    <w:basedOn w:val="1"/>
    <w:qFormat/>
    <w:uiPriority w:val="0"/>
  </w:style>
  <w:style w:type="paragraph" w:customStyle="1" w:styleId="181">
    <w:name w:val="正文文字格式"/>
    <w:basedOn w:val="1"/>
    <w:qFormat/>
    <w:uiPriority w:val="0"/>
    <w:pPr>
      <w:spacing w:line="460" w:lineRule="exact"/>
      <w:ind w:firstLine="505"/>
      <w:jc w:val="left"/>
    </w:pPr>
    <w:rPr>
      <w:rFonts w:ascii="Century Gothic"/>
      <w:kern w:val="24"/>
      <w:sz w:val="24"/>
      <w:szCs w:val="20"/>
    </w:rPr>
  </w:style>
  <w:style w:type="paragraph" w:customStyle="1" w:styleId="182">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3">
    <w:name w:val="纯文本2"/>
    <w:basedOn w:val="136"/>
    <w:qFormat/>
    <w:uiPriority w:val="0"/>
    <w:pPr>
      <w:widowControl/>
      <w:jc w:val="left"/>
    </w:pPr>
    <w:rPr>
      <w:rFonts w:ascii="宋体" w:hAnsi="Courier New"/>
    </w:rPr>
  </w:style>
  <w:style w:type="paragraph" w:customStyle="1" w:styleId="184">
    <w:name w:val="Heading2"/>
    <w:basedOn w:val="176"/>
    <w:next w:val="1"/>
    <w:qFormat/>
    <w:uiPriority w:val="0"/>
    <w:pPr>
      <w:keepLines/>
      <w:tabs>
        <w:tab w:val="left" w:pos="706"/>
        <w:tab w:val="left" w:pos="1110"/>
      </w:tabs>
      <w:ind w:left="106" w:firstLine="454"/>
    </w:pPr>
    <w:rPr>
      <w:rFonts w:ascii="Arial" w:hAnsi="Arial" w:cs="Arial"/>
      <w:bCs/>
      <w:szCs w:val="32"/>
    </w:rPr>
  </w:style>
  <w:style w:type="paragraph" w:customStyle="1" w:styleId="185">
    <w:name w:val="样式 标题 1 + 四号 加粗"/>
    <w:basedOn w:val="3"/>
    <w:qFormat/>
    <w:uiPriority w:val="0"/>
    <w:rPr>
      <w:rFonts w:eastAsia="黑体"/>
    </w:rPr>
  </w:style>
  <w:style w:type="paragraph" w:customStyle="1" w:styleId="186">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7">
    <w:name w:val="DAS正文"/>
    <w:basedOn w:val="1"/>
    <w:qFormat/>
    <w:uiPriority w:val="0"/>
    <w:pPr>
      <w:spacing w:line="360" w:lineRule="auto"/>
      <w:ind w:right="181" w:firstLine="480" w:firstLineChars="200"/>
    </w:pPr>
    <w:rPr>
      <w:rFonts w:ascii="Verdana" w:hAnsi="Verdana"/>
      <w:sz w:val="24"/>
      <w:szCs w:val="20"/>
    </w:rPr>
  </w:style>
  <w:style w:type="paragraph" w:customStyle="1" w:styleId="1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9">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List Paragraph1"/>
    <w:basedOn w:val="1"/>
    <w:qFormat/>
    <w:uiPriority w:val="0"/>
    <w:pPr>
      <w:ind w:firstLine="420" w:firstLineChars="200"/>
    </w:pPr>
  </w:style>
  <w:style w:type="paragraph" w:customStyle="1" w:styleId="193">
    <w:name w:val="纯文本_0_0"/>
    <w:basedOn w:val="140"/>
    <w:qFormat/>
    <w:uiPriority w:val="0"/>
    <w:rPr>
      <w:rFonts w:ascii="宋体" w:hAnsi="Courier New"/>
      <w:szCs w:val="21"/>
    </w:rPr>
  </w:style>
  <w:style w:type="paragraph" w:customStyle="1" w:styleId="194">
    <w:name w:val="p15"/>
    <w:basedOn w:val="1"/>
    <w:qFormat/>
    <w:uiPriority w:val="0"/>
    <w:pPr>
      <w:widowControl/>
      <w:ind w:firstLine="420"/>
    </w:pPr>
    <w:rPr>
      <w:rFonts w:cs="宋体"/>
      <w:kern w:val="0"/>
      <w:szCs w:val="21"/>
    </w:rPr>
  </w:style>
  <w:style w:type="paragraph" w:customStyle="1" w:styleId="195">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6">
    <w:name w:val="Blockquote"/>
    <w:basedOn w:val="1"/>
    <w:qFormat/>
    <w:uiPriority w:val="0"/>
    <w:pPr>
      <w:autoSpaceDE w:val="0"/>
      <w:autoSpaceDN w:val="0"/>
      <w:adjustRightInd w:val="0"/>
      <w:ind w:left="360" w:right="360"/>
      <w:jc w:val="left"/>
    </w:pPr>
    <w:rPr>
      <w:kern w:val="0"/>
      <w:sz w:val="24"/>
      <w:szCs w:val="20"/>
    </w:rPr>
  </w:style>
  <w:style w:type="paragraph" w:customStyle="1" w:styleId="197">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9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99">
    <w:name w:val="【正文】"/>
    <w:basedOn w:val="1"/>
    <w:qFormat/>
    <w:uiPriority w:val="0"/>
    <w:pPr>
      <w:ind w:firstLine="480"/>
    </w:pPr>
    <w:rPr>
      <w:rFonts w:cs="DokChampa"/>
      <w:szCs w:val="22"/>
    </w:rPr>
  </w:style>
  <w:style w:type="paragraph" w:customStyle="1" w:styleId="20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2">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3">
    <w:name w:val="无间隔1"/>
    <w:qFormat/>
    <w:uiPriority w:val="0"/>
    <w:rPr>
      <w:rFonts w:ascii="Times New Roman" w:hAnsi="Times New Roman" w:eastAsia="宋体" w:cs="Times New Roman"/>
      <w:sz w:val="22"/>
      <w:szCs w:val="22"/>
      <w:lang w:val="en-US" w:eastAsia="en-US" w:bidi="ar-SA"/>
    </w:rPr>
  </w:style>
  <w:style w:type="paragraph" w:customStyle="1" w:styleId="204">
    <w:name w:val="正文不缩进"/>
    <w:basedOn w:val="1"/>
    <w:qFormat/>
    <w:uiPriority w:val="0"/>
    <w:pPr>
      <w:spacing w:before="240" w:after="240" w:line="360" w:lineRule="auto"/>
      <w:jc w:val="left"/>
    </w:pPr>
  </w:style>
  <w:style w:type="paragraph" w:customStyle="1" w:styleId="205">
    <w:name w:val="Body Text First Indent 21"/>
    <w:basedOn w:val="158"/>
    <w:qFormat/>
    <w:uiPriority w:val="0"/>
    <w:pPr>
      <w:spacing w:after="120" w:line="240" w:lineRule="auto"/>
      <w:ind w:left="420" w:leftChars="200" w:firstLine="420" w:firstLineChars="200"/>
    </w:pPr>
    <w:rPr>
      <w:sz w:val="21"/>
    </w:rPr>
  </w:style>
  <w:style w:type="paragraph" w:customStyle="1" w:styleId="206">
    <w:name w:val="样式1"/>
    <w:basedOn w:val="1"/>
    <w:qFormat/>
    <w:uiPriority w:val="0"/>
    <w:pPr>
      <w:spacing w:line="360" w:lineRule="exact"/>
      <w:ind w:firstLine="200" w:firstLineChars="200"/>
    </w:pPr>
    <w:rPr>
      <w:rFonts w:ascii="Arial" w:hAnsi="Arial"/>
    </w:rPr>
  </w:style>
  <w:style w:type="paragraph" w:customStyle="1" w:styleId="207">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
    <w:name w:val="Char Char Char Char Char Char Char Char"/>
    <w:basedOn w:val="1"/>
    <w:qFormat/>
    <w:uiPriority w:val="0"/>
    <w:pPr>
      <w:tabs>
        <w:tab w:val="left" w:pos="360"/>
      </w:tabs>
    </w:pPr>
    <w:rPr>
      <w:szCs w:val="20"/>
    </w:rPr>
  </w:style>
  <w:style w:type="paragraph" w:customStyle="1" w:styleId="209">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0">
    <w:name w:val="Char2"/>
    <w:basedOn w:val="1"/>
    <w:qFormat/>
    <w:uiPriority w:val="0"/>
    <w:rPr>
      <w:rFonts w:ascii="Courier New" w:eastAsia="Courier New"/>
      <w:b/>
      <w:sz w:val="32"/>
      <w:szCs w:val="32"/>
    </w:rPr>
  </w:style>
  <w:style w:type="paragraph" w:customStyle="1" w:styleId="211">
    <w:name w:val="首行缩进"/>
    <w:basedOn w:val="1"/>
    <w:next w:val="18"/>
    <w:qFormat/>
    <w:uiPriority w:val="0"/>
    <w:pPr>
      <w:spacing w:line="360" w:lineRule="auto"/>
      <w:ind w:firstLine="480" w:firstLineChars="200"/>
    </w:pPr>
    <w:rPr>
      <w:rFonts w:ascii="宋体"/>
      <w:sz w:val="24"/>
      <w:szCs w:val="20"/>
    </w:rPr>
  </w:style>
  <w:style w:type="character" w:customStyle="1" w:styleId="212">
    <w:name w:val="font31"/>
    <w:basedOn w:val="48"/>
    <w:qFormat/>
    <w:uiPriority w:val="0"/>
    <w:rPr>
      <w:rFonts w:hint="default" w:ascii="仿宋_GB2312" w:eastAsia="仿宋_GB2312" w:cs="仿宋_GB2312"/>
      <w:color w:val="000000"/>
      <w:sz w:val="22"/>
      <w:szCs w:val="22"/>
      <w:u w:val="none"/>
    </w:rPr>
  </w:style>
  <w:style w:type="character" w:customStyle="1" w:styleId="213">
    <w:name w:val="font131"/>
    <w:basedOn w:val="48"/>
    <w:qFormat/>
    <w:uiPriority w:val="0"/>
    <w:rPr>
      <w:rFonts w:hint="eastAsia" w:ascii="宋体" w:hAnsi="宋体" w:eastAsia="宋体" w:cs="宋体"/>
      <w:color w:val="000000"/>
      <w:sz w:val="22"/>
      <w:szCs w:val="22"/>
      <w:u w:val="none"/>
    </w:rPr>
  </w:style>
  <w:style w:type="character" w:customStyle="1" w:styleId="214">
    <w:name w:val="NormalCharacter"/>
    <w:link w:val="215"/>
    <w:qFormat/>
    <w:uiPriority w:val="0"/>
    <w:rPr>
      <w:rFonts w:ascii="Calibri"/>
      <w:szCs w:val="22"/>
    </w:rPr>
  </w:style>
  <w:style w:type="paragraph" w:customStyle="1" w:styleId="215">
    <w:name w:val="UserStyle_127"/>
    <w:basedOn w:val="1"/>
    <w:link w:val="214"/>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84</Pages>
  <Words>41141</Words>
  <Characters>42833</Characters>
  <Lines>370</Lines>
  <Paragraphs>104</Paragraphs>
  <TotalTime>157</TotalTime>
  <ScaleCrop>false</ScaleCrop>
  <LinksUpToDate>false</LinksUpToDate>
  <CharactersWithSpaces>45243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2022-10-01T04:37:00Z</dcterms:created>
  <dc:creator>微软用户</dc:creator>
  <cp:lastModifiedBy>唐稳</cp:lastModifiedBy>
  <cp:lastPrinted>2023-04-01T14:19:00Z</cp:lastPrinted>
  <dcterms:modified xsi:type="dcterms:W3CDTF">2023-07-18T11:29:32Z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FF62DAA9E02641ABA5C8F3118211409D</vt:lpwstr>
  </property>
</Properties>
</file>