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仿宋" w:hAnsi="仿宋" w:eastAsia="仿宋" w:cs="仿宋"/>
          <w:color w:val="auto"/>
          <w:w w:val="80"/>
          <w:sz w:val="52"/>
          <w:szCs w:val="52"/>
          <w:highlight w:val="none"/>
          <w:lang w:bidi="th-TH"/>
        </w:rPr>
      </w:pPr>
    </w:p>
    <w:p>
      <w:pPr>
        <w:pStyle w:val="43"/>
        <w:adjustRightInd w:val="0"/>
        <w:snapToGrid w:val="0"/>
        <w:spacing w:line="360" w:lineRule="auto"/>
        <w:ind w:firstLine="0"/>
        <w:rPr>
          <w:rFonts w:ascii="仿宋" w:hAnsi="仿宋" w:eastAsia="仿宋" w:cs="仿宋"/>
          <w:color w:val="auto"/>
          <w:highlight w:val="none"/>
        </w:rPr>
      </w:pPr>
    </w:p>
    <w:p>
      <w:pPr>
        <w:pStyle w:val="43"/>
        <w:adjustRightInd w:val="0"/>
        <w:snapToGrid w:val="0"/>
        <w:spacing w:line="360" w:lineRule="auto"/>
        <w:ind w:firstLine="0"/>
        <w:rPr>
          <w:rFonts w:ascii="仿宋" w:hAnsi="仿宋" w:eastAsia="仿宋" w:cs="仿宋"/>
          <w:color w:val="auto"/>
          <w:highlight w:val="none"/>
        </w:rPr>
      </w:pPr>
    </w:p>
    <w:p>
      <w:pPr>
        <w:pStyle w:val="169"/>
        <w:widowControl w:val="0"/>
        <w:adjustRightInd w:val="0"/>
        <w:snapToGrid w:val="0"/>
        <w:spacing w:line="360" w:lineRule="auto"/>
        <w:ind w:firstLine="0"/>
        <w:jc w:val="center"/>
        <w:rPr>
          <w:rFonts w:hint="eastAsia" w:ascii="仿宋" w:hAnsi="仿宋" w:eastAsia="仿宋" w:cs="仿宋"/>
          <w:color w:val="auto"/>
          <w:szCs w:val="44"/>
          <w:highlight w:val="none"/>
          <w:lang w:eastAsia="zh-CN"/>
        </w:rPr>
      </w:pPr>
      <w:r>
        <w:rPr>
          <w:rFonts w:hint="eastAsia" w:ascii="仿宋" w:hAnsi="仿宋" w:eastAsia="仿宋" w:cs="仿宋"/>
          <w:color w:val="auto"/>
          <w:sz w:val="44"/>
          <w:szCs w:val="44"/>
          <w:highlight w:val="none"/>
          <w:lang w:eastAsia="zh-CN"/>
        </w:rPr>
        <w:t>钱塘区2023年纸质中文图书采购</w:t>
      </w:r>
    </w:p>
    <w:p>
      <w:pPr>
        <w:adjustRightInd w:val="0"/>
        <w:snapToGrid w:val="0"/>
        <w:spacing w:line="360" w:lineRule="auto"/>
        <w:jc w:val="center"/>
        <w:rPr>
          <w:rFonts w:ascii="仿宋" w:hAnsi="仿宋" w:eastAsia="仿宋" w:cs="仿宋"/>
          <w:b/>
          <w:color w:val="auto"/>
          <w:szCs w:val="84"/>
          <w:highlight w:val="none"/>
        </w:rPr>
      </w:pPr>
      <w:r>
        <w:rPr>
          <w:rFonts w:hint="eastAsia" w:ascii="仿宋" w:hAnsi="仿宋" w:eastAsia="仿宋" w:cs="仿宋"/>
          <w:b/>
          <w:color w:val="auto"/>
          <w:szCs w:val="84"/>
          <w:highlight w:val="none"/>
        </w:rPr>
        <w:t>（电子招投标）</w:t>
      </w:r>
    </w:p>
    <w:p>
      <w:pPr>
        <w:pStyle w:val="17"/>
        <w:rPr>
          <w:rFonts w:ascii="仿宋" w:hAnsi="仿宋" w:eastAsia="仿宋" w:cs="仿宋"/>
          <w:color w:val="auto"/>
          <w:highlight w:val="none"/>
        </w:rPr>
      </w:pPr>
    </w:p>
    <w:p>
      <w:pPr>
        <w:jc w:val="center"/>
        <w:rPr>
          <w:rFonts w:ascii="仿宋" w:hAnsi="仿宋" w:eastAsia="仿宋" w:cs="仿宋"/>
          <w:b/>
          <w:color w:val="auto"/>
          <w:szCs w:val="84"/>
          <w:highlight w:val="none"/>
        </w:rPr>
      </w:pPr>
    </w:p>
    <w:p>
      <w:pPr>
        <w:jc w:val="center"/>
        <w:rPr>
          <w:rFonts w:ascii="仿宋" w:hAnsi="仿宋" w:eastAsia="仿宋" w:cs="仿宋"/>
          <w:b/>
          <w:color w:val="auto"/>
          <w:szCs w:val="84"/>
          <w:highlight w:val="none"/>
        </w:rPr>
      </w:pPr>
    </w:p>
    <w:p>
      <w:pPr>
        <w:spacing w:line="360" w:lineRule="auto"/>
        <w:jc w:val="center"/>
        <w:rPr>
          <w:rFonts w:ascii="仿宋" w:hAnsi="仿宋" w:eastAsia="仿宋" w:cs="仿宋"/>
          <w:b/>
          <w:color w:val="auto"/>
          <w:sz w:val="84"/>
          <w:szCs w:val="84"/>
          <w:highlight w:val="none"/>
        </w:rPr>
      </w:pPr>
      <w:r>
        <w:rPr>
          <w:rFonts w:hint="eastAsia" w:ascii="仿宋" w:hAnsi="仿宋" w:eastAsia="仿宋" w:cs="仿宋"/>
          <w:b/>
          <w:color w:val="auto"/>
          <w:spacing w:val="40"/>
          <w:w w:val="80"/>
          <w:sz w:val="96"/>
          <w:szCs w:val="96"/>
          <w:highlight w:val="none"/>
          <w:lang w:bidi="th-TH"/>
        </w:rPr>
        <w:t>采 购 文 件</w:t>
      </w:r>
    </w:p>
    <w:p>
      <w:pPr>
        <w:jc w:val="center"/>
        <w:rPr>
          <w:rFonts w:ascii="仿宋" w:hAnsi="仿宋" w:eastAsia="仿宋" w:cs="仿宋"/>
          <w:b/>
          <w:color w:val="auto"/>
          <w:szCs w:val="84"/>
          <w:highlight w:val="none"/>
        </w:rPr>
      </w:pPr>
    </w:p>
    <w:p>
      <w:pPr>
        <w:jc w:val="center"/>
        <w:rPr>
          <w:rFonts w:ascii="仿宋" w:hAnsi="仿宋" w:eastAsia="仿宋" w:cs="仿宋"/>
          <w:b/>
          <w:color w:val="auto"/>
          <w:szCs w:val="84"/>
          <w:highlight w:val="none"/>
        </w:rPr>
      </w:pPr>
    </w:p>
    <w:p>
      <w:pPr>
        <w:spacing w:line="360" w:lineRule="auto"/>
        <w:jc w:val="center"/>
        <w:rPr>
          <w:rFonts w:hint="eastAsia" w:ascii="仿宋" w:hAnsi="仿宋" w:eastAsia="仿宋" w:cs="仿宋"/>
          <w:b/>
          <w:color w:val="auto"/>
          <w:w w:val="80"/>
          <w:sz w:val="36"/>
          <w:szCs w:val="36"/>
          <w:highlight w:val="none"/>
          <w:lang w:eastAsia="zh-CN" w:bidi="th-TH"/>
        </w:rPr>
      </w:pPr>
      <w:r>
        <w:rPr>
          <w:rFonts w:hint="eastAsia" w:ascii="仿宋" w:hAnsi="仿宋" w:eastAsia="仿宋" w:cs="仿宋"/>
          <w:b/>
          <w:color w:val="auto"/>
          <w:w w:val="80"/>
          <w:sz w:val="36"/>
          <w:szCs w:val="36"/>
          <w:highlight w:val="none"/>
          <w:lang w:bidi="th-TH"/>
        </w:rPr>
        <w:t>项目编号：</w:t>
      </w:r>
      <w:r>
        <w:rPr>
          <w:rFonts w:hint="eastAsia" w:ascii="仿宋" w:hAnsi="仿宋" w:eastAsia="仿宋" w:cs="仿宋"/>
          <w:b/>
          <w:color w:val="auto"/>
          <w:w w:val="80"/>
          <w:sz w:val="36"/>
          <w:szCs w:val="36"/>
          <w:highlight w:val="none"/>
          <w:lang w:eastAsia="zh-CN" w:bidi="th-TH"/>
        </w:rPr>
        <w:t>QTCG-GK-2023-038</w:t>
      </w:r>
    </w:p>
    <w:p>
      <w:pPr>
        <w:pStyle w:val="25"/>
        <w:ind w:left="5250"/>
        <w:rPr>
          <w:rFonts w:ascii="仿宋" w:hAnsi="仿宋" w:eastAsia="仿宋" w:cs="仿宋"/>
          <w:b/>
          <w:color w:val="auto"/>
          <w:szCs w:val="28"/>
          <w:highlight w:val="none"/>
        </w:rPr>
      </w:pPr>
    </w:p>
    <w:p>
      <w:pPr>
        <w:rPr>
          <w:rFonts w:ascii="仿宋" w:hAnsi="仿宋" w:eastAsia="仿宋" w:cs="仿宋"/>
          <w:b/>
          <w:color w:val="auto"/>
          <w:highlight w:val="none"/>
        </w:rPr>
      </w:pPr>
    </w:p>
    <w:p>
      <w:pPr>
        <w:rPr>
          <w:rFonts w:ascii="仿宋" w:hAnsi="仿宋" w:eastAsia="仿宋" w:cs="仿宋"/>
          <w:b/>
          <w:color w:val="auto"/>
          <w:highlight w:val="none"/>
        </w:rPr>
      </w:pPr>
    </w:p>
    <w:p>
      <w:pPr>
        <w:rPr>
          <w:rFonts w:ascii="仿宋" w:hAnsi="仿宋" w:eastAsia="仿宋" w:cs="仿宋"/>
          <w:b/>
          <w:color w:val="auto"/>
          <w:highlight w:val="none"/>
        </w:rPr>
      </w:pPr>
    </w:p>
    <w:p>
      <w:pPr>
        <w:rPr>
          <w:rFonts w:ascii="仿宋" w:hAnsi="仿宋" w:eastAsia="仿宋" w:cs="仿宋"/>
          <w:b/>
          <w:color w:val="auto"/>
          <w:highlight w:val="none"/>
        </w:rPr>
      </w:pPr>
    </w:p>
    <w:p>
      <w:pPr>
        <w:rPr>
          <w:rFonts w:ascii="仿宋" w:hAnsi="仿宋" w:eastAsia="仿宋" w:cs="仿宋"/>
          <w:b/>
          <w:color w:val="auto"/>
          <w:highlight w:val="none"/>
        </w:rPr>
      </w:pPr>
    </w:p>
    <w:p>
      <w:pPr>
        <w:rPr>
          <w:rFonts w:ascii="仿宋" w:hAnsi="仿宋" w:eastAsia="仿宋" w:cs="仿宋"/>
          <w:b/>
          <w:color w:val="auto"/>
          <w:highlight w:val="none"/>
        </w:rPr>
      </w:pPr>
    </w:p>
    <w:tbl>
      <w:tblPr>
        <w:tblStyle w:val="45"/>
        <w:tblW w:w="6244" w:type="dxa"/>
        <w:jc w:val="center"/>
        <w:tblLayout w:type="fixed"/>
        <w:tblCellMar>
          <w:top w:w="0" w:type="dxa"/>
          <w:left w:w="108" w:type="dxa"/>
          <w:bottom w:w="0" w:type="dxa"/>
          <w:right w:w="108" w:type="dxa"/>
        </w:tblCellMar>
      </w:tblPr>
      <w:tblGrid>
        <w:gridCol w:w="2160"/>
        <w:gridCol w:w="260"/>
        <w:gridCol w:w="3824"/>
      </w:tblGrid>
      <w:tr>
        <w:tblPrEx>
          <w:tblCellMar>
            <w:top w:w="0" w:type="dxa"/>
            <w:left w:w="108" w:type="dxa"/>
            <w:bottom w:w="0" w:type="dxa"/>
            <w:right w:w="108" w:type="dxa"/>
          </w:tblCellMar>
        </w:tblPrEx>
        <w:trPr>
          <w:trHeight w:val="680" w:hRule="atLeast"/>
          <w:jc w:val="center"/>
        </w:trPr>
        <w:tc>
          <w:tcPr>
            <w:tcW w:w="2160" w:type="dxa"/>
            <w:noWrap/>
            <w:vAlign w:val="center"/>
          </w:tcPr>
          <w:p>
            <w:pPr>
              <w:snapToGrid w:val="0"/>
              <w:jc w:val="distribute"/>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采购人</w:t>
            </w:r>
          </w:p>
        </w:tc>
        <w:tc>
          <w:tcPr>
            <w:tcW w:w="260" w:type="dxa"/>
            <w:noWrap/>
            <w:vAlign w:val="center"/>
          </w:tcPr>
          <w:p>
            <w:pPr>
              <w:snapToGrid w:val="0"/>
              <w:jc w:val="distribute"/>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w:t>
            </w:r>
          </w:p>
        </w:tc>
        <w:tc>
          <w:tcPr>
            <w:tcW w:w="3824" w:type="dxa"/>
            <w:noWrap/>
            <w:vAlign w:val="center"/>
          </w:tcPr>
          <w:p>
            <w:pPr>
              <w:snapToGrid w:val="0"/>
              <w:jc w:val="distribute"/>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杭州市钱塘区社会发展局</w:t>
            </w:r>
          </w:p>
        </w:tc>
      </w:tr>
      <w:tr>
        <w:tblPrEx>
          <w:tblCellMar>
            <w:top w:w="0" w:type="dxa"/>
            <w:left w:w="108" w:type="dxa"/>
            <w:bottom w:w="0" w:type="dxa"/>
            <w:right w:w="108" w:type="dxa"/>
          </w:tblCellMar>
        </w:tblPrEx>
        <w:trPr>
          <w:trHeight w:val="297" w:hRule="atLeast"/>
          <w:jc w:val="center"/>
        </w:trPr>
        <w:tc>
          <w:tcPr>
            <w:tcW w:w="2160" w:type="dxa"/>
            <w:noWrap/>
            <w:vAlign w:val="center"/>
          </w:tcPr>
          <w:p>
            <w:pPr>
              <w:snapToGrid w:val="0"/>
              <w:jc w:val="distribute"/>
              <w:rPr>
                <w:rFonts w:ascii="仿宋" w:hAnsi="仿宋" w:eastAsia="仿宋" w:cs="仿宋"/>
                <w:b/>
                <w:color w:val="auto"/>
                <w:sz w:val="22"/>
                <w:szCs w:val="22"/>
                <w:highlight w:val="none"/>
              </w:rPr>
            </w:pPr>
          </w:p>
        </w:tc>
        <w:tc>
          <w:tcPr>
            <w:tcW w:w="260" w:type="dxa"/>
            <w:noWrap/>
            <w:vAlign w:val="center"/>
          </w:tcPr>
          <w:p>
            <w:pPr>
              <w:snapToGrid w:val="0"/>
              <w:jc w:val="distribute"/>
              <w:rPr>
                <w:rFonts w:ascii="仿宋" w:hAnsi="仿宋" w:eastAsia="仿宋" w:cs="仿宋"/>
                <w:b/>
                <w:color w:val="auto"/>
                <w:sz w:val="22"/>
                <w:szCs w:val="22"/>
                <w:highlight w:val="none"/>
              </w:rPr>
            </w:pPr>
          </w:p>
        </w:tc>
        <w:tc>
          <w:tcPr>
            <w:tcW w:w="3824" w:type="dxa"/>
            <w:noWrap/>
            <w:vAlign w:val="center"/>
          </w:tcPr>
          <w:p>
            <w:pPr>
              <w:snapToGrid w:val="0"/>
              <w:jc w:val="distribute"/>
              <w:rPr>
                <w:rFonts w:ascii="仿宋" w:hAnsi="仿宋" w:eastAsia="仿宋" w:cs="仿宋"/>
                <w:b/>
                <w:color w:val="auto"/>
                <w:sz w:val="22"/>
                <w:szCs w:val="22"/>
                <w:highlight w:val="none"/>
              </w:rPr>
            </w:pPr>
          </w:p>
        </w:tc>
      </w:tr>
      <w:tr>
        <w:tblPrEx>
          <w:tblCellMar>
            <w:top w:w="0" w:type="dxa"/>
            <w:left w:w="108" w:type="dxa"/>
            <w:bottom w:w="0" w:type="dxa"/>
            <w:right w:w="108" w:type="dxa"/>
          </w:tblCellMar>
        </w:tblPrEx>
        <w:trPr>
          <w:trHeight w:val="680" w:hRule="atLeast"/>
          <w:jc w:val="center"/>
        </w:trPr>
        <w:tc>
          <w:tcPr>
            <w:tcW w:w="2160" w:type="dxa"/>
            <w:noWrap/>
            <w:vAlign w:val="center"/>
          </w:tcPr>
          <w:p>
            <w:pPr>
              <w:snapToGrid w:val="0"/>
              <w:jc w:val="distribute"/>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采购代理机构</w:t>
            </w:r>
          </w:p>
        </w:tc>
        <w:tc>
          <w:tcPr>
            <w:tcW w:w="260" w:type="dxa"/>
            <w:noWrap/>
            <w:vAlign w:val="center"/>
          </w:tcPr>
          <w:p>
            <w:pPr>
              <w:snapToGrid w:val="0"/>
              <w:jc w:val="distribute"/>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w:t>
            </w:r>
          </w:p>
        </w:tc>
        <w:tc>
          <w:tcPr>
            <w:tcW w:w="3824" w:type="dxa"/>
            <w:noWrap/>
            <w:vAlign w:val="center"/>
          </w:tcPr>
          <w:p>
            <w:pPr>
              <w:snapToGrid w:val="0"/>
              <w:jc w:val="distribute"/>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浙江国际招投标有限公司</w:t>
            </w:r>
          </w:p>
        </w:tc>
      </w:tr>
      <w:tr>
        <w:tblPrEx>
          <w:tblCellMar>
            <w:top w:w="0" w:type="dxa"/>
            <w:left w:w="108" w:type="dxa"/>
            <w:bottom w:w="0" w:type="dxa"/>
            <w:right w:w="108" w:type="dxa"/>
          </w:tblCellMar>
        </w:tblPrEx>
        <w:trPr>
          <w:trHeight w:val="680" w:hRule="atLeast"/>
          <w:jc w:val="center"/>
        </w:trPr>
        <w:tc>
          <w:tcPr>
            <w:tcW w:w="2160" w:type="dxa"/>
            <w:noWrap/>
            <w:vAlign w:val="center"/>
          </w:tcPr>
          <w:p>
            <w:pPr>
              <w:snapToGrid w:val="0"/>
              <w:jc w:val="distribute"/>
              <w:rPr>
                <w:rFonts w:ascii="仿宋" w:hAnsi="仿宋" w:eastAsia="仿宋" w:cs="仿宋"/>
                <w:b/>
                <w:color w:val="auto"/>
                <w:sz w:val="30"/>
                <w:szCs w:val="30"/>
                <w:highlight w:val="none"/>
              </w:rPr>
            </w:pPr>
          </w:p>
        </w:tc>
        <w:tc>
          <w:tcPr>
            <w:tcW w:w="260" w:type="dxa"/>
            <w:noWrap/>
            <w:vAlign w:val="center"/>
          </w:tcPr>
          <w:p>
            <w:pPr>
              <w:snapToGrid w:val="0"/>
              <w:jc w:val="distribute"/>
              <w:rPr>
                <w:rFonts w:ascii="仿宋" w:hAnsi="仿宋" w:eastAsia="仿宋" w:cs="仿宋"/>
                <w:b/>
                <w:color w:val="auto"/>
                <w:sz w:val="30"/>
                <w:szCs w:val="30"/>
                <w:highlight w:val="none"/>
              </w:rPr>
            </w:pPr>
          </w:p>
        </w:tc>
        <w:tc>
          <w:tcPr>
            <w:tcW w:w="3824" w:type="dxa"/>
            <w:noWrap/>
            <w:vAlign w:val="center"/>
          </w:tcPr>
          <w:p>
            <w:pPr>
              <w:snapToGrid w:val="0"/>
              <w:jc w:val="distribute"/>
              <w:rPr>
                <w:rFonts w:ascii="仿宋" w:hAnsi="仿宋" w:eastAsia="仿宋" w:cs="仿宋"/>
                <w:b/>
                <w:color w:val="auto"/>
                <w:sz w:val="30"/>
                <w:szCs w:val="30"/>
                <w:highlight w:val="none"/>
              </w:rPr>
            </w:pPr>
          </w:p>
        </w:tc>
      </w:tr>
      <w:tr>
        <w:tblPrEx>
          <w:tblCellMar>
            <w:top w:w="0" w:type="dxa"/>
            <w:left w:w="108" w:type="dxa"/>
            <w:bottom w:w="0" w:type="dxa"/>
            <w:right w:w="108" w:type="dxa"/>
          </w:tblCellMar>
        </w:tblPrEx>
        <w:trPr>
          <w:trHeight w:val="680" w:hRule="atLeast"/>
          <w:jc w:val="center"/>
        </w:trPr>
        <w:tc>
          <w:tcPr>
            <w:tcW w:w="6244" w:type="dxa"/>
            <w:gridSpan w:val="3"/>
            <w:noWrap/>
            <w:vAlign w:val="bottom"/>
          </w:tcPr>
          <w:p>
            <w:pPr>
              <w:snapToGrid w:val="0"/>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202</w:t>
            </w:r>
            <w:r>
              <w:rPr>
                <w:rFonts w:hint="eastAsia" w:ascii="仿宋" w:hAnsi="仿宋" w:eastAsia="仿宋" w:cs="仿宋"/>
                <w:b/>
                <w:color w:val="auto"/>
                <w:sz w:val="30"/>
                <w:szCs w:val="30"/>
                <w:highlight w:val="none"/>
                <w:lang w:val="en-US" w:eastAsia="zh-CN"/>
              </w:rPr>
              <w:t>3</w:t>
            </w:r>
            <w:r>
              <w:rPr>
                <w:rFonts w:hint="eastAsia" w:ascii="仿宋" w:hAnsi="仿宋" w:eastAsia="仿宋" w:cs="仿宋"/>
                <w:b/>
                <w:color w:val="auto"/>
                <w:sz w:val="30"/>
                <w:szCs w:val="30"/>
                <w:highlight w:val="none"/>
              </w:rPr>
              <w:t>年</w:t>
            </w:r>
            <w:r>
              <w:rPr>
                <w:rFonts w:hint="eastAsia" w:ascii="仿宋" w:hAnsi="仿宋" w:eastAsia="仿宋" w:cs="仿宋"/>
                <w:b/>
                <w:color w:val="auto"/>
                <w:sz w:val="30"/>
                <w:szCs w:val="30"/>
                <w:highlight w:val="none"/>
                <w:lang w:val="en-US" w:eastAsia="zh-CN"/>
              </w:rPr>
              <w:t>03</w:t>
            </w:r>
            <w:r>
              <w:rPr>
                <w:rFonts w:hint="eastAsia" w:ascii="仿宋" w:hAnsi="仿宋" w:eastAsia="仿宋" w:cs="仿宋"/>
                <w:b/>
                <w:color w:val="auto"/>
                <w:sz w:val="30"/>
                <w:szCs w:val="30"/>
                <w:highlight w:val="none"/>
              </w:rPr>
              <w:t>月</w:t>
            </w:r>
          </w:p>
        </w:tc>
      </w:tr>
    </w:tbl>
    <w:p>
      <w:pPr>
        <w:pStyle w:val="23"/>
        <w:spacing w:line="360" w:lineRule="auto"/>
        <w:jc w:val="center"/>
        <w:rPr>
          <w:rFonts w:ascii="仿宋" w:hAnsi="仿宋" w:eastAsia="仿宋" w:cs="仿宋"/>
          <w:b/>
          <w:color w:val="auto"/>
          <w:sz w:val="28"/>
          <w:szCs w:val="28"/>
          <w:highlight w:val="none"/>
        </w:rPr>
      </w:pPr>
      <w:r>
        <w:rPr>
          <w:rFonts w:hint="eastAsia" w:ascii="仿宋" w:hAnsi="仿宋" w:eastAsia="仿宋" w:cs="仿宋"/>
          <w:b/>
          <w:color w:val="auto"/>
          <w:sz w:val="48"/>
          <w:szCs w:val="48"/>
          <w:highlight w:val="none"/>
        </w:rPr>
        <w:br w:type="page"/>
      </w:r>
      <w:r>
        <w:rPr>
          <w:rFonts w:hint="eastAsia" w:ascii="仿宋" w:hAnsi="仿宋" w:eastAsia="仿宋" w:cs="仿宋"/>
          <w:b/>
          <w:color w:val="auto"/>
          <w:sz w:val="28"/>
          <w:szCs w:val="28"/>
          <w:highlight w:val="none"/>
        </w:rPr>
        <w:t>目    录</w:t>
      </w:r>
    </w:p>
    <w:p>
      <w:pPr>
        <w:pStyle w:val="31"/>
        <w:tabs>
          <w:tab w:val="right" w:leader="dot" w:pos="8306"/>
          <w:tab w:val="clear" w:pos="8720"/>
        </w:tabs>
        <w:rPr>
          <w:highlight w:val="none"/>
        </w:rPr>
      </w:pPr>
      <w:r>
        <w:rPr>
          <w:rFonts w:hint="eastAsia" w:ascii="仿宋" w:hAnsi="仿宋" w:eastAsia="仿宋" w:cs="仿宋"/>
          <w:b/>
          <w:caps w:val="0"/>
          <w:color w:val="auto"/>
          <w:sz w:val="21"/>
          <w:szCs w:val="21"/>
          <w:highlight w:val="none"/>
        </w:rPr>
        <w:fldChar w:fldCharType="begin"/>
      </w:r>
      <w:r>
        <w:rPr>
          <w:rFonts w:hint="eastAsia" w:ascii="仿宋" w:hAnsi="仿宋" w:eastAsia="仿宋" w:cs="仿宋"/>
          <w:b/>
          <w:caps w:val="0"/>
          <w:color w:val="auto"/>
          <w:sz w:val="21"/>
          <w:szCs w:val="21"/>
          <w:highlight w:val="none"/>
        </w:rPr>
        <w:instrText xml:space="preserve"> TOC \o "1-2" \u </w:instrText>
      </w:r>
      <w:r>
        <w:rPr>
          <w:rFonts w:hint="eastAsia" w:ascii="仿宋" w:hAnsi="仿宋" w:eastAsia="仿宋" w:cs="仿宋"/>
          <w:b/>
          <w:caps w:val="0"/>
          <w:color w:val="auto"/>
          <w:sz w:val="21"/>
          <w:szCs w:val="21"/>
          <w:highlight w:val="none"/>
        </w:rPr>
        <w:fldChar w:fldCharType="separate"/>
      </w:r>
      <w:r>
        <w:rPr>
          <w:rFonts w:hint="eastAsia" w:ascii="仿宋" w:hAnsi="仿宋" w:eastAsia="仿宋" w:cs="仿宋"/>
          <w:color w:val="auto"/>
          <w:szCs w:val="30"/>
          <w:highlight w:val="none"/>
        </w:rPr>
        <w:t>第一部分  采购公告</w:t>
      </w:r>
      <w:r>
        <w:rPr>
          <w:highlight w:val="none"/>
        </w:rPr>
        <w:tab/>
      </w:r>
      <w:r>
        <w:rPr>
          <w:highlight w:val="none"/>
        </w:rPr>
        <w:fldChar w:fldCharType="begin"/>
      </w:r>
      <w:r>
        <w:rPr>
          <w:highlight w:val="none"/>
        </w:rPr>
        <w:instrText xml:space="preserve"> PAGEREF _Toc11725 \h </w:instrText>
      </w:r>
      <w:r>
        <w:rPr>
          <w:highlight w:val="none"/>
        </w:rPr>
        <w:fldChar w:fldCharType="separate"/>
      </w:r>
      <w:r>
        <w:rPr>
          <w:highlight w:val="none"/>
        </w:rPr>
        <w:t>2</w:t>
      </w:r>
      <w:r>
        <w:rPr>
          <w:highlight w:val="none"/>
        </w:rPr>
        <w:fldChar w:fldCharType="end"/>
      </w:r>
    </w:p>
    <w:p>
      <w:pPr>
        <w:pStyle w:val="36"/>
        <w:tabs>
          <w:tab w:val="right" w:leader="dot" w:pos="8306"/>
          <w:tab w:val="clear" w:pos="8720"/>
        </w:tabs>
        <w:rPr>
          <w:highlight w:val="none"/>
        </w:rPr>
      </w:pPr>
      <w:r>
        <w:rPr>
          <w:rFonts w:hint="eastAsia" w:ascii="仿宋" w:hAnsi="仿宋" w:eastAsia="仿宋" w:cs="仿宋"/>
          <w:color w:val="auto"/>
          <w:szCs w:val="30"/>
          <w:highlight w:val="none"/>
        </w:rPr>
        <w:t>前 附 表</w:t>
      </w:r>
      <w:r>
        <w:rPr>
          <w:highlight w:val="none"/>
        </w:rPr>
        <w:tab/>
      </w:r>
      <w:r>
        <w:rPr>
          <w:highlight w:val="none"/>
        </w:rPr>
        <w:fldChar w:fldCharType="begin"/>
      </w:r>
      <w:r>
        <w:rPr>
          <w:highlight w:val="none"/>
        </w:rPr>
        <w:instrText xml:space="preserve"> PAGEREF _Toc19027 \h </w:instrText>
      </w:r>
      <w:r>
        <w:rPr>
          <w:highlight w:val="none"/>
        </w:rPr>
        <w:fldChar w:fldCharType="separate"/>
      </w:r>
      <w:r>
        <w:rPr>
          <w:highlight w:val="none"/>
        </w:rPr>
        <w:t>7</w:t>
      </w:r>
      <w:r>
        <w:rPr>
          <w:highlight w:val="none"/>
        </w:rPr>
        <w:fldChar w:fldCharType="end"/>
      </w:r>
    </w:p>
    <w:p>
      <w:pPr>
        <w:pStyle w:val="31"/>
        <w:tabs>
          <w:tab w:val="right" w:leader="dot" w:pos="8306"/>
          <w:tab w:val="clear" w:pos="8720"/>
        </w:tabs>
        <w:rPr>
          <w:highlight w:val="none"/>
        </w:rPr>
      </w:pPr>
      <w:r>
        <w:rPr>
          <w:rFonts w:hint="eastAsia" w:ascii="仿宋" w:hAnsi="仿宋" w:eastAsia="仿宋" w:cs="仿宋"/>
          <w:color w:val="auto"/>
          <w:szCs w:val="30"/>
          <w:highlight w:val="none"/>
        </w:rPr>
        <w:t>第二部分  投标须知</w:t>
      </w:r>
      <w:r>
        <w:rPr>
          <w:highlight w:val="none"/>
        </w:rPr>
        <w:tab/>
      </w:r>
      <w:r>
        <w:rPr>
          <w:highlight w:val="none"/>
        </w:rPr>
        <w:fldChar w:fldCharType="begin"/>
      </w:r>
      <w:r>
        <w:rPr>
          <w:highlight w:val="none"/>
        </w:rPr>
        <w:instrText xml:space="preserve"> PAGEREF _Toc12736 \h </w:instrText>
      </w:r>
      <w:r>
        <w:rPr>
          <w:highlight w:val="none"/>
        </w:rPr>
        <w:fldChar w:fldCharType="separate"/>
      </w:r>
      <w:r>
        <w:rPr>
          <w:highlight w:val="none"/>
        </w:rPr>
        <w:t>12</w:t>
      </w:r>
      <w:r>
        <w:rPr>
          <w:highlight w:val="none"/>
        </w:rPr>
        <w:fldChar w:fldCharType="end"/>
      </w:r>
    </w:p>
    <w:p>
      <w:pPr>
        <w:pStyle w:val="36"/>
        <w:tabs>
          <w:tab w:val="right" w:leader="dot" w:pos="8306"/>
          <w:tab w:val="clear" w:pos="8720"/>
        </w:tabs>
        <w:ind w:left="0" w:leftChars="0" w:firstLine="220" w:firstLineChars="110"/>
        <w:rPr>
          <w:highlight w:val="none"/>
        </w:rPr>
      </w:pPr>
      <w:r>
        <w:rPr>
          <w:rFonts w:hint="eastAsia" w:ascii="仿宋_GB2312" w:hAnsi="仿宋" w:eastAsia="仿宋_GB2312" w:cs="仿宋_GB2312"/>
          <w:color w:val="auto"/>
          <w:szCs w:val="20"/>
          <w:highlight w:val="none"/>
          <w:lang w:val="en-US" w:eastAsia="zh-CN"/>
        </w:rPr>
        <w:t>一、总则</w:t>
      </w:r>
      <w:r>
        <w:rPr>
          <w:highlight w:val="none"/>
        </w:rPr>
        <w:tab/>
      </w:r>
      <w:r>
        <w:rPr>
          <w:highlight w:val="none"/>
        </w:rPr>
        <w:fldChar w:fldCharType="begin"/>
      </w:r>
      <w:r>
        <w:rPr>
          <w:highlight w:val="none"/>
        </w:rPr>
        <w:instrText xml:space="preserve"> PAGEREF _Toc31534 \h </w:instrText>
      </w:r>
      <w:r>
        <w:rPr>
          <w:highlight w:val="none"/>
        </w:rPr>
        <w:fldChar w:fldCharType="separate"/>
      </w:r>
      <w:r>
        <w:rPr>
          <w:highlight w:val="none"/>
        </w:rPr>
        <w:t>12</w:t>
      </w:r>
      <w:r>
        <w:rPr>
          <w:highlight w:val="none"/>
        </w:rPr>
        <w:fldChar w:fldCharType="end"/>
      </w:r>
    </w:p>
    <w:p>
      <w:pPr>
        <w:pStyle w:val="36"/>
        <w:tabs>
          <w:tab w:val="right" w:leader="dot" w:pos="8306"/>
          <w:tab w:val="clear" w:pos="8720"/>
        </w:tabs>
        <w:ind w:left="0" w:leftChars="0" w:firstLine="220" w:firstLineChars="110"/>
        <w:rPr>
          <w:highlight w:val="none"/>
        </w:rPr>
      </w:pPr>
      <w:r>
        <w:rPr>
          <w:rFonts w:hint="eastAsia" w:ascii="仿宋_GB2312" w:hAnsi="仿宋" w:eastAsia="仿宋_GB2312" w:cs="仿宋_GB2312"/>
          <w:szCs w:val="20"/>
          <w:highlight w:val="none"/>
        </w:rPr>
        <w:t>二、招标文件的构成、澄清、修改</w:t>
      </w:r>
      <w:r>
        <w:rPr>
          <w:highlight w:val="none"/>
        </w:rPr>
        <w:tab/>
      </w:r>
      <w:r>
        <w:rPr>
          <w:highlight w:val="none"/>
        </w:rPr>
        <w:fldChar w:fldCharType="begin"/>
      </w:r>
      <w:r>
        <w:rPr>
          <w:highlight w:val="none"/>
        </w:rPr>
        <w:instrText xml:space="preserve"> PAGEREF _Toc15283 \h </w:instrText>
      </w:r>
      <w:r>
        <w:rPr>
          <w:highlight w:val="none"/>
        </w:rPr>
        <w:fldChar w:fldCharType="separate"/>
      </w:r>
      <w:r>
        <w:rPr>
          <w:highlight w:val="none"/>
        </w:rPr>
        <w:t>17</w:t>
      </w:r>
      <w:r>
        <w:rPr>
          <w:highlight w:val="none"/>
        </w:rPr>
        <w:fldChar w:fldCharType="end"/>
      </w:r>
    </w:p>
    <w:p>
      <w:pPr>
        <w:pStyle w:val="36"/>
        <w:tabs>
          <w:tab w:val="right" w:leader="dot" w:pos="8306"/>
          <w:tab w:val="clear" w:pos="8720"/>
        </w:tabs>
        <w:ind w:left="0" w:leftChars="0" w:firstLine="220" w:firstLineChars="110"/>
        <w:rPr>
          <w:highlight w:val="none"/>
        </w:rPr>
      </w:pPr>
      <w:r>
        <w:rPr>
          <w:rFonts w:hint="eastAsia" w:ascii="仿宋_GB2312" w:hAnsi="仿宋" w:eastAsia="仿宋_GB2312" w:cs="仿宋_GB2312"/>
          <w:szCs w:val="20"/>
          <w:highlight w:val="none"/>
        </w:rPr>
        <w:t>三、投标</w:t>
      </w:r>
      <w:r>
        <w:rPr>
          <w:highlight w:val="none"/>
        </w:rPr>
        <w:tab/>
      </w:r>
      <w:r>
        <w:rPr>
          <w:highlight w:val="none"/>
        </w:rPr>
        <w:fldChar w:fldCharType="begin"/>
      </w:r>
      <w:r>
        <w:rPr>
          <w:highlight w:val="none"/>
        </w:rPr>
        <w:instrText xml:space="preserve"> PAGEREF _Toc4075 \h </w:instrText>
      </w:r>
      <w:r>
        <w:rPr>
          <w:highlight w:val="none"/>
        </w:rPr>
        <w:fldChar w:fldCharType="separate"/>
      </w:r>
      <w:r>
        <w:rPr>
          <w:highlight w:val="none"/>
        </w:rPr>
        <w:t>17</w:t>
      </w:r>
      <w:r>
        <w:rPr>
          <w:highlight w:val="none"/>
        </w:rPr>
        <w:fldChar w:fldCharType="end"/>
      </w:r>
    </w:p>
    <w:p>
      <w:pPr>
        <w:pStyle w:val="36"/>
        <w:tabs>
          <w:tab w:val="right" w:leader="dot" w:pos="8306"/>
          <w:tab w:val="clear" w:pos="8720"/>
        </w:tabs>
        <w:ind w:left="0" w:leftChars="0" w:firstLine="220" w:firstLineChars="110"/>
        <w:rPr>
          <w:highlight w:val="none"/>
        </w:rPr>
      </w:pPr>
      <w:r>
        <w:rPr>
          <w:rFonts w:hint="eastAsia" w:ascii="仿宋_GB2312" w:hAnsi="仿宋" w:eastAsia="仿宋_GB2312" w:cs="仿宋_GB2312"/>
          <w:szCs w:val="20"/>
          <w:highlight w:val="none"/>
        </w:rPr>
        <w:t>四、开标、资格审查与信用信息查询</w:t>
      </w:r>
      <w:r>
        <w:rPr>
          <w:highlight w:val="none"/>
        </w:rPr>
        <w:tab/>
      </w:r>
      <w:r>
        <w:rPr>
          <w:highlight w:val="none"/>
        </w:rPr>
        <w:fldChar w:fldCharType="begin"/>
      </w:r>
      <w:r>
        <w:rPr>
          <w:highlight w:val="none"/>
        </w:rPr>
        <w:instrText xml:space="preserve"> PAGEREF _Toc19802 \h </w:instrText>
      </w:r>
      <w:r>
        <w:rPr>
          <w:highlight w:val="none"/>
        </w:rPr>
        <w:fldChar w:fldCharType="separate"/>
      </w:r>
      <w:r>
        <w:rPr>
          <w:highlight w:val="none"/>
        </w:rPr>
        <w:t>20</w:t>
      </w:r>
      <w:r>
        <w:rPr>
          <w:highlight w:val="none"/>
        </w:rPr>
        <w:fldChar w:fldCharType="end"/>
      </w:r>
    </w:p>
    <w:p>
      <w:pPr>
        <w:pStyle w:val="36"/>
        <w:tabs>
          <w:tab w:val="right" w:leader="dot" w:pos="8306"/>
          <w:tab w:val="clear" w:pos="8720"/>
        </w:tabs>
        <w:ind w:left="0" w:leftChars="0" w:firstLine="220" w:firstLineChars="110"/>
        <w:rPr>
          <w:highlight w:val="none"/>
        </w:rPr>
      </w:pPr>
      <w:r>
        <w:rPr>
          <w:rFonts w:hint="eastAsia" w:ascii="仿宋_GB2312" w:hAnsi="仿宋" w:eastAsia="仿宋_GB2312" w:cs="仿宋_GB2312"/>
          <w:szCs w:val="36"/>
          <w:highlight w:val="none"/>
        </w:rPr>
        <w:t>五、评标</w:t>
      </w:r>
      <w:r>
        <w:rPr>
          <w:highlight w:val="none"/>
        </w:rPr>
        <w:tab/>
      </w:r>
      <w:r>
        <w:rPr>
          <w:highlight w:val="none"/>
        </w:rPr>
        <w:fldChar w:fldCharType="begin"/>
      </w:r>
      <w:r>
        <w:rPr>
          <w:highlight w:val="none"/>
        </w:rPr>
        <w:instrText xml:space="preserve"> PAGEREF _Toc13431 \h </w:instrText>
      </w:r>
      <w:r>
        <w:rPr>
          <w:highlight w:val="none"/>
        </w:rPr>
        <w:fldChar w:fldCharType="separate"/>
      </w:r>
      <w:r>
        <w:rPr>
          <w:highlight w:val="none"/>
        </w:rPr>
        <w:t>21</w:t>
      </w:r>
      <w:r>
        <w:rPr>
          <w:highlight w:val="none"/>
        </w:rPr>
        <w:fldChar w:fldCharType="end"/>
      </w:r>
    </w:p>
    <w:p>
      <w:pPr>
        <w:pStyle w:val="36"/>
        <w:tabs>
          <w:tab w:val="right" w:leader="dot" w:pos="8306"/>
          <w:tab w:val="clear" w:pos="8720"/>
        </w:tabs>
        <w:ind w:left="0" w:leftChars="0" w:firstLine="220" w:firstLineChars="110"/>
        <w:rPr>
          <w:highlight w:val="none"/>
        </w:rPr>
      </w:pPr>
      <w:r>
        <w:rPr>
          <w:rFonts w:hint="eastAsia" w:ascii="仿宋_GB2312" w:hAnsi="仿宋" w:eastAsia="仿宋_GB2312" w:cs="仿宋_GB2312"/>
          <w:szCs w:val="36"/>
          <w:highlight w:val="none"/>
        </w:rPr>
        <w:t>六、定</w:t>
      </w:r>
      <w:r>
        <w:rPr>
          <w:rFonts w:ascii="仿宋_GB2312" w:hAnsi="仿宋" w:eastAsia="仿宋_GB2312" w:cs="仿宋_GB2312"/>
          <w:szCs w:val="36"/>
          <w:highlight w:val="none"/>
        </w:rPr>
        <w:t xml:space="preserve"> </w:t>
      </w:r>
      <w:r>
        <w:rPr>
          <w:rFonts w:hint="eastAsia" w:ascii="仿宋_GB2312" w:hAnsi="仿宋" w:eastAsia="仿宋_GB2312" w:cs="仿宋_GB2312"/>
          <w:szCs w:val="36"/>
          <w:highlight w:val="none"/>
        </w:rPr>
        <w:t>标</w:t>
      </w:r>
      <w:r>
        <w:rPr>
          <w:highlight w:val="none"/>
        </w:rPr>
        <w:tab/>
      </w:r>
      <w:r>
        <w:rPr>
          <w:highlight w:val="none"/>
        </w:rPr>
        <w:fldChar w:fldCharType="begin"/>
      </w:r>
      <w:r>
        <w:rPr>
          <w:highlight w:val="none"/>
        </w:rPr>
        <w:instrText xml:space="preserve"> PAGEREF _Toc30675 \h </w:instrText>
      </w:r>
      <w:r>
        <w:rPr>
          <w:highlight w:val="none"/>
        </w:rPr>
        <w:fldChar w:fldCharType="separate"/>
      </w:r>
      <w:r>
        <w:rPr>
          <w:highlight w:val="none"/>
        </w:rPr>
        <w:t>22</w:t>
      </w:r>
      <w:r>
        <w:rPr>
          <w:highlight w:val="none"/>
        </w:rPr>
        <w:fldChar w:fldCharType="end"/>
      </w:r>
    </w:p>
    <w:p>
      <w:pPr>
        <w:pStyle w:val="36"/>
        <w:tabs>
          <w:tab w:val="right" w:leader="dot" w:pos="8306"/>
          <w:tab w:val="clear" w:pos="8720"/>
        </w:tabs>
        <w:ind w:left="0" w:leftChars="0" w:firstLine="220" w:firstLineChars="110"/>
        <w:rPr>
          <w:highlight w:val="none"/>
        </w:rPr>
      </w:pPr>
      <w:r>
        <w:rPr>
          <w:rFonts w:hint="eastAsia" w:ascii="仿宋_GB2312" w:hAnsi="仿宋" w:eastAsia="仿宋_GB2312" w:cs="仿宋_GB2312"/>
          <w:szCs w:val="36"/>
          <w:highlight w:val="none"/>
        </w:rPr>
        <w:t>七、合同授予</w:t>
      </w:r>
      <w:r>
        <w:rPr>
          <w:highlight w:val="none"/>
        </w:rPr>
        <w:tab/>
      </w:r>
      <w:r>
        <w:rPr>
          <w:highlight w:val="none"/>
        </w:rPr>
        <w:fldChar w:fldCharType="begin"/>
      </w:r>
      <w:r>
        <w:rPr>
          <w:highlight w:val="none"/>
        </w:rPr>
        <w:instrText xml:space="preserve"> PAGEREF _Toc32464 \h </w:instrText>
      </w:r>
      <w:r>
        <w:rPr>
          <w:highlight w:val="none"/>
        </w:rPr>
        <w:fldChar w:fldCharType="separate"/>
      </w:r>
      <w:r>
        <w:rPr>
          <w:highlight w:val="none"/>
        </w:rPr>
        <w:t>22</w:t>
      </w:r>
      <w:r>
        <w:rPr>
          <w:highlight w:val="none"/>
        </w:rPr>
        <w:fldChar w:fldCharType="end"/>
      </w:r>
    </w:p>
    <w:p>
      <w:pPr>
        <w:pStyle w:val="36"/>
        <w:tabs>
          <w:tab w:val="right" w:leader="dot" w:pos="8306"/>
          <w:tab w:val="clear" w:pos="8720"/>
        </w:tabs>
        <w:ind w:left="0" w:leftChars="0" w:firstLine="220" w:firstLineChars="110"/>
        <w:rPr>
          <w:highlight w:val="none"/>
        </w:rPr>
      </w:pPr>
      <w:r>
        <w:rPr>
          <w:rFonts w:hint="eastAsia" w:ascii="仿宋_GB2312" w:hAnsi="仿宋" w:eastAsia="仿宋_GB2312" w:cs="仿宋_GB2312"/>
          <w:szCs w:val="36"/>
          <w:highlight w:val="none"/>
        </w:rPr>
        <w:t>八、电子交易活动的中止</w:t>
      </w:r>
      <w:r>
        <w:rPr>
          <w:highlight w:val="none"/>
        </w:rPr>
        <w:tab/>
      </w:r>
      <w:r>
        <w:rPr>
          <w:highlight w:val="none"/>
        </w:rPr>
        <w:fldChar w:fldCharType="begin"/>
      </w:r>
      <w:r>
        <w:rPr>
          <w:highlight w:val="none"/>
        </w:rPr>
        <w:instrText xml:space="preserve"> PAGEREF _Toc1303 \h </w:instrText>
      </w:r>
      <w:r>
        <w:rPr>
          <w:highlight w:val="none"/>
        </w:rPr>
        <w:fldChar w:fldCharType="separate"/>
      </w:r>
      <w:r>
        <w:rPr>
          <w:highlight w:val="none"/>
        </w:rPr>
        <w:t>24</w:t>
      </w:r>
      <w:r>
        <w:rPr>
          <w:highlight w:val="none"/>
        </w:rPr>
        <w:fldChar w:fldCharType="end"/>
      </w:r>
    </w:p>
    <w:p>
      <w:pPr>
        <w:pStyle w:val="36"/>
        <w:tabs>
          <w:tab w:val="right" w:leader="dot" w:pos="8306"/>
          <w:tab w:val="clear" w:pos="8720"/>
        </w:tabs>
        <w:ind w:left="0" w:leftChars="0" w:firstLine="220" w:firstLineChars="110"/>
        <w:rPr>
          <w:highlight w:val="none"/>
        </w:rPr>
      </w:pPr>
      <w:r>
        <w:rPr>
          <w:rFonts w:hint="eastAsia" w:ascii="仿宋_GB2312" w:hAnsi="仿宋" w:eastAsia="仿宋_GB2312" w:cs="仿宋_GB2312"/>
          <w:szCs w:val="36"/>
          <w:highlight w:val="none"/>
        </w:rPr>
        <w:t>九、验收</w:t>
      </w:r>
      <w:r>
        <w:rPr>
          <w:highlight w:val="none"/>
        </w:rPr>
        <w:tab/>
      </w:r>
      <w:r>
        <w:rPr>
          <w:highlight w:val="none"/>
        </w:rPr>
        <w:fldChar w:fldCharType="begin"/>
      </w:r>
      <w:r>
        <w:rPr>
          <w:highlight w:val="none"/>
        </w:rPr>
        <w:instrText xml:space="preserve"> PAGEREF _Toc13627 \h </w:instrText>
      </w:r>
      <w:r>
        <w:rPr>
          <w:highlight w:val="none"/>
        </w:rPr>
        <w:fldChar w:fldCharType="separate"/>
      </w:r>
      <w:r>
        <w:rPr>
          <w:highlight w:val="none"/>
        </w:rPr>
        <w:t>24</w:t>
      </w:r>
      <w:r>
        <w:rPr>
          <w:highlight w:val="none"/>
        </w:rPr>
        <w:fldChar w:fldCharType="end"/>
      </w:r>
    </w:p>
    <w:p>
      <w:pPr>
        <w:pStyle w:val="31"/>
        <w:tabs>
          <w:tab w:val="right" w:leader="dot" w:pos="8306"/>
          <w:tab w:val="clear" w:pos="8720"/>
        </w:tabs>
        <w:rPr>
          <w:highlight w:val="none"/>
        </w:rPr>
      </w:pPr>
      <w:r>
        <w:rPr>
          <w:rFonts w:hint="eastAsia" w:ascii="仿宋" w:hAnsi="仿宋" w:eastAsia="仿宋" w:cs="仿宋"/>
          <w:color w:val="auto"/>
          <w:szCs w:val="30"/>
          <w:highlight w:val="none"/>
        </w:rPr>
        <w:t>第三部分  采购需求</w:t>
      </w:r>
      <w:r>
        <w:rPr>
          <w:highlight w:val="none"/>
        </w:rPr>
        <w:tab/>
      </w:r>
      <w:r>
        <w:rPr>
          <w:highlight w:val="none"/>
        </w:rPr>
        <w:fldChar w:fldCharType="begin"/>
      </w:r>
      <w:r>
        <w:rPr>
          <w:highlight w:val="none"/>
        </w:rPr>
        <w:instrText xml:space="preserve"> PAGEREF _Toc24023 \h </w:instrText>
      </w:r>
      <w:r>
        <w:rPr>
          <w:highlight w:val="none"/>
        </w:rPr>
        <w:fldChar w:fldCharType="separate"/>
      </w:r>
      <w:r>
        <w:rPr>
          <w:highlight w:val="none"/>
        </w:rPr>
        <w:t>26</w:t>
      </w:r>
      <w:r>
        <w:rPr>
          <w:highlight w:val="none"/>
        </w:rPr>
        <w:fldChar w:fldCharType="end"/>
      </w:r>
    </w:p>
    <w:p>
      <w:pPr>
        <w:pStyle w:val="36"/>
        <w:tabs>
          <w:tab w:val="right" w:leader="dot" w:pos="8306"/>
          <w:tab w:val="clear" w:pos="8720"/>
        </w:tabs>
        <w:ind w:left="0" w:leftChars="0" w:firstLine="220" w:firstLineChars="110"/>
        <w:rPr>
          <w:highlight w:val="none"/>
        </w:rPr>
      </w:pPr>
      <w:r>
        <w:rPr>
          <w:rFonts w:hint="eastAsia" w:ascii="仿宋" w:hAnsi="仿宋" w:eastAsia="仿宋" w:cs="仿宋"/>
          <w:bCs/>
          <w:color w:val="auto"/>
          <w:szCs w:val="24"/>
          <w:highlight w:val="none"/>
          <w:shd w:val="clear" w:color="auto" w:fill="auto"/>
        </w:rPr>
        <w:t>一、项目概况</w:t>
      </w:r>
      <w:r>
        <w:rPr>
          <w:highlight w:val="none"/>
        </w:rPr>
        <w:tab/>
      </w:r>
      <w:r>
        <w:rPr>
          <w:highlight w:val="none"/>
        </w:rPr>
        <w:fldChar w:fldCharType="begin"/>
      </w:r>
      <w:r>
        <w:rPr>
          <w:highlight w:val="none"/>
        </w:rPr>
        <w:instrText xml:space="preserve"> PAGEREF _Toc29464 \h </w:instrText>
      </w:r>
      <w:r>
        <w:rPr>
          <w:highlight w:val="none"/>
        </w:rPr>
        <w:fldChar w:fldCharType="separate"/>
      </w:r>
      <w:r>
        <w:rPr>
          <w:highlight w:val="none"/>
        </w:rPr>
        <w:t>26</w:t>
      </w:r>
      <w:r>
        <w:rPr>
          <w:highlight w:val="none"/>
        </w:rPr>
        <w:fldChar w:fldCharType="end"/>
      </w:r>
    </w:p>
    <w:p>
      <w:pPr>
        <w:pStyle w:val="36"/>
        <w:tabs>
          <w:tab w:val="right" w:leader="dot" w:pos="8306"/>
          <w:tab w:val="clear" w:pos="8720"/>
        </w:tabs>
        <w:ind w:left="0" w:leftChars="0" w:firstLine="220" w:firstLineChars="110"/>
        <w:rPr>
          <w:highlight w:val="none"/>
        </w:rPr>
      </w:pPr>
      <w:r>
        <w:rPr>
          <w:rFonts w:hint="eastAsia" w:ascii="仿宋" w:hAnsi="仿宋" w:eastAsia="仿宋" w:cs="仿宋"/>
          <w:bCs/>
          <w:color w:val="auto"/>
          <w:szCs w:val="24"/>
          <w:highlight w:val="none"/>
          <w:shd w:val="clear" w:color="auto" w:fill="auto"/>
          <w:lang w:val="en-US" w:eastAsia="zh-CN"/>
        </w:rPr>
        <w:t>二</w:t>
      </w:r>
      <w:r>
        <w:rPr>
          <w:rFonts w:hint="eastAsia" w:ascii="仿宋" w:hAnsi="仿宋" w:eastAsia="仿宋" w:cs="仿宋"/>
          <w:bCs/>
          <w:color w:val="auto"/>
          <w:szCs w:val="24"/>
          <w:highlight w:val="none"/>
          <w:shd w:val="clear" w:color="auto" w:fill="auto"/>
          <w:lang w:eastAsia="zh-CN"/>
        </w:rPr>
        <w:t>、</w:t>
      </w:r>
      <w:r>
        <w:rPr>
          <w:rFonts w:hint="eastAsia" w:ascii="仿宋" w:hAnsi="仿宋" w:eastAsia="仿宋" w:cs="仿宋"/>
          <w:bCs/>
          <w:color w:val="auto"/>
          <w:szCs w:val="24"/>
          <w:highlight w:val="none"/>
          <w:shd w:val="clear" w:color="auto" w:fill="auto"/>
          <w:lang w:val="en-US" w:eastAsia="zh-CN"/>
        </w:rPr>
        <w:t>采购内容及要求</w:t>
      </w:r>
      <w:r>
        <w:rPr>
          <w:highlight w:val="none"/>
        </w:rPr>
        <w:tab/>
      </w:r>
      <w:r>
        <w:rPr>
          <w:highlight w:val="none"/>
        </w:rPr>
        <w:fldChar w:fldCharType="begin"/>
      </w:r>
      <w:r>
        <w:rPr>
          <w:highlight w:val="none"/>
        </w:rPr>
        <w:instrText xml:space="preserve"> PAGEREF _Toc6020 \h </w:instrText>
      </w:r>
      <w:r>
        <w:rPr>
          <w:highlight w:val="none"/>
        </w:rPr>
        <w:fldChar w:fldCharType="separate"/>
      </w:r>
      <w:r>
        <w:rPr>
          <w:highlight w:val="none"/>
        </w:rPr>
        <w:t>26</w:t>
      </w:r>
      <w:r>
        <w:rPr>
          <w:highlight w:val="none"/>
        </w:rPr>
        <w:fldChar w:fldCharType="end"/>
      </w:r>
    </w:p>
    <w:p>
      <w:pPr>
        <w:pStyle w:val="36"/>
        <w:tabs>
          <w:tab w:val="right" w:leader="dot" w:pos="8306"/>
          <w:tab w:val="clear" w:pos="8720"/>
        </w:tabs>
        <w:ind w:left="0" w:leftChars="0" w:firstLine="220" w:firstLineChars="110"/>
        <w:rPr>
          <w:highlight w:val="none"/>
        </w:rPr>
      </w:pPr>
      <w:r>
        <w:rPr>
          <w:rFonts w:hint="eastAsia" w:ascii="仿宋" w:hAnsi="仿宋" w:eastAsia="仿宋" w:cs="仿宋"/>
          <w:bCs/>
          <w:color w:val="auto"/>
          <w:szCs w:val="24"/>
          <w:highlight w:val="none"/>
          <w:shd w:val="clear" w:color="auto" w:fill="auto"/>
          <w:lang w:val="en-US" w:eastAsia="zh-CN"/>
        </w:rPr>
        <w:t>三、其他服务要求</w:t>
      </w:r>
      <w:r>
        <w:rPr>
          <w:highlight w:val="none"/>
        </w:rPr>
        <w:tab/>
      </w:r>
      <w:r>
        <w:rPr>
          <w:highlight w:val="none"/>
        </w:rPr>
        <w:fldChar w:fldCharType="begin"/>
      </w:r>
      <w:r>
        <w:rPr>
          <w:highlight w:val="none"/>
        </w:rPr>
        <w:instrText xml:space="preserve"> PAGEREF _Toc2403 \h </w:instrText>
      </w:r>
      <w:r>
        <w:rPr>
          <w:highlight w:val="none"/>
        </w:rPr>
        <w:fldChar w:fldCharType="separate"/>
      </w:r>
      <w:r>
        <w:rPr>
          <w:highlight w:val="none"/>
        </w:rPr>
        <w:t>29</w:t>
      </w:r>
      <w:r>
        <w:rPr>
          <w:highlight w:val="none"/>
        </w:rPr>
        <w:fldChar w:fldCharType="end"/>
      </w:r>
    </w:p>
    <w:p>
      <w:pPr>
        <w:pStyle w:val="36"/>
        <w:tabs>
          <w:tab w:val="right" w:leader="dot" w:pos="8306"/>
          <w:tab w:val="clear" w:pos="8720"/>
        </w:tabs>
        <w:ind w:left="0" w:leftChars="0" w:firstLine="220" w:firstLineChars="110"/>
        <w:rPr>
          <w:highlight w:val="none"/>
        </w:rPr>
      </w:pPr>
      <w:r>
        <w:rPr>
          <w:rFonts w:hint="eastAsia" w:ascii="仿宋" w:hAnsi="仿宋" w:eastAsia="仿宋" w:cs="仿宋"/>
          <w:bCs/>
          <w:color w:val="auto"/>
          <w:szCs w:val="24"/>
          <w:highlight w:val="none"/>
          <w:shd w:val="clear" w:color="auto" w:fill="auto"/>
          <w:lang w:val="en-US" w:eastAsia="zh-CN"/>
        </w:rPr>
        <w:t>四、商务要求</w:t>
      </w:r>
      <w:r>
        <w:rPr>
          <w:highlight w:val="none"/>
        </w:rPr>
        <w:tab/>
      </w:r>
      <w:r>
        <w:rPr>
          <w:highlight w:val="none"/>
        </w:rPr>
        <w:fldChar w:fldCharType="begin"/>
      </w:r>
      <w:r>
        <w:rPr>
          <w:highlight w:val="none"/>
        </w:rPr>
        <w:instrText xml:space="preserve"> PAGEREF _Toc13136 \h </w:instrText>
      </w:r>
      <w:r>
        <w:rPr>
          <w:highlight w:val="none"/>
        </w:rPr>
        <w:fldChar w:fldCharType="separate"/>
      </w:r>
      <w:r>
        <w:rPr>
          <w:highlight w:val="none"/>
        </w:rPr>
        <w:t>31</w:t>
      </w:r>
      <w:r>
        <w:rPr>
          <w:highlight w:val="none"/>
        </w:rPr>
        <w:fldChar w:fldCharType="end"/>
      </w:r>
    </w:p>
    <w:p>
      <w:pPr>
        <w:pStyle w:val="36"/>
        <w:tabs>
          <w:tab w:val="right" w:leader="dot" w:pos="8306"/>
          <w:tab w:val="clear" w:pos="8720"/>
        </w:tabs>
        <w:ind w:left="0" w:leftChars="0" w:firstLine="220" w:firstLineChars="110"/>
        <w:rPr>
          <w:highlight w:val="none"/>
        </w:rPr>
      </w:pPr>
      <w:r>
        <w:rPr>
          <w:rFonts w:hint="eastAsia" w:ascii="仿宋" w:hAnsi="仿宋" w:eastAsia="仿宋" w:cs="仿宋"/>
          <w:bCs/>
          <w:color w:val="auto"/>
          <w:szCs w:val="24"/>
          <w:highlight w:val="none"/>
          <w:shd w:val="clear" w:color="auto" w:fill="auto"/>
          <w:lang w:val="en-US" w:eastAsia="zh-CN"/>
        </w:rPr>
        <w:t>五、验收</w:t>
      </w:r>
      <w:r>
        <w:rPr>
          <w:highlight w:val="none"/>
        </w:rPr>
        <w:tab/>
      </w:r>
      <w:r>
        <w:rPr>
          <w:highlight w:val="none"/>
        </w:rPr>
        <w:fldChar w:fldCharType="begin"/>
      </w:r>
      <w:r>
        <w:rPr>
          <w:highlight w:val="none"/>
        </w:rPr>
        <w:instrText xml:space="preserve"> PAGEREF _Toc8222 \h </w:instrText>
      </w:r>
      <w:r>
        <w:rPr>
          <w:highlight w:val="none"/>
        </w:rPr>
        <w:fldChar w:fldCharType="separate"/>
      </w:r>
      <w:r>
        <w:rPr>
          <w:highlight w:val="none"/>
        </w:rPr>
        <w:t>31</w:t>
      </w:r>
      <w:r>
        <w:rPr>
          <w:highlight w:val="none"/>
        </w:rPr>
        <w:fldChar w:fldCharType="end"/>
      </w:r>
    </w:p>
    <w:p>
      <w:pPr>
        <w:pStyle w:val="36"/>
        <w:tabs>
          <w:tab w:val="right" w:leader="dot" w:pos="8306"/>
          <w:tab w:val="clear" w:pos="8720"/>
        </w:tabs>
        <w:ind w:left="0" w:leftChars="0" w:firstLine="220" w:firstLineChars="110"/>
        <w:rPr>
          <w:highlight w:val="none"/>
        </w:rPr>
      </w:pPr>
      <w:r>
        <w:rPr>
          <w:rFonts w:hint="eastAsia" w:ascii="仿宋" w:hAnsi="仿宋" w:eastAsia="仿宋" w:cs="仿宋"/>
          <w:color w:val="auto"/>
          <w:szCs w:val="24"/>
          <w:highlight w:val="none"/>
          <w:shd w:val="clear" w:color="auto" w:fill="auto"/>
          <w:lang w:val="en-US" w:eastAsia="zh-CN"/>
        </w:rPr>
        <w:t>六</w:t>
      </w:r>
      <w:r>
        <w:rPr>
          <w:rFonts w:hint="eastAsia" w:ascii="仿宋" w:hAnsi="仿宋" w:eastAsia="仿宋" w:cs="仿宋"/>
          <w:color w:val="auto"/>
          <w:szCs w:val="24"/>
          <w:highlight w:val="none"/>
          <w:shd w:val="clear" w:color="auto" w:fill="auto"/>
          <w:lang w:val="zh-CN"/>
        </w:rPr>
        <w:t>、其他</w:t>
      </w:r>
      <w:r>
        <w:rPr>
          <w:rFonts w:hint="eastAsia" w:ascii="仿宋" w:hAnsi="仿宋" w:eastAsia="仿宋" w:cs="仿宋"/>
          <w:color w:val="auto"/>
          <w:szCs w:val="24"/>
          <w:highlight w:val="none"/>
          <w:shd w:val="clear" w:color="auto" w:fill="auto"/>
          <w:lang w:val="en-US" w:eastAsia="zh-CN"/>
        </w:rPr>
        <w:t>投标要求</w:t>
      </w:r>
      <w:r>
        <w:rPr>
          <w:highlight w:val="none"/>
        </w:rPr>
        <w:tab/>
      </w:r>
      <w:r>
        <w:rPr>
          <w:highlight w:val="none"/>
        </w:rPr>
        <w:fldChar w:fldCharType="begin"/>
      </w:r>
      <w:r>
        <w:rPr>
          <w:highlight w:val="none"/>
        </w:rPr>
        <w:instrText xml:space="preserve"> PAGEREF _Toc7778 \h </w:instrText>
      </w:r>
      <w:r>
        <w:rPr>
          <w:highlight w:val="none"/>
        </w:rPr>
        <w:fldChar w:fldCharType="separate"/>
      </w:r>
      <w:r>
        <w:rPr>
          <w:highlight w:val="none"/>
        </w:rPr>
        <w:t>32</w:t>
      </w:r>
      <w:r>
        <w:rPr>
          <w:highlight w:val="none"/>
        </w:rPr>
        <w:fldChar w:fldCharType="end"/>
      </w:r>
    </w:p>
    <w:p>
      <w:pPr>
        <w:pStyle w:val="36"/>
        <w:tabs>
          <w:tab w:val="right" w:leader="dot" w:pos="8306"/>
          <w:tab w:val="clear" w:pos="8720"/>
        </w:tabs>
        <w:ind w:left="0" w:leftChars="0" w:firstLine="220" w:firstLineChars="110"/>
        <w:rPr>
          <w:highlight w:val="none"/>
        </w:rPr>
      </w:pPr>
      <w:r>
        <w:rPr>
          <w:rFonts w:hint="eastAsia" w:ascii="仿宋" w:hAnsi="仿宋" w:eastAsia="仿宋" w:cs="仿宋"/>
          <w:color w:val="auto"/>
          <w:szCs w:val="24"/>
          <w:highlight w:val="none"/>
          <w:shd w:val="clear" w:color="auto" w:fill="auto"/>
          <w:lang w:val="en-US" w:eastAsia="zh-CN"/>
        </w:rPr>
        <w:t>七</w:t>
      </w:r>
      <w:r>
        <w:rPr>
          <w:rFonts w:hint="eastAsia" w:ascii="仿宋" w:hAnsi="仿宋" w:eastAsia="仿宋" w:cs="仿宋"/>
          <w:color w:val="auto"/>
          <w:szCs w:val="24"/>
          <w:highlight w:val="none"/>
          <w:shd w:val="clear" w:color="auto" w:fill="auto"/>
          <w:lang w:val="zh-CN"/>
        </w:rPr>
        <w:t>、其他</w:t>
      </w:r>
      <w:r>
        <w:rPr>
          <w:highlight w:val="none"/>
        </w:rPr>
        <w:tab/>
      </w:r>
      <w:r>
        <w:rPr>
          <w:highlight w:val="none"/>
        </w:rPr>
        <w:fldChar w:fldCharType="begin"/>
      </w:r>
      <w:r>
        <w:rPr>
          <w:highlight w:val="none"/>
        </w:rPr>
        <w:instrText xml:space="preserve"> PAGEREF _Toc2111 \h </w:instrText>
      </w:r>
      <w:r>
        <w:rPr>
          <w:highlight w:val="none"/>
        </w:rPr>
        <w:fldChar w:fldCharType="separate"/>
      </w:r>
      <w:r>
        <w:rPr>
          <w:highlight w:val="none"/>
        </w:rPr>
        <w:t>33</w:t>
      </w:r>
      <w:r>
        <w:rPr>
          <w:highlight w:val="none"/>
        </w:rPr>
        <w:fldChar w:fldCharType="end"/>
      </w:r>
    </w:p>
    <w:p>
      <w:pPr>
        <w:pStyle w:val="31"/>
        <w:tabs>
          <w:tab w:val="right" w:leader="dot" w:pos="8306"/>
          <w:tab w:val="clear" w:pos="8720"/>
        </w:tabs>
        <w:rPr>
          <w:highlight w:val="none"/>
        </w:rPr>
      </w:pPr>
      <w:r>
        <w:rPr>
          <w:rFonts w:hint="eastAsia" w:ascii="仿宋" w:hAnsi="仿宋" w:eastAsia="仿宋" w:cs="仿宋"/>
          <w:color w:val="auto"/>
          <w:szCs w:val="30"/>
          <w:highlight w:val="none"/>
        </w:rPr>
        <w:t>第四部分  评标办法</w:t>
      </w:r>
      <w:r>
        <w:rPr>
          <w:highlight w:val="none"/>
        </w:rPr>
        <w:tab/>
      </w:r>
      <w:r>
        <w:rPr>
          <w:highlight w:val="none"/>
        </w:rPr>
        <w:fldChar w:fldCharType="begin"/>
      </w:r>
      <w:r>
        <w:rPr>
          <w:highlight w:val="none"/>
        </w:rPr>
        <w:instrText xml:space="preserve"> PAGEREF _Toc17565 \h </w:instrText>
      </w:r>
      <w:r>
        <w:rPr>
          <w:highlight w:val="none"/>
        </w:rPr>
        <w:fldChar w:fldCharType="separate"/>
      </w:r>
      <w:r>
        <w:rPr>
          <w:highlight w:val="none"/>
        </w:rPr>
        <w:t>34</w:t>
      </w:r>
      <w:r>
        <w:rPr>
          <w:highlight w:val="none"/>
        </w:rPr>
        <w:fldChar w:fldCharType="end"/>
      </w:r>
    </w:p>
    <w:p>
      <w:pPr>
        <w:pStyle w:val="36"/>
        <w:tabs>
          <w:tab w:val="right" w:leader="dot" w:pos="8306"/>
          <w:tab w:val="clear" w:pos="8720"/>
        </w:tabs>
        <w:ind w:left="0" w:leftChars="0" w:firstLine="220" w:firstLineChars="110"/>
        <w:rPr>
          <w:highlight w:val="none"/>
        </w:rPr>
      </w:pPr>
      <w:r>
        <w:rPr>
          <w:rFonts w:hint="eastAsia" w:ascii="仿宋" w:hAnsi="仿宋" w:eastAsia="仿宋" w:cs="仿宋"/>
          <w:color w:val="auto"/>
          <w:szCs w:val="24"/>
          <w:highlight w:val="none"/>
        </w:rPr>
        <w:t>评标办法前附表</w:t>
      </w:r>
      <w:r>
        <w:rPr>
          <w:highlight w:val="none"/>
        </w:rPr>
        <w:tab/>
      </w:r>
      <w:r>
        <w:rPr>
          <w:highlight w:val="none"/>
        </w:rPr>
        <w:fldChar w:fldCharType="begin"/>
      </w:r>
      <w:r>
        <w:rPr>
          <w:highlight w:val="none"/>
        </w:rPr>
        <w:instrText xml:space="preserve"> PAGEREF _Toc27092 \h </w:instrText>
      </w:r>
      <w:r>
        <w:rPr>
          <w:highlight w:val="none"/>
        </w:rPr>
        <w:fldChar w:fldCharType="separate"/>
      </w:r>
      <w:r>
        <w:rPr>
          <w:highlight w:val="none"/>
        </w:rPr>
        <w:t>34</w:t>
      </w:r>
      <w:r>
        <w:rPr>
          <w:highlight w:val="none"/>
        </w:rPr>
        <w:fldChar w:fldCharType="end"/>
      </w:r>
    </w:p>
    <w:p>
      <w:pPr>
        <w:pStyle w:val="36"/>
        <w:tabs>
          <w:tab w:val="right" w:leader="dot" w:pos="8306"/>
          <w:tab w:val="clear" w:pos="8720"/>
        </w:tabs>
        <w:ind w:left="0" w:leftChars="0" w:firstLine="220" w:firstLineChars="110"/>
        <w:rPr>
          <w:highlight w:val="none"/>
        </w:rPr>
      </w:pPr>
      <w:r>
        <w:rPr>
          <w:rFonts w:hint="eastAsia" w:ascii="仿宋_GB2312" w:hAnsi="仿宋" w:eastAsia="仿宋_GB2312" w:cs="仿宋_GB2312"/>
          <w:szCs w:val="28"/>
          <w:highlight w:val="none"/>
        </w:rPr>
        <w:t>一、 评标方法</w:t>
      </w:r>
      <w:r>
        <w:rPr>
          <w:highlight w:val="none"/>
        </w:rPr>
        <w:tab/>
      </w:r>
      <w:r>
        <w:rPr>
          <w:highlight w:val="none"/>
        </w:rPr>
        <w:fldChar w:fldCharType="begin"/>
      </w:r>
      <w:r>
        <w:rPr>
          <w:highlight w:val="none"/>
        </w:rPr>
        <w:instrText xml:space="preserve"> PAGEREF _Toc21159 \h </w:instrText>
      </w:r>
      <w:r>
        <w:rPr>
          <w:highlight w:val="none"/>
        </w:rPr>
        <w:fldChar w:fldCharType="separate"/>
      </w:r>
      <w:r>
        <w:rPr>
          <w:highlight w:val="none"/>
        </w:rPr>
        <w:t>38</w:t>
      </w:r>
      <w:r>
        <w:rPr>
          <w:highlight w:val="none"/>
        </w:rPr>
        <w:fldChar w:fldCharType="end"/>
      </w:r>
    </w:p>
    <w:p>
      <w:pPr>
        <w:pStyle w:val="36"/>
        <w:tabs>
          <w:tab w:val="right" w:leader="dot" w:pos="8306"/>
          <w:tab w:val="clear" w:pos="8720"/>
        </w:tabs>
        <w:ind w:left="0" w:leftChars="0" w:firstLine="220" w:firstLineChars="110"/>
        <w:rPr>
          <w:highlight w:val="none"/>
        </w:rPr>
      </w:pPr>
      <w:r>
        <w:rPr>
          <w:rFonts w:hint="eastAsia" w:ascii="仿宋_GB2312" w:hAnsi="仿宋" w:eastAsia="仿宋_GB2312" w:cs="仿宋_GB2312"/>
          <w:szCs w:val="28"/>
          <w:highlight w:val="none"/>
        </w:rPr>
        <w:t>二、 评标标准</w:t>
      </w:r>
      <w:r>
        <w:rPr>
          <w:highlight w:val="none"/>
        </w:rPr>
        <w:tab/>
      </w:r>
      <w:r>
        <w:rPr>
          <w:highlight w:val="none"/>
        </w:rPr>
        <w:fldChar w:fldCharType="begin"/>
      </w:r>
      <w:r>
        <w:rPr>
          <w:highlight w:val="none"/>
        </w:rPr>
        <w:instrText xml:space="preserve"> PAGEREF _Toc6265 \h </w:instrText>
      </w:r>
      <w:r>
        <w:rPr>
          <w:highlight w:val="none"/>
        </w:rPr>
        <w:fldChar w:fldCharType="separate"/>
      </w:r>
      <w:r>
        <w:rPr>
          <w:highlight w:val="none"/>
        </w:rPr>
        <w:t>38</w:t>
      </w:r>
      <w:r>
        <w:rPr>
          <w:highlight w:val="none"/>
        </w:rPr>
        <w:fldChar w:fldCharType="end"/>
      </w:r>
    </w:p>
    <w:p>
      <w:pPr>
        <w:pStyle w:val="36"/>
        <w:tabs>
          <w:tab w:val="right" w:leader="dot" w:pos="8306"/>
          <w:tab w:val="clear" w:pos="8720"/>
        </w:tabs>
        <w:ind w:left="0" w:leftChars="0" w:firstLine="220" w:firstLineChars="110"/>
        <w:rPr>
          <w:highlight w:val="none"/>
        </w:rPr>
      </w:pPr>
      <w:r>
        <w:rPr>
          <w:rFonts w:hint="eastAsia" w:ascii="仿宋_GB2312" w:hAnsi="仿宋" w:eastAsia="仿宋_GB2312" w:cs="仿宋_GB2312"/>
          <w:szCs w:val="28"/>
          <w:highlight w:val="none"/>
        </w:rPr>
        <w:t>三、 评标程序</w:t>
      </w:r>
      <w:r>
        <w:rPr>
          <w:highlight w:val="none"/>
        </w:rPr>
        <w:tab/>
      </w:r>
      <w:r>
        <w:rPr>
          <w:highlight w:val="none"/>
        </w:rPr>
        <w:fldChar w:fldCharType="begin"/>
      </w:r>
      <w:r>
        <w:rPr>
          <w:highlight w:val="none"/>
        </w:rPr>
        <w:instrText xml:space="preserve"> PAGEREF _Toc26895 \h </w:instrText>
      </w:r>
      <w:r>
        <w:rPr>
          <w:highlight w:val="none"/>
        </w:rPr>
        <w:fldChar w:fldCharType="separate"/>
      </w:r>
      <w:r>
        <w:rPr>
          <w:highlight w:val="none"/>
        </w:rPr>
        <w:t>38</w:t>
      </w:r>
      <w:r>
        <w:rPr>
          <w:highlight w:val="none"/>
        </w:rPr>
        <w:fldChar w:fldCharType="end"/>
      </w:r>
    </w:p>
    <w:p>
      <w:pPr>
        <w:pStyle w:val="36"/>
        <w:tabs>
          <w:tab w:val="right" w:leader="dot" w:pos="8306"/>
          <w:tab w:val="clear" w:pos="8720"/>
        </w:tabs>
        <w:ind w:left="0" w:leftChars="0" w:firstLine="220" w:firstLineChars="110"/>
        <w:rPr>
          <w:highlight w:val="none"/>
        </w:rPr>
      </w:pPr>
      <w:r>
        <w:rPr>
          <w:rFonts w:hint="eastAsia" w:ascii="仿宋_GB2312" w:hAnsi="仿宋" w:eastAsia="仿宋_GB2312" w:cs="仿宋_GB2312"/>
          <w:szCs w:val="28"/>
          <w:highlight w:val="none"/>
        </w:rPr>
        <w:t>四、 评标中的其他事项</w:t>
      </w:r>
      <w:r>
        <w:rPr>
          <w:highlight w:val="none"/>
        </w:rPr>
        <w:tab/>
      </w:r>
      <w:r>
        <w:rPr>
          <w:highlight w:val="none"/>
        </w:rPr>
        <w:fldChar w:fldCharType="begin"/>
      </w:r>
      <w:r>
        <w:rPr>
          <w:highlight w:val="none"/>
        </w:rPr>
        <w:instrText xml:space="preserve"> PAGEREF _Toc26714 \h </w:instrText>
      </w:r>
      <w:r>
        <w:rPr>
          <w:highlight w:val="none"/>
        </w:rPr>
        <w:fldChar w:fldCharType="separate"/>
      </w:r>
      <w:r>
        <w:rPr>
          <w:highlight w:val="none"/>
        </w:rPr>
        <w:t>39</w:t>
      </w:r>
      <w:r>
        <w:rPr>
          <w:highlight w:val="none"/>
        </w:rPr>
        <w:fldChar w:fldCharType="end"/>
      </w:r>
    </w:p>
    <w:p>
      <w:pPr>
        <w:pStyle w:val="31"/>
        <w:tabs>
          <w:tab w:val="right" w:leader="dot" w:pos="8306"/>
          <w:tab w:val="clear" w:pos="8720"/>
        </w:tabs>
        <w:rPr>
          <w:highlight w:val="none"/>
        </w:rPr>
      </w:pPr>
      <w:r>
        <w:rPr>
          <w:rFonts w:hint="eastAsia" w:ascii="仿宋" w:hAnsi="仿宋" w:eastAsia="仿宋" w:cs="仿宋"/>
          <w:color w:val="auto"/>
          <w:szCs w:val="30"/>
          <w:highlight w:val="none"/>
        </w:rPr>
        <w:t>第五部分  合同条款</w:t>
      </w:r>
      <w:r>
        <w:rPr>
          <w:highlight w:val="none"/>
        </w:rPr>
        <w:tab/>
      </w:r>
      <w:r>
        <w:rPr>
          <w:highlight w:val="none"/>
        </w:rPr>
        <w:fldChar w:fldCharType="begin"/>
      </w:r>
      <w:r>
        <w:rPr>
          <w:highlight w:val="none"/>
        </w:rPr>
        <w:instrText xml:space="preserve"> PAGEREF _Toc20934 \h </w:instrText>
      </w:r>
      <w:r>
        <w:rPr>
          <w:highlight w:val="none"/>
        </w:rPr>
        <w:fldChar w:fldCharType="separate"/>
      </w:r>
      <w:r>
        <w:rPr>
          <w:highlight w:val="none"/>
        </w:rPr>
        <w:t>42</w:t>
      </w:r>
      <w:r>
        <w:rPr>
          <w:highlight w:val="none"/>
        </w:rPr>
        <w:fldChar w:fldCharType="end"/>
      </w:r>
    </w:p>
    <w:p>
      <w:pPr>
        <w:pStyle w:val="31"/>
        <w:tabs>
          <w:tab w:val="right" w:leader="dot" w:pos="8306"/>
          <w:tab w:val="clear" w:pos="8720"/>
        </w:tabs>
        <w:rPr>
          <w:highlight w:val="none"/>
        </w:rPr>
      </w:pPr>
      <w:r>
        <w:rPr>
          <w:rFonts w:hint="eastAsia" w:ascii="仿宋" w:hAnsi="仿宋" w:eastAsia="仿宋" w:cs="仿宋"/>
          <w:color w:val="auto"/>
          <w:szCs w:val="30"/>
          <w:highlight w:val="none"/>
        </w:rPr>
        <w:t>第六部分  投标文件格式</w:t>
      </w:r>
      <w:r>
        <w:rPr>
          <w:highlight w:val="none"/>
        </w:rPr>
        <w:tab/>
      </w:r>
      <w:r>
        <w:rPr>
          <w:highlight w:val="none"/>
        </w:rPr>
        <w:fldChar w:fldCharType="begin"/>
      </w:r>
      <w:r>
        <w:rPr>
          <w:highlight w:val="none"/>
        </w:rPr>
        <w:instrText xml:space="preserve"> PAGEREF _Toc28748 \h </w:instrText>
      </w:r>
      <w:r>
        <w:rPr>
          <w:highlight w:val="none"/>
        </w:rPr>
        <w:fldChar w:fldCharType="separate"/>
      </w:r>
      <w:r>
        <w:rPr>
          <w:highlight w:val="none"/>
        </w:rPr>
        <w:t>49</w:t>
      </w:r>
      <w:r>
        <w:rPr>
          <w:highlight w:val="none"/>
        </w:rPr>
        <w:fldChar w:fldCharType="end"/>
      </w:r>
    </w:p>
    <w:p>
      <w:pPr>
        <w:pStyle w:val="36"/>
        <w:tabs>
          <w:tab w:val="right" w:leader="dot" w:pos="8306"/>
          <w:tab w:val="clear" w:pos="8720"/>
        </w:tabs>
        <w:ind w:left="0" w:leftChars="0" w:firstLine="220" w:firstLineChars="110"/>
        <w:rPr>
          <w:highlight w:val="none"/>
        </w:rPr>
      </w:pPr>
      <w:r>
        <w:rPr>
          <w:rFonts w:hint="eastAsia" w:ascii="仿宋" w:hAnsi="仿宋" w:eastAsia="仿宋" w:cs="仿宋"/>
          <w:color w:val="auto"/>
          <w:kern w:val="0"/>
          <w:szCs w:val="36"/>
          <w:highlight w:val="none"/>
        </w:rPr>
        <w:t>资格文件部分</w:t>
      </w:r>
      <w:r>
        <w:rPr>
          <w:highlight w:val="none"/>
        </w:rPr>
        <w:tab/>
      </w:r>
      <w:r>
        <w:rPr>
          <w:highlight w:val="none"/>
        </w:rPr>
        <w:fldChar w:fldCharType="begin"/>
      </w:r>
      <w:r>
        <w:rPr>
          <w:highlight w:val="none"/>
        </w:rPr>
        <w:instrText xml:space="preserve"> PAGEREF _Toc4683 \h </w:instrText>
      </w:r>
      <w:r>
        <w:rPr>
          <w:highlight w:val="none"/>
        </w:rPr>
        <w:fldChar w:fldCharType="separate"/>
      </w:r>
      <w:r>
        <w:rPr>
          <w:highlight w:val="none"/>
        </w:rPr>
        <w:t>49</w:t>
      </w:r>
      <w:r>
        <w:rPr>
          <w:highlight w:val="none"/>
        </w:rPr>
        <w:fldChar w:fldCharType="end"/>
      </w:r>
    </w:p>
    <w:p>
      <w:pPr>
        <w:pStyle w:val="36"/>
        <w:tabs>
          <w:tab w:val="right" w:leader="dot" w:pos="8306"/>
          <w:tab w:val="clear" w:pos="8720"/>
        </w:tabs>
        <w:ind w:left="0" w:leftChars="0" w:firstLine="220" w:firstLineChars="110"/>
        <w:rPr>
          <w:highlight w:val="none"/>
        </w:rPr>
      </w:pPr>
      <w:r>
        <w:rPr>
          <w:rFonts w:hint="eastAsia" w:ascii="仿宋" w:hAnsi="仿宋" w:eastAsia="仿宋" w:cs="仿宋"/>
          <w:color w:val="auto"/>
          <w:kern w:val="0"/>
          <w:szCs w:val="36"/>
          <w:highlight w:val="none"/>
        </w:rPr>
        <w:t>商务技术文件部分</w:t>
      </w:r>
      <w:r>
        <w:rPr>
          <w:highlight w:val="none"/>
        </w:rPr>
        <w:tab/>
      </w:r>
      <w:r>
        <w:rPr>
          <w:highlight w:val="none"/>
        </w:rPr>
        <w:fldChar w:fldCharType="begin"/>
      </w:r>
      <w:r>
        <w:rPr>
          <w:highlight w:val="none"/>
        </w:rPr>
        <w:instrText xml:space="preserve"> PAGEREF _Toc18895 \h </w:instrText>
      </w:r>
      <w:r>
        <w:rPr>
          <w:highlight w:val="none"/>
        </w:rPr>
        <w:fldChar w:fldCharType="separate"/>
      </w:r>
      <w:r>
        <w:rPr>
          <w:highlight w:val="none"/>
        </w:rPr>
        <w:t>57</w:t>
      </w:r>
      <w:r>
        <w:rPr>
          <w:highlight w:val="none"/>
        </w:rPr>
        <w:fldChar w:fldCharType="end"/>
      </w:r>
    </w:p>
    <w:p>
      <w:pPr>
        <w:pStyle w:val="36"/>
        <w:tabs>
          <w:tab w:val="right" w:leader="dot" w:pos="8306"/>
          <w:tab w:val="clear" w:pos="8720"/>
        </w:tabs>
        <w:ind w:left="0" w:leftChars="0" w:firstLine="220" w:firstLineChars="110"/>
        <w:rPr>
          <w:highlight w:val="none"/>
        </w:rPr>
      </w:pPr>
      <w:r>
        <w:rPr>
          <w:rFonts w:hint="eastAsia" w:ascii="仿宋" w:hAnsi="仿宋" w:eastAsia="仿宋" w:cs="仿宋"/>
          <w:color w:val="auto"/>
          <w:kern w:val="0"/>
          <w:szCs w:val="36"/>
          <w:highlight w:val="none"/>
        </w:rPr>
        <w:t>报价文件部分</w:t>
      </w:r>
      <w:r>
        <w:rPr>
          <w:highlight w:val="none"/>
        </w:rPr>
        <w:tab/>
      </w:r>
      <w:r>
        <w:rPr>
          <w:highlight w:val="none"/>
        </w:rPr>
        <w:fldChar w:fldCharType="begin"/>
      </w:r>
      <w:r>
        <w:rPr>
          <w:highlight w:val="none"/>
        </w:rPr>
        <w:instrText xml:space="preserve"> PAGEREF _Toc18480 \h </w:instrText>
      </w:r>
      <w:r>
        <w:rPr>
          <w:highlight w:val="none"/>
        </w:rPr>
        <w:fldChar w:fldCharType="separate"/>
      </w:r>
      <w:r>
        <w:rPr>
          <w:highlight w:val="none"/>
        </w:rPr>
        <w:t>67</w:t>
      </w:r>
      <w:r>
        <w:rPr>
          <w:highlight w:val="none"/>
        </w:rPr>
        <w:fldChar w:fldCharType="end"/>
      </w:r>
    </w:p>
    <w:p>
      <w:pPr>
        <w:pStyle w:val="31"/>
        <w:tabs>
          <w:tab w:val="right" w:leader="dot" w:pos="8306"/>
          <w:tab w:val="clear" w:pos="8720"/>
        </w:tabs>
        <w:rPr>
          <w:highlight w:val="none"/>
        </w:rPr>
      </w:pPr>
    </w:p>
    <w:p>
      <w:pPr>
        <w:jc w:val="center"/>
        <w:rPr>
          <w:rFonts w:ascii="仿宋" w:hAnsi="仿宋" w:eastAsia="仿宋" w:cs="仿宋"/>
          <w:color w:val="auto"/>
          <w:szCs w:val="21"/>
          <w:highlight w:val="none"/>
        </w:rPr>
        <w:sectPr>
          <w:headerReference r:id="rId3" w:type="default"/>
          <w:footerReference r:id="rId4" w:type="default"/>
          <w:pgSz w:w="11906" w:h="16838"/>
          <w:pgMar w:top="1440" w:right="1800" w:bottom="1440" w:left="1800" w:header="851" w:footer="992" w:gutter="0"/>
          <w:pgNumType w:start="0"/>
          <w:cols w:space="720" w:num="1"/>
          <w:titlePg/>
          <w:docGrid w:type="lines" w:linePitch="312" w:charSpace="0"/>
        </w:sectPr>
      </w:pPr>
      <w:r>
        <w:rPr>
          <w:rFonts w:hint="eastAsia" w:ascii="仿宋" w:hAnsi="仿宋" w:eastAsia="仿宋" w:cs="仿宋"/>
          <w:color w:val="auto"/>
          <w:szCs w:val="21"/>
          <w:highlight w:val="none"/>
        </w:rPr>
        <w:fldChar w:fldCharType="end"/>
      </w:r>
    </w:p>
    <w:p>
      <w:pPr>
        <w:adjustRightInd w:val="0"/>
        <w:snapToGrid w:val="0"/>
        <w:spacing w:before="120" w:beforeLines="50" w:after="120" w:afterLines="50" w:line="360" w:lineRule="auto"/>
        <w:jc w:val="center"/>
        <w:outlineLvl w:val="0"/>
        <w:rPr>
          <w:rFonts w:ascii="仿宋" w:hAnsi="仿宋" w:eastAsia="仿宋" w:cs="仿宋"/>
          <w:b/>
          <w:color w:val="auto"/>
          <w:sz w:val="30"/>
          <w:szCs w:val="30"/>
          <w:highlight w:val="none"/>
        </w:rPr>
      </w:pPr>
      <w:bookmarkStart w:id="0" w:name="_Toc21665"/>
      <w:bookmarkStart w:id="1" w:name="_Toc11725"/>
      <w:r>
        <w:rPr>
          <w:rFonts w:hint="eastAsia" w:ascii="仿宋" w:hAnsi="仿宋" w:eastAsia="仿宋" w:cs="仿宋"/>
          <w:b/>
          <w:color w:val="auto"/>
          <w:sz w:val="30"/>
          <w:szCs w:val="30"/>
          <w:highlight w:val="none"/>
        </w:rPr>
        <w:t>第一部分  采购公告</w:t>
      </w:r>
      <w:bookmarkEnd w:id="0"/>
      <w:bookmarkEnd w:id="1"/>
    </w:p>
    <w:p>
      <w:pPr>
        <w:pBdr>
          <w:top w:val="single" w:color="auto" w:sz="4" w:space="1"/>
          <w:left w:val="single" w:color="auto" w:sz="4" w:space="0"/>
          <w:bottom w:val="single" w:color="auto" w:sz="4" w:space="3"/>
          <w:right w:val="single" w:color="auto" w:sz="4" w:space="4"/>
        </w:pBdr>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项目概况                                                    </w:t>
      </w:r>
    </w:p>
    <w:p>
      <w:pPr>
        <w:pBdr>
          <w:top w:val="single" w:color="auto" w:sz="4" w:space="1"/>
          <w:left w:val="single" w:color="auto" w:sz="4" w:space="0"/>
          <w:bottom w:val="single" w:color="auto" w:sz="4" w:space="3"/>
          <w:right w:val="single" w:color="auto" w:sz="4" w:space="4"/>
        </w:pBdr>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钱塘区2023年纸质中文图书采购</w:t>
      </w:r>
      <w:r>
        <w:rPr>
          <w:rFonts w:hint="eastAsia" w:ascii="仿宋" w:hAnsi="仿宋" w:eastAsia="仿宋" w:cs="仿宋"/>
          <w:color w:val="auto"/>
          <w:kern w:val="0"/>
          <w:sz w:val="24"/>
          <w:highlight w:val="none"/>
        </w:rPr>
        <w:t xml:space="preserve">招标项目的潜在投标人应在政采云平台（https://www.zcygov.cn/）获取（下载）招标文件，并于 </w:t>
      </w:r>
      <w:r>
        <w:rPr>
          <w:rFonts w:hint="eastAsia" w:ascii="仿宋" w:hAnsi="仿宋" w:eastAsia="仿宋" w:cs="仿宋"/>
          <w:color w:val="auto"/>
          <w:kern w:val="0"/>
          <w:sz w:val="24"/>
          <w:highlight w:val="none"/>
          <w:lang w:eastAsia="zh-CN"/>
        </w:rPr>
        <w:t>2023年</w:t>
      </w:r>
      <w:r>
        <w:rPr>
          <w:rFonts w:hint="eastAsia" w:ascii="仿宋" w:hAnsi="仿宋" w:eastAsia="仿宋" w:cs="仿宋"/>
          <w:color w:val="auto"/>
          <w:kern w:val="0"/>
          <w:sz w:val="24"/>
          <w:highlight w:val="none"/>
          <w:lang w:val="en-US" w:eastAsia="zh-CN"/>
        </w:rPr>
        <w:t>04</w:t>
      </w:r>
      <w:r>
        <w:rPr>
          <w:rFonts w:hint="eastAsia" w:ascii="仿宋" w:hAnsi="仿宋" w:eastAsia="仿宋" w:cs="仿宋"/>
          <w:color w:val="auto"/>
          <w:kern w:val="0"/>
          <w:sz w:val="24"/>
          <w:highlight w:val="none"/>
          <w:lang w:eastAsia="zh-CN"/>
        </w:rPr>
        <w:t>月</w:t>
      </w:r>
      <w:r>
        <w:rPr>
          <w:rFonts w:hint="eastAsia" w:ascii="仿宋" w:hAnsi="仿宋" w:eastAsia="仿宋" w:cs="仿宋"/>
          <w:color w:val="auto"/>
          <w:kern w:val="0"/>
          <w:sz w:val="24"/>
          <w:highlight w:val="none"/>
          <w:lang w:val="en-US" w:eastAsia="zh-CN"/>
        </w:rPr>
        <w:t>19</w:t>
      </w:r>
      <w:r>
        <w:rPr>
          <w:rFonts w:hint="eastAsia" w:ascii="仿宋" w:hAnsi="仿宋" w:eastAsia="仿宋" w:cs="仿宋"/>
          <w:color w:val="auto"/>
          <w:kern w:val="0"/>
          <w:sz w:val="24"/>
          <w:highlight w:val="none"/>
          <w:lang w:eastAsia="zh-CN"/>
        </w:rPr>
        <w:t>日</w:t>
      </w:r>
      <w:r>
        <w:rPr>
          <w:rFonts w:hint="eastAsia" w:ascii="仿宋" w:hAnsi="仿宋" w:eastAsia="仿宋" w:cs="仿宋"/>
          <w:color w:val="auto"/>
          <w:kern w:val="0"/>
          <w:sz w:val="24"/>
          <w:highlight w:val="none"/>
        </w:rPr>
        <w:t xml:space="preserve"> 09:30（北京时间）前递交（上传）投标文件。      </w:t>
      </w:r>
    </w:p>
    <w:p>
      <w:pPr>
        <w:pStyle w:val="40"/>
        <w:adjustRightInd w:val="0"/>
        <w:snapToGrid w:val="0"/>
        <w:spacing w:beforeAutospacing="0" w:afterAutospacing="0" w:line="360" w:lineRule="auto"/>
        <w:jc w:val="both"/>
        <w:rPr>
          <w:rFonts w:ascii="仿宋" w:hAnsi="仿宋" w:eastAsia="仿宋" w:cs="仿宋"/>
          <w:color w:val="auto"/>
          <w:sz w:val="24"/>
          <w:szCs w:val="24"/>
          <w:highlight w:val="none"/>
        </w:rPr>
      </w:pPr>
    </w:p>
    <w:p>
      <w:pPr>
        <w:pStyle w:val="40"/>
        <w:adjustRightInd w:val="0"/>
        <w:snapToGrid w:val="0"/>
        <w:spacing w:beforeAutospacing="0" w:afterAutospacing="0" w:line="360" w:lineRule="auto"/>
        <w:jc w:val="both"/>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一、项目基本情况</w:t>
      </w:r>
    </w:p>
    <w:p>
      <w:pPr>
        <w:pStyle w:val="40"/>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QTCG-GK-2023-038</w:t>
      </w:r>
    </w:p>
    <w:p>
      <w:pPr>
        <w:pStyle w:val="40"/>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钱塘区2023年纸质中文图书采购</w:t>
      </w:r>
    </w:p>
    <w:p>
      <w:pPr>
        <w:pStyle w:val="40"/>
        <w:adjustRightInd w:val="0"/>
        <w:snapToGrid w:val="0"/>
        <w:spacing w:beforeAutospacing="0" w:afterAutospacing="0"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1300000</w:t>
      </w:r>
    </w:p>
    <w:p>
      <w:pPr>
        <w:pStyle w:val="40"/>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最高限价（元）：</w:t>
      </w:r>
      <w:r>
        <w:rPr>
          <w:rFonts w:hint="eastAsia" w:ascii="仿宋" w:hAnsi="仿宋" w:eastAsia="仿宋" w:cs="仿宋"/>
          <w:color w:val="auto"/>
          <w:sz w:val="24"/>
          <w:szCs w:val="24"/>
          <w:highlight w:val="none"/>
          <w:lang w:val="en-US" w:eastAsia="zh-CN"/>
        </w:rPr>
        <w:t>/</w:t>
      </w:r>
    </w:p>
    <w:p>
      <w:pPr>
        <w:pStyle w:val="40"/>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采购需求：</w:t>
      </w:r>
    </w:p>
    <w:p>
      <w:pPr>
        <w:pStyle w:val="40"/>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p>
    <w:p>
      <w:pPr>
        <w:pStyle w:val="40"/>
        <w:adjustRightInd w:val="0"/>
        <w:snapToGrid w:val="0"/>
        <w:spacing w:beforeAutospacing="0" w:afterAutospacing="0"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标项名称：</w:t>
      </w:r>
      <w:r>
        <w:rPr>
          <w:rFonts w:hint="eastAsia" w:ascii="仿宋" w:hAnsi="仿宋" w:eastAsia="仿宋" w:cs="仿宋"/>
          <w:color w:val="auto"/>
          <w:sz w:val="24"/>
          <w:szCs w:val="24"/>
          <w:highlight w:val="none"/>
          <w:lang w:eastAsia="zh-CN"/>
        </w:rPr>
        <w:t>钱塘区2023年纸质中文图书采购</w:t>
      </w:r>
    </w:p>
    <w:p>
      <w:pPr>
        <w:pStyle w:val="40"/>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数量：</w:t>
      </w:r>
      <w:r>
        <w:rPr>
          <w:rFonts w:hint="eastAsia" w:ascii="仿宋" w:hAnsi="仿宋" w:eastAsia="仿宋" w:cs="仿宋"/>
          <w:color w:val="auto"/>
          <w:sz w:val="24"/>
          <w:szCs w:val="24"/>
          <w:highlight w:val="none"/>
          <w:lang w:val="en-US" w:eastAsia="zh-CN"/>
        </w:rPr>
        <w:t>不限</w:t>
      </w:r>
    </w:p>
    <w:p>
      <w:pPr>
        <w:pStyle w:val="40"/>
        <w:adjustRightInd w:val="0"/>
        <w:snapToGrid w:val="0"/>
        <w:spacing w:beforeAutospacing="0" w:afterAutospacing="0"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预算金额（元）: </w:t>
      </w:r>
      <w:r>
        <w:rPr>
          <w:rFonts w:hint="eastAsia" w:ascii="仿宋" w:hAnsi="仿宋" w:eastAsia="仿宋" w:cs="仿宋"/>
          <w:color w:val="auto"/>
          <w:sz w:val="24"/>
          <w:szCs w:val="24"/>
          <w:highlight w:val="none"/>
          <w:lang w:val="en-US" w:eastAsia="zh-CN"/>
        </w:rPr>
        <w:t>1300000</w:t>
      </w:r>
    </w:p>
    <w:p>
      <w:pPr>
        <w:pStyle w:val="40"/>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简要规格描述或项目基本概况介绍、用途：</w:t>
      </w:r>
      <w:r>
        <w:rPr>
          <w:rFonts w:hint="eastAsia" w:ascii="仿宋" w:hAnsi="仿宋" w:eastAsia="仿宋" w:cs="仿宋"/>
          <w:color w:val="auto"/>
          <w:sz w:val="24"/>
          <w:szCs w:val="24"/>
          <w:highlight w:val="none"/>
          <w:shd w:val="clear" w:color="auto" w:fill="auto"/>
          <w:lang w:eastAsia="zh-CN"/>
        </w:rPr>
        <w:t>提供202</w:t>
      </w:r>
      <w:r>
        <w:rPr>
          <w:rFonts w:hint="eastAsia" w:ascii="仿宋" w:hAnsi="仿宋" w:eastAsia="仿宋" w:cs="仿宋"/>
          <w:color w:val="auto"/>
          <w:sz w:val="24"/>
          <w:szCs w:val="24"/>
          <w:highlight w:val="none"/>
          <w:shd w:val="clear" w:color="auto" w:fill="auto"/>
          <w:lang w:val="en-US" w:eastAsia="zh-CN"/>
        </w:rPr>
        <w:t>3</w:t>
      </w:r>
      <w:r>
        <w:rPr>
          <w:rFonts w:hint="eastAsia" w:ascii="仿宋" w:hAnsi="仿宋" w:eastAsia="仿宋" w:cs="仿宋"/>
          <w:color w:val="auto"/>
          <w:sz w:val="24"/>
          <w:szCs w:val="24"/>
          <w:highlight w:val="none"/>
          <w:shd w:val="clear" w:color="auto" w:fill="auto"/>
          <w:lang w:eastAsia="zh-CN"/>
        </w:rPr>
        <w:t>年杭州市钱塘区所需纸质图书，包括中文纸质图书供应和相关服务（包括图书出版信息数据提供、订单处理、图书配送和退换、图书编目加工、整理上架及售后等其他相关服务）。</w:t>
      </w:r>
      <w:r>
        <w:rPr>
          <w:rFonts w:hint="eastAsia" w:ascii="仿宋" w:hAnsi="仿宋" w:eastAsia="仿宋" w:cs="仿宋"/>
          <w:sz w:val="24"/>
          <w:szCs w:val="24"/>
          <w:highlight w:val="none"/>
        </w:rPr>
        <w:t>具体以招标文件第三部分采购需求为准,供应商可点击本公告下方“浏览采购文件”查看采购需求。</w:t>
      </w:r>
    </w:p>
    <w:p>
      <w:pPr>
        <w:pStyle w:val="40"/>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pPr>
        <w:pStyle w:val="40"/>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p>
    <w:p>
      <w:pPr>
        <w:pStyle w:val="40"/>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合同履约期限：标项 1</w:t>
      </w:r>
      <w:r>
        <w:rPr>
          <w:rFonts w:hint="eastAsia" w:ascii="仿宋" w:hAnsi="仿宋" w:eastAsia="仿宋" w:cs="仿宋"/>
          <w:color w:val="auto"/>
          <w:sz w:val="24"/>
          <w:szCs w:val="24"/>
          <w:highlight w:val="none"/>
          <w:lang w:val="en-US" w:eastAsia="zh-CN"/>
        </w:rPr>
        <w:t>，至2023年11月30日，</w:t>
      </w:r>
      <w:r>
        <w:rPr>
          <w:rFonts w:hint="eastAsia" w:ascii="仿宋" w:hAnsi="仿宋" w:eastAsia="仿宋" w:cs="仿宋"/>
          <w:color w:val="auto"/>
          <w:sz w:val="24"/>
          <w:szCs w:val="24"/>
          <w:highlight w:val="none"/>
        </w:rPr>
        <w:t>具体时间根据采购人要求安排。</w:t>
      </w:r>
    </w:p>
    <w:p>
      <w:pPr>
        <w:pStyle w:val="40"/>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本项目（是）接受联合体投标。</w:t>
      </w:r>
    </w:p>
    <w:p>
      <w:pPr>
        <w:pStyle w:val="40"/>
        <w:adjustRightInd w:val="0"/>
        <w:snapToGrid w:val="0"/>
        <w:spacing w:beforeAutospacing="0" w:afterAutospacing="0" w:line="360" w:lineRule="auto"/>
        <w:jc w:val="both"/>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二、申请人的资格要求</w:t>
      </w:r>
    </w:p>
    <w:p>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2.落实政府采购政策需满足的资格要求：</w:t>
      </w:r>
      <w:r>
        <w:rPr>
          <w:rFonts w:hint="eastAsia" w:ascii="仿宋" w:hAnsi="仿宋" w:eastAsia="仿宋" w:cs="仿宋"/>
          <w:snapToGrid w:val="0"/>
          <w:color w:val="auto"/>
          <w:kern w:val="28"/>
          <w:sz w:val="24"/>
          <w:szCs w:val="20"/>
          <w:highlight w:val="none"/>
          <w:lang w:val="en-US" w:eastAsia="zh-CN"/>
        </w:rPr>
        <w:t>无</w:t>
      </w:r>
      <w:r>
        <w:rPr>
          <w:rFonts w:hint="eastAsia" w:ascii="仿宋" w:hAnsi="仿宋" w:eastAsia="仿宋" w:cs="仿宋"/>
          <w:snapToGrid w:val="0"/>
          <w:color w:val="auto"/>
          <w:kern w:val="28"/>
          <w:sz w:val="24"/>
          <w:szCs w:val="20"/>
          <w:highlight w:val="none"/>
        </w:rPr>
        <w:t>。</w:t>
      </w:r>
    </w:p>
    <w:p>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3.本项目的特定资格要求：</w:t>
      </w:r>
      <w:r>
        <w:rPr>
          <w:rFonts w:hint="eastAsia" w:ascii="仿宋" w:hAnsi="仿宋" w:eastAsia="仿宋" w:cs="仿宋"/>
          <w:snapToGrid w:val="0"/>
          <w:color w:val="auto"/>
          <w:kern w:val="28"/>
          <w:sz w:val="24"/>
          <w:szCs w:val="20"/>
          <w:highlight w:val="none"/>
          <w:lang w:eastAsia="zh-CN"/>
        </w:rPr>
        <w:t>具有新闻出版行政部门颁发的出版物经营许可证</w:t>
      </w:r>
      <w:r>
        <w:rPr>
          <w:rFonts w:hint="eastAsia" w:ascii="仿宋" w:hAnsi="仿宋" w:eastAsia="仿宋" w:cs="仿宋"/>
          <w:snapToGrid w:val="0"/>
          <w:color w:val="auto"/>
          <w:kern w:val="28"/>
          <w:sz w:val="24"/>
          <w:szCs w:val="20"/>
          <w:highlight w:val="none"/>
        </w:rPr>
        <w:t>。</w:t>
      </w:r>
    </w:p>
    <w:p>
      <w:pPr>
        <w:pStyle w:val="40"/>
        <w:adjustRightInd w:val="0"/>
        <w:snapToGrid w:val="0"/>
        <w:spacing w:beforeAutospacing="0" w:afterAutospacing="0"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三、获取招标文件</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eastAsia="zh-CN"/>
        </w:rPr>
        <w:t>2023年</w:t>
      </w:r>
      <w:r>
        <w:rPr>
          <w:rFonts w:hint="eastAsia" w:ascii="仿宋" w:hAnsi="仿宋" w:eastAsia="仿宋" w:cs="仿宋"/>
          <w:color w:val="auto"/>
          <w:sz w:val="24"/>
          <w:highlight w:val="none"/>
          <w:u w:val="single"/>
          <w:lang w:val="en-US" w:eastAsia="zh-CN"/>
        </w:rPr>
        <w:t>04</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19</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2023年</w:t>
      </w:r>
      <w:r>
        <w:rPr>
          <w:rFonts w:hint="eastAsia" w:ascii="仿宋" w:hAnsi="仿宋" w:eastAsia="仿宋" w:cs="仿宋"/>
          <w:color w:val="auto"/>
          <w:sz w:val="24"/>
          <w:highlight w:val="none"/>
          <w:u w:val="single"/>
          <w:lang w:val="en-US" w:eastAsia="zh-CN"/>
        </w:rPr>
        <w:t>04</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19</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u w:val="single"/>
        </w:rPr>
        <w:t>09:30</w:t>
      </w:r>
      <w:r>
        <w:rPr>
          <w:rFonts w:hint="eastAsia" w:ascii="仿宋" w:hAnsi="仿宋" w:eastAsia="仿宋" w:cs="仿宋"/>
          <w:color w:val="auto"/>
          <w:sz w:val="24"/>
          <w:highlight w:val="none"/>
        </w:rPr>
        <w:t>（北京时间）</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lang w:eastAsia="zh-CN"/>
        </w:rPr>
        <w:t>2023年</w:t>
      </w:r>
      <w:r>
        <w:rPr>
          <w:rFonts w:hint="eastAsia" w:ascii="仿宋" w:hAnsi="仿宋" w:eastAsia="仿宋" w:cs="仿宋"/>
          <w:color w:val="auto"/>
          <w:sz w:val="24"/>
          <w:highlight w:val="none"/>
          <w:u w:val="single"/>
          <w:lang w:val="en-US" w:eastAsia="zh-CN"/>
        </w:rPr>
        <w:t>04</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19</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u w:val="single"/>
        </w:rPr>
        <w:t>09:30</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spacing w:line="360" w:lineRule="auto"/>
        <w:ind w:firstLine="1446" w:firstLineChars="600"/>
        <w:rPr>
          <w:rFonts w:ascii="仿宋" w:hAnsi="仿宋" w:eastAsia="仿宋" w:cs="仿宋"/>
          <w:color w:val="auto"/>
          <w:sz w:val="24"/>
          <w:highlight w:val="none"/>
        </w:rPr>
      </w:pPr>
      <w:r>
        <w:rPr>
          <w:rFonts w:hint="eastAsia" w:ascii="仿宋" w:hAnsi="仿宋" w:eastAsia="仿宋" w:cs="仿宋"/>
          <w:b/>
          <w:bCs/>
          <w:color w:val="auto"/>
          <w:sz w:val="24"/>
          <w:highlight w:val="none"/>
        </w:rPr>
        <w:t>（线下）：</w:t>
      </w:r>
      <w:r>
        <w:rPr>
          <w:rFonts w:hint="eastAsia" w:ascii="仿宋" w:hAnsi="仿宋" w:eastAsia="仿宋" w:cs="仿宋"/>
          <w:color w:val="auto"/>
          <w:sz w:val="24"/>
          <w:highlight w:val="none"/>
        </w:rPr>
        <w:t>杭州钱塘区</w:t>
      </w:r>
      <w:r>
        <w:rPr>
          <w:rFonts w:hint="eastAsia" w:ascii="仿宋" w:hAnsi="仿宋" w:eastAsia="仿宋" w:cs="仿宋"/>
          <w:color w:val="auto"/>
          <w:sz w:val="24"/>
          <w:highlight w:val="none"/>
          <w:lang w:val="en-US" w:eastAsia="zh-CN"/>
        </w:rPr>
        <w:t>金沙大道600号东楼6</w:t>
      </w:r>
      <w:r>
        <w:rPr>
          <w:rFonts w:hint="eastAsia" w:ascii="仿宋" w:hAnsi="仿宋" w:eastAsia="仿宋" w:cs="仿宋"/>
          <w:color w:val="auto"/>
          <w:sz w:val="24"/>
          <w:highlight w:val="none"/>
        </w:rPr>
        <w:t>楼第</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rPr>
        <w:t>开标室</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五、采购意向公开链接</w:t>
      </w:r>
    </w:p>
    <w:p>
      <w:pPr>
        <w:spacing w:line="360" w:lineRule="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https://zfcg.czt.zj.gov.cn/innerUsed_noticeDetails/index.html?noticeId=9231020&amp;utm=app-announcement-front.189f5f89.0.0.1b03c680cd0b11ed8e5965697d4ff6f7</w:t>
      </w:r>
    </w:p>
    <w:p>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xml:space="preserve">六、公告期限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pPr>
        <w:pStyle w:val="40"/>
        <w:adjustRightInd w:val="0"/>
        <w:snapToGrid w:val="0"/>
        <w:spacing w:beforeAutospacing="0" w:afterAutospacing="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pPr>
        <w:pStyle w:val="40"/>
        <w:adjustRightInd w:val="0"/>
        <w:snapToGrid w:val="0"/>
        <w:spacing w:beforeAutospacing="0" w:afterAutospacing="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40"/>
        <w:adjustRightInd w:val="0"/>
        <w:snapToGrid w:val="0"/>
        <w:spacing w:beforeAutospacing="0" w:afterAutospacing="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40"/>
        <w:adjustRightInd w:val="0"/>
        <w:snapToGrid w:val="0"/>
        <w:spacing w:beforeAutospacing="0" w:afterAutospacing="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4.其他事项：</w:t>
      </w:r>
    </w:p>
    <w:p>
      <w:pPr>
        <w:pStyle w:val="40"/>
        <w:adjustRightInd w:val="0"/>
        <w:snapToGrid w:val="0"/>
        <w:spacing w:beforeAutospacing="0" w:afterAutospacing="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（1）需要落实的政府采购政策：包括节约资源、保护环境、支持创新、促进中小企业发展等。详见招标文件的第二部分总则。</w:t>
      </w:r>
    </w:p>
    <w:p>
      <w:pPr>
        <w:pStyle w:val="40"/>
        <w:adjustRightInd w:val="0"/>
        <w:snapToGrid w:val="0"/>
        <w:spacing w:beforeAutospacing="0" w:afterAutospacing="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pStyle w:val="40"/>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szCs w:val="24"/>
          <w:highlight w:val="none"/>
        </w:rPr>
        <w:t>钱塘区政府采购支持中小企业信用融资：</w:t>
      </w:r>
    </w:p>
    <w:p>
      <w:pPr>
        <w:pStyle w:val="40"/>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为支持和促进中小企业发展，进一步发挥政府采购政策功能，根据《杭州市政府采购支持中小企业信用融资管理办法》、《关于钱塘区政府采购支持中小企业信用融资有关事项的通知》，现将相关事项通知如下：</w:t>
      </w:r>
    </w:p>
    <w:p>
      <w:pPr>
        <w:pStyle w:val="40"/>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A.适用对象：在浙江“政采云”平台注册入库，并取得钱塘区政府采购合同的中小企业供应商。</w:t>
      </w:r>
    </w:p>
    <w:p>
      <w:pPr>
        <w:pStyle w:val="40"/>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B.相关信息获取方式：具体合作银行及联系方式详见采购文件。登陆杭州钱塘区管理委员会官网（http://qt.hangzhou.gov.cn） “公告公示”专栏，可查看信用融资政策文件及各相关银行服务方案。</w:t>
      </w:r>
    </w:p>
    <w:p>
      <w:pPr>
        <w:pStyle w:val="40"/>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C.申请方式和步骤：①供应商若有融资意向，需先与钱塘区财政局合作的银行对接，办理相关融资前期手续；②中标后，供应商应与</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或者采购代理机构及时联系，告知融资需求；③相关合作银行联系并审核供应商及相关中标信息，办理相关融资事宜；④</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或者采购代理机构在政府采购信息系统录入中标合同信息时，须标注合同为信用融资合同，并选择相应的信用融资合作银行，录入账号信息；⑤采购人应及时将信用融资合同提交财政局备案。</w:t>
      </w:r>
    </w:p>
    <w:p>
      <w:pPr>
        <w:pStyle w:val="40"/>
        <w:adjustRightInd w:val="0"/>
        <w:snapToGrid w:val="0"/>
        <w:spacing w:beforeAutospacing="0" w:afterAutospacing="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pStyle w:val="40"/>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highlight w:val="none"/>
        </w:rPr>
        <w:t>（5）本项目采购文件公告期限为本公告发布之日起5个工作日。</w:t>
      </w:r>
    </w:p>
    <w:p>
      <w:pPr>
        <w:pStyle w:val="40"/>
        <w:adjustRightInd w:val="0"/>
        <w:snapToGrid w:val="0"/>
        <w:spacing w:beforeAutospacing="0" w:afterAutospacing="0" w:line="360" w:lineRule="auto"/>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八、对本次采购提出询问、质疑、投诉，请按以下方式联系　　　</w:t>
      </w:r>
      <w:r>
        <w:rPr>
          <w:rFonts w:hint="eastAsia" w:ascii="仿宋" w:hAnsi="仿宋" w:eastAsia="仿宋" w:cs="仿宋"/>
          <w:color w:val="auto"/>
          <w:sz w:val="24"/>
          <w:szCs w:val="24"/>
          <w:highlight w:val="none"/>
        </w:rPr>
        <w:t>　　　　　　　　　</w:t>
      </w:r>
    </w:p>
    <w:p>
      <w:pPr>
        <w:pStyle w:val="40"/>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pPr>
        <w:pStyle w:val="40"/>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名称：</w:t>
      </w:r>
      <w:r>
        <w:rPr>
          <w:rFonts w:hint="eastAsia" w:ascii="仿宋" w:hAnsi="仿宋" w:eastAsia="仿宋" w:cs="仿宋"/>
          <w:color w:val="auto"/>
          <w:sz w:val="24"/>
          <w:szCs w:val="24"/>
          <w:highlight w:val="none"/>
          <w:lang w:eastAsia="zh-CN"/>
        </w:rPr>
        <w:t>杭州市钱塘区社会发展局</w:t>
      </w:r>
      <w:r>
        <w:rPr>
          <w:rFonts w:hint="eastAsia" w:ascii="仿宋" w:hAnsi="仿宋" w:eastAsia="仿宋" w:cs="仿宋"/>
          <w:color w:val="auto"/>
          <w:sz w:val="24"/>
          <w:szCs w:val="24"/>
          <w:highlight w:val="none"/>
        </w:rPr>
        <w:t>　　　　　　　　　</w:t>
      </w:r>
    </w:p>
    <w:p>
      <w:pPr>
        <w:pStyle w:val="40"/>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地址：杭州市钱塘区智慧谷28楼</w:t>
      </w:r>
    </w:p>
    <w:p>
      <w:pPr>
        <w:pStyle w:val="40"/>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传真：  / </w:t>
      </w:r>
    </w:p>
    <w:p>
      <w:pPr>
        <w:pStyle w:val="40"/>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lang w:val="en-US" w:eastAsia="zh-CN"/>
        </w:rPr>
        <w:t xml:space="preserve">周洁 </w:t>
      </w:r>
      <w:r>
        <w:rPr>
          <w:rFonts w:hint="eastAsia" w:ascii="仿宋" w:hAnsi="仿宋" w:eastAsia="仿宋" w:cs="仿宋"/>
          <w:color w:val="auto"/>
          <w:sz w:val="24"/>
          <w:szCs w:val="24"/>
          <w:highlight w:val="none"/>
        </w:rPr>
        <w:t>　　　　　　　</w:t>
      </w:r>
    </w:p>
    <w:p>
      <w:pPr>
        <w:pStyle w:val="40"/>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项目联系方式（询问）：0571-82987576</w:t>
      </w:r>
      <w:r>
        <w:rPr>
          <w:rFonts w:hint="eastAsia" w:ascii="仿宋" w:hAnsi="仿宋" w:eastAsia="仿宋" w:cs="仿宋"/>
          <w:color w:val="auto"/>
          <w:sz w:val="24"/>
          <w:szCs w:val="24"/>
          <w:highlight w:val="none"/>
          <w:lang w:val="en-US" w:eastAsia="zh-CN"/>
        </w:rPr>
        <w:t xml:space="preserve"> </w:t>
      </w:r>
    </w:p>
    <w:p>
      <w:pPr>
        <w:pStyle w:val="40"/>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质疑联系人：周春玲</w:t>
      </w:r>
      <w:r>
        <w:rPr>
          <w:rFonts w:hint="eastAsia" w:ascii="仿宋" w:hAnsi="仿宋" w:eastAsia="仿宋" w:cs="仿宋"/>
          <w:color w:val="auto"/>
          <w:sz w:val="24"/>
          <w:szCs w:val="24"/>
          <w:highlight w:val="none"/>
          <w:lang w:val="en-US" w:eastAsia="zh-CN"/>
        </w:rPr>
        <w:t xml:space="preserve"> </w:t>
      </w:r>
    </w:p>
    <w:p>
      <w:pPr>
        <w:pStyle w:val="40"/>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质疑联系方式：0571-86910324</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w:t>
      </w:r>
    </w:p>
    <w:p>
      <w:pPr>
        <w:pStyle w:val="40"/>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pPr>
        <w:pStyle w:val="40"/>
        <w:adjustRightInd w:val="0"/>
        <w:snapToGrid w:val="0"/>
        <w:spacing w:beforeAutospacing="0" w:afterAutospacing="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名称：浙江国际招投标有限公司 　　　　　　　　　　　</w:t>
      </w:r>
    </w:p>
    <w:p>
      <w:pPr>
        <w:pStyle w:val="40"/>
        <w:adjustRightInd w:val="0"/>
        <w:snapToGrid w:val="0"/>
        <w:spacing w:beforeAutospacing="0" w:afterAutospacing="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地址：浙江省杭州市西湖区文三路90号东部软件园1号楼3楼 </w:t>
      </w:r>
    </w:p>
    <w:p>
      <w:pPr>
        <w:pStyle w:val="40"/>
        <w:adjustRightInd w:val="0"/>
        <w:snapToGrid w:val="0"/>
        <w:spacing w:beforeAutospacing="0" w:afterAutospacing="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传真： 0571-88473411   　</w:t>
      </w:r>
    </w:p>
    <w:p>
      <w:pPr>
        <w:pStyle w:val="40"/>
        <w:adjustRightInd w:val="0"/>
        <w:snapToGrid w:val="0"/>
        <w:spacing w:beforeAutospacing="0" w:afterAutospacing="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项目联系人（询问）：唐稳 　   　　　　　　　　　　　</w:t>
      </w:r>
    </w:p>
    <w:p>
      <w:pPr>
        <w:pStyle w:val="40"/>
        <w:adjustRightInd w:val="0"/>
        <w:snapToGrid w:val="0"/>
        <w:spacing w:beforeAutospacing="0" w:afterAutospacing="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项目联系方式（询问）：0571-81061825 </w:t>
      </w:r>
    </w:p>
    <w:p>
      <w:pPr>
        <w:pStyle w:val="40"/>
        <w:adjustRightInd w:val="0"/>
        <w:snapToGrid w:val="0"/>
        <w:spacing w:beforeAutospacing="0" w:afterAutospacing="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质疑联系人：赵娟 </w:t>
      </w:r>
    </w:p>
    <w:p>
      <w:pPr>
        <w:pStyle w:val="40"/>
        <w:adjustRightInd w:val="0"/>
        <w:snapToGrid w:val="0"/>
        <w:spacing w:beforeAutospacing="0" w:afterAutospacing="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质疑联系方式：0571-81061819　</w:t>
      </w:r>
    </w:p>
    <w:p>
      <w:pPr>
        <w:pStyle w:val="40"/>
        <w:adjustRightInd w:val="0"/>
        <w:snapToGrid w:val="0"/>
        <w:spacing w:beforeAutospacing="0" w:afterAutospacing="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3.同级政府采购监督管理部门</w:t>
      </w:r>
    </w:p>
    <w:p>
      <w:pPr>
        <w:pStyle w:val="40"/>
        <w:adjustRightInd w:val="0"/>
        <w:snapToGrid w:val="0"/>
        <w:spacing w:beforeAutospacing="0" w:afterAutospacing="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名称：杭州市钱塘区财政局</w:t>
      </w:r>
    </w:p>
    <w:p>
      <w:pPr>
        <w:pStyle w:val="40"/>
        <w:adjustRightInd w:val="0"/>
        <w:snapToGrid w:val="0"/>
        <w:spacing w:beforeAutospacing="0" w:afterAutospacing="0"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地址：杭州市钱塘区青六北路499号钱塘中心5号楼             </w:t>
      </w:r>
    </w:p>
    <w:p>
      <w:pPr>
        <w:pStyle w:val="40"/>
        <w:adjustRightInd w:val="0"/>
        <w:snapToGrid w:val="0"/>
        <w:spacing w:beforeAutospacing="0" w:afterAutospacing="0"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传真：0571-89535550      </w:t>
      </w:r>
    </w:p>
    <w:p>
      <w:pPr>
        <w:pStyle w:val="40"/>
        <w:adjustRightInd w:val="0"/>
        <w:snapToGrid w:val="0"/>
        <w:spacing w:beforeAutospacing="0" w:afterAutospacing="0"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联系人 ：任女士      </w:t>
      </w:r>
    </w:p>
    <w:p>
      <w:pPr>
        <w:pStyle w:val="40"/>
        <w:adjustRightInd w:val="0"/>
        <w:snapToGrid w:val="0"/>
        <w:spacing w:beforeAutospacing="0" w:afterAutospacing="0"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监督投诉电话：0571-89535530  </w:t>
      </w:r>
    </w:p>
    <w:p>
      <w:pPr>
        <w:pStyle w:val="40"/>
        <w:adjustRightInd w:val="0"/>
        <w:snapToGrid w:val="0"/>
        <w:spacing w:beforeAutospacing="0" w:afterAutospacing="0" w:line="360" w:lineRule="auto"/>
        <w:rPr>
          <w:rFonts w:ascii="仿宋" w:hAnsi="仿宋" w:eastAsia="仿宋" w:cs="仿宋"/>
          <w:color w:val="auto"/>
          <w:sz w:val="24"/>
          <w:szCs w:val="24"/>
          <w:highlight w:val="none"/>
        </w:rPr>
      </w:pPr>
    </w:p>
    <w:p>
      <w:pPr>
        <w:widowControl/>
        <w:adjustRightInd w:val="0"/>
        <w:snapToGrid w:val="0"/>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若对项目采购电子交易系统操作有疑问，可登录政采云（https://www.zcygov.cn/），点击右侧咨询小采，获取采小蜜智能服务管家帮助，或拨打政采云服务热线400-881-7190获取热线服务帮助。</w:t>
      </w:r>
    </w:p>
    <w:p>
      <w:pPr>
        <w:widowControl/>
        <w:adjustRightInd w:val="0"/>
        <w:snapToGrid w:val="0"/>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CA问题联系电话（人工）：汇信CA 400-888-4636；天谷CA 400-087-8198。</w:t>
      </w:r>
    </w:p>
    <w:p>
      <w:pPr>
        <w:widowControl/>
        <w:tabs>
          <w:tab w:val="left" w:pos="8647"/>
        </w:tabs>
        <w:adjustRightInd w:val="0"/>
        <w:snapToGrid w:val="0"/>
        <w:spacing w:line="360" w:lineRule="auto"/>
        <w:jc w:val="center"/>
        <w:outlineLvl w:val="1"/>
        <w:rPr>
          <w:rFonts w:hint="eastAsia" w:ascii="仿宋" w:hAnsi="仿宋" w:eastAsia="仿宋" w:cs="仿宋"/>
          <w:b/>
          <w:color w:val="auto"/>
          <w:sz w:val="30"/>
          <w:szCs w:val="30"/>
          <w:highlight w:val="none"/>
        </w:rPr>
      </w:pPr>
      <w:r>
        <w:rPr>
          <w:rFonts w:hint="eastAsia" w:ascii="仿宋" w:hAnsi="仿宋" w:eastAsia="仿宋" w:cs="仿宋"/>
          <w:b/>
          <w:bCs/>
          <w:color w:val="auto"/>
          <w:sz w:val="28"/>
          <w:szCs w:val="21"/>
          <w:highlight w:val="none"/>
        </w:rPr>
        <w:br w:type="page"/>
      </w:r>
      <w:bookmarkStart w:id="2" w:name="_Toc19027"/>
      <w:r>
        <w:rPr>
          <w:rFonts w:hint="eastAsia" w:ascii="仿宋" w:hAnsi="仿宋" w:eastAsia="仿宋" w:cs="仿宋"/>
          <w:b/>
          <w:color w:val="auto"/>
          <w:sz w:val="30"/>
          <w:szCs w:val="30"/>
          <w:highlight w:val="none"/>
        </w:rPr>
        <w:t>前 附 表</w:t>
      </w:r>
      <w:bookmarkEnd w:id="2"/>
    </w:p>
    <w:tbl>
      <w:tblPr>
        <w:tblStyle w:val="45"/>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ign w:val="center"/>
          </w:tcPr>
          <w:p>
            <w:pPr>
              <w:adjustRightInd w:val="0"/>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adjustRightInd w:val="0"/>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0" w:hRule="atLeast"/>
        </w:trPr>
        <w:tc>
          <w:tcPr>
            <w:tcW w:w="6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p>
        </w:tc>
        <w:tc>
          <w:tcPr>
            <w:tcW w:w="1843" w:type="dxa"/>
            <w:tcBorders>
              <w:top w:val="single" w:color="000000" w:sz="8" w:space="0"/>
              <w:left w:val="single" w:color="auto" w:sz="4" w:space="0"/>
              <w:bottom w:val="single" w:color="000000" w:sz="8" w:space="0"/>
              <w:right w:val="single" w:color="000000" w:sz="8"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 w:eastAsia="宋体" w:cs="Arial"/>
                <w:b/>
                <w:color w:val="auto"/>
                <w:kern w:val="0"/>
                <w:sz w:val="24"/>
                <w:highlight w:val="none"/>
                <w:lang w:eastAsia="zh-CN"/>
              </w:rPr>
            </w:pPr>
            <w:r>
              <w:rPr>
                <w:rFonts w:hint="eastAsia" w:ascii="仿宋" w:hAnsi="仿宋" w:eastAsia="仿宋" w:cs="仿宋"/>
                <w:sz w:val="24"/>
                <w:highlight w:val="none"/>
                <w:lang w:val="en-US" w:eastAsia="zh-CN"/>
              </w:rPr>
              <w:t>货物类</w:t>
            </w:r>
            <w:r>
              <w:rPr>
                <w:rFonts w:hint="eastAsia"/>
                <w:highlight w:val="none"/>
                <w:lang w:eastAsia="zh-CN"/>
              </w:rPr>
              <w:t>，</w:t>
            </w:r>
            <w:r>
              <w:rPr>
                <w:rFonts w:hint="eastAsia" w:ascii="仿宋" w:hAnsi="仿宋" w:eastAsia="仿宋" w:cs="仿宋"/>
                <w:sz w:val="24"/>
                <w:highlight w:val="none"/>
              </w:rPr>
              <w:t>单一产品或</w:t>
            </w:r>
            <w:r>
              <w:rPr>
                <w:rFonts w:hint="eastAsia" w:ascii="仿宋" w:hAnsi="仿宋" w:eastAsia="仿宋" w:cs="仿宋"/>
                <w:kern w:val="0"/>
                <w:sz w:val="24"/>
                <w:highlight w:val="none"/>
              </w:rPr>
              <w:t>核心产品为：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eastAsia="zh-CN"/>
              </w:rPr>
              <w:t>图书</w:t>
            </w:r>
            <w:r>
              <w:rPr>
                <w:rFonts w:hint="eastAsia" w:ascii="仿宋" w:hAnsi="仿宋" w:eastAsia="仿宋" w:cs="仿宋"/>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0" w:hRule="atLeast"/>
        </w:trPr>
        <w:tc>
          <w:tcPr>
            <w:tcW w:w="629" w:type="dxa"/>
            <w:vMerge w:val="restart"/>
            <w:tcBorders>
              <w:top w:val="single" w:color="auto" w:sz="4" w:space="0"/>
              <w:left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p>
        </w:tc>
        <w:tc>
          <w:tcPr>
            <w:tcW w:w="1843" w:type="dxa"/>
            <w:vMerge w:val="restart"/>
            <w:tcBorders>
              <w:top w:val="single" w:color="000000" w:sz="8" w:space="0"/>
              <w:left w:val="single" w:color="auto" w:sz="4" w:space="0"/>
              <w:right w:val="single" w:color="000000" w:sz="8" w:space="0"/>
            </w:tcBorders>
            <w:noWrap/>
            <w:vAlign w:val="center"/>
          </w:tcPr>
          <w:p>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b w:val="0"/>
                <w:bCs w:val="0"/>
                <w:highlight w:val="none"/>
              </w:rPr>
            </w:pPr>
            <w:r>
              <w:rPr>
                <w:rFonts w:hint="eastAsia" w:ascii="仿宋" w:hAnsi="仿宋" w:eastAsia="仿宋" w:cs="仿宋"/>
                <w:b/>
                <w:bCs/>
                <w:color w:val="FF0000"/>
                <w:kern w:val="0"/>
                <w:sz w:val="24"/>
                <w:szCs w:val="24"/>
                <w:highlight w:val="none"/>
                <w:lang w:val="en-US" w:eastAsia="zh-CN"/>
              </w:rPr>
              <w:t>标的为：图书，属于工业 行业</w:t>
            </w:r>
            <w:r>
              <w:rPr>
                <w:rFonts w:hint="eastAsia" w:ascii="仿宋" w:hAnsi="仿宋" w:eastAsia="仿宋" w:cs="仿宋"/>
                <w:b w:val="0"/>
                <w:bCs w:val="0"/>
                <w:color w:val="FF0000"/>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3" w:hRule="atLeast"/>
        </w:trPr>
        <w:tc>
          <w:tcPr>
            <w:tcW w:w="629" w:type="dxa"/>
            <w:vMerge w:val="continue"/>
            <w:tcBorders>
              <w:left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cs="仿宋"/>
                <w:color w:val="auto"/>
                <w:sz w:val="24"/>
                <w:highlight w:val="none"/>
                <w:lang w:val="en-US" w:eastAsia="zh-CN"/>
              </w:rPr>
            </w:pPr>
          </w:p>
        </w:tc>
        <w:tc>
          <w:tcPr>
            <w:tcW w:w="1843" w:type="dxa"/>
            <w:vMerge w:val="continue"/>
            <w:tcBorders>
              <w:left w:val="single" w:color="auto" w:sz="4" w:space="0"/>
              <w:right w:val="single" w:color="000000" w:sz="8" w:space="0"/>
            </w:tcBorders>
            <w:noWrap/>
            <w:vAlign w:val="center"/>
          </w:tcPr>
          <w:p>
            <w:pPr>
              <w:adjustRightInd w:val="0"/>
              <w:snapToGrid w:val="0"/>
              <w:spacing w:line="400" w:lineRule="exact"/>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noWrap/>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Times New Roman"/>
                <w:b w:val="0"/>
                <w:bCs w:val="0"/>
                <w:color w:val="auto"/>
                <w:kern w:val="0"/>
                <w:sz w:val="24"/>
                <w:highlight w:val="none"/>
                <w:lang w:val="en-US" w:eastAsia="zh-CN"/>
              </w:rPr>
            </w:pPr>
            <w:r>
              <w:rPr>
                <w:rFonts w:hint="eastAsia" w:ascii="仿宋" w:hAnsi="仿宋" w:eastAsia="仿宋" w:cs="仿宋"/>
                <w:b w:val="0"/>
                <w:bCs w:val="0"/>
                <w:color w:val="FF0000"/>
                <w:kern w:val="0"/>
                <w:sz w:val="24"/>
                <w:szCs w:val="24"/>
                <w:highlight w:val="none"/>
                <w:lang w:val="en-US" w:eastAsia="zh-CN"/>
              </w:rPr>
              <w:t>工业行业中，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仿宋" w:hAnsi="仿宋" w:eastAsia="仿宋" w:cs="仿宋"/>
                <w:b w:val="0"/>
                <w:bCs w:val="0"/>
                <w:color w:val="FF0000"/>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3" w:hRule="atLeast"/>
        </w:trPr>
        <w:tc>
          <w:tcPr>
            <w:tcW w:w="629" w:type="dxa"/>
            <w:vMerge w:val="continue"/>
            <w:tcBorders>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cs="仿宋"/>
                <w:color w:val="auto"/>
                <w:sz w:val="24"/>
                <w:highlight w:val="none"/>
                <w:lang w:val="en-US" w:eastAsia="zh-CN"/>
              </w:rPr>
            </w:pPr>
          </w:p>
        </w:tc>
        <w:tc>
          <w:tcPr>
            <w:tcW w:w="1843" w:type="dxa"/>
            <w:vMerge w:val="continue"/>
            <w:tcBorders>
              <w:left w:val="single" w:color="auto" w:sz="4" w:space="0"/>
              <w:bottom w:val="single" w:color="000000" w:sz="8" w:space="0"/>
              <w:right w:val="single" w:color="000000" w:sz="8" w:space="0"/>
            </w:tcBorders>
            <w:noWrap/>
            <w:vAlign w:val="center"/>
          </w:tcPr>
          <w:p>
            <w:pPr>
              <w:adjustRightInd w:val="0"/>
              <w:snapToGrid w:val="0"/>
              <w:spacing w:line="400" w:lineRule="exact"/>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noWrap/>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b w:val="0"/>
                <w:bCs w:val="0"/>
                <w:color w:val="FF0000"/>
                <w:kern w:val="0"/>
                <w:sz w:val="24"/>
                <w:szCs w:val="24"/>
                <w:highlight w:val="none"/>
                <w:lang w:val="en-US" w:eastAsia="zh-CN"/>
              </w:rPr>
            </w:pPr>
            <w:r>
              <w:rPr>
                <w:rFonts w:hint="eastAsia" w:ascii="仿宋" w:hAnsi="仿宋" w:eastAsia="仿宋" w:cs="仿宋"/>
                <w:b w:val="0"/>
                <w:bCs w:val="0"/>
                <w:color w:val="FF0000"/>
                <w:kern w:val="0"/>
                <w:sz w:val="24"/>
                <w:szCs w:val="24"/>
                <w:highlight w:val="none"/>
                <w:lang w:val="en-US" w:eastAsia="zh-CN"/>
              </w:rPr>
              <w:t>（1）投标人填写中小企业声明函时，标的为图书，所属行业为工业；</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b w:val="0"/>
                <w:bCs w:val="0"/>
                <w:color w:val="FF0000"/>
                <w:kern w:val="0"/>
                <w:sz w:val="24"/>
                <w:szCs w:val="24"/>
                <w:highlight w:val="none"/>
                <w:lang w:val="en-US" w:eastAsia="zh-CN"/>
              </w:rPr>
            </w:pPr>
            <w:r>
              <w:rPr>
                <w:rFonts w:hint="eastAsia" w:ascii="仿宋" w:hAnsi="仿宋" w:eastAsia="仿宋" w:cs="仿宋"/>
                <w:b w:val="0"/>
                <w:bCs w:val="0"/>
                <w:color w:val="FF0000"/>
                <w:kern w:val="0"/>
                <w:sz w:val="24"/>
                <w:szCs w:val="24"/>
                <w:highlight w:val="none"/>
                <w:lang w:val="en-US" w:eastAsia="zh-CN"/>
              </w:rPr>
              <w:t>（2）从业人员、营业收入、资产总额填报上一年度数据，无上一年度数据的新成立企业可不填报；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b w:val="0"/>
                <w:bCs w:val="0"/>
                <w:color w:val="FF0000"/>
                <w:kern w:val="0"/>
                <w:sz w:val="24"/>
                <w:szCs w:val="24"/>
                <w:highlight w:val="none"/>
                <w:lang w:val="en-US" w:eastAsia="zh-CN"/>
              </w:rPr>
            </w:pPr>
            <w:r>
              <w:rPr>
                <w:rFonts w:hint="eastAsia" w:ascii="仿宋" w:hAnsi="仿宋" w:eastAsia="仿宋" w:cs="仿宋"/>
                <w:b w:val="0"/>
                <w:bCs w:val="0"/>
                <w:color w:val="FF0000"/>
                <w:kern w:val="0"/>
                <w:sz w:val="24"/>
                <w:szCs w:val="24"/>
                <w:highlight w:val="none"/>
                <w:lang w:val="en-US" w:eastAsia="zh-CN"/>
              </w:rPr>
              <w:t>（3）中型企业、小型企业、微型企业等3种企业类型，结合以上数据，依据《中小企业划型标准规定》（工信部联企业〔2011〕300号）确定的工业，填写时应明确是中型或小型或微型。</w:t>
            </w:r>
          </w:p>
          <w:p>
            <w:pPr>
              <w:keepNext w:val="0"/>
              <w:keepLines w:val="0"/>
              <w:pageBreakBefore w:val="0"/>
              <w:widowControl w:val="0"/>
              <w:kinsoku/>
              <w:wordWrap/>
              <w:overflowPunct/>
              <w:topLinePunct w:val="0"/>
              <w:autoSpaceDE/>
              <w:autoSpaceDN/>
              <w:bidi w:val="0"/>
              <w:adjustRightInd w:val="0"/>
              <w:snapToGrid w:val="0"/>
              <w:textAlignment w:val="auto"/>
              <w:rPr>
                <w:rFonts w:hint="default"/>
                <w:b w:val="0"/>
                <w:bCs w:val="0"/>
                <w:highlight w:val="none"/>
                <w:lang w:val="en-US" w:eastAsia="zh-CN"/>
              </w:rPr>
            </w:pPr>
            <w:r>
              <w:rPr>
                <w:rFonts w:hint="eastAsia" w:ascii="仿宋" w:hAnsi="仿宋" w:eastAsia="仿宋" w:cs="仿宋"/>
                <w:b w:val="0"/>
                <w:bCs w:val="0"/>
                <w:color w:val="FF0000"/>
                <w:kern w:val="0"/>
                <w:sz w:val="24"/>
                <w:szCs w:val="24"/>
                <w:highlight w:val="none"/>
                <w:lang w:val="en-US" w:eastAsia="zh-CN"/>
              </w:rPr>
              <w:t>（4）</w:t>
            </w:r>
            <w:r>
              <w:rPr>
                <w:rFonts w:hint="eastAsia" w:ascii="仿宋" w:hAnsi="仿宋" w:eastAsia="仿宋" w:cs="仿宋"/>
                <w:b/>
                <w:bCs/>
                <w:color w:val="FF0000"/>
                <w:kern w:val="0"/>
                <w:sz w:val="24"/>
                <w:szCs w:val="24"/>
                <w:highlight w:val="none"/>
                <w:lang w:val="en-US" w:eastAsia="zh-CN"/>
              </w:rPr>
              <w:t>货物类项目中，全部货物由中小企业制造的</w:t>
            </w:r>
            <w:r>
              <w:rPr>
                <w:rFonts w:hint="eastAsia" w:ascii="仿宋" w:hAnsi="仿宋" w:eastAsia="仿宋" w:cs="仿宋"/>
                <w:b w:val="0"/>
                <w:bCs w:val="0"/>
                <w:color w:val="FF0000"/>
                <w:kern w:val="0"/>
                <w:sz w:val="24"/>
                <w:szCs w:val="24"/>
                <w:highlight w:val="none"/>
                <w:lang w:val="en-US" w:eastAsia="zh-CN"/>
              </w:rPr>
              <w:t>（即货物由中小企业生产且使用该中小企业商号或者注册商标），</w:t>
            </w:r>
            <w:r>
              <w:rPr>
                <w:rFonts w:hint="eastAsia" w:ascii="仿宋" w:hAnsi="仿宋" w:eastAsia="仿宋" w:cs="仿宋"/>
                <w:b/>
                <w:bCs/>
                <w:color w:val="FF0000"/>
                <w:kern w:val="0"/>
                <w:sz w:val="24"/>
                <w:szCs w:val="24"/>
                <w:highlight w:val="none"/>
                <w:lang w:val="en-US" w:eastAsia="zh-CN"/>
              </w:rPr>
              <w:t>享受中小企业政策；投标人提供的货物既有中小企业制造货物，也有大型企业制造货物的，不享受中小企业扶持政策。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2" w:hRule="atLeast"/>
        </w:trPr>
        <w:tc>
          <w:tcPr>
            <w:tcW w:w="6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noWrap/>
            <w:vAlign w:val="center"/>
          </w:tcPr>
          <w:p>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adjustRightInd w:val="0"/>
              <w:snapToGrid w:val="0"/>
              <w:spacing w:line="400" w:lineRule="exact"/>
              <w:rPr>
                <w:rFonts w:ascii="FangSong_GB2312" w:hAnsi="仿宋" w:eastAsia="FangSong_GB2312" w:cs="Arial"/>
                <w:color w:val="auto"/>
                <w:kern w:val="0"/>
                <w:sz w:val="24"/>
                <w:highlight w:val="none"/>
              </w:rPr>
            </w:pPr>
            <w:r>
              <w:rPr>
                <w:rFonts w:ascii="MS Gothic" w:hAnsi="MS Gothic" w:eastAsia="FangSong_GB2312" w:cs="Arial"/>
                <w:color w:val="auto"/>
                <w:kern w:val="0"/>
                <w:sz w:val="24"/>
                <w:highlight w:val="none"/>
              </w:rPr>
              <w:sym w:font="Wingdings" w:char="00FE"/>
            </w:r>
            <w:r>
              <w:rPr>
                <w:rFonts w:hint="eastAsia" w:ascii="FangSong_GB2312" w:hAnsi="仿宋" w:eastAsia="FangSong_GB2312" w:cs="Arial"/>
                <w:color w:val="auto"/>
                <w:kern w:val="0"/>
                <w:sz w:val="24"/>
                <w:highlight w:val="none"/>
              </w:rPr>
              <w:t>本项目不允许采购进口产品。</w:t>
            </w:r>
          </w:p>
          <w:p>
            <w:pPr>
              <w:adjustRightInd w:val="0"/>
              <w:snapToGrid w:val="0"/>
              <w:spacing w:line="400" w:lineRule="exact"/>
              <w:rPr>
                <w:rFonts w:hint="eastAsia" w:ascii="MS Gothic" w:hAnsi="MS Gothic" w:eastAsia="MS Gothic" w:cs="Arial"/>
                <w:color w:val="auto"/>
                <w:kern w:val="0"/>
                <w:sz w:val="24"/>
                <w:highlight w:val="none"/>
              </w:rPr>
            </w:pPr>
            <w:r>
              <w:rPr>
                <w:rFonts w:ascii="MS Gothic" w:hAnsi="MS Gothic" w:eastAsia="MS Gothic" w:cs="Arial"/>
                <w:color w:val="auto"/>
                <w:kern w:val="0"/>
                <w:sz w:val="24"/>
                <w:highlight w:val="none"/>
              </w:rPr>
              <w:t>☐</w:t>
            </w:r>
            <w:r>
              <w:rPr>
                <w:rFonts w:hint="eastAsia" w:ascii="FangSong_GB2312" w:hAnsi="仿宋" w:eastAsia="FangSong_GB2312" w:cs="Arial"/>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2" w:hRule="atLeast"/>
        </w:trPr>
        <w:tc>
          <w:tcPr>
            <w:tcW w:w="6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noWrap/>
            <w:vAlign w:val="center"/>
          </w:tcPr>
          <w:p>
            <w:pPr>
              <w:adjustRightInd w:val="0"/>
              <w:snapToGrid w:val="0"/>
              <w:spacing w:line="40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adjustRightInd w:val="0"/>
              <w:snapToGrid w:val="0"/>
              <w:rPr>
                <w:rFonts w:ascii="仿宋" w:hAnsi="仿宋" w:eastAsia="仿宋"/>
                <w:color w:val="auto"/>
                <w:sz w:val="24"/>
                <w:highlight w:val="none"/>
              </w:rPr>
            </w:pPr>
            <w:r>
              <w:rPr>
                <w:rFonts w:ascii="Wingdings" w:hAnsi="Wingdings" w:eastAsia="MS Gothic" w:cs="Arial"/>
                <w:color w:val="auto"/>
                <w:kern w:val="0"/>
                <w:sz w:val="24"/>
                <w:highlight w:val="none"/>
              </w:rPr>
              <w:sym w:font="Wingdings" w:char="00FE"/>
            </w:r>
            <w:r>
              <w:rPr>
                <w:rFonts w:ascii="仿宋" w:hAnsi="仿宋" w:eastAsia="仿宋" w:cs="Arial"/>
                <w:color w:val="auto"/>
                <w:kern w:val="0"/>
                <w:sz w:val="24"/>
                <w:highlight w:val="none"/>
              </w:rPr>
              <w:t xml:space="preserve"> A</w:t>
            </w:r>
            <w:r>
              <w:rPr>
                <w:rFonts w:hint="eastAsia" w:ascii="仿宋" w:hAnsi="仿宋" w:eastAsia="仿宋"/>
                <w:color w:val="auto"/>
                <w:sz w:val="24"/>
                <w:highlight w:val="none"/>
              </w:rPr>
              <w:t>同意将非主体、非关键性的</w:t>
            </w:r>
            <w:r>
              <w:rPr>
                <w:rFonts w:hint="eastAsia" w:ascii="仿宋" w:hAnsi="仿宋" w:eastAsia="仿宋"/>
                <w:color w:val="auto"/>
                <w:sz w:val="24"/>
                <w:highlight w:val="none"/>
                <w:u w:val="single"/>
                <w:lang w:val="en-US" w:eastAsia="zh-CN"/>
              </w:rPr>
              <w:t xml:space="preserve"> 图书加工服务</w:t>
            </w:r>
            <w:r>
              <w:rPr>
                <w:rFonts w:hint="eastAsia" w:ascii="仿宋" w:hAnsi="仿宋" w:eastAsia="仿宋"/>
                <w:color w:val="auto"/>
                <w:sz w:val="24"/>
                <w:highlight w:val="none"/>
                <w:lang w:val="en-US" w:eastAsia="zh-CN"/>
              </w:rPr>
              <w:t xml:space="preserve"> </w:t>
            </w:r>
            <w:r>
              <w:rPr>
                <w:rFonts w:hint="eastAsia" w:ascii="仿宋" w:hAnsi="仿宋" w:eastAsia="仿宋"/>
                <w:color w:val="auto"/>
                <w:sz w:val="24"/>
                <w:highlight w:val="none"/>
              </w:rPr>
              <w:t>工作分包。</w:t>
            </w:r>
          </w:p>
          <w:p>
            <w:pPr>
              <w:adjustRightInd w:val="0"/>
              <w:snapToGrid w:val="0"/>
              <w:rPr>
                <w:rFonts w:ascii="仿宋" w:hAnsi="仿宋" w:eastAsia="仿宋"/>
                <w:color w:val="auto"/>
                <w:sz w:val="24"/>
                <w:highlight w:val="none"/>
              </w:rPr>
            </w:pPr>
            <w:r>
              <w:rPr>
                <w:rFonts w:ascii="Wingdings" w:hAnsi="Wingdings" w:eastAsia="MS Gothic" w:cs="Arial"/>
                <w:color w:val="auto"/>
                <w:kern w:val="0"/>
                <w:sz w:val="24"/>
                <w:highlight w:val="none"/>
              </w:rPr>
              <w:t></w:t>
            </w:r>
            <w:r>
              <w:rPr>
                <w:rFonts w:ascii="仿宋" w:hAnsi="仿宋" w:eastAsia="仿宋" w:cs="Arial"/>
                <w:color w:val="auto"/>
                <w:kern w:val="0"/>
                <w:sz w:val="24"/>
                <w:highlight w:val="none"/>
              </w:rPr>
              <w:t xml:space="preserve"> B</w:t>
            </w:r>
            <w:r>
              <w:rPr>
                <w:rFonts w:hint="eastAsia" w:ascii="仿宋" w:hAnsi="仿宋" w:eastAsia="仿宋"/>
                <w:color w:val="auto"/>
                <w:sz w:val="24"/>
                <w:highlight w:val="none"/>
              </w:rPr>
              <w:t>同意向小微企业合理分包。</w:t>
            </w:r>
          </w:p>
          <w:p>
            <w:pPr>
              <w:adjustRightInd w:val="0"/>
              <w:snapToGrid w:val="0"/>
              <w:spacing w:line="400" w:lineRule="exact"/>
              <w:rPr>
                <w:rFonts w:hint="eastAsia" w:ascii="MS Gothic" w:hAnsi="MS Gothic" w:eastAsia="MS Gothic" w:cs="Arial"/>
                <w:color w:val="auto"/>
                <w:kern w:val="0"/>
                <w:sz w:val="24"/>
                <w:highlight w:val="none"/>
              </w:rPr>
            </w:pPr>
            <w:r>
              <w:rPr>
                <w:rFonts w:hint="eastAsia" w:ascii="Segoe UI Symbol" w:hAnsi="Segoe UI Symbol" w:eastAsia="仿宋" w:cs="Segoe UI Symbol"/>
                <w:color w:val="auto"/>
                <w:kern w:val="0"/>
                <w:sz w:val="24"/>
                <w:highlight w:val="none"/>
              </w:rPr>
              <w:t>□</w:t>
            </w:r>
            <w:r>
              <w:rPr>
                <w:rFonts w:hint="eastAsia" w:ascii="仿宋" w:hAnsi="仿宋" w:eastAsia="仿宋" w:cs="Arial"/>
                <w:color w:val="auto"/>
                <w:kern w:val="0"/>
                <w:sz w:val="24"/>
                <w:highlight w:val="none"/>
              </w:rPr>
              <w:t>C</w:t>
            </w:r>
            <w:r>
              <w:rPr>
                <w:rFonts w:hint="eastAsia" w:ascii="仿宋" w:hAnsi="仿宋" w:eastAsia="仿宋"/>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2" w:hRule="atLeast"/>
        </w:trPr>
        <w:tc>
          <w:tcPr>
            <w:tcW w:w="6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noWrap/>
            <w:vAlign w:val="center"/>
          </w:tcPr>
          <w:p>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adjustRightInd w:val="0"/>
              <w:snapToGrid w:val="0"/>
              <w:spacing w:line="400" w:lineRule="exact"/>
              <w:rPr>
                <w:rFonts w:ascii="仿宋" w:hAnsi="仿宋" w:eastAsia="仿宋"/>
                <w:color w:val="auto"/>
                <w:sz w:val="24"/>
                <w:highlight w:val="none"/>
              </w:rPr>
            </w:pPr>
            <w:r>
              <w:rPr>
                <w:rFonts w:ascii="仿宋" w:hAnsi="仿宋" w:eastAsia="仿宋" w:cs="Arial"/>
                <w:color w:val="auto"/>
                <w:kern w:val="0"/>
                <w:sz w:val="24"/>
                <w:highlight w:val="none"/>
              </w:rPr>
              <w:sym w:font="Wingdings" w:char="00FE"/>
            </w:r>
            <w:r>
              <w:rPr>
                <w:rFonts w:ascii="仿宋" w:hAnsi="仿宋" w:eastAsia="仿宋" w:cs="Arial"/>
                <w:color w:val="auto"/>
                <w:kern w:val="0"/>
                <w:sz w:val="24"/>
                <w:highlight w:val="none"/>
              </w:rPr>
              <w:t>A</w:t>
            </w:r>
            <w:r>
              <w:rPr>
                <w:rFonts w:hint="eastAsia" w:ascii="仿宋" w:hAnsi="仿宋" w:eastAsia="仿宋"/>
                <w:color w:val="auto"/>
                <w:sz w:val="24"/>
                <w:highlight w:val="none"/>
              </w:rPr>
              <w:t>不组织。</w:t>
            </w:r>
          </w:p>
          <w:p>
            <w:pPr>
              <w:adjustRightInd w:val="0"/>
              <w:snapToGrid w:val="0"/>
              <w:spacing w:line="400" w:lineRule="exact"/>
              <w:rPr>
                <w:rFonts w:hint="eastAsia" w:ascii="MS Gothic" w:hAnsi="MS Gothic" w:eastAsia="MS Gothic" w:cs="Arial"/>
                <w:color w:val="auto"/>
                <w:kern w:val="0"/>
                <w:sz w:val="24"/>
                <w:highlight w:val="none"/>
              </w:rPr>
            </w:pPr>
            <w:r>
              <w:rPr>
                <w:rFonts w:ascii="Segoe UI Symbol" w:hAnsi="Segoe UI Symbol" w:eastAsia="仿宋" w:cs="Segoe UI Symbol"/>
                <w:color w:val="auto"/>
                <w:kern w:val="0"/>
                <w:sz w:val="24"/>
                <w:highlight w:val="none"/>
              </w:rPr>
              <w:t>☐</w:t>
            </w:r>
            <w:r>
              <w:rPr>
                <w:rFonts w:ascii="仿宋" w:hAnsi="仿宋" w:eastAsia="仿宋"/>
                <w:color w:val="auto"/>
                <w:kern w:val="0"/>
                <w:sz w:val="24"/>
                <w:highlight w:val="none"/>
              </w:rPr>
              <w:t>B组织，</w:t>
            </w:r>
            <w:r>
              <w:rPr>
                <w:rFonts w:hint="eastAsia" w:ascii="仿宋" w:hAnsi="仿宋" w:eastAsia="仿宋"/>
                <w:color w:val="auto"/>
                <w:sz w:val="24"/>
                <w:highlight w:val="none"/>
              </w:rPr>
              <w:t>时间：</w:t>
            </w:r>
            <w:r>
              <w:rPr>
                <w:rFonts w:hint="eastAsia" w:ascii="仿宋" w:hAnsi="仿宋" w:eastAsia="仿宋"/>
                <w:color w:val="auto"/>
                <w:sz w:val="24"/>
                <w:highlight w:val="none"/>
                <w:u w:val="single"/>
              </w:rPr>
              <w:t>/</w:t>
            </w:r>
            <w:r>
              <w:rPr>
                <w:rFonts w:ascii="仿宋" w:hAnsi="仿宋" w:eastAsia="仿宋"/>
                <w:color w:val="auto"/>
                <w:sz w:val="24"/>
                <w:highlight w:val="none"/>
              </w:rPr>
              <w:t>,地点：</w:t>
            </w:r>
            <w:r>
              <w:rPr>
                <w:rFonts w:hint="eastAsia" w:ascii="仿宋" w:hAnsi="仿宋" w:eastAsia="仿宋"/>
                <w:color w:val="auto"/>
                <w:sz w:val="24"/>
                <w:highlight w:val="none"/>
                <w:u w:val="single"/>
              </w:rPr>
              <w:t>/</w:t>
            </w:r>
            <w:r>
              <w:rPr>
                <w:rFonts w:hint="eastAsia" w:ascii="仿宋" w:hAnsi="仿宋" w:eastAsia="仿宋"/>
                <w:color w:val="auto"/>
                <w:sz w:val="24"/>
                <w:highlight w:val="none"/>
              </w:rPr>
              <w:t>，联系人：</w:t>
            </w:r>
            <w:r>
              <w:rPr>
                <w:rFonts w:hint="eastAsia" w:ascii="仿宋" w:hAnsi="仿宋" w:eastAsia="仿宋"/>
                <w:color w:val="auto"/>
                <w:sz w:val="24"/>
                <w:highlight w:val="none"/>
                <w:u w:val="single"/>
              </w:rPr>
              <w:t>/</w:t>
            </w:r>
            <w:r>
              <w:rPr>
                <w:rFonts w:hint="eastAsia" w:ascii="仿宋" w:hAnsi="仿宋" w:eastAsia="仿宋"/>
                <w:color w:val="auto"/>
                <w:sz w:val="24"/>
                <w:highlight w:val="none"/>
              </w:rPr>
              <w:t>，联系方式：</w:t>
            </w:r>
            <w:r>
              <w:rPr>
                <w:rFonts w:hint="eastAsia" w:ascii="仿宋" w:hAnsi="仿宋" w:eastAsia="仿宋"/>
                <w:color w:val="auto"/>
                <w:sz w:val="24"/>
                <w:highlight w:val="none"/>
                <w:u w:val="single"/>
              </w:rPr>
              <w:t>/</w:t>
            </w:r>
            <w:r>
              <w:rPr>
                <w:rFonts w:hint="eastAsia" w:ascii="仿宋" w:hAnsi="仿宋" w:eastAsia="仿宋"/>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2" w:hRule="atLeast"/>
        </w:trPr>
        <w:tc>
          <w:tcPr>
            <w:tcW w:w="6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noWrap/>
            <w:vAlign w:val="center"/>
          </w:tcPr>
          <w:p>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adjustRightInd w:val="0"/>
              <w:snapToGrid w:val="0"/>
              <w:spacing w:line="400" w:lineRule="exact"/>
              <w:rPr>
                <w:rFonts w:ascii="仿宋" w:hAnsi="仿宋" w:eastAsia="仿宋"/>
                <w:color w:val="auto"/>
                <w:sz w:val="24"/>
                <w:highlight w:val="none"/>
              </w:rPr>
            </w:pPr>
            <w:r>
              <w:rPr>
                <w:rFonts w:ascii="仿宋" w:hAnsi="仿宋" w:eastAsia="仿宋" w:cs="Arial"/>
                <w:color w:val="auto"/>
                <w:kern w:val="0"/>
                <w:sz w:val="24"/>
                <w:highlight w:val="none"/>
              </w:rPr>
              <w:sym w:font="Wingdings" w:char="00FE"/>
            </w:r>
            <w:r>
              <w:rPr>
                <w:rFonts w:ascii="仿宋" w:hAnsi="仿宋" w:eastAsia="仿宋" w:cs="Arial"/>
                <w:color w:val="auto"/>
                <w:kern w:val="0"/>
                <w:sz w:val="24"/>
                <w:highlight w:val="none"/>
              </w:rPr>
              <w:t>A</w:t>
            </w:r>
            <w:r>
              <w:rPr>
                <w:rFonts w:hint="eastAsia" w:ascii="仿宋" w:hAnsi="仿宋" w:eastAsia="仿宋"/>
                <w:color w:val="auto"/>
                <w:sz w:val="24"/>
                <w:highlight w:val="none"/>
              </w:rPr>
              <w:t>不要求提供。</w:t>
            </w:r>
          </w:p>
          <w:p>
            <w:pPr>
              <w:adjustRightInd w:val="0"/>
              <w:snapToGrid w:val="0"/>
              <w:spacing w:line="400" w:lineRule="exact"/>
              <w:rPr>
                <w:rFonts w:ascii="仿宋" w:hAnsi="仿宋" w:eastAsia="仿宋"/>
                <w:color w:val="auto"/>
                <w:kern w:val="0"/>
                <w:sz w:val="24"/>
                <w:highlight w:val="none"/>
              </w:rPr>
            </w:pPr>
            <w:r>
              <w:rPr>
                <w:rFonts w:ascii="仿宋" w:hAnsi="仿宋" w:eastAsia="仿宋" w:cs="Arial"/>
                <w:color w:val="auto"/>
                <w:kern w:val="0"/>
                <w:sz w:val="24"/>
                <w:highlight w:val="none"/>
              </w:rPr>
              <w:sym w:font="Wingdings" w:char="00A8"/>
            </w:r>
            <w:r>
              <w:rPr>
                <w:rFonts w:ascii="仿宋" w:hAnsi="仿宋" w:eastAsia="仿宋"/>
                <w:color w:val="auto"/>
                <w:kern w:val="0"/>
                <w:sz w:val="24"/>
                <w:highlight w:val="none"/>
              </w:rPr>
              <w:t>B</w:t>
            </w:r>
            <w:r>
              <w:rPr>
                <w:rFonts w:hint="eastAsia" w:ascii="仿宋" w:hAnsi="仿宋" w:eastAsia="仿宋"/>
                <w:color w:val="auto"/>
                <w:kern w:val="0"/>
                <w:sz w:val="24"/>
                <w:highlight w:val="none"/>
              </w:rPr>
              <w:t>要求提供，</w:t>
            </w:r>
          </w:p>
          <w:p>
            <w:pPr>
              <w:numPr>
                <w:ilvl w:val="0"/>
                <w:numId w:val="1"/>
              </w:numPr>
              <w:adjustRightInd w:val="0"/>
              <w:snapToGrid w:val="0"/>
              <w:spacing w:line="400" w:lineRule="exact"/>
              <w:rPr>
                <w:rFonts w:ascii="仿宋" w:hAnsi="仿宋" w:eastAsia="仿宋"/>
                <w:color w:val="auto"/>
                <w:kern w:val="0"/>
                <w:sz w:val="24"/>
                <w:highlight w:val="none"/>
              </w:rPr>
            </w:pPr>
            <w:r>
              <w:rPr>
                <w:rFonts w:hint="eastAsia" w:ascii="仿宋" w:hAnsi="仿宋" w:eastAsia="仿宋"/>
                <w:snapToGrid w:val="0"/>
                <w:color w:val="auto"/>
                <w:kern w:val="28"/>
                <w:sz w:val="24"/>
                <w:highlight w:val="none"/>
              </w:rPr>
              <w:t>样品：</w:t>
            </w:r>
            <w:r>
              <w:rPr>
                <w:rFonts w:hint="eastAsia" w:ascii="仿宋" w:hAnsi="仿宋" w:eastAsia="仿宋"/>
                <w:snapToGrid w:val="0"/>
                <w:color w:val="auto"/>
                <w:kern w:val="28"/>
                <w:sz w:val="24"/>
                <w:highlight w:val="none"/>
                <w:u w:val="single"/>
              </w:rPr>
              <w:t xml:space="preserve">  /  </w:t>
            </w:r>
            <w:r>
              <w:rPr>
                <w:rFonts w:hint="eastAsia" w:ascii="仿宋" w:hAnsi="仿宋" w:eastAsia="仿宋"/>
                <w:snapToGrid w:val="0"/>
                <w:color w:val="auto"/>
                <w:kern w:val="28"/>
                <w:sz w:val="24"/>
                <w:highlight w:val="none"/>
              </w:rPr>
              <w:t>；</w:t>
            </w:r>
          </w:p>
          <w:p>
            <w:pPr>
              <w:numPr>
                <w:ilvl w:val="0"/>
                <w:numId w:val="1"/>
              </w:numPr>
              <w:adjustRightInd w:val="0"/>
              <w:snapToGrid w:val="0"/>
              <w:spacing w:line="400" w:lineRule="exact"/>
              <w:rPr>
                <w:rFonts w:ascii="仿宋" w:hAnsi="仿宋" w:eastAsia="仿宋"/>
                <w:color w:val="auto"/>
                <w:kern w:val="0"/>
                <w:sz w:val="24"/>
                <w:highlight w:val="none"/>
              </w:rPr>
            </w:pPr>
            <w:r>
              <w:rPr>
                <w:rFonts w:hint="eastAsia" w:ascii="仿宋" w:hAnsi="仿宋" w:eastAsia="仿宋"/>
                <w:snapToGrid w:val="0"/>
                <w:color w:val="auto"/>
                <w:kern w:val="28"/>
                <w:sz w:val="24"/>
                <w:highlight w:val="none"/>
              </w:rPr>
              <w:t>样品制作的标准和要求：</w:t>
            </w:r>
            <w:r>
              <w:rPr>
                <w:rFonts w:hint="eastAsia" w:ascii="仿宋" w:hAnsi="仿宋" w:eastAsia="仿宋"/>
                <w:snapToGrid w:val="0"/>
                <w:color w:val="auto"/>
                <w:kern w:val="28"/>
                <w:sz w:val="24"/>
                <w:highlight w:val="none"/>
                <w:u w:val="single"/>
              </w:rPr>
              <w:t>/</w:t>
            </w:r>
            <w:r>
              <w:rPr>
                <w:rFonts w:hint="eastAsia" w:ascii="仿宋" w:hAnsi="仿宋" w:eastAsia="仿宋"/>
                <w:color w:val="auto"/>
                <w:kern w:val="0"/>
                <w:sz w:val="24"/>
                <w:highlight w:val="none"/>
              </w:rPr>
              <w:t>；</w:t>
            </w:r>
          </w:p>
          <w:p>
            <w:pPr>
              <w:numPr>
                <w:ilvl w:val="0"/>
                <w:numId w:val="1"/>
              </w:numPr>
              <w:adjustRightInd w:val="0"/>
              <w:snapToGrid w:val="0"/>
              <w:spacing w:line="400" w:lineRule="exact"/>
              <w:rPr>
                <w:rFonts w:ascii="仿宋" w:hAnsi="仿宋" w:eastAsia="仿宋"/>
                <w:color w:val="auto"/>
                <w:kern w:val="0"/>
                <w:sz w:val="24"/>
                <w:highlight w:val="none"/>
              </w:rPr>
            </w:pPr>
            <w:r>
              <w:rPr>
                <w:rFonts w:ascii="仿宋" w:hAnsi="仿宋" w:eastAsia="仿宋"/>
                <w:color w:val="auto"/>
                <w:kern w:val="0"/>
                <w:sz w:val="24"/>
                <w:highlight w:val="none"/>
              </w:rPr>
              <w:t>样品的评审方法以及评审标准</w:t>
            </w:r>
            <w:r>
              <w:rPr>
                <w:rFonts w:hint="eastAsia" w:ascii="仿宋" w:hAnsi="仿宋" w:eastAsia="仿宋"/>
                <w:snapToGrid w:val="0"/>
                <w:color w:val="auto"/>
                <w:kern w:val="28"/>
                <w:sz w:val="24"/>
                <w:highlight w:val="none"/>
              </w:rPr>
              <w:t>：详见</w:t>
            </w:r>
            <w:r>
              <w:rPr>
                <w:rFonts w:hint="eastAsia" w:ascii="仿宋" w:hAnsi="仿宋" w:eastAsia="仿宋"/>
                <w:color w:val="auto"/>
                <w:sz w:val="24"/>
                <w:highlight w:val="none"/>
                <w:u w:val="single"/>
              </w:rPr>
              <w:t>/</w:t>
            </w:r>
            <w:r>
              <w:rPr>
                <w:rFonts w:hint="eastAsia" w:ascii="仿宋" w:hAnsi="仿宋" w:eastAsia="仿宋"/>
                <w:color w:val="auto"/>
                <w:kern w:val="0"/>
                <w:sz w:val="24"/>
                <w:highlight w:val="none"/>
              </w:rPr>
              <w:t>；</w:t>
            </w:r>
          </w:p>
          <w:p>
            <w:pPr>
              <w:numPr>
                <w:ilvl w:val="0"/>
                <w:numId w:val="1"/>
              </w:numPr>
              <w:adjustRightInd w:val="0"/>
              <w:snapToGrid w:val="0"/>
              <w:spacing w:line="400" w:lineRule="exact"/>
              <w:rPr>
                <w:rFonts w:ascii="仿宋" w:hAnsi="仿宋" w:eastAsia="仿宋"/>
                <w:color w:val="auto"/>
                <w:kern w:val="0"/>
                <w:sz w:val="24"/>
                <w:highlight w:val="none"/>
              </w:rPr>
            </w:pPr>
            <w:r>
              <w:rPr>
                <w:rFonts w:ascii="仿宋" w:hAnsi="仿宋" w:eastAsia="仿宋"/>
                <w:color w:val="auto"/>
                <w:kern w:val="0"/>
                <w:sz w:val="24"/>
                <w:highlight w:val="none"/>
              </w:rPr>
              <w:t>是否需要随样品提交检测报告</w:t>
            </w:r>
            <w:r>
              <w:rPr>
                <w:rFonts w:hint="eastAsia" w:ascii="仿宋" w:hAnsi="仿宋" w:eastAsia="仿宋"/>
                <w:color w:val="auto"/>
                <w:kern w:val="0"/>
                <w:sz w:val="24"/>
                <w:highlight w:val="none"/>
              </w:rPr>
              <w:t>：</w:t>
            </w:r>
            <w:r>
              <w:rPr>
                <w:rFonts w:ascii="仿宋" w:hAnsi="仿宋" w:eastAsia="仿宋" w:cs="Arial"/>
                <w:color w:val="auto"/>
                <w:kern w:val="0"/>
                <w:sz w:val="24"/>
                <w:highlight w:val="none"/>
              </w:rPr>
              <w:sym w:font="Wingdings" w:char="00A8"/>
            </w:r>
            <w:r>
              <w:rPr>
                <w:rFonts w:ascii="仿宋" w:hAnsi="仿宋" w:eastAsia="仿宋"/>
                <w:color w:val="auto"/>
                <w:kern w:val="0"/>
                <w:sz w:val="24"/>
                <w:highlight w:val="none"/>
              </w:rPr>
              <w:t>否；</w:t>
            </w:r>
            <w:r>
              <w:rPr>
                <w:rFonts w:ascii="仿宋" w:hAnsi="仿宋" w:eastAsia="仿宋" w:cs="Arial"/>
                <w:color w:val="auto"/>
                <w:kern w:val="0"/>
                <w:sz w:val="24"/>
                <w:highlight w:val="none"/>
              </w:rPr>
              <w:sym w:font="Wingdings" w:char="00A8"/>
            </w:r>
            <w:r>
              <w:rPr>
                <w:rFonts w:ascii="仿宋" w:hAnsi="仿宋" w:eastAsia="仿宋"/>
                <w:color w:val="auto"/>
                <w:kern w:val="0"/>
                <w:sz w:val="24"/>
                <w:highlight w:val="none"/>
              </w:rPr>
              <w:t>是，检测机构的要求</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  </w:t>
            </w:r>
            <w:r>
              <w:rPr>
                <w:rFonts w:hint="eastAsia" w:ascii="仿宋" w:hAnsi="仿宋" w:eastAsia="仿宋"/>
                <w:color w:val="auto"/>
                <w:kern w:val="0"/>
                <w:sz w:val="24"/>
                <w:highlight w:val="none"/>
              </w:rPr>
              <w:t>；检测内容</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  </w:t>
            </w:r>
            <w:r>
              <w:rPr>
                <w:rFonts w:hint="eastAsia" w:ascii="仿宋" w:hAnsi="仿宋" w:eastAsia="仿宋"/>
                <w:color w:val="auto"/>
                <w:kern w:val="0"/>
                <w:sz w:val="24"/>
                <w:highlight w:val="none"/>
              </w:rPr>
              <w:t>。</w:t>
            </w:r>
          </w:p>
          <w:p>
            <w:pPr>
              <w:numPr>
                <w:ilvl w:val="0"/>
                <w:numId w:val="1"/>
              </w:numPr>
              <w:adjustRightInd w:val="0"/>
              <w:snapToGrid w:val="0"/>
              <w:spacing w:line="400" w:lineRule="exact"/>
              <w:rPr>
                <w:rFonts w:ascii="仿宋" w:hAnsi="仿宋" w:eastAsia="仿宋"/>
                <w:color w:val="auto"/>
                <w:sz w:val="24"/>
                <w:highlight w:val="none"/>
              </w:rPr>
            </w:pPr>
            <w:r>
              <w:rPr>
                <w:rFonts w:ascii="仿宋" w:hAnsi="仿宋" w:eastAsia="仿宋"/>
                <w:color w:val="auto"/>
                <w:sz w:val="24"/>
                <w:highlight w:val="none"/>
              </w:rPr>
              <w:t>提供样品的时间：</w:t>
            </w:r>
            <w:r>
              <w:rPr>
                <w:rFonts w:hint="eastAsia" w:ascii="仿宋" w:hAnsi="仿宋" w:eastAsia="仿宋"/>
                <w:color w:val="auto"/>
                <w:sz w:val="24"/>
                <w:highlight w:val="none"/>
                <w:u w:val="single"/>
              </w:rPr>
              <w:t xml:space="preserve">  /  </w:t>
            </w:r>
            <w:r>
              <w:rPr>
                <w:rFonts w:hint="eastAsia" w:ascii="仿宋" w:hAnsi="仿宋" w:eastAsia="仿宋"/>
                <w:color w:val="auto"/>
                <w:kern w:val="0"/>
                <w:sz w:val="24"/>
                <w:highlight w:val="none"/>
              </w:rPr>
              <w:t>；地点：</w:t>
            </w:r>
            <w:r>
              <w:rPr>
                <w:rFonts w:hint="eastAsia" w:ascii="仿宋" w:hAnsi="仿宋" w:eastAsia="仿宋"/>
                <w:color w:val="auto"/>
                <w:sz w:val="24"/>
                <w:highlight w:val="none"/>
                <w:u w:val="single"/>
              </w:rPr>
              <w:t xml:space="preserve">  /  </w:t>
            </w:r>
            <w:r>
              <w:rPr>
                <w:rFonts w:hint="eastAsia" w:ascii="仿宋" w:hAnsi="仿宋" w:eastAsia="仿宋"/>
                <w:color w:val="auto"/>
                <w:kern w:val="0"/>
                <w:sz w:val="24"/>
                <w:highlight w:val="none"/>
              </w:rPr>
              <w:t>；联系人</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  </w:t>
            </w:r>
            <w:r>
              <w:rPr>
                <w:rFonts w:hint="eastAsia" w:ascii="仿宋" w:hAnsi="仿宋" w:eastAsia="仿宋"/>
                <w:color w:val="auto"/>
                <w:sz w:val="24"/>
                <w:highlight w:val="none"/>
              </w:rPr>
              <w:t>，</w:t>
            </w:r>
            <w:r>
              <w:rPr>
                <w:rFonts w:hint="eastAsia" w:ascii="仿宋" w:hAnsi="仿宋" w:eastAsia="仿宋"/>
                <w:color w:val="auto"/>
                <w:kern w:val="28"/>
                <w:sz w:val="24"/>
                <w:highlight w:val="none"/>
              </w:rPr>
              <w:t>联系电话：</w:t>
            </w:r>
            <w:r>
              <w:rPr>
                <w:rFonts w:hint="eastAsia" w:ascii="仿宋" w:hAnsi="仿宋" w:eastAsia="仿宋"/>
                <w:color w:val="auto"/>
                <w:sz w:val="24"/>
                <w:highlight w:val="none"/>
                <w:u w:val="single"/>
              </w:rPr>
              <w:t xml:space="preserve">  /  </w:t>
            </w:r>
            <w:r>
              <w:rPr>
                <w:rFonts w:hint="eastAsia" w:ascii="仿宋" w:hAnsi="仿宋" w:eastAsia="仿宋"/>
                <w:color w:val="auto"/>
                <w:sz w:val="24"/>
                <w:highlight w:val="none"/>
              </w:rPr>
              <w:t>。请投标人在上述时间内提供样品并按规定位置安装完毕。超过截止时间的，采购人或采购代理机构将不予接收，并将清场并封闭样品现场。</w:t>
            </w:r>
          </w:p>
          <w:p>
            <w:pPr>
              <w:numPr>
                <w:ilvl w:val="0"/>
                <w:numId w:val="1"/>
              </w:numPr>
              <w:adjustRightInd w:val="0"/>
              <w:snapToGrid w:val="0"/>
              <w:spacing w:line="400" w:lineRule="exact"/>
              <w:rPr>
                <w:rFonts w:ascii="仿宋" w:hAnsi="仿宋" w:eastAsia="仿宋"/>
                <w:color w:val="auto"/>
                <w:highlight w:val="none"/>
              </w:rPr>
            </w:pPr>
            <w:r>
              <w:rPr>
                <w:rFonts w:ascii="仿宋" w:hAnsi="仿宋" w:eastAsia="仿宋"/>
                <w:color w:val="auto"/>
                <w:sz w:val="24"/>
                <w:highlight w:val="none"/>
              </w:rPr>
              <w:t>采购活动结束后，对于未中标人提供的样品，</w:t>
            </w:r>
            <w:r>
              <w:rPr>
                <w:rFonts w:hint="eastAsia" w:ascii="仿宋" w:hAnsi="仿宋" w:eastAsia="仿宋"/>
                <w:color w:val="auto"/>
                <w:sz w:val="24"/>
                <w:highlight w:val="none"/>
              </w:rPr>
              <w:t>采购人、采购机构将通知</w:t>
            </w:r>
            <w:r>
              <w:rPr>
                <w:rFonts w:ascii="仿宋" w:hAnsi="仿宋" w:eastAsia="仿宋"/>
                <w:color w:val="auto"/>
                <w:sz w:val="24"/>
                <w:highlight w:val="none"/>
              </w:rPr>
              <w:t>未中标人</w:t>
            </w:r>
            <w:r>
              <w:rPr>
                <w:rFonts w:hint="eastAsia" w:ascii="仿宋" w:hAnsi="仿宋" w:eastAsia="仿宋"/>
                <w:color w:val="auto"/>
                <w:sz w:val="24"/>
                <w:highlight w:val="none"/>
              </w:rPr>
              <w:t>在规定的时间内取回，逾期未取回的，采购人、采购机构不负保管义务</w:t>
            </w:r>
            <w:r>
              <w:rPr>
                <w:rFonts w:ascii="仿宋" w:hAnsi="仿宋" w:eastAsia="仿宋"/>
                <w:color w:val="auto"/>
                <w:sz w:val="24"/>
                <w:highlight w:val="none"/>
              </w:rPr>
              <w:t>；对于中标人提供的样品，</w:t>
            </w:r>
            <w:r>
              <w:rPr>
                <w:rFonts w:hint="eastAsia" w:ascii="仿宋" w:hAnsi="仿宋" w:eastAsia="仿宋"/>
                <w:color w:val="auto"/>
                <w:sz w:val="24"/>
                <w:highlight w:val="none"/>
              </w:rPr>
              <w:t>采购人将进</w:t>
            </w:r>
            <w:r>
              <w:rPr>
                <w:rFonts w:ascii="仿宋" w:hAnsi="仿宋" w:eastAsia="仿宋"/>
                <w:color w:val="auto"/>
                <w:sz w:val="24"/>
                <w:highlight w:val="none"/>
              </w:rPr>
              <w:t>行保管、封存，并作为履约验收的参考。</w:t>
            </w:r>
          </w:p>
          <w:p>
            <w:pPr>
              <w:numPr>
                <w:ilvl w:val="0"/>
                <w:numId w:val="1"/>
              </w:numPr>
              <w:adjustRightInd w:val="0"/>
              <w:snapToGrid w:val="0"/>
              <w:spacing w:line="400" w:lineRule="exact"/>
              <w:ind w:left="425" w:leftChars="0" w:hanging="425" w:firstLineChars="0"/>
              <w:rPr>
                <w:rFonts w:hint="eastAsia" w:ascii="MS Gothic" w:hAnsi="MS Gothic" w:eastAsia="MS Gothic" w:cs="Arial"/>
                <w:color w:val="auto"/>
                <w:kern w:val="0"/>
                <w:sz w:val="24"/>
                <w:highlight w:val="none"/>
              </w:rPr>
            </w:pPr>
            <w:r>
              <w:rPr>
                <w:rFonts w:ascii="仿宋" w:hAnsi="仿宋" w:eastAsia="仿宋"/>
                <w:color w:val="auto"/>
                <w:sz w:val="24"/>
                <w:highlight w:val="none"/>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2" w:hRule="atLeast"/>
        </w:trPr>
        <w:tc>
          <w:tcPr>
            <w:tcW w:w="6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noWrap/>
            <w:vAlign w:val="center"/>
          </w:tcPr>
          <w:p>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spacing w:line="360" w:lineRule="auto"/>
              <w:rPr>
                <w:rFonts w:hint="eastAsia" w:ascii="仿宋" w:hAnsi="仿宋" w:eastAsia="仿宋" w:cs="仿宋"/>
                <w:sz w:val="24"/>
                <w:highlight w:val="none"/>
              </w:rPr>
            </w:pPr>
            <w:sdt>
              <w:sdtPr>
                <w:rPr>
                  <w:rFonts w:hint="eastAsia" w:ascii="宋体" w:hAnsi="宋体" w:cs="宋体"/>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kern w:val="0"/>
                <w:sz w:val="24"/>
                <w:highlight w:val="none"/>
              </w:rPr>
              <w:t>A</w:t>
            </w:r>
            <w:r>
              <w:rPr>
                <w:rFonts w:hint="eastAsia" w:ascii="仿宋" w:hAnsi="仿宋" w:eastAsia="仿宋" w:cs="仿宋"/>
                <w:sz w:val="24"/>
                <w:highlight w:val="none"/>
              </w:rPr>
              <w:t>不组织。</w:t>
            </w:r>
          </w:p>
          <w:p>
            <w:pPr>
              <w:spacing w:line="360" w:lineRule="auto"/>
              <w:rPr>
                <w:rFonts w:hint="eastAsia" w:ascii="仿宋" w:hAnsi="仿宋" w:eastAsia="仿宋" w:cs="仿宋"/>
                <w:kern w:val="0"/>
                <w:sz w:val="24"/>
                <w:highlight w:val="none"/>
              </w:rPr>
            </w:pPr>
            <w:sdt>
              <w:sdtPr>
                <w:rPr>
                  <w:rFonts w:hint="eastAsia" w:ascii="仿宋" w:hAnsi="仿宋" w:eastAsia="仿宋" w:cs="仿宋"/>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B组织。</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（2）方案讲解演示可选择以下其中一种方式：</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方式二：交易中心现场讲解演示。现场讲解地点为</w:t>
            </w:r>
            <w:r>
              <w:rPr>
                <w:rFonts w:hint="eastAsia" w:ascii="仿宋" w:hAnsi="仿宋" w:eastAsia="仿宋" w:cs="仿宋"/>
                <w:sz w:val="24"/>
                <w:highlight w:val="none"/>
                <w:u w:val="single"/>
              </w:rPr>
              <w:t xml:space="preserve"> </w:t>
            </w:r>
            <w:r>
              <w:rPr>
                <w:rFonts w:hint="eastAsia" w:ascii="仿宋" w:hAnsi="仿宋" w:eastAsia="仿宋" w:cs="仿宋"/>
                <w:color w:val="FF0000"/>
                <w:sz w:val="24"/>
                <w:highlight w:val="none"/>
                <w:u w:val="single"/>
              </w:rPr>
              <w:t xml:space="preserve">     </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，讲解演示所用电脑等设备由投标人自备。现场讲解演示人员进场时提供讲解人员名单（加盖公章或授权代表签名）及身份证明，否则不得讲解演示。</w:t>
            </w:r>
          </w:p>
          <w:p>
            <w:pPr>
              <w:adjustRightInd w:val="0"/>
              <w:snapToGrid w:val="0"/>
              <w:spacing w:line="400" w:lineRule="exact"/>
              <w:rPr>
                <w:rFonts w:ascii="仿宋" w:hAnsi="仿宋" w:eastAsia="仿宋"/>
                <w:color w:val="auto"/>
                <w:sz w:val="24"/>
                <w:highlight w:val="none"/>
              </w:rPr>
            </w:pPr>
            <w:r>
              <w:rPr>
                <w:rFonts w:hint="eastAsia" w:ascii="仿宋" w:hAnsi="仿宋" w:eastAsia="仿宋" w:cs="仿宋"/>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1843" w:type="dxa"/>
            <w:vMerge w:val="restart"/>
            <w:tcBorders>
              <w:top w:val="single" w:color="000000" w:sz="8" w:space="0"/>
              <w:left w:val="single" w:color="auto" w:sz="4" w:space="0"/>
              <w:right w:val="single" w:color="000000" w:sz="8" w:space="0"/>
            </w:tcBorders>
            <w:noWrap/>
            <w:vAlign w:val="center"/>
          </w:tcPr>
          <w:p>
            <w:pPr>
              <w:adjustRightInd w:val="0"/>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noWrap/>
            <w:vAlign w:val="center"/>
          </w:tcPr>
          <w:p>
            <w:pPr>
              <w:adjustRightInd w:val="0"/>
              <w:snapToGrid w:val="0"/>
              <w:spacing w:line="40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1）资格证明文件：见招标文件第二部分11.1。</w:t>
            </w:r>
          </w:p>
          <w:p>
            <w:pPr>
              <w:adjustRightInd w:val="0"/>
              <w:snapToGrid w:val="0"/>
              <w:spacing w:line="400" w:lineRule="exact"/>
              <w:rPr>
                <w:rFonts w:ascii="仿宋" w:hAnsi="仿宋" w:eastAsia="仿宋" w:cs="仿宋"/>
                <w:snapToGrid w:val="0"/>
                <w:color w:val="auto"/>
                <w:kern w:val="0"/>
                <w:szCs w:val="21"/>
                <w:highlight w:val="none"/>
              </w:rPr>
            </w:pPr>
            <w:r>
              <w:rPr>
                <w:rFonts w:hint="eastAsia" w:ascii="仿宋_GB2312" w:hAnsi="仿宋" w:eastAsia="仿宋_GB2312"/>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7" w:hRule="atLeast"/>
        </w:trPr>
        <w:tc>
          <w:tcPr>
            <w:tcW w:w="629" w:type="dxa"/>
            <w:vMerge w:val="continue"/>
            <w:tcBorders>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noWrap/>
            <w:vAlign w:val="center"/>
          </w:tcPr>
          <w:p>
            <w:pPr>
              <w:adjustRightInd w:val="0"/>
              <w:snapToGrid w:val="0"/>
              <w:spacing w:line="400" w:lineRule="exact"/>
              <w:jc w:val="center"/>
              <w:rPr>
                <w:rFonts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noWrap/>
            <w:vAlign w:val="center"/>
          </w:tcPr>
          <w:p>
            <w:pPr>
              <w:adjustRightInd w:val="0"/>
              <w:snapToGrid w:val="0"/>
              <w:spacing w:line="400" w:lineRule="exact"/>
              <w:rPr>
                <w:rFonts w:ascii="仿宋" w:hAnsi="仿宋" w:eastAsia="仿宋" w:cs="仿宋"/>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7" w:hRule="atLeast"/>
        </w:trPr>
        <w:tc>
          <w:tcPr>
            <w:tcW w:w="629" w:type="dxa"/>
            <w:tcBorders>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1843" w:type="dxa"/>
            <w:tcBorders>
              <w:left w:val="single" w:color="auto" w:sz="4" w:space="0"/>
              <w:bottom w:val="single" w:color="000000" w:sz="8" w:space="0"/>
              <w:right w:val="single" w:color="000000" w:sz="8" w:space="0"/>
            </w:tcBorders>
            <w:noWrap/>
            <w:vAlign w:val="center"/>
          </w:tcPr>
          <w:p>
            <w:pPr>
              <w:adjustRightInd w:val="0"/>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auto" w:sz="4" w:space="0"/>
              <w:left w:val="single" w:color="000000" w:sz="2" w:space="0"/>
              <w:bottom w:val="single" w:color="000000" w:sz="8" w:space="0"/>
              <w:right w:val="single" w:color="000000" w:sz="8" w:space="0"/>
            </w:tcBorders>
            <w:noWrap/>
            <w:vAlign w:val="center"/>
          </w:tcPr>
          <w:p>
            <w:pPr>
              <w:pStyle w:val="17"/>
              <w:rPr>
                <w:rFonts w:ascii="仿宋" w:hAnsi="仿宋" w:eastAsia="仿宋" w:cs="仿宋"/>
                <w:color w:val="auto"/>
                <w:sz w:val="24"/>
                <w:highlight w:val="none"/>
              </w:rPr>
            </w:pPr>
            <w:r>
              <w:rPr>
                <w:rFonts w:hint="eastAsia" w:ascii="仿宋" w:hAnsi="仿宋" w:eastAsia="仿宋" w:cs="仿宋"/>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采购节能产品、环境标志产品要求：</w:t>
            </w:r>
          </w:p>
          <w:p>
            <w:pPr>
              <w:pStyle w:val="17"/>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A无</w:t>
            </w:r>
          </w:p>
          <w:p>
            <w:pPr>
              <w:pStyle w:val="17"/>
              <w:rPr>
                <w:rFonts w:ascii="仿宋" w:hAnsi="仿宋" w:eastAsia="仿宋" w:cs="仿宋"/>
                <w:color w:val="auto"/>
                <w:kern w:val="0"/>
                <w:sz w:val="24"/>
                <w:highlight w:val="none"/>
              </w:rPr>
            </w:pPr>
            <w:r>
              <w:rPr>
                <w:rFonts w:hint="eastAsia" w:ascii="仿宋" w:hAnsi="仿宋" w:eastAsia="仿宋" w:cs="仿宋"/>
                <w:snapToGrid w:val="0"/>
                <w:color w:val="auto"/>
                <w:kern w:val="0"/>
                <w:sz w:val="24"/>
                <w:highlight w:val="none"/>
              </w:rPr>
              <w:t>☐</w:t>
            </w:r>
            <w:r>
              <w:rPr>
                <w:rFonts w:hint="eastAsia" w:ascii="仿宋" w:hAnsi="仿宋" w:eastAsia="仿宋" w:cs="仿宋"/>
                <w:color w:val="auto"/>
                <w:kern w:val="0"/>
                <w:sz w:val="24"/>
                <w:highlight w:val="none"/>
              </w:rPr>
              <w:t>B 政府</w:t>
            </w:r>
            <w:r>
              <w:rPr>
                <w:rFonts w:hint="eastAsia" w:ascii="仿宋" w:hAnsi="仿宋" w:eastAsia="仿宋" w:cs="仿宋"/>
                <w:color w:val="auto"/>
                <w:sz w:val="24"/>
                <w:highlight w:val="none"/>
              </w:rPr>
              <w:t>强制采购节能产品</w:t>
            </w:r>
            <w:r>
              <w:rPr>
                <w:rFonts w:hint="eastAsia" w:ascii="仿宋" w:hAnsi="仿宋" w:eastAsia="仿宋" w:cs="仿宋"/>
                <w:color w:val="auto"/>
                <w:kern w:val="0"/>
                <w:sz w:val="24"/>
                <w:highlight w:val="none"/>
              </w:rPr>
              <w:t>：</w:t>
            </w:r>
          </w:p>
          <w:p>
            <w:pPr>
              <w:pStyle w:val="17"/>
              <w:rPr>
                <w:rFonts w:ascii="仿宋" w:hAnsi="仿宋" w:eastAsia="仿宋" w:cs="仿宋"/>
                <w:color w:val="auto"/>
                <w:sz w:val="24"/>
                <w:highlight w:val="none"/>
                <w:u w:val="single"/>
              </w:rPr>
            </w:pPr>
            <w:r>
              <w:rPr>
                <w:rFonts w:hint="eastAsia" w:ascii="仿宋" w:hAnsi="仿宋" w:eastAsia="仿宋" w:cs="仿宋"/>
                <w:color w:val="auto"/>
                <w:sz w:val="24"/>
                <w:highlight w:val="none"/>
              </w:rPr>
              <w:t>（1）；</w:t>
            </w:r>
          </w:p>
          <w:p>
            <w:pPr>
              <w:pStyle w:val="17"/>
              <w:rPr>
                <w:rFonts w:ascii="仿宋" w:hAnsi="仿宋" w:eastAsia="仿宋" w:cs="仿宋"/>
                <w:color w:val="auto"/>
                <w:sz w:val="24"/>
                <w:highlight w:val="none"/>
              </w:rPr>
            </w:pPr>
            <w:r>
              <w:rPr>
                <w:rFonts w:hint="eastAsia" w:ascii="仿宋" w:hAnsi="仿宋" w:eastAsia="仿宋" w:cs="仿宋"/>
                <w:color w:val="auto"/>
                <w:sz w:val="24"/>
                <w:highlight w:val="none"/>
              </w:rPr>
              <w:t>（2）……</w:t>
            </w:r>
          </w:p>
          <w:p>
            <w:pPr>
              <w:pStyle w:val="17"/>
              <w:rPr>
                <w:rFonts w:ascii="仿宋" w:hAnsi="仿宋" w:eastAsia="仿宋" w:cs="仿宋"/>
                <w:color w:val="auto"/>
                <w:kern w:val="0"/>
                <w:sz w:val="24"/>
                <w:highlight w:val="none"/>
              </w:rPr>
            </w:pPr>
            <w:r>
              <w:rPr>
                <w:rFonts w:hint="eastAsia" w:ascii="仿宋" w:hAnsi="仿宋" w:eastAsia="仿宋" w:cs="仿宋"/>
                <w:snapToGrid w:val="0"/>
                <w:color w:val="auto"/>
                <w:kern w:val="0"/>
                <w:sz w:val="24"/>
                <w:highlight w:val="none"/>
              </w:rPr>
              <w:t>☐</w:t>
            </w:r>
            <w:r>
              <w:rPr>
                <w:rFonts w:hint="eastAsia" w:ascii="仿宋" w:hAnsi="仿宋" w:eastAsia="仿宋" w:cs="仿宋"/>
                <w:color w:val="auto"/>
                <w:kern w:val="0"/>
                <w:sz w:val="24"/>
                <w:highlight w:val="none"/>
              </w:rPr>
              <w:t xml:space="preserve">C </w:t>
            </w:r>
            <w:r>
              <w:rPr>
                <w:rFonts w:hint="eastAsia" w:ascii="仿宋" w:hAnsi="仿宋" w:eastAsia="仿宋" w:cs="仿宋"/>
                <w:color w:val="auto"/>
                <w:sz w:val="24"/>
                <w:highlight w:val="none"/>
              </w:rPr>
              <w:t>政府优先采购节能产品</w:t>
            </w:r>
            <w:r>
              <w:rPr>
                <w:rFonts w:hint="eastAsia" w:ascii="仿宋" w:hAnsi="仿宋" w:eastAsia="仿宋" w:cs="仿宋"/>
                <w:color w:val="auto"/>
                <w:kern w:val="0"/>
                <w:sz w:val="24"/>
                <w:highlight w:val="none"/>
              </w:rPr>
              <w:t>：</w:t>
            </w:r>
          </w:p>
          <w:p>
            <w:pPr>
              <w:pStyle w:val="17"/>
              <w:rPr>
                <w:rFonts w:ascii="仿宋" w:hAnsi="仿宋" w:eastAsia="仿宋" w:cs="仿宋"/>
                <w:color w:val="auto"/>
                <w:sz w:val="24"/>
                <w:highlight w:val="none"/>
                <w:u w:val="single"/>
              </w:rPr>
            </w:pPr>
            <w:r>
              <w:rPr>
                <w:rFonts w:hint="eastAsia" w:ascii="仿宋" w:hAnsi="仿宋" w:eastAsia="仿宋" w:cs="仿宋"/>
                <w:color w:val="auto"/>
                <w:kern w:val="0"/>
                <w:sz w:val="24"/>
                <w:highlight w:val="none"/>
              </w:rPr>
              <w:t>（1）</w:t>
            </w:r>
            <w:r>
              <w:rPr>
                <w:rFonts w:hint="eastAsia" w:ascii="仿宋" w:hAnsi="仿宋" w:eastAsia="仿宋" w:cs="仿宋"/>
                <w:color w:val="auto"/>
                <w:sz w:val="24"/>
                <w:highlight w:val="none"/>
              </w:rPr>
              <w:t>；</w:t>
            </w:r>
          </w:p>
          <w:p>
            <w:pPr>
              <w:pStyle w:val="17"/>
              <w:rPr>
                <w:rFonts w:ascii="仿宋" w:hAnsi="仿宋" w:eastAsia="仿宋" w:cs="仿宋"/>
                <w:color w:val="auto"/>
                <w:sz w:val="24"/>
                <w:highlight w:val="none"/>
              </w:rPr>
            </w:pPr>
            <w:r>
              <w:rPr>
                <w:rFonts w:hint="eastAsia" w:ascii="仿宋" w:hAnsi="仿宋" w:eastAsia="仿宋" w:cs="仿宋"/>
                <w:color w:val="auto"/>
                <w:sz w:val="24"/>
                <w:highlight w:val="none"/>
              </w:rPr>
              <w:t>（2）……</w:t>
            </w:r>
          </w:p>
          <w:p>
            <w:pPr>
              <w:pStyle w:val="17"/>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☐D </w:t>
            </w:r>
            <w:r>
              <w:rPr>
                <w:rFonts w:hint="eastAsia" w:ascii="仿宋" w:hAnsi="仿宋" w:eastAsia="仿宋" w:cs="仿宋"/>
                <w:color w:val="auto"/>
                <w:sz w:val="24"/>
                <w:highlight w:val="none"/>
              </w:rPr>
              <w:t>政府优先采购环境标志产品</w:t>
            </w:r>
            <w:r>
              <w:rPr>
                <w:rFonts w:hint="eastAsia" w:ascii="仿宋" w:hAnsi="仿宋" w:eastAsia="仿宋" w:cs="仿宋"/>
                <w:color w:val="auto"/>
                <w:kern w:val="0"/>
                <w:sz w:val="24"/>
                <w:highlight w:val="none"/>
              </w:rPr>
              <w:t>：</w:t>
            </w:r>
          </w:p>
          <w:p>
            <w:pPr>
              <w:pStyle w:val="17"/>
              <w:rPr>
                <w:rFonts w:ascii="仿宋" w:hAnsi="仿宋" w:eastAsia="仿宋" w:cs="仿宋"/>
                <w:color w:val="auto"/>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sz w:val="24"/>
                <w:highlight w:val="none"/>
              </w:rPr>
              <w:t>；</w:t>
            </w:r>
          </w:p>
          <w:p>
            <w:pPr>
              <w:pStyle w:val="17"/>
              <w:rPr>
                <w:rFonts w:hint="eastAsia" w:ascii="仿宋_GB2312" w:hAnsi="仿宋" w:eastAsia="仿宋_GB2312"/>
                <w:color w:val="auto"/>
                <w:sz w:val="24"/>
                <w:highlight w:val="none"/>
              </w:rPr>
            </w:pPr>
            <w:r>
              <w:rPr>
                <w:rFonts w:hint="eastAsia" w:ascii="仿宋" w:hAnsi="仿宋" w:eastAsia="仿宋" w:cs="仿宋"/>
                <w:color w:val="auto"/>
                <w:sz w:val="24"/>
                <w:highlight w:val="none"/>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1843" w:type="dxa"/>
            <w:tcBorders>
              <w:top w:val="single" w:color="000000" w:sz="8" w:space="0"/>
              <w:left w:val="single" w:color="auto" w:sz="4" w:space="0"/>
              <w:bottom w:val="single" w:color="000000" w:sz="8" w:space="0"/>
              <w:right w:val="single" w:color="000000" w:sz="8" w:space="0"/>
            </w:tcBorders>
            <w:noWrap/>
            <w:vAlign w:val="center"/>
          </w:tcPr>
          <w:p>
            <w:pPr>
              <w:adjustRightInd w:val="0"/>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adjustRightInd w:val="0"/>
              <w:snapToGrid w:val="0"/>
              <w:spacing w:line="400" w:lineRule="exact"/>
              <w:jc w:val="left"/>
              <w:rPr>
                <w:rFonts w:ascii="仿宋_GB2312" w:hAnsi="仿宋" w:eastAsia="仿宋_GB2312" w:cs="仿宋_GB2312"/>
                <w:b/>
                <w:color w:val="auto"/>
                <w:kern w:val="0"/>
                <w:sz w:val="24"/>
                <w:highlight w:val="none"/>
                <w:lang w:val="zh-CN"/>
              </w:rPr>
            </w:pPr>
            <w:r>
              <w:rPr>
                <w:rFonts w:hint="eastAsia" w:ascii="仿宋" w:hAnsi="仿宋" w:eastAsia="仿宋" w:cs="仿宋"/>
                <w:kern w:val="0"/>
                <w:sz w:val="24"/>
                <w:highlight w:val="none"/>
                <w:lang w:val="zh-CN"/>
              </w:rPr>
              <w:t>有关本项目实施所需的所有费用（含税费）均计入报价。</w:t>
            </w:r>
            <w:r>
              <w:rPr>
                <w:rFonts w:hint="eastAsia" w:ascii="仿宋" w:hAnsi="仿宋" w:eastAsia="仿宋" w:cs="仿宋"/>
                <w:b/>
                <w:bCs/>
                <w:sz w:val="24"/>
                <w:highlight w:val="none"/>
              </w:rPr>
              <w:t>开标一览表（报价表）是报</w:t>
            </w:r>
            <w:r>
              <w:rPr>
                <w:rFonts w:hint="eastAsia" w:ascii="仿宋" w:hAnsi="仿宋" w:eastAsia="仿宋" w:cs="仿宋"/>
                <w:b/>
                <w:bCs/>
                <w:color w:val="auto"/>
                <w:sz w:val="24"/>
                <w:highlight w:val="none"/>
              </w:rPr>
              <w:t>价的唯一载体</w:t>
            </w:r>
            <w:r>
              <w:rPr>
                <w:rFonts w:hint="eastAsia" w:ascii="仿宋" w:hAnsi="仿宋" w:eastAsia="仿宋" w:cs="仿宋"/>
                <w:b/>
                <w:bCs/>
                <w:color w:val="auto"/>
                <w:sz w:val="24"/>
                <w:highlight w:val="none"/>
                <w:lang w:val="en-US" w:eastAsia="zh-CN"/>
              </w:rPr>
              <w:t>,如投标人在政府采购云平台填写的投标报价与投标文件报价文件中开标一览表（报价表）不一致的，以报价文件中开标一览表（报价表）为准</w:t>
            </w:r>
            <w:r>
              <w:rPr>
                <w:rFonts w:hint="eastAsia" w:ascii="仿宋" w:hAnsi="仿宋" w:eastAsia="仿宋" w:cs="仿宋"/>
                <w:color w:val="auto"/>
                <w:sz w:val="24"/>
                <w:highlight w:val="none"/>
                <w:lang w:val="en-US" w:eastAsia="zh-CN"/>
              </w:rPr>
              <w:t>。</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r>
              <w:rPr>
                <w:rFonts w:hint="eastAsia" w:ascii="仿宋_GB2312" w:hAnsi="仿宋" w:eastAsia="仿宋_GB2312" w:cs="仿宋_GB2312"/>
                <w:b/>
                <w:color w:val="auto"/>
                <w:kern w:val="0"/>
                <w:sz w:val="24"/>
                <w:highlight w:val="none"/>
                <w:lang w:val="zh-CN"/>
              </w:rPr>
              <w:t>。</w:t>
            </w:r>
          </w:p>
          <w:p>
            <w:pPr>
              <w:adjustRightInd w:val="0"/>
              <w:snapToGrid w:val="0"/>
              <w:spacing w:line="400" w:lineRule="exact"/>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投标报价出现下列情形的，投标无效：</w:t>
            </w:r>
          </w:p>
          <w:p>
            <w:pPr>
              <w:numPr>
                <w:ilvl w:val="0"/>
                <w:numId w:val="2"/>
              </w:numPr>
              <w:adjustRightInd w:val="0"/>
              <w:snapToGrid w:val="0"/>
              <w:spacing w:line="400" w:lineRule="exact"/>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投标文件出现不是唯一的、有选择性投标报价的；</w:t>
            </w:r>
          </w:p>
          <w:p>
            <w:pPr>
              <w:numPr>
                <w:ilvl w:val="0"/>
                <w:numId w:val="2"/>
              </w:numPr>
              <w:adjustRightInd w:val="0"/>
              <w:snapToGrid w:val="0"/>
              <w:spacing w:line="400" w:lineRule="exact"/>
              <w:jc w:val="left"/>
              <w:rPr>
                <w:rFonts w:ascii="仿宋_GB2312" w:hAnsi="仿宋" w:eastAsia="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投标报价超过招标文件中规定的预算金额或者最高限价的</w:t>
            </w:r>
            <w:r>
              <w:rPr>
                <w:rFonts w:ascii="仿宋_GB2312" w:hAnsi="仿宋" w:eastAsia="仿宋_GB2312"/>
                <w:b/>
                <w:color w:val="auto"/>
                <w:kern w:val="0"/>
                <w:sz w:val="24"/>
                <w:highlight w:val="none"/>
                <w:lang w:val="zh-CN"/>
              </w:rPr>
              <w:t>;</w:t>
            </w:r>
          </w:p>
          <w:p>
            <w:pPr>
              <w:numPr>
                <w:ilvl w:val="0"/>
                <w:numId w:val="2"/>
              </w:numPr>
              <w:adjustRightInd w:val="0"/>
              <w:snapToGrid w:val="0"/>
              <w:spacing w:line="400" w:lineRule="exact"/>
              <w:rPr>
                <w:rFonts w:ascii="仿宋_GB2312" w:hAnsi="仿宋" w:eastAsia="仿宋_GB2312" w:cs="仿宋_GB2312"/>
                <w:b/>
                <w:color w:val="auto"/>
                <w:sz w:val="24"/>
                <w:highlight w:val="none"/>
              </w:rPr>
            </w:pPr>
            <w:r>
              <w:rPr>
                <w:rFonts w:hint="eastAsia" w:ascii="仿宋_GB2312" w:hAnsi="仿宋" w:eastAsia="仿宋_GB2312" w:cs="Arial"/>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color w:val="auto"/>
                <w:sz w:val="24"/>
                <w:szCs w:val="21"/>
                <w:highlight w:val="none"/>
              </w:rPr>
              <w:t>;</w:t>
            </w:r>
          </w:p>
          <w:p>
            <w:pPr>
              <w:numPr>
                <w:ilvl w:val="0"/>
                <w:numId w:val="2"/>
              </w:numPr>
              <w:adjustRightInd w:val="0"/>
              <w:snapToGrid w:val="0"/>
              <w:spacing w:line="400" w:lineRule="exact"/>
              <w:ind w:left="425" w:leftChars="0" w:hanging="425" w:firstLineChars="0"/>
              <w:rPr>
                <w:rFonts w:ascii="仿宋" w:hAnsi="仿宋" w:eastAsia="仿宋" w:cs="仿宋"/>
                <w:color w:val="auto"/>
                <w:sz w:val="24"/>
                <w:szCs w:val="20"/>
                <w:highlight w:val="none"/>
              </w:rPr>
            </w:pPr>
            <w:r>
              <w:rPr>
                <w:rFonts w:hint="eastAsia" w:ascii="仿宋_GB2312" w:hAnsi="仿宋" w:eastAsia="仿宋_GB2312" w:cs="Arial"/>
                <w:b/>
                <w:color w:val="auto"/>
                <w:kern w:val="0"/>
                <w:sz w:val="24"/>
                <w:highlight w:val="none"/>
              </w:rPr>
              <w:t>投标人对根据修正原则修正后的报价不确认的</w:t>
            </w:r>
            <w:r>
              <w:rPr>
                <w:rFonts w:hint="eastAsia" w:ascii="仿宋_GB2312" w:hAnsi="仿宋" w:eastAsia="仿宋_GB2312"/>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vMerge w:val="restart"/>
            <w:tcBorders>
              <w:top w:val="single" w:color="auto" w:sz="4" w:space="0"/>
              <w:left w:val="single" w:color="auto" w:sz="4" w:space="0"/>
              <w:right w:val="single" w:color="auto" w:sz="4" w:space="0"/>
            </w:tcBorders>
            <w:noWrap/>
            <w:vAlign w:val="center"/>
          </w:tcPr>
          <w:p>
            <w:pPr>
              <w:adjustRightInd w:val="0"/>
              <w:snapToGrid w:val="0"/>
              <w:spacing w:line="40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1843" w:type="dxa"/>
            <w:vMerge w:val="restart"/>
            <w:tcBorders>
              <w:top w:val="single" w:color="000000" w:sz="8" w:space="0"/>
              <w:left w:val="single" w:color="auto" w:sz="4" w:space="0"/>
              <w:right w:val="single" w:color="000000" w:sz="8" w:space="0"/>
            </w:tcBorders>
            <w:noWrap/>
            <w:vAlign w:val="center"/>
          </w:tcPr>
          <w:p>
            <w:pPr>
              <w:adjustRightInd w:val="0"/>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adjustRightInd w:val="0"/>
              <w:snapToGrid w:val="0"/>
              <w:spacing w:line="400" w:lineRule="exact"/>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为支持和促进中小企业发展，进一步发挥政府采购政策功能，根据《杭州市政府采购支持中小企业信用融资管理办法》和《关于钱塘</w:t>
            </w:r>
            <w:r>
              <w:rPr>
                <w:rFonts w:hint="eastAsia" w:ascii="仿宋" w:hAnsi="仿宋" w:eastAsia="仿宋" w:cs="仿宋"/>
                <w:color w:val="auto"/>
                <w:sz w:val="24"/>
                <w:highlight w:val="none"/>
                <w:lang w:eastAsia="zh-CN"/>
              </w:rPr>
              <w:t>区</w:t>
            </w:r>
            <w:r>
              <w:rPr>
                <w:rFonts w:hint="eastAsia" w:ascii="仿宋" w:hAnsi="仿宋" w:eastAsia="仿宋" w:cs="仿宋"/>
                <w:color w:val="auto"/>
                <w:sz w:val="24"/>
                <w:highlight w:val="none"/>
              </w:rPr>
              <w:t>政府采购支持中小企业信用融资有关事项的通知》，供应商若有融资意向，详见本采购文件尾页《关于钱塘</w:t>
            </w:r>
            <w:r>
              <w:rPr>
                <w:rFonts w:hint="eastAsia" w:ascii="仿宋" w:hAnsi="仿宋" w:eastAsia="仿宋" w:cs="仿宋"/>
                <w:color w:val="auto"/>
                <w:sz w:val="24"/>
                <w:highlight w:val="none"/>
                <w:lang w:eastAsia="zh-CN"/>
              </w:rPr>
              <w:t>区</w:t>
            </w:r>
            <w:r>
              <w:rPr>
                <w:rFonts w:hint="eastAsia" w:ascii="仿宋" w:hAnsi="仿宋" w:eastAsia="仿宋" w:cs="仿宋"/>
                <w:color w:val="auto"/>
                <w:sz w:val="24"/>
                <w:highlight w:val="none"/>
              </w:rPr>
              <w:t>政府采购支持中小企业信用融资相关事项通知》，或登录杭州钱塘</w:t>
            </w:r>
            <w:r>
              <w:rPr>
                <w:rFonts w:hint="eastAsia" w:ascii="仿宋" w:hAnsi="仿宋" w:eastAsia="仿宋" w:cs="仿宋"/>
                <w:color w:val="auto"/>
                <w:sz w:val="24"/>
                <w:highlight w:val="none"/>
                <w:lang w:eastAsia="zh-CN"/>
              </w:rPr>
              <w:t>区</w:t>
            </w:r>
            <w:r>
              <w:rPr>
                <w:rFonts w:hint="eastAsia" w:ascii="仿宋" w:hAnsi="仿宋" w:eastAsia="仿宋" w:cs="仿宋"/>
                <w:color w:val="auto"/>
                <w:sz w:val="24"/>
                <w:highlight w:val="none"/>
              </w:rPr>
              <w:t>管理委员会官网查看信用融资相关政策及各相关银行服务方案、联系方式。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vMerge w:val="continue"/>
            <w:tcBorders>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noWrap/>
            <w:vAlign w:val="center"/>
          </w:tcPr>
          <w:p>
            <w:pPr>
              <w:adjustRightInd w:val="0"/>
              <w:snapToGrid w:val="0"/>
              <w:spacing w:line="400" w:lineRule="exact"/>
              <w:ind w:firstLine="482" w:firstLineChars="200"/>
              <w:rPr>
                <w:rFonts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noWrap/>
            <w:vAlign w:val="center"/>
          </w:tcPr>
          <w:p>
            <w:pPr>
              <w:adjustRightInd w:val="0"/>
              <w:snapToGrid w:val="0"/>
              <w:spacing w:line="400" w:lineRule="exact"/>
              <w:ind w:firstLine="480" w:firstLineChars="200"/>
              <w:rPr>
                <w:rFonts w:ascii="仿宋" w:hAnsi="仿宋" w:eastAsia="仿宋" w:cs="仿宋"/>
                <w:b/>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000000" w:sz="8" w:space="0"/>
              <w:bottom w:val="single" w:color="auto" w:sz="4" w:space="0"/>
              <w:right w:val="single" w:color="000000" w:sz="2" w:space="0"/>
            </w:tcBorders>
            <w:noWrap/>
            <w:vAlign w:val="center"/>
          </w:tcPr>
          <w:p>
            <w:pPr>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noWrap/>
            <w:vAlign w:val="center"/>
          </w:tcPr>
          <w:p>
            <w:pPr>
              <w:adjustRightInd w:val="0"/>
              <w:snapToGrid w:val="0"/>
              <w:spacing w:line="400" w:lineRule="exact"/>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adjustRightInd w:val="0"/>
              <w:snapToGrid w:val="0"/>
              <w:spacing w:line="400" w:lineRule="exact"/>
              <w:ind w:left="0" w:leftChars="0" w:firstLine="0" w:firstLineChars="0"/>
              <w:jc w:val="lef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备份投标文件送达地点：</w:t>
            </w:r>
            <w:r>
              <w:rPr>
                <w:rFonts w:hint="eastAsia" w:ascii="仿宋" w:hAnsi="仿宋" w:eastAsia="仿宋" w:cs="仿宋"/>
                <w:snapToGrid w:val="0"/>
                <w:color w:val="auto"/>
                <w:kern w:val="28"/>
                <w:sz w:val="24"/>
                <w:highlight w:val="none"/>
                <w:u w:val="single"/>
              </w:rPr>
              <w:t xml:space="preserve"> 杭州市文三路90号东部软件园一号楼319室 </w:t>
            </w:r>
            <w:r>
              <w:rPr>
                <w:rFonts w:hint="eastAsia" w:ascii="仿宋" w:hAnsi="仿宋" w:eastAsia="仿宋" w:cs="仿宋"/>
                <w:snapToGrid w:val="0"/>
                <w:color w:val="auto"/>
                <w:kern w:val="28"/>
                <w:sz w:val="24"/>
                <w:highlight w:val="none"/>
              </w:rPr>
              <w:t xml:space="preserve"> ；</w:t>
            </w:r>
          </w:p>
          <w:p>
            <w:pPr>
              <w:adjustRightInd w:val="0"/>
              <w:snapToGrid w:val="0"/>
              <w:spacing w:line="400" w:lineRule="exact"/>
              <w:ind w:left="0" w:leftChars="0" w:firstLine="0" w:firstLineChars="0"/>
              <w:jc w:val="lef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 xml:space="preserve">备份投标文件签收人员联系电话： </w:t>
            </w:r>
            <w:r>
              <w:rPr>
                <w:rFonts w:hint="eastAsia" w:ascii="仿宋" w:hAnsi="仿宋" w:eastAsia="仿宋" w:cs="仿宋"/>
                <w:snapToGrid w:val="0"/>
                <w:color w:val="auto"/>
                <w:kern w:val="28"/>
                <w:sz w:val="24"/>
                <w:highlight w:val="none"/>
                <w:u w:val="single"/>
              </w:rPr>
              <w:t xml:space="preserve">唐稳，13777483506 </w:t>
            </w:r>
            <w:r>
              <w:rPr>
                <w:rFonts w:hint="eastAsia" w:ascii="仿宋" w:hAnsi="仿宋" w:eastAsia="仿宋" w:cs="仿宋"/>
                <w:snapToGrid w:val="0"/>
                <w:color w:val="auto"/>
                <w:kern w:val="28"/>
                <w:sz w:val="24"/>
                <w:highlight w:val="none"/>
              </w:rPr>
              <w:t xml:space="preserve">  。</w:t>
            </w:r>
          </w:p>
          <w:p>
            <w:pPr>
              <w:adjustRightInd w:val="0"/>
              <w:snapToGrid w:val="0"/>
              <w:spacing w:line="400" w:lineRule="exact"/>
              <w:ind w:left="0" w:leftChars="0" w:firstLine="0" w:firstLineChars="0"/>
              <w:jc w:val="left"/>
              <w:rPr>
                <w:rFonts w:hint="eastAsia" w:ascii="仿宋" w:hAnsi="仿宋" w:eastAsia="仿宋" w:cs="仿宋"/>
                <w:b/>
                <w:bCs/>
                <w:snapToGrid w:val="0"/>
                <w:color w:val="auto"/>
                <w:kern w:val="28"/>
                <w:sz w:val="24"/>
                <w:highlight w:val="none"/>
              </w:rPr>
            </w:pPr>
            <w:r>
              <w:rPr>
                <w:rFonts w:hint="eastAsia" w:ascii="仿宋" w:hAnsi="仿宋" w:eastAsia="仿宋" w:cs="仿宋"/>
                <w:b/>
                <w:bCs/>
                <w:snapToGrid w:val="0"/>
                <w:color w:val="auto"/>
                <w:kern w:val="28"/>
                <w:sz w:val="24"/>
                <w:highlight w:val="none"/>
              </w:rPr>
              <w:t>采购人、采购机构不强制或变相强制投标人提交备份投标文件。</w:t>
            </w:r>
          </w:p>
          <w:p>
            <w:pPr>
              <w:adjustRightInd w:val="0"/>
              <w:snapToGrid w:val="0"/>
              <w:spacing w:line="400" w:lineRule="exact"/>
              <w:ind w:left="0" w:leftChars="0" w:firstLine="0" w:firstLineChars="0"/>
              <w:jc w:val="left"/>
              <w:rPr>
                <w:rFonts w:hint="default" w:eastAsia="仿宋"/>
                <w:highlight w:val="none"/>
                <w:lang w:val="en-US" w:eastAsia="zh-CN"/>
              </w:rPr>
            </w:pPr>
            <w:r>
              <w:rPr>
                <w:rFonts w:hint="eastAsia" w:ascii="仿宋" w:hAnsi="仿宋" w:eastAsia="仿宋" w:cs="仿宋"/>
                <w:snapToGrid w:val="0"/>
                <w:color w:val="auto"/>
                <w:kern w:val="28"/>
                <w:sz w:val="24"/>
                <w:highlight w:val="none"/>
                <w:lang w:val="en-US" w:eastAsia="zh-CN"/>
              </w:rPr>
              <w:t>本项目开标地点与代理机构办公地点并非同一处。投标人递交备份文件等资料时应注意时间。也可在开标当天投标截止时间之前递交给代理机构经办人员。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noWrap/>
            <w:vAlign w:val="center"/>
          </w:tcPr>
          <w:p>
            <w:pPr>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noWrap/>
            <w:vAlign w:val="center"/>
          </w:tcPr>
          <w:p>
            <w:pPr>
              <w:adjustRightInd w:val="0"/>
              <w:snapToGrid w:val="0"/>
              <w:jc w:val="center"/>
              <w:rPr>
                <w:rFonts w:ascii="仿宋" w:hAnsi="仿宋" w:eastAsia="仿宋" w:cs="仿宋"/>
                <w:b/>
                <w:color w:val="auto"/>
                <w:sz w:val="24"/>
                <w:highlight w:val="none"/>
              </w:rPr>
            </w:pPr>
            <w:r>
              <w:rPr>
                <w:rFonts w:hint="eastAsia" w:ascii="仿宋" w:hAnsi="仿宋" w:eastAsia="仿宋" w:cs="仿宋"/>
                <w:color w:val="auto"/>
                <w:sz w:val="24"/>
                <w:highlight w:val="none"/>
              </w:rPr>
              <w:t>采购代理服务费</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pStyle w:val="23"/>
              <w:adjustRightInd w:val="0"/>
              <w:snapToGrid w:val="0"/>
              <w:rPr>
                <w:color w:val="auto"/>
                <w:highlight w:val="none"/>
              </w:rPr>
            </w:pPr>
            <w:r>
              <w:rPr>
                <w:rFonts w:hint="eastAsia" w:ascii="仿宋" w:hAnsi="仿宋" w:eastAsia="仿宋" w:cs="仿宋"/>
                <w:snapToGrid w:val="0"/>
                <w:color w:val="auto"/>
                <w:kern w:val="0"/>
                <w:sz w:val="24"/>
                <w:szCs w:val="24"/>
                <w:highlight w:val="none"/>
              </w:rPr>
              <w:t>1.本项目的采购代理费由中标人支付；以</w:t>
            </w:r>
            <w:r>
              <w:rPr>
                <w:rFonts w:hint="eastAsia" w:ascii="仿宋" w:hAnsi="仿宋" w:eastAsia="仿宋" w:cs="仿宋"/>
                <w:snapToGrid w:val="0"/>
                <w:color w:val="auto"/>
                <w:kern w:val="0"/>
                <w:sz w:val="24"/>
                <w:szCs w:val="24"/>
                <w:highlight w:val="none"/>
                <w:lang w:val="en-US" w:eastAsia="zh-CN"/>
              </w:rPr>
              <w:t>预算金额</w:t>
            </w:r>
            <w:r>
              <w:rPr>
                <w:rFonts w:hint="eastAsia" w:ascii="仿宋" w:hAnsi="仿宋" w:eastAsia="仿宋" w:cs="仿宋"/>
                <w:snapToGrid w:val="0"/>
                <w:color w:val="auto"/>
                <w:kern w:val="0"/>
                <w:sz w:val="24"/>
                <w:szCs w:val="24"/>
                <w:highlight w:val="none"/>
              </w:rPr>
              <w:t>为计费基准，计费标准按《计价格［2002］1980号》及《发改办价格［2003］857号》文件中</w:t>
            </w:r>
            <w:r>
              <w:rPr>
                <w:rFonts w:hint="eastAsia" w:ascii="仿宋" w:hAnsi="仿宋" w:eastAsia="仿宋" w:cs="仿宋"/>
                <w:snapToGrid w:val="0"/>
                <w:color w:val="auto"/>
                <w:kern w:val="0"/>
                <w:sz w:val="24"/>
                <w:szCs w:val="24"/>
                <w:highlight w:val="none"/>
                <w:lang w:val="en-US" w:eastAsia="zh-CN"/>
              </w:rPr>
              <w:t>货物</w:t>
            </w:r>
            <w:r>
              <w:rPr>
                <w:rFonts w:hint="eastAsia" w:ascii="仿宋" w:hAnsi="仿宋" w:eastAsia="仿宋" w:cs="仿宋"/>
                <w:snapToGrid w:val="0"/>
                <w:color w:val="auto"/>
                <w:kern w:val="0"/>
                <w:sz w:val="24"/>
                <w:szCs w:val="24"/>
                <w:highlight w:val="none"/>
              </w:rPr>
              <w:t>类收费标准计算；</w:t>
            </w:r>
          </w:p>
          <w:p>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货物类收费标准如下：</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1870"/>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 w:hRule="atLeast"/>
              </w:trPr>
              <w:tc>
                <w:tcPr>
                  <w:tcW w:w="1947" w:type="dxa"/>
                  <w:noWrap w:val="0"/>
                  <w:vAlign w:val="top"/>
                </w:tcPr>
                <w:p>
                  <w:pPr>
                    <w:adjustRightIn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预算</w:t>
                  </w:r>
                  <w:r>
                    <w:rPr>
                      <w:rFonts w:hint="eastAsia" w:ascii="仿宋" w:hAnsi="仿宋" w:eastAsia="仿宋" w:cs="仿宋"/>
                      <w:color w:val="auto"/>
                      <w:szCs w:val="21"/>
                      <w:highlight w:val="none"/>
                    </w:rPr>
                    <w:t>金额</w:t>
                  </w:r>
                </w:p>
              </w:tc>
              <w:tc>
                <w:tcPr>
                  <w:tcW w:w="1870" w:type="dxa"/>
                  <w:noWrap w:val="0"/>
                  <w:vAlign w:val="top"/>
                </w:tcPr>
                <w:p>
                  <w:pPr>
                    <w:adjustRightIn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标准费率</w:t>
                  </w:r>
                </w:p>
              </w:tc>
              <w:tc>
                <w:tcPr>
                  <w:tcW w:w="1343" w:type="dxa"/>
                  <w:noWrap w:val="0"/>
                  <w:vAlign w:val="top"/>
                </w:tcPr>
                <w:p>
                  <w:pPr>
                    <w:adjustRightInd w:val="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47" w:type="dxa"/>
                  <w:noWrap w:val="0"/>
                  <w:vAlign w:val="top"/>
                </w:tcPr>
                <w:p>
                  <w:pPr>
                    <w:adjustRightIn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≤100万元</w:t>
                  </w:r>
                </w:p>
              </w:tc>
              <w:tc>
                <w:tcPr>
                  <w:tcW w:w="1870" w:type="dxa"/>
                  <w:noWrap w:val="0"/>
                  <w:vAlign w:val="top"/>
                </w:tcPr>
                <w:p>
                  <w:pPr>
                    <w:adjustRightIn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1343" w:type="dxa"/>
                  <w:noWrap w:val="0"/>
                  <w:vAlign w:val="center"/>
                </w:tcPr>
                <w:p>
                  <w:pPr>
                    <w:widowControl/>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47" w:type="dxa"/>
                  <w:noWrap w:val="0"/>
                  <w:vAlign w:val="top"/>
                </w:tcPr>
                <w:p>
                  <w:pPr>
                    <w:adjustRightIn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100-500</w:t>
                  </w:r>
                </w:p>
              </w:tc>
              <w:tc>
                <w:tcPr>
                  <w:tcW w:w="1870" w:type="dxa"/>
                  <w:noWrap w:val="0"/>
                  <w:vAlign w:val="top"/>
                </w:tcPr>
                <w:p>
                  <w:pPr>
                    <w:adjustRightIn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1.1</w:t>
                  </w:r>
                  <w:r>
                    <w:rPr>
                      <w:rFonts w:hint="eastAsia" w:ascii="仿宋" w:hAnsi="仿宋" w:eastAsia="仿宋" w:cs="仿宋"/>
                      <w:color w:val="auto"/>
                      <w:szCs w:val="21"/>
                      <w:highlight w:val="none"/>
                    </w:rPr>
                    <w:t>%</w:t>
                  </w:r>
                </w:p>
              </w:tc>
              <w:tc>
                <w:tcPr>
                  <w:tcW w:w="1343" w:type="dxa"/>
                  <w:noWrap w:val="0"/>
                  <w:vAlign w:val="center"/>
                </w:tcPr>
                <w:p>
                  <w:pPr>
                    <w:widowControl/>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947" w:type="dxa"/>
                  <w:noWrap w:val="0"/>
                  <w:vAlign w:val="top"/>
                </w:tcPr>
                <w:p>
                  <w:pPr>
                    <w:adjustRightInd w:val="0"/>
                    <w:jc w:val="center"/>
                    <w:rPr>
                      <w:rFonts w:hint="eastAsia" w:ascii="仿宋" w:hAnsi="仿宋" w:eastAsia="仿宋" w:cs="仿宋"/>
                      <w:color w:val="auto"/>
                      <w:szCs w:val="21"/>
                      <w:highlight w:val="none"/>
                    </w:rPr>
                  </w:pPr>
                  <w:r>
                    <w:rPr>
                      <w:rFonts w:hint="eastAsia" w:ascii="仿宋" w:hAnsi="仿宋" w:eastAsia="仿宋" w:cs="仿宋"/>
                      <w:color w:val="auto"/>
                      <w:highlight w:val="none"/>
                    </w:rPr>
                    <w:t>500</w:t>
                  </w:r>
                  <w:r>
                    <w:rPr>
                      <w:rFonts w:hint="eastAsia" w:ascii="仿宋" w:hAnsi="仿宋" w:eastAsia="仿宋" w:cs="仿宋"/>
                      <w:color w:val="auto"/>
                      <w:szCs w:val="21"/>
                      <w:highlight w:val="none"/>
                    </w:rPr>
                    <w:t>-</w:t>
                  </w:r>
                  <w:r>
                    <w:rPr>
                      <w:rFonts w:hint="eastAsia" w:ascii="仿宋" w:hAnsi="仿宋" w:eastAsia="仿宋" w:cs="仿宋"/>
                      <w:color w:val="auto"/>
                      <w:highlight w:val="none"/>
                    </w:rPr>
                    <w:t>1000</w:t>
                  </w:r>
                </w:p>
              </w:tc>
              <w:tc>
                <w:tcPr>
                  <w:tcW w:w="1870" w:type="dxa"/>
                  <w:noWrap w:val="0"/>
                  <w:vAlign w:val="top"/>
                </w:tcPr>
                <w:p>
                  <w:pPr>
                    <w:adjustRightIn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0.45%</w:t>
                  </w:r>
                </w:p>
              </w:tc>
              <w:tc>
                <w:tcPr>
                  <w:tcW w:w="1343" w:type="dxa"/>
                  <w:noWrap w:val="0"/>
                  <w:vAlign w:val="center"/>
                </w:tcPr>
                <w:p>
                  <w:pPr>
                    <w:widowControl/>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w:t>
                  </w:r>
                </w:p>
              </w:tc>
            </w:tr>
          </w:tbl>
          <w:p>
            <w:pPr>
              <w:pStyle w:val="23"/>
              <w:adjustRightInd w:val="0"/>
              <w:snapToGrid w:val="0"/>
              <w:rPr>
                <w:rFonts w:ascii="仿宋" w:hAnsi="仿宋" w:eastAsia="仿宋" w:cs="仿宋"/>
                <w:snapToGrid w:val="0"/>
                <w:color w:val="auto"/>
                <w:kern w:val="0"/>
                <w:sz w:val="24"/>
                <w:szCs w:val="24"/>
                <w:highlight w:val="none"/>
              </w:rPr>
            </w:pPr>
          </w:p>
          <w:p>
            <w:pPr>
              <w:pStyle w:val="23"/>
              <w:adjustRightInd w:val="0"/>
              <w:snapToGrid w:val="0"/>
              <w:rPr>
                <w:rFonts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2.结算方式及时间为：在</w:t>
            </w:r>
            <w:r>
              <w:rPr>
                <w:rFonts w:hint="eastAsia" w:ascii="仿宋" w:hAnsi="仿宋" w:eastAsia="仿宋" w:cs="仿宋"/>
                <w:snapToGrid w:val="0"/>
                <w:color w:val="auto"/>
                <w:kern w:val="0"/>
                <w:sz w:val="24"/>
                <w:szCs w:val="24"/>
                <w:highlight w:val="none"/>
                <w:lang w:val="en-US" w:eastAsia="zh-CN"/>
              </w:rPr>
              <w:t>结果公告发布5个工作日内</w:t>
            </w:r>
            <w:r>
              <w:rPr>
                <w:rFonts w:hint="eastAsia" w:ascii="仿宋" w:hAnsi="仿宋" w:eastAsia="仿宋" w:cs="仿宋"/>
                <w:snapToGrid w:val="0"/>
                <w:color w:val="auto"/>
                <w:kern w:val="0"/>
                <w:sz w:val="24"/>
                <w:szCs w:val="24"/>
                <w:highlight w:val="none"/>
              </w:rPr>
              <w:t>由</w:t>
            </w:r>
            <w:r>
              <w:rPr>
                <w:rFonts w:hint="eastAsia" w:ascii="仿宋" w:hAnsi="仿宋" w:eastAsia="仿宋" w:cs="仿宋"/>
                <w:snapToGrid w:val="0"/>
                <w:color w:val="auto"/>
                <w:kern w:val="0"/>
                <w:sz w:val="24"/>
                <w:szCs w:val="24"/>
                <w:highlight w:val="none"/>
                <w:lang w:val="en-US" w:eastAsia="zh-CN"/>
              </w:rPr>
              <w:t>中标</w:t>
            </w:r>
            <w:r>
              <w:rPr>
                <w:rFonts w:hint="eastAsia" w:ascii="仿宋" w:hAnsi="仿宋" w:eastAsia="仿宋" w:cs="仿宋"/>
                <w:snapToGrid w:val="0"/>
                <w:color w:val="auto"/>
                <w:kern w:val="0"/>
                <w:sz w:val="24"/>
                <w:szCs w:val="24"/>
                <w:highlight w:val="none"/>
              </w:rPr>
              <w:t>人一次性向采购代理机构付清。</w:t>
            </w:r>
          </w:p>
          <w:p>
            <w:pPr>
              <w:pStyle w:val="23"/>
              <w:adjustRightInd w:val="0"/>
              <w:snapToGrid w:val="0"/>
              <w:rPr>
                <w:rFonts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3.代理机构账号信息：</w:t>
            </w:r>
          </w:p>
          <w:p>
            <w:pPr>
              <w:pStyle w:val="23"/>
              <w:adjustRightInd w:val="0"/>
              <w:snapToGrid w:val="0"/>
              <w:rPr>
                <w:rFonts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（1）收款人（全称）：浙江国际招投标有限公司</w:t>
            </w:r>
          </w:p>
          <w:p>
            <w:pPr>
              <w:pStyle w:val="23"/>
              <w:adjustRightInd w:val="0"/>
              <w:snapToGrid w:val="0"/>
              <w:rPr>
                <w:rFonts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（2）开户银行：中国工商银行杭州武林支行</w:t>
            </w:r>
          </w:p>
          <w:p>
            <w:pPr>
              <w:pStyle w:val="23"/>
              <w:adjustRightInd w:val="0"/>
              <w:snapToGrid w:val="0"/>
              <w:rPr>
                <w:rFonts w:ascii="仿宋" w:hAnsi="仿宋" w:eastAsia="仿宋" w:cs="仿宋"/>
                <w:color w:val="auto"/>
                <w:highlight w:val="none"/>
              </w:rPr>
            </w:pPr>
            <w:r>
              <w:rPr>
                <w:rFonts w:hint="eastAsia" w:ascii="仿宋" w:hAnsi="仿宋" w:eastAsia="仿宋" w:cs="仿宋"/>
                <w:snapToGrid w:val="0"/>
                <w:color w:val="auto"/>
                <w:kern w:val="0"/>
                <w:sz w:val="24"/>
                <w:szCs w:val="24"/>
                <w:highlight w:val="none"/>
              </w:rPr>
              <w:t>（3）帐    号：1202 0212 0990 6782 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4" w:hRule="atLeast"/>
        </w:trPr>
        <w:tc>
          <w:tcPr>
            <w:tcW w:w="629" w:type="dxa"/>
            <w:vMerge w:val="restart"/>
            <w:tcBorders>
              <w:top w:val="single" w:color="auto" w:sz="4" w:space="0"/>
              <w:left w:val="single" w:color="000000" w:sz="8" w:space="0"/>
              <w:bottom w:val="single" w:color="auto" w:sz="4" w:space="0"/>
              <w:right w:val="single" w:color="000000" w:sz="2"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14</w:t>
            </w:r>
          </w:p>
          <w:p>
            <w:pPr>
              <w:adjustRightInd w:val="0"/>
              <w:snapToGrid w:val="0"/>
              <w:spacing w:line="400" w:lineRule="exact"/>
              <w:jc w:val="center"/>
              <w:rPr>
                <w:rFonts w:hint="eastAsia" w:ascii="仿宋" w:hAnsi="仿宋" w:eastAsia="仿宋" w:cs="仿宋"/>
                <w:color w:val="auto"/>
                <w:sz w:val="24"/>
                <w:highlight w:val="none"/>
              </w:rPr>
            </w:pPr>
          </w:p>
        </w:tc>
        <w:tc>
          <w:tcPr>
            <w:tcW w:w="1843" w:type="dxa"/>
            <w:vMerge w:val="restart"/>
            <w:tcBorders>
              <w:top w:val="single" w:color="000000" w:sz="8" w:space="0"/>
              <w:left w:val="single" w:color="000000" w:sz="2" w:space="0"/>
              <w:bottom w:val="single" w:color="000000" w:sz="8" w:space="0"/>
              <w:right w:val="single" w:color="000000" w:sz="8" w:space="0"/>
            </w:tcBorders>
            <w:noWrap/>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联合体投标说明</w:t>
            </w:r>
          </w:p>
          <w:p>
            <w:pPr>
              <w:adjustRightInd w:val="0"/>
              <w:snapToGrid w:val="0"/>
              <w:jc w:val="center"/>
              <w:rPr>
                <w:rFonts w:hint="eastAsia" w:ascii="仿宋" w:hAnsi="仿宋" w:eastAsia="仿宋" w:cs="仿宋"/>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noWrap/>
            <w:vAlign w:val="center"/>
          </w:tcPr>
          <w:p>
            <w:pPr>
              <w:pStyle w:val="23"/>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业绩证明材料</w:t>
            </w:r>
          </w:p>
          <w:p>
            <w:pPr>
              <w:pStyle w:val="23"/>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☐联合体投标的，按联合体协议约定的分工内容出具相应的业绩证明材料。承担相同工作的各方或工作内容存在部 分相同的，业绩数量以提供材料较少的一方为准。</w:t>
            </w:r>
          </w:p>
          <w:p>
            <w:pPr>
              <w:pStyle w:val="23"/>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sym w:font="Wingdings" w:char="00FE"/>
            </w:r>
            <w:r>
              <w:rPr>
                <w:rFonts w:hint="eastAsia" w:ascii="仿宋" w:hAnsi="仿宋" w:eastAsia="仿宋" w:cs="仿宋"/>
                <w:color w:val="auto"/>
                <w:kern w:val="28"/>
                <w:sz w:val="24"/>
                <w:szCs w:val="24"/>
                <w:highlight w:val="none"/>
                <w:lang w:val="en-US" w:eastAsia="zh-CN"/>
              </w:rPr>
              <w:t>联合体投标的，由联合体牵头方出具相应的业绩证明材料。</w:t>
            </w:r>
          </w:p>
          <w:p>
            <w:pPr>
              <w:pStyle w:val="23"/>
              <w:adjustRightInd w:val="0"/>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28"/>
                <w:sz w:val="24"/>
                <w:szCs w:val="24"/>
                <w:highlight w:val="none"/>
                <w:lang w:val="en-US" w:eastAsia="zh-CN"/>
              </w:rPr>
              <w:t>☐其他规定：</w:t>
            </w:r>
            <w:r>
              <w:rPr>
                <w:rFonts w:hint="eastAsia" w:ascii="仿宋" w:hAnsi="仿宋" w:eastAsia="仿宋" w:cs="仿宋"/>
                <w:color w:val="auto"/>
                <w:kern w:val="28"/>
                <w:sz w:val="24"/>
                <w:szCs w:val="24"/>
                <w:highlight w:val="none"/>
                <w:u w:val="single"/>
                <w:lang w:val="en-US" w:eastAsia="zh-CN"/>
              </w:rPr>
              <w:t xml:space="preserve">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4" w:hRule="atLeast"/>
        </w:trPr>
        <w:tc>
          <w:tcPr>
            <w:tcW w:w="629" w:type="dxa"/>
            <w:vMerge w:val="continue"/>
            <w:tcBorders>
              <w:top w:val="single" w:color="auto" w:sz="4" w:space="0"/>
              <w:left w:val="single" w:color="000000" w:sz="8" w:space="0"/>
              <w:bottom w:val="single" w:color="auto" w:sz="4" w:space="0"/>
              <w:right w:val="single" w:color="000000" w:sz="2" w:space="0"/>
            </w:tcBorders>
            <w:noWrap/>
            <w:vAlign w:val="center"/>
          </w:tcPr>
          <w:p>
            <w:pPr>
              <w:adjustRightInd w:val="0"/>
              <w:snapToGrid w:val="0"/>
              <w:spacing w:line="400" w:lineRule="exact"/>
              <w:jc w:val="center"/>
              <w:rPr>
                <w:rFonts w:hint="eastAsia" w:ascii="仿宋" w:hAnsi="仿宋" w:eastAsia="仿宋" w:cs="仿宋"/>
                <w:color w:val="auto"/>
                <w:sz w:val="24"/>
                <w:highlight w:val="none"/>
              </w:rPr>
            </w:pPr>
          </w:p>
        </w:tc>
        <w:tc>
          <w:tcPr>
            <w:tcW w:w="1843" w:type="dxa"/>
            <w:vMerge w:val="continue"/>
            <w:tcBorders>
              <w:top w:val="single" w:color="000000" w:sz="8" w:space="0"/>
              <w:left w:val="single" w:color="000000" w:sz="2" w:space="0"/>
              <w:bottom w:val="single" w:color="000000" w:sz="8" w:space="0"/>
              <w:right w:val="single" w:color="000000" w:sz="8" w:space="0"/>
            </w:tcBorders>
            <w:noWrap/>
            <w:vAlign w:val="center"/>
          </w:tcPr>
          <w:p>
            <w:pPr>
              <w:adjustRightInd w:val="0"/>
              <w:snapToGrid w:val="0"/>
              <w:jc w:val="center"/>
              <w:rPr>
                <w:rFonts w:hint="eastAsia" w:ascii="仿宋" w:hAnsi="仿宋" w:eastAsia="仿宋" w:cs="仿宋"/>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noWrap/>
            <w:vAlign w:val="center"/>
          </w:tcPr>
          <w:p>
            <w:pPr>
              <w:pStyle w:val="23"/>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其他资信证明材料</w:t>
            </w:r>
          </w:p>
          <w:p>
            <w:pPr>
              <w:pStyle w:val="23"/>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☐联合体投标的，联合体各方均需按招标文件第四部分评标标准要求提供资信证明文件，否则视为不符合相关要求。</w:t>
            </w:r>
          </w:p>
          <w:p>
            <w:pPr>
              <w:pStyle w:val="23"/>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sym w:font="Wingdings" w:char="00FE"/>
            </w:r>
            <w:r>
              <w:rPr>
                <w:rFonts w:hint="eastAsia" w:ascii="仿宋" w:hAnsi="仿宋" w:eastAsia="仿宋" w:cs="仿宋"/>
                <w:color w:val="auto"/>
                <w:kern w:val="28"/>
                <w:sz w:val="24"/>
                <w:szCs w:val="24"/>
                <w:highlight w:val="none"/>
                <w:lang w:val="en-US" w:eastAsia="zh-CN"/>
              </w:rPr>
              <w:t>联合体投标的，联合体牵头方或者联合体成员根据分工按招标文件第四部分评标标准要求提供资信证明文件的，视为符合了相关要求。</w:t>
            </w:r>
          </w:p>
          <w:p>
            <w:pPr>
              <w:pStyle w:val="23"/>
              <w:adjustRightInd w:val="0"/>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28"/>
                <w:sz w:val="24"/>
                <w:szCs w:val="24"/>
                <w:highlight w:val="none"/>
                <w:lang w:val="en-US" w:eastAsia="zh-CN"/>
              </w:rPr>
              <w:t>☐其他规定：</w:t>
            </w:r>
            <w:r>
              <w:rPr>
                <w:rFonts w:hint="eastAsia" w:ascii="仿宋" w:hAnsi="仿宋" w:eastAsia="仿宋" w:cs="仿宋"/>
                <w:color w:val="auto"/>
                <w:kern w:val="28"/>
                <w:sz w:val="24"/>
                <w:szCs w:val="24"/>
                <w:highlight w:val="none"/>
                <w:u w:val="single"/>
                <w:lang w:val="en-US" w:eastAsia="zh-CN"/>
              </w:rPr>
              <w:t xml:space="preserve">         /        </w:t>
            </w:r>
          </w:p>
        </w:tc>
      </w:tr>
    </w:tbl>
    <w:p>
      <w:pPr>
        <w:widowControl/>
        <w:adjustRightInd w:val="0"/>
        <w:snapToGrid w:val="0"/>
        <w:spacing w:line="360" w:lineRule="auto"/>
        <w:ind w:firstLine="420" w:firstLineChars="200"/>
        <w:jc w:val="left"/>
        <w:rPr>
          <w:rFonts w:hint="eastAsia" w:ascii="仿宋" w:hAnsi="仿宋" w:eastAsia="仿宋" w:cs="仿宋"/>
          <w:color w:val="auto"/>
          <w:kern w:val="0"/>
          <w:szCs w:val="21"/>
          <w:highlight w:val="none"/>
        </w:rPr>
      </w:pPr>
    </w:p>
    <w:p>
      <w:pPr>
        <w:rPr>
          <w:rFonts w:ascii="仿宋" w:hAnsi="仿宋" w:eastAsia="仿宋" w:cs="仿宋"/>
          <w:color w:val="auto"/>
          <w:szCs w:val="21"/>
          <w:highlight w:val="none"/>
        </w:rPr>
      </w:pPr>
    </w:p>
    <w:p>
      <w:pPr>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注：以上内容如有变化将另行书面通知。如通知其中某一内容发生变化，其余未提及的将不作变动。</w:t>
      </w:r>
      <w:bookmarkStart w:id="3" w:name="_Toc251566649"/>
      <w:bookmarkStart w:id="4" w:name="_Toc240450076"/>
    </w:p>
    <w:p>
      <w:pPr>
        <w:adjustRightInd w:val="0"/>
        <w:snapToGrid w:val="0"/>
        <w:spacing w:before="120" w:beforeLines="50" w:after="120" w:afterLines="50" w:line="360" w:lineRule="auto"/>
        <w:jc w:val="center"/>
        <w:outlineLvl w:val="0"/>
        <w:rPr>
          <w:rFonts w:ascii="仿宋" w:hAnsi="仿宋" w:eastAsia="仿宋" w:cs="仿宋"/>
          <w:color w:val="auto"/>
          <w:szCs w:val="21"/>
          <w:highlight w:val="none"/>
        </w:rPr>
      </w:pPr>
      <w:r>
        <w:rPr>
          <w:rFonts w:hint="eastAsia" w:ascii="仿宋" w:hAnsi="仿宋" w:eastAsia="仿宋" w:cs="仿宋"/>
          <w:color w:val="auto"/>
          <w:szCs w:val="21"/>
          <w:highlight w:val="none"/>
        </w:rPr>
        <w:br w:type="page"/>
      </w:r>
      <w:bookmarkStart w:id="5" w:name="_Toc12736"/>
      <w:bookmarkStart w:id="6" w:name="_Toc2187"/>
      <w:r>
        <w:rPr>
          <w:rFonts w:hint="eastAsia" w:ascii="仿宋" w:hAnsi="仿宋" w:eastAsia="仿宋" w:cs="仿宋"/>
          <w:b/>
          <w:color w:val="auto"/>
          <w:sz w:val="30"/>
          <w:szCs w:val="30"/>
          <w:highlight w:val="none"/>
        </w:rPr>
        <w:t>第二部分  投标须知</w:t>
      </w:r>
      <w:bookmarkEnd w:id="3"/>
      <w:bookmarkEnd w:id="4"/>
      <w:bookmarkEnd w:id="5"/>
      <w:bookmarkEnd w:id="6"/>
    </w:p>
    <w:p>
      <w:pPr>
        <w:adjustRightInd/>
        <w:spacing w:line="360" w:lineRule="auto"/>
        <w:jc w:val="center"/>
        <w:outlineLvl w:val="1"/>
        <w:rPr>
          <w:rFonts w:hint="eastAsia" w:ascii="仿宋_GB2312" w:hAnsi="仿宋" w:eastAsia="仿宋_GB2312" w:cs="仿宋_GB2312"/>
          <w:b/>
          <w:color w:val="auto"/>
          <w:sz w:val="32"/>
          <w:szCs w:val="20"/>
          <w:highlight w:val="none"/>
        </w:rPr>
      </w:pPr>
      <w:bookmarkStart w:id="7" w:name="_Toc29733"/>
      <w:bookmarkStart w:id="8" w:name="_Toc5875"/>
      <w:bookmarkStart w:id="9" w:name="_Toc31534"/>
      <w:r>
        <w:rPr>
          <w:rFonts w:hint="eastAsia" w:ascii="仿宋_GB2312" w:hAnsi="仿宋" w:eastAsia="仿宋_GB2312" w:cs="仿宋_GB2312"/>
          <w:b/>
          <w:color w:val="auto"/>
          <w:sz w:val="32"/>
          <w:szCs w:val="20"/>
          <w:highlight w:val="none"/>
          <w:lang w:val="en-US" w:eastAsia="zh-CN"/>
        </w:rPr>
        <w:t>一、总则</w:t>
      </w:r>
      <w:bookmarkEnd w:id="7"/>
      <w:bookmarkEnd w:id="8"/>
      <w:bookmarkEnd w:id="9"/>
    </w:p>
    <w:p>
      <w:pPr>
        <w:numPr>
          <w:ilvl w:val="0"/>
          <w:numId w:val="3"/>
        </w:numPr>
        <w:tabs>
          <w:tab w:val="left" w:pos="210"/>
        </w:tabs>
        <w:snapToGrid w:val="0"/>
        <w:spacing w:line="360" w:lineRule="auto"/>
        <w:ind w:left="323" w:leftChars="0" w:hanging="323" w:firstLineChars="0"/>
        <w:jc w:val="left"/>
        <w:outlineLvl w:val="2"/>
        <w:rPr>
          <w:rFonts w:ascii="仿宋_GB2312" w:hAnsi="仿宋" w:eastAsia="仿宋_GB2312"/>
          <w:b/>
          <w:sz w:val="24"/>
          <w:highlight w:val="none"/>
        </w:rPr>
      </w:pPr>
      <w:r>
        <w:rPr>
          <w:rFonts w:hint="eastAsia" w:ascii="仿宋_GB2312" w:hAnsi="仿宋" w:eastAsia="仿宋_GB2312"/>
          <w:b/>
          <w:sz w:val="24"/>
          <w:highlight w:val="none"/>
        </w:rPr>
        <w:t>适用范围</w:t>
      </w:r>
    </w:p>
    <w:p>
      <w:pPr>
        <w:snapToGrid w:val="0"/>
        <w:spacing w:line="360" w:lineRule="auto"/>
        <w:ind w:firstLine="480" w:firstLineChars="200"/>
        <w:jc w:val="left"/>
        <w:rPr>
          <w:rFonts w:ascii="仿宋_GB2312" w:hAnsi="仿宋" w:eastAsia="仿宋_GB2312"/>
          <w:sz w:val="24"/>
          <w:highlight w:val="none"/>
        </w:rPr>
      </w:pPr>
      <w:r>
        <w:rPr>
          <w:rFonts w:hint="eastAsia" w:ascii="仿宋_GB2312" w:hAnsi="仿宋" w:eastAsia="仿宋_GB2312"/>
          <w:sz w:val="24"/>
          <w:highlight w:val="none"/>
        </w:rPr>
        <w:t>本招标文件适用于该项目的招标、投标、开标、资格审查及信用信息查询、评标、定标、合同、验收等行为（法律、法规另有规定的，从其规定）。</w:t>
      </w:r>
    </w:p>
    <w:p>
      <w:pPr>
        <w:bidi w:val="0"/>
        <w:rPr>
          <w:highlight w:val="none"/>
        </w:rPr>
      </w:pPr>
    </w:p>
    <w:p>
      <w:pPr>
        <w:numPr>
          <w:ilvl w:val="0"/>
          <w:numId w:val="3"/>
        </w:numPr>
        <w:tabs>
          <w:tab w:val="left" w:pos="210"/>
        </w:tabs>
        <w:snapToGrid w:val="0"/>
        <w:spacing w:line="360" w:lineRule="auto"/>
        <w:ind w:left="323" w:leftChars="0" w:hanging="323" w:firstLineChars="0"/>
        <w:jc w:val="left"/>
        <w:outlineLvl w:val="2"/>
        <w:rPr>
          <w:rFonts w:ascii="仿宋_GB2312" w:hAnsi="仿宋" w:eastAsia="仿宋_GB2312"/>
          <w:b/>
          <w:sz w:val="24"/>
          <w:highlight w:val="none"/>
        </w:rPr>
      </w:pPr>
      <w:r>
        <w:rPr>
          <w:rFonts w:ascii="仿宋_GB2312" w:hAnsi="仿宋" w:eastAsia="仿宋_GB2312"/>
          <w:b/>
          <w:sz w:val="24"/>
          <w:highlight w:val="none"/>
        </w:rPr>
        <w:t>定义</w:t>
      </w:r>
    </w:p>
    <w:p>
      <w:pPr>
        <w:numPr>
          <w:ilvl w:val="1"/>
          <w:numId w:val="3"/>
        </w:numPr>
        <w:spacing w:line="360" w:lineRule="auto"/>
        <w:ind w:left="567" w:leftChars="0" w:hanging="567" w:firstLineChars="0"/>
        <w:rPr>
          <w:rFonts w:ascii="仿宋_GB2312" w:hAnsi="仿宋" w:eastAsia="仿宋_GB2312"/>
          <w:sz w:val="24"/>
          <w:highlight w:val="none"/>
        </w:rPr>
      </w:pPr>
      <w:r>
        <w:rPr>
          <w:rFonts w:hint="eastAsia" w:ascii="仿宋_GB2312" w:hAnsi="仿宋" w:eastAsia="仿宋_GB2312"/>
          <w:sz w:val="24"/>
          <w:highlight w:val="none"/>
        </w:rPr>
        <w:t>“采购人”系指招标公告中载明的本项目的采购人。</w:t>
      </w:r>
    </w:p>
    <w:p>
      <w:pPr>
        <w:numPr>
          <w:ilvl w:val="1"/>
          <w:numId w:val="3"/>
        </w:numPr>
        <w:spacing w:line="360" w:lineRule="auto"/>
        <w:ind w:left="567" w:leftChars="0" w:hanging="567" w:firstLineChars="0"/>
        <w:rPr>
          <w:rFonts w:ascii="仿宋_GB2312" w:hAnsi="仿宋" w:eastAsia="仿宋_GB2312"/>
          <w:sz w:val="24"/>
          <w:highlight w:val="none"/>
        </w:rPr>
      </w:pPr>
      <w:r>
        <w:rPr>
          <w:rFonts w:hint="eastAsia" w:ascii="仿宋_GB2312" w:hAnsi="仿宋" w:eastAsia="仿宋_GB2312"/>
          <w:sz w:val="24"/>
          <w:highlight w:val="none"/>
        </w:rPr>
        <w:t>“</w:t>
      </w:r>
      <w:r>
        <w:rPr>
          <w:rFonts w:hint="eastAsia" w:ascii="仿宋_GB2312" w:hAnsi="仿宋" w:eastAsia="仿宋_GB2312"/>
          <w:sz w:val="24"/>
          <w:highlight w:val="none"/>
          <w:lang w:eastAsia="zh-CN"/>
        </w:rPr>
        <w:t>采购代理机构</w:t>
      </w:r>
      <w:r>
        <w:rPr>
          <w:rFonts w:hint="eastAsia" w:ascii="仿宋_GB2312" w:hAnsi="仿宋" w:eastAsia="仿宋_GB2312"/>
          <w:sz w:val="24"/>
          <w:highlight w:val="none"/>
        </w:rPr>
        <w:t>”系指招标公告中载明的本项目的</w:t>
      </w:r>
      <w:r>
        <w:rPr>
          <w:rFonts w:hint="eastAsia" w:ascii="仿宋_GB2312" w:hAnsi="仿宋" w:eastAsia="仿宋_GB2312"/>
          <w:sz w:val="24"/>
          <w:highlight w:val="none"/>
          <w:lang w:eastAsia="zh-CN"/>
        </w:rPr>
        <w:t>采购代理机构</w:t>
      </w:r>
      <w:r>
        <w:rPr>
          <w:rFonts w:hint="eastAsia" w:ascii="仿宋_GB2312" w:hAnsi="仿宋" w:eastAsia="仿宋_GB2312"/>
          <w:sz w:val="24"/>
          <w:highlight w:val="none"/>
        </w:rPr>
        <w:t>。</w:t>
      </w:r>
    </w:p>
    <w:p>
      <w:pPr>
        <w:numPr>
          <w:ilvl w:val="1"/>
          <w:numId w:val="3"/>
        </w:numPr>
        <w:spacing w:line="360" w:lineRule="auto"/>
        <w:ind w:left="567" w:leftChars="0" w:hanging="567" w:firstLineChars="0"/>
        <w:rPr>
          <w:rFonts w:ascii="仿宋_GB2312" w:hAnsi="仿宋" w:eastAsia="仿宋_GB2312"/>
          <w:sz w:val="24"/>
          <w:highlight w:val="none"/>
        </w:rPr>
      </w:pPr>
      <w:r>
        <w:rPr>
          <w:rFonts w:hint="eastAsia" w:ascii="仿宋_GB2312" w:hAnsi="仿宋" w:eastAsia="仿宋_GB2312"/>
          <w:sz w:val="24"/>
          <w:highlight w:val="none"/>
        </w:rPr>
        <w:t>“投标人”系指是指响应招标、参加投标竞争的法人、其他组织或者自然人。</w:t>
      </w:r>
    </w:p>
    <w:p>
      <w:pPr>
        <w:numPr>
          <w:ilvl w:val="1"/>
          <w:numId w:val="3"/>
        </w:numPr>
        <w:spacing w:line="360" w:lineRule="auto"/>
        <w:ind w:left="567" w:leftChars="0" w:hanging="567" w:firstLineChars="0"/>
        <w:rPr>
          <w:rFonts w:ascii="仿宋_GB2312" w:hAnsi="仿宋" w:eastAsia="仿宋_GB2312"/>
          <w:sz w:val="24"/>
          <w:highlight w:val="none"/>
        </w:rPr>
      </w:pPr>
      <w:r>
        <w:rPr>
          <w:rFonts w:hint="eastAsia" w:ascii="仿宋_GB2312" w:hAnsi="仿宋" w:eastAsia="仿宋_GB2312"/>
          <w:sz w:val="24"/>
          <w:highlight w:val="none"/>
        </w:rPr>
        <w:t>“负责人”系指法人企业的法定负责人，或其他组织为法律、行政法规规定代表单位行使职权的主要负责人，或自然人本人。</w:t>
      </w:r>
    </w:p>
    <w:p>
      <w:pPr>
        <w:numPr>
          <w:ilvl w:val="1"/>
          <w:numId w:val="3"/>
        </w:numPr>
        <w:spacing w:line="360" w:lineRule="auto"/>
        <w:ind w:left="567" w:leftChars="0" w:hanging="567" w:firstLineChars="0"/>
        <w:rPr>
          <w:rFonts w:ascii="仿宋_GB2312" w:hAnsi="仿宋" w:eastAsia="仿宋_GB2312"/>
          <w:sz w:val="24"/>
          <w:highlight w:val="none"/>
        </w:rPr>
      </w:pPr>
      <w:r>
        <w:rPr>
          <w:rFonts w:ascii="仿宋_GB2312" w:hAnsi="仿宋" w:eastAsia="仿宋_GB2312"/>
          <w:sz w:val="24"/>
          <w:highlight w:val="none"/>
        </w:rPr>
        <w:t>“电子签名”系指数据电文中以电子形式所含、所附用于识别签名人身份并表明签名人认可其中内容的数据；</w:t>
      </w:r>
      <w:r>
        <w:rPr>
          <w:rFonts w:hint="eastAsia" w:ascii="仿宋" w:hAnsi="仿宋" w:eastAsia="仿宋"/>
          <w:sz w:val="24"/>
          <w:highlight w:val="none"/>
        </w:rPr>
        <w:t>“公章”系指单位法定名称章。因特殊原因需要使用冠以法定名称的业务专用章的，投标时须提供《业务专用章使用说明函》（附件</w:t>
      </w:r>
      <w:r>
        <w:rPr>
          <w:rFonts w:ascii="仿宋" w:hAnsi="仿宋" w:eastAsia="仿宋"/>
          <w:sz w:val="24"/>
          <w:highlight w:val="none"/>
        </w:rPr>
        <w:t>4）</w:t>
      </w:r>
      <w:r>
        <w:rPr>
          <w:rFonts w:hint="eastAsia" w:ascii="仿宋_GB2312" w:hAnsi="仿宋" w:eastAsia="仿宋_GB2312"/>
          <w:sz w:val="24"/>
          <w:highlight w:val="none"/>
        </w:rPr>
        <w:t>。</w:t>
      </w:r>
    </w:p>
    <w:p>
      <w:pPr>
        <w:numPr>
          <w:ilvl w:val="1"/>
          <w:numId w:val="3"/>
        </w:numPr>
        <w:spacing w:line="360" w:lineRule="auto"/>
        <w:ind w:left="567" w:leftChars="0" w:hanging="567" w:firstLineChars="0"/>
        <w:rPr>
          <w:rFonts w:ascii="仿宋_GB2312" w:hAnsi="仿宋" w:eastAsia="仿宋_GB2312"/>
          <w:sz w:val="24"/>
          <w:highlight w:val="none"/>
        </w:rPr>
      </w:pPr>
      <w:r>
        <w:rPr>
          <w:rFonts w:ascii="仿宋_GB2312" w:hAnsi="仿宋" w:eastAsia="仿宋_GB2312"/>
          <w:sz w:val="24"/>
          <w:highlight w:val="none"/>
        </w:rPr>
        <w:t>“电子交易平台”是指本项目政府采购活动所依托的政府采购云平台（https://www.zcygov.cn/）。</w:t>
      </w:r>
    </w:p>
    <w:p>
      <w:pPr>
        <w:numPr>
          <w:ilvl w:val="1"/>
          <w:numId w:val="3"/>
        </w:numPr>
        <w:spacing w:line="360" w:lineRule="auto"/>
        <w:ind w:left="567" w:leftChars="0" w:hanging="567" w:firstLineChars="0"/>
        <w:rPr>
          <w:rFonts w:hint="eastAsia" w:ascii="仿宋_GB2312" w:hAnsi="仿宋" w:eastAsia="仿宋_GB2312"/>
          <w:b w:val="0"/>
          <w:bCs w:val="0"/>
          <w:i w:val="0"/>
          <w:iCs w:val="0"/>
          <w:color w:val="auto"/>
          <w:sz w:val="24"/>
          <w:highlight w:val="none"/>
          <w:lang w:eastAsia="zh-CN"/>
        </w:rPr>
      </w:pPr>
      <w:r>
        <w:rPr>
          <w:rFonts w:hint="eastAsia" w:ascii="仿宋_GB2312" w:hAnsi="仿宋" w:eastAsia="仿宋_GB2312"/>
          <w:b w:val="0"/>
          <w:bCs w:val="0"/>
          <w:i w:val="0"/>
          <w:iCs w:val="0"/>
          <w:color w:val="auto"/>
          <w:sz w:val="24"/>
          <w:highlight w:val="none"/>
        </w:rPr>
        <w:t>“▲” 系指实质性要求条款，“★”系关键技术指标，“</w:t>
      </w:r>
      <w:r>
        <w:rPr>
          <w:rFonts w:hint="eastAsia" w:ascii="仿宋" w:hAnsi="仿宋" w:eastAsia="仿宋" w:cs="仿宋"/>
          <w:b w:val="0"/>
          <w:bCs w:val="0"/>
          <w:i w:val="0"/>
          <w:iCs w:val="0"/>
          <w:color w:val="auto"/>
          <w:kern w:val="28"/>
          <w:sz w:val="24"/>
          <w:highlight w:val="none"/>
        </w:rPr>
        <w:sym w:font="Wingdings" w:char="00FE"/>
      </w:r>
      <w:r>
        <w:rPr>
          <w:rFonts w:hint="eastAsia" w:ascii="仿宋_GB2312" w:hAnsi="仿宋" w:eastAsia="仿宋_GB2312"/>
          <w:b w:val="0"/>
          <w:bCs w:val="0"/>
          <w:i w:val="0"/>
          <w:iCs w:val="0"/>
          <w:color w:val="auto"/>
          <w:sz w:val="24"/>
          <w:highlight w:val="none"/>
        </w:rPr>
        <w:t>” 系指适用本项目的要求，“☐” 系指不适用本项目的要求。</w:t>
      </w:r>
    </w:p>
    <w:p>
      <w:pPr>
        <w:spacing w:line="360" w:lineRule="auto"/>
        <w:ind w:firstLine="241" w:firstLineChars="100"/>
        <w:rPr>
          <w:rFonts w:ascii="仿宋_GB2312" w:hAnsi="仿宋" w:eastAsia="仿宋_GB2312"/>
          <w:b/>
          <w:sz w:val="24"/>
          <w:highlight w:val="none"/>
        </w:rPr>
      </w:pPr>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sz w:val="24"/>
          <w:highlight w:val="none"/>
        </w:rPr>
      </w:pPr>
      <w:r>
        <w:rPr>
          <w:rFonts w:hint="eastAsia" w:ascii="仿宋_GB2312" w:hAnsi="仿宋" w:eastAsia="仿宋_GB2312"/>
          <w:b/>
          <w:sz w:val="24"/>
          <w:highlight w:val="none"/>
        </w:rPr>
        <w:t>采购项目需要落实的政府采购政策</w:t>
      </w:r>
    </w:p>
    <w:p>
      <w:pPr>
        <w:numPr>
          <w:ilvl w:val="1"/>
          <w:numId w:val="3"/>
        </w:numPr>
        <w:spacing w:line="360" w:lineRule="auto"/>
        <w:ind w:left="567" w:leftChars="0" w:hanging="567" w:firstLineChars="0"/>
        <w:rPr>
          <w:rFonts w:ascii="仿宋_GB2312" w:hAnsi="仿宋" w:eastAsia="仿宋_GB2312"/>
          <w:sz w:val="24"/>
          <w:highlight w:val="none"/>
        </w:rPr>
      </w:pPr>
      <w:r>
        <w:rPr>
          <w:rFonts w:hint="eastAsia" w:ascii="仿宋_GB2312" w:hAnsi="仿宋" w:eastAsia="仿宋_GB2312"/>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_GB2312" w:hAnsi="仿宋" w:eastAsia="仿宋_GB2312"/>
          <w:sz w:val="24"/>
          <w:highlight w:val="none"/>
          <w:lang w:eastAsia="zh-CN"/>
        </w:rPr>
        <w:t>采购代理机构</w:t>
      </w:r>
      <w:r>
        <w:rPr>
          <w:rFonts w:hint="eastAsia" w:ascii="仿宋_GB2312" w:hAnsi="仿宋" w:eastAsia="仿宋_GB2312"/>
          <w:sz w:val="24"/>
          <w:highlight w:val="none"/>
        </w:rPr>
        <w:t>不会对其加以限制，仍将按照公平竞争原则实施采购）</w:t>
      </w:r>
      <w:r>
        <w:rPr>
          <w:rFonts w:hint="eastAsia" w:ascii="仿宋_GB2312" w:hAnsi="仿宋" w:eastAsia="仿宋_GB2312"/>
          <w:sz w:val="24"/>
          <w:highlight w:val="none"/>
          <w:lang w:eastAsia="zh-CN"/>
        </w:rPr>
        <w:t>；优先采购向我国企业转让技术、与我国企业签订消化吸收再创新方案的供应商的进口产品</w:t>
      </w:r>
      <w:r>
        <w:rPr>
          <w:rFonts w:hint="eastAsia" w:ascii="仿宋_GB2312" w:hAnsi="仿宋" w:eastAsia="仿宋_GB2312"/>
          <w:sz w:val="24"/>
          <w:highlight w:val="none"/>
        </w:rPr>
        <w:t>。</w:t>
      </w:r>
    </w:p>
    <w:p>
      <w:pPr>
        <w:numPr>
          <w:ilvl w:val="1"/>
          <w:numId w:val="3"/>
        </w:numPr>
        <w:spacing w:line="360" w:lineRule="auto"/>
        <w:ind w:left="567" w:leftChars="0" w:hanging="567" w:firstLineChars="0"/>
        <w:rPr>
          <w:rFonts w:ascii="仿宋_GB2312" w:hAnsi="仿宋" w:eastAsia="仿宋_GB2312"/>
          <w:sz w:val="24"/>
          <w:highlight w:val="none"/>
        </w:rPr>
      </w:pPr>
      <w:r>
        <w:rPr>
          <w:rFonts w:hint="eastAsia" w:ascii="仿宋_GB2312" w:hAnsi="仿宋" w:eastAsia="仿宋_GB2312"/>
          <w:sz w:val="24"/>
          <w:highlight w:val="none"/>
        </w:rPr>
        <w:t>支持绿色发展</w:t>
      </w:r>
    </w:p>
    <w:p>
      <w:pPr>
        <w:numPr>
          <w:ilvl w:val="2"/>
          <w:numId w:val="3"/>
        </w:numPr>
        <w:spacing w:line="360" w:lineRule="auto"/>
        <w:ind w:left="850" w:leftChars="0" w:hanging="850" w:firstLineChars="0"/>
        <w:rPr>
          <w:rFonts w:hint="eastAsia" w:ascii="仿宋_GB2312" w:hAnsi="仿宋" w:eastAsia="仿宋_GB2312"/>
          <w:sz w:val="24"/>
          <w:highlight w:val="none"/>
        </w:rPr>
      </w:pPr>
      <w:r>
        <w:rPr>
          <w:rFonts w:hint="eastAsia" w:ascii="仿宋_GB2312" w:hAnsi="仿宋" w:eastAsia="仿宋_GB2312"/>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80" w:firstLineChars="200"/>
        <w:rPr>
          <w:rFonts w:ascii="仿宋_GB2312" w:hAnsi="仿宋" w:eastAsia="仿宋_GB2312"/>
          <w:b/>
          <w:sz w:val="24"/>
          <w:highlight w:val="none"/>
        </w:rPr>
      </w:pPr>
      <w:r>
        <w:rPr>
          <w:rFonts w:ascii="仿宋_GB2312" w:hAnsi="仿宋" w:eastAsia="仿宋_GB2312"/>
          <w:sz w:val="24"/>
          <w:highlight w:val="none"/>
        </w:rPr>
        <w:t>▲</w:t>
      </w:r>
      <w:r>
        <w:rPr>
          <w:rFonts w:hint="eastAsia" w:ascii="仿宋_GB2312" w:hAnsi="仿宋" w:eastAsia="仿宋_GB2312"/>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numPr>
          <w:ilvl w:val="2"/>
          <w:numId w:val="3"/>
        </w:numPr>
        <w:spacing w:line="360" w:lineRule="auto"/>
        <w:ind w:left="850" w:leftChars="0" w:hanging="850"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纳入政府采购管理的修缮、装修类项目采购建材的，鼓励</w:t>
      </w:r>
      <w:r>
        <w:rPr>
          <w:rFonts w:hint="eastAsia" w:ascii="仿宋_GB2312" w:hAnsi="仿宋" w:eastAsia="仿宋_GB2312"/>
          <w:color w:val="auto"/>
          <w:sz w:val="24"/>
          <w:highlight w:val="none"/>
          <w:lang w:eastAsia="zh-CN"/>
        </w:rPr>
        <w:t>采购人</w:t>
      </w:r>
      <w:r>
        <w:rPr>
          <w:rFonts w:hint="eastAsia" w:ascii="仿宋_GB2312" w:hAnsi="仿宋" w:eastAsia="仿宋_GB2312"/>
          <w:color w:val="auto"/>
          <w:sz w:val="24"/>
          <w:highlight w:val="none"/>
        </w:rPr>
        <w:t>将绿色建材性能、指标等作为实质性条件纳入采购文件和合同，具体性能指标要求参考相关绿色建材政府采购需求标准。</w:t>
      </w:r>
    </w:p>
    <w:p>
      <w:pPr>
        <w:numPr>
          <w:ilvl w:val="2"/>
          <w:numId w:val="3"/>
        </w:numPr>
        <w:spacing w:line="360" w:lineRule="auto"/>
        <w:ind w:left="850" w:leftChars="0" w:hanging="850"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w:t>
      </w:r>
      <w:r>
        <w:rPr>
          <w:rFonts w:hint="eastAsia" w:ascii="仿宋_GB2312" w:hAnsi="仿宋" w:eastAsia="仿宋_GB2312"/>
          <w:color w:val="auto"/>
          <w:sz w:val="24"/>
          <w:highlight w:val="none"/>
          <w:lang w:eastAsia="zh-CN"/>
        </w:rPr>
        <w:t>采购人</w:t>
      </w:r>
      <w:r>
        <w:rPr>
          <w:rFonts w:hint="eastAsia" w:ascii="仿宋_GB2312" w:hAnsi="仿宋" w:eastAsia="仿宋_GB2312"/>
          <w:color w:val="auto"/>
          <w:sz w:val="24"/>
          <w:highlight w:val="none"/>
        </w:rPr>
        <w:t>优先采购秸秆环保板材等资源综合利用产品。鼓励</w:t>
      </w:r>
      <w:r>
        <w:rPr>
          <w:rFonts w:hint="eastAsia" w:ascii="仿宋_GB2312" w:hAnsi="仿宋" w:eastAsia="仿宋_GB2312"/>
          <w:color w:val="auto"/>
          <w:sz w:val="24"/>
          <w:highlight w:val="none"/>
          <w:lang w:eastAsia="zh-CN"/>
        </w:rPr>
        <w:t>采购人</w:t>
      </w:r>
      <w:r>
        <w:rPr>
          <w:rFonts w:hint="eastAsia" w:ascii="仿宋_GB2312" w:hAnsi="仿宋" w:eastAsia="仿宋_GB2312"/>
          <w:color w:val="auto"/>
          <w:sz w:val="24"/>
          <w:highlight w:val="none"/>
        </w:rPr>
        <w:t>优先采购绿色物流配送服务、提供新能源交通工具的租赁服务。</w:t>
      </w:r>
    </w:p>
    <w:p>
      <w:pPr>
        <w:numPr>
          <w:ilvl w:val="2"/>
          <w:numId w:val="3"/>
        </w:numPr>
        <w:spacing w:line="360" w:lineRule="auto"/>
        <w:ind w:left="850" w:leftChars="0" w:hanging="850"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鼓励供应商在参加政府采购过程中开展绿色设计、选择绿色材料、打造绿色制造工艺、开展绿色运输、做好废弃产品回收处理，实现产品全周期的绿色环保。鼓励</w:t>
      </w:r>
      <w:r>
        <w:rPr>
          <w:rFonts w:hint="eastAsia" w:ascii="仿宋_GB2312" w:hAnsi="仿宋" w:eastAsia="仿宋_GB2312"/>
          <w:color w:val="auto"/>
          <w:sz w:val="24"/>
          <w:highlight w:val="none"/>
          <w:lang w:eastAsia="zh-CN"/>
        </w:rPr>
        <w:t>采购人</w:t>
      </w:r>
      <w:r>
        <w:rPr>
          <w:rFonts w:hint="eastAsia" w:ascii="仿宋_GB2312" w:hAnsi="仿宋" w:eastAsia="仿宋_GB2312"/>
          <w:color w:val="auto"/>
          <w:sz w:val="24"/>
          <w:highlight w:val="none"/>
        </w:rPr>
        <w:t>对其提高预付款比例、免收履约保证金。</w:t>
      </w:r>
    </w:p>
    <w:p>
      <w:pPr>
        <w:numPr>
          <w:ilvl w:val="1"/>
          <w:numId w:val="3"/>
        </w:numPr>
        <w:spacing w:line="360" w:lineRule="auto"/>
        <w:ind w:left="567" w:leftChars="0" w:hanging="567"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支持中小企业发展</w:t>
      </w:r>
    </w:p>
    <w:p>
      <w:pPr>
        <w:numPr>
          <w:ilvl w:val="2"/>
          <w:numId w:val="3"/>
        </w:numPr>
        <w:spacing w:line="360" w:lineRule="auto"/>
        <w:ind w:left="850" w:leftChars="0" w:hanging="850" w:firstLineChars="0"/>
        <w:rPr>
          <w:rFonts w:ascii="仿宋_GB2312" w:hAnsi="仿宋" w:eastAsia="仿宋_GB2312"/>
          <w:color w:val="auto"/>
          <w:sz w:val="24"/>
          <w:highlight w:val="none"/>
        </w:rPr>
      </w:pPr>
      <w:r>
        <w:rPr>
          <w:rFonts w:ascii="仿宋_GB2312" w:hAnsi="仿宋" w:eastAsia="仿宋_GB2312"/>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left="0" w:leftChars="0" w:firstLine="840" w:firstLineChars="350"/>
        <w:rPr>
          <w:rFonts w:ascii="仿宋_GB2312" w:hAnsi="仿宋" w:eastAsia="仿宋_GB2312"/>
          <w:color w:val="auto"/>
          <w:sz w:val="24"/>
          <w:highlight w:val="none"/>
        </w:rPr>
      </w:pPr>
      <w:r>
        <w:rPr>
          <w:rFonts w:ascii="仿宋_GB2312" w:hAnsi="仿宋" w:eastAsia="仿宋_GB2312"/>
          <w:color w:val="auto"/>
          <w:sz w:val="24"/>
          <w:highlight w:val="none"/>
        </w:rPr>
        <w:t>符合中小企业划分标准的个体工商户，在政府采购活动中视同中小企业。</w:t>
      </w:r>
    </w:p>
    <w:p>
      <w:pPr>
        <w:numPr>
          <w:ilvl w:val="2"/>
          <w:numId w:val="3"/>
        </w:numPr>
        <w:spacing w:line="360" w:lineRule="auto"/>
        <w:ind w:left="850" w:leftChars="0" w:hanging="850" w:firstLineChars="0"/>
        <w:rPr>
          <w:rFonts w:ascii="仿宋_GB2312" w:hAnsi="仿宋" w:eastAsia="仿宋_GB2312"/>
          <w:sz w:val="24"/>
          <w:highlight w:val="none"/>
        </w:rPr>
      </w:pPr>
      <w:r>
        <w:rPr>
          <w:rFonts w:hint="eastAsia" w:ascii="仿宋_GB2312" w:hAnsi="仿宋" w:eastAsia="仿宋_GB2312"/>
          <w:color w:val="auto"/>
          <w:sz w:val="24"/>
          <w:highlight w:val="none"/>
        </w:rPr>
        <w:t>在政府采购活动中，投标人提供的货物符合下列情形的，享受</w:t>
      </w:r>
      <w:r>
        <w:rPr>
          <w:rFonts w:hint="eastAsia" w:ascii="仿宋_GB2312" w:hAnsi="仿宋" w:eastAsia="仿宋_GB2312"/>
          <w:sz w:val="24"/>
          <w:highlight w:val="none"/>
        </w:rPr>
        <w:t>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r>
        <w:rPr>
          <w:rFonts w:hint="eastAsia" w:ascii="仿宋_GB2312" w:hAnsi="仿宋" w:eastAsia="仿宋_GB2312"/>
          <w:sz w:val="24"/>
          <w:highlight w:val="none"/>
          <w:lang w:eastAsia="zh-CN"/>
        </w:rPr>
        <w:t>。</w:t>
      </w:r>
    </w:p>
    <w:p>
      <w:pPr>
        <w:widowControl/>
        <w:spacing w:line="360" w:lineRule="auto"/>
        <w:ind w:firstLine="480" w:firstLineChars="20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以联合体形式参加政府采购活动，联合体各方均为中小企业的，联合体视同中小企业。其中，联合体各方均为小微企业的，联合体视同小微企业。</w:t>
      </w:r>
    </w:p>
    <w:p>
      <w:pPr>
        <w:numPr>
          <w:ilvl w:val="2"/>
          <w:numId w:val="3"/>
        </w:numPr>
        <w:spacing w:line="360" w:lineRule="auto"/>
        <w:ind w:left="850" w:leftChars="0" w:hanging="850" w:firstLineChars="0"/>
        <w:rPr>
          <w:rFonts w:hint="eastAsia" w:ascii="仿宋_GB2312" w:hAnsi="仿宋" w:eastAsia="仿宋_GB2312"/>
          <w:sz w:val="24"/>
          <w:highlight w:val="none"/>
        </w:rPr>
      </w:pPr>
      <w:r>
        <w:rPr>
          <w:rFonts w:hint="eastAsia" w:ascii="仿宋_GB2312" w:hAnsi="仿宋" w:eastAsia="仿宋_GB2312"/>
          <w:color w:val="auto"/>
          <w:sz w:val="24"/>
          <w:highlight w:val="none"/>
        </w:rPr>
        <w:t>对于未预留份额专门面向中小企业的政府采购货物项目，以及预留份额政府采购货物项目中的非预留部分标项，对小型和微型企业的投标报价给予</w:t>
      </w:r>
      <w:r>
        <w:rPr>
          <w:rFonts w:hint="eastAsia" w:ascii="仿宋_GB2312" w:hAnsi="仿宋" w:eastAsia="仿宋_GB2312"/>
          <w:b/>
          <w:bCs/>
          <w:color w:val="FF0000"/>
          <w:sz w:val="24"/>
          <w:highlight w:val="none"/>
          <w:lang w:val="en-US" w:eastAsia="zh-CN"/>
        </w:rPr>
        <w:t>10%-20</w:t>
      </w:r>
      <w:r>
        <w:rPr>
          <w:rFonts w:hint="eastAsia" w:ascii="仿宋_GB2312" w:hAnsi="仿宋" w:eastAsia="仿宋_GB2312"/>
          <w:b/>
          <w:bCs/>
          <w:color w:val="FF0000"/>
          <w:sz w:val="24"/>
          <w:highlight w:val="none"/>
        </w:rPr>
        <w:t>%</w:t>
      </w:r>
      <w:r>
        <w:rPr>
          <w:rFonts w:hint="eastAsia" w:ascii="仿宋_GB2312" w:hAnsi="仿宋" w:eastAsia="仿宋_GB2312"/>
          <w:sz w:val="24"/>
          <w:highlight w:val="none"/>
        </w:rPr>
        <w:t>的扣除，用扣除后的价格参与评审。接受大中型企业与小微企业组</w:t>
      </w:r>
      <w:r>
        <w:rPr>
          <w:rFonts w:hint="eastAsia" w:ascii="仿宋_GB2312" w:hAnsi="仿宋" w:eastAsia="仿宋_GB2312"/>
          <w:color w:val="auto"/>
          <w:sz w:val="24"/>
          <w:highlight w:val="none"/>
        </w:rPr>
        <w:t>成联合体或者允许大中型企业向一家或者多家小微企业分包的政府采购货物项目，</w:t>
      </w:r>
      <w:r>
        <w:rPr>
          <w:rFonts w:hint="eastAsia" w:ascii="仿宋_GB2312" w:hAnsi="仿宋" w:eastAsia="仿宋_GB2312"/>
          <w:sz w:val="24"/>
          <w:highlight w:val="none"/>
        </w:rPr>
        <w:t>对于联合协议或者分包意向协议约定小微企业的合同份额占到合同总金额30%以上的，对联合体或者大中型企业的报价给予</w:t>
      </w:r>
      <w:r>
        <w:rPr>
          <w:rFonts w:hint="eastAsia" w:ascii="仿宋_GB2312" w:hAnsi="仿宋" w:eastAsia="仿宋_GB2312"/>
          <w:b/>
          <w:bCs/>
          <w:color w:val="FF0000"/>
          <w:sz w:val="24"/>
          <w:highlight w:val="none"/>
          <w:lang w:val="en-US" w:eastAsia="zh-CN"/>
        </w:rPr>
        <w:t>4%-6</w:t>
      </w:r>
      <w:r>
        <w:rPr>
          <w:rFonts w:hint="eastAsia" w:ascii="仿宋_GB2312" w:hAnsi="仿宋" w:eastAsia="仿宋_GB2312"/>
          <w:b/>
          <w:bCs/>
          <w:color w:val="FF0000"/>
          <w:sz w:val="24"/>
          <w:highlight w:val="none"/>
        </w:rPr>
        <w:t>%</w:t>
      </w:r>
      <w:r>
        <w:rPr>
          <w:rFonts w:hint="eastAsia" w:ascii="仿宋_GB2312" w:hAnsi="仿宋" w:eastAsia="仿宋_GB2312"/>
          <w:sz w:val="24"/>
          <w:highlight w:val="none"/>
        </w:rPr>
        <w:t>的扣除，用扣除后的价格参加评审。组成联合体或者接受分包的小微企业与联合体内其他企业、分包企业之间存在直接控股、管理关系的，不享受价格扣除优惠政策。</w:t>
      </w:r>
    </w:p>
    <w:p>
      <w:pPr>
        <w:numPr>
          <w:ilvl w:val="2"/>
          <w:numId w:val="3"/>
        </w:numPr>
        <w:spacing w:line="360" w:lineRule="auto"/>
        <w:ind w:left="850" w:leftChars="0" w:hanging="850" w:firstLineChars="0"/>
        <w:rPr>
          <w:rFonts w:hint="eastAsia" w:ascii="仿宋_GB2312" w:hAnsi="仿宋" w:eastAsia="仿宋_GB2312"/>
          <w:sz w:val="24"/>
          <w:highlight w:val="none"/>
        </w:rPr>
      </w:pPr>
      <w:r>
        <w:rPr>
          <w:rFonts w:hint="eastAsia" w:ascii="仿宋_GB2312" w:hAnsi="仿宋" w:eastAsia="仿宋_GB2312"/>
          <w:sz w:val="24"/>
          <w:highlight w:val="none"/>
        </w:rPr>
        <w:t>符合《关于促进残疾人就业政府采购政策的通知》（财库〔2017〕141号）规定的条件并提供《残疾人福利性单位声明函》（附件1）的残疾人福利性单位视同小型、微型企业；</w:t>
      </w:r>
    </w:p>
    <w:p>
      <w:pPr>
        <w:numPr>
          <w:ilvl w:val="2"/>
          <w:numId w:val="3"/>
        </w:numPr>
        <w:spacing w:line="360" w:lineRule="auto"/>
        <w:ind w:left="850" w:leftChars="0" w:hanging="850" w:firstLineChars="0"/>
        <w:rPr>
          <w:rFonts w:hint="eastAsia" w:ascii="仿宋_GB2312" w:hAnsi="仿宋" w:eastAsia="仿宋_GB2312"/>
          <w:sz w:val="24"/>
          <w:highlight w:val="none"/>
        </w:rPr>
      </w:pPr>
      <w:r>
        <w:rPr>
          <w:rFonts w:hint="eastAsia" w:ascii="仿宋_GB2312" w:hAnsi="仿宋" w:eastAsia="仿宋_GB2312"/>
          <w:sz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numPr>
          <w:ilvl w:val="2"/>
          <w:numId w:val="3"/>
        </w:numPr>
        <w:spacing w:line="360" w:lineRule="auto"/>
        <w:ind w:left="850" w:leftChars="0" w:hanging="850" w:firstLineChars="0"/>
        <w:rPr>
          <w:rFonts w:hint="eastAsia" w:ascii="仿宋_GB2312" w:hAnsi="仿宋" w:eastAsia="仿宋_GB2312"/>
          <w:sz w:val="24"/>
          <w:highlight w:val="none"/>
        </w:rPr>
      </w:pPr>
      <w:r>
        <w:rPr>
          <w:rFonts w:hint="eastAsia" w:ascii="仿宋_GB2312" w:hAnsi="仿宋" w:eastAsia="仿宋_GB2312"/>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numPr>
          <w:ilvl w:val="2"/>
          <w:numId w:val="3"/>
        </w:numPr>
        <w:spacing w:line="360" w:lineRule="auto"/>
        <w:ind w:left="850" w:leftChars="0" w:hanging="850" w:firstLineChars="0"/>
        <w:rPr>
          <w:rFonts w:hint="eastAsia" w:ascii="仿宋_GB2312" w:hAnsi="仿宋" w:eastAsia="仿宋_GB2312"/>
          <w:sz w:val="24"/>
          <w:highlight w:val="none"/>
        </w:rPr>
      </w:pPr>
      <w:r>
        <w:rPr>
          <w:rFonts w:hint="eastAsia" w:ascii="仿宋_GB2312" w:hAnsi="仿宋" w:eastAsia="仿宋_GB2312"/>
          <w:sz w:val="24"/>
          <w:highlight w:val="none"/>
        </w:rPr>
        <w:t>中小企业享受扶持政策获得政府采购合同的，小微企业不得将合同分包给大中型企业，中型企业不得将合同分包给大型企业。</w:t>
      </w:r>
    </w:p>
    <w:p>
      <w:pPr>
        <w:numPr>
          <w:ilvl w:val="1"/>
          <w:numId w:val="3"/>
        </w:numPr>
        <w:spacing w:line="360" w:lineRule="auto"/>
        <w:ind w:left="567" w:leftChars="0" w:hanging="567" w:firstLineChars="0"/>
        <w:rPr>
          <w:rFonts w:hint="eastAsia" w:ascii="仿宋_GB2312" w:hAnsi="仿宋" w:eastAsia="仿宋_GB2312"/>
          <w:sz w:val="24"/>
          <w:highlight w:val="none"/>
        </w:rPr>
      </w:pPr>
      <w:r>
        <w:rPr>
          <w:rFonts w:hint="eastAsia" w:ascii="仿宋_GB2312" w:hAnsi="仿宋" w:eastAsia="仿宋_GB2312"/>
          <w:sz w:val="24"/>
          <w:highlight w:val="none"/>
        </w:rPr>
        <w:t>支持创新发展</w:t>
      </w:r>
    </w:p>
    <w:p>
      <w:pPr>
        <w:numPr>
          <w:ilvl w:val="2"/>
          <w:numId w:val="3"/>
        </w:numPr>
        <w:spacing w:line="360" w:lineRule="auto"/>
        <w:ind w:left="850" w:leftChars="0" w:hanging="850" w:firstLineChars="0"/>
        <w:rPr>
          <w:rFonts w:ascii="仿宋_GB2312" w:hAnsi="仿宋" w:eastAsia="仿宋_GB2312"/>
          <w:sz w:val="24"/>
          <w:highlight w:val="none"/>
        </w:rPr>
      </w:pPr>
      <w:r>
        <w:rPr>
          <w:rFonts w:ascii="仿宋_GB2312" w:hAnsi="仿宋" w:eastAsia="仿宋_GB2312"/>
          <w:sz w:val="24"/>
          <w:highlight w:val="none"/>
        </w:rPr>
        <w:t>采购人优先采购被认定</w:t>
      </w:r>
      <w:r>
        <w:rPr>
          <w:rFonts w:hint="eastAsia" w:ascii="仿宋_GB2312" w:hAnsi="仿宋" w:eastAsia="仿宋_GB2312"/>
          <w:sz w:val="24"/>
          <w:highlight w:val="none"/>
        </w:rPr>
        <w:t>为首台套产品和“制造精品”的自主创新产品。</w:t>
      </w:r>
    </w:p>
    <w:p>
      <w:pPr>
        <w:numPr>
          <w:ilvl w:val="2"/>
          <w:numId w:val="3"/>
        </w:numPr>
        <w:spacing w:line="360" w:lineRule="auto"/>
        <w:ind w:left="850" w:leftChars="0" w:hanging="85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r>
        <w:rPr>
          <w:rFonts w:hint="eastAsia" w:ascii="仿宋" w:hAnsi="仿宋" w:eastAsia="仿宋" w:cs="仿宋"/>
          <w:color w:val="auto"/>
          <w:sz w:val="24"/>
          <w:highlight w:val="none"/>
          <w:lang w:eastAsia="zh-CN"/>
        </w:rPr>
        <w:t>。</w:t>
      </w:r>
    </w:p>
    <w:p>
      <w:pPr>
        <w:numPr>
          <w:ilvl w:val="1"/>
          <w:numId w:val="3"/>
        </w:numPr>
        <w:spacing w:line="360" w:lineRule="auto"/>
        <w:ind w:left="567" w:leftChars="0" w:hanging="567" w:firstLineChars="0"/>
        <w:rPr>
          <w:rFonts w:hint="eastAsia" w:ascii="仿宋_GB2312" w:hAnsi="仿宋" w:eastAsia="仿宋_GB2312"/>
          <w:sz w:val="24"/>
          <w:highlight w:val="none"/>
        </w:rPr>
      </w:pPr>
      <w:r>
        <w:rPr>
          <w:rFonts w:hint="eastAsia" w:ascii="仿宋_GB2312" w:hAnsi="仿宋" w:eastAsia="仿宋_GB2312"/>
          <w:sz w:val="24"/>
          <w:highlight w:val="none"/>
        </w:rPr>
        <w:t>平等对待内外资企业和符合条件的破产重整企业</w:t>
      </w:r>
    </w:p>
    <w:p>
      <w:pPr>
        <w:numPr>
          <w:ilvl w:val="0"/>
          <w:numId w:val="0"/>
        </w:numPr>
        <w:spacing w:line="360" w:lineRule="auto"/>
        <w:ind w:leftChars="0" w:firstLine="480" w:firstLineChars="200"/>
        <w:rPr>
          <w:rFonts w:hint="eastAsia" w:ascii="仿宋_GB2312" w:hAnsi="仿宋" w:eastAsia="仿宋_GB2312"/>
          <w:sz w:val="24"/>
          <w:highlight w:val="none"/>
        </w:rPr>
      </w:pPr>
      <w:r>
        <w:rPr>
          <w:rFonts w:hint="eastAsia" w:ascii="仿宋_GB2312" w:hAnsi="仿宋" w:eastAsia="仿宋_GB2312"/>
          <w:sz w:val="24"/>
          <w:highlight w:val="none"/>
        </w:rPr>
        <w:t>平等对待内外资企业和符合条件的破产重整企业，切实保障企业公平竞争，平等维护企业的合法利益。</w:t>
      </w:r>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sz w:val="24"/>
          <w:highlight w:val="none"/>
        </w:rPr>
      </w:pPr>
      <w:r>
        <w:rPr>
          <w:rFonts w:hint="eastAsia" w:ascii="仿宋_GB2312" w:hAnsi="仿宋" w:eastAsia="仿宋_GB2312"/>
          <w:b/>
          <w:sz w:val="24"/>
          <w:highlight w:val="none"/>
        </w:rPr>
        <w:t>询问、质疑、投诉</w:t>
      </w:r>
    </w:p>
    <w:p>
      <w:pPr>
        <w:pageBreakBefore w:val="0"/>
        <w:widowControl w:val="0"/>
        <w:numPr>
          <w:ilvl w:val="1"/>
          <w:numId w:val="3"/>
        </w:numPr>
        <w:tabs>
          <w:tab w:val="left" w:pos="210"/>
        </w:tabs>
        <w:kinsoku/>
        <w:wordWrap/>
        <w:overflowPunct/>
        <w:topLinePunct w:val="0"/>
        <w:bidi w:val="0"/>
        <w:snapToGrid w:val="0"/>
        <w:spacing w:line="360" w:lineRule="auto"/>
        <w:ind w:left="567" w:leftChars="0" w:hanging="567" w:firstLineChars="0"/>
        <w:jc w:val="left"/>
        <w:textAlignment w:val="auto"/>
        <w:outlineLvl w:val="9"/>
        <w:rPr>
          <w:rFonts w:hint="eastAsia" w:ascii="仿宋_GB2312" w:hAnsi="仿宋" w:eastAsia="仿宋_GB2312"/>
          <w:b w:val="0"/>
          <w:bCs/>
          <w:sz w:val="24"/>
          <w:highlight w:val="none"/>
          <w:lang w:val="zh-CN"/>
        </w:rPr>
      </w:pPr>
      <w:r>
        <w:rPr>
          <w:rFonts w:hint="eastAsia" w:ascii="仿宋_GB2312" w:hAnsi="仿宋" w:eastAsia="仿宋_GB2312"/>
          <w:b w:val="0"/>
          <w:bCs/>
          <w:sz w:val="24"/>
          <w:highlight w:val="none"/>
          <w:lang w:val="zh-CN"/>
        </w:rPr>
        <w:t>在线询问、质疑、投诉</w:t>
      </w:r>
    </w:p>
    <w:p>
      <w:pPr>
        <w:keepNext/>
        <w:keepLines/>
        <w:pageBreakBefore w:val="0"/>
        <w:widowControl w:val="0"/>
        <w:tabs>
          <w:tab w:val="left" w:pos="432"/>
        </w:tabs>
        <w:kinsoku/>
        <w:wordWrap/>
        <w:overflowPunct/>
        <w:topLinePunct w:val="0"/>
        <w:autoSpaceDE/>
        <w:autoSpaceDN/>
        <w:bidi w:val="0"/>
        <w:adjustRightInd w:val="0"/>
        <w:snapToGrid/>
        <w:spacing w:line="416" w:lineRule="auto"/>
        <w:ind w:left="13" w:leftChars="6" w:firstLine="410" w:firstLineChars="171"/>
        <w:textAlignment w:val="auto"/>
        <w:outlineLvl w:val="9"/>
        <w:rPr>
          <w:rFonts w:hint="eastAsia" w:ascii="仿宋_GB2312" w:hAnsi="仿宋" w:eastAsia="仿宋_GB2312" w:cs="Times New Roman"/>
          <w:b w:val="0"/>
          <w:bCs w:val="0"/>
          <w:kern w:val="2"/>
          <w:sz w:val="24"/>
          <w:szCs w:val="24"/>
          <w:highlight w:val="none"/>
          <w:lang w:val="zh-CN" w:eastAsia="zh-CN" w:bidi="ar-SA"/>
        </w:rPr>
      </w:pPr>
      <w:r>
        <w:rPr>
          <w:rFonts w:hint="eastAsia" w:ascii="仿宋_GB2312" w:hAnsi="仿宋" w:eastAsia="仿宋_GB2312" w:cs="Times New Roman"/>
          <w:b w:val="0"/>
          <w:bCs w:val="0"/>
          <w:kern w:val="2"/>
          <w:sz w:val="24"/>
          <w:szCs w:val="24"/>
          <w:highlight w:val="none"/>
          <w:lang w:val="zh-CN" w:eastAsia="zh-CN" w:bidi="ar-S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cs="Times New Roman"/>
          <w:b w:val="0"/>
          <w:bCs w:val="0"/>
          <w:kern w:val="2"/>
          <w:sz w:val="24"/>
          <w:szCs w:val="24"/>
          <w:highlight w:val="none"/>
          <w:lang w:val="zh-CN" w:eastAsia="zh-CN" w:bidi="ar-SA"/>
        </w:rPr>
        <w:t>。</w:t>
      </w:r>
    </w:p>
    <w:p>
      <w:pPr>
        <w:pageBreakBefore w:val="0"/>
        <w:widowControl w:val="0"/>
        <w:numPr>
          <w:ilvl w:val="1"/>
          <w:numId w:val="3"/>
        </w:numPr>
        <w:tabs>
          <w:tab w:val="left" w:pos="210"/>
        </w:tabs>
        <w:kinsoku/>
        <w:wordWrap/>
        <w:overflowPunct/>
        <w:topLinePunct w:val="0"/>
        <w:bidi w:val="0"/>
        <w:snapToGrid w:val="0"/>
        <w:spacing w:line="360" w:lineRule="auto"/>
        <w:ind w:left="567" w:leftChars="0" w:hanging="567" w:firstLineChars="0"/>
        <w:jc w:val="left"/>
        <w:textAlignment w:val="auto"/>
        <w:outlineLvl w:val="9"/>
        <w:rPr>
          <w:rFonts w:hint="eastAsia" w:ascii="仿宋_GB2312" w:hAnsi="仿宋" w:eastAsia="仿宋_GB2312"/>
          <w:b w:val="0"/>
          <w:bCs/>
          <w:sz w:val="24"/>
          <w:highlight w:val="none"/>
          <w:lang w:val="zh-CN"/>
        </w:rPr>
      </w:pPr>
      <w:r>
        <w:rPr>
          <w:rFonts w:hint="eastAsia" w:ascii="仿宋_GB2312" w:hAnsi="仿宋" w:eastAsia="仿宋_GB2312"/>
          <w:b w:val="0"/>
          <w:bCs/>
          <w:sz w:val="24"/>
          <w:highlight w:val="none"/>
          <w:lang w:val="zh-CN"/>
        </w:rPr>
        <w:t>供应商询问</w:t>
      </w:r>
    </w:p>
    <w:p>
      <w:pPr>
        <w:pageBreakBefore w:val="0"/>
        <w:widowControl w:val="0"/>
        <w:kinsoku/>
        <w:wordWrap/>
        <w:overflowPunct/>
        <w:topLinePunct w:val="0"/>
        <w:autoSpaceDE w:val="0"/>
        <w:autoSpaceDN w:val="0"/>
        <w:bidi w:val="0"/>
        <w:spacing w:line="360" w:lineRule="auto"/>
        <w:ind w:firstLine="480" w:firstLineChars="200"/>
        <w:jc w:val="left"/>
        <w:textAlignment w:val="auto"/>
        <w:outlineLvl w:val="9"/>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供应商对政府采购活动事项有疑问的，可以提出询问，采购人或者采购代理机构应当在</w:t>
      </w:r>
      <w:r>
        <w:rPr>
          <w:rFonts w:ascii="仿宋_GB2312" w:hAnsi="仿宋" w:eastAsia="仿宋_GB2312" w:cs="微软雅黑"/>
          <w:kern w:val="0"/>
          <w:sz w:val="24"/>
          <w:highlight w:val="none"/>
          <w:lang w:val="zh-CN"/>
        </w:rPr>
        <w:t>3个工作日内对供应</w:t>
      </w:r>
      <w:r>
        <w:rPr>
          <w:rFonts w:hint="eastAsia" w:ascii="仿宋_GB2312" w:hAnsi="仿宋" w:eastAsia="仿宋_GB2312" w:cs="微软雅黑"/>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pageBreakBefore w:val="0"/>
        <w:widowControl w:val="0"/>
        <w:numPr>
          <w:ilvl w:val="1"/>
          <w:numId w:val="3"/>
        </w:numPr>
        <w:tabs>
          <w:tab w:val="left" w:pos="210"/>
        </w:tabs>
        <w:kinsoku/>
        <w:wordWrap/>
        <w:overflowPunct/>
        <w:topLinePunct w:val="0"/>
        <w:bidi w:val="0"/>
        <w:snapToGrid w:val="0"/>
        <w:spacing w:line="360" w:lineRule="auto"/>
        <w:ind w:left="567" w:leftChars="0" w:hanging="567" w:firstLineChars="0"/>
        <w:jc w:val="left"/>
        <w:textAlignment w:val="auto"/>
        <w:outlineLvl w:val="9"/>
        <w:rPr>
          <w:rFonts w:hint="eastAsia" w:ascii="仿宋_GB2312" w:hAnsi="仿宋" w:eastAsia="仿宋_GB2312"/>
          <w:b w:val="0"/>
          <w:bCs/>
          <w:sz w:val="24"/>
          <w:highlight w:val="none"/>
          <w:lang w:val="zh-CN"/>
        </w:rPr>
      </w:pPr>
      <w:r>
        <w:rPr>
          <w:rFonts w:hint="eastAsia" w:ascii="仿宋_GB2312" w:hAnsi="仿宋" w:eastAsia="仿宋_GB2312"/>
          <w:b w:val="0"/>
          <w:bCs/>
          <w:sz w:val="24"/>
          <w:highlight w:val="none"/>
          <w:lang w:val="zh-CN"/>
        </w:rPr>
        <w:t>供应商质疑</w:t>
      </w:r>
    </w:p>
    <w:p>
      <w:pPr>
        <w:pageBreakBefore w:val="0"/>
        <w:widowControl w:val="0"/>
        <w:numPr>
          <w:ilvl w:val="2"/>
          <w:numId w:val="3"/>
        </w:numPr>
        <w:tabs>
          <w:tab w:val="left" w:pos="210"/>
        </w:tabs>
        <w:kinsoku/>
        <w:wordWrap/>
        <w:overflowPunct/>
        <w:topLinePunct w:val="0"/>
        <w:bidi w:val="0"/>
        <w:snapToGrid w:val="0"/>
        <w:spacing w:line="360" w:lineRule="auto"/>
        <w:ind w:left="850" w:leftChars="0" w:hanging="850" w:firstLineChars="0"/>
        <w:jc w:val="left"/>
        <w:textAlignment w:val="auto"/>
        <w:outlineLvl w:val="9"/>
        <w:rPr>
          <w:rFonts w:hint="eastAsia" w:ascii="仿宋_GB2312" w:hAnsi="仿宋" w:eastAsia="仿宋_GB2312"/>
          <w:b w:val="0"/>
          <w:bCs/>
          <w:sz w:val="24"/>
          <w:highlight w:val="none"/>
          <w:lang w:val="zh-CN"/>
        </w:rPr>
      </w:pPr>
      <w:r>
        <w:rPr>
          <w:rFonts w:hint="eastAsia" w:ascii="仿宋_GB2312" w:hAnsi="仿宋" w:eastAsia="仿宋_GB2312"/>
          <w:b w:val="0"/>
          <w:bCs/>
          <w:sz w:val="24"/>
          <w:highlight w:val="none"/>
          <w:lang w:val="zh-CN"/>
        </w:rPr>
        <w:t>提出质疑的供应商应当是参与所质疑项目采购活动的供应商。潜在供应商已依法获取其可质疑的招标文件的，可以对该文件提出质疑。</w:t>
      </w:r>
    </w:p>
    <w:p>
      <w:pPr>
        <w:pageBreakBefore w:val="0"/>
        <w:widowControl w:val="0"/>
        <w:numPr>
          <w:ilvl w:val="2"/>
          <w:numId w:val="3"/>
        </w:numPr>
        <w:tabs>
          <w:tab w:val="left" w:pos="210"/>
        </w:tabs>
        <w:kinsoku/>
        <w:wordWrap/>
        <w:overflowPunct/>
        <w:topLinePunct w:val="0"/>
        <w:bidi w:val="0"/>
        <w:snapToGrid w:val="0"/>
        <w:spacing w:line="360" w:lineRule="auto"/>
        <w:ind w:left="850" w:leftChars="0" w:hanging="850" w:firstLineChars="0"/>
        <w:jc w:val="left"/>
        <w:textAlignment w:val="auto"/>
        <w:outlineLvl w:val="9"/>
        <w:rPr>
          <w:rFonts w:hint="eastAsia" w:ascii="仿宋_GB2312" w:hAnsi="仿宋" w:eastAsia="仿宋_GB2312"/>
          <w:b w:val="0"/>
          <w:bCs/>
          <w:sz w:val="24"/>
          <w:highlight w:val="none"/>
          <w:lang w:val="zh-CN"/>
        </w:rPr>
      </w:pPr>
      <w:r>
        <w:rPr>
          <w:rFonts w:hint="eastAsia" w:ascii="仿宋_GB2312" w:hAnsi="仿宋" w:eastAsia="仿宋_GB2312"/>
          <w:b w:val="0"/>
          <w:bCs/>
          <w:sz w:val="24"/>
          <w:highlight w:val="none"/>
          <w:lang w:val="zh-CN"/>
        </w:rPr>
        <w:t>供应商认为招标文件、采购过程和中标结果使自己的权益受到损害的，可以在知道或者应知其权益受到损害之日起七个工作日内，以书面形式向采购人或者</w:t>
      </w:r>
      <w:r>
        <w:rPr>
          <w:rFonts w:hint="eastAsia" w:ascii="仿宋_GB2312" w:hAnsi="仿宋" w:eastAsia="仿宋_GB2312"/>
          <w:b w:val="0"/>
          <w:bCs/>
          <w:sz w:val="24"/>
          <w:highlight w:val="none"/>
          <w:lang w:val="zh-CN" w:eastAsia="zh-CN"/>
        </w:rPr>
        <w:t>采购代理机构</w:t>
      </w:r>
      <w:r>
        <w:rPr>
          <w:rFonts w:hint="eastAsia" w:ascii="仿宋_GB2312" w:hAnsi="仿宋" w:eastAsia="仿宋_GB2312"/>
          <w:b w:val="0"/>
          <w:bCs/>
          <w:sz w:val="24"/>
          <w:highlight w:val="none"/>
          <w:lang w:val="zh-CN"/>
        </w:rPr>
        <w:t>提出质疑，否则，采购人或者</w:t>
      </w:r>
      <w:r>
        <w:rPr>
          <w:rFonts w:hint="eastAsia" w:ascii="仿宋_GB2312" w:hAnsi="仿宋" w:eastAsia="仿宋_GB2312"/>
          <w:b w:val="0"/>
          <w:bCs/>
          <w:sz w:val="24"/>
          <w:highlight w:val="none"/>
          <w:lang w:val="zh-CN" w:eastAsia="zh-CN"/>
        </w:rPr>
        <w:t>采购代理机构</w:t>
      </w:r>
      <w:r>
        <w:rPr>
          <w:rFonts w:hint="eastAsia" w:ascii="仿宋_GB2312" w:hAnsi="仿宋" w:eastAsia="仿宋_GB2312"/>
          <w:b w:val="0"/>
          <w:bCs/>
          <w:sz w:val="24"/>
          <w:highlight w:val="none"/>
          <w:lang w:val="zh-CN"/>
        </w:rPr>
        <w:t>不予受理：</w:t>
      </w:r>
    </w:p>
    <w:p>
      <w:pPr>
        <w:pageBreakBefore w:val="0"/>
        <w:widowControl w:val="0"/>
        <w:numPr>
          <w:ilvl w:val="3"/>
          <w:numId w:val="3"/>
        </w:numPr>
        <w:tabs>
          <w:tab w:val="left" w:pos="210"/>
          <w:tab w:val="left" w:pos="1050"/>
        </w:tabs>
        <w:kinsoku/>
        <w:wordWrap/>
        <w:overflowPunct/>
        <w:topLinePunct w:val="0"/>
        <w:bidi w:val="0"/>
        <w:snapToGrid w:val="0"/>
        <w:spacing w:line="360" w:lineRule="auto"/>
        <w:ind w:left="1050" w:leftChars="0" w:hanging="1050" w:firstLineChars="0"/>
        <w:jc w:val="left"/>
        <w:textAlignment w:val="auto"/>
        <w:outlineLvl w:val="9"/>
        <w:rPr>
          <w:rFonts w:hint="eastAsia" w:ascii="仿宋_GB2312" w:hAnsi="仿宋" w:eastAsia="仿宋_GB2312"/>
          <w:b w:val="0"/>
          <w:bCs/>
          <w:sz w:val="24"/>
          <w:highlight w:val="none"/>
          <w:lang w:val="zh-CN"/>
        </w:rPr>
      </w:pPr>
      <w:r>
        <w:rPr>
          <w:rFonts w:hint="eastAsia" w:ascii="仿宋_GB2312" w:hAnsi="仿宋" w:eastAsia="仿宋_GB2312"/>
          <w:b w:val="0"/>
          <w:bCs/>
          <w:sz w:val="24"/>
          <w:highlight w:val="none"/>
          <w:lang w:val="zh-CN"/>
        </w:rPr>
        <w:t>对招标文件提出质疑的，质疑期限为供应商获得招标文件之日或者招标文件公告期限届满之日起计算。</w:t>
      </w:r>
    </w:p>
    <w:p>
      <w:pPr>
        <w:pageBreakBefore w:val="0"/>
        <w:widowControl w:val="0"/>
        <w:numPr>
          <w:ilvl w:val="3"/>
          <w:numId w:val="3"/>
        </w:numPr>
        <w:tabs>
          <w:tab w:val="left" w:pos="210"/>
          <w:tab w:val="left" w:pos="1050"/>
        </w:tabs>
        <w:kinsoku/>
        <w:wordWrap/>
        <w:overflowPunct/>
        <w:topLinePunct w:val="0"/>
        <w:bidi w:val="0"/>
        <w:snapToGrid w:val="0"/>
        <w:spacing w:line="360" w:lineRule="auto"/>
        <w:ind w:left="1050" w:leftChars="0" w:hanging="1050" w:firstLineChars="0"/>
        <w:jc w:val="left"/>
        <w:textAlignment w:val="auto"/>
        <w:outlineLvl w:val="9"/>
        <w:rPr>
          <w:rFonts w:hint="eastAsia" w:ascii="仿宋_GB2312" w:hAnsi="仿宋" w:eastAsia="仿宋_GB2312"/>
          <w:b w:val="0"/>
          <w:bCs/>
          <w:sz w:val="24"/>
          <w:highlight w:val="none"/>
          <w:lang w:val="zh-CN"/>
        </w:rPr>
      </w:pPr>
      <w:r>
        <w:rPr>
          <w:rFonts w:hint="eastAsia" w:ascii="仿宋_GB2312" w:hAnsi="仿宋" w:eastAsia="仿宋_GB2312"/>
          <w:b w:val="0"/>
          <w:bCs/>
          <w:sz w:val="24"/>
          <w:highlight w:val="none"/>
          <w:lang w:val="zh-CN"/>
        </w:rPr>
        <w:t>对采购过程提出质疑的，质疑期限为各采购程序环节结束之日起计算。</w:t>
      </w:r>
    </w:p>
    <w:p>
      <w:pPr>
        <w:pageBreakBefore w:val="0"/>
        <w:widowControl w:val="0"/>
        <w:numPr>
          <w:ilvl w:val="3"/>
          <w:numId w:val="3"/>
        </w:numPr>
        <w:tabs>
          <w:tab w:val="left" w:pos="210"/>
          <w:tab w:val="left" w:pos="1050"/>
        </w:tabs>
        <w:kinsoku/>
        <w:wordWrap/>
        <w:overflowPunct/>
        <w:topLinePunct w:val="0"/>
        <w:bidi w:val="0"/>
        <w:snapToGrid w:val="0"/>
        <w:spacing w:line="360" w:lineRule="auto"/>
        <w:ind w:left="1050" w:leftChars="0" w:hanging="1050" w:firstLineChars="0"/>
        <w:jc w:val="left"/>
        <w:textAlignment w:val="auto"/>
        <w:outlineLvl w:val="9"/>
        <w:rPr>
          <w:rFonts w:hint="eastAsia" w:ascii="仿宋_GB2312" w:hAnsi="仿宋" w:eastAsia="仿宋_GB2312"/>
          <w:b w:val="0"/>
          <w:bCs/>
          <w:sz w:val="24"/>
          <w:highlight w:val="none"/>
          <w:lang w:val="zh-CN"/>
        </w:rPr>
      </w:pPr>
      <w:r>
        <w:rPr>
          <w:rFonts w:hint="eastAsia" w:ascii="仿宋_GB2312" w:hAnsi="仿宋" w:eastAsia="仿宋_GB2312"/>
          <w:b w:val="0"/>
          <w:bCs/>
          <w:sz w:val="24"/>
          <w:highlight w:val="none"/>
          <w:lang w:val="zh-CN"/>
        </w:rPr>
        <w:t>对采购结果提出质疑的，质疑期限自采购结果公告期限届满之日起计算。</w:t>
      </w:r>
    </w:p>
    <w:p>
      <w:pPr>
        <w:pageBreakBefore w:val="0"/>
        <w:widowControl w:val="0"/>
        <w:numPr>
          <w:ilvl w:val="2"/>
          <w:numId w:val="3"/>
        </w:numPr>
        <w:tabs>
          <w:tab w:val="left" w:pos="210"/>
        </w:tabs>
        <w:kinsoku/>
        <w:wordWrap/>
        <w:overflowPunct/>
        <w:topLinePunct w:val="0"/>
        <w:bidi w:val="0"/>
        <w:snapToGrid w:val="0"/>
        <w:spacing w:line="360" w:lineRule="auto"/>
        <w:ind w:left="850" w:leftChars="0" w:hanging="850" w:firstLineChars="0"/>
        <w:jc w:val="left"/>
        <w:textAlignment w:val="auto"/>
        <w:outlineLvl w:val="9"/>
        <w:rPr>
          <w:rFonts w:hint="eastAsia" w:ascii="仿宋_GB2312" w:hAnsi="仿宋" w:eastAsia="仿宋_GB2312"/>
          <w:b w:val="0"/>
          <w:bCs/>
          <w:sz w:val="24"/>
          <w:highlight w:val="none"/>
          <w:lang w:val="zh-CN"/>
        </w:rPr>
      </w:pPr>
      <w:r>
        <w:rPr>
          <w:rFonts w:hint="eastAsia" w:ascii="仿宋_GB2312" w:hAnsi="仿宋" w:eastAsia="仿宋_GB2312"/>
          <w:b w:val="0"/>
          <w:bCs/>
          <w:sz w:val="24"/>
          <w:highlight w:val="none"/>
          <w:lang w:val="zh-CN"/>
        </w:rPr>
        <w:t>供应商提出质疑应当提交质疑函和必要的证明材料。质疑函应当包括下列内容：</w:t>
      </w:r>
    </w:p>
    <w:p>
      <w:pPr>
        <w:pageBreakBefore w:val="0"/>
        <w:widowControl w:val="0"/>
        <w:numPr>
          <w:ilvl w:val="3"/>
          <w:numId w:val="3"/>
        </w:numPr>
        <w:tabs>
          <w:tab w:val="left" w:pos="210"/>
          <w:tab w:val="left" w:pos="1050"/>
        </w:tabs>
        <w:kinsoku/>
        <w:wordWrap/>
        <w:overflowPunct/>
        <w:topLinePunct w:val="0"/>
        <w:bidi w:val="0"/>
        <w:snapToGrid w:val="0"/>
        <w:spacing w:line="360" w:lineRule="auto"/>
        <w:ind w:left="850" w:leftChars="0" w:hanging="850" w:firstLineChars="0"/>
        <w:jc w:val="left"/>
        <w:textAlignment w:val="auto"/>
        <w:outlineLvl w:val="9"/>
        <w:rPr>
          <w:rFonts w:hint="eastAsia" w:ascii="仿宋_GB2312" w:hAnsi="仿宋" w:eastAsia="仿宋_GB2312"/>
          <w:b w:val="0"/>
          <w:bCs/>
          <w:sz w:val="24"/>
          <w:highlight w:val="none"/>
          <w:lang w:val="zh-CN"/>
        </w:rPr>
      </w:pPr>
      <w:r>
        <w:rPr>
          <w:rFonts w:hint="eastAsia" w:ascii="仿宋_GB2312" w:hAnsi="仿宋" w:eastAsia="仿宋_GB2312"/>
          <w:b w:val="0"/>
          <w:bCs/>
          <w:sz w:val="24"/>
          <w:highlight w:val="none"/>
          <w:lang w:val="zh-CN"/>
        </w:rPr>
        <w:t>供应商的姓名或者名称、地址、邮编、联系人及联系电话；</w:t>
      </w:r>
    </w:p>
    <w:p>
      <w:pPr>
        <w:pageBreakBefore w:val="0"/>
        <w:widowControl w:val="0"/>
        <w:numPr>
          <w:ilvl w:val="3"/>
          <w:numId w:val="3"/>
        </w:numPr>
        <w:tabs>
          <w:tab w:val="left" w:pos="210"/>
          <w:tab w:val="left" w:pos="1050"/>
        </w:tabs>
        <w:kinsoku/>
        <w:wordWrap/>
        <w:overflowPunct/>
        <w:topLinePunct w:val="0"/>
        <w:bidi w:val="0"/>
        <w:snapToGrid w:val="0"/>
        <w:spacing w:line="360" w:lineRule="auto"/>
        <w:ind w:left="850" w:leftChars="0" w:hanging="850" w:firstLineChars="0"/>
        <w:jc w:val="left"/>
        <w:textAlignment w:val="auto"/>
        <w:outlineLvl w:val="9"/>
        <w:rPr>
          <w:rFonts w:hint="eastAsia" w:ascii="仿宋_GB2312" w:hAnsi="仿宋" w:eastAsia="仿宋_GB2312"/>
          <w:b w:val="0"/>
          <w:bCs/>
          <w:sz w:val="24"/>
          <w:highlight w:val="none"/>
          <w:lang w:val="zh-CN"/>
        </w:rPr>
      </w:pPr>
      <w:r>
        <w:rPr>
          <w:rFonts w:hint="eastAsia" w:ascii="仿宋_GB2312" w:hAnsi="仿宋" w:eastAsia="仿宋_GB2312"/>
          <w:b w:val="0"/>
          <w:bCs/>
          <w:sz w:val="24"/>
          <w:highlight w:val="none"/>
          <w:lang w:val="zh-CN"/>
        </w:rPr>
        <w:t>质疑项目的名称、编号；</w:t>
      </w:r>
    </w:p>
    <w:p>
      <w:pPr>
        <w:pageBreakBefore w:val="0"/>
        <w:widowControl w:val="0"/>
        <w:numPr>
          <w:ilvl w:val="3"/>
          <w:numId w:val="3"/>
        </w:numPr>
        <w:tabs>
          <w:tab w:val="left" w:pos="210"/>
          <w:tab w:val="left" w:pos="1050"/>
        </w:tabs>
        <w:kinsoku/>
        <w:wordWrap/>
        <w:overflowPunct/>
        <w:topLinePunct w:val="0"/>
        <w:bidi w:val="0"/>
        <w:snapToGrid w:val="0"/>
        <w:spacing w:line="360" w:lineRule="auto"/>
        <w:ind w:left="850" w:leftChars="0" w:hanging="850" w:firstLineChars="0"/>
        <w:jc w:val="left"/>
        <w:textAlignment w:val="auto"/>
        <w:outlineLvl w:val="9"/>
        <w:rPr>
          <w:rFonts w:hint="eastAsia" w:ascii="仿宋_GB2312" w:hAnsi="仿宋" w:eastAsia="仿宋_GB2312"/>
          <w:b w:val="0"/>
          <w:bCs/>
          <w:sz w:val="24"/>
          <w:highlight w:val="none"/>
          <w:lang w:val="zh-CN"/>
        </w:rPr>
      </w:pPr>
      <w:r>
        <w:rPr>
          <w:rFonts w:hint="eastAsia" w:ascii="仿宋_GB2312" w:hAnsi="仿宋" w:eastAsia="仿宋_GB2312"/>
          <w:b w:val="0"/>
          <w:bCs/>
          <w:sz w:val="24"/>
          <w:highlight w:val="none"/>
          <w:lang w:val="zh-CN"/>
        </w:rPr>
        <w:t>具体、明确的质疑事项和与质疑事项相关的请求；</w:t>
      </w:r>
    </w:p>
    <w:p>
      <w:pPr>
        <w:pageBreakBefore w:val="0"/>
        <w:widowControl w:val="0"/>
        <w:numPr>
          <w:ilvl w:val="3"/>
          <w:numId w:val="3"/>
        </w:numPr>
        <w:tabs>
          <w:tab w:val="left" w:pos="210"/>
          <w:tab w:val="left" w:pos="1050"/>
        </w:tabs>
        <w:kinsoku/>
        <w:wordWrap/>
        <w:overflowPunct/>
        <w:topLinePunct w:val="0"/>
        <w:bidi w:val="0"/>
        <w:snapToGrid w:val="0"/>
        <w:spacing w:line="360" w:lineRule="auto"/>
        <w:ind w:left="850" w:leftChars="0" w:hanging="850" w:firstLineChars="0"/>
        <w:jc w:val="left"/>
        <w:textAlignment w:val="auto"/>
        <w:outlineLvl w:val="9"/>
        <w:rPr>
          <w:rFonts w:hint="eastAsia" w:ascii="仿宋_GB2312" w:hAnsi="仿宋" w:eastAsia="仿宋_GB2312"/>
          <w:b w:val="0"/>
          <w:bCs/>
          <w:sz w:val="24"/>
          <w:highlight w:val="none"/>
          <w:lang w:val="zh-CN"/>
        </w:rPr>
      </w:pPr>
      <w:r>
        <w:rPr>
          <w:rFonts w:hint="eastAsia" w:ascii="仿宋_GB2312" w:hAnsi="仿宋" w:eastAsia="仿宋_GB2312"/>
          <w:b w:val="0"/>
          <w:bCs/>
          <w:sz w:val="24"/>
          <w:highlight w:val="none"/>
          <w:lang w:val="zh-CN"/>
        </w:rPr>
        <w:t>事实依据；</w:t>
      </w:r>
    </w:p>
    <w:p>
      <w:pPr>
        <w:pageBreakBefore w:val="0"/>
        <w:widowControl w:val="0"/>
        <w:numPr>
          <w:ilvl w:val="3"/>
          <w:numId w:val="3"/>
        </w:numPr>
        <w:tabs>
          <w:tab w:val="left" w:pos="210"/>
          <w:tab w:val="left" w:pos="1050"/>
        </w:tabs>
        <w:kinsoku/>
        <w:wordWrap/>
        <w:overflowPunct/>
        <w:topLinePunct w:val="0"/>
        <w:bidi w:val="0"/>
        <w:snapToGrid w:val="0"/>
        <w:spacing w:line="360" w:lineRule="auto"/>
        <w:ind w:left="850" w:leftChars="0" w:hanging="850" w:firstLineChars="0"/>
        <w:jc w:val="left"/>
        <w:textAlignment w:val="auto"/>
        <w:outlineLvl w:val="9"/>
        <w:rPr>
          <w:rFonts w:hint="eastAsia" w:ascii="仿宋_GB2312" w:hAnsi="仿宋" w:eastAsia="仿宋_GB2312"/>
          <w:b w:val="0"/>
          <w:bCs/>
          <w:sz w:val="24"/>
          <w:highlight w:val="none"/>
          <w:lang w:val="zh-CN"/>
        </w:rPr>
      </w:pPr>
      <w:r>
        <w:rPr>
          <w:rFonts w:hint="eastAsia" w:ascii="仿宋_GB2312" w:hAnsi="仿宋" w:eastAsia="仿宋_GB2312"/>
          <w:b w:val="0"/>
          <w:bCs/>
          <w:sz w:val="24"/>
          <w:highlight w:val="none"/>
          <w:lang w:val="zh-CN"/>
        </w:rPr>
        <w:t>必要的法律依据；</w:t>
      </w:r>
    </w:p>
    <w:p>
      <w:pPr>
        <w:pageBreakBefore w:val="0"/>
        <w:widowControl w:val="0"/>
        <w:numPr>
          <w:ilvl w:val="3"/>
          <w:numId w:val="3"/>
        </w:numPr>
        <w:tabs>
          <w:tab w:val="left" w:pos="210"/>
          <w:tab w:val="left" w:pos="1050"/>
        </w:tabs>
        <w:kinsoku/>
        <w:wordWrap/>
        <w:overflowPunct/>
        <w:topLinePunct w:val="0"/>
        <w:bidi w:val="0"/>
        <w:snapToGrid w:val="0"/>
        <w:spacing w:line="360" w:lineRule="auto"/>
        <w:ind w:left="850" w:leftChars="0" w:hanging="850" w:firstLineChars="0"/>
        <w:jc w:val="left"/>
        <w:textAlignment w:val="auto"/>
        <w:outlineLvl w:val="9"/>
        <w:rPr>
          <w:rFonts w:hint="eastAsia" w:ascii="仿宋_GB2312" w:hAnsi="仿宋" w:eastAsia="仿宋_GB2312"/>
          <w:b w:val="0"/>
          <w:bCs/>
          <w:sz w:val="24"/>
          <w:highlight w:val="none"/>
          <w:lang w:val="zh-CN"/>
        </w:rPr>
      </w:pPr>
      <w:r>
        <w:rPr>
          <w:rFonts w:hint="eastAsia" w:ascii="仿宋_GB2312" w:hAnsi="仿宋" w:eastAsia="仿宋_GB2312"/>
          <w:b w:val="0"/>
          <w:bCs/>
          <w:sz w:val="24"/>
          <w:highlight w:val="none"/>
          <w:lang w:val="zh-CN"/>
        </w:rPr>
        <w:t>提出质疑的日期。</w:t>
      </w:r>
    </w:p>
    <w:p>
      <w:pPr>
        <w:pageBreakBefore w:val="0"/>
        <w:widowControl w:val="0"/>
        <w:numPr>
          <w:ilvl w:val="0"/>
          <w:numId w:val="0"/>
        </w:numPr>
        <w:tabs>
          <w:tab w:val="left" w:pos="210"/>
        </w:tabs>
        <w:kinsoku/>
        <w:wordWrap/>
        <w:overflowPunct/>
        <w:topLinePunct w:val="0"/>
        <w:bidi w:val="0"/>
        <w:snapToGrid w:val="0"/>
        <w:spacing w:line="360" w:lineRule="auto"/>
        <w:ind w:leftChars="0" w:firstLine="480" w:firstLineChars="200"/>
        <w:jc w:val="left"/>
        <w:textAlignment w:val="auto"/>
        <w:outlineLvl w:val="9"/>
        <w:rPr>
          <w:rFonts w:hint="eastAsia" w:ascii="仿宋_GB2312" w:hAnsi="仿宋" w:eastAsia="仿宋_GB2312"/>
          <w:b w:val="0"/>
          <w:bCs/>
          <w:sz w:val="24"/>
          <w:highlight w:val="none"/>
          <w:lang w:val="zh-CN"/>
        </w:rPr>
      </w:pPr>
      <w:r>
        <w:rPr>
          <w:rFonts w:hint="eastAsia" w:ascii="仿宋_GB2312" w:hAnsi="仿宋" w:eastAsia="仿宋_GB2312"/>
          <w:b w:val="0"/>
          <w:bCs/>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pPr>
        <w:pageBreakBefore w:val="0"/>
        <w:widowControl w:val="0"/>
        <w:numPr>
          <w:ilvl w:val="0"/>
          <w:numId w:val="0"/>
        </w:numPr>
        <w:tabs>
          <w:tab w:val="left" w:pos="210"/>
        </w:tabs>
        <w:kinsoku/>
        <w:wordWrap/>
        <w:overflowPunct/>
        <w:topLinePunct w:val="0"/>
        <w:bidi w:val="0"/>
        <w:snapToGrid w:val="0"/>
        <w:spacing w:line="360" w:lineRule="auto"/>
        <w:ind w:leftChars="0" w:firstLine="480" w:firstLineChars="200"/>
        <w:jc w:val="left"/>
        <w:textAlignment w:val="auto"/>
        <w:outlineLvl w:val="9"/>
        <w:rPr>
          <w:rFonts w:hint="eastAsia" w:ascii="仿宋_GB2312" w:hAnsi="仿宋" w:eastAsia="仿宋_GB2312"/>
          <w:b w:val="0"/>
          <w:bCs/>
          <w:sz w:val="24"/>
          <w:highlight w:val="none"/>
          <w:lang w:val="zh-CN"/>
        </w:rPr>
      </w:pPr>
      <w:r>
        <w:rPr>
          <w:rFonts w:hint="eastAsia" w:ascii="仿宋_GB2312" w:hAnsi="仿宋" w:eastAsia="仿宋_GB2312"/>
          <w:b w:val="0"/>
          <w:bCs/>
          <w:sz w:val="24"/>
          <w:highlight w:val="none"/>
          <w:lang w:val="zh-CN"/>
        </w:rPr>
        <w:t>质疑函范本及制作说明详见附件2。</w:t>
      </w:r>
    </w:p>
    <w:p>
      <w:pPr>
        <w:pageBreakBefore w:val="0"/>
        <w:widowControl w:val="0"/>
        <w:numPr>
          <w:ilvl w:val="2"/>
          <w:numId w:val="3"/>
        </w:numPr>
        <w:tabs>
          <w:tab w:val="left" w:pos="210"/>
          <w:tab w:val="left" w:pos="840"/>
        </w:tabs>
        <w:kinsoku/>
        <w:wordWrap/>
        <w:overflowPunct/>
        <w:topLinePunct w:val="0"/>
        <w:bidi w:val="0"/>
        <w:snapToGrid w:val="0"/>
        <w:spacing w:line="360" w:lineRule="auto"/>
        <w:ind w:left="850" w:leftChars="0" w:hanging="850" w:firstLineChars="0"/>
        <w:jc w:val="left"/>
        <w:textAlignment w:val="auto"/>
        <w:outlineLvl w:val="9"/>
        <w:rPr>
          <w:rFonts w:hint="eastAsia" w:ascii="仿宋_GB2312" w:hAnsi="仿宋" w:eastAsia="仿宋_GB2312"/>
          <w:b w:val="0"/>
          <w:bCs/>
          <w:sz w:val="24"/>
          <w:highlight w:val="none"/>
          <w:lang w:val="zh-CN"/>
        </w:rPr>
      </w:pPr>
      <w:r>
        <w:rPr>
          <w:rFonts w:hint="eastAsia" w:ascii="仿宋_GB2312" w:hAnsi="仿宋" w:eastAsia="仿宋_GB2312"/>
          <w:b w:val="0"/>
          <w:bCs/>
          <w:sz w:val="24"/>
          <w:highlight w:val="none"/>
          <w:lang w:val="zh-CN"/>
        </w:rPr>
        <w:t>对同一采购程序环节的质疑，供应商须在法定质疑期内一次性提出。</w:t>
      </w:r>
    </w:p>
    <w:p>
      <w:pPr>
        <w:pageBreakBefore w:val="0"/>
        <w:widowControl w:val="0"/>
        <w:numPr>
          <w:ilvl w:val="2"/>
          <w:numId w:val="3"/>
        </w:numPr>
        <w:tabs>
          <w:tab w:val="left" w:pos="210"/>
          <w:tab w:val="left" w:pos="840"/>
        </w:tabs>
        <w:kinsoku/>
        <w:wordWrap/>
        <w:overflowPunct/>
        <w:topLinePunct w:val="0"/>
        <w:bidi w:val="0"/>
        <w:snapToGrid w:val="0"/>
        <w:spacing w:line="360" w:lineRule="auto"/>
        <w:ind w:left="850" w:leftChars="0" w:hanging="850" w:firstLineChars="0"/>
        <w:jc w:val="left"/>
        <w:textAlignment w:val="auto"/>
        <w:outlineLvl w:val="9"/>
        <w:rPr>
          <w:rFonts w:hint="eastAsia" w:ascii="仿宋_GB2312" w:hAnsi="仿宋" w:eastAsia="仿宋_GB2312"/>
          <w:b w:val="0"/>
          <w:bCs/>
          <w:sz w:val="24"/>
          <w:highlight w:val="none"/>
          <w:lang w:val="zh-CN"/>
        </w:rPr>
      </w:pPr>
      <w:r>
        <w:rPr>
          <w:rFonts w:hint="eastAsia" w:ascii="仿宋_GB2312" w:hAnsi="仿宋" w:eastAsia="仿宋_GB2312"/>
          <w:b w:val="0"/>
          <w:bCs/>
          <w:sz w:val="24"/>
          <w:highlight w:val="none"/>
          <w:lang w:val="zh-CN"/>
        </w:rPr>
        <w:t>采购人或者</w:t>
      </w:r>
      <w:r>
        <w:rPr>
          <w:rFonts w:hint="eastAsia" w:ascii="仿宋_GB2312" w:hAnsi="仿宋" w:eastAsia="仿宋_GB2312"/>
          <w:b w:val="0"/>
          <w:bCs/>
          <w:sz w:val="24"/>
          <w:highlight w:val="none"/>
          <w:lang w:val="zh-CN" w:eastAsia="zh-CN"/>
        </w:rPr>
        <w:t>采购代理机构</w:t>
      </w:r>
      <w:r>
        <w:rPr>
          <w:rFonts w:hint="eastAsia" w:ascii="仿宋_GB2312" w:hAnsi="仿宋" w:eastAsia="仿宋_GB2312"/>
          <w:b w:val="0"/>
          <w:bCs/>
          <w:sz w:val="24"/>
          <w:highlight w:val="none"/>
          <w:lang w:val="zh-CN"/>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_GB2312" w:hAnsi="仿宋" w:eastAsia="仿宋_GB2312"/>
          <w:b w:val="0"/>
          <w:bCs/>
          <w:sz w:val="24"/>
          <w:highlight w:val="none"/>
          <w:lang w:val="zh-CN" w:eastAsia="zh-CN"/>
        </w:rPr>
        <w:t>采购代理机构</w:t>
      </w:r>
      <w:r>
        <w:rPr>
          <w:rFonts w:hint="eastAsia" w:ascii="仿宋_GB2312" w:hAnsi="仿宋" w:eastAsia="仿宋_GB2312"/>
          <w:b w:val="0"/>
          <w:bCs/>
          <w:sz w:val="24"/>
          <w:highlight w:val="none"/>
          <w:lang w:val="zh-CN"/>
        </w:rPr>
        <w:t>在质疑回复后5个工作日内，在浙江政府采购网的“其他公告”栏目公开质疑答复，答复内容应当完整。质疑函作为附件上传。</w:t>
      </w:r>
    </w:p>
    <w:p>
      <w:pPr>
        <w:pageBreakBefore w:val="0"/>
        <w:widowControl w:val="0"/>
        <w:numPr>
          <w:ilvl w:val="2"/>
          <w:numId w:val="3"/>
        </w:numPr>
        <w:tabs>
          <w:tab w:val="left" w:pos="210"/>
        </w:tabs>
        <w:kinsoku/>
        <w:wordWrap/>
        <w:overflowPunct/>
        <w:topLinePunct w:val="0"/>
        <w:bidi w:val="0"/>
        <w:snapToGrid w:val="0"/>
        <w:spacing w:line="360" w:lineRule="auto"/>
        <w:ind w:left="850" w:leftChars="0" w:hanging="850" w:firstLineChars="0"/>
        <w:jc w:val="left"/>
        <w:textAlignment w:val="auto"/>
        <w:outlineLvl w:val="9"/>
        <w:rPr>
          <w:rFonts w:hint="eastAsia" w:ascii="仿宋_GB2312" w:hAnsi="仿宋" w:eastAsia="仿宋_GB2312"/>
          <w:b w:val="0"/>
          <w:bCs/>
          <w:sz w:val="24"/>
          <w:highlight w:val="none"/>
          <w:lang w:val="zh-CN"/>
        </w:rPr>
      </w:pPr>
      <w:r>
        <w:rPr>
          <w:rFonts w:hint="eastAsia" w:ascii="仿宋_GB2312" w:hAnsi="仿宋" w:eastAsia="仿宋_GB2312"/>
          <w:b w:val="0"/>
          <w:bCs/>
          <w:sz w:val="24"/>
          <w:highlight w:val="none"/>
          <w:lang w:val="zh-CN"/>
        </w:rPr>
        <w:t>询问或者质疑事项可能影响采购结果的，采购人应当暂停签订合同，已经签订合同的，应当中止履行合同。</w:t>
      </w:r>
    </w:p>
    <w:p>
      <w:pPr>
        <w:pageBreakBefore w:val="0"/>
        <w:widowControl w:val="0"/>
        <w:numPr>
          <w:ilvl w:val="1"/>
          <w:numId w:val="3"/>
        </w:numPr>
        <w:tabs>
          <w:tab w:val="left" w:pos="210"/>
        </w:tabs>
        <w:kinsoku/>
        <w:wordWrap/>
        <w:overflowPunct/>
        <w:topLinePunct w:val="0"/>
        <w:bidi w:val="0"/>
        <w:snapToGrid w:val="0"/>
        <w:spacing w:line="360" w:lineRule="auto"/>
        <w:ind w:left="567" w:leftChars="0" w:hanging="567" w:firstLineChars="0"/>
        <w:jc w:val="left"/>
        <w:textAlignment w:val="auto"/>
        <w:outlineLvl w:val="9"/>
        <w:rPr>
          <w:rFonts w:hint="eastAsia" w:ascii="仿宋_GB2312" w:hAnsi="仿宋" w:eastAsia="仿宋_GB2312"/>
          <w:b w:val="0"/>
          <w:bCs/>
          <w:sz w:val="24"/>
          <w:highlight w:val="none"/>
          <w:lang w:val="zh-CN"/>
        </w:rPr>
      </w:pPr>
      <w:r>
        <w:rPr>
          <w:rFonts w:hint="eastAsia" w:ascii="仿宋_GB2312" w:hAnsi="仿宋" w:eastAsia="仿宋_GB2312"/>
          <w:b w:val="0"/>
          <w:bCs/>
          <w:sz w:val="24"/>
          <w:highlight w:val="none"/>
          <w:lang w:val="zh-CN"/>
        </w:rPr>
        <w:t>供应商投诉</w:t>
      </w:r>
    </w:p>
    <w:p>
      <w:pPr>
        <w:pageBreakBefore w:val="0"/>
        <w:widowControl w:val="0"/>
        <w:numPr>
          <w:ilvl w:val="2"/>
          <w:numId w:val="3"/>
        </w:numPr>
        <w:tabs>
          <w:tab w:val="left" w:pos="210"/>
        </w:tabs>
        <w:kinsoku/>
        <w:wordWrap/>
        <w:overflowPunct/>
        <w:topLinePunct w:val="0"/>
        <w:bidi w:val="0"/>
        <w:snapToGrid w:val="0"/>
        <w:spacing w:line="360" w:lineRule="auto"/>
        <w:ind w:left="850" w:leftChars="0" w:hanging="850" w:firstLineChars="0"/>
        <w:jc w:val="left"/>
        <w:textAlignment w:val="auto"/>
        <w:outlineLvl w:val="9"/>
        <w:rPr>
          <w:rFonts w:hint="eastAsia" w:ascii="仿宋_GB2312" w:hAnsi="仿宋" w:eastAsia="仿宋_GB2312"/>
          <w:b w:val="0"/>
          <w:bCs/>
          <w:sz w:val="24"/>
          <w:highlight w:val="none"/>
          <w:lang w:val="zh-CN"/>
        </w:rPr>
      </w:pPr>
      <w:r>
        <w:rPr>
          <w:rFonts w:hint="eastAsia" w:ascii="仿宋_GB2312" w:hAnsi="仿宋" w:eastAsia="仿宋_GB2312"/>
          <w:b w:val="0"/>
          <w:bCs/>
          <w:sz w:val="24"/>
          <w:highlight w:val="none"/>
          <w:lang w:val="zh-CN"/>
        </w:rPr>
        <w:t>质疑供应商对采购人、</w:t>
      </w:r>
      <w:r>
        <w:rPr>
          <w:rFonts w:hint="eastAsia" w:ascii="仿宋_GB2312" w:hAnsi="仿宋" w:eastAsia="仿宋_GB2312"/>
          <w:b w:val="0"/>
          <w:bCs/>
          <w:sz w:val="24"/>
          <w:highlight w:val="none"/>
          <w:lang w:val="zh-CN" w:eastAsia="zh-CN"/>
        </w:rPr>
        <w:t>采购代理机构</w:t>
      </w:r>
      <w:r>
        <w:rPr>
          <w:rFonts w:hint="eastAsia" w:ascii="仿宋_GB2312" w:hAnsi="仿宋" w:eastAsia="仿宋_GB2312"/>
          <w:b w:val="0"/>
          <w:bCs/>
          <w:sz w:val="24"/>
          <w:highlight w:val="none"/>
          <w:lang w:val="zh-CN"/>
        </w:rPr>
        <w:t>的答复不满意或者采购人、</w:t>
      </w:r>
      <w:r>
        <w:rPr>
          <w:rFonts w:hint="eastAsia" w:ascii="仿宋_GB2312" w:hAnsi="仿宋" w:eastAsia="仿宋_GB2312"/>
          <w:b w:val="0"/>
          <w:bCs/>
          <w:sz w:val="24"/>
          <w:highlight w:val="none"/>
          <w:lang w:val="zh-CN" w:eastAsia="zh-CN"/>
        </w:rPr>
        <w:t>采购代理机构</w:t>
      </w:r>
      <w:r>
        <w:rPr>
          <w:rFonts w:hint="eastAsia" w:ascii="仿宋_GB2312" w:hAnsi="仿宋" w:eastAsia="仿宋_GB2312"/>
          <w:b w:val="0"/>
          <w:bCs/>
          <w:sz w:val="24"/>
          <w:highlight w:val="none"/>
          <w:lang w:val="zh-CN"/>
        </w:rPr>
        <w:t>未在规定的时间内作出答复的，可以在答复期满后十五个工作日内向同级政府采购监督管理部门提出投诉。</w:t>
      </w:r>
    </w:p>
    <w:p>
      <w:pPr>
        <w:pageBreakBefore w:val="0"/>
        <w:widowControl w:val="0"/>
        <w:numPr>
          <w:ilvl w:val="2"/>
          <w:numId w:val="3"/>
        </w:numPr>
        <w:tabs>
          <w:tab w:val="left" w:pos="210"/>
        </w:tabs>
        <w:kinsoku/>
        <w:wordWrap/>
        <w:overflowPunct/>
        <w:topLinePunct w:val="0"/>
        <w:bidi w:val="0"/>
        <w:snapToGrid w:val="0"/>
        <w:spacing w:line="360" w:lineRule="auto"/>
        <w:ind w:left="850" w:leftChars="0" w:hanging="850" w:firstLineChars="0"/>
        <w:jc w:val="left"/>
        <w:textAlignment w:val="auto"/>
        <w:outlineLvl w:val="9"/>
        <w:rPr>
          <w:rFonts w:hint="eastAsia" w:ascii="仿宋_GB2312" w:hAnsi="仿宋" w:eastAsia="仿宋_GB2312"/>
          <w:b w:val="0"/>
          <w:bCs/>
          <w:sz w:val="24"/>
          <w:highlight w:val="none"/>
          <w:lang w:val="zh-CN"/>
        </w:rPr>
      </w:pPr>
      <w:r>
        <w:rPr>
          <w:rFonts w:hint="eastAsia" w:ascii="仿宋_GB2312" w:hAnsi="仿宋" w:eastAsia="仿宋_GB2312"/>
          <w:b w:val="0"/>
          <w:bCs/>
          <w:sz w:val="24"/>
          <w:highlight w:val="none"/>
          <w:lang w:val="zh-CN"/>
        </w:rPr>
        <w:t>供应商投诉的事项不得超出已质疑事项的范围，基于质疑答复内容提出的投诉事项除外。</w:t>
      </w:r>
    </w:p>
    <w:p>
      <w:pPr>
        <w:pageBreakBefore w:val="0"/>
        <w:widowControl w:val="0"/>
        <w:numPr>
          <w:ilvl w:val="2"/>
          <w:numId w:val="3"/>
        </w:numPr>
        <w:tabs>
          <w:tab w:val="left" w:pos="210"/>
        </w:tabs>
        <w:kinsoku/>
        <w:wordWrap/>
        <w:overflowPunct/>
        <w:topLinePunct w:val="0"/>
        <w:bidi w:val="0"/>
        <w:snapToGrid w:val="0"/>
        <w:spacing w:line="360" w:lineRule="auto"/>
        <w:ind w:left="850" w:leftChars="0" w:hanging="850" w:firstLineChars="0"/>
        <w:jc w:val="left"/>
        <w:textAlignment w:val="auto"/>
        <w:outlineLvl w:val="9"/>
        <w:rPr>
          <w:rFonts w:hint="eastAsia" w:ascii="仿宋_GB2312" w:hAnsi="仿宋" w:eastAsia="仿宋_GB2312"/>
          <w:b w:val="0"/>
          <w:bCs/>
          <w:sz w:val="24"/>
          <w:highlight w:val="none"/>
          <w:lang w:val="zh-CN"/>
        </w:rPr>
      </w:pPr>
      <w:r>
        <w:rPr>
          <w:rFonts w:hint="eastAsia" w:ascii="仿宋_GB2312" w:hAnsi="仿宋" w:eastAsia="仿宋_GB2312"/>
          <w:b w:val="0"/>
          <w:bCs/>
          <w:sz w:val="24"/>
          <w:highlight w:val="none"/>
          <w:lang w:val="zh-CN"/>
        </w:rPr>
        <w:t>供应商投诉应当有明确的请求和必要的证明材料。</w:t>
      </w:r>
    </w:p>
    <w:p>
      <w:pPr>
        <w:pageBreakBefore w:val="0"/>
        <w:widowControl w:val="0"/>
        <w:numPr>
          <w:ilvl w:val="2"/>
          <w:numId w:val="3"/>
        </w:numPr>
        <w:tabs>
          <w:tab w:val="left" w:pos="210"/>
        </w:tabs>
        <w:kinsoku/>
        <w:wordWrap/>
        <w:overflowPunct/>
        <w:topLinePunct w:val="0"/>
        <w:bidi w:val="0"/>
        <w:snapToGrid w:val="0"/>
        <w:spacing w:line="360" w:lineRule="auto"/>
        <w:ind w:left="850" w:leftChars="0" w:hanging="850" w:firstLineChars="0"/>
        <w:jc w:val="left"/>
        <w:textAlignment w:val="auto"/>
        <w:outlineLvl w:val="9"/>
        <w:rPr>
          <w:rFonts w:hint="eastAsia" w:ascii="仿宋_GB2312" w:hAnsi="仿宋" w:eastAsia="仿宋_GB2312"/>
          <w:b w:val="0"/>
          <w:bCs/>
          <w:sz w:val="24"/>
          <w:highlight w:val="none"/>
          <w:lang w:val="zh-CN"/>
        </w:rPr>
      </w:pPr>
      <w:r>
        <w:rPr>
          <w:rFonts w:hint="eastAsia" w:ascii="仿宋_GB2312" w:hAnsi="仿宋" w:eastAsia="仿宋_GB2312"/>
          <w:b w:val="0"/>
          <w:bCs/>
          <w:sz w:val="24"/>
          <w:highlight w:val="none"/>
          <w:lang w:val="zh-CN"/>
        </w:rPr>
        <w:t>以联合体形式参加政府采购活动的，其投诉应当由组成联合体的所有供应商共同提出。</w:t>
      </w:r>
    </w:p>
    <w:p>
      <w:pPr>
        <w:pageBreakBefore w:val="0"/>
        <w:widowControl w:val="0"/>
        <w:numPr>
          <w:ilvl w:val="2"/>
          <w:numId w:val="3"/>
        </w:numPr>
        <w:tabs>
          <w:tab w:val="left" w:pos="210"/>
        </w:tabs>
        <w:kinsoku/>
        <w:wordWrap/>
        <w:overflowPunct/>
        <w:topLinePunct w:val="0"/>
        <w:bidi w:val="0"/>
        <w:snapToGrid w:val="0"/>
        <w:spacing w:line="360" w:lineRule="auto"/>
        <w:ind w:left="850" w:leftChars="0" w:hanging="850" w:firstLineChars="0"/>
        <w:jc w:val="left"/>
        <w:textAlignment w:val="auto"/>
        <w:outlineLvl w:val="9"/>
        <w:rPr>
          <w:rFonts w:hint="eastAsia" w:ascii="仿宋_GB2312" w:hAnsi="仿宋" w:eastAsia="仿宋_GB2312"/>
          <w:b w:val="0"/>
          <w:bCs/>
          <w:color w:val="FF0000"/>
          <w:sz w:val="24"/>
          <w:highlight w:val="none"/>
          <w:lang w:val="zh-CN"/>
        </w:rPr>
      </w:pPr>
      <w:r>
        <w:rPr>
          <w:rFonts w:hint="eastAsia" w:ascii="仿宋_GB2312" w:hAnsi="仿宋" w:eastAsia="仿宋_GB2312"/>
          <w:b w:val="0"/>
          <w:bCs/>
          <w:color w:val="auto"/>
          <w:sz w:val="24"/>
          <w:highlight w:val="none"/>
          <w:lang w:val="zh-CN" w:eastAsia="zh-CN"/>
        </w:rPr>
        <w:t>浙江省本级、杭州市本级、拱墅区、富阳区政府采购项目投诉材料可寄送浙江省政府采购行政裁决服务中心（杭州），地址：杭州市上城区四季青街道新业路市民之家G03办公室，收件人：朱女士，电话：15121014815。</w:t>
      </w:r>
      <w:r>
        <w:rPr>
          <w:rFonts w:hint="eastAsia" w:ascii="仿宋_GB2312" w:hAnsi="仿宋" w:eastAsia="仿宋_GB2312"/>
          <w:bCs/>
          <w:color w:val="FF0000"/>
          <w:sz w:val="24"/>
          <w:highlight w:val="none"/>
          <w:lang w:val="zh-CN"/>
        </w:rPr>
        <w:t>（</w:t>
      </w:r>
      <w:r>
        <w:rPr>
          <w:rFonts w:hint="eastAsia" w:ascii="仿宋_GB2312" w:hAnsi="仿宋" w:eastAsia="仿宋_GB2312"/>
          <w:bCs/>
          <w:color w:val="FF0000"/>
          <w:sz w:val="24"/>
          <w:highlight w:val="none"/>
        </w:rPr>
        <w:t>本项目不适用该条款</w:t>
      </w:r>
      <w:r>
        <w:rPr>
          <w:rFonts w:hint="eastAsia" w:ascii="仿宋_GB2312" w:hAnsi="仿宋" w:eastAsia="仿宋_GB2312"/>
          <w:bCs/>
          <w:color w:val="FF0000"/>
          <w:sz w:val="24"/>
          <w:highlight w:val="none"/>
          <w:lang w:val="zh-CN"/>
        </w:rPr>
        <w:t>）</w:t>
      </w:r>
    </w:p>
    <w:p>
      <w:pPr>
        <w:pageBreakBefore w:val="0"/>
        <w:widowControl w:val="0"/>
        <w:numPr>
          <w:ilvl w:val="0"/>
          <w:numId w:val="0"/>
        </w:numPr>
        <w:tabs>
          <w:tab w:val="left" w:pos="210"/>
        </w:tabs>
        <w:kinsoku/>
        <w:wordWrap/>
        <w:overflowPunct/>
        <w:topLinePunct w:val="0"/>
        <w:bidi w:val="0"/>
        <w:snapToGrid w:val="0"/>
        <w:spacing w:line="360" w:lineRule="auto"/>
        <w:ind w:firstLine="480" w:firstLineChars="200"/>
        <w:jc w:val="left"/>
        <w:textAlignment w:val="auto"/>
        <w:outlineLvl w:val="9"/>
        <w:rPr>
          <w:rFonts w:hint="eastAsia" w:ascii="仿宋_GB2312" w:hAnsi="仿宋" w:eastAsia="仿宋_GB2312" w:cs="Times New Roman"/>
          <w:b w:val="0"/>
          <w:bCs/>
          <w:kern w:val="2"/>
          <w:sz w:val="24"/>
          <w:szCs w:val="24"/>
          <w:highlight w:val="none"/>
          <w:lang w:val="zh-CN" w:eastAsia="zh-CN" w:bidi="ar-SA"/>
        </w:rPr>
      </w:pPr>
      <w:r>
        <w:rPr>
          <w:rFonts w:hint="eastAsia" w:ascii="仿宋_GB2312" w:hAnsi="仿宋" w:eastAsia="仿宋_GB2312"/>
          <w:b w:val="0"/>
          <w:bCs/>
          <w:sz w:val="24"/>
          <w:highlight w:val="none"/>
          <w:lang w:val="zh-CN"/>
        </w:rPr>
        <w:t>投诉书范本及制作说明详见附件3。</w:t>
      </w:r>
    </w:p>
    <w:p>
      <w:pPr>
        <w:rPr>
          <w:highlight w:val="none"/>
        </w:rPr>
      </w:pPr>
    </w:p>
    <w:p>
      <w:pPr>
        <w:adjustRightInd/>
        <w:spacing w:line="360" w:lineRule="auto"/>
        <w:jc w:val="center"/>
        <w:outlineLvl w:val="1"/>
        <w:rPr>
          <w:rFonts w:hint="eastAsia" w:ascii="仿宋_GB2312" w:hAnsi="仿宋" w:eastAsia="仿宋_GB2312" w:cs="仿宋_GB2312"/>
          <w:b/>
          <w:sz w:val="32"/>
          <w:szCs w:val="20"/>
          <w:highlight w:val="none"/>
        </w:rPr>
      </w:pPr>
      <w:bookmarkStart w:id="10" w:name="_Toc15283"/>
      <w:r>
        <w:rPr>
          <w:rFonts w:hint="eastAsia" w:ascii="仿宋_GB2312" w:hAnsi="仿宋" w:eastAsia="仿宋_GB2312" w:cs="仿宋_GB2312"/>
          <w:b/>
          <w:sz w:val="32"/>
          <w:szCs w:val="20"/>
          <w:highlight w:val="none"/>
        </w:rPr>
        <w:t>二、招标文件的构成、澄清、修改</w:t>
      </w:r>
      <w:bookmarkEnd w:id="10"/>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sz w:val="24"/>
          <w:highlight w:val="none"/>
        </w:rPr>
      </w:pPr>
      <w:r>
        <w:rPr>
          <w:rFonts w:hint="eastAsia" w:ascii="仿宋_GB2312" w:hAnsi="仿宋" w:eastAsia="仿宋_GB2312"/>
          <w:b/>
          <w:sz w:val="24"/>
          <w:highlight w:val="none"/>
        </w:rPr>
        <w:t>招标文件的构成</w:t>
      </w:r>
    </w:p>
    <w:p>
      <w:pPr>
        <w:keepNext w:val="0"/>
        <w:keepLines w:val="0"/>
        <w:pageBreakBefore w:val="0"/>
        <w:widowControl w:val="0"/>
        <w:numPr>
          <w:ilvl w:val="1"/>
          <w:numId w:val="3"/>
        </w:numPr>
        <w:tabs>
          <w:tab w:val="left" w:pos="210"/>
        </w:tabs>
        <w:kinsoku/>
        <w:wordWrap/>
        <w:overflowPunct/>
        <w:topLinePunct w:val="0"/>
        <w:autoSpaceDE/>
        <w:autoSpaceDN/>
        <w:bidi w:val="0"/>
        <w:adjustRightInd/>
        <w:snapToGrid w:val="0"/>
        <w:spacing w:line="360" w:lineRule="auto"/>
        <w:ind w:left="567" w:leftChars="0" w:hanging="567" w:firstLineChars="0"/>
        <w:jc w:val="left"/>
        <w:textAlignment w:val="auto"/>
        <w:outlineLvl w:val="9"/>
        <w:rPr>
          <w:rFonts w:hint="eastAsia" w:ascii="仿宋_GB2312" w:hAnsi="仿宋" w:eastAsia="仿宋_GB2312"/>
          <w:b w:val="0"/>
          <w:bCs/>
          <w:sz w:val="24"/>
          <w:highlight w:val="none"/>
        </w:rPr>
      </w:pPr>
      <w:r>
        <w:rPr>
          <w:rFonts w:hint="eastAsia" w:ascii="仿宋_GB2312" w:hAnsi="仿宋" w:eastAsia="仿宋_GB2312"/>
          <w:b w:val="0"/>
          <w:bCs/>
          <w:sz w:val="24"/>
          <w:highlight w:val="none"/>
        </w:rPr>
        <w:t>招标文件包括下列文件及附件：</w:t>
      </w:r>
    </w:p>
    <w:p>
      <w:pPr>
        <w:keepNext w:val="0"/>
        <w:keepLines w:val="0"/>
        <w:pageBreakBefore w:val="0"/>
        <w:widowControl w:val="0"/>
        <w:numPr>
          <w:ilvl w:val="2"/>
          <w:numId w:val="3"/>
        </w:numPr>
        <w:tabs>
          <w:tab w:val="left" w:pos="21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sz w:val="24"/>
          <w:highlight w:val="none"/>
        </w:rPr>
      </w:pPr>
      <w:r>
        <w:rPr>
          <w:rFonts w:hint="eastAsia" w:ascii="仿宋_GB2312" w:hAnsi="仿宋" w:eastAsia="仿宋_GB2312"/>
          <w:b w:val="0"/>
          <w:bCs/>
          <w:sz w:val="24"/>
          <w:highlight w:val="none"/>
        </w:rPr>
        <w:t>招标公告；</w:t>
      </w:r>
    </w:p>
    <w:p>
      <w:pPr>
        <w:keepNext w:val="0"/>
        <w:keepLines w:val="0"/>
        <w:pageBreakBefore w:val="0"/>
        <w:widowControl w:val="0"/>
        <w:numPr>
          <w:ilvl w:val="2"/>
          <w:numId w:val="3"/>
        </w:numPr>
        <w:tabs>
          <w:tab w:val="left" w:pos="21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sz w:val="24"/>
          <w:highlight w:val="none"/>
        </w:rPr>
      </w:pPr>
      <w:r>
        <w:rPr>
          <w:rFonts w:hint="eastAsia" w:ascii="仿宋_GB2312" w:hAnsi="仿宋" w:eastAsia="仿宋_GB2312"/>
          <w:b w:val="0"/>
          <w:bCs/>
          <w:sz w:val="24"/>
          <w:highlight w:val="none"/>
        </w:rPr>
        <w:t>投标人须知；</w:t>
      </w:r>
    </w:p>
    <w:p>
      <w:pPr>
        <w:keepNext w:val="0"/>
        <w:keepLines w:val="0"/>
        <w:pageBreakBefore w:val="0"/>
        <w:widowControl w:val="0"/>
        <w:numPr>
          <w:ilvl w:val="2"/>
          <w:numId w:val="3"/>
        </w:numPr>
        <w:tabs>
          <w:tab w:val="left" w:pos="21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sz w:val="24"/>
          <w:highlight w:val="none"/>
        </w:rPr>
      </w:pPr>
      <w:r>
        <w:rPr>
          <w:rFonts w:hint="eastAsia" w:ascii="仿宋_GB2312" w:hAnsi="仿宋" w:eastAsia="仿宋_GB2312"/>
          <w:b w:val="0"/>
          <w:bCs/>
          <w:sz w:val="24"/>
          <w:highlight w:val="none"/>
        </w:rPr>
        <w:t>采购需求；</w:t>
      </w:r>
    </w:p>
    <w:p>
      <w:pPr>
        <w:keepNext w:val="0"/>
        <w:keepLines w:val="0"/>
        <w:pageBreakBefore w:val="0"/>
        <w:widowControl w:val="0"/>
        <w:numPr>
          <w:ilvl w:val="2"/>
          <w:numId w:val="3"/>
        </w:numPr>
        <w:tabs>
          <w:tab w:val="left" w:pos="21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sz w:val="24"/>
          <w:highlight w:val="none"/>
        </w:rPr>
      </w:pPr>
      <w:r>
        <w:rPr>
          <w:rFonts w:hint="eastAsia" w:ascii="仿宋_GB2312" w:hAnsi="仿宋" w:eastAsia="仿宋_GB2312"/>
          <w:b w:val="0"/>
          <w:bCs/>
          <w:sz w:val="24"/>
          <w:highlight w:val="none"/>
        </w:rPr>
        <w:t>评标办法；</w:t>
      </w:r>
    </w:p>
    <w:p>
      <w:pPr>
        <w:keepNext w:val="0"/>
        <w:keepLines w:val="0"/>
        <w:pageBreakBefore w:val="0"/>
        <w:widowControl w:val="0"/>
        <w:numPr>
          <w:ilvl w:val="2"/>
          <w:numId w:val="3"/>
        </w:numPr>
        <w:tabs>
          <w:tab w:val="left" w:pos="21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sz w:val="24"/>
          <w:highlight w:val="none"/>
        </w:rPr>
      </w:pPr>
      <w:r>
        <w:rPr>
          <w:rFonts w:hint="eastAsia" w:ascii="仿宋_GB2312" w:hAnsi="仿宋" w:eastAsia="仿宋_GB2312"/>
          <w:b w:val="0"/>
          <w:bCs/>
          <w:sz w:val="24"/>
          <w:highlight w:val="none"/>
        </w:rPr>
        <w:t>拟签订的合同文本；</w:t>
      </w:r>
    </w:p>
    <w:p>
      <w:pPr>
        <w:keepNext w:val="0"/>
        <w:keepLines w:val="0"/>
        <w:pageBreakBefore w:val="0"/>
        <w:widowControl w:val="0"/>
        <w:numPr>
          <w:ilvl w:val="2"/>
          <w:numId w:val="3"/>
        </w:numPr>
        <w:tabs>
          <w:tab w:val="left" w:pos="21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sz w:val="24"/>
          <w:highlight w:val="none"/>
        </w:rPr>
      </w:pPr>
      <w:r>
        <w:rPr>
          <w:rFonts w:hint="eastAsia" w:ascii="仿宋_GB2312" w:hAnsi="仿宋" w:eastAsia="仿宋_GB2312"/>
          <w:b w:val="0"/>
          <w:bCs/>
          <w:sz w:val="24"/>
          <w:highlight w:val="none"/>
        </w:rPr>
        <w:t>应提交的有关格式范例。</w:t>
      </w:r>
    </w:p>
    <w:p>
      <w:pPr>
        <w:keepNext w:val="0"/>
        <w:keepLines w:val="0"/>
        <w:pageBreakBefore w:val="0"/>
        <w:widowControl w:val="0"/>
        <w:numPr>
          <w:ilvl w:val="1"/>
          <w:numId w:val="3"/>
        </w:numPr>
        <w:tabs>
          <w:tab w:val="left" w:pos="210"/>
        </w:tabs>
        <w:kinsoku/>
        <w:wordWrap/>
        <w:overflowPunct/>
        <w:topLinePunct w:val="0"/>
        <w:autoSpaceDE/>
        <w:autoSpaceDN/>
        <w:bidi w:val="0"/>
        <w:adjustRightInd/>
        <w:snapToGrid w:val="0"/>
        <w:spacing w:line="360" w:lineRule="auto"/>
        <w:ind w:left="567" w:leftChars="0" w:hanging="567" w:firstLineChars="0"/>
        <w:jc w:val="left"/>
        <w:textAlignment w:val="auto"/>
        <w:outlineLvl w:val="9"/>
        <w:rPr>
          <w:rFonts w:hint="eastAsia" w:ascii="仿宋_GB2312" w:hAnsi="仿宋" w:eastAsia="仿宋_GB2312"/>
          <w:b w:val="0"/>
          <w:bCs/>
          <w:sz w:val="24"/>
          <w:highlight w:val="none"/>
        </w:rPr>
      </w:pPr>
      <w:r>
        <w:rPr>
          <w:rFonts w:hint="eastAsia" w:ascii="仿宋_GB2312" w:hAnsi="仿宋" w:eastAsia="仿宋_GB2312"/>
          <w:b w:val="0"/>
          <w:bCs/>
          <w:sz w:val="24"/>
          <w:highlight w:val="none"/>
        </w:rPr>
        <w:t>与本项目有关的澄清或者修改的内容为招标文件的组成部分。</w:t>
      </w:r>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sz w:val="24"/>
          <w:highlight w:val="none"/>
        </w:rPr>
      </w:pPr>
      <w:r>
        <w:rPr>
          <w:rFonts w:hint="eastAsia" w:ascii="仿宋_GB2312" w:hAnsi="仿宋" w:eastAsia="仿宋_GB2312"/>
          <w:b/>
          <w:sz w:val="24"/>
          <w:highlight w:val="none"/>
        </w:rPr>
        <w:t>招标文件的澄清、修改</w:t>
      </w:r>
    </w:p>
    <w:p>
      <w:pPr>
        <w:keepNext w:val="0"/>
        <w:keepLines w:val="0"/>
        <w:pageBreakBefore w:val="0"/>
        <w:widowControl w:val="0"/>
        <w:numPr>
          <w:ilvl w:val="1"/>
          <w:numId w:val="3"/>
        </w:numPr>
        <w:tabs>
          <w:tab w:val="left" w:pos="210"/>
        </w:tabs>
        <w:kinsoku/>
        <w:wordWrap/>
        <w:overflowPunct/>
        <w:topLinePunct w:val="0"/>
        <w:autoSpaceDE/>
        <w:autoSpaceDN/>
        <w:bidi w:val="0"/>
        <w:adjustRightInd/>
        <w:snapToGrid w:val="0"/>
        <w:spacing w:line="360" w:lineRule="auto"/>
        <w:ind w:left="567" w:leftChars="0" w:hanging="567" w:firstLineChars="0"/>
        <w:jc w:val="left"/>
        <w:textAlignment w:val="auto"/>
        <w:outlineLvl w:val="9"/>
        <w:rPr>
          <w:rFonts w:hint="eastAsia" w:ascii="仿宋_GB2312" w:hAnsi="仿宋" w:eastAsia="仿宋_GB2312"/>
          <w:b w:val="0"/>
          <w:bCs/>
          <w:sz w:val="24"/>
          <w:highlight w:val="none"/>
        </w:rPr>
      </w:pPr>
      <w:r>
        <w:rPr>
          <w:rFonts w:hint="eastAsia" w:ascii="仿宋_GB2312" w:hAnsi="仿宋" w:eastAsia="仿宋_GB2312"/>
          <w:b w:val="0"/>
          <w:bCs/>
          <w:sz w:val="24"/>
          <w:highlight w:val="none"/>
        </w:rPr>
        <w:t>已获取招标文件的潜在投标人，若有问题需要澄清，应于投标截止时间前，以书面形式向</w:t>
      </w:r>
      <w:r>
        <w:rPr>
          <w:rFonts w:hint="eastAsia" w:ascii="仿宋_GB2312" w:hAnsi="仿宋" w:eastAsia="仿宋_GB2312"/>
          <w:b w:val="0"/>
          <w:bCs/>
          <w:sz w:val="24"/>
          <w:highlight w:val="none"/>
          <w:lang w:eastAsia="zh-CN"/>
        </w:rPr>
        <w:t>采购代理机构</w:t>
      </w:r>
      <w:r>
        <w:rPr>
          <w:rFonts w:hint="eastAsia" w:ascii="仿宋_GB2312" w:hAnsi="仿宋" w:eastAsia="仿宋_GB2312"/>
          <w:b w:val="0"/>
          <w:bCs/>
          <w:sz w:val="24"/>
          <w:highlight w:val="none"/>
        </w:rPr>
        <w:t>提出。</w:t>
      </w:r>
    </w:p>
    <w:p>
      <w:pPr>
        <w:keepNext w:val="0"/>
        <w:keepLines w:val="0"/>
        <w:pageBreakBefore w:val="0"/>
        <w:widowControl w:val="0"/>
        <w:numPr>
          <w:ilvl w:val="1"/>
          <w:numId w:val="3"/>
        </w:numPr>
        <w:tabs>
          <w:tab w:val="left" w:pos="210"/>
        </w:tabs>
        <w:kinsoku/>
        <w:wordWrap/>
        <w:overflowPunct/>
        <w:topLinePunct w:val="0"/>
        <w:autoSpaceDE/>
        <w:autoSpaceDN/>
        <w:bidi w:val="0"/>
        <w:adjustRightInd/>
        <w:snapToGrid w:val="0"/>
        <w:spacing w:line="360" w:lineRule="auto"/>
        <w:ind w:left="567" w:leftChars="0" w:hanging="567" w:firstLineChars="0"/>
        <w:jc w:val="left"/>
        <w:textAlignment w:val="auto"/>
        <w:outlineLvl w:val="9"/>
        <w:rPr>
          <w:rFonts w:hint="eastAsia" w:ascii="仿宋_GB2312" w:hAnsi="仿宋" w:eastAsia="仿宋_GB2312"/>
          <w:b w:val="0"/>
          <w:bCs/>
          <w:sz w:val="24"/>
          <w:highlight w:val="none"/>
        </w:rPr>
      </w:pPr>
      <w:r>
        <w:rPr>
          <w:rFonts w:hint="eastAsia" w:ascii="仿宋_GB2312" w:hAnsi="仿宋" w:eastAsia="仿宋_GB2312"/>
          <w:b w:val="0"/>
          <w:bCs/>
          <w:sz w:val="24"/>
          <w:highlight w:val="none"/>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r>
        <w:rPr>
          <w:rFonts w:hint="eastAsia" w:ascii="仿宋_GB2312" w:hAnsi="仿宋" w:eastAsia="仿宋_GB2312"/>
          <w:b w:val="0"/>
          <w:bCs/>
          <w:sz w:val="24"/>
          <w:highlight w:val="none"/>
          <w:lang w:eastAsia="zh-CN"/>
        </w:rPr>
        <w:t>。</w:t>
      </w:r>
    </w:p>
    <w:p>
      <w:pPr>
        <w:bidi w:val="0"/>
        <w:rPr>
          <w:highlight w:val="none"/>
          <w:lang w:val="en-US"/>
        </w:rPr>
      </w:pPr>
      <w:r>
        <w:rPr>
          <w:highlight w:val="none"/>
          <w:lang w:val="en-US"/>
        </w:rPr>
        <w:t xml:space="preserve">    </w:t>
      </w:r>
    </w:p>
    <w:p>
      <w:pPr>
        <w:adjustRightInd/>
        <w:spacing w:line="360" w:lineRule="auto"/>
        <w:jc w:val="center"/>
        <w:outlineLvl w:val="1"/>
        <w:rPr>
          <w:rFonts w:ascii="仿宋_GB2312" w:hAnsi="仿宋" w:eastAsia="仿宋_GB2312" w:cs="仿宋_GB2312"/>
          <w:b/>
          <w:sz w:val="30"/>
          <w:szCs w:val="20"/>
          <w:highlight w:val="none"/>
        </w:rPr>
      </w:pPr>
      <w:bookmarkStart w:id="11" w:name="_Toc4075"/>
      <w:r>
        <w:rPr>
          <w:rFonts w:hint="eastAsia" w:ascii="仿宋_GB2312" w:hAnsi="仿宋" w:eastAsia="仿宋_GB2312" w:cs="仿宋_GB2312"/>
          <w:b/>
          <w:sz w:val="30"/>
          <w:szCs w:val="20"/>
          <w:highlight w:val="none"/>
        </w:rPr>
        <w:t>三、投标</w:t>
      </w:r>
      <w:bookmarkEnd w:id="11"/>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sz w:val="24"/>
          <w:highlight w:val="none"/>
        </w:rPr>
      </w:pPr>
      <w:r>
        <w:rPr>
          <w:rFonts w:hint="eastAsia" w:ascii="仿宋_GB2312" w:hAnsi="仿宋" w:eastAsia="仿宋_GB2312"/>
          <w:b/>
          <w:sz w:val="24"/>
          <w:highlight w:val="none"/>
        </w:rPr>
        <w:t>招标文件的获取</w:t>
      </w:r>
    </w:p>
    <w:p>
      <w:pPr>
        <w:spacing w:line="360" w:lineRule="auto"/>
        <w:ind w:firstLine="420" w:firstLineChars="0"/>
        <w:rPr>
          <w:rFonts w:ascii="仿宋_GB2312" w:hAnsi="仿宋" w:eastAsia="仿宋_GB2312" w:cs="仿宋_GB2312"/>
          <w:snapToGrid w:val="0"/>
          <w:kern w:val="28"/>
          <w:sz w:val="24"/>
          <w:highlight w:val="none"/>
        </w:rPr>
      </w:pPr>
      <w:r>
        <w:rPr>
          <w:rFonts w:hint="eastAsia" w:ascii="仿宋_GB2312" w:hAnsi="仿宋" w:eastAsia="仿宋_GB2312" w:cs="仿宋_GB2312"/>
          <w:snapToGrid w:val="0"/>
          <w:kern w:val="28"/>
          <w:sz w:val="24"/>
          <w:highlight w:val="none"/>
        </w:rPr>
        <w:t>详见招标公告中获取招标文件的时间期限、地点、方式及招标文件售价。</w:t>
      </w:r>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sz w:val="24"/>
          <w:highlight w:val="none"/>
        </w:rPr>
      </w:pPr>
      <w:r>
        <w:rPr>
          <w:rFonts w:hint="eastAsia" w:ascii="仿宋_GB2312" w:hAnsi="仿宋" w:eastAsia="仿宋_GB2312"/>
          <w:b/>
          <w:sz w:val="24"/>
          <w:highlight w:val="none"/>
        </w:rPr>
        <w:t>开标前答疑会或现场考察</w:t>
      </w:r>
    </w:p>
    <w:p>
      <w:pPr>
        <w:pStyle w:val="23"/>
        <w:spacing w:line="360" w:lineRule="auto"/>
        <w:ind w:firstLine="420" w:firstLineChars="0"/>
        <w:rPr>
          <w:rFonts w:ascii="仿宋_GB2312" w:hAnsi="仿宋" w:eastAsia="仿宋_GB2312"/>
          <w:sz w:val="24"/>
          <w:szCs w:val="24"/>
          <w:highlight w:val="none"/>
        </w:rPr>
      </w:pPr>
      <w:r>
        <w:rPr>
          <w:rFonts w:hint="eastAsia" w:ascii="仿宋_GB2312" w:hAnsi="仿宋" w:eastAsia="仿宋_GB2312"/>
          <w:sz w:val="24"/>
          <w:szCs w:val="24"/>
          <w:highlight w:val="none"/>
        </w:rPr>
        <w:t>采购人组织潜在投标人现场考察或者召开开标前答疑会的，潜在投标人按第二部分投标人须知前附表的规定参加现场考察或者开标前答疑会。</w:t>
      </w:r>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sz w:val="24"/>
          <w:highlight w:val="none"/>
        </w:rPr>
      </w:pPr>
      <w:r>
        <w:rPr>
          <w:rFonts w:hint="eastAsia" w:ascii="仿宋_GB2312" w:hAnsi="仿宋" w:eastAsia="仿宋_GB2312"/>
          <w:b/>
          <w:sz w:val="24"/>
          <w:highlight w:val="none"/>
        </w:rPr>
        <w:t>投标保证金</w:t>
      </w:r>
    </w:p>
    <w:p>
      <w:pPr>
        <w:pStyle w:val="10"/>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sz w:val="24"/>
          <w:highlight w:val="none"/>
        </w:rPr>
      </w:pPr>
      <w:r>
        <w:rPr>
          <w:rFonts w:hint="eastAsia" w:ascii="仿宋_GB2312" w:hAnsi="仿宋" w:eastAsia="仿宋_GB2312"/>
          <w:b/>
          <w:sz w:val="24"/>
          <w:highlight w:val="none"/>
        </w:rPr>
        <w:t>投标文件的语言</w:t>
      </w:r>
    </w:p>
    <w:p>
      <w:pPr>
        <w:autoSpaceDE w:val="0"/>
        <w:autoSpaceDN w:val="0"/>
        <w:spacing w:line="360" w:lineRule="auto"/>
        <w:ind w:firstLine="480" w:firstLineChars="200"/>
        <w:rPr>
          <w:rFonts w:ascii="仿宋_GB2312" w:hAnsi="仿宋" w:eastAsia="仿宋_GB2312" w:cs="仿宋_GB2312"/>
          <w:sz w:val="24"/>
          <w:highlight w:val="none"/>
          <w:lang w:val="zh-CN"/>
        </w:rPr>
      </w:pPr>
      <w:r>
        <w:rPr>
          <w:rFonts w:hint="eastAsia" w:ascii="仿宋_GB2312" w:hAnsi="仿宋" w:eastAsia="仿宋_GB2312" w:cs="仿宋_GB2312"/>
          <w:sz w:val="24"/>
          <w:highlight w:val="none"/>
        </w:rPr>
        <w:t>投标文件及投标人与采购有关的来往通知、函件和文件均应使用中文。</w:t>
      </w:r>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sz w:val="24"/>
          <w:highlight w:val="none"/>
        </w:rPr>
      </w:pPr>
      <w:r>
        <w:rPr>
          <w:rFonts w:hint="eastAsia" w:ascii="仿宋_GB2312" w:hAnsi="仿宋" w:eastAsia="仿宋_GB2312"/>
          <w:b/>
          <w:sz w:val="24"/>
          <w:highlight w:val="none"/>
        </w:rPr>
        <w:t>投标文件的组成</w:t>
      </w:r>
    </w:p>
    <w:p>
      <w:pPr>
        <w:keepNext w:val="0"/>
        <w:keepLines w:val="0"/>
        <w:pageBreakBefore w:val="0"/>
        <w:widowControl w:val="0"/>
        <w:numPr>
          <w:ilvl w:val="1"/>
          <w:numId w:val="3"/>
        </w:numPr>
        <w:tabs>
          <w:tab w:val="left" w:pos="210"/>
          <w:tab w:val="left" w:pos="630"/>
          <w:tab w:val="left" w:pos="840"/>
        </w:tabs>
        <w:kinsoku/>
        <w:wordWrap/>
        <w:overflowPunct/>
        <w:topLinePunct w:val="0"/>
        <w:autoSpaceDE/>
        <w:autoSpaceDN/>
        <w:bidi w:val="0"/>
        <w:adjustRightInd/>
        <w:snapToGrid w:val="0"/>
        <w:spacing w:line="360" w:lineRule="auto"/>
        <w:ind w:left="567" w:leftChars="0" w:hanging="567" w:firstLineChars="0"/>
        <w:jc w:val="left"/>
        <w:textAlignment w:val="auto"/>
        <w:outlineLvl w:val="9"/>
        <w:rPr>
          <w:rFonts w:hint="eastAsia" w:ascii="仿宋_GB2312" w:hAnsi="仿宋" w:eastAsia="仿宋_GB2312"/>
          <w:b/>
          <w:bCs w:val="0"/>
          <w:sz w:val="24"/>
          <w:highlight w:val="none"/>
        </w:rPr>
      </w:pPr>
      <w:r>
        <w:rPr>
          <w:rFonts w:hint="eastAsia" w:ascii="仿宋_GB2312" w:hAnsi="仿宋" w:eastAsia="仿宋_GB2312"/>
          <w:b/>
          <w:bCs w:val="0"/>
          <w:sz w:val="24"/>
          <w:highlight w:val="none"/>
        </w:rPr>
        <w:t>资格文件：</w:t>
      </w:r>
    </w:p>
    <w:p>
      <w:pPr>
        <w:keepNext w:val="0"/>
        <w:keepLines w:val="0"/>
        <w:pageBreakBefore w:val="0"/>
        <w:widowControl w:val="0"/>
        <w:numPr>
          <w:ilvl w:val="2"/>
          <w:numId w:val="3"/>
        </w:numPr>
        <w:tabs>
          <w:tab w:val="left" w:pos="210"/>
          <w:tab w:val="left" w:pos="63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sz w:val="24"/>
          <w:highlight w:val="none"/>
        </w:rPr>
      </w:pPr>
      <w:r>
        <w:rPr>
          <w:rFonts w:hint="eastAsia" w:ascii="仿宋_GB2312" w:hAnsi="仿宋" w:eastAsia="仿宋_GB2312"/>
          <w:b w:val="0"/>
          <w:bCs/>
          <w:sz w:val="24"/>
          <w:highlight w:val="none"/>
        </w:rPr>
        <w:t>符合参加政府采购活动应当具备的一般条件的承诺函；</w:t>
      </w:r>
    </w:p>
    <w:p>
      <w:pPr>
        <w:keepNext w:val="0"/>
        <w:keepLines w:val="0"/>
        <w:pageBreakBefore w:val="0"/>
        <w:widowControl w:val="0"/>
        <w:numPr>
          <w:ilvl w:val="2"/>
          <w:numId w:val="3"/>
        </w:numPr>
        <w:tabs>
          <w:tab w:val="left" w:pos="210"/>
          <w:tab w:val="left" w:pos="63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sz w:val="24"/>
          <w:highlight w:val="none"/>
        </w:rPr>
      </w:pPr>
      <w:r>
        <w:rPr>
          <w:rFonts w:hint="eastAsia" w:ascii="仿宋_GB2312" w:hAnsi="仿宋" w:eastAsia="仿宋_GB2312"/>
          <w:b w:val="0"/>
          <w:bCs/>
          <w:sz w:val="24"/>
          <w:highlight w:val="none"/>
          <w:lang w:eastAsia="zh-CN"/>
        </w:rPr>
        <w:t>联合协议；</w:t>
      </w:r>
      <w:r>
        <w:rPr>
          <w:rFonts w:hint="eastAsia" w:ascii="仿宋_GB2312" w:hAnsi="仿宋" w:eastAsia="仿宋_GB2312"/>
          <w:b w:val="0"/>
          <w:bCs/>
          <w:color w:val="FF0000"/>
          <w:sz w:val="24"/>
          <w:highlight w:val="none"/>
          <w:lang w:eastAsia="zh-CN"/>
        </w:rPr>
        <w:t>（如果有）</w:t>
      </w:r>
    </w:p>
    <w:p>
      <w:pPr>
        <w:keepNext w:val="0"/>
        <w:keepLines w:val="0"/>
        <w:pageBreakBefore w:val="0"/>
        <w:widowControl w:val="0"/>
        <w:numPr>
          <w:ilvl w:val="2"/>
          <w:numId w:val="3"/>
        </w:numPr>
        <w:tabs>
          <w:tab w:val="left" w:pos="210"/>
          <w:tab w:val="left" w:pos="63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sz w:val="24"/>
          <w:highlight w:val="none"/>
        </w:rPr>
      </w:pPr>
      <w:r>
        <w:rPr>
          <w:rFonts w:hint="eastAsia" w:ascii="仿宋_GB2312" w:hAnsi="仿宋" w:eastAsia="仿宋_GB2312"/>
          <w:b w:val="0"/>
          <w:bCs/>
          <w:sz w:val="24"/>
          <w:highlight w:val="none"/>
        </w:rPr>
        <w:t>落实政府采购政策需满足的资格要求；</w:t>
      </w:r>
      <w:r>
        <w:rPr>
          <w:rFonts w:hint="eastAsia" w:ascii="仿宋_GB2312" w:hAnsi="仿宋" w:eastAsia="仿宋_GB2312"/>
          <w:b w:val="0"/>
          <w:bCs/>
          <w:color w:val="FF0000"/>
          <w:sz w:val="24"/>
          <w:highlight w:val="none"/>
          <w:lang w:eastAsia="zh-CN"/>
        </w:rPr>
        <w:t>（</w:t>
      </w:r>
      <w:r>
        <w:rPr>
          <w:rFonts w:hint="eastAsia" w:ascii="仿宋_GB2312" w:hAnsi="仿宋" w:eastAsia="仿宋_GB2312"/>
          <w:b w:val="0"/>
          <w:bCs/>
          <w:color w:val="FF0000"/>
          <w:sz w:val="24"/>
          <w:highlight w:val="none"/>
          <w:lang w:val="en-US" w:eastAsia="zh-CN"/>
        </w:rPr>
        <w:t>本项目面向所有企业</w:t>
      </w:r>
      <w:r>
        <w:rPr>
          <w:rFonts w:hint="eastAsia" w:ascii="仿宋_GB2312" w:hAnsi="仿宋" w:eastAsia="仿宋_GB2312"/>
          <w:b w:val="0"/>
          <w:bCs/>
          <w:color w:val="FF0000"/>
          <w:sz w:val="24"/>
          <w:highlight w:val="none"/>
          <w:lang w:eastAsia="zh-CN"/>
        </w:rPr>
        <w:t>）</w:t>
      </w:r>
    </w:p>
    <w:p>
      <w:pPr>
        <w:keepNext w:val="0"/>
        <w:keepLines w:val="0"/>
        <w:pageBreakBefore w:val="0"/>
        <w:widowControl w:val="0"/>
        <w:numPr>
          <w:ilvl w:val="2"/>
          <w:numId w:val="3"/>
        </w:numPr>
        <w:tabs>
          <w:tab w:val="left" w:pos="210"/>
          <w:tab w:val="left" w:pos="63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sz w:val="24"/>
          <w:highlight w:val="none"/>
        </w:rPr>
      </w:pPr>
      <w:r>
        <w:rPr>
          <w:rFonts w:hint="eastAsia" w:ascii="仿宋_GB2312" w:hAnsi="仿宋" w:eastAsia="仿宋_GB2312"/>
          <w:b w:val="0"/>
          <w:bCs/>
          <w:sz w:val="24"/>
          <w:highlight w:val="none"/>
        </w:rPr>
        <w:t>本项目的特定资格要求</w:t>
      </w:r>
      <w:r>
        <w:rPr>
          <w:rFonts w:hint="eastAsia" w:ascii="仿宋_GB2312" w:hAnsi="仿宋" w:eastAsia="仿宋_GB2312"/>
          <w:b w:val="0"/>
          <w:bCs/>
          <w:sz w:val="24"/>
          <w:highlight w:val="none"/>
          <w:lang w:eastAsia="zh-CN"/>
        </w:rPr>
        <w:t>。</w:t>
      </w:r>
      <w:r>
        <w:rPr>
          <w:rFonts w:hint="eastAsia" w:ascii="仿宋_GB2312" w:hAnsi="仿宋" w:eastAsia="仿宋_GB2312"/>
          <w:b w:val="0"/>
          <w:bCs/>
          <w:color w:val="FF0000"/>
          <w:sz w:val="24"/>
          <w:highlight w:val="none"/>
          <w:lang w:eastAsia="zh-CN"/>
        </w:rPr>
        <w:t>（具有新闻出版行政部门颁发的出版物经营许可证）</w:t>
      </w:r>
    </w:p>
    <w:p>
      <w:pPr>
        <w:keepNext w:val="0"/>
        <w:keepLines w:val="0"/>
        <w:pageBreakBefore w:val="0"/>
        <w:widowControl w:val="0"/>
        <w:numPr>
          <w:ilvl w:val="1"/>
          <w:numId w:val="3"/>
        </w:numPr>
        <w:tabs>
          <w:tab w:val="left" w:pos="210"/>
          <w:tab w:val="left" w:pos="630"/>
          <w:tab w:val="left" w:pos="840"/>
        </w:tabs>
        <w:kinsoku/>
        <w:wordWrap/>
        <w:overflowPunct/>
        <w:topLinePunct w:val="0"/>
        <w:autoSpaceDE/>
        <w:autoSpaceDN/>
        <w:bidi w:val="0"/>
        <w:adjustRightInd/>
        <w:snapToGrid w:val="0"/>
        <w:spacing w:line="360" w:lineRule="auto"/>
        <w:ind w:left="567" w:leftChars="0" w:hanging="567" w:firstLineChars="0"/>
        <w:jc w:val="left"/>
        <w:textAlignment w:val="auto"/>
        <w:outlineLvl w:val="9"/>
        <w:rPr>
          <w:rFonts w:hint="eastAsia" w:ascii="仿宋_GB2312" w:hAnsi="仿宋" w:eastAsia="仿宋_GB2312"/>
          <w:b/>
          <w:bCs w:val="0"/>
          <w:sz w:val="24"/>
          <w:highlight w:val="none"/>
          <w:lang w:val="zh-CN"/>
        </w:rPr>
      </w:pPr>
      <w:r>
        <w:rPr>
          <w:rFonts w:hint="eastAsia" w:ascii="仿宋_GB2312" w:hAnsi="仿宋" w:eastAsia="仿宋_GB2312"/>
          <w:b/>
          <w:bCs w:val="0"/>
          <w:sz w:val="24"/>
          <w:highlight w:val="none"/>
        </w:rPr>
        <w:t>商务技术</w:t>
      </w:r>
      <w:r>
        <w:rPr>
          <w:rFonts w:hint="eastAsia" w:ascii="仿宋_GB2312" w:hAnsi="仿宋" w:eastAsia="仿宋_GB2312"/>
          <w:b/>
          <w:bCs w:val="0"/>
          <w:sz w:val="24"/>
          <w:highlight w:val="none"/>
          <w:lang w:val="zh-CN"/>
        </w:rPr>
        <w:t>文件：</w:t>
      </w:r>
    </w:p>
    <w:p>
      <w:pPr>
        <w:keepNext w:val="0"/>
        <w:keepLines w:val="0"/>
        <w:pageBreakBefore w:val="0"/>
        <w:widowControl w:val="0"/>
        <w:numPr>
          <w:ilvl w:val="2"/>
          <w:numId w:val="3"/>
        </w:numPr>
        <w:tabs>
          <w:tab w:val="left" w:pos="210"/>
          <w:tab w:val="left" w:pos="63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sz w:val="24"/>
          <w:highlight w:val="none"/>
        </w:rPr>
      </w:pPr>
      <w:r>
        <w:rPr>
          <w:rFonts w:hint="eastAsia" w:ascii="仿宋_GB2312" w:hAnsi="仿宋" w:eastAsia="仿宋_GB2312"/>
          <w:b w:val="0"/>
          <w:bCs/>
          <w:sz w:val="24"/>
          <w:highlight w:val="none"/>
        </w:rPr>
        <w:t>投标函；</w:t>
      </w:r>
      <w:r>
        <w:rPr>
          <w:rFonts w:hint="eastAsia" w:ascii="仿宋_GB2312" w:hAnsi="仿宋" w:eastAsia="仿宋_GB2312"/>
          <w:b w:val="0"/>
          <w:bCs/>
          <w:sz w:val="24"/>
          <w:highlight w:val="none"/>
          <w:lang w:val="zh-CN"/>
        </w:rPr>
        <w:t xml:space="preserve"> </w:t>
      </w:r>
    </w:p>
    <w:p>
      <w:pPr>
        <w:keepNext w:val="0"/>
        <w:keepLines w:val="0"/>
        <w:pageBreakBefore w:val="0"/>
        <w:widowControl w:val="0"/>
        <w:numPr>
          <w:ilvl w:val="2"/>
          <w:numId w:val="3"/>
        </w:numPr>
        <w:tabs>
          <w:tab w:val="left" w:pos="210"/>
          <w:tab w:val="left" w:pos="63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sz w:val="24"/>
          <w:highlight w:val="none"/>
        </w:rPr>
      </w:pPr>
      <w:r>
        <w:rPr>
          <w:rFonts w:hint="eastAsia" w:ascii="仿宋_GB2312" w:hAnsi="仿宋" w:eastAsia="仿宋_GB2312"/>
          <w:b w:val="0"/>
          <w:bCs/>
          <w:sz w:val="24"/>
          <w:highlight w:val="none"/>
        </w:rPr>
        <w:t>授权委托书或法定代表人（单位负责人、自然人本人）身份证明；</w:t>
      </w:r>
    </w:p>
    <w:p>
      <w:pPr>
        <w:keepNext w:val="0"/>
        <w:keepLines w:val="0"/>
        <w:pageBreakBefore w:val="0"/>
        <w:widowControl w:val="0"/>
        <w:numPr>
          <w:ilvl w:val="2"/>
          <w:numId w:val="3"/>
        </w:numPr>
        <w:tabs>
          <w:tab w:val="left" w:pos="210"/>
          <w:tab w:val="left" w:pos="63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分包意向协议；</w:t>
      </w:r>
      <w:r>
        <w:rPr>
          <w:rFonts w:hint="eastAsia" w:ascii="仿宋_GB2312" w:hAnsi="仿宋" w:eastAsia="仿宋_GB2312"/>
          <w:b w:val="0"/>
          <w:bCs/>
          <w:color w:val="FF0000"/>
          <w:sz w:val="24"/>
          <w:highlight w:val="none"/>
          <w:lang w:eastAsia="zh-CN"/>
        </w:rPr>
        <w:t>（如果有）</w:t>
      </w:r>
    </w:p>
    <w:p>
      <w:pPr>
        <w:keepNext w:val="0"/>
        <w:keepLines w:val="0"/>
        <w:pageBreakBefore w:val="0"/>
        <w:widowControl w:val="0"/>
        <w:numPr>
          <w:ilvl w:val="2"/>
          <w:numId w:val="3"/>
        </w:numPr>
        <w:tabs>
          <w:tab w:val="left" w:pos="210"/>
          <w:tab w:val="left" w:pos="63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sz w:val="24"/>
          <w:highlight w:val="none"/>
        </w:rPr>
      </w:pPr>
      <w:r>
        <w:rPr>
          <w:rFonts w:hint="eastAsia" w:ascii="仿宋_GB2312" w:hAnsi="仿宋" w:eastAsia="仿宋_GB2312"/>
          <w:b w:val="0"/>
          <w:bCs/>
          <w:sz w:val="24"/>
          <w:highlight w:val="none"/>
        </w:rPr>
        <w:t>符合性审查资料；</w:t>
      </w:r>
    </w:p>
    <w:p>
      <w:pPr>
        <w:keepNext w:val="0"/>
        <w:keepLines w:val="0"/>
        <w:pageBreakBefore w:val="0"/>
        <w:widowControl w:val="0"/>
        <w:numPr>
          <w:ilvl w:val="2"/>
          <w:numId w:val="3"/>
        </w:numPr>
        <w:tabs>
          <w:tab w:val="left" w:pos="210"/>
          <w:tab w:val="left" w:pos="63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sz w:val="24"/>
          <w:highlight w:val="none"/>
        </w:rPr>
      </w:pPr>
      <w:r>
        <w:rPr>
          <w:rFonts w:hint="eastAsia" w:ascii="仿宋_GB2312" w:hAnsi="仿宋" w:eastAsia="仿宋_GB2312"/>
          <w:b w:val="0"/>
          <w:bCs/>
          <w:sz w:val="24"/>
          <w:highlight w:val="none"/>
        </w:rPr>
        <w:t>评标标准相应的商务技术资料；</w:t>
      </w:r>
    </w:p>
    <w:p>
      <w:pPr>
        <w:keepNext w:val="0"/>
        <w:keepLines w:val="0"/>
        <w:pageBreakBefore w:val="0"/>
        <w:widowControl w:val="0"/>
        <w:numPr>
          <w:ilvl w:val="2"/>
          <w:numId w:val="3"/>
        </w:numPr>
        <w:tabs>
          <w:tab w:val="left" w:pos="210"/>
          <w:tab w:val="left" w:pos="63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sz w:val="24"/>
          <w:highlight w:val="none"/>
        </w:rPr>
      </w:pPr>
      <w:r>
        <w:rPr>
          <w:rFonts w:hint="eastAsia" w:ascii="仿宋_GB2312" w:hAnsi="仿宋" w:eastAsia="仿宋_GB2312"/>
          <w:b w:val="0"/>
          <w:bCs/>
          <w:sz w:val="24"/>
          <w:highlight w:val="none"/>
        </w:rPr>
        <w:t>投标标的清单；</w:t>
      </w:r>
    </w:p>
    <w:p>
      <w:pPr>
        <w:keepNext w:val="0"/>
        <w:keepLines w:val="0"/>
        <w:pageBreakBefore w:val="0"/>
        <w:widowControl w:val="0"/>
        <w:numPr>
          <w:ilvl w:val="2"/>
          <w:numId w:val="3"/>
        </w:numPr>
        <w:tabs>
          <w:tab w:val="left" w:pos="210"/>
          <w:tab w:val="left" w:pos="63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sz w:val="24"/>
          <w:highlight w:val="none"/>
        </w:rPr>
      </w:pPr>
      <w:r>
        <w:rPr>
          <w:rFonts w:hint="eastAsia" w:ascii="仿宋_GB2312" w:hAnsi="仿宋" w:eastAsia="仿宋_GB2312"/>
          <w:b w:val="0"/>
          <w:bCs/>
          <w:sz w:val="24"/>
          <w:highlight w:val="none"/>
        </w:rPr>
        <w:t>商务技术偏离表；</w:t>
      </w:r>
    </w:p>
    <w:p>
      <w:pPr>
        <w:keepNext w:val="0"/>
        <w:keepLines w:val="0"/>
        <w:pageBreakBefore w:val="0"/>
        <w:widowControl w:val="0"/>
        <w:numPr>
          <w:ilvl w:val="2"/>
          <w:numId w:val="3"/>
        </w:numPr>
        <w:tabs>
          <w:tab w:val="left" w:pos="210"/>
          <w:tab w:val="left" w:pos="63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sz w:val="24"/>
          <w:highlight w:val="none"/>
          <w:lang w:val="zh-CN"/>
        </w:rPr>
      </w:pPr>
      <w:r>
        <w:rPr>
          <w:rFonts w:hint="eastAsia" w:ascii="仿宋_GB2312" w:hAnsi="仿宋" w:eastAsia="仿宋_GB2312"/>
          <w:b w:val="0"/>
          <w:bCs/>
          <w:sz w:val="24"/>
          <w:highlight w:val="none"/>
          <w:lang w:val="zh-CN"/>
        </w:rPr>
        <w:t>政府采购供应商廉洁自律承诺书。</w:t>
      </w:r>
    </w:p>
    <w:p>
      <w:pPr>
        <w:keepNext w:val="0"/>
        <w:keepLines w:val="0"/>
        <w:pageBreakBefore w:val="0"/>
        <w:widowControl w:val="0"/>
        <w:numPr>
          <w:ilvl w:val="1"/>
          <w:numId w:val="3"/>
        </w:numPr>
        <w:tabs>
          <w:tab w:val="left" w:pos="210"/>
          <w:tab w:val="left" w:pos="630"/>
          <w:tab w:val="left" w:pos="840"/>
        </w:tabs>
        <w:kinsoku/>
        <w:wordWrap/>
        <w:overflowPunct/>
        <w:topLinePunct w:val="0"/>
        <w:autoSpaceDE/>
        <w:autoSpaceDN/>
        <w:bidi w:val="0"/>
        <w:adjustRightInd/>
        <w:snapToGrid w:val="0"/>
        <w:spacing w:line="360" w:lineRule="auto"/>
        <w:ind w:left="567" w:leftChars="0" w:hanging="567" w:firstLineChars="0"/>
        <w:jc w:val="left"/>
        <w:textAlignment w:val="auto"/>
        <w:outlineLvl w:val="9"/>
        <w:rPr>
          <w:rFonts w:hint="eastAsia" w:ascii="仿宋_GB2312" w:hAnsi="仿宋" w:eastAsia="仿宋_GB2312"/>
          <w:b/>
          <w:bCs w:val="0"/>
          <w:sz w:val="24"/>
          <w:highlight w:val="none"/>
          <w:lang w:val="zh-CN"/>
        </w:rPr>
      </w:pPr>
      <w:r>
        <w:rPr>
          <w:rFonts w:hint="eastAsia" w:ascii="仿宋_GB2312" w:hAnsi="仿宋" w:eastAsia="仿宋_GB2312"/>
          <w:b/>
          <w:bCs w:val="0"/>
          <w:sz w:val="24"/>
          <w:highlight w:val="none"/>
        </w:rPr>
        <w:t xml:space="preserve">报价文件： </w:t>
      </w:r>
    </w:p>
    <w:p>
      <w:pPr>
        <w:keepNext w:val="0"/>
        <w:keepLines w:val="0"/>
        <w:pageBreakBefore w:val="0"/>
        <w:widowControl w:val="0"/>
        <w:numPr>
          <w:ilvl w:val="2"/>
          <w:numId w:val="3"/>
        </w:numPr>
        <w:tabs>
          <w:tab w:val="left" w:pos="210"/>
          <w:tab w:val="left" w:pos="63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sz w:val="24"/>
          <w:highlight w:val="none"/>
        </w:rPr>
      </w:pPr>
      <w:r>
        <w:rPr>
          <w:rFonts w:hint="eastAsia" w:ascii="仿宋_GB2312" w:hAnsi="仿宋" w:eastAsia="仿宋_GB2312"/>
          <w:b w:val="0"/>
          <w:bCs/>
          <w:sz w:val="24"/>
          <w:highlight w:val="none"/>
        </w:rPr>
        <w:t>开标一览表（报价表）；</w:t>
      </w:r>
    </w:p>
    <w:p>
      <w:pPr>
        <w:keepNext w:val="0"/>
        <w:keepLines w:val="0"/>
        <w:pageBreakBefore w:val="0"/>
        <w:widowControl w:val="0"/>
        <w:numPr>
          <w:ilvl w:val="2"/>
          <w:numId w:val="3"/>
        </w:numPr>
        <w:tabs>
          <w:tab w:val="left" w:pos="210"/>
          <w:tab w:val="left" w:pos="63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default" w:ascii="仿宋_GB2312" w:hAnsi="仿宋" w:eastAsia="仿宋_GB2312"/>
          <w:b w:val="0"/>
          <w:bCs/>
          <w:sz w:val="24"/>
          <w:highlight w:val="none"/>
          <w:lang w:val="en-US" w:eastAsia="zh-CN"/>
        </w:rPr>
      </w:pPr>
      <w:bookmarkStart w:id="136" w:name="_GoBack"/>
      <w:bookmarkEnd w:id="136"/>
      <w:r>
        <w:rPr>
          <w:rFonts w:hint="eastAsia" w:ascii="仿宋_GB2312" w:hAnsi="仿宋" w:eastAsia="仿宋_GB2312"/>
          <w:b w:val="0"/>
          <w:bCs/>
          <w:sz w:val="24"/>
          <w:highlight w:val="none"/>
          <w:lang w:val="en-US" w:eastAsia="zh-CN"/>
        </w:rPr>
        <w:t>成本测算表；</w:t>
      </w:r>
    </w:p>
    <w:p>
      <w:pPr>
        <w:keepNext w:val="0"/>
        <w:keepLines w:val="0"/>
        <w:pageBreakBefore w:val="0"/>
        <w:widowControl w:val="0"/>
        <w:numPr>
          <w:ilvl w:val="2"/>
          <w:numId w:val="3"/>
        </w:numPr>
        <w:tabs>
          <w:tab w:val="left" w:pos="210"/>
          <w:tab w:val="left" w:pos="63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sz w:val="24"/>
          <w:highlight w:val="none"/>
        </w:rPr>
      </w:pPr>
      <w:r>
        <w:rPr>
          <w:rFonts w:hint="eastAsia" w:ascii="仿宋_GB2312" w:hAnsi="仿宋" w:eastAsia="仿宋_GB2312"/>
          <w:b w:val="0"/>
          <w:bCs/>
          <w:sz w:val="24"/>
          <w:highlight w:val="none"/>
        </w:rPr>
        <w:t>中小企业声明函。</w:t>
      </w:r>
      <w:r>
        <w:rPr>
          <w:rFonts w:hint="eastAsia" w:ascii="仿宋_GB2312" w:hAnsi="仿宋" w:eastAsia="仿宋_GB2312"/>
          <w:b w:val="0"/>
          <w:bCs/>
          <w:sz w:val="24"/>
          <w:highlight w:val="none"/>
          <w:lang w:eastAsia="zh-CN"/>
        </w:rPr>
        <w:t>（</w:t>
      </w:r>
      <w:r>
        <w:rPr>
          <w:rFonts w:hint="eastAsia" w:ascii="仿宋_GB2312" w:hAnsi="仿宋" w:eastAsia="仿宋_GB2312"/>
          <w:b w:val="0"/>
          <w:bCs/>
          <w:sz w:val="24"/>
          <w:highlight w:val="none"/>
          <w:lang w:val="en-US" w:eastAsia="zh-CN"/>
        </w:rPr>
        <w:t>如果有</w:t>
      </w:r>
      <w:r>
        <w:rPr>
          <w:rFonts w:hint="eastAsia" w:ascii="仿宋_GB2312" w:hAnsi="仿宋" w:eastAsia="仿宋_GB2312"/>
          <w:b w:val="0"/>
          <w:bCs/>
          <w:sz w:val="24"/>
          <w:highlight w:val="none"/>
          <w:lang w:eastAsia="zh-CN"/>
        </w:rPr>
        <w:t>）</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ascii="仿宋_GB2312" w:hAnsi="仿宋" w:eastAsia="仿宋_GB2312"/>
          <w:b/>
          <w:sz w:val="24"/>
          <w:highlight w:val="none"/>
        </w:rPr>
      </w:pPr>
      <w:r>
        <w:rPr>
          <w:rFonts w:hint="eastAsia" w:ascii="仿宋_GB2312" w:hAnsi="仿宋" w:eastAsia="仿宋_GB2312"/>
          <w:b/>
          <w:sz w:val="24"/>
          <w:highlight w:val="none"/>
        </w:rPr>
        <w:t>投标文件含有采购人不能接受的附加条件的，投标无效；</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ascii="仿宋_GB2312" w:hAnsi="仿宋" w:eastAsia="仿宋_GB2312" w:cs="仿宋_GB2312"/>
          <w:b/>
          <w:sz w:val="24"/>
          <w:szCs w:val="21"/>
          <w:highlight w:val="none"/>
        </w:rPr>
      </w:pPr>
      <w:r>
        <w:rPr>
          <w:rFonts w:hint="eastAsia" w:ascii="仿宋_GB2312" w:hAnsi="仿宋" w:eastAsia="仿宋_GB2312"/>
          <w:b/>
          <w:sz w:val="24"/>
          <w:highlight w:val="none"/>
        </w:rPr>
        <w:t>投标人提供虚假材料投标的，投标无效。</w:t>
      </w:r>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sz w:val="24"/>
          <w:highlight w:val="none"/>
        </w:rPr>
      </w:pPr>
      <w:r>
        <w:rPr>
          <w:rFonts w:hint="eastAsia" w:ascii="仿宋_GB2312" w:hAnsi="仿宋" w:eastAsia="仿宋_GB2312"/>
          <w:b/>
          <w:sz w:val="24"/>
          <w:highlight w:val="none"/>
        </w:rPr>
        <w:t>投标文件的编制</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sz w:val="24"/>
          <w:highlight w:val="none"/>
        </w:rPr>
      </w:pPr>
      <w:r>
        <w:rPr>
          <w:rFonts w:hint="eastAsia" w:ascii="仿宋_GB2312" w:hAnsi="仿宋" w:eastAsia="仿宋_GB2312"/>
          <w:b w:val="0"/>
          <w:bCs/>
          <w:sz w:val="24"/>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sz w:val="24"/>
          <w:highlight w:val="none"/>
          <w:lang w:val="zh-CN"/>
        </w:rPr>
      </w:pPr>
      <w:r>
        <w:rPr>
          <w:rFonts w:hint="eastAsia" w:ascii="仿宋_GB2312" w:hAnsi="仿宋" w:eastAsia="仿宋_GB2312"/>
          <w:b w:val="0"/>
          <w:bCs/>
          <w:sz w:val="24"/>
          <w:highlight w:val="none"/>
          <w:lang w:val="zh-CN"/>
        </w:rPr>
        <w:t>投标人进行电子投标应安装客户端软件—“政采云电子交易客户端”，并按照招标文件和电子交易平台的要求编制并加密投标文件。投标人未按规定加密的投标文件，电子交易平台将拒收并提示。</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sz w:val="24"/>
          <w:highlight w:val="none"/>
          <w:lang w:val="zh-CN"/>
        </w:rPr>
      </w:pPr>
      <w:r>
        <w:rPr>
          <w:rFonts w:hint="eastAsia" w:ascii="仿宋_GB2312" w:hAnsi="仿宋" w:eastAsia="仿宋_GB2312"/>
          <w:b w:val="0"/>
          <w:bCs/>
          <w:sz w:val="24"/>
          <w:highlight w:val="none"/>
          <w:lang w:val="zh-CN"/>
        </w:rPr>
        <w:t>使用“政采云电子交易客户端”需要提前申领CA数字证书，申领流程请自行前往“浙江政府采购网-下载专区-电子交易客户端-CA驱动和申领流程”进行查阅。</w:t>
      </w:r>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sz w:val="24"/>
          <w:highlight w:val="none"/>
        </w:rPr>
      </w:pPr>
      <w:r>
        <w:rPr>
          <w:rFonts w:hint="eastAsia" w:ascii="仿宋_GB2312" w:hAnsi="仿宋" w:eastAsia="仿宋_GB2312"/>
          <w:b/>
          <w:sz w:val="24"/>
          <w:highlight w:val="none"/>
        </w:rPr>
        <w:t>投标文件的签署、盖章</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567" w:leftChars="0" w:hanging="567" w:firstLineChars="0"/>
        <w:jc w:val="left"/>
        <w:textAlignment w:val="auto"/>
        <w:outlineLvl w:val="9"/>
        <w:rPr>
          <w:rFonts w:hint="eastAsia" w:ascii="仿宋_GB2312" w:hAnsi="仿宋" w:eastAsia="仿宋_GB2312"/>
          <w:b w:val="0"/>
          <w:bCs/>
          <w:sz w:val="24"/>
          <w:highlight w:val="none"/>
        </w:rPr>
      </w:pPr>
      <w:r>
        <w:rPr>
          <w:rFonts w:hint="eastAsia" w:ascii="仿宋_GB2312" w:hAnsi="仿宋" w:eastAsia="仿宋_GB2312"/>
          <w:b w:val="0"/>
          <w:bCs/>
          <w:sz w:val="24"/>
          <w:highlight w:val="none"/>
        </w:rPr>
        <w:t>投标文件按照招标文件第六部分格式要求进行签署、盖章。</w:t>
      </w:r>
    </w:p>
    <w:p>
      <w:pPr>
        <w:pStyle w:val="111"/>
        <w:keepNext w:val="0"/>
        <w:keepLines w:val="0"/>
        <w:pageBreakBefore w:val="0"/>
        <w:widowControl w:val="0"/>
        <w:kinsoku/>
        <w:wordWrap/>
        <w:overflowPunct/>
        <w:topLinePunct w:val="0"/>
        <w:autoSpaceDE/>
        <w:autoSpaceDN/>
        <w:bidi w:val="0"/>
        <w:adjustRightInd/>
        <w:snapToGrid w:val="0"/>
        <w:spacing w:before="0"/>
        <w:ind w:left="0" w:leftChars="0" w:firstLine="482" w:firstLineChars="200"/>
        <w:textAlignment w:val="auto"/>
        <w:outlineLvl w:val="9"/>
        <w:rPr>
          <w:rFonts w:ascii="仿宋_GB2312" w:hAnsi="仿宋" w:eastAsia="仿宋_GB2312" w:cs="仿宋_GB2312"/>
          <w:b/>
          <w:highlight w:val="none"/>
        </w:rPr>
      </w:pPr>
      <w:r>
        <w:rPr>
          <w:rFonts w:hint="eastAsia" w:ascii="仿宋_GB2312" w:hAnsi="仿宋" w:eastAsia="仿宋_GB2312"/>
          <w:b/>
          <w:highlight w:val="none"/>
        </w:rPr>
        <w:t>▲</w:t>
      </w:r>
      <w:r>
        <w:rPr>
          <w:rFonts w:hint="eastAsia" w:ascii="仿宋_GB2312" w:hAnsi="仿宋" w:eastAsia="仿宋_GB2312" w:cs="仿宋_GB2312"/>
          <w:b/>
          <w:highlight w:val="none"/>
        </w:rPr>
        <w:t>投标人的投标文件未按照招标文件要求签署、盖章的，其投标无效</w:t>
      </w:r>
      <w:r>
        <w:rPr>
          <w:rFonts w:hint="eastAsia" w:ascii="仿宋_GB2312" w:hAnsi="仿宋" w:eastAsia="仿宋_GB2312" w:cs="仿宋_GB2312"/>
          <w:szCs w:val="24"/>
          <w:highlight w:val="none"/>
        </w:rPr>
        <w:t>。</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7" w:leftChars="0" w:hanging="627" w:firstLineChars="0"/>
        <w:jc w:val="left"/>
        <w:textAlignment w:val="auto"/>
        <w:outlineLvl w:val="9"/>
        <w:rPr>
          <w:rFonts w:hint="eastAsia" w:ascii="仿宋_GB2312" w:hAnsi="仿宋" w:eastAsia="仿宋_GB2312"/>
          <w:b w:val="0"/>
          <w:bCs/>
          <w:sz w:val="24"/>
          <w:highlight w:val="none"/>
        </w:rPr>
      </w:pPr>
      <w:r>
        <w:rPr>
          <w:rFonts w:hint="eastAsia" w:ascii="仿宋_GB2312" w:hAnsi="仿宋" w:eastAsia="仿宋_GB2312"/>
          <w:b w:val="0"/>
          <w:bCs/>
          <w:sz w:val="24"/>
          <w:highlight w:val="none"/>
        </w:rPr>
        <w:t>为确保网上操作合法、有效和安全，投标人应当在投标截止时间前完成在“政府采购云平台”的身份认证，确保在电子投标过程中能够对相关数据电文进行加密和使用电子签名。</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7" w:leftChars="0" w:hanging="627" w:firstLineChars="0"/>
        <w:jc w:val="left"/>
        <w:textAlignment w:val="auto"/>
        <w:outlineLvl w:val="9"/>
        <w:rPr>
          <w:rFonts w:hint="eastAsia" w:ascii="仿宋_GB2312" w:hAnsi="仿宋" w:eastAsia="仿宋_GB2312"/>
          <w:b w:val="0"/>
          <w:bCs/>
          <w:sz w:val="24"/>
          <w:highlight w:val="none"/>
        </w:rPr>
      </w:pPr>
      <w:r>
        <w:rPr>
          <w:rFonts w:hint="eastAsia" w:ascii="仿宋_GB2312" w:hAnsi="仿宋" w:eastAsia="仿宋_GB2312"/>
          <w:b w:val="0"/>
          <w:bCs/>
          <w:sz w:val="24"/>
          <w:highlight w:val="none"/>
        </w:rPr>
        <w:t>招标文件对投标文件签署、盖章的要求适用于电子签名。</w:t>
      </w:r>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sz w:val="24"/>
          <w:highlight w:val="none"/>
        </w:rPr>
      </w:pPr>
      <w:r>
        <w:rPr>
          <w:rFonts w:hint="eastAsia" w:ascii="仿宋_GB2312" w:hAnsi="仿宋" w:eastAsia="仿宋_GB2312"/>
          <w:b/>
          <w:sz w:val="24"/>
          <w:highlight w:val="none"/>
        </w:rPr>
        <w:t>投标文件的提交、补充、修改、撤回</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7" w:leftChars="0" w:hanging="627" w:firstLineChars="0"/>
        <w:jc w:val="left"/>
        <w:textAlignment w:val="auto"/>
        <w:outlineLvl w:val="9"/>
        <w:rPr>
          <w:rFonts w:hint="eastAsia" w:ascii="仿宋_GB2312" w:hAnsi="仿宋" w:eastAsia="仿宋_GB2312"/>
          <w:b w:val="0"/>
          <w:bCs/>
          <w:sz w:val="24"/>
          <w:highlight w:val="none"/>
        </w:rPr>
      </w:pPr>
      <w:r>
        <w:rPr>
          <w:rFonts w:hint="eastAsia" w:ascii="仿宋_GB2312" w:hAnsi="仿宋" w:eastAsia="仿宋_GB2312"/>
          <w:b w:val="0"/>
          <w:bCs/>
          <w:sz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567" w:leftChars="0" w:hanging="567" w:firstLineChars="0"/>
        <w:jc w:val="left"/>
        <w:textAlignment w:val="auto"/>
        <w:outlineLvl w:val="9"/>
        <w:rPr>
          <w:rFonts w:hint="eastAsia" w:ascii="仿宋_GB2312" w:hAnsi="仿宋" w:eastAsia="仿宋_GB2312"/>
          <w:b w:val="0"/>
          <w:bCs/>
          <w:sz w:val="24"/>
          <w:highlight w:val="none"/>
        </w:rPr>
      </w:pPr>
      <w:r>
        <w:rPr>
          <w:rFonts w:hint="eastAsia" w:ascii="仿宋_GB2312" w:hAnsi="仿宋" w:eastAsia="仿宋_GB2312"/>
          <w:b w:val="0"/>
          <w:bCs/>
          <w:sz w:val="24"/>
          <w:highlight w:val="none"/>
        </w:rPr>
        <w:t>电子交易平台收到投标文件，将妥善保存并即时向供应商发出确认回执通知。在投标截止时间前，除供应商补充、修改或者撤回投标文件外，任何单位和个人不得解密或提取投标文件。</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567" w:leftChars="0" w:hanging="567" w:firstLineChars="0"/>
        <w:jc w:val="left"/>
        <w:textAlignment w:val="auto"/>
        <w:outlineLvl w:val="9"/>
        <w:rPr>
          <w:rFonts w:hint="eastAsia" w:ascii="仿宋_GB2312" w:hAnsi="仿宋" w:eastAsia="仿宋_GB2312"/>
          <w:b w:val="0"/>
          <w:bCs/>
          <w:sz w:val="24"/>
          <w:highlight w:val="none"/>
        </w:rPr>
      </w:pPr>
      <w:r>
        <w:rPr>
          <w:rFonts w:hint="eastAsia" w:ascii="仿宋_GB2312" w:hAnsi="仿宋" w:eastAsia="仿宋_GB2312"/>
          <w:b w:val="0"/>
          <w:bCs/>
          <w:sz w:val="24"/>
          <w:highlight w:val="none"/>
        </w:rPr>
        <w:t>采购人、</w:t>
      </w:r>
      <w:r>
        <w:rPr>
          <w:rFonts w:hint="eastAsia" w:ascii="仿宋_GB2312" w:hAnsi="仿宋" w:eastAsia="仿宋_GB2312"/>
          <w:b w:val="0"/>
          <w:bCs/>
          <w:sz w:val="24"/>
          <w:highlight w:val="none"/>
          <w:lang w:eastAsia="zh-CN"/>
        </w:rPr>
        <w:t>采购代理机构</w:t>
      </w:r>
      <w:r>
        <w:rPr>
          <w:rFonts w:hint="eastAsia" w:ascii="仿宋_GB2312" w:hAnsi="仿宋" w:eastAsia="仿宋_GB2312"/>
          <w:b w:val="0"/>
          <w:bCs/>
          <w:sz w:val="24"/>
          <w:highlight w:val="none"/>
        </w:rPr>
        <w:t>可以视情况延长投标文件提交的截止时间。在上述情况下，</w:t>
      </w:r>
      <w:r>
        <w:rPr>
          <w:rFonts w:hint="eastAsia" w:ascii="仿宋_GB2312" w:hAnsi="仿宋" w:eastAsia="仿宋_GB2312"/>
          <w:b w:val="0"/>
          <w:bCs/>
          <w:sz w:val="24"/>
          <w:highlight w:val="none"/>
          <w:lang w:eastAsia="zh-CN"/>
        </w:rPr>
        <w:t>采购代理机构</w:t>
      </w:r>
      <w:r>
        <w:rPr>
          <w:rFonts w:hint="eastAsia" w:ascii="仿宋_GB2312" w:hAnsi="仿宋" w:eastAsia="仿宋_GB2312"/>
          <w:b w:val="0"/>
          <w:bCs/>
          <w:sz w:val="24"/>
          <w:highlight w:val="none"/>
        </w:rPr>
        <w:t>与投标人以前在投标截止期方面的全部权利、责任和义务，将适用于延长至新的投标截止期。</w:t>
      </w:r>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sz w:val="24"/>
          <w:highlight w:val="none"/>
        </w:rPr>
      </w:pPr>
      <w:r>
        <w:rPr>
          <w:rFonts w:hint="eastAsia" w:ascii="仿宋_GB2312" w:hAnsi="仿宋" w:eastAsia="仿宋_GB2312"/>
          <w:b/>
          <w:sz w:val="24"/>
          <w:highlight w:val="none"/>
        </w:rPr>
        <w:t>备份投标文件</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sz w:val="24"/>
          <w:highlight w:val="none"/>
        </w:rPr>
      </w:pPr>
      <w:r>
        <w:rPr>
          <w:rFonts w:hint="eastAsia" w:ascii="仿宋_GB2312" w:hAnsi="仿宋" w:eastAsia="仿宋_GB2312"/>
          <w:b w:val="0"/>
          <w:bCs/>
          <w:sz w:val="24"/>
          <w:highlight w:val="none"/>
        </w:rPr>
        <w:t>投标人在电子交易平台传输递交投标文件后，还可以在投标截止时间前直接提交或者以邮政快递方式递交备份投标文件1份，</w:t>
      </w:r>
      <w:r>
        <w:rPr>
          <w:rFonts w:hint="eastAsia" w:ascii="仿宋_GB2312" w:hAnsi="仿宋" w:eastAsia="仿宋_GB2312"/>
          <w:b/>
          <w:bCs w:val="0"/>
          <w:sz w:val="24"/>
          <w:highlight w:val="none"/>
        </w:rPr>
        <w:t>但采购人、</w:t>
      </w:r>
      <w:r>
        <w:rPr>
          <w:rFonts w:hint="eastAsia" w:ascii="仿宋_GB2312" w:hAnsi="仿宋" w:eastAsia="仿宋_GB2312"/>
          <w:b/>
          <w:bCs w:val="0"/>
          <w:sz w:val="24"/>
          <w:highlight w:val="none"/>
          <w:lang w:eastAsia="zh-CN"/>
        </w:rPr>
        <w:t>采购代理机构</w:t>
      </w:r>
      <w:r>
        <w:rPr>
          <w:rFonts w:hint="eastAsia" w:ascii="仿宋_GB2312" w:hAnsi="仿宋" w:eastAsia="仿宋_GB2312"/>
          <w:b/>
          <w:bCs w:val="0"/>
          <w:sz w:val="24"/>
          <w:highlight w:val="none"/>
        </w:rPr>
        <w:t>不强制或变相强制投标人提交备份投标文件</w:t>
      </w:r>
      <w:r>
        <w:rPr>
          <w:rFonts w:hint="eastAsia" w:ascii="仿宋_GB2312" w:hAnsi="仿宋" w:eastAsia="仿宋_GB2312"/>
          <w:b w:val="0"/>
          <w:bCs/>
          <w:sz w:val="24"/>
          <w:highlight w:val="none"/>
        </w:rPr>
        <w:t>。</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sz w:val="24"/>
          <w:highlight w:val="none"/>
        </w:rPr>
      </w:pPr>
      <w:r>
        <w:rPr>
          <w:rFonts w:hint="eastAsia" w:ascii="仿宋_GB2312" w:hAnsi="仿宋" w:eastAsia="仿宋_GB2312"/>
          <w:b w:val="0"/>
          <w:bCs/>
          <w:sz w:val="24"/>
          <w:highlight w:val="none"/>
        </w:rPr>
        <w:t>备份投标文件须在“政采云投标客户端”制作生成，并储存在DVD光盘</w:t>
      </w:r>
      <w:r>
        <w:rPr>
          <w:rFonts w:hint="eastAsia" w:ascii="仿宋_GB2312" w:hAnsi="仿宋" w:eastAsia="仿宋_GB2312"/>
          <w:b w:val="0"/>
          <w:bCs/>
          <w:sz w:val="24"/>
          <w:highlight w:val="none"/>
          <w:lang w:eastAsia="zh-CN"/>
        </w:rPr>
        <w:t>或</w:t>
      </w:r>
      <w:r>
        <w:rPr>
          <w:rFonts w:hint="eastAsia" w:ascii="仿宋_GB2312" w:hAnsi="仿宋" w:eastAsia="仿宋_GB2312"/>
          <w:b w:val="0"/>
          <w:bCs/>
          <w:sz w:val="24"/>
          <w:highlight w:val="none"/>
          <w:lang w:val="en-US" w:eastAsia="zh-CN"/>
        </w:rPr>
        <w:t>U盘</w:t>
      </w:r>
      <w:r>
        <w:rPr>
          <w:rFonts w:hint="eastAsia" w:ascii="仿宋_GB2312" w:hAnsi="仿宋" w:eastAsia="仿宋_GB2312"/>
          <w:b w:val="0"/>
          <w:bCs/>
          <w:sz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_GB2312" w:hAnsi="仿宋" w:eastAsia="仿宋_GB2312"/>
          <w:b/>
          <w:bCs w:val="0"/>
          <w:sz w:val="24"/>
          <w:highlight w:val="none"/>
        </w:rPr>
        <w:t>不符合上述制作、存储、密封规定的备份投标文件将被视为无效或者被拒绝接收。</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sz w:val="24"/>
          <w:highlight w:val="none"/>
        </w:rPr>
      </w:pPr>
      <w:r>
        <w:rPr>
          <w:rFonts w:hint="eastAsia" w:ascii="仿宋_GB2312" w:hAnsi="仿宋" w:eastAsia="仿宋_GB2312"/>
          <w:b w:val="0"/>
          <w:bCs/>
          <w:sz w:val="24"/>
          <w:highlight w:val="none"/>
        </w:rPr>
        <w:t>直接提交备份投标文件的，投标人应于投标截止时间前在招标公告中载明的开标地点将备份投标文件提交给</w:t>
      </w:r>
      <w:r>
        <w:rPr>
          <w:rFonts w:hint="eastAsia" w:ascii="仿宋_GB2312" w:hAnsi="仿宋" w:eastAsia="仿宋_GB2312"/>
          <w:b w:val="0"/>
          <w:bCs/>
          <w:sz w:val="24"/>
          <w:highlight w:val="none"/>
          <w:lang w:eastAsia="zh-CN"/>
        </w:rPr>
        <w:t>采购代理机构</w:t>
      </w:r>
      <w:r>
        <w:rPr>
          <w:rFonts w:hint="eastAsia" w:ascii="仿宋_GB2312" w:hAnsi="仿宋" w:eastAsia="仿宋_GB2312"/>
          <w:b w:val="0"/>
          <w:bCs/>
          <w:sz w:val="24"/>
          <w:highlight w:val="none"/>
        </w:rPr>
        <w:t>，</w:t>
      </w:r>
      <w:r>
        <w:rPr>
          <w:rFonts w:hint="eastAsia" w:ascii="仿宋_GB2312" w:hAnsi="仿宋" w:eastAsia="仿宋_GB2312"/>
          <w:b/>
          <w:bCs w:val="0"/>
          <w:sz w:val="24"/>
          <w:highlight w:val="none"/>
          <w:lang w:eastAsia="zh-CN"/>
        </w:rPr>
        <w:t>采购代理机构</w:t>
      </w:r>
      <w:r>
        <w:rPr>
          <w:rFonts w:hint="eastAsia" w:ascii="仿宋_GB2312" w:hAnsi="仿宋" w:eastAsia="仿宋_GB2312"/>
          <w:b/>
          <w:bCs w:val="0"/>
          <w:sz w:val="24"/>
          <w:highlight w:val="none"/>
        </w:rPr>
        <w:t>将拒绝接受逾期送达的备份投标文件</w:t>
      </w:r>
      <w:r>
        <w:rPr>
          <w:rFonts w:hint="eastAsia" w:ascii="仿宋_GB2312" w:hAnsi="仿宋" w:eastAsia="仿宋_GB2312"/>
          <w:b w:val="0"/>
          <w:bCs/>
          <w:sz w:val="24"/>
          <w:highlight w:val="none"/>
        </w:rPr>
        <w:t>。</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sz w:val="24"/>
          <w:highlight w:val="none"/>
        </w:rPr>
      </w:pPr>
      <w:r>
        <w:rPr>
          <w:rFonts w:hint="eastAsia" w:ascii="仿宋_GB2312" w:hAnsi="仿宋" w:eastAsia="仿宋_GB2312"/>
          <w:b w:val="0"/>
          <w:bCs/>
          <w:sz w:val="24"/>
          <w:highlight w:val="none"/>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ascii="仿宋_GB2312" w:hAnsi="仿宋" w:eastAsia="仿宋_GB2312"/>
          <w:b w:val="0"/>
          <w:bCs/>
          <w:sz w:val="24"/>
          <w:highlight w:val="none"/>
          <w:lang w:eastAsia="zh-CN"/>
        </w:rPr>
        <w:t>采购代理机构</w:t>
      </w:r>
      <w:r>
        <w:rPr>
          <w:rFonts w:hint="eastAsia" w:ascii="仿宋_GB2312" w:hAnsi="仿宋" w:eastAsia="仿宋_GB2312"/>
          <w:b w:val="0"/>
          <w:bCs/>
          <w:sz w:val="24"/>
          <w:highlight w:val="none"/>
        </w:rPr>
        <w:t>将拒绝接受逾期送达的备份投标文件。邮寄过程中，电子备份投标文件发生泄露、遗失、损坏或延期送达等情况的，由投标人自行负责。</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bCs w:val="0"/>
          <w:sz w:val="24"/>
          <w:highlight w:val="none"/>
        </w:rPr>
      </w:pPr>
      <w:r>
        <w:rPr>
          <w:rFonts w:hint="eastAsia" w:ascii="仿宋_GB2312" w:hAnsi="仿宋" w:eastAsia="仿宋_GB2312"/>
          <w:b/>
          <w:bCs w:val="0"/>
          <w:sz w:val="24"/>
          <w:highlight w:val="none"/>
        </w:rPr>
        <w:t>投标人仅提交备份投标文件，</w:t>
      </w:r>
      <w:r>
        <w:rPr>
          <w:rFonts w:hint="eastAsia" w:ascii="仿宋_GB2312" w:hAnsi="仿宋" w:eastAsia="仿宋_GB2312"/>
          <w:b/>
          <w:bCs w:val="0"/>
          <w:sz w:val="24"/>
          <w:highlight w:val="none"/>
          <w:lang w:eastAsia="zh-CN"/>
        </w:rPr>
        <w:t>未</w:t>
      </w:r>
      <w:r>
        <w:rPr>
          <w:rFonts w:hint="eastAsia" w:ascii="仿宋_GB2312" w:hAnsi="仿宋" w:eastAsia="仿宋_GB2312"/>
          <w:b/>
          <w:bCs w:val="0"/>
          <w:sz w:val="24"/>
          <w:highlight w:val="none"/>
        </w:rPr>
        <w:t>在电子交易平台传输递交投标文件的，投标无效。</w:t>
      </w:r>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sz w:val="24"/>
          <w:highlight w:val="none"/>
        </w:rPr>
      </w:pPr>
      <w:r>
        <w:rPr>
          <w:rFonts w:hint="eastAsia" w:ascii="仿宋_GB2312" w:hAnsi="仿宋" w:eastAsia="仿宋_GB2312"/>
          <w:b/>
          <w:sz w:val="24"/>
          <w:highlight w:val="none"/>
        </w:rPr>
        <w:t>投标文件的无效处理</w:t>
      </w:r>
    </w:p>
    <w:p>
      <w:pPr>
        <w:pStyle w:val="18"/>
        <w:spacing w:line="360" w:lineRule="auto"/>
        <w:ind w:firstLine="360" w:firstLineChars="150"/>
        <w:rPr>
          <w:rFonts w:ascii="仿宋_GB2312" w:hAnsi="仿宋" w:eastAsia="仿宋_GB2312" w:cs="仿宋_GB2312"/>
          <w:szCs w:val="21"/>
          <w:highlight w:val="none"/>
        </w:rPr>
      </w:pPr>
      <w:r>
        <w:rPr>
          <w:rFonts w:hint="eastAsia" w:ascii="仿宋_GB2312" w:hAnsi="仿宋" w:eastAsia="仿宋_GB2312" w:cs="仿宋_GB2312"/>
          <w:szCs w:val="21"/>
          <w:highlight w:val="none"/>
        </w:rPr>
        <w:t>有招标文件第四部分</w:t>
      </w:r>
      <w:r>
        <w:rPr>
          <w:rFonts w:hint="eastAsia" w:ascii="仿宋_GB2312" w:hAnsi="仿宋" w:eastAsia="仿宋_GB2312"/>
          <w:highlight w:val="none"/>
        </w:rPr>
        <w:t>第</w:t>
      </w:r>
      <w:r>
        <w:rPr>
          <w:rFonts w:hint="eastAsia" w:ascii="仿宋_GB2312" w:hAnsi="仿宋" w:eastAsia="仿宋_GB2312"/>
          <w:highlight w:val="none"/>
          <w:lang w:val="en-US" w:eastAsia="zh-CN"/>
        </w:rPr>
        <w:t>4.2</w:t>
      </w:r>
      <w:r>
        <w:rPr>
          <w:rFonts w:ascii="仿宋_GB2312" w:hAnsi="仿宋" w:eastAsia="仿宋_GB2312"/>
          <w:highlight w:val="none"/>
        </w:rPr>
        <w:t>项规定</w:t>
      </w:r>
      <w:r>
        <w:rPr>
          <w:rFonts w:hint="eastAsia" w:ascii="仿宋_GB2312" w:hAnsi="仿宋" w:eastAsia="仿宋_GB2312" w:cs="仿宋_GB2312"/>
          <w:szCs w:val="21"/>
          <w:highlight w:val="none"/>
        </w:rPr>
        <w:t>的情形之一的，投标无效：</w:t>
      </w:r>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sz w:val="24"/>
          <w:highlight w:val="none"/>
        </w:rPr>
      </w:pPr>
      <w:r>
        <w:rPr>
          <w:rFonts w:hint="eastAsia" w:ascii="仿宋_GB2312" w:hAnsi="仿宋" w:eastAsia="仿宋_GB2312"/>
          <w:b/>
          <w:sz w:val="24"/>
          <w:highlight w:val="none"/>
        </w:rPr>
        <w:t>投标有效期</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567" w:leftChars="0" w:hanging="567" w:firstLineChars="0"/>
        <w:jc w:val="left"/>
        <w:textAlignment w:val="auto"/>
        <w:outlineLvl w:val="9"/>
        <w:rPr>
          <w:rFonts w:hint="eastAsia" w:ascii="仿宋_GB2312" w:hAnsi="仿宋" w:eastAsia="仿宋_GB2312"/>
          <w:b w:val="0"/>
          <w:bCs/>
          <w:sz w:val="24"/>
          <w:highlight w:val="none"/>
        </w:rPr>
      </w:pPr>
      <w:r>
        <w:rPr>
          <w:rFonts w:hint="eastAsia" w:ascii="仿宋_GB2312" w:hAnsi="仿宋" w:eastAsia="仿宋_GB2312"/>
          <w:b w:val="0"/>
          <w:bCs/>
          <w:sz w:val="24"/>
          <w:highlight w:val="none"/>
        </w:rPr>
        <w:t>投标有效期为从提交投标文件的截止之日起90天。</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仿宋_GB2312" w:hAnsi="仿宋" w:eastAsia="仿宋_GB2312" w:cs="仿宋_GB2312"/>
          <w:b/>
          <w:sz w:val="24"/>
          <w:szCs w:val="21"/>
          <w:highlight w:val="none"/>
        </w:rPr>
      </w:pPr>
      <w:r>
        <w:rPr>
          <w:rFonts w:ascii="仿宋_GB2312" w:hAnsi="仿宋" w:eastAsia="仿宋_GB2312" w:cs="仿宋_GB2312"/>
          <w:sz w:val="24"/>
          <w:szCs w:val="20"/>
          <w:highlight w:val="none"/>
        </w:rPr>
        <w:t>▲</w:t>
      </w:r>
      <w:r>
        <w:rPr>
          <w:rFonts w:hint="eastAsia" w:ascii="仿宋_GB2312" w:hAnsi="仿宋" w:eastAsia="仿宋_GB2312" w:cs="仿宋_GB2312"/>
          <w:b/>
          <w:sz w:val="24"/>
          <w:szCs w:val="20"/>
          <w:highlight w:val="none"/>
        </w:rPr>
        <w:t>投标人的投标文件中承</w:t>
      </w:r>
      <w:r>
        <w:rPr>
          <w:rFonts w:hint="eastAsia" w:ascii="仿宋_GB2312" w:hAnsi="仿宋" w:eastAsia="仿宋_GB2312" w:cs="仿宋_GB2312"/>
          <w:b/>
          <w:sz w:val="24"/>
          <w:szCs w:val="21"/>
          <w:highlight w:val="none"/>
        </w:rPr>
        <w:t>诺的投标有效期少于招标文件中载明的投标有效期的，投标无效。</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7" w:leftChars="0" w:hanging="627" w:firstLineChars="0"/>
        <w:jc w:val="left"/>
        <w:textAlignment w:val="auto"/>
        <w:outlineLvl w:val="9"/>
        <w:rPr>
          <w:rFonts w:hint="eastAsia" w:ascii="仿宋_GB2312" w:hAnsi="仿宋" w:eastAsia="仿宋_GB2312"/>
          <w:b w:val="0"/>
          <w:bCs/>
          <w:sz w:val="24"/>
          <w:highlight w:val="none"/>
        </w:rPr>
      </w:pPr>
      <w:r>
        <w:rPr>
          <w:rFonts w:hint="eastAsia" w:ascii="仿宋_GB2312" w:hAnsi="仿宋" w:eastAsia="仿宋_GB2312"/>
          <w:b w:val="0"/>
          <w:bCs/>
          <w:sz w:val="24"/>
          <w:highlight w:val="none"/>
        </w:rPr>
        <w:t>投标文件合格投递后，自投标截止日期起，在投标有效期内有效。</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7" w:leftChars="0" w:hanging="627" w:firstLineChars="0"/>
        <w:jc w:val="left"/>
        <w:textAlignment w:val="auto"/>
        <w:outlineLvl w:val="9"/>
        <w:rPr>
          <w:rFonts w:hint="eastAsia" w:ascii="仿宋_GB2312" w:hAnsi="仿宋" w:eastAsia="仿宋_GB2312"/>
          <w:b w:val="0"/>
          <w:bCs/>
          <w:sz w:val="24"/>
          <w:highlight w:val="none"/>
        </w:rPr>
      </w:pPr>
      <w:r>
        <w:rPr>
          <w:rFonts w:hint="eastAsia" w:ascii="仿宋_GB2312" w:hAnsi="仿宋" w:eastAsia="仿宋_GB2312"/>
          <w:b w:val="0"/>
          <w:bCs/>
          <w:sz w:val="24"/>
          <w:highlight w:val="none"/>
        </w:rPr>
        <w:t>在原定投标有效期满之前，如果出现特殊情况，</w:t>
      </w:r>
      <w:r>
        <w:rPr>
          <w:rFonts w:hint="eastAsia" w:ascii="仿宋_GB2312" w:hAnsi="仿宋" w:eastAsia="仿宋_GB2312"/>
          <w:b w:val="0"/>
          <w:bCs/>
          <w:sz w:val="24"/>
          <w:highlight w:val="none"/>
          <w:lang w:eastAsia="zh-CN"/>
        </w:rPr>
        <w:t>采购代理机构</w:t>
      </w:r>
      <w:r>
        <w:rPr>
          <w:rFonts w:hint="eastAsia" w:ascii="仿宋_GB2312" w:hAnsi="仿宋" w:eastAsia="仿宋_GB2312"/>
          <w:b w:val="0"/>
          <w:bCs/>
          <w:sz w:val="24"/>
          <w:highlight w:val="none"/>
        </w:rPr>
        <w:t>可以以书面形式通知投标人延长投标有效期。投标人同意延长的，不得要求或被允许修改其投标文件，投标人拒绝延长的，其投标无效。</w:t>
      </w:r>
    </w:p>
    <w:p>
      <w:pPr>
        <w:pStyle w:val="111"/>
        <w:spacing w:before="0"/>
        <w:ind w:firstLine="643"/>
        <w:rPr>
          <w:rFonts w:ascii="仿宋_GB2312" w:hAnsi="仿宋" w:eastAsia="仿宋_GB2312" w:cs="仿宋_GB2312"/>
          <w:b/>
          <w:sz w:val="32"/>
          <w:highlight w:val="none"/>
        </w:rPr>
      </w:pPr>
    </w:p>
    <w:p>
      <w:pPr>
        <w:adjustRightInd/>
        <w:spacing w:line="360" w:lineRule="auto"/>
        <w:jc w:val="center"/>
        <w:outlineLvl w:val="1"/>
        <w:rPr>
          <w:rFonts w:hint="eastAsia" w:ascii="仿宋_GB2312" w:hAnsi="仿宋" w:eastAsia="仿宋_GB2312" w:cs="仿宋_GB2312"/>
          <w:b/>
          <w:sz w:val="30"/>
          <w:szCs w:val="20"/>
          <w:highlight w:val="none"/>
        </w:rPr>
      </w:pPr>
      <w:bookmarkStart w:id="12" w:name="_Toc19802"/>
      <w:r>
        <w:rPr>
          <w:rFonts w:hint="eastAsia" w:ascii="仿宋_GB2312" w:hAnsi="仿宋" w:eastAsia="仿宋_GB2312" w:cs="仿宋_GB2312"/>
          <w:b/>
          <w:sz w:val="30"/>
          <w:szCs w:val="20"/>
          <w:highlight w:val="none"/>
        </w:rPr>
        <w:t>四、开标、资格审查与信用信息查询</w:t>
      </w:r>
      <w:bookmarkEnd w:id="12"/>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sz w:val="24"/>
          <w:highlight w:val="none"/>
        </w:rPr>
      </w:pPr>
      <w:r>
        <w:rPr>
          <w:rFonts w:hint="eastAsia" w:ascii="仿宋_GB2312" w:hAnsi="仿宋" w:eastAsia="仿宋_GB2312"/>
          <w:b/>
          <w:sz w:val="24"/>
          <w:highlight w:val="none"/>
        </w:rPr>
        <w:t xml:space="preserve">开标 </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sz w:val="24"/>
          <w:highlight w:val="none"/>
        </w:rPr>
      </w:pPr>
      <w:r>
        <w:rPr>
          <w:rFonts w:hint="eastAsia" w:ascii="仿宋_GB2312" w:hAnsi="仿宋" w:eastAsia="仿宋_GB2312"/>
          <w:b w:val="0"/>
          <w:bCs/>
          <w:sz w:val="24"/>
          <w:highlight w:val="none"/>
          <w:lang w:eastAsia="zh-CN"/>
        </w:rPr>
        <w:t>采购代理机构</w:t>
      </w:r>
      <w:r>
        <w:rPr>
          <w:rFonts w:hint="eastAsia" w:ascii="仿宋_GB2312" w:hAnsi="仿宋" w:eastAsia="仿宋_GB2312"/>
          <w:b w:val="0"/>
          <w:bCs/>
          <w:sz w:val="24"/>
          <w:highlight w:val="none"/>
        </w:rPr>
        <w:t>按照招标文件规定的时间通过电子交易平台组织开标，所有投标人均应当准时在线参加。投标人不足3家的，不得开标。</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sz w:val="24"/>
          <w:highlight w:val="none"/>
          <w:lang w:eastAsia="zh-CN"/>
        </w:rPr>
      </w:pPr>
      <w:r>
        <w:rPr>
          <w:rFonts w:hint="eastAsia" w:ascii="仿宋_GB2312" w:hAnsi="仿宋" w:eastAsia="仿宋_GB2312"/>
          <w:b w:val="0"/>
          <w:bCs/>
          <w:sz w:val="24"/>
          <w:highlight w:val="none"/>
          <w:lang w:eastAsia="zh-CN"/>
        </w:rPr>
        <w:t>开标时，电子交易平台按开标时间自动提取所有投标文件。采购代理机构依托电子交易平台发起开始解密指令，投标人按照平台提示和招标文件的规定在半小时内完成在线解密。</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bCs w:val="0"/>
          <w:sz w:val="24"/>
          <w:highlight w:val="none"/>
          <w:lang w:eastAsia="zh-CN"/>
        </w:rPr>
      </w:pPr>
      <w:r>
        <w:rPr>
          <w:rFonts w:hint="eastAsia" w:ascii="仿宋_GB2312" w:hAnsi="仿宋" w:eastAsia="仿宋_GB2312"/>
          <w:b/>
          <w:bCs w:val="0"/>
          <w:sz w:val="24"/>
          <w:highlight w:val="none"/>
          <w:lang w:eastAsia="zh-CN"/>
        </w:rPr>
        <w:t>投标文件未按时解密，投标人提供了备份投标文件的，以备份投标文件作为依据，否则视为投标文件撤回。投标文件已按时解密的，备份投标文件自动失效。</w:t>
      </w:r>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sz w:val="24"/>
          <w:highlight w:val="none"/>
        </w:rPr>
      </w:pPr>
      <w:r>
        <w:rPr>
          <w:rFonts w:hint="eastAsia" w:ascii="仿宋_GB2312" w:hAnsi="仿宋" w:eastAsia="仿宋_GB2312"/>
          <w:b/>
          <w:sz w:val="24"/>
          <w:highlight w:val="none"/>
        </w:rPr>
        <w:t>资格审查</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采购人或</w:t>
      </w:r>
      <w:r>
        <w:rPr>
          <w:rFonts w:hint="eastAsia" w:ascii="仿宋_GB2312" w:hAnsi="仿宋" w:eastAsia="仿宋_GB2312"/>
          <w:b w:val="0"/>
          <w:bCs/>
          <w:color w:val="auto"/>
          <w:sz w:val="24"/>
          <w:highlight w:val="none"/>
          <w:lang w:eastAsia="zh-CN"/>
        </w:rPr>
        <w:t>采购代理机构</w:t>
      </w:r>
      <w:r>
        <w:rPr>
          <w:rFonts w:hint="eastAsia" w:ascii="仿宋_GB2312" w:hAnsi="仿宋" w:eastAsia="仿宋_GB2312"/>
          <w:b w:val="0"/>
          <w:bCs/>
          <w:color w:val="auto"/>
          <w:sz w:val="24"/>
          <w:highlight w:val="none"/>
        </w:rPr>
        <w:t>依据法律法规和招标文件的规定，对投标人的资格进行审查。</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投标人未按照招标文件要求提供与资格条件相应的有效资格证明材料的，视为投标人不具备招标文件中规定的资格要求，其投标无效。</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对未通过资格审查的投标人，采购人或</w:t>
      </w:r>
      <w:r>
        <w:rPr>
          <w:rFonts w:hint="eastAsia" w:ascii="仿宋_GB2312" w:hAnsi="仿宋" w:eastAsia="仿宋_GB2312"/>
          <w:b w:val="0"/>
          <w:bCs/>
          <w:color w:val="auto"/>
          <w:sz w:val="24"/>
          <w:highlight w:val="none"/>
          <w:lang w:eastAsia="zh-CN"/>
        </w:rPr>
        <w:t>采购代理机构</w:t>
      </w:r>
      <w:r>
        <w:rPr>
          <w:rFonts w:hint="eastAsia" w:ascii="仿宋_GB2312" w:hAnsi="仿宋" w:eastAsia="仿宋_GB2312"/>
          <w:b w:val="0"/>
          <w:bCs/>
          <w:color w:val="auto"/>
          <w:sz w:val="24"/>
          <w:highlight w:val="none"/>
        </w:rPr>
        <w:t>告知其未通过的原因。</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合格投标人不足3家的，不再评标。</w:t>
      </w:r>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sz w:val="24"/>
          <w:highlight w:val="none"/>
        </w:rPr>
      </w:pPr>
      <w:r>
        <w:rPr>
          <w:rFonts w:hint="eastAsia" w:ascii="仿宋_GB2312" w:hAnsi="仿宋" w:eastAsia="仿宋_GB2312"/>
          <w:b/>
          <w:sz w:val="24"/>
          <w:highlight w:val="none"/>
        </w:rPr>
        <w:t>信用信息查询</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sz w:val="24"/>
          <w:szCs w:val="24"/>
          <w:highlight w:val="none"/>
        </w:rPr>
      </w:pPr>
      <w:r>
        <w:rPr>
          <w:rFonts w:hint="eastAsia" w:ascii="仿宋_GB2312" w:hAnsi="仿宋" w:eastAsia="仿宋_GB2312"/>
          <w:b w:val="0"/>
          <w:bCs/>
          <w:sz w:val="24"/>
          <w:szCs w:val="24"/>
          <w:highlight w:val="none"/>
        </w:rPr>
        <w:t>信用信息查询渠道及截止时间：</w:t>
      </w:r>
      <w:r>
        <w:rPr>
          <w:rFonts w:hint="eastAsia" w:ascii="仿宋_GB2312" w:hAnsi="仿宋" w:eastAsia="仿宋_GB2312"/>
          <w:b w:val="0"/>
          <w:bCs/>
          <w:sz w:val="24"/>
          <w:szCs w:val="24"/>
          <w:highlight w:val="none"/>
          <w:lang w:eastAsia="zh-CN"/>
        </w:rPr>
        <w:t>采购代理机构</w:t>
      </w:r>
      <w:r>
        <w:rPr>
          <w:rFonts w:hint="eastAsia" w:ascii="仿宋_GB2312" w:hAnsi="仿宋" w:eastAsia="仿宋_GB2312"/>
          <w:b w:val="0"/>
          <w:bCs/>
          <w:sz w:val="24"/>
          <w:szCs w:val="24"/>
          <w:highlight w:val="none"/>
        </w:rPr>
        <w:t>将通过“信用中国”网站(www.creditchina.gov.cn)、中国政府采购网(www.ccgp.gov.cn)渠道查询投标人投标截止时间当天的信用记录。</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sz w:val="24"/>
          <w:szCs w:val="24"/>
          <w:highlight w:val="none"/>
        </w:rPr>
      </w:pPr>
      <w:r>
        <w:rPr>
          <w:rFonts w:hint="eastAsia" w:ascii="仿宋_GB2312" w:hAnsi="仿宋" w:eastAsia="仿宋_GB2312"/>
          <w:b w:val="0"/>
          <w:bCs/>
          <w:sz w:val="24"/>
          <w:szCs w:val="24"/>
          <w:highlight w:val="none"/>
        </w:rPr>
        <w:t>信用信息查询记录和证据留存的具体方式：现场查询的投标人的信用记录、查询结果经确认后将与采购文件一起存档。</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sz w:val="24"/>
          <w:szCs w:val="24"/>
          <w:highlight w:val="none"/>
        </w:rPr>
      </w:pPr>
      <w:r>
        <w:rPr>
          <w:rFonts w:hint="eastAsia" w:ascii="仿宋_GB2312" w:hAnsi="仿宋" w:eastAsia="仿宋_GB2312"/>
          <w:b w:val="0"/>
          <w:bCs/>
          <w:sz w:val="24"/>
          <w:szCs w:val="24"/>
          <w:highlight w:val="none"/>
        </w:rPr>
        <w:t>信用信息的使用规则：经查询列入失信被执行人名单、重大税收违法案件当事人名单、政府采购严重违法失信行为记录名单的投标人将被拒绝参与政府采购活动。</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ascii="仿宋_GB2312" w:hAnsi="仿宋" w:eastAsia="仿宋_GB2312" w:cs="Arial"/>
          <w:kern w:val="0"/>
          <w:sz w:val="24"/>
          <w:szCs w:val="24"/>
          <w:highlight w:val="none"/>
        </w:rPr>
      </w:pPr>
      <w:r>
        <w:rPr>
          <w:rFonts w:hint="eastAsia" w:ascii="仿宋_GB2312" w:hAnsi="仿宋" w:eastAsia="仿宋_GB2312"/>
          <w:b w:val="0"/>
          <w:bCs/>
          <w:sz w:val="24"/>
          <w:szCs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napToGrid w:val="0"/>
        <w:spacing w:line="360" w:lineRule="auto"/>
        <w:jc w:val="center"/>
        <w:outlineLvl w:val="1"/>
        <w:rPr>
          <w:rFonts w:ascii="仿宋_GB2312" w:hAnsi="仿宋" w:eastAsia="仿宋_GB2312" w:cs="仿宋_GB2312"/>
          <w:b/>
          <w:sz w:val="36"/>
          <w:szCs w:val="36"/>
          <w:highlight w:val="none"/>
        </w:rPr>
      </w:pPr>
      <w:bookmarkStart w:id="13" w:name="_Toc13431"/>
      <w:r>
        <w:rPr>
          <w:rFonts w:hint="eastAsia" w:ascii="仿宋_GB2312" w:hAnsi="仿宋" w:eastAsia="仿宋_GB2312" w:cs="仿宋_GB2312"/>
          <w:b/>
          <w:sz w:val="36"/>
          <w:szCs w:val="36"/>
          <w:highlight w:val="none"/>
        </w:rPr>
        <w:t>五、评标</w:t>
      </w:r>
      <w:bookmarkEnd w:id="13"/>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sz w:val="24"/>
          <w:highlight w:val="none"/>
          <w:lang w:eastAsia="zh-CN"/>
        </w:rPr>
      </w:pPr>
      <w:r>
        <w:rPr>
          <w:rFonts w:hint="eastAsia" w:ascii="仿宋_GB2312" w:hAnsi="仿宋" w:eastAsia="仿宋_GB2312"/>
          <w:b/>
          <w:sz w:val="24"/>
          <w:highlight w:val="none"/>
          <w:lang w:eastAsia="zh-CN"/>
        </w:rPr>
        <w:t>评标</w:t>
      </w:r>
    </w:p>
    <w:p>
      <w:pPr>
        <w:spacing w:line="360" w:lineRule="auto"/>
        <w:ind w:firstLine="480" w:firstLineChars="200"/>
        <w:rPr>
          <w:rFonts w:ascii="仿宋_GB2312" w:hAnsi="仿宋" w:eastAsia="仿宋_GB2312" w:cs="仿宋_GB2312"/>
          <w:b/>
          <w:sz w:val="24"/>
          <w:highlight w:val="none"/>
        </w:rPr>
      </w:pPr>
      <w:r>
        <w:rPr>
          <w:rFonts w:hint="eastAsia" w:ascii="仿宋_GB2312" w:hAnsi="仿宋" w:eastAsia="仿宋_GB2312" w:cs="仿宋_GB2312"/>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highlight w:val="none"/>
        </w:rPr>
        <w:t>详见招标文件第四部分评标办法。</w:t>
      </w:r>
    </w:p>
    <w:p>
      <w:pPr>
        <w:snapToGrid w:val="0"/>
        <w:spacing w:line="360" w:lineRule="auto"/>
        <w:jc w:val="center"/>
        <w:outlineLvl w:val="1"/>
        <w:rPr>
          <w:rFonts w:ascii="仿宋_GB2312" w:hAnsi="仿宋" w:eastAsia="仿宋_GB2312" w:cs="仿宋_GB2312"/>
          <w:b/>
          <w:sz w:val="36"/>
          <w:szCs w:val="36"/>
          <w:highlight w:val="none"/>
        </w:rPr>
      </w:pPr>
      <w:bookmarkStart w:id="14" w:name="_Toc30675"/>
      <w:r>
        <w:rPr>
          <w:rFonts w:hint="eastAsia" w:ascii="仿宋_GB2312" w:hAnsi="仿宋" w:eastAsia="仿宋_GB2312" w:cs="仿宋_GB2312"/>
          <w:b/>
          <w:sz w:val="36"/>
          <w:szCs w:val="36"/>
          <w:highlight w:val="none"/>
        </w:rPr>
        <w:t>六、定</w:t>
      </w:r>
      <w:r>
        <w:rPr>
          <w:rFonts w:ascii="仿宋_GB2312" w:hAnsi="仿宋" w:eastAsia="仿宋_GB2312" w:cs="仿宋_GB2312"/>
          <w:b/>
          <w:sz w:val="36"/>
          <w:szCs w:val="36"/>
          <w:highlight w:val="none"/>
        </w:rPr>
        <w:t xml:space="preserve"> </w:t>
      </w:r>
      <w:r>
        <w:rPr>
          <w:rFonts w:hint="eastAsia" w:ascii="仿宋_GB2312" w:hAnsi="仿宋" w:eastAsia="仿宋_GB2312" w:cs="仿宋_GB2312"/>
          <w:b/>
          <w:sz w:val="36"/>
          <w:szCs w:val="36"/>
          <w:highlight w:val="none"/>
        </w:rPr>
        <w:t>标</w:t>
      </w:r>
      <w:bookmarkEnd w:id="14"/>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sz w:val="24"/>
          <w:highlight w:val="none"/>
          <w:lang w:eastAsia="zh-CN"/>
        </w:rPr>
      </w:pPr>
      <w:r>
        <w:rPr>
          <w:rFonts w:hint="eastAsia" w:ascii="仿宋_GB2312" w:hAnsi="仿宋" w:eastAsia="仿宋_GB2312"/>
          <w:b/>
          <w:sz w:val="24"/>
          <w:highlight w:val="none"/>
          <w:lang w:eastAsia="zh-CN"/>
        </w:rPr>
        <w:t>确定中标供应商</w:t>
      </w:r>
    </w:p>
    <w:p>
      <w:pPr>
        <w:pStyle w:val="111"/>
        <w:snapToGrid w:val="0"/>
        <w:spacing w:before="0"/>
        <w:ind w:left="0" w:leftChars="0" w:firstLine="420" w:firstLineChars="175"/>
        <w:rPr>
          <w:rFonts w:ascii="仿宋_GB2312" w:hAnsi="仿宋" w:eastAsia="仿宋_GB2312" w:cs="仿宋_GB2312"/>
          <w:b/>
          <w:szCs w:val="24"/>
          <w:highlight w:val="none"/>
        </w:rPr>
      </w:pPr>
      <w:r>
        <w:rPr>
          <w:rFonts w:hint="eastAsia" w:ascii="仿宋_GB2312" w:hAnsi="仿宋" w:eastAsia="仿宋_GB2312" w:cs="仿宋_GB2312"/>
          <w:szCs w:val="24"/>
          <w:highlight w:val="none"/>
        </w:rPr>
        <w:t>政府采购项目实行全流程电子化，评审报告送交、采购结果确定和结果公告均在线完成。为进一步提升采购结果确定效率，采购代理机构应当依法及时将评审报告在线送交采购人。</w:t>
      </w:r>
      <w:r>
        <w:rPr>
          <w:rFonts w:hint="eastAsia" w:ascii="仿宋_GB2312" w:hAnsi="仿宋" w:eastAsia="仿宋_GB2312" w:cs="仿宋_GB2312"/>
          <w:szCs w:val="24"/>
          <w:highlight w:val="none"/>
          <w:lang w:eastAsia="zh-CN"/>
        </w:rPr>
        <w:t>采购人</w:t>
      </w:r>
      <w:r>
        <w:rPr>
          <w:rFonts w:hint="eastAsia" w:ascii="仿宋_GB2312" w:hAnsi="仿宋" w:eastAsia="仿宋_GB2312" w:cs="仿宋_GB2312"/>
          <w:szCs w:val="24"/>
          <w:highlight w:val="none"/>
        </w:rPr>
        <w:t>应当自收到评审报告之日起2个工作日内在线确定中标或者成交供应商。中标、成交通知书和中标、成交结果公告应当在规定时间内同时发出</w:t>
      </w:r>
      <w:r>
        <w:rPr>
          <w:rFonts w:hint="eastAsia" w:ascii="仿宋_GB2312" w:hAnsi="仿宋" w:eastAsia="仿宋_GB2312" w:cs="仿宋_GB2312"/>
          <w:szCs w:val="24"/>
          <w:highlight w:val="none"/>
          <w:lang w:eastAsia="zh-CN"/>
        </w:rPr>
        <w:t>。</w:t>
      </w:r>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sz w:val="24"/>
          <w:highlight w:val="none"/>
          <w:lang w:eastAsia="zh-CN"/>
        </w:rPr>
      </w:pPr>
      <w:r>
        <w:rPr>
          <w:rFonts w:hint="eastAsia" w:ascii="仿宋_GB2312" w:hAnsi="仿宋" w:eastAsia="仿宋_GB2312"/>
          <w:b/>
          <w:sz w:val="24"/>
          <w:highlight w:val="none"/>
          <w:lang w:eastAsia="zh-CN"/>
        </w:rPr>
        <w:t>中标通知与中标结果公告</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7" w:leftChars="0" w:hanging="627" w:firstLineChars="0"/>
        <w:jc w:val="left"/>
        <w:textAlignment w:val="auto"/>
        <w:outlineLvl w:val="9"/>
        <w:rPr>
          <w:rFonts w:hint="eastAsia" w:ascii="仿宋_GB2312" w:hAnsi="仿宋" w:eastAsia="仿宋_GB2312"/>
          <w:b w:val="0"/>
          <w:bCs/>
          <w:sz w:val="24"/>
          <w:highlight w:val="none"/>
          <w:lang w:eastAsia="zh-CN"/>
        </w:rPr>
      </w:pPr>
      <w:r>
        <w:rPr>
          <w:rFonts w:hint="eastAsia" w:ascii="仿宋_GB2312" w:hAnsi="仿宋" w:eastAsia="仿宋_GB2312"/>
          <w:b w:val="0"/>
          <w:bCs/>
          <w:sz w:val="24"/>
          <w:highlight w:val="none"/>
          <w:lang w:eastAsia="zh-CN"/>
        </w:rPr>
        <w:t>自中标人确定之日起2个工作日内，采购代理机构通过电子交易平台向中标人发出中标通知书，同时编制发布采购结果公告。采购代理机构也可以以纸质形式进行中标通知。</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7" w:leftChars="0" w:hanging="627" w:firstLineChars="0"/>
        <w:jc w:val="left"/>
        <w:textAlignment w:val="auto"/>
        <w:outlineLvl w:val="9"/>
        <w:rPr>
          <w:rFonts w:hint="eastAsia" w:ascii="仿宋_GB2312" w:hAnsi="仿宋" w:eastAsia="仿宋_GB2312"/>
          <w:b w:val="0"/>
          <w:bCs/>
          <w:sz w:val="24"/>
          <w:highlight w:val="none"/>
          <w:lang w:eastAsia="zh-CN"/>
        </w:rPr>
      </w:pPr>
      <w:r>
        <w:rPr>
          <w:rFonts w:hint="eastAsia" w:ascii="仿宋_GB2312" w:hAnsi="仿宋" w:eastAsia="仿宋_GB2312"/>
          <w:b w:val="0"/>
          <w:bCs/>
          <w:sz w:val="24"/>
          <w:highlight w:val="none"/>
          <w:lang w:eastAsia="zh-CN"/>
        </w:rPr>
        <w:t>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7" w:leftChars="0" w:hanging="627" w:firstLineChars="0"/>
        <w:jc w:val="left"/>
        <w:textAlignment w:val="auto"/>
        <w:outlineLvl w:val="9"/>
        <w:rPr>
          <w:rFonts w:hint="eastAsia" w:ascii="仿宋_GB2312" w:hAnsi="仿宋" w:eastAsia="仿宋_GB2312"/>
          <w:b w:val="0"/>
          <w:bCs/>
          <w:sz w:val="24"/>
          <w:highlight w:val="none"/>
          <w:lang w:eastAsia="zh-CN"/>
        </w:rPr>
      </w:pPr>
      <w:r>
        <w:rPr>
          <w:rFonts w:hint="eastAsia" w:ascii="仿宋_GB2312" w:hAnsi="仿宋" w:eastAsia="仿宋_GB2312"/>
          <w:b w:val="0"/>
          <w:bCs/>
          <w:sz w:val="24"/>
          <w:highlight w:val="none"/>
          <w:lang w:eastAsia="zh-CN"/>
        </w:rPr>
        <w:t>公告期限为1个工作日。</w:t>
      </w:r>
    </w:p>
    <w:p>
      <w:pPr>
        <w:keepNext w:val="0"/>
        <w:keepLines w:val="0"/>
        <w:pageBreakBefore w:val="0"/>
        <w:widowControl w:val="0"/>
        <w:kinsoku/>
        <w:wordWrap/>
        <w:overflowPunct/>
        <w:topLinePunct w:val="0"/>
        <w:autoSpaceDE/>
        <w:autoSpaceDN/>
        <w:bidi w:val="0"/>
        <w:adjustRightInd/>
        <w:textAlignment w:val="auto"/>
        <w:outlineLvl w:val="9"/>
        <w:rPr>
          <w:rFonts w:hint="eastAsia"/>
          <w:highlight w:val="none"/>
          <w:lang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1"/>
        <w:rPr>
          <w:rFonts w:hint="eastAsia" w:ascii="仿宋_GB2312" w:hAnsi="仿宋" w:eastAsia="仿宋_GB2312" w:cs="仿宋_GB2312"/>
          <w:b/>
          <w:sz w:val="36"/>
          <w:szCs w:val="36"/>
          <w:highlight w:val="none"/>
        </w:rPr>
      </w:pPr>
      <w:bookmarkStart w:id="15" w:name="_Toc32464"/>
      <w:r>
        <w:rPr>
          <w:rFonts w:hint="eastAsia" w:ascii="仿宋_GB2312" w:hAnsi="仿宋" w:eastAsia="仿宋_GB2312" w:cs="仿宋_GB2312"/>
          <w:b/>
          <w:sz w:val="36"/>
          <w:szCs w:val="36"/>
          <w:highlight w:val="none"/>
        </w:rPr>
        <w:t>七、合同授予</w:t>
      </w:r>
      <w:bookmarkEnd w:id="15"/>
    </w:p>
    <w:p>
      <w:pPr>
        <w:keepNext w:val="0"/>
        <w:keepLines w:val="0"/>
        <w:pageBreakBefore w:val="0"/>
        <w:widowControl w:val="0"/>
        <w:numPr>
          <w:ilvl w:val="0"/>
          <w:numId w:val="3"/>
        </w:numPr>
        <w:tabs>
          <w:tab w:val="left" w:pos="210"/>
        </w:tabs>
        <w:kinsoku/>
        <w:wordWrap/>
        <w:overflowPunct/>
        <w:topLinePunct w:val="0"/>
        <w:autoSpaceDE/>
        <w:autoSpaceDN/>
        <w:bidi w:val="0"/>
        <w:adjustRightInd/>
        <w:snapToGrid w:val="0"/>
        <w:spacing w:line="360" w:lineRule="auto"/>
        <w:ind w:left="323" w:leftChars="0" w:hanging="323" w:firstLineChars="0"/>
        <w:jc w:val="left"/>
        <w:textAlignment w:val="auto"/>
        <w:outlineLvl w:val="2"/>
        <w:rPr>
          <w:rFonts w:hint="eastAsia" w:ascii="仿宋_GB2312" w:hAnsi="仿宋" w:eastAsia="仿宋_GB2312"/>
          <w:b/>
          <w:sz w:val="24"/>
          <w:highlight w:val="none"/>
          <w:lang w:eastAsia="zh-CN"/>
        </w:rPr>
      </w:pPr>
      <w:r>
        <w:rPr>
          <w:rFonts w:hint="eastAsia" w:ascii="仿宋_GB2312" w:hAnsi="仿宋" w:eastAsia="仿宋_GB2312"/>
          <w:b/>
          <w:sz w:val="24"/>
          <w:highlight w:val="none"/>
          <w:lang w:eastAsia="zh-CN"/>
        </w:rPr>
        <w:t>合同授予</w:t>
      </w:r>
    </w:p>
    <w:p>
      <w:pPr>
        <w:widowControl/>
        <w:shd w:val="clear" w:color="auto" w:fill="FFFFFF"/>
        <w:spacing w:line="360" w:lineRule="auto"/>
        <w:ind w:firstLine="420" w:firstLineChars="0"/>
        <w:jc w:val="left"/>
        <w:rPr>
          <w:rFonts w:ascii="仿宋_GB2312" w:hAnsi="仿宋" w:eastAsia="仿宋_GB2312" w:cs="仿宋_GB2312"/>
          <w:b/>
          <w:highlight w:val="none"/>
        </w:rPr>
      </w:pPr>
      <w:r>
        <w:rPr>
          <w:rFonts w:hint="eastAsia" w:ascii="仿宋_GB2312" w:hAnsi="仿宋" w:eastAsia="仿宋_GB2312" w:cs="仿宋_GB2312"/>
          <w:sz w:val="24"/>
          <w:highlight w:val="none"/>
          <w:lang w:eastAsia="zh-CN"/>
        </w:rPr>
        <w:t>合同主要条款详见第五部分拟签订的合同文本。</w:t>
      </w:r>
    </w:p>
    <w:p>
      <w:pPr>
        <w:keepNext w:val="0"/>
        <w:keepLines w:val="0"/>
        <w:pageBreakBefore w:val="0"/>
        <w:widowControl w:val="0"/>
        <w:numPr>
          <w:ilvl w:val="0"/>
          <w:numId w:val="3"/>
        </w:numPr>
        <w:tabs>
          <w:tab w:val="left" w:pos="210"/>
        </w:tabs>
        <w:kinsoku/>
        <w:wordWrap/>
        <w:overflowPunct/>
        <w:topLinePunct w:val="0"/>
        <w:autoSpaceDE/>
        <w:autoSpaceDN/>
        <w:bidi w:val="0"/>
        <w:adjustRightInd/>
        <w:snapToGrid w:val="0"/>
        <w:spacing w:line="360" w:lineRule="auto"/>
        <w:ind w:left="323" w:leftChars="0" w:hanging="323" w:firstLineChars="0"/>
        <w:jc w:val="left"/>
        <w:textAlignment w:val="auto"/>
        <w:outlineLvl w:val="2"/>
        <w:rPr>
          <w:rFonts w:hint="eastAsia" w:ascii="仿宋_GB2312" w:hAnsi="仿宋" w:eastAsia="仿宋_GB2312"/>
          <w:b/>
          <w:sz w:val="24"/>
          <w:highlight w:val="none"/>
          <w:lang w:eastAsia="zh-CN"/>
        </w:rPr>
      </w:pPr>
      <w:r>
        <w:rPr>
          <w:rFonts w:hint="eastAsia" w:ascii="仿宋_GB2312" w:hAnsi="仿宋" w:eastAsia="仿宋_GB2312"/>
          <w:b/>
          <w:sz w:val="24"/>
          <w:highlight w:val="none"/>
          <w:lang w:eastAsia="zh-CN"/>
        </w:rPr>
        <w:t>合同的签订</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sz w:val="24"/>
          <w:szCs w:val="24"/>
          <w:highlight w:val="none"/>
          <w:lang w:eastAsia="zh-CN"/>
        </w:rPr>
      </w:pPr>
      <w:r>
        <w:rPr>
          <w:rFonts w:hint="eastAsia" w:ascii="仿宋_GB2312" w:hAnsi="仿宋" w:eastAsia="仿宋_GB2312"/>
          <w:b w:val="0"/>
          <w:bCs/>
          <w:sz w:val="24"/>
          <w:szCs w:val="24"/>
          <w:highlight w:val="none"/>
          <w:lang w:eastAsia="zh-CN"/>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sz w:val="24"/>
          <w:szCs w:val="24"/>
          <w:highlight w:val="none"/>
          <w:lang w:eastAsia="zh-CN"/>
        </w:rPr>
      </w:pPr>
      <w:r>
        <w:rPr>
          <w:rFonts w:hint="eastAsia" w:ascii="仿宋_GB2312" w:hAnsi="仿宋" w:eastAsia="仿宋_GB2312"/>
          <w:b w:val="0"/>
          <w:bCs/>
          <w:sz w:val="24"/>
          <w:szCs w:val="24"/>
          <w:highlight w:val="none"/>
          <w:lang w:val="zh-CN" w:eastAsia="zh-CN"/>
        </w:rPr>
        <w:t>中标人按规定的日期、时间、地点，由法定代表人或其授权代表与采购人代表签订合同。如中标人为联合体的，由联合体成员各方法定代表人或其授权代表与采购人代表签订合同。</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sz w:val="24"/>
          <w:szCs w:val="24"/>
          <w:highlight w:val="none"/>
          <w:lang w:val="zh-CN" w:eastAsia="zh-CN"/>
        </w:rPr>
      </w:pPr>
      <w:r>
        <w:rPr>
          <w:rFonts w:hint="eastAsia" w:ascii="仿宋_GB2312" w:hAnsi="仿宋" w:eastAsia="仿宋_GB2312"/>
          <w:b w:val="0"/>
          <w:bCs/>
          <w:sz w:val="24"/>
          <w:szCs w:val="24"/>
          <w:highlight w:val="none"/>
          <w:lang w:val="zh-CN" w:eastAsia="zh-CN"/>
        </w:rPr>
        <w:t>如签订合同并生效后，供应商无故拒绝或延期，除按照合同条款处理外，列入不良行为记录一次，并给予通报。</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sz w:val="24"/>
          <w:szCs w:val="24"/>
          <w:highlight w:val="none"/>
          <w:lang w:val="zh-CN" w:eastAsia="zh-CN"/>
        </w:rPr>
      </w:pPr>
      <w:r>
        <w:rPr>
          <w:rFonts w:hint="eastAsia" w:ascii="仿宋_GB2312" w:hAnsi="仿宋" w:eastAsia="仿宋_GB2312"/>
          <w:b w:val="0"/>
          <w:bCs/>
          <w:sz w:val="24"/>
          <w:szCs w:val="24"/>
          <w:highlight w:val="none"/>
          <w:lang w:val="zh-CN" w:eastAsia="zh-CN"/>
        </w:rPr>
        <w:t>中标供应商拒绝与采购人签订合同的，采购人可以按照评审报告推荐的中标或者成交候选人名单排序，确定下一候选人为中标供应商，也可以重新开展政府采购活动。</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ascii="仿宋_GB2312" w:hAnsi="仿宋" w:eastAsia="仿宋_GB2312" w:cs="仿宋_GB2312"/>
          <w:b w:val="0"/>
          <w:bCs/>
          <w:sz w:val="24"/>
          <w:szCs w:val="24"/>
          <w:highlight w:val="none"/>
        </w:rPr>
      </w:pPr>
      <w:r>
        <w:rPr>
          <w:rFonts w:hint="eastAsia" w:ascii="仿宋_GB2312" w:hAnsi="仿宋" w:eastAsia="仿宋_GB2312"/>
          <w:b w:val="0"/>
          <w:bCs/>
          <w:sz w:val="24"/>
          <w:szCs w:val="24"/>
          <w:highlight w:val="none"/>
          <w:lang w:val="zh-CN" w:eastAsia="zh-CN"/>
        </w:rPr>
        <w:t>采购合同由采购人与中标供应商根据招标文件、投标文件等内容通过政府采购电子交易平台在线签订，自动备案。</w:t>
      </w:r>
    </w:p>
    <w:p>
      <w:pPr>
        <w:keepNext w:val="0"/>
        <w:keepLines w:val="0"/>
        <w:pageBreakBefore w:val="0"/>
        <w:widowControl w:val="0"/>
        <w:numPr>
          <w:ilvl w:val="0"/>
          <w:numId w:val="3"/>
        </w:numPr>
        <w:tabs>
          <w:tab w:val="left" w:pos="210"/>
        </w:tabs>
        <w:kinsoku/>
        <w:wordWrap/>
        <w:overflowPunct/>
        <w:topLinePunct w:val="0"/>
        <w:autoSpaceDE/>
        <w:autoSpaceDN/>
        <w:bidi w:val="0"/>
        <w:adjustRightInd/>
        <w:snapToGrid w:val="0"/>
        <w:spacing w:line="360" w:lineRule="auto"/>
        <w:ind w:left="323" w:leftChars="0" w:hanging="323" w:firstLineChars="0"/>
        <w:jc w:val="left"/>
        <w:textAlignment w:val="auto"/>
        <w:outlineLvl w:val="2"/>
        <w:rPr>
          <w:rFonts w:hint="eastAsia" w:ascii="仿宋_GB2312" w:hAnsi="仿宋" w:eastAsia="仿宋_GB2312"/>
          <w:b/>
          <w:sz w:val="24"/>
          <w:highlight w:val="none"/>
          <w:lang w:eastAsia="zh-CN"/>
        </w:rPr>
      </w:pPr>
      <w:r>
        <w:rPr>
          <w:rFonts w:hint="eastAsia" w:ascii="仿宋_GB2312" w:hAnsi="仿宋" w:eastAsia="仿宋_GB2312"/>
          <w:b/>
          <w:sz w:val="24"/>
          <w:highlight w:val="none"/>
          <w:lang w:eastAsia="zh-CN"/>
        </w:rPr>
        <w:t>履约保证金</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7" w:leftChars="0" w:hanging="627" w:firstLineChars="0"/>
        <w:jc w:val="left"/>
        <w:textAlignment w:val="auto"/>
        <w:outlineLvl w:val="9"/>
        <w:rPr>
          <w:rFonts w:hint="eastAsia" w:ascii="仿宋_GB2312" w:hAnsi="仿宋" w:eastAsia="仿宋_GB2312"/>
          <w:b w:val="0"/>
          <w:bCs/>
          <w:sz w:val="24"/>
          <w:highlight w:val="none"/>
          <w:lang w:val="zh-CN" w:eastAsia="zh-CN"/>
        </w:rPr>
      </w:pPr>
      <w:r>
        <w:rPr>
          <w:rFonts w:hint="eastAsia" w:ascii="仿宋_GB2312" w:hAnsi="仿宋" w:eastAsia="仿宋_GB2312"/>
          <w:b w:val="0"/>
          <w:bCs/>
          <w:sz w:val="24"/>
          <w:highlight w:val="none"/>
          <w:lang w:val="zh-CN" w:eastAsia="zh-CN"/>
        </w:rPr>
        <w:t>拟签订的合同文本要求中标供应商提交履约保证金的，供应商应当以支票、汇票、本票或者金融机构、担保机构出具的保函等非现金形式提交。履约保证金的数额不得超过政府采购合同金额的</w:t>
      </w:r>
      <w:r>
        <w:rPr>
          <w:rFonts w:hint="eastAsia" w:ascii="仿宋_GB2312" w:hAnsi="仿宋" w:eastAsia="仿宋_GB2312"/>
          <w:b w:val="0"/>
          <w:bCs/>
          <w:sz w:val="24"/>
          <w:highlight w:val="none"/>
          <w:lang w:val="en-US" w:eastAsia="zh-CN"/>
        </w:rPr>
        <w:t>1.0</w:t>
      </w:r>
      <w:r>
        <w:rPr>
          <w:rFonts w:hint="eastAsia" w:ascii="仿宋_GB2312" w:hAnsi="仿宋" w:eastAsia="仿宋_GB2312"/>
          <w:b w:val="0"/>
          <w:bCs/>
          <w:sz w:val="24"/>
          <w:highlight w:val="none"/>
          <w:lang w:val="zh-CN" w:eastAsia="zh-CN"/>
        </w:rPr>
        <w:t>%。鼓励和支持供应商以银行、保险公司出具的保函形式提供履约保证金。采购人不得拒收履约保函，项目验收结束后应及时退还，延迟退还的，应当按照合同约定和法律规定承担相应的赔偿责任。</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7" w:leftChars="0" w:hanging="627" w:firstLineChars="0"/>
        <w:jc w:val="left"/>
        <w:textAlignment w:val="auto"/>
        <w:outlineLvl w:val="9"/>
        <w:rPr>
          <w:rFonts w:hint="eastAsia" w:ascii="仿宋_GB2312" w:hAnsi="仿宋" w:eastAsia="仿宋_GB2312"/>
          <w:b w:val="0"/>
          <w:bCs/>
          <w:sz w:val="24"/>
          <w:highlight w:val="none"/>
          <w:lang w:val="zh-CN" w:eastAsia="zh-CN"/>
        </w:rPr>
      </w:pPr>
      <w:r>
        <w:rPr>
          <w:rFonts w:hint="eastAsia" w:ascii="仿宋_GB2312" w:hAnsi="仿宋" w:eastAsia="仿宋_GB2312"/>
          <w:b w:val="0"/>
          <w:bCs/>
          <w:sz w:val="24"/>
          <w:highlight w:val="none"/>
          <w:lang w:val="zh-CN" w:eastAsia="zh-CN"/>
        </w:rPr>
        <w:t>供应商</w:t>
      </w:r>
      <w:r>
        <w:rPr>
          <w:rFonts w:hint="eastAsia" w:ascii="仿宋_GB2312" w:hAnsi="仿宋" w:eastAsia="仿宋_GB2312"/>
          <w:b w:val="0"/>
          <w:bCs/>
          <w:sz w:val="24"/>
          <w:highlight w:val="none"/>
          <w:lang w:val="en-US" w:eastAsia="zh-CN"/>
        </w:rPr>
        <w:t>可</w:t>
      </w:r>
      <w:r>
        <w:rPr>
          <w:rFonts w:hint="eastAsia" w:ascii="仿宋_GB2312" w:hAnsi="仿宋" w:eastAsia="仿宋_GB2312"/>
          <w:b w:val="0"/>
          <w:bCs/>
          <w:sz w:val="24"/>
          <w:highlight w:val="none"/>
          <w:lang w:val="zh-CN" w:eastAsia="zh-CN"/>
        </w:rPr>
        <w:t>登录政采云平台-【金融服务】—【我的项目】—【已备案合同】以保函形式提供：</w:t>
      </w:r>
    </w:p>
    <w:p>
      <w:pPr>
        <w:keepNext w:val="0"/>
        <w:keepLines w:val="0"/>
        <w:pageBreakBefore w:val="0"/>
        <w:widowControl w:val="0"/>
        <w:numPr>
          <w:ilvl w:val="2"/>
          <w:numId w:val="3"/>
        </w:numPr>
        <w:tabs>
          <w:tab w:val="left" w:pos="21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sz w:val="24"/>
          <w:highlight w:val="none"/>
          <w:lang w:val="zh-CN"/>
        </w:rPr>
      </w:pPr>
      <w:r>
        <w:rPr>
          <w:rFonts w:hint="eastAsia" w:ascii="仿宋_GB2312" w:hAnsi="仿宋" w:eastAsia="仿宋_GB2312"/>
          <w:b w:val="0"/>
          <w:bCs/>
          <w:sz w:val="24"/>
          <w:highlight w:val="none"/>
          <w:lang w:val="zh-CN"/>
        </w:rPr>
        <w:t>供应商在合同列表选择需要投保的合同，点击【保函推荐】。</w:t>
      </w:r>
    </w:p>
    <w:p>
      <w:pPr>
        <w:keepNext w:val="0"/>
        <w:keepLines w:val="0"/>
        <w:pageBreakBefore w:val="0"/>
        <w:widowControl w:val="0"/>
        <w:numPr>
          <w:ilvl w:val="2"/>
          <w:numId w:val="3"/>
        </w:numPr>
        <w:tabs>
          <w:tab w:val="left" w:pos="21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sz w:val="24"/>
          <w:highlight w:val="none"/>
          <w:lang w:val="en-US"/>
        </w:rPr>
      </w:pPr>
      <w:r>
        <w:rPr>
          <w:rFonts w:hint="eastAsia" w:ascii="仿宋_GB2312" w:hAnsi="仿宋" w:eastAsia="仿宋_GB2312"/>
          <w:b w:val="0"/>
          <w:bCs/>
          <w:sz w:val="24"/>
          <w:highlight w:val="none"/>
          <w:lang w:val="zh-CN"/>
        </w:rPr>
        <w:t>在弹框里查看推荐的保函产品，供应商自行选择保函产品，点击【立即申请】。</w:t>
      </w:r>
    </w:p>
    <w:p>
      <w:pPr>
        <w:keepNext w:val="0"/>
        <w:keepLines w:val="0"/>
        <w:pageBreakBefore w:val="0"/>
        <w:widowControl w:val="0"/>
        <w:numPr>
          <w:ilvl w:val="2"/>
          <w:numId w:val="3"/>
        </w:numPr>
        <w:tabs>
          <w:tab w:val="left" w:pos="21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sz w:val="24"/>
          <w:highlight w:val="none"/>
          <w:lang w:val="en-US"/>
        </w:rPr>
      </w:pPr>
      <w:r>
        <w:rPr>
          <w:rFonts w:hint="eastAsia" w:ascii="仿宋_GB2312" w:hAnsi="仿宋" w:eastAsia="仿宋_GB2312"/>
          <w:b w:val="0"/>
          <w:bCs/>
          <w:sz w:val="24"/>
          <w:highlight w:val="none"/>
          <w:lang w:val="zh-CN"/>
        </w:rPr>
        <w:t>在弹框里填写保函申请信息。具体步骤：选择产品—填写供应商信息—选择中标项目—确认信息—等待保险/保函受理—确认保单—支付保费—成功出单。政采云金融专线400-903-9583。</w:t>
      </w:r>
    </w:p>
    <w:p>
      <w:pPr>
        <w:keepNext w:val="0"/>
        <w:keepLines w:val="0"/>
        <w:pageBreakBefore w:val="0"/>
        <w:widowControl w:val="0"/>
        <w:numPr>
          <w:ilvl w:val="0"/>
          <w:numId w:val="3"/>
        </w:numPr>
        <w:tabs>
          <w:tab w:val="left" w:pos="210"/>
        </w:tabs>
        <w:kinsoku/>
        <w:wordWrap/>
        <w:overflowPunct/>
        <w:topLinePunct w:val="0"/>
        <w:autoSpaceDE/>
        <w:autoSpaceDN/>
        <w:bidi w:val="0"/>
        <w:adjustRightInd/>
        <w:snapToGrid w:val="0"/>
        <w:spacing w:line="360" w:lineRule="auto"/>
        <w:ind w:left="323" w:leftChars="0" w:hanging="323" w:firstLineChars="0"/>
        <w:jc w:val="left"/>
        <w:textAlignment w:val="auto"/>
        <w:outlineLvl w:val="2"/>
        <w:rPr>
          <w:rFonts w:hint="eastAsia" w:ascii="仿宋_GB2312" w:hAnsi="仿宋" w:eastAsia="仿宋_GB2312"/>
          <w:b/>
          <w:sz w:val="24"/>
          <w:highlight w:val="none"/>
          <w:lang w:eastAsia="zh-CN"/>
        </w:rPr>
      </w:pPr>
      <w:r>
        <w:rPr>
          <w:rFonts w:hint="eastAsia" w:ascii="仿宋_GB2312" w:hAnsi="仿宋" w:eastAsia="仿宋_GB2312"/>
          <w:b/>
          <w:sz w:val="24"/>
          <w:highlight w:val="none"/>
          <w:lang w:val="en-US" w:eastAsia="zh-CN"/>
        </w:rPr>
        <w:t>预付款</w:t>
      </w:r>
    </w:p>
    <w:p>
      <w:pPr>
        <w:keepNext w:val="0"/>
        <w:keepLines w:val="0"/>
        <w:pageBreakBefore w:val="0"/>
        <w:widowControl w:val="0"/>
        <w:numPr>
          <w:ilvl w:val="0"/>
          <w:numId w:val="0"/>
        </w:numPr>
        <w:tabs>
          <w:tab w:val="left" w:pos="210"/>
          <w:tab w:val="left" w:pos="640"/>
        </w:tabs>
        <w:kinsoku/>
        <w:wordWrap/>
        <w:overflowPunct/>
        <w:topLinePunct w:val="0"/>
        <w:autoSpaceDE/>
        <w:autoSpaceDN/>
        <w:bidi w:val="0"/>
        <w:adjustRightInd/>
        <w:snapToGrid w:val="0"/>
        <w:spacing w:line="360" w:lineRule="auto"/>
        <w:ind w:leftChars="0" w:firstLine="480" w:firstLineChars="200"/>
        <w:jc w:val="left"/>
        <w:textAlignment w:val="auto"/>
        <w:outlineLvl w:val="9"/>
        <w:rPr>
          <w:rFonts w:hint="eastAsia"/>
          <w:color w:val="auto"/>
          <w:highlight w:val="none"/>
          <w:lang w:val="en-US"/>
        </w:rPr>
      </w:pPr>
      <w:r>
        <w:rPr>
          <w:rFonts w:hint="eastAsia" w:ascii="仿宋_GB2312" w:hAnsi="仿宋" w:eastAsia="仿宋_GB2312"/>
          <w:b w:val="0"/>
          <w:bCs/>
          <w:color w:val="auto"/>
          <w:sz w:val="24"/>
          <w:highlight w:val="none"/>
          <w:lang w:val="zh-CN" w:eastAsia="zh-CN"/>
        </w:rPr>
        <w:t>采购人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人可不适用前述规定。采购人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keepNext w:val="0"/>
        <w:keepLines w:val="0"/>
        <w:pageBreakBefore w:val="0"/>
        <w:widowControl w:val="0"/>
        <w:kinsoku/>
        <w:wordWrap/>
        <w:overflowPunct/>
        <w:topLinePunct w:val="0"/>
        <w:autoSpaceDE/>
        <w:autoSpaceDN/>
        <w:bidi w:val="0"/>
        <w:adjustRightInd/>
        <w:snapToGrid w:val="0"/>
        <w:spacing w:line="360" w:lineRule="auto"/>
        <w:ind w:firstLine="2518" w:firstLineChars="1045"/>
        <w:textAlignment w:val="auto"/>
        <w:outlineLvl w:val="9"/>
        <w:rPr>
          <w:rFonts w:hint="eastAsia" w:ascii="仿宋_GB2312" w:hAnsi="仿宋" w:eastAsia="仿宋_GB2312" w:cs="仿宋_GB2312"/>
          <w:b/>
          <w:sz w:val="24"/>
          <w:szCs w:val="21"/>
          <w:highlight w:val="none"/>
        </w:rPr>
      </w:pPr>
    </w:p>
    <w:p>
      <w:pPr>
        <w:snapToGrid w:val="0"/>
        <w:spacing w:line="360" w:lineRule="auto"/>
        <w:jc w:val="center"/>
        <w:outlineLvl w:val="1"/>
        <w:rPr>
          <w:rFonts w:hint="eastAsia" w:ascii="仿宋_GB2312" w:hAnsi="仿宋" w:eastAsia="仿宋_GB2312" w:cs="仿宋_GB2312"/>
          <w:b/>
          <w:sz w:val="36"/>
          <w:szCs w:val="36"/>
          <w:highlight w:val="none"/>
        </w:rPr>
      </w:pPr>
      <w:bookmarkStart w:id="16" w:name="_Toc1303"/>
      <w:r>
        <w:rPr>
          <w:rFonts w:hint="eastAsia" w:ascii="仿宋_GB2312" w:hAnsi="仿宋" w:eastAsia="仿宋_GB2312" w:cs="仿宋_GB2312"/>
          <w:b/>
          <w:sz w:val="36"/>
          <w:szCs w:val="36"/>
          <w:highlight w:val="none"/>
        </w:rPr>
        <w:t>八、电子交易活动的中止</w:t>
      </w:r>
      <w:bookmarkEnd w:id="16"/>
    </w:p>
    <w:p>
      <w:pPr>
        <w:keepNext w:val="0"/>
        <w:keepLines w:val="0"/>
        <w:pageBreakBefore w:val="0"/>
        <w:widowControl w:val="0"/>
        <w:numPr>
          <w:ilvl w:val="0"/>
          <w:numId w:val="3"/>
        </w:numPr>
        <w:tabs>
          <w:tab w:val="left" w:pos="210"/>
        </w:tabs>
        <w:kinsoku/>
        <w:wordWrap/>
        <w:overflowPunct/>
        <w:topLinePunct w:val="0"/>
        <w:autoSpaceDE/>
        <w:autoSpaceDN/>
        <w:bidi w:val="0"/>
        <w:adjustRightInd/>
        <w:snapToGrid w:val="0"/>
        <w:spacing w:line="360" w:lineRule="auto"/>
        <w:ind w:left="323" w:leftChars="0" w:hanging="323" w:firstLineChars="0"/>
        <w:jc w:val="left"/>
        <w:textAlignment w:val="auto"/>
        <w:outlineLvl w:val="2"/>
        <w:rPr>
          <w:rFonts w:hint="eastAsia" w:ascii="仿宋_GB2312" w:hAnsi="仿宋" w:eastAsia="仿宋_GB2312"/>
          <w:b/>
          <w:sz w:val="24"/>
          <w:highlight w:val="none"/>
          <w:lang w:val="en-US" w:eastAsia="zh-CN"/>
        </w:rPr>
      </w:pPr>
      <w:r>
        <w:rPr>
          <w:rFonts w:hint="eastAsia" w:ascii="仿宋_GB2312" w:hAnsi="仿宋" w:eastAsia="仿宋_GB2312"/>
          <w:b/>
          <w:sz w:val="24"/>
          <w:highlight w:val="none"/>
          <w:lang w:val="en-US" w:eastAsia="zh-CN"/>
        </w:rPr>
        <w:t>电子交易活动的中止</w:t>
      </w:r>
    </w:p>
    <w:p>
      <w:pPr>
        <w:pStyle w:val="111"/>
        <w:keepNext w:val="0"/>
        <w:keepLines w:val="0"/>
        <w:pageBreakBefore w:val="0"/>
        <w:widowControl w:val="0"/>
        <w:kinsoku/>
        <w:wordWrap/>
        <w:overflowPunct/>
        <w:topLinePunct w:val="0"/>
        <w:autoSpaceDE/>
        <w:autoSpaceDN/>
        <w:bidi w:val="0"/>
        <w:adjustRightInd/>
        <w:snapToGrid w:val="0"/>
        <w:spacing w:before="0"/>
        <w:textAlignment w:val="auto"/>
        <w:outlineLvl w:val="9"/>
        <w:rPr>
          <w:rFonts w:ascii="仿宋_GB2312" w:hAnsi="仿宋" w:eastAsia="仿宋_GB2312" w:cs="仿宋_GB2312"/>
          <w:highlight w:val="none"/>
        </w:rPr>
      </w:pPr>
      <w:r>
        <w:rPr>
          <w:rFonts w:hint="eastAsia" w:ascii="仿宋_GB2312" w:hAnsi="仿宋" w:eastAsia="仿宋_GB2312" w:cs="仿宋_GB2312"/>
          <w:highlight w:val="none"/>
        </w:rPr>
        <w:t>采购过程中出现以下情形，导致电子交易平台无法正常运行，或者无法保证电子交易的公平、公正和安全时，</w:t>
      </w:r>
      <w:r>
        <w:rPr>
          <w:rFonts w:hint="eastAsia" w:ascii="仿宋_GB2312" w:hAnsi="仿宋" w:eastAsia="仿宋_GB2312" w:cs="仿宋_GB2312"/>
          <w:highlight w:val="none"/>
          <w:lang w:eastAsia="zh-CN"/>
        </w:rPr>
        <w:t>采购代理机构</w:t>
      </w:r>
      <w:r>
        <w:rPr>
          <w:rFonts w:hint="eastAsia" w:ascii="仿宋_GB2312" w:hAnsi="仿宋" w:eastAsia="仿宋_GB2312" w:cs="仿宋_GB2312"/>
          <w:highlight w:val="none"/>
        </w:rPr>
        <w:t>可中止电子交易活动：</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7" w:leftChars="0" w:hanging="627" w:firstLineChars="0"/>
        <w:jc w:val="left"/>
        <w:textAlignment w:val="auto"/>
        <w:outlineLvl w:val="9"/>
        <w:rPr>
          <w:rFonts w:hint="eastAsia" w:ascii="仿宋_GB2312" w:hAnsi="仿宋" w:eastAsia="仿宋_GB2312"/>
          <w:b w:val="0"/>
          <w:bCs/>
          <w:sz w:val="24"/>
          <w:highlight w:val="none"/>
          <w:lang w:val="zh-CN" w:eastAsia="zh-CN"/>
        </w:rPr>
      </w:pPr>
      <w:r>
        <w:rPr>
          <w:rFonts w:hint="eastAsia" w:ascii="仿宋_GB2312" w:hAnsi="仿宋" w:eastAsia="仿宋_GB2312"/>
          <w:b w:val="0"/>
          <w:bCs/>
          <w:sz w:val="24"/>
          <w:highlight w:val="none"/>
          <w:lang w:val="zh-CN" w:eastAsia="zh-CN"/>
        </w:rPr>
        <w:t xml:space="preserve">电子交易平台发生故障而无法登录访问的； </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7" w:leftChars="0" w:hanging="627" w:firstLineChars="0"/>
        <w:jc w:val="left"/>
        <w:textAlignment w:val="auto"/>
        <w:outlineLvl w:val="9"/>
        <w:rPr>
          <w:rFonts w:hint="eastAsia" w:ascii="仿宋_GB2312" w:hAnsi="仿宋" w:eastAsia="仿宋_GB2312"/>
          <w:b w:val="0"/>
          <w:bCs/>
          <w:sz w:val="24"/>
          <w:highlight w:val="none"/>
          <w:lang w:val="zh-CN" w:eastAsia="zh-CN"/>
        </w:rPr>
      </w:pPr>
      <w:r>
        <w:rPr>
          <w:rFonts w:hint="eastAsia" w:ascii="仿宋_GB2312" w:hAnsi="仿宋" w:eastAsia="仿宋_GB2312"/>
          <w:b w:val="0"/>
          <w:bCs/>
          <w:sz w:val="24"/>
          <w:highlight w:val="none"/>
          <w:lang w:val="zh-CN" w:eastAsia="zh-CN"/>
        </w:rPr>
        <w:t>电子交易平台应用或数据库出现错误，不能进行正常操作的；</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7" w:leftChars="0" w:hanging="627" w:firstLineChars="0"/>
        <w:jc w:val="left"/>
        <w:textAlignment w:val="auto"/>
        <w:outlineLvl w:val="9"/>
        <w:rPr>
          <w:rFonts w:hint="eastAsia" w:ascii="仿宋_GB2312" w:hAnsi="仿宋" w:eastAsia="仿宋_GB2312"/>
          <w:b w:val="0"/>
          <w:bCs/>
          <w:sz w:val="24"/>
          <w:highlight w:val="none"/>
          <w:lang w:val="zh-CN" w:eastAsia="zh-CN"/>
        </w:rPr>
      </w:pPr>
      <w:r>
        <w:rPr>
          <w:rFonts w:hint="eastAsia" w:ascii="仿宋_GB2312" w:hAnsi="仿宋" w:eastAsia="仿宋_GB2312"/>
          <w:b w:val="0"/>
          <w:bCs/>
          <w:sz w:val="24"/>
          <w:highlight w:val="none"/>
          <w:lang w:val="zh-CN" w:eastAsia="zh-CN"/>
        </w:rPr>
        <w:t>电子交易平台发现严重安全漏洞，有潜在泄密危险的；</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7" w:leftChars="0" w:hanging="627" w:firstLineChars="0"/>
        <w:jc w:val="left"/>
        <w:textAlignment w:val="auto"/>
        <w:outlineLvl w:val="9"/>
        <w:rPr>
          <w:rFonts w:hint="eastAsia" w:ascii="仿宋_GB2312" w:hAnsi="仿宋" w:eastAsia="仿宋_GB2312"/>
          <w:b w:val="0"/>
          <w:bCs/>
          <w:sz w:val="24"/>
          <w:highlight w:val="none"/>
          <w:lang w:val="zh-CN" w:eastAsia="zh-CN"/>
        </w:rPr>
      </w:pPr>
      <w:r>
        <w:rPr>
          <w:rFonts w:hint="eastAsia" w:ascii="仿宋_GB2312" w:hAnsi="仿宋" w:eastAsia="仿宋_GB2312"/>
          <w:b w:val="0"/>
          <w:bCs/>
          <w:sz w:val="24"/>
          <w:highlight w:val="none"/>
          <w:lang w:val="zh-CN" w:eastAsia="zh-CN"/>
        </w:rPr>
        <w:t xml:space="preserve">病毒发作导致不能进行正常操作的； </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7" w:leftChars="0" w:hanging="627" w:firstLineChars="0"/>
        <w:jc w:val="left"/>
        <w:textAlignment w:val="auto"/>
        <w:outlineLvl w:val="9"/>
        <w:rPr>
          <w:rFonts w:hint="eastAsia" w:ascii="仿宋_GB2312" w:hAnsi="仿宋" w:eastAsia="仿宋_GB2312"/>
          <w:b w:val="0"/>
          <w:bCs/>
          <w:sz w:val="24"/>
          <w:highlight w:val="none"/>
          <w:lang w:val="zh-CN" w:eastAsia="zh-CN"/>
        </w:rPr>
      </w:pPr>
      <w:r>
        <w:rPr>
          <w:rFonts w:hint="eastAsia" w:ascii="仿宋_GB2312" w:hAnsi="仿宋" w:eastAsia="仿宋_GB2312"/>
          <w:b w:val="0"/>
          <w:bCs/>
          <w:sz w:val="24"/>
          <w:highlight w:val="none"/>
          <w:lang w:val="zh-CN" w:eastAsia="zh-CN"/>
        </w:rPr>
        <w:t>其他无法保证电子交易的公平、公正和安全的情况。</w:t>
      </w:r>
    </w:p>
    <w:p>
      <w:pPr>
        <w:numPr>
          <w:ilvl w:val="0"/>
          <w:numId w:val="3"/>
        </w:numPr>
        <w:tabs>
          <w:tab w:val="left" w:pos="210"/>
        </w:tabs>
        <w:snapToGrid w:val="0"/>
        <w:spacing w:line="360" w:lineRule="auto"/>
        <w:ind w:left="403" w:leftChars="0" w:hanging="403" w:firstLineChars="0"/>
        <w:jc w:val="left"/>
        <w:outlineLvl w:val="2"/>
        <w:rPr>
          <w:rFonts w:hint="eastAsia" w:ascii="仿宋_GB2312" w:hAnsi="仿宋" w:eastAsia="仿宋_GB2312"/>
          <w:b/>
          <w:sz w:val="24"/>
          <w:highlight w:val="none"/>
          <w:lang w:eastAsia="zh-CN"/>
        </w:rPr>
      </w:pPr>
      <w:r>
        <w:rPr>
          <w:rFonts w:hint="eastAsia" w:ascii="仿宋_GB2312" w:hAnsi="仿宋" w:eastAsia="仿宋_GB2312"/>
          <w:b/>
          <w:sz w:val="24"/>
          <w:highlight w:val="none"/>
          <w:lang w:eastAsia="zh-CN"/>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highlight w:val="none"/>
        </w:rPr>
      </w:pPr>
    </w:p>
    <w:p>
      <w:pPr>
        <w:snapToGrid w:val="0"/>
        <w:spacing w:line="360" w:lineRule="auto"/>
        <w:jc w:val="center"/>
        <w:outlineLvl w:val="1"/>
        <w:rPr>
          <w:rFonts w:hint="eastAsia" w:ascii="仿宋_GB2312" w:hAnsi="仿宋" w:eastAsia="仿宋_GB2312" w:cs="仿宋_GB2312"/>
          <w:b/>
          <w:sz w:val="36"/>
          <w:szCs w:val="36"/>
          <w:highlight w:val="none"/>
        </w:rPr>
      </w:pPr>
      <w:bookmarkStart w:id="17" w:name="_Toc13627"/>
      <w:r>
        <w:rPr>
          <w:rFonts w:hint="eastAsia" w:ascii="仿宋_GB2312" w:hAnsi="仿宋" w:eastAsia="仿宋_GB2312" w:cs="仿宋_GB2312"/>
          <w:b/>
          <w:sz w:val="36"/>
          <w:szCs w:val="36"/>
          <w:highlight w:val="none"/>
        </w:rPr>
        <w:t>九、验收</w:t>
      </w:r>
      <w:bookmarkEnd w:id="17"/>
    </w:p>
    <w:p>
      <w:pPr>
        <w:numPr>
          <w:ilvl w:val="0"/>
          <w:numId w:val="3"/>
        </w:numPr>
        <w:tabs>
          <w:tab w:val="left" w:pos="210"/>
        </w:tabs>
        <w:snapToGrid w:val="0"/>
        <w:spacing w:line="360" w:lineRule="auto"/>
        <w:ind w:left="323" w:leftChars="0" w:hanging="323" w:firstLineChars="0"/>
        <w:jc w:val="left"/>
        <w:outlineLvl w:val="2"/>
        <w:rPr>
          <w:rFonts w:hint="eastAsia" w:ascii="仿宋_GB2312" w:hAnsi="仿宋" w:eastAsia="仿宋_GB2312"/>
          <w:b/>
          <w:sz w:val="24"/>
          <w:highlight w:val="none"/>
          <w:lang w:eastAsia="zh-CN"/>
        </w:rPr>
      </w:pPr>
      <w:r>
        <w:rPr>
          <w:rFonts w:hint="eastAsia" w:ascii="仿宋_GB2312" w:hAnsi="仿宋" w:eastAsia="仿宋_GB2312"/>
          <w:b/>
          <w:sz w:val="24"/>
          <w:highlight w:val="none"/>
          <w:lang w:eastAsia="zh-CN"/>
        </w:rPr>
        <w:t>验收</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sz w:val="24"/>
          <w:highlight w:val="none"/>
          <w:lang w:val="zh-CN" w:eastAsia="zh-CN"/>
        </w:rPr>
      </w:pPr>
      <w:r>
        <w:rPr>
          <w:rFonts w:hint="eastAsia" w:ascii="仿宋_GB2312" w:hAnsi="仿宋" w:eastAsia="仿宋_GB2312"/>
          <w:b w:val="0"/>
          <w:bCs/>
          <w:sz w:val="24"/>
          <w:highlight w:val="none"/>
          <w:lang w:val="zh-CN" w:eastAsia="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sz w:val="24"/>
          <w:highlight w:val="none"/>
          <w:lang w:val="zh-CN" w:eastAsia="zh-CN"/>
        </w:rPr>
      </w:pPr>
      <w:r>
        <w:rPr>
          <w:rFonts w:hint="eastAsia" w:ascii="仿宋_GB2312" w:hAnsi="仿宋" w:eastAsia="仿宋_GB2312"/>
          <w:b w:val="0"/>
          <w:bCs/>
          <w:sz w:val="24"/>
          <w:highlight w:val="none"/>
          <w:lang w:val="zh-CN" w:eastAsia="zh-CN"/>
        </w:rPr>
        <w:t>采购人可以邀请参加本项目的其他投标人或者第三方机构参与验收。参与验收的投标人或者第三方机构的意见作为验收书的参考资料一并存档。</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sz w:val="24"/>
          <w:highlight w:val="none"/>
          <w:lang w:val="zh-CN" w:eastAsia="zh-CN"/>
        </w:rPr>
      </w:pPr>
      <w:r>
        <w:rPr>
          <w:rFonts w:hint="eastAsia" w:ascii="仿宋_GB2312" w:hAnsi="仿宋" w:eastAsia="仿宋_GB2312"/>
          <w:b w:val="0"/>
          <w:bCs/>
          <w:sz w:val="24"/>
          <w:highlight w:val="none"/>
          <w:lang w:val="zh-CN" w:eastAsia="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keepNext w:val="0"/>
        <w:keepLines w:val="0"/>
        <w:pageBreakBefore w:val="0"/>
        <w:widowControl w:val="0"/>
        <w:numPr>
          <w:ilvl w:val="1"/>
          <w:numId w:val="3"/>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cs="Times New Roman"/>
          <w:b w:val="0"/>
          <w:bCs/>
          <w:color w:val="auto"/>
          <w:sz w:val="24"/>
          <w:highlight w:val="none"/>
          <w:lang w:val="zh-CN" w:eastAsia="zh-CN"/>
        </w:rPr>
      </w:pPr>
      <w:r>
        <w:rPr>
          <w:rFonts w:hint="eastAsia" w:ascii="仿宋_GB2312" w:hAnsi="仿宋" w:eastAsia="仿宋_GB2312"/>
          <w:b w:val="0"/>
          <w:bCs/>
          <w:sz w:val="24"/>
          <w:highlight w:val="none"/>
          <w:lang w:val="zh-CN" w:eastAsia="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仿宋_GB2312" w:hAnsi="仿宋" w:eastAsia="仿宋_GB2312" w:cs="Times New Roman"/>
          <w:b w:val="0"/>
          <w:bCs/>
          <w:color w:val="auto"/>
          <w:sz w:val="24"/>
          <w:highlight w:val="none"/>
          <w:lang w:val="zh-CN" w:eastAsia="zh-CN"/>
        </w:rPr>
        <w:t>。</w:t>
      </w:r>
    </w:p>
    <w:p>
      <w:pPr>
        <w:pStyle w:val="17"/>
        <w:rPr>
          <w:rFonts w:ascii="仿宋" w:hAnsi="仿宋" w:eastAsia="仿宋" w:cs="仿宋"/>
          <w:color w:val="auto"/>
          <w:highlight w:val="none"/>
        </w:rPr>
      </w:pPr>
    </w:p>
    <w:p>
      <w:pPr>
        <w:adjustRightInd w:val="0"/>
        <w:snapToGrid w:val="0"/>
        <w:spacing w:before="120" w:beforeLines="50" w:after="120" w:afterLines="50" w:line="360" w:lineRule="auto"/>
        <w:jc w:val="center"/>
        <w:outlineLvl w:val="0"/>
        <w:rPr>
          <w:rFonts w:ascii="仿宋" w:hAnsi="仿宋" w:eastAsia="仿宋" w:cs="仿宋"/>
          <w:color w:val="auto"/>
          <w:sz w:val="36"/>
          <w:highlight w:val="none"/>
        </w:rPr>
      </w:pPr>
      <w:r>
        <w:rPr>
          <w:rFonts w:hint="eastAsia" w:ascii="仿宋" w:hAnsi="仿宋" w:eastAsia="仿宋" w:cs="仿宋"/>
          <w:b/>
          <w:bCs/>
          <w:color w:val="auto"/>
          <w:sz w:val="28"/>
          <w:szCs w:val="21"/>
          <w:highlight w:val="none"/>
        </w:rPr>
        <w:br w:type="page"/>
      </w:r>
      <w:bookmarkStart w:id="18" w:name="_Toc242012796"/>
      <w:bookmarkStart w:id="19" w:name="_Toc31190"/>
      <w:bookmarkStart w:id="20" w:name="_Toc83616202"/>
      <w:bookmarkStart w:id="21" w:name="_Toc24023"/>
      <w:r>
        <w:rPr>
          <w:rFonts w:hint="eastAsia" w:ascii="仿宋" w:hAnsi="仿宋" w:eastAsia="仿宋" w:cs="仿宋"/>
          <w:b/>
          <w:color w:val="auto"/>
          <w:sz w:val="30"/>
          <w:szCs w:val="30"/>
          <w:highlight w:val="none"/>
        </w:rPr>
        <w:t>第三部分</w:t>
      </w:r>
      <w:bookmarkEnd w:id="18"/>
      <w:bookmarkEnd w:id="19"/>
      <w:bookmarkEnd w:id="20"/>
      <w:r>
        <w:rPr>
          <w:rFonts w:hint="eastAsia" w:ascii="仿宋" w:hAnsi="仿宋" w:eastAsia="仿宋" w:cs="仿宋"/>
          <w:b/>
          <w:color w:val="auto"/>
          <w:sz w:val="30"/>
          <w:szCs w:val="30"/>
          <w:highlight w:val="none"/>
        </w:rPr>
        <w:t xml:space="preserve">  采购需求</w:t>
      </w:r>
      <w:bookmarkEnd w:id="21"/>
    </w:p>
    <w:p>
      <w:pPr>
        <w:pStyle w:val="2"/>
        <w:spacing w:before="120" w:after="120" w:line="360" w:lineRule="auto"/>
        <w:rPr>
          <w:rFonts w:hint="eastAsia" w:ascii="仿宋" w:hAnsi="仿宋" w:eastAsia="仿宋" w:cs="仿宋"/>
          <w:b/>
          <w:bCs/>
          <w:color w:val="auto"/>
          <w:sz w:val="24"/>
          <w:szCs w:val="24"/>
          <w:highlight w:val="none"/>
          <w:shd w:val="clear" w:color="auto" w:fill="auto"/>
        </w:rPr>
      </w:pPr>
      <w:bookmarkStart w:id="22" w:name="_Toc29464"/>
      <w:bookmarkStart w:id="23" w:name="_Toc19441"/>
      <w:bookmarkStart w:id="24" w:name="_Toc16521"/>
      <w:bookmarkStart w:id="25" w:name="_Toc306304665"/>
      <w:bookmarkStart w:id="26" w:name="_Toc203558307"/>
      <w:bookmarkStart w:id="27" w:name="_Toc12471"/>
      <w:bookmarkStart w:id="28" w:name="_Toc194983818"/>
      <w:bookmarkStart w:id="29" w:name="_Toc342633574"/>
      <w:r>
        <w:rPr>
          <w:rFonts w:hint="eastAsia" w:ascii="仿宋" w:hAnsi="仿宋" w:eastAsia="仿宋" w:cs="仿宋"/>
          <w:b/>
          <w:bCs/>
          <w:color w:val="auto"/>
          <w:sz w:val="24"/>
          <w:szCs w:val="24"/>
          <w:highlight w:val="none"/>
          <w:shd w:val="clear" w:color="auto" w:fill="auto"/>
        </w:rPr>
        <w:t>一、项目概况</w:t>
      </w:r>
      <w:bookmarkEnd w:id="22"/>
      <w:bookmarkEnd w:id="23"/>
      <w:bookmarkEnd w:id="24"/>
      <w:r>
        <w:rPr>
          <w:rFonts w:hint="eastAsia" w:ascii="仿宋" w:hAnsi="仿宋" w:eastAsia="仿宋" w:cs="仿宋"/>
          <w:b/>
          <w:bCs/>
          <w:color w:val="auto"/>
          <w:sz w:val="24"/>
          <w:szCs w:val="24"/>
          <w:highlight w:val="none"/>
          <w:shd w:val="clear" w:color="auto" w:fill="auto"/>
        </w:rPr>
        <w:t xml:space="preserve"> </w:t>
      </w:r>
    </w:p>
    <w:p>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1、项目名称：钱塘区2023年纸质中文图书采购。</w:t>
      </w:r>
    </w:p>
    <w:p>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2、项目工作内容：</w:t>
      </w:r>
    </w:p>
    <w:p>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提供202</w:t>
      </w:r>
      <w:r>
        <w:rPr>
          <w:rFonts w:hint="eastAsia" w:ascii="仿宋" w:hAnsi="仿宋" w:eastAsia="仿宋" w:cs="仿宋"/>
          <w:color w:val="auto"/>
          <w:sz w:val="24"/>
          <w:szCs w:val="24"/>
          <w:highlight w:val="none"/>
          <w:shd w:val="clear" w:color="auto" w:fill="auto"/>
          <w:lang w:val="en-US" w:eastAsia="zh-CN"/>
        </w:rPr>
        <w:t>3</w:t>
      </w:r>
      <w:r>
        <w:rPr>
          <w:rFonts w:hint="eastAsia" w:ascii="仿宋" w:hAnsi="仿宋" w:eastAsia="仿宋" w:cs="仿宋"/>
          <w:color w:val="auto"/>
          <w:sz w:val="24"/>
          <w:szCs w:val="24"/>
          <w:highlight w:val="none"/>
          <w:shd w:val="clear" w:color="auto" w:fill="auto"/>
          <w:lang w:eastAsia="zh-CN"/>
        </w:rPr>
        <w:t>年杭州市钱塘区所需纸质图书，包括中文纸质图书供应和相关服务（包括图书出版信息数据提供、订单处理、图书配送和退换、图书编目加工、整理上架及售后等其他相关服务）。</w:t>
      </w:r>
    </w:p>
    <w:p>
      <w:pPr>
        <w:tabs>
          <w:tab w:val="left" w:pos="0"/>
        </w:tabs>
        <w:adjustRightInd w:val="0"/>
        <w:snapToGrid w:val="0"/>
        <w:spacing w:line="360" w:lineRule="auto"/>
        <w:ind w:firstLine="480" w:firstLineChars="200"/>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3、合同期限：</w:t>
      </w:r>
      <w:r>
        <w:rPr>
          <w:rFonts w:hint="eastAsia" w:ascii="仿宋" w:hAnsi="仿宋" w:eastAsia="仿宋" w:cs="仿宋"/>
          <w:color w:val="auto"/>
          <w:kern w:val="2"/>
          <w:sz w:val="24"/>
          <w:szCs w:val="24"/>
          <w:highlight w:val="none"/>
          <w:shd w:val="clear" w:color="auto" w:fill="auto"/>
        </w:rPr>
        <w:t>自合同签订之日起至202</w:t>
      </w:r>
      <w:r>
        <w:rPr>
          <w:rFonts w:hint="eastAsia" w:ascii="仿宋" w:hAnsi="仿宋" w:eastAsia="仿宋" w:cs="仿宋"/>
          <w:color w:val="auto"/>
          <w:kern w:val="2"/>
          <w:sz w:val="24"/>
          <w:szCs w:val="24"/>
          <w:highlight w:val="none"/>
          <w:shd w:val="clear" w:color="auto" w:fill="auto"/>
          <w:lang w:val="en-US" w:eastAsia="zh-CN"/>
        </w:rPr>
        <w:t>3</w:t>
      </w:r>
      <w:r>
        <w:rPr>
          <w:rFonts w:hint="eastAsia" w:ascii="仿宋" w:hAnsi="仿宋" w:eastAsia="仿宋" w:cs="仿宋"/>
          <w:color w:val="auto"/>
          <w:kern w:val="2"/>
          <w:sz w:val="24"/>
          <w:szCs w:val="24"/>
          <w:highlight w:val="none"/>
          <w:shd w:val="clear" w:color="auto" w:fill="auto"/>
        </w:rPr>
        <w:t>年</w:t>
      </w:r>
      <w:r>
        <w:rPr>
          <w:rFonts w:hint="eastAsia" w:ascii="仿宋" w:hAnsi="仿宋" w:eastAsia="仿宋" w:cs="仿宋"/>
          <w:color w:val="auto"/>
          <w:kern w:val="2"/>
          <w:sz w:val="24"/>
          <w:szCs w:val="24"/>
          <w:highlight w:val="none"/>
          <w:shd w:val="clear" w:color="auto" w:fill="auto"/>
          <w:lang w:val="en-US" w:eastAsia="zh-CN"/>
        </w:rPr>
        <w:t>11</w:t>
      </w:r>
      <w:r>
        <w:rPr>
          <w:rFonts w:hint="eastAsia" w:ascii="仿宋" w:hAnsi="仿宋" w:eastAsia="仿宋" w:cs="仿宋"/>
          <w:color w:val="auto"/>
          <w:kern w:val="2"/>
          <w:sz w:val="24"/>
          <w:szCs w:val="24"/>
          <w:highlight w:val="none"/>
          <w:shd w:val="clear" w:color="auto" w:fill="auto"/>
        </w:rPr>
        <w:t>月3</w:t>
      </w:r>
      <w:r>
        <w:rPr>
          <w:rFonts w:hint="eastAsia" w:ascii="仿宋" w:hAnsi="仿宋" w:eastAsia="仿宋" w:cs="仿宋"/>
          <w:color w:val="auto"/>
          <w:kern w:val="2"/>
          <w:sz w:val="24"/>
          <w:szCs w:val="24"/>
          <w:highlight w:val="none"/>
          <w:shd w:val="clear" w:color="auto" w:fill="auto"/>
          <w:lang w:val="en-US" w:eastAsia="zh-CN"/>
        </w:rPr>
        <w:t>0</w:t>
      </w:r>
      <w:r>
        <w:rPr>
          <w:rFonts w:hint="eastAsia" w:ascii="仿宋" w:hAnsi="仿宋" w:eastAsia="仿宋" w:cs="仿宋"/>
          <w:color w:val="auto"/>
          <w:kern w:val="2"/>
          <w:sz w:val="24"/>
          <w:szCs w:val="24"/>
          <w:highlight w:val="none"/>
          <w:shd w:val="clear" w:color="auto" w:fill="auto"/>
        </w:rPr>
        <w:t>日止</w:t>
      </w:r>
      <w:r>
        <w:rPr>
          <w:rFonts w:hint="eastAsia" w:ascii="仿宋" w:hAnsi="仿宋" w:eastAsia="仿宋" w:cs="仿宋"/>
          <w:color w:val="auto"/>
          <w:sz w:val="24"/>
          <w:highlight w:val="none"/>
          <w:shd w:val="clear" w:color="auto" w:fill="auto"/>
          <w:lang w:val="en-US" w:eastAsia="zh-CN"/>
        </w:rPr>
        <w:t>。</w:t>
      </w:r>
    </w:p>
    <w:p>
      <w:pPr>
        <w:tabs>
          <w:tab w:val="left" w:pos="0"/>
        </w:tabs>
        <w:adjustRightInd w:val="0"/>
        <w:snapToGrid w:val="0"/>
        <w:spacing w:line="360" w:lineRule="auto"/>
        <w:ind w:firstLine="480" w:firstLineChars="200"/>
        <w:rPr>
          <w:rFonts w:hint="eastAsia" w:ascii="仿宋" w:hAnsi="仿宋" w:eastAsia="仿宋" w:cs="仿宋"/>
          <w:color w:val="auto"/>
          <w:kern w:val="2"/>
          <w:sz w:val="24"/>
          <w:szCs w:val="24"/>
          <w:highlight w:val="none"/>
          <w:shd w:val="clear" w:color="auto" w:fill="auto"/>
          <w:lang w:eastAsia="zh-CN"/>
        </w:rPr>
      </w:pPr>
      <w:r>
        <w:rPr>
          <w:rFonts w:hint="eastAsia" w:ascii="仿宋" w:hAnsi="仿宋" w:eastAsia="仿宋" w:cs="仿宋"/>
          <w:snapToGrid w:val="0"/>
          <w:color w:val="auto"/>
          <w:kern w:val="0"/>
          <w:sz w:val="24"/>
          <w:szCs w:val="24"/>
          <w:highlight w:val="none"/>
          <w:shd w:val="clear" w:color="auto" w:fill="auto"/>
          <w:lang w:val="en-US" w:eastAsia="zh-CN"/>
        </w:rPr>
        <w:t>4、投标时的证明材料要确保真实有效。如核实虚假的，采购人有权向监管部门反映，取消该投标人的中标资格并追究其法律责任。</w:t>
      </w:r>
    </w:p>
    <w:p>
      <w:pPr>
        <w:pStyle w:val="2"/>
        <w:spacing w:before="120" w:after="120" w:line="360" w:lineRule="auto"/>
        <w:rPr>
          <w:rFonts w:hint="eastAsia" w:ascii="仿宋" w:hAnsi="仿宋" w:eastAsia="仿宋" w:cs="仿宋"/>
          <w:b/>
          <w:bCs/>
          <w:color w:val="auto"/>
          <w:sz w:val="24"/>
          <w:szCs w:val="24"/>
          <w:highlight w:val="none"/>
          <w:shd w:val="clear" w:color="auto" w:fill="auto"/>
          <w:lang w:val="en-US" w:eastAsia="zh-CN"/>
        </w:rPr>
      </w:pPr>
      <w:bookmarkStart w:id="30" w:name="_Toc18007"/>
      <w:bookmarkStart w:id="31" w:name="_Toc6020"/>
      <w:bookmarkStart w:id="32" w:name="_Toc28354"/>
      <w:r>
        <w:rPr>
          <w:rFonts w:hint="eastAsia" w:ascii="仿宋" w:hAnsi="仿宋" w:eastAsia="仿宋" w:cs="仿宋"/>
          <w:b/>
          <w:bCs/>
          <w:color w:val="auto"/>
          <w:sz w:val="24"/>
          <w:szCs w:val="24"/>
          <w:highlight w:val="none"/>
          <w:shd w:val="clear" w:color="auto" w:fill="auto"/>
          <w:lang w:val="en-US" w:eastAsia="zh-CN"/>
        </w:rPr>
        <w:t>二</w:t>
      </w:r>
      <w:r>
        <w:rPr>
          <w:rFonts w:hint="eastAsia" w:ascii="仿宋" w:hAnsi="仿宋" w:eastAsia="仿宋" w:cs="仿宋"/>
          <w:b/>
          <w:bCs/>
          <w:color w:val="auto"/>
          <w:sz w:val="24"/>
          <w:szCs w:val="24"/>
          <w:highlight w:val="none"/>
          <w:shd w:val="clear" w:color="auto" w:fill="auto"/>
          <w:lang w:eastAsia="zh-CN"/>
        </w:rPr>
        <w:t>、</w:t>
      </w:r>
      <w:r>
        <w:rPr>
          <w:rFonts w:hint="eastAsia" w:ascii="仿宋" w:hAnsi="仿宋" w:eastAsia="仿宋" w:cs="仿宋"/>
          <w:b/>
          <w:bCs/>
          <w:color w:val="auto"/>
          <w:sz w:val="24"/>
          <w:szCs w:val="24"/>
          <w:highlight w:val="none"/>
          <w:shd w:val="clear" w:color="auto" w:fill="auto"/>
          <w:lang w:val="en-US" w:eastAsia="zh-CN"/>
        </w:rPr>
        <w:t>采购内容及要求</w:t>
      </w:r>
      <w:bookmarkEnd w:id="30"/>
      <w:bookmarkEnd w:id="31"/>
      <w:bookmarkEnd w:id="32"/>
    </w:p>
    <w:p>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（一）基本要求</w:t>
      </w:r>
    </w:p>
    <w:p>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1、供应商为国内图书经营单位，有从事图书经销和数据加工业务的专业人员，有为公共图书馆供应纸质中文图书的经验。</w:t>
      </w:r>
    </w:p>
    <w:p>
      <w:pPr>
        <w:tabs>
          <w:tab w:val="left" w:pos="0"/>
        </w:tabs>
        <w:adjustRightInd w:val="0"/>
        <w:snapToGrid w:val="0"/>
        <w:spacing w:line="360" w:lineRule="auto"/>
        <w:ind w:firstLine="480" w:firstLineChars="200"/>
        <w:rPr>
          <w:rFonts w:hint="default"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目前采购人使用杭州市全市统一的Interlib图书馆集群系统（图创），供应商可直接对接使用。供应商应能提供规范的新书征订书目数据和机读编目数据，并且其数据须完全符合采购人图书集成管理系统的格式及运行要求，提供的所有数据都能在采购方的各系统无障碍的使用。</w:t>
      </w:r>
    </w:p>
    <w:p>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3、书目预订部分：供应商通过自有供货渠道组织预订书目，提供EXCEL新书目录及相同的MARC数据，并按中图法分类排序进行提供。</w:t>
      </w:r>
    </w:p>
    <w:p>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自选订购部分：采购人根据读者需求提供给供应商书单，供应商应有能力及时按采购人书单提供图书。</w:t>
      </w:r>
    </w:p>
    <w:p>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4、供应商应具有较广的图书来源渠道，经营的图书品种多、质量好，并具备提供近两年新书的能力。</w:t>
      </w:r>
    </w:p>
    <w:p>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5、供应商须提供符合国家财税法律规定要求的售书发票。</w:t>
      </w:r>
    </w:p>
    <w:p>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6、供应商应保证全年的到书率不低于98%。</w:t>
      </w:r>
    </w:p>
    <w:p>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7、本次订购图书需根据招标人的要求完成加工并录入杭州市图书馆系统钱塘新区图书馆账号下，并根据要求配送至相关地点（配送点不少于</w:t>
      </w:r>
      <w:r>
        <w:rPr>
          <w:rFonts w:hint="eastAsia" w:ascii="仿宋" w:hAnsi="仿宋" w:eastAsia="仿宋" w:cs="仿宋"/>
          <w:color w:val="auto"/>
          <w:sz w:val="24"/>
          <w:szCs w:val="24"/>
          <w:highlight w:val="none"/>
          <w:shd w:val="clear" w:color="auto" w:fill="auto"/>
          <w:lang w:val="en" w:eastAsia="zh-CN"/>
        </w:rPr>
        <w:t>7个</w:t>
      </w:r>
      <w:r>
        <w:rPr>
          <w:rFonts w:hint="eastAsia" w:ascii="仿宋" w:hAnsi="仿宋" w:eastAsia="仿宋" w:cs="仿宋"/>
          <w:color w:val="auto"/>
          <w:sz w:val="24"/>
          <w:szCs w:val="24"/>
          <w:highlight w:val="none"/>
          <w:shd w:val="clear" w:color="auto" w:fill="auto"/>
          <w:lang w:val="en-US" w:eastAsia="zh-CN"/>
        </w:rPr>
        <w:t>）。</w:t>
      </w:r>
    </w:p>
    <w:p>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（二）服务要求</w:t>
      </w:r>
    </w:p>
    <w:p>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供应商提供的征订数据必须以Marc格式文件提供。Marc格式的采访数据应包括如下项目：订购号（征订号）、ISBN号、书名、著者、出版社、出版时间、丛书名、单价、页码、尺寸、内容提要和一级分类号等信息；提供的到馆图书编目数据必须以Marc格式文件提供。Marc格式的编目数据应规范、完整。6字段的分类、主题标引都应按中图法（最新版本）和分类主题词表（2版）详尽著录。</w:t>
      </w:r>
    </w:p>
    <w:p>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2、图书订单要求：</w:t>
      </w:r>
    </w:p>
    <w:p>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采购人选定所需图书，汇成订单书目后传送给供应商。所有图书的品种和复本数量均由采购人决定。对于定购价格与实际价格有较大出入的，或者复本量过大的，或者单册价格昂贵的（大于人民币100元）且复本大于2册的，或者特殊版本（活页、64及以下开本、随书配送光盘磁带另外收费的）以及其他特殊情况的，须经采购人确认后安排采购。</w:t>
      </w:r>
    </w:p>
    <w:p>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供应商严格按采购人确认的订单配送图书，不得自行搭配和追加非采购人确认订购的品种或复本。图书品种、复本数量和随书光盘/磁盘/磁带等与订单不符时，无论是否已作前期加工，供应商必须无条件负责退换。</w:t>
      </w:r>
    </w:p>
    <w:p>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3、图书质量要求：</w:t>
      </w:r>
    </w:p>
    <w:p>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供应商须保证所有供应图书为未经使用的正版图书，保证所供应图书的版本与进书来源合法，并对所供应的图书版本、知识产权、进货来源承担相应的法律责任。一经发现提供盗版图书，立即取消供货资格，并无条件负责退货。</w:t>
      </w:r>
    </w:p>
    <w:p>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供应商送交到采购人的图书不能有任何质量问题，并剔除内容有色情、暴力、恐怖等不适合读者或装祯形式为小开本、活页等不适合流通管理的图书。若验收时发现有污染、图文不清、缺页、倒装、缺附件等不合格的图书和明显不适宜采购人收藏的图书，一律予以退换，退换费用由供应商承担。</w:t>
      </w:r>
    </w:p>
    <w:p>
      <w:pPr>
        <w:pStyle w:val="18"/>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shd w:val="clear" w:color="auto" w:fill="auto"/>
          <w:lang w:val="en-US" w:eastAsia="zh-CN"/>
        </w:rPr>
        <w:t>（3）投标人对所供应图书质量进行承诺。（包括承诺所供图书为正式出版物、承诺无污染破损、承诺采访书目为当年全国的书目信息，完整准确等内容）</w:t>
      </w:r>
    </w:p>
    <w:p>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4、图书运输要求：供应商应对发送的图书进行防湿和防破装卸要求的包装，并按采购人要求提供指定地点的送书上门服务，为此所发生的费用全部由供应商承担。在发送图书之前，供应商应预先用电话通知，以便采购人准备接货。图书在到达采购人指定所在地前发生的不可预见的风险均由供应商负责。</w:t>
      </w:r>
    </w:p>
    <w:p>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5、图书加工细则：供应商提供到馆图书的全加工服务，包括：加盖馆藏章，加贴磁条，粘贴条形码、粘贴书标，加贴芯片，书标、条码加贴胶带纸，数据录入，馆藏分配，分类上架。所产生的劳务费用由供应商承担。</w:t>
      </w:r>
    </w:p>
    <w:p>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加盖馆藏章：图书需加盖馆藏章2处，在图书题名页上空白处的中间位置（条码上方）和图书正中页各一处。馆藏章需横向加盖，要求位置端正。</w:t>
      </w:r>
    </w:p>
    <w:p>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加贴磁条：图书需加贴防盗磁条1处，可在书的任一页加贴，但要求将磁条嵌入书缝内，做到隐蔽从而达到防盗效果。对页数较多的图书要加贴两根以上的磁条。</w:t>
      </w:r>
    </w:p>
    <w:p>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粘贴条形码：图书需黏贴条形码2处，在图书题名页下中间位置和图书封底页各一处，且图书封底页的条形码需加贴胶带纸加固。</w:t>
      </w:r>
    </w:p>
    <w:p>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粘贴书标：书标贴在书脊上距底端2.5厘米处，书脊处需加贴胶带纸固定。</w:t>
      </w:r>
    </w:p>
    <w:p>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加贴FRID芯片：图书芯片贴在图书最后一页；</w:t>
      </w:r>
    </w:p>
    <w:p>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val="en-US" w:eastAsia="zh-CN"/>
        </w:rPr>
        <w:t>响应时间：</w:t>
      </w:r>
      <w:r>
        <w:rPr>
          <w:rFonts w:hint="eastAsia" w:ascii="仿宋" w:hAnsi="仿宋" w:eastAsia="仿宋" w:cs="仿宋"/>
          <w:color w:val="auto"/>
          <w:sz w:val="24"/>
          <w:szCs w:val="24"/>
          <w:highlight w:val="none"/>
          <w:shd w:val="clear" w:color="auto" w:fill="auto"/>
        </w:rPr>
        <w:t>接到全加工通知后 15 分钟内响应，1 个工作日内即可安排工作人员到馆</w:t>
      </w:r>
      <w:r>
        <w:rPr>
          <w:rFonts w:hint="eastAsia" w:ascii="仿宋" w:hAnsi="仿宋" w:eastAsia="仿宋" w:cs="仿宋"/>
          <w:color w:val="auto"/>
          <w:sz w:val="24"/>
          <w:szCs w:val="24"/>
          <w:highlight w:val="none"/>
          <w:shd w:val="clear" w:color="auto" w:fill="auto"/>
          <w:lang w:eastAsia="zh-CN"/>
        </w:rPr>
        <w:t>。</w:t>
      </w:r>
    </w:p>
    <w:p>
      <w:pPr>
        <w:tabs>
          <w:tab w:val="left" w:pos="0"/>
        </w:tabs>
        <w:adjustRightInd w:val="0"/>
        <w:snapToGrid w:val="0"/>
        <w:spacing w:line="360" w:lineRule="auto"/>
        <w:ind w:firstLine="480" w:firstLineChars="200"/>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服务评价：要求</w:t>
      </w:r>
      <w:r>
        <w:rPr>
          <w:rFonts w:hint="eastAsia" w:ascii="仿宋" w:hAnsi="仿宋" w:eastAsia="仿宋" w:cs="仿宋"/>
          <w:color w:val="auto"/>
          <w:sz w:val="24"/>
          <w:szCs w:val="24"/>
          <w:highlight w:val="none"/>
          <w:shd w:val="clear" w:color="auto" w:fill="auto"/>
        </w:rPr>
        <w:t>加工有专业的、固定的人员</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shd w:val="clear" w:color="auto" w:fill="auto"/>
        </w:rPr>
        <w:t>全加工服务差错率低于 1‰</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shd w:val="clear" w:color="auto" w:fill="auto"/>
        </w:rPr>
        <w:t>在使用过程中若出现错误，</w:t>
      </w:r>
      <w:r>
        <w:rPr>
          <w:rFonts w:hint="eastAsia" w:ascii="仿宋" w:hAnsi="仿宋" w:eastAsia="仿宋" w:cs="仿宋"/>
          <w:color w:val="auto"/>
          <w:sz w:val="24"/>
          <w:szCs w:val="24"/>
          <w:highlight w:val="none"/>
          <w:shd w:val="clear" w:color="auto" w:fill="auto"/>
          <w:lang w:val="en-US" w:eastAsia="zh-CN"/>
        </w:rPr>
        <w:t>中标人应</w:t>
      </w:r>
      <w:r>
        <w:rPr>
          <w:rFonts w:hint="eastAsia" w:ascii="仿宋" w:hAnsi="仿宋" w:eastAsia="仿宋" w:cs="仿宋"/>
          <w:color w:val="auto"/>
          <w:sz w:val="24"/>
          <w:szCs w:val="24"/>
          <w:highlight w:val="none"/>
          <w:shd w:val="clear" w:color="auto" w:fill="auto"/>
        </w:rPr>
        <w:t>在 1 个工作日内负责修改</w:t>
      </w:r>
      <w:r>
        <w:rPr>
          <w:rFonts w:hint="eastAsia" w:ascii="仿宋" w:hAnsi="仿宋" w:eastAsia="仿宋" w:cs="仿宋"/>
          <w:color w:val="auto"/>
          <w:sz w:val="24"/>
          <w:szCs w:val="24"/>
          <w:highlight w:val="none"/>
          <w:shd w:val="clear" w:color="auto" w:fill="auto"/>
          <w:lang w:eastAsia="zh-CN"/>
        </w:rPr>
        <w:t>。</w:t>
      </w:r>
    </w:p>
    <w:p>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6、供应商送交采购人的图书应有汇总清单，内容包括此批图书的种数、册数和金额，汇总清单上需盖有与付款发票上相同的财务章。每包应附有清单，内容包括包号、征订号、书名、册数等，以便采购人收到图书后及时清点验收。</w:t>
      </w:r>
    </w:p>
    <w:p>
      <w:pPr>
        <w:pStyle w:val="18"/>
        <w:rPr>
          <w:rFonts w:hint="eastAsia" w:ascii="仿宋" w:hAnsi="仿宋" w:eastAsia="仿宋" w:cs="仿宋"/>
          <w:color w:val="auto"/>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7、供应商应在收到订单后，在合同有效期前完成订单的采购、全加工和配送。若在合同有效期前不能到货的图书，应列出清单，并向采购人说明原因。除推迟出版或发生影响协议履行的不可抗力事情外，若不能按时供货的图书种数或册数超过订购数的20%即可认定中标人不具备供货条件，采购人有权根据实际情况是否继续征订或者提前终止合同。为尽可能消除因供应商不能按协议规定要求供货所造成的影响，采购人有权采取相应的补救措施（如直接向出版商邮购图书），由此给采购人造成的各项损失或增加的各项费用（如折扣损失、邮费、数据费、加工费）等均由违约的供应商承担。</w:t>
      </w:r>
    </w:p>
    <w:p>
      <w:pPr>
        <w:pStyle w:val="18"/>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8、本次供货合同有效期至2023年1</w:t>
      </w:r>
      <w:r>
        <w:rPr>
          <w:rFonts w:hint="default" w:ascii="仿宋" w:hAnsi="仿宋" w:eastAsia="仿宋" w:cs="仿宋"/>
          <w:color w:val="auto"/>
          <w:sz w:val="24"/>
          <w:szCs w:val="24"/>
          <w:highlight w:val="none"/>
          <w:shd w:val="clear" w:color="auto" w:fill="auto"/>
          <w:lang w:val="en" w:eastAsia="zh-CN"/>
        </w:rPr>
        <w:t>1</w:t>
      </w:r>
      <w:r>
        <w:rPr>
          <w:rFonts w:hint="eastAsia" w:ascii="仿宋" w:hAnsi="仿宋" w:eastAsia="仿宋" w:cs="仿宋"/>
          <w:color w:val="auto"/>
          <w:sz w:val="24"/>
          <w:szCs w:val="24"/>
          <w:highlight w:val="none"/>
          <w:shd w:val="clear" w:color="auto" w:fill="auto"/>
          <w:lang w:val="en-US" w:eastAsia="zh-CN"/>
        </w:rPr>
        <w:t>月30日。合同有效期满后，未到货的图书，供应商有继续送货的义务，并履行相应服务要求。</w:t>
      </w:r>
    </w:p>
    <w:p>
      <w:pPr>
        <w:pStyle w:val="18"/>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shd w:val="clear" w:color="auto" w:fill="auto"/>
          <w:lang w:val="en-US" w:eastAsia="zh-CN"/>
        </w:rPr>
        <w:t>９、本次供货需同步提供杭州市“一键借阅”线上借书平台服务，负责钱塘区图书馆“一键借阅”线上借书服务。</w:t>
      </w:r>
    </w:p>
    <w:p>
      <w:pPr>
        <w:pStyle w:val="17"/>
        <w:rPr>
          <w:rFonts w:hint="eastAsia" w:ascii="仿宋" w:hAnsi="仿宋" w:eastAsia="仿宋" w:cs="仿宋"/>
          <w:color w:val="auto"/>
          <w:sz w:val="24"/>
          <w:szCs w:val="24"/>
          <w:highlight w:val="none"/>
          <w:shd w:val="clear" w:color="auto" w:fill="auto"/>
          <w:lang w:val="en-US" w:eastAsia="zh-CN"/>
        </w:rPr>
      </w:pPr>
    </w:p>
    <w:p>
      <w:pPr>
        <w:pStyle w:val="2"/>
        <w:spacing w:before="120" w:after="120" w:line="360" w:lineRule="auto"/>
        <w:rPr>
          <w:rFonts w:hint="eastAsia" w:ascii="仿宋" w:hAnsi="仿宋" w:eastAsia="仿宋" w:cs="仿宋"/>
          <w:b/>
          <w:bCs/>
          <w:color w:val="auto"/>
          <w:sz w:val="24"/>
          <w:szCs w:val="24"/>
          <w:highlight w:val="none"/>
          <w:shd w:val="clear" w:color="auto" w:fill="auto"/>
          <w:lang w:val="en-US" w:eastAsia="zh-CN"/>
        </w:rPr>
      </w:pPr>
      <w:bookmarkStart w:id="33" w:name="_Toc9278"/>
      <w:bookmarkStart w:id="34" w:name="_Toc28619"/>
      <w:bookmarkStart w:id="35" w:name="_Toc2403"/>
      <w:r>
        <w:rPr>
          <w:rFonts w:hint="eastAsia" w:ascii="仿宋" w:hAnsi="仿宋" w:eastAsia="仿宋" w:cs="仿宋"/>
          <w:b/>
          <w:bCs/>
          <w:color w:val="auto"/>
          <w:sz w:val="24"/>
          <w:szCs w:val="24"/>
          <w:highlight w:val="none"/>
          <w:shd w:val="clear" w:color="auto" w:fill="auto"/>
          <w:lang w:val="en-US" w:eastAsia="zh-CN"/>
        </w:rPr>
        <w:t>三、其他服务要求</w:t>
      </w:r>
      <w:bookmarkEnd w:id="33"/>
      <w:bookmarkEnd w:id="34"/>
      <w:bookmarkEnd w:id="35"/>
    </w:p>
    <w:p>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(一)编目数据</w:t>
      </w:r>
    </w:p>
    <w:p>
      <w:pPr>
        <w:tabs>
          <w:tab w:val="left" w:pos="0"/>
        </w:tabs>
        <w:adjustRightInd w:val="0"/>
        <w:snapToGrid w:val="0"/>
        <w:spacing w:line="360" w:lineRule="auto"/>
        <w:ind w:firstLine="480" w:firstLineChars="200"/>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1、投标人应确保</w:t>
      </w:r>
      <w:r>
        <w:rPr>
          <w:rFonts w:hint="eastAsia" w:ascii="仿宋" w:hAnsi="仿宋" w:eastAsia="仿宋" w:cs="仿宋"/>
          <w:color w:val="auto"/>
          <w:kern w:val="0"/>
          <w:sz w:val="24"/>
          <w:szCs w:val="24"/>
          <w:highlight w:val="none"/>
          <w:shd w:val="clear" w:color="auto" w:fill="auto"/>
          <w:lang w:val="en-US"/>
        </w:rPr>
        <w:t>编目数据的质量符合</w:t>
      </w:r>
      <w:r>
        <w:rPr>
          <w:rFonts w:hint="eastAsia" w:ascii="仿宋" w:hAnsi="仿宋" w:eastAsia="仿宋" w:cs="仿宋"/>
          <w:color w:val="auto"/>
          <w:kern w:val="0"/>
          <w:sz w:val="24"/>
          <w:szCs w:val="24"/>
          <w:highlight w:val="none"/>
          <w:shd w:val="clear" w:color="auto" w:fill="auto"/>
          <w:lang w:val="en-US" w:eastAsia="zh-CN"/>
        </w:rPr>
        <w:t>采购人</w:t>
      </w:r>
      <w:r>
        <w:rPr>
          <w:rFonts w:hint="eastAsia" w:ascii="仿宋" w:hAnsi="仿宋" w:eastAsia="仿宋" w:cs="仿宋"/>
          <w:color w:val="auto"/>
          <w:kern w:val="0"/>
          <w:sz w:val="24"/>
          <w:szCs w:val="24"/>
          <w:highlight w:val="none"/>
          <w:shd w:val="clear" w:color="auto" w:fill="auto"/>
          <w:lang w:val="en-US"/>
        </w:rPr>
        <w:t>要求</w:t>
      </w:r>
      <w:r>
        <w:rPr>
          <w:rFonts w:hint="eastAsia" w:ascii="仿宋" w:hAnsi="仿宋" w:eastAsia="仿宋" w:cs="仿宋"/>
          <w:color w:val="auto"/>
          <w:kern w:val="0"/>
          <w:sz w:val="24"/>
          <w:szCs w:val="24"/>
          <w:highlight w:val="none"/>
          <w:shd w:val="clear" w:color="auto" w:fill="auto"/>
          <w:lang w:val="en-US" w:eastAsia="zh-CN"/>
        </w:rPr>
        <w:t>（国家要求、采购人图书</w:t>
      </w:r>
      <w:r>
        <w:rPr>
          <w:rFonts w:hint="eastAsia" w:ascii="仿宋" w:hAnsi="仿宋" w:eastAsia="仿宋" w:cs="仿宋"/>
          <w:color w:val="auto"/>
          <w:sz w:val="24"/>
          <w:szCs w:val="24"/>
          <w:highlight w:val="none"/>
          <w:shd w:val="clear" w:color="auto" w:fill="auto"/>
          <w:lang w:val="en-US" w:eastAsia="zh-CN"/>
        </w:rPr>
        <w:t>Interlib图书馆集群系统</w:t>
      </w:r>
      <w:r>
        <w:rPr>
          <w:rFonts w:hint="eastAsia" w:ascii="仿宋" w:hAnsi="仿宋" w:eastAsia="仿宋" w:cs="仿宋"/>
          <w:color w:val="auto"/>
          <w:kern w:val="0"/>
          <w:sz w:val="24"/>
          <w:szCs w:val="24"/>
          <w:highlight w:val="none"/>
          <w:shd w:val="clear" w:color="auto" w:fill="auto"/>
          <w:lang w:val="en-US" w:eastAsia="zh-CN"/>
        </w:rPr>
        <w:t>的格式及运行要求等），提供的所有数据都能在采购方的各系统无障碍的使用</w:t>
      </w:r>
      <w:r>
        <w:rPr>
          <w:rFonts w:hint="eastAsia" w:ascii="仿宋" w:hAnsi="仿宋" w:eastAsia="仿宋" w:cs="仿宋"/>
          <w:color w:val="auto"/>
          <w:kern w:val="0"/>
          <w:sz w:val="24"/>
          <w:szCs w:val="24"/>
          <w:highlight w:val="none"/>
          <w:shd w:val="clear" w:color="auto" w:fill="auto"/>
          <w:lang w:val="en-US"/>
        </w:rPr>
        <w:t>，与到馆图书的</w:t>
      </w:r>
      <w:r>
        <w:rPr>
          <w:rFonts w:hint="eastAsia" w:ascii="仿宋" w:hAnsi="仿宋" w:eastAsia="仿宋" w:cs="仿宋"/>
          <w:color w:val="auto"/>
          <w:kern w:val="0"/>
          <w:sz w:val="24"/>
          <w:szCs w:val="24"/>
          <w:highlight w:val="none"/>
          <w:shd w:val="clear" w:color="auto" w:fill="auto"/>
          <w:lang w:val="en-US" w:eastAsia="zh-CN"/>
        </w:rPr>
        <w:t>可以</w:t>
      </w:r>
      <w:r>
        <w:rPr>
          <w:rFonts w:hint="eastAsia" w:ascii="仿宋" w:hAnsi="仿宋" w:eastAsia="仿宋" w:cs="仿宋"/>
          <w:color w:val="auto"/>
          <w:kern w:val="0"/>
          <w:sz w:val="24"/>
          <w:szCs w:val="24"/>
          <w:highlight w:val="none"/>
          <w:shd w:val="clear" w:color="auto" w:fill="auto"/>
          <w:lang w:val="en-US"/>
        </w:rPr>
        <w:t>匹配，不漏发、错发</w:t>
      </w:r>
      <w:r>
        <w:rPr>
          <w:rFonts w:hint="eastAsia" w:ascii="仿宋" w:hAnsi="仿宋" w:eastAsia="仿宋" w:cs="仿宋"/>
          <w:color w:val="auto"/>
          <w:kern w:val="0"/>
          <w:sz w:val="24"/>
          <w:szCs w:val="24"/>
          <w:highlight w:val="none"/>
          <w:shd w:val="clear" w:color="auto" w:fill="auto"/>
          <w:lang w:val="en-US" w:eastAsia="zh-CN"/>
        </w:rPr>
        <w:t>。</w:t>
      </w:r>
      <w:r>
        <w:rPr>
          <w:rFonts w:hint="eastAsia" w:ascii="仿宋" w:hAnsi="仿宋" w:eastAsia="仿宋" w:cs="仿宋"/>
          <w:color w:val="auto"/>
          <w:kern w:val="0"/>
          <w:sz w:val="24"/>
          <w:szCs w:val="24"/>
          <w:highlight w:val="none"/>
          <w:shd w:val="clear" w:color="auto" w:fill="auto"/>
          <w:lang w:val="en-US"/>
        </w:rPr>
        <w:t>投标文件中需出具确保编目数据质量符合</w:t>
      </w:r>
      <w:r>
        <w:rPr>
          <w:rFonts w:hint="eastAsia" w:ascii="仿宋" w:hAnsi="仿宋" w:eastAsia="仿宋" w:cs="仿宋"/>
          <w:color w:val="auto"/>
          <w:kern w:val="0"/>
          <w:sz w:val="24"/>
          <w:szCs w:val="24"/>
          <w:highlight w:val="none"/>
          <w:shd w:val="clear" w:color="auto" w:fill="auto"/>
          <w:lang w:val="en-US" w:eastAsia="zh-CN"/>
        </w:rPr>
        <w:t>采购人</w:t>
      </w:r>
      <w:r>
        <w:rPr>
          <w:rFonts w:hint="eastAsia" w:ascii="仿宋" w:hAnsi="仿宋" w:eastAsia="仿宋" w:cs="仿宋"/>
          <w:color w:val="auto"/>
          <w:kern w:val="0"/>
          <w:sz w:val="24"/>
          <w:szCs w:val="24"/>
          <w:highlight w:val="none"/>
          <w:shd w:val="clear" w:color="auto" w:fill="auto"/>
          <w:lang w:val="en-US"/>
        </w:rPr>
        <w:t>要求的保障方案</w:t>
      </w:r>
    </w:p>
    <w:p>
      <w:pPr>
        <w:tabs>
          <w:tab w:val="left" w:pos="0"/>
        </w:tabs>
        <w:adjustRightInd w:val="0"/>
        <w:snapToGrid w:val="0"/>
        <w:spacing w:line="360" w:lineRule="auto"/>
        <w:ind w:firstLine="480" w:firstLineChars="200"/>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2、投标人还应与</w:t>
      </w:r>
      <w:r>
        <w:rPr>
          <w:rFonts w:hint="eastAsia" w:ascii="仿宋" w:hAnsi="仿宋" w:eastAsia="仿宋" w:cs="仿宋"/>
          <w:color w:val="auto"/>
          <w:kern w:val="0"/>
          <w:sz w:val="24"/>
          <w:szCs w:val="24"/>
          <w:highlight w:val="none"/>
          <w:shd w:val="clear" w:color="auto" w:fill="auto"/>
          <w:lang w:val="en-US"/>
        </w:rPr>
        <w:t>公共图书馆联网编目</w:t>
      </w:r>
      <w:r>
        <w:rPr>
          <w:rFonts w:hint="eastAsia" w:ascii="仿宋" w:hAnsi="仿宋" w:eastAsia="仿宋" w:cs="仿宋"/>
          <w:color w:val="auto"/>
          <w:kern w:val="0"/>
          <w:sz w:val="24"/>
          <w:szCs w:val="24"/>
          <w:highlight w:val="none"/>
          <w:shd w:val="clear" w:color="auto" w:fill="auto"/>
          <w:lang w:val="en-US" w:eastAsia="zh-CN"/>
        </w:rPr>
        <w:t>。投标文件中出具完整且可行的实施方案。</w:t>
      </w:r>
    </w:p>
    <w:p>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（二）文献与数据安全要求</w:t>
      </w:r>
    </w:p>
    <w:p>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中标单位应确保采购方工作现场实体文献与书目数据的安全。合同期内，因中标单位原因造成采购方文献损坏或遗失，采购方有权向中标单位提出索赔。中标单位需赔偿同版本或更新版新书，无法赔偿原版图书的按浙图办[2018]25号进行赔偿。</w:t>
      </w:r>
    </w:p>
    <w:p>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中标单位在采购方业务系统中的操作，必须合乎要求与规范。合同期内，中标单位套录、编制的书目数据版权归采购方所有。不经允许，中标单位不得以任何名义泄露采购方的所有数据，不得以任何名义提供给采购方以外的第三方使用。如有违约，采购方有权追究中标单位的法律责任。</w:t>
      </w:r>
    </w:p>
    <w:p>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3.中标单位如委托有资质的第三方提供图书加工服务时，上述要求同时对其适用。</w:t>
      </w:r>
    </w:p>
    <w:p>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（二）图书保存要求</w:t>
      </w:r>
    </w:p>
    <w:p>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1.场地要求：如采购人短期内因故无法及时收存图书的，需由中标单位无偿提供专门的场所进行图书保存，并承担保管责任。</w:t>
      </w:r>
    </w:p>
    <w:p>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2.保存要求：中标单位需配置本单位专业工作人员进行相关工作，保证图书保存的完整性。</w:t>
      </w:r>
    </w:p>
    <w:p>
      <w:pPr>
        <w:pStyle w:val="18"/>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（三）投标人应负责</w:t>
      </w:r>
      <w:r>
        <w:rPr>
          <w:rFonts w:hint="eastAsia" w:ascii="仿宋" w:hAnsi="仿宋" w:eastAsia="仿宋" w:cs="仿宋"/>
          <w:color w:val="auto"/>
          <w:kern w:val="0"/>
          <w:sz w:val="24"/>
          <w:szCs w:val="24"/>
          <w:highlight w:val="none"/>
          <w:shd w:val="clear" w:color="auto" w:fill="auto"/>
          <w:lang w:val="en-US"/>
        </w:rPr>
        <w:t>图书包装及</w:t>
      </w:r>
      <w:r>
        <w:rPr>
          <w:rFonts w:hint="eastAsia" w:ascii="仿宋" w:hAnsi="仿宋" w:eastAsia="仿宋" w:cs="仿宋"/>
          <w:color w:val="auto"/>
          <w:kern w:val="0"/>
          <w:sz w:val="24"/>
          <w:szCs w:val="24"/>
          <w:highlight w:val="none"/>
          <w:shd w:val="clear" w:color="auto" w:fill="auto"/>
          <w:lang w:val="en-US" w:eastAsia="zh-CN"/>
        </w:rPr>
        <w:t>运输，确保</w:t>
      </w:r>
      <w:r>
        <w:rPr>
          <w:rFonts w:hint="eastAsia" w:ascii="仿宋" w:hAnsi="仿宋" w:eastAsia="仿宋" w:cs="仿宋"/>
          <w:color w:val="auto"/>
          <w:kern w:val="0"/>
          <w:sz w:val="24"/>
          <w:szCs w:val="24"/>
          <w:highlight w:val="none"/>
          <w:shd w:val="clear" w:color="auto" w:fill="auto"/>
          <w:lang w:val="en-US"/>
        </w:rPr>
        <w:t>到馆图书的包装符合运输和方便装卸</w:t>
      </w:r>
      <w:r>
        <w:rPr>
          <w:rFonts w:hint="eastAsia" w:ascii="仿宋" w:hAnsi="仿宋" w:eastAsia="仿宋" w:cs="仿宋"/>
          <w:color w:val="auto"/>
          <w:kern w:val="0"/>
          <w:sz w:val="24"/>
          <w:szCs w:val="24"/>
          <w:highlight w:val="none"/>
          <w:shd w:val="clear" w:color="auto" w:fill="auto"/>
          <w:lang w:val="en-US" w:eastAsia="zh-CN"/>
        </w:rPr>
        <w:t>，确保及时运送搬运到指定地点。</w:t>
      </w:r>
    </w:p>
    <w:p>
      <w:pPr>
        <w:pStyle w:val="18"/>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（四）售后服务要求</w:t>
      </w:r>
    </w:p>
    <w:p>
      <w:pPr>
        <w:pStyle w:val="18"/>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1、订单处理及反馈</w:t>
      </w:r>
    </w:p>
    <w:p>
      <w:pPr>
        <w:pStyle w:val="18"/>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投标方案应有如下内容：投标人具有图书订单的处理能力；对采购方自备书目的采购能力，及自定较窄主题采购的快速响应能力；对已订清单因情况变化，采购方要求调整订单的反应能力；对采购方已预订，但不能及时到货的图书，或取消出版的图书信息应可以及时予以反馈；对因质量问题、与要求不符、与预订不符等退书的处理态度及速度。</w:t>
      </w:r>
    </w:p>
    <w:p>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（2）对订单调整的反馈。投标人在接到采购人要求调整订单的要求后，应在二天内将该调整订单的数据（包括已送图书及未送图书）形成电子表格传送到采购人。</w:t>
      </w:r>
    </w:p>
    <w:p>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对采购人提交的订单，在合同期内未能供货的，投标人应定期提供未配送图书品种清单，并说明未能供货原因，供货商不得擅自中止供货。</w:t>
      </w:r>
    </w:p>
    <w:p>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现货品种10天内未能配送的须主动提供未到货清单，以便采购方决定是否撤订，不能供货图书必须每15天进行一次反馈。连续二批次不提供缺货清单与原因的，采购方有权取消投标人的供货资格。</w:t>
      </w:r>
    </w:p>
    <w:p>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投标人须于供货期结束前一周提供详细的自评报告，包括但不限于服务期间订购种数、册数、总码洋、总实价、不能供货品种数量、仍在执行中的订购品种数量，仍在执行中的采购品种须附清单及预估价等。</w:t>
      </w:r>
    </w:p>
    <w:p>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2.退换货</w:t>
      </w:r>
    </w:p>
    <w:p>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对采购人预订的图书品种，投标人在组织货源前对已预订的图书进行查重。对于采购人误订的图书，投标人应予以退货。若送交的图书污损、破损、图文不清、缺页、倒页、缺附件等质量不合格的图书，一律予以退换，不能以已加工为理由拒绝。投标人应保证送交的图书为正版，凡有版权问题的应无条件予以退回，问题严重的招标方有权终止采购协议。</w:t>
      </w:r>
    </w:p>
    <w:p>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（四）其他服务</w:t>
      </w:r>
    </w:p>
    <w:p>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1、投标人可提供其他文献加工服务（捐赠图书全加工或者期刊全加工）。</w:t>
      </w:r>
    </w:p>
    <w:p>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2、供应商承诺采购人在浙江省享受最优惠图书馆待遇，即在合同期内，供应商如果给予浙江省杭州市其他图书馆更优惠的待遇，应立即通知采购人同时享有。</w:t>
      </w:r>
    </w:p>
    <w:p>
      <w:pPr>
        <w:pStyle w:val="18"/>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3、投标人可根据自身经验，</w:t>
      </w:r>
      <w:r>
        <w:rPr>
          <w:rFonts w:hint="eastAsia" w:ascii="仿宋" w:hAnsi="仿宋" w:eastAsia="仿宋" w:cs="仿宋"/>
          <w:color w:val="auto"/>
          <w:kern w:val="0"/>
          <w:sz w:val="24"/>
          <w:szCs w:val="24"/>
          <w:highlight w:val="none"/>
          <w:shd w:val="clear" w:color="auto" w:fill="auto"/>
          <w:lang w:val="en-US" w:eastAsia="zh-CN"/>
        </w:rPr>
        <w:t>在采购需求基础上</w:t>
      </w:r>
      <w:r>
        <w:rPr>
          <w:rFonts w:hint="eastAsia" w:ascii="仿宋" w:hAnsi="仿宋" w:eastAsia="仿宋" w:cs="仿宋"/>
          <w:color w:val="auto"/>
          <w:kern w:val="0"/>
          <w:sz w:val="24"/>
          <w:szCs w:val="24"/>
          <w:highlight w:val="none"/>
          <w:shd w:val="clear" w:color="auto" w:fill="auto"/>
          <w:lang w:val="en-US"/>
        </w:rPr>
        <w:t>提供其它特色服务，或合理化建议</w:t>
      </w:r>
      <w:r>
        <w:rPr>
          <w:rFonts w:hint="eastAsia" w:ascii="仿宋" w:hAnsi="仿宋" w:eastAsia="仿宋" w:cs="仿宋"/>
          <w:color w:val="auto"/>
          <w:kern w:val="0"/>
          <w:sz w:val="24"/>
          <w:szCs w:val="24"/>
          <w:highlight w:val="none"/>
          <w:shd w:val="clear" w:color="auto" w:fill="auto"/>
          <w:lang w:val="en-US" w:eastAsia="zh-CN"/>
        </w:rPr>
        <w:t>（应与本项目相关，例如图书的采购、供应、加工、保管、运送及各种伴随服务，项目开展过程中的应急措施等等）。</w:t>
      </w:r>
    </w:p>
    <w:p>
      <w:pPr>
        <w:pStyle w:val="2"/>
        <w:spacing w:before="120" w:after="120" w:line="360" w:lineRule="auto"/>
        <w:rPr>
          <w:rFonts w:hint="eastAsia" w:ascii="仿宋" w:hAnsi="仿宋" w:eastAsia="仿宋" w:cs="仿宋"/>
          <w:b/>
          <w:bCs/>
          <w:color w:val="auto"/>
          <w:sz w:val="24"/>
          <w:szCs w:val="24"/>
          <w:highlight w:val="none"/>
          <w:shd w:val="clear" w:color="auto" w:fill="auto"/>
          <w:lang w:val="en-US" w:eastAsia="zh-CN"/>
        </w:rPr>
      </w:pPr>
      <w:bookmarkStart w:id="36" w:name="_Toc13136"/>
      <w:bookmarkStart w:id="37" w:name="_Toc2730"/>
      <w:bookmarkStart w:id="38" w:name="_Toc25412"/>
      <w:r>
        <w:rPr>
          <w:rFonts w:hint="eastAsia" w:ascii="仿宋" w:hAnsi="仿宋" w:eastAsia="仿宋" w:cs="仿宋"/>
          <w:b/>
          <w:bCs/>
          <w:color w:val="auto"/>
          <w:sz w:val="24"/>
          <w:szCs w:val="24"/>
          <w:highlight w:val="none"/>
          <w:shd w:val="clear" w:color="auto" w:fill="auto"/>
          <w:lang w:val="en-US" w:eastAsia="zh-CN"/>
        </w:rPr>
        <w:t>四、商务要求</w:t>
      </w:r>
      <w:bookmarkEnd w:id="36"/>
      <w:bookmarkEnd w:id="37"/>
      <w:bookmarkEnd w:id="38"/>
    </w:p>
    <w:p>
      <w:pPr>
        <w:adjustRightInd w:val="0"/>
        <w:snapToGrid w:val="0"/>
        <w:spacing w:line="360" w:lineRule="auto"/>
        <w:ind w:firstLine="480" w:firstLineChars="200"/>
        <w:jc w:val="left"/>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（一）投标报价</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w:t>
      </w:r>
      <w:r>
        <w:rPr>
          <w:rFonts w:hint="eastAsia" w:ascii="仿宋" w:hAnsi="仿宋" w:eastAsia="仿宋" w:cs="仿宋"/>
          <w:color w:val="auto"/>
          <w:sz w:val="24"/>
          <w:szCs w:val="24"/>
          <w:highlight w:val="none"/>
          <w:shd w:val="clear" w:color="auto" w:fill="auto"/>
        </w:rPr>
        <w:t>本项目</w:t>
      </w:r>
      <w:r>
        <w:rPr>
          <w:rFonts w:hint="eastAsia" w:ascii="仿宋" w:hAnsi="仿宋" w:eastAsia="仿宋" w:cs="仿宋"/>
          <w:color w:val="auto"/>
          <w:sz w:val="24"/>
          <w:szCs w:val="24"/>
          <w:highlight w:val="none"/>
          <w:shd w:val="clear" w:color="auto" w:fill="auto"/>
          <w:lang w:eastAsia="zh-CN"/>
        </w:rPr>
        <w:t>供货商需负担供图书购买费、途中运输费、装卸费、馆藏加工费、RFID芯片、磁条、数据、图书保管费、图书退换货、售后服务、图书信息提供、税费等一切费用可能涉及的各项费用。</w:t>
      </w:r>
    </w:p>
    <w:p>
      <w:pPr>
        <w:adjustRightInd w:val="0"/>
        <w:snapToGrid w:val="0"/>
        <w:spacing w:line="360" w:lineRule="auto"/>
        <w:ind w:firstLine="482" w:firstLineChars="200"/>
        <w:jc w:val="left"/>
        <w:rPr>
          <w:rFonts w:hint="eastAsia" w:ascii="仿宋" w:hAnsi="仿宋" w:eastAsia="仿宋" w:cs="仿宋"/>
          <w:b w:val="0"/>
          <w:bCs w:val="0"/>
          <w:snapToGrid w:val="0"/>
          <w:color w:val="auto"/>
          <w:kern w:val="0"/>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2、</w:t>
      </w:r>
      <w:r>
        <w:rPr>
          <w:rFonts w:hint="eastAsia" w:ascii="仿宋" w:hAnsi="仿宋" w:eastAsia="仿宋" w:cs="仿宋"/>
          <w:b/>
          <w:bCs/>
          <w:snapToGrid w:val="0"/>
          <w:color w:val="auto"/>
          <w:kern w:val="0"/>
          <w:sz w:val="24"/>
          <w:szCs w:val="24"/>
          <w:highlight w:val="none"/>
          <w:shd w:val="clear" w:color="auto" w:fill="auto"/>
          <w:lang w:val="en-US" w:eastAsia="zh-CN"/>
        </w:rPr>
        <w:t>本项目采用费率方式报价。即投标人根据采购要求自行考虑相关因素，以图书定价为依据，填报费率（%）。</w:t>
      </w:r>
    </w:p>
    <w:p>
      <w:pPr>
        <w:adjustRightInd w:val="0"/>
        <w:snapToGrid w:val="0"/>
        <w:spacing w:line="360" w:lineRule="auto"/>
        <w:ind w:firstLine="480" w:firstLineChars="200"/>
        <w:jc w:val="left"/>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snapToGrid w:val="0"/>
          <w:color w:val="auto"/>
          <w:kern w:val="0"/>
          <w:sz w:val="24"/>
          <w:szCs w:val="24"/>
          <w:highlight w:val="none"/>
          <w:shd w:val="clear" w:color="auto" w:fill="auto"/>
        </w:rPr>
        <w:t>在合同执行期内，</w:t>
      </w:r>
      <w:r>
        <w:rPr>
          <w:rFonts w:hint="eastAsia" w:ascii="仿宋" w:hAnsi="仿宋" w:eastAsia="仿宋" w:cs="仿宋"/>
          <w:b w:val="0"/>
          <w:bCs w:val="0"/>
          <w:snapToGrid w:val="0"/>
          <w:color w:val="auto"/>
          <w:kern w:val="0"/>
          <w:sz w:val="24"/>
          <w:szCs w:val="24"/>
          <w:highlight w:val="none"/>
          <w:shd w:val="clear" w:color="auto" w:fill="auto"/>
          <w:lang w:val="en-US" w:eastAsia="zh-CN"/>
        </w:rPr>
        <w:t>费率</w:t>
      </w:r>
      <w:r>
        <w:rPr>
          <w:rFonts w:hint="eastAsia" w:ascii="仿宋" w:hAnsi="仿宋" w:eastAsia="仿宋" w:cs="仿宋"/>
          <w:b w:val="0"/>
          <w:bCs w:val="0"/>
          <w:snapToGrid w:val="0"/>
          <w:color w:val="auto"/>
          <w:kern w:val="0"/>
          <w:sz w:val="24"/>
          <w:szCs w:val="24"/>
          <w:highlight w:val="none"/>
          <w:shd w:val="clear" w:color="auto" w:fill="auto"/>
        </w:rPr>
        <w:t>固定不变，因各种原因而导致费用的增减，采购人均不考虑补偿</w:t>
      </w:r>
      <w:r>
        <w:rPr>
          <w:rFonts w:hint="eastAsia" w:ascii="仿宋" w:hAnsi="仿宋" w:eastAsia="仿宋" w:cs="仿宋"/>
          <w:b w:val="0"/>
          <w:bCs w:val="0"/>
          <w:snapToGrid w:val="0"/>
          <w:color w:val="auto"/>
          <w:kern w:val="0"/>
          <w:sz w:val="24"/>
          <w:szCs w:val="24"/>
          <w:highlight w:val="none"/>
          <w:shd w:val="clear" w:color="auto" w:fill="auto"/>
          <w:lang w:eastAsia="zh-CN"/>
        </w:rPr>
        <w:t>。</w:t>
      </w:r>
      <w:r>
        <w:rPr>
          <w:rFonts w:hint="eastAsia" w:ascii="仿宋" w:hAnsi="仿宋" w:eastAsia="仿宋" w:cs="仿宋"/>
          <w:b w:val="0"/>
          <w:bCs w:val="0"/>
          <w:snapToGrid w:val="0"/>
          <w:color w:val="auto"/>
          <w:kern w:val="0"/>
          <w:sz w:val="24"/>
          <w:szCs w:val="24"/>
          <w:highlight w:val="none"/>
          <w:shd w:val="clear" w:color="auto" w:fill="auto"/>
        </w:rPr>
        <w:t>结算</w:t>
      </w:r>
      <w:r>
        <w:rPr>
          <w:rFonts w:hint="eastAsia" w:ascii="仿宋" w:hAnsi="仿宋" w:eastAsia="仿宋" w:cs="仿宋"/>
          <w:b w:val="0"/>
          <w:bCs w:val="0"/>
          <w:snapToGrid w:val="0"/>
          <w:color w:val="auto"/>
          <w:kern w:val="0"/>
          <w:sz w:val="24"/>
          <w:szCs w:val="24"/>
          <w:highlight w:val="none"/>
          <w:shd w:val="clear" w:color="auto" w:fill="auto"/>
          <w:lang w:val="en-US" w:eastAsia="zh-CN"/>
        </w:rPr>
        <w:t>合同款时，以图书定价为依据，按照中标费率（%），计算书款</w:t>
      </w:r>
      <w:r>
        <w:rPr>
          <w:rFonts w:hint="eastAsia" w:ascii="仿宋" w:hAnsi="仿宋" w:eastAsia="仿宋" w:cs="仿宋"/>
          <w:b w:val="0"/>
          <w:bCs w:val="0"/>
          <w:snapToGrid w:val="0"/>
          <w:color w:val="auto"/>
          <w:kern w:val="0"/>
          <w:sz w:val="24"/>
          <w:szCs w:val="24"/>
          <w:highlight w:val="none"/>
          <w:shd w:val="clear" w:color="auto" w:fill="auto"/>
        </w:rPr>
        <w:t>总价</w:t>
      </w:r>
      <w:r>
        <w:rPr>
          <w:rFonts w:hint="eastAsia" w:ascii="仿宋" w:hAnsi="仿宋" w:eastAsia="仿宋" w:cs="仿宋"/>
          <w:b w:val="0"/>
          <w:bCs w:val="0"/>
          <w:snapToGrid w:val="0"/>
          <w:color w:val="auto"/>
          <w:kern w:val="0"/>
          <w:sz w:val="24"/>
          <w:szCs w:val="24"/>
          <w:highlight w:val="none"/>
          <w:shd w:val="clear" w:color="auto" w:fill="auto"/>
          <w:lang w:eastAsia="zh-CN"/>
        </w:rPr>
        <w:t>。</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3、合同</w:t>
      </w:r>
      <w:r>
        <w:rPr>
          <w:rFonts w:hint="eastAsia" w:ascii="仿宋" w:hAnsi="仿宋" w:eastAsia="仿宋" w:cs="仿宋"/>
          <w:color w:val="auto"/>
          <w:sz w:val="24"/>
          <w:szCs w:val="24"/>
          <w:highlight w:val="none"/>
          <w:shd w:val="clear" w:color="auto" w:fill="auto"/>
          <w:lang w:val="en-US" w:eastAsia="zh-CN"/>
        </w:rPr>
        <w:t>支付金额的上限为预算金额130万元。中标人有义务提醒采购人合同费用的实时统计情况，以免工作量超限价。</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（二）履约担保：无。</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（三）合同款支付</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合同生效以及具备实施条件后5个工作日内，采购人向中标人支付暂定合同总价（以预算金额计）的50%作为预付款。（在签订合同时，中标人明确表示无需预付款或者主动要求降低预付款比例的，可不适用预付款相关规定）。</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费用支付方式：凡交到采购人的图书，以图书定价和中标费率作为计算书款的依据。经验收发现书款与发货单不符的，采购方及时通知供应商派相关人员到验收地核算，供应商接到通知之日起5个工作日内不能及时派人员核算的，以采购人验收的实际数额计算书款金额。所有图书验收合格后，一次性结算全部书款金额。</w:t>
      </w:r>
    </w:p>
    <w:p>
      <w:pPr>
        <w:pStyle w:val="2"/>
        <w:spacing w:before="120" w:after="120" w:line="360" w:lineRule="auto"/>
        <w:rPr>
          <w:rFonts w:hint="eastAsia" w:ascii="仿宋" w:hAnsi="仿宋" w:eastAsia="仿宋" w:cs="仿宋"/>
          <w:b/>
          <w:bCs/>
          <w:color w:val="auto"/>
          <w:sz w:val="24"/>
          <w:szCs w:val="24"/>
          <w:highlight w:val="none"/>
          <w:shd w:val="clear" w:color="auto" w:fill="auto"/>
          <w:lang w:val="en-US" w:eastAsia="zh-CN"/>
        </w:rPr>
      </w:pPr>
      <w:bookmarkStart w:id="39" w:name="_Toc8222"/>
      <w:bookmarkStart w:id="40" w:name="_Toc26611"/>
      <w:bookmarkStart w:id="41" w:name="_Toc4297"/>
      <w:r>
        <w:rPr>
          <w:rFonts w:hint="eastAsia" w:ascii="仿宋" w:hAnsi="仿宋" w:eastAsia="仿宋" w:cs="仿宋"/>
          <w:b/>
          <w:bCs/>
          <w:color w:val="auto"/>
          <w:sz w:val="24"/>
          <w:szCs w:val="24"/>
          <w:highlight w:val="none"/>
          <w:shd w:val="clear" w:color="auto" w:fill="auto"/>
          <w:lang w:val="en-US" w:eastAsia="zh-CN"/>
        </w:rPr>
        <w:t>五、验收</w:t>
      </w:r>
      <w:bookmarkEnd w:id="39"/>
      <w:bookmarkEnd w:id="40"/>
      <w:bookmarkEnd w:id="41"/>
    </w:p>
    <w:p>
      <w:pPr>
        <w:adjustRightInd w:val="0"/>
        <w:snapToGrid w:val="0"/>
        <w:spacing w:line="360" w:lineRule="auto"/>
        <w:ind w:firstLine="480" w:firstLineChars="200"/>
        <w:jc w:val="lef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（一）交付验收</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采购人对中标人送交的图书依据招标文件上的要求标准进行验收。验收不合格的，采购人不予接收。</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（二）履约验收</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shd w:val="clear" w:color="auto" w:fill="auto"/>
          <w:lang w:val="zh-CN" w:eastAsia="zh-CN"/>
        </w:rPr>
      </w:pPr>
      <w:r>
        <w:rPr>
          <w:rFonts w:hint="eastAsia" w:ascii="仿宋" w:hAnsi="仿宋" w:eastAsia="仿宋" w:cs="仿宋"/>
          <w:color w:val="auto"/>
          <w:sz w:val="24"/>
          <w:szCs w:val="24"/>
          <w:highlight w:val="none"/>
          <w:shd w:val="clear" w:color="auto" w:fill="auto"/>
          <w:lang w:val="en-US" w:eastAsia="zh-CN"/>
        </w:rPr>
        <w:t>1、</w:t>
      </w:r>
      <w:r>
        <w:rPr>
          <w:rFonts w:hint="eastAsia" w:ascii="仿宋" w:hAnsi="仿宋" w:eastAsia="仿宋" w:cs="仿宋"/>
          <w:color w:val="auto"/>
          <w:sz w:val="24"/>
          <w:szCs w:val="24"/>
          <w:highlight w:val="none"/>
          <w:shd w:val="clear" w:color="auto" w:fill="auto"/>
          <w:lang w:val="zh-CN" w:eastAsia="zh-CN"/>
        </w:rPr>
        <w:t>本项目</w:t>
      </w:r>
      <w:r>
        <w:rPr>
          <w:rFonts w:hint="eastAsia" w:ascii="仿宋" w:hAnsi="仿宋" w:eastAsia="仿宋" w:cs="仿宋"/>
          <w:color w:val="auto"/>
          <w:sz w:val="24"/>
          <w:szCs w:val="24"/>
          <w:highlight w:val="none"/>
          <w:shd w:val="clear" w:color="auto" w:fill="auto"/>
          <w:lang w:val="en-US" w:eastAsia="zh-CN"/>
        </w:rPr>
        <w:t>组织</w:t>
      </w:r>
      <w:r>
        <w:rPr>
          <w:rFonts w:hint="eastAsia" w:ascii="仿宋" w:hAnsi="仿宋" w:eastAsia="仿宋" w:cs="仿宋"/>
          <w:color w:val="auto"/>
          <w:sz w:val="24"/>
          <w:szCs w:val="24"/>
          <w:highlight w:val="none"/>
          <w:shd w:val="clear" w:color="auto" w:fill="auto"/>
          <w:lang w:val="zh-CN" w:eastAsia="zh-CN"/>
        </w:rPr>
        <w:t>履约验收，验收合格的情况作为项目支付的依据。</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shd w:val="clear" w:color="auto" w:fill="auto"/>
          <w:lang w:val="zh-CN" w:eastAsia="zh-CN"/>
        </w:rPr>
      </w:pPr>
      <w:r>
        <w:rPr>
          <w:rFonts w:hint="eastAsia" w:ascii="仿宋" w:hAnsi="仿宋" w:eastAsia="仿宋" w:cs="仿宋"/>
          <w:color w:val="auto"/>
          <w:sz w:val="24"/>
          <w:szCs w:val="24"/>
          <w:highlight w:val="none"/>
          <w:shd w:val="clear" w:color="auto" w:fill="auto"/>
          <w:lang w:val="zh-CN" w:eastAsia="zh-CN"/>
        </w:rPr>
        <w:t>验收依据：①采购文件确定的技术指标或者服务要求；②投标文件承诺、询标回复；③服务合同、甲方制定的考核标准。未进行相应约定的，应当符合国家强制性规定、政策要求、安全标准、行业或企业有关标准等。</w:t>
      </w:r>
    </w:p>
    <w:p>
      <w:pPr>
        <w:adjustRightInd w:val="0"/>
        <w:snapToGrid w:val="0"/>
        <w:spacing w:line="360" w:lineRule="auto"/>
        <w:ind w:firstLine="480" w:firstLineChars="200"/>
        <w:jc w:val="left"/>
        <w:rPr>
          <w:rFonts w:hint="eastAsia" w:ascii="仿宋" w:hAnsi="仿宋" w:eastAsia="仿宋" w:cs="仿宋"/>
          <w:snapToGrid w:val="0"/>
          <w:color w:val="auto"/>
          <w:kern w:val="0"/>
          <w:sz w:val="24"/>
          <w:szCs w:val="24"/>
          <w:highlight w:val="none"/>
          <w:shd w:val="clear" w:color="auto" w:fill="auto"/>
          <w:lang w:val="zh-CN"/>
        </w:rPr>
      </w:pPr>
      <w:r>
        <w:rPr>
          <w:rFonts w:hint="eastAsia" w:ascii="仿宋" w:hAnsi="仿宋" w:eastAsia="仿宋" w:cs="仿宋"/>
          <w:color w:val="auto"/>
          <w:sz w:val="24"/>
          <w:szCs w:val="24"/>
          <w:highlight w:val="none"/>
          <w:shd w:val="clear" w:color="auto" w:fill="auto"/>
          <w:lang w:val="en-US" w:eastAsia="zh-CN"/>
        </w:rPr>
        <w:t>2、本项目的验收标准：采购人订单及中标人交付清单；中标人服务内容及总结</w:t>
      </w:r>
      <w:r>
        <w:rPr>
          <w:rFonts w:hint="eastAsia" w:ascii="仿宋" w:hAnsi="仿宋" w:eastAsia="仿宋" w:cs="仿宋"/>
          <w:color w:val="auto"/>
          <w:sz w:val="24"/>
          <w:szCs w:val="24"/>
          <w:highlight w:val="none"/>
          <w:shd w:val="clear" w:color="auto" w:fill="auto"/>
          <w:lang w:val="zh-CN" w:eastAsia="zh-CN"/>
        </w:rPr>
        <w:t>（</w:t>
      </w:r>
      <w:r>
        <w:rPr>
          <w:rFonts w:hint="eastAsia" w:ascii="仿宋" w:hAnsi="仿宋" w:eastAsia="仿宋" w:cs="仿宋"/>
          <w:color w:val="auto"/>
          <w:sz w:val="24"/>
          <w:szCs w:val="24"/>
          <w:highlight w:val="none"/>
          <w:shd w:val="clear" w:color="auto" w:fill="auto"/>
          <w:lang w:val="en-US" w:eastAsia="zh-CN"/>
        </w:rPr>
        <w:t>中标人应</w:t>
      </w:r>
      <w:r>
        <w:rPr>
          <w:rFonts w:hint="eastAsia" w:ascii="仿宋" w:hAnsi="仿宋" w:eastAsia="仿宋" w:cs="仿宋"/>
          <w:color w:val="auto"/>
          <w:sz w:val="24"/>
          <w:szCs w:val="24"/>
          <w:highlight w:val="none"/>
          <w:shd w:val="clear" w:color="auto" w:fill="auto"/>
          <w:lang w:val="zh-CN" w:eastAsia="zh-CN"/>
        </w:rPr>
        <w:t>提交的</w:t>
      </w:r>
      <w:r>
        <w:rPr>
          <w:rFonts w:hint="eastAsia" w:ascii="仿宋" w:hAnsi="仿宋" w:eastAsia="仿宋" w:cs="仿宋"/>
          <w:color w:val="auto"/>
          <w:sz w:val="24"/>
          <w:szCs w:val="24"/>
          <w:highlight w:val="none"/>
          <w:shd w:val="clear" w:color="auto" w:fill="auto"/>
          <w:lang w:val="en-US" w:eastAsia="zh-CN"/>
        </w:rPr>
        <w:t>服务过程</w:t>
      </w:r>
      <w:r>
        <w:rPr>
          <w:rFonts w:hint="eastAsia" w:ascii="仿宋" w:hAnsi="仿宋" w:eastAsia="仿宋" w:cs="仿宋"/>
          <w:color w:val="auto"/>
          <w:sz w:val="24"/>
          <w:szCs w:val="24"/>
          <w:highlight w:val="none"/>
          <w:shd w:val="clear" w:color="auto" w:fill="auto"/>
          <w:lang w:val="zh-CN" w:eastAsia="zh-CN"/>
        </w:rPr>
        <w:t>照片、总结等资料）。</w:t>
      </w:r>
      <w:r>
        <w:rPr>
          <w:rFonts w:hint="eastAsia" w:ascii="仿宋" w:hAnsi="仿宋" w:eastAsia="仿宋" w:cs="仿宋"/>
          <w:color w:val="auto"/>
          <w:sz w:val="24"/>
          <w:szCs w:val="24"/>
          <w:highlight w:val="none"/>
          <w:shd w:val="clear" w:color="auto" w:fill="auto"/>
          <w:lang w:val="en-US" w:eastAsia="zh-CN"/>
        </w:rPr>
        <w:t>要求台账记录清晰完整、</w:t>
      </w:r>
      <w:r>
        <w:rPr>
          <w:rFonts w:hint="eastAsia" w:ascii="仿宋" w:hAnsi="仿宋" w:eastAsia="仿宋" w:cs="仿宋"/>
          <w:color w:val="auto"/>
          <w:sz w:val="24"/>
          <w:szCs w:val="24"/>
          <w:highlight w:val="none"/>
          <w:shd w:val="clear" w:color="auto" w:fill="auto"/>
          <w:lang w:val="zh-CN" w:eastAsia="zh-CN"/>
        </w:rPr>
        <w:t>质量反馈表良好、材料完备。</w:t>
      </w:r>
    </w:p>
    <w:p>
      <w:pPr>
        <w:pStyle w:val="2"/>
        <w:spacing w:before="120" w:after="120" w:line="360" w:lineRule="auto"/>
        <w:rPr>
          <w:rFonts w:hint="eastAsia" w:ascii="仿宋" w:hAnsi="仿宋" w:eastAsia="仿宋" w:cs="仿宋"/>
          <w:color w:val="auto"/>
          <w:sz w:val="24"/>
          <w:szCs w:val="24"/>
          <w:highlight w:val="none"/>
          <w:shd w:val="clear" w:color="auto" w:fill="auto"/>
          <w:lang w:val="en-US" w:eastAsia="zh-CN"/>
        </w:rPr>
      </w:pPr>
      <w:bookmarkStart w:id="42" w:name="_Toc25836"/>
      <w:bookmarkStart w:id="43" w:name="_Toc13330"/>
      <w:bookmarkStart w:id="44" w:name="_Toc7778"/>
      <w:r>
        <w:rPr>
          <w:rFonts w:hint="eastAsia" w:ascii="仿宋" w:hAnsi="仿宋" w:eastAsia="仿宋" w:cs="仿宋"/>
          <w:color w:val="auto"/>
          <w:sz w:val="24"/>
          <w:szCs w:val="24"/>
          <w:highlight w:val="none"/>
          <w:shd w:val="clear" w:color="auto" w:fill="auto"/>
          <w:lang w:val="en-US" w:eastAsia="zh-CN"/>
        </w:rPr>
        <w:t>六</w:t>
      </w:r>
      <w:r>
        <w:rPr>
          <w:rFonts w:hint="eastAsia" w:ascii="仿宋" w:hAnsi="仿宋" w:eastAsia="仿宋" w:cs="仿宋"/>
          <w:color w:val="auto"/>
          <w:sz w:val="24"/>
          <w:szCs w:val="24"/>
          <w:highlight w:val="none"/>
          <w:shd w:val="clear" w:color="auto" w:fill="auto"/>
          <w:lang w:val="zh-CN"/>
        </w:rPr>
        <w:t>、其他</w:t>
      </w:r>
      <w:bookmarkEnd w:id="42"/>
      <w:bookmarkEnd w:id="43"/>
      <w:r>
        <w:rPr>
          <w:rFonts w:hint="eastAsia" w:ascii="仿宋" w:hAnsi="仿宋" w:eastAsia="仿宋" w:cs="仿宋"/>
          <w:color w:val="auto"/>
          <w:sz w:val="24"/>
          <w:szCs w:val="24"/>
          <w:highlight w:val="none"/>
          <w:shd w:val="clear" w:color="auto" w:fill="auto"/>
          <w:lang w:val="en-US" w:eastAsia="zh-CN"/>
        </w:rPr>
        <w:t>投标要求</w:t>
      </w:r>
      <w:bookmarkEnd w:id="44"/>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snapToGrid w:val="0"/>
          <w:color w:val="auto"/>
          <w:kern w:val="0"/>
          <w:sz w:val="24"/>
          <w:szCs w:val="24"/>
          <w:highlight w:val="none"/>
          <w:shd w:val="clear" w:color="auto" w:fill="auto"/>
          <w:lang w:val="en-US" w:eastAsia="zh-CN"/>
        </w:rPr>
        <w:t>（一）投标人要求</w:t>
      </w:r>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snapToGrid w:val="0"/>
          <w:color w:val="auto"/>
          <w:kern w:val="0"/>
          <w:sz w:val="24"/>
          <w:szCs w:val="24"/>
          <w:highlight w:val="none"/>
          <w:shd w:val="clear" w:color="auto" w:fill="auto"/>
          <w:lang w:val="en-US" w:eastAsia="zh-CN"/>
        </w:rPr>
        <w:t>1、为确保项目的顺利实施，投标人应有类似的</w:t>
      </w:r>
      <w:r>
        <w:rPr>
          <w:rFonts w:hint="eastAsia" w:ascii="仿宋" w:hAnsi="仿宋" w:eastAsia="仿宋" w:cs="仿宋"/>
          <w:color w:val="auto"/>
          <w:kern w:val="0"/>
          <w:sz w:val="24"/>
          <w:szCs w:val="24"/>
          <w:highlight w:val="none"/>
          <w:shd w:val="clear" w:color="auto" w:fill="auto"/>
          <w:lang w:val="en-US"/>
        </w:rPr>
        <w:t>公共图书馆供应图书</w:t>
      </w:r>
      <w:r>
        <w:rPr>
          <w:rFonts w:hint="eastAsia" w:ascii="仿宋" w:hAnsi="仿宋" w:eastAsia="仿宋" w:cs="仿宋"/>
          <w:color w:val="auto"/>
          <w:kern w:val="0"/>
          <w:sz w:val="24"/>
          <w:szCs w:val="24"/>
          <w:highlight w:val="none"/>
          <w:shd w:val="clear" w:color="auto" w:fill="auto"/>
          <w:lang w:val="en-US" w:eastAsia="zh-CN"/>
        </w:rPr>
        <w:t>供货业绩</w:t>
      </w:r>
      <w:r>
        <w:rPr>
          <w:rFonts w:hint="eastAsia" w:ascii="仿宋" w:hAnsi="仿宋" w:eastAsia="仿宋" w:cs="仿宋"/>
          <w:snapToGrid w:val="0"/>
          <w:color w:val="auto"/>
          <w:kern w:val="0"/>
          <w:sz w:val="24"/>
          <w:szCs w:val="24"/>
          <w:highlight w:val="none"/>
          <w:shd w:val="clear" w:color="auto" w:fill="auto"/>
          <w:lang w:val="en-US" w:eastAsia="zh-CN"/>
        </w:rPr>
        <w:t>经验。</w:t>
      </w:r>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snapToGrid w:val="0"/>
          <w:color w:val="auto"/>
          <w:kern w:val="0"/>
          <w:sz w:val="24"/>
          <w:szCs w:val="24"/>
          <w:highlight w:val="none"/>
          <w:shd w:val="clear" w:color="auto" w:fill="auto"/>
          <w:lang w:val="en-US" w:eastAsia="zh-CN"/>
        </w:rPr>
        <w:t>2、投标人应能提供快速的服务响应，具有较强的项目管理、技术服务和组织实施能力。</w:t>
      </w:r>
    </w:p>
    <w:p>
      <w:pPr>
        <w:pStyle w:val="18"/>
        <w:rPr>
          <w:rFonts w:hint="eastAsia" w:ascii="仿宋" w:hAnsi="仿宋" w:eastAsia="仿宋" w:cs="仿宋"/>
          <w:color w:val="auto"/>
          <w:sz w:val="24"/>
          <w:highlight w:val="none"/>
          <w:lang w:eastAsia="zh-CN"/>
        </w:rPr>
      </w:pPr>
      <w:r>
        <w:rPr>
          <w:rFonts w:hint="eastAsia" w:ascii="仿宋" w:hAnsi="仿宋" w:eastAsia="仿宋" w:cs="仿宋"/>
          <w:snapToGrid w:val="0"/>
          <w:color w:val="auto"/>
          <w:kern w:val="0"/>
          <w:sz w:val="24"/>
          <w:szCs w:val="24"/>
          <w:highlight w:val="none"/>
          <w:shd w:val="clear" w:color="auto" w:fill="auto"/>
          <w:lang w:val="en-US" w:eastAsia="zh-CN"/>
        </w:rPr>
        <w:t>3、</w:t>
      </w: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val="en-US" w:eastAsia="zh-CN"/>
        </w:rPr>
        <w:t>具有有效</w:t>
      </w:r>
      <w:r>
        <w:rPr>
          <w:rFonts w:hint="eastAsia" w:ascii="仿宋" w:hAnsi="仿宋" w:eastAsia="仿宋" w:cs="仿宋"/>
          <w:color w:val="auto"/>
          <w:sz w:val="24"/>
          <w:highlight w:val="none"/>
        </w:rPr>
        <w:t>质量管理体系</w:t>
      </w:r>
      <w:r>
        <w:rPr>
          <w:rFonts w:hint="eastAsia" w:ascii="仿宋" w:hAnsi="仿宋" w:eastAsia="仿宋" w:cs="仿宋"/>
          <w:color w:val="auto"/>
          <w:sz w:val="24"/>
          <w:highlight w:val="none"/>
          <w:lang w:val="en-US" w:eastAsia="zh-CN"/>
        </w:rPr>
        <w:t>认证</w:t>
      </w:r>
      <w:r>
        <w:rPr>
          <w:rFonts w:hint="eastAsia" w:ascii="仿宋" w:hAnsi="仿宋" w:eastAsia="仿宋" w:cs="仿宋"/>
          <w:color w:val="auto"/>
          <w:sz w:val="24"/>
          <w:highlight w:val="none"/>
        </w:rPr>
        <w:t>、环境管理体系认证、</w:t>
      </w:r>
      <w:r>
        <w:rPr>
          <w:rFonts w:hint="eastAsia" w:ascii="仿宋" w:hAnsi="仿宋" w:eastAsia="仿宋" w:cs="仿宋"/>
          <w:color w:val="auto"/>
          <w:sz w:val="24"/>
          <w:highlight w:val="none"/>
          <w:lang w:val="en-US" w:eastAsia="zh-CN"/>
        </w:rPr>
        <w:t>中国</w:t>
      </w:r>
      <w:r>
        <w:rPr>
          <w:rFonts w:hint="eastAsia" w:ascii="仿宋" w:hAnsi="仿宋" w:eastAsia="仿宋" w:cs="仿宋"/>
          <w:color w:val="auto"/>
          <w:sz w:val="24"/>
          <w:highlight w:val="none"/>
        </w:rPr>
        <w:t>职业健康安全管理体系认证</w:t>
      </w:r>
      <w:r>
        <w:rPr>
          <w:rFonts w:hint="eastAsia" w:ascii="仿宋" w:hAnsi="仿宋" w:eastAsia="仿宋" w:cs="仿宋"/>
          <w:color w:val="auto"/>
          <w:sz w:val="24"/>
          <w:highlight w:val="none"/>
          <w:lang w:eastAsia="zh-CN"/>
        </w:rPr>
        <w:t>。</w:t>
      </w:r>
    </w:p>
    <w:p>
      <w:pPr>
        <w:pStyle w:val="18"/>
        <w:rPr>
          <w:rFonts w:hint="eastAsia" w:ascii="仿宋" w:hAnsi="仿宋" w:eastAsia="仿宋" w:cs="仿宋"/>
          <w:snapToGrid/>
          <w:color w:val="auto"/>
          <w:kern w:val="2"/>
          <w:sz w:val="24"/>
          <w:szCs w:val="20"/>
          <w:highlight w:val="none"/>
          <w:shd w:val="clear" w:color="auto" w:fill="auto"/>
          <w:lang w:val="en-US" w:eastAsia="zh-CN"/>
        </w:rPr>
      </w:pPr>
      <w:r>
        <w:rPr>
          <w:rFonts w:hint="eastAsia" w:ascii="仿宋" w:hAnsi="仿宋" w:eastAsia="仿宋" w:cs="仿宋"/>
          <w:color w:val="auto"/>
          <w:sz w:val="24"/>
          <w:highlight w:val="none"/>
          <w:lang w:val="en-US" w:eastAsia="zh-CN"/>
        </w:rPr>
        <w:t>4、投标人应</w:t>
      </w:r>
      <w:r>
        <w:rPr>
          <w:rFonts w:hint="eastAsia" w:ascii="仿宋" w:hAnsi="仿宋" w:eastAsia="仿宋" w:cs="仿宋"/>
          <w:snapToGrid/>
          <w:color w:val="auto"/>
          <w:kern w:val="2"/>
          <w:sz w:val="24"/>
          <w:szCs w:val="20"/>
          <w:highlight w:val="none"/>
          <w:shd w:val="clear" w:color="auto" w:fill="auto"/>
          <w:lang w:val="en-US" w:eastAsia="zh-CN"/>
        </w:rPr>
        <w:t>有合适的采购渠道，其中有供书保障的各类出版社数量至少100家，建议300家以上。（投标时可提供合作的出版社清单，并承担真实有效的责任）</w:t>
      </w:r>
    </w:p>
    <w:p>
      <w:pPr>
        <w:pStyle w:val="18"/>
        <w:rPr>
          <w:rFonts w:hint="default" w:ascii="仿宋" w:hAnsi="仿宋" w:eastAsia="仿宋" w:cs="仿宋"/>
          <w:snapToGrid/>
          <w:color w:val="auto"/>
          <w:kern w:val="2"/>
          <w:sz w:val="24"/>
          <w:szCs w:val="20"/>
          <w:highlight w:val="none"/>
          <w:shd w:val="clear" w:color="auto" w:fill="auto"/>
          <w:lang w:val="en-US" w:eastAsia="zh-CN"/>
        </w:rPr>
      </w:pPr>
      <w:r>
        <w:rPr>
          <w:rFonts w:hint="eastAsia" w:ascii="仿宋" w:hAnsi="仿宋" w:eastAsia="仿宋" w:cs="仿宋"/>
          <w:snapToGrid/>
          <w:color w:val="auto"/>
          <w:kern w:val="2"/>
          <w:sz w:val="24"/>
          <w:szCs w:val="20"/>
          <w:highlight w:val="none"/>
          <w:shd w:val="clear" w:color="auto" w:fill="auto"/>
          <w:lang w:val="en-US" w:eastAsia="zh-CN"/>
        </w:rPr>
        <w:t>5、本项目图书，投标人可提供图书现采服务（即直接线下采购方式），也可提供公共图书馆网上借书悦借服务平台（可实现类似服务内容即可）、</w:t>
      </w:r>
      <w:r>
        <w:rPr>
          <w:rFonts w:hint="eastAsia" w:ascii="仿宋" w:hAnsi="仿宋" w:eastAsia="仿宋" w:cs="仿宋"/>
          <w:color w:val="auto"/>
          <w:kern w:val="0"/>
          <w:sz w:val="24"/>
          <w:szCs w:val="24"/>
          <w:highlight w:val="none"/>
          <w:shd w:val="clear" w:color="auto" w:fill="auto"/>
          <w:lang w:val="en-US" w:eastAsia="zh-CN"/>
        </w:rPr>
        <w:t>以及杭州市“一键借阅”平台线上借书服务</w:t>
      </w:r>
      <w:r>
        <w:rPr>
          <w:rFonts w:hint="eastAsia" w:ascii="仿宋" w:hAnsi="仿宋" w:eastAsia="仿宋" w:cs="仿宋"/>
          <w:snapToGrid/>
          <w:color w:val="auto"/>
          <w:kern w:val="2"/>
          <w:sz w:val="24"/>
          <w:szCs w:val="20"/>
          <w:highlight w:val="none"/>
          <w:shd w:val="clear" w:color="auto" w:fill="auto"/>
          <w:lang w:val="en-US" w:eastAsia="zh-CN"/>
        </w:rPr>
        <w:t>。</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shd w:val="clear" w:color="auto" w:fill="auto"/>
          <w:lang w:val="en-US" w:eastAsia="zh-CN"/>
        </w:rPr>
      </w:pPr>
      <w:r>
        <w:rPr>
          <w:rFonts w:hint="eastAsia" w:ascii="仿宋" w:hAnsi="仿宋" w:eastAsia="仿宋" w:cs="仿宋"/>
          <w:snapToGrid w:val="0"/>
          <w:color w:val="auto"/>
          <w:kern w:val="0"/>
          <w:sz w:val="24"/>
          <w:highlight w:val="none"/>
          <w:shd w:val="clear" w:color="auto" w:fill="auto"/>
          <w:lang w:eastAsia="zh-CN"/>
        </w:rPr>
        <w:t>（</w:t>
      </w:r>
      <w:r>
        <w:rPr>
          <w:rFonts w:hint="eastAsia" w:ascii="仿宋" w:hAnsi="仿宋" w:eastAsia="仿宋" w:cs="仿宋"/>
          <w:snapToGrid w:val="0"/>
          <w:color w:val="auto"/>
          <w:kern w:val="0"/>
          <w:sz w:val="24"/>
          <w:highlight w:val="none"/>
          <w:shd w:val="clear" w:color="auto" w:fill="auto"/>
          <w:lang w:val="en-US" w:eastAsia="zh-CN"/>
        </w:rPr>
        <w:t>二</w:t>
      </w:r>
      <w:r>
        <w:rPr>
          <w:rFonts w:hint="eastAsia" w:ascii="仿宋" w:hAnsi="仿宋" w:eastAsia="仿宋" w:cs="仿宋"/>
          <w:snapToGrid w:val="0"/>
          <w:color w:val="auto"/>
          <w:kern w:val="0"/>
          <w:sz w:val="24"/>
          <w:highlight w:val="none"/>
          <w:shd w:val="clear" w:color="auto" w:fill="auto"/>
          <w:lang w:eastAsia="zh-CN"/>
        </w:rPr>
        <w:t>）</w:t>
      </w:r>
      <w:r>
        <w:rPr>
          <w:rFonts w:hint="eastAsia" w:ascii="仿宋" w:hAnsi="仿宋" w:eastAsia="仿宋" w:cs="仿宋"/>
          <w:snapToGrid w:val="0"/>
          <w:color w:val="auto"/>
          <w:kern w:val="0"/>
          <w:sz w:val="24"/>
          <w:highlight w:val="none"/>
          <w:shd w:val="clear" w:color="auto" w:fill="auto"/>
          <w:lang w:val="en-US" w:eastAsia="zh-CN"/>
        </w:rPr>
        <w:t>项目团队要求</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zh-CN"/>
        </w:rPr>
      </w:pPr>
      <w:r>
        <w:rPr>
          <w:rFonts w:hint="eastAsia" w:ascii="仿宋" w:hAnsi="仿宋" w:eastAsia="仿宋" w:cs="仿宋"/>
          <w:snapToGrid w:val="0"/>
          <w:color w:val="auto"/>
          <w:kern w:val="0"/>
          <w:sz w:val="24"/>
          <w:szCs w:val="24"/>
          <w:highlight w:val="none"/>
          <w:shd w:val="clear" w:color="auto" w:fill="auto"/>
          <w:lang w:val="en-US" w:eastAsia="zh-CN"/>
        </w:rPr>
        <w:t>1、投标人为本项目组建项目团队，</w:t>
      </w:r>
      <w:r>
        <w:rPr>
          <w:rFonts w:hint="eastAsia" w:ascii="仿宋" w:hAnsi="仿宋" w:eastAsia="仿宋" w:cs="仿宋"/>
          <w:snapToGrid w:val="0"/>
          <w:color w:val="auto"/>
          <w:kern w:val="0"/>
          <w:sz w:val="24"/>
          <w:highlight w:val="none"/>
          <w:lang w:val="zh-CN"/>
        </w:rPr>
        <w:t>要求服务人员数量充足、团队职责分明、经验丰富、执行力强，</w:t>
      </w:r>
      <w:r>
        <w:rPr>
          <w:rFonts w:hint="eastAsia" w:ascii="仿宋" w:hAnsi="仿宋" w:eastAsia="仿宋" w:cs="仿宋"/>
          <w:snapToGrid w:val="0"/>
          <w:color w:val="auto"/>
          <w:kern w:val="0"/>
          <w:sz w:val="24"/>
          <w:highlight w:val="none"/>
          <w:lang w:val="en-US" w:eastAsia="zh-CN"/>
        </w:rPr>
        <w:t>同时</w:t>
      </w:r>
      <w:r>
        <w:rPr>
          <w:rFonts w:hint="eastAsia" w:ascii="仿宋" w:hAnsi="仿宋" w:eastAsia="仿宋" w:cs="仿宋"/>
          <w:snapToGrid w:val="0"/>
          <w:color w:val="auto"/>
          <w:kern w:val="0"/>
          <w:sz w:val="24"/>
          <w:highlight w:val="none"/>
          <w:lang w:val="zh-CN"/>
        </w:rPr>
        <w:t>能合理有效整合资源，达到良好的</w:t>
      </w:r>
      <w:r>
        <w:rPr>
          <w:rFonts w:hint="eastAsia" w:ascii="仿宋" w:hAnsi="仿宋" w:eastAsia="仿宋" w:cs="仿宋"/>
          <w:snapToGrid w:val="0"/>
          <w:color w:val="auto"/>
          <w:kern w:val="0"/>
          <w:sz w:val="24"/>
          <w:highlight w:val="none"/>
          <w:lang w:val="en-US" w:eastAsia="zh-CN"/>
        </w:rPr>
        <w:t>服务</w:t>
      </w:r>
      <w:r>
        <w:rPr>
          <w:rFonts w:hint="eastAsia" w:ascii="仿宋" w:hAnsi="仿宋" w:eastAsia="仿宋" w:cs="仿宋"/>
          <w:snapToGrid w:val="0"/>
          <w:color w:val="auto"/>
          <w:kern w:val="0"/>
          <w:sz w:val="24"/>
          <w:highlight w:val="none"/>
          <w:lang w:val="zh-CN"/>
        </w:rPr>
        <w:t>效果。（</w:t>
      </w:r>
      <w:r>
        <w:rPr>
          <w:rFonts w:hint="eastAsia" w:ascii="仿宋" w:hAnsi="仿宋" w:eastAsia="仿宋" w:cs="仿宋"/>
          <w:b w:val="0"/>
          <w:bCs/>
          <w:color w:val="auto"/>
          <w:kern w:val="0"/>
          <w:sz w:val="24"/>
          <w:szCs w:val="24"/>
          <w:highlight w:val="none"/>
          <w:shd w:val="clear" w:color="auto" w:fill="auto"/>
        </w:rPr>
        <w:t>项目团队成员需提供</w:t>
      </w:r>
      <w:r>
        <w:rPr>
          <w:rFonts w:hint="eastAsia" w:ascii="仿宋" w:hAnsi="仿宋" w:eastAsia="仿宋" w:cs="仿宋"/>
          <w:b w:val="0"/>
          <w:bCs/>
          <w:color w:val="auto"/>
          <w:kern w:val="0"/>
          <w:sz w:val="24"/>
          <w:szCs w:val="24"/>
          <w:highlight w:val="none"/>
          <w:shd w:val="clear" w:color="auto" w:fill="auto"/>
          <w:lang w:val="en-US" w:eastAsia="zh-CN"/>
        </w:rPr>
        <w:t>姓名、身份证号码，并提供距</w:t>
      </w:r>
      <w:r>
        <w:rPr>
          <w:rFonts w:hint="eastAsia" w:ascii="仿宋" w:hAnsi="仿宋" w:eastAsia="仿宋" w:cs="仿宋"/>
          <w:b w:val="0"/>
          <w:bCs/>
          <w:color w:val="auto"/>
          <w:kern w:val="0"/>
          <w:sz w:val="24"/>
          <w:szCs w:val="24"/>
          <w:highlight w:val="none"/>
          <w:shd w:val="clear" w:color="auto" w:fill="auto"/>
        </w:rPr>
        <w:t>投标截止时间最近3个月任意一个月的社保缴纳证明，否则</w:t>
      </w:r>
      <w:r>
        <w:rPr>
          <w:rFonts w:hint="eastAsia" w:ascii="仿宋" w:hAnsi="仿宋" w:eastAsia="仿宋" w:cs="仿宋"/>
          <w:b w:val="0"/>
          <w:bCs/>
          <w:color w:val="auto"/>
          <w:kern w:val="0"/>
          <w:sz w:val="24"/>
          <w:szCs w:val="24"/>
          <w:highlight w:val="none"/>
          <w:shd w:val="clear" w:color="auto" w:fill="auto"/>
          <w:lang w:val="en-US" w:eastAsia="zh-CN"/>
        </w:rPr>
        <w:t>评审时</w:t>
      </w:r>
      <w:r>
        <w:rPr>
          <w:rFonts w:hint="eastAsia" w:ascii="仿宋" w:hAnsi="仿宋" w:eastAsia="仿宋" w:cs="仿宋"/>
          <w:b w:val="0"/>
          <w:bCs/>
          <w:color w:val="auto"/>
          <w:kern w:val="0"/>
          <w:sz w:val="24"/>
          <w:szCs w:val="24"/>
          <w:highlight w:val="none"/>
          <w:shd w:val="clear" w:color="auto" w:fill="auto"/>
        </w:rPr>
        <w:t>人员</w:t>
      </w:r>
      <w:r>
        <w:rPr>
          <w:rFonts w:hint="eastAsia" w:ascii="仿宋" w:hAnsi="仿宋" w:eastAsia="仿宋" w:cs="仿宋"/>
          <w:b w:val="0"/>
          <w:bCs/>
          <w:color w:val="auto"/>
          <w:kern w:val="0"/>
          <w:sz w:val="24"/>
          <w:szCs w:val="24"/>
          <w:highlight w:val="none"/>
          <w:shd w:val="clear" w:color="auto" w:fill="auto"/>
          <w:lang w:val="en-US" w:eastAsia="zh-CN"/>
        </w:rPr>
        <w:t>不予认可</w:t>
      </w:r>
      <w:r>
        <w:rPr>
          <w:rFonts w:hint="eastAsia" w:ascii="仿宋" w:hAnsi="仿宋" w:eastAsia="仿宋" w:cs="仿宋"/>
          <w:b w:val="0"/>
          <w:bCs/>
          <w:color w:val="auto"/>
          <w:kern w:val="0"/>
          <w:sz w:val="24"/>
          <w:szCs w:val="24"/>
          <w:highlight w:val="none"/>
          <w:shd w:val="clear" w:color="auto" w:fill="auto"/>
        </w:rPr>
        <w:t>。如社保证明为网上打印，可只提供盖有电子章的打印页</w:t>
      </w:r>
      <w:r>
        <w:rPr>
          <w:rFonts w:hint="eastAsia" w:ascii="仿宋" w:hAnsi="仿宋" w:eastAsia="仿宋" w:cs="仿宋"/>
          <w:snapToGrid w:val="0"/>
          <w:color w:val="auto"/>
          <w:kern w:val="0"/>
          <w:sz w:val="24"/>
          <w:highlight w:val="none"/>
          <w:lang w:val="zh-CN"/>
        </w:rPr>
        <w:t>）</w:t>
      </w:r>
    </w:p>
    <w:p>
      <w:pPr>
        <w:adjustRightInd w:val="0"/>
        <w:snapToGrid w:val="0"/>
        <w:spacing w:line="360" w:lineRule="auto"/>
        <w:ind w:firstLine="480" w:firstLineChars="200"/>
        <w:rPr>
          <w:rFonts w:hint="default" w:ascii="仿宋" w:hAnsi="仿宋" w:eastAsia="仿宋" w:cs="仿宋"/>
          <w:bCs/>
          <w:snapToGrid/>
          <w:color w:val="auto"/>
          <w:kern w:val="0"/>
          <w:sz w:val="24"/>
          <w:highlight w:val="none"/>
          <w:shd w:val="clear" w:color="auto" w:fill="auto"/>
          <w:lang w:val="en-US" w:eastAsia="zh-CN"/>
        </w:rPr>
      </w:pPr>
      <w:r>
        <w:rPr>
          <w:rFonts w:hint="eastAsia" w:ascii="仿宋" w:hAnsi="仿宋" w:eastAsia="仿宋" w:cs="仿宋"/>
          <w:bCs/>
          <w:snapToGrid/>
          <w:color w:val="auto"/>
          <w:kern w:val="0"/>
          <w:sz w:val="24"/>
          <w:highlight w:val="none"/>
          <w:shd w:val="clear" w:color="auto" w:fill="auto"/>
          <w:lang w:val="en-US" w:eastAsia="zh-CN"/>
        </w:rPr>
        <w:t>2、项目团队总人数不少于20人，人员数量及岗位安排如下：</w:t>
      </w:r>
    </w:p>
    <w:p>
      <w:pPr>
        <w:adjustRightInd w:val="0"/>
        <w:snapToGrid w:val="0"/>
        <w:spacing w:line="360" w:lineRule="auto"/>
        <w:ind w:firstLine="480" w:firstLineChars="200"/>
        <w:rPr>
          <w:rFonts w:hint="eastAsia" w:ascii="仿宋" w:hAnsi="仿宋" w:eastAsia="仿宋" w:cs="仿宋"/>
          <w:bCs/>
          <w:color w:val="auto"/>
          <w:kern w:val="0"/>
          <w:sz w:val="24"/>
          <w:szCs w:val="24"/>
          <w:highlight w:val="none"/>
          <w:shd w:val="clear" w:color="auto" w:fill="auto"/>
          <w:lang w:val="en-US" w:eastAsia="zh-CN"/>
        </w:rPr>
      </w:pPr>
      <w:r>
        <w:rPr>
          <w:rFonts w:hint="eastAsia" w:ascii="仿宋" w:hAnsi="仿宋" w:eastAsia="仿宋" w:cs="仿宋"/>
          <w:bCs/>
          <w:snapToGrid/>
          <w:color w:val="auto"/>
          <w:kern w:val="0"/>
          <w:sz w:val="24"/>
          <w:highlight w:val="none"/>
          <w:shd w:val="clear" w:color="auto" w:fill="auto"/>
          <w:lang w:val="en-US" w:eastAsia="zh-CN"/>
        </w:rPr>
        <w:t>（1）项目团队指派项目负责人1名，具备</w:t>
      </w:r>
      <w:r>
        <w:rPr>
          <w:rFonts w:hint="eastAsia" w:ascii="仿宋" w:hAnsi="仿宋" w:eastAsia="仿宋" w:cs="仿宋"/>
          <w:bCs/>
          <w:color w:val="auto"/>
          <w:kern w:val="0"/>
          <w:sz w:val="24"/>
          <w:szCs w:val="24"/>
          <w:highlight w:val="none"/>
          <w:shd w:val="clear" w:color="auto" w:fill="auto"/>
          <w:lang w:val="en-US"/>
        </w:rPr>
        <w:t>中级及以上出版物发行员证书（证书</w:t>
      </w:r>
      <w:r>
        <w:rPr>
          <w:rFonts w:hint="eastAsia" w:ascii="仿宋" w:hAnsi="仿宋" w:eastAsia="仿宋" w:cs="仿宋"/>
          <w:bCs/>
          <w:color w:val="auto"/>
          <w:kern w:val="0"/>
          <w:sz w:val="24"/>
          <w:szCs w:val="24"/>
          <w:highlight w:val="none"/>
          <w:shd w:val="clear" w:color="auto" w:fill="auto"/>
          <w:lang w:val="en-US" w:eastAsia="zh-CN"/>
        </w:rPr>
        <w:t>可</w:t>
      </w:r>
      <w:r>
        <w:rPr>
          <w:rFonts w:hint="eastAsia" w:ascii="仿宋" w:hAnsi="仿宋" w:eastAsia="仿宋" w:cs="仿宋"/>
          <w:bCs/>
          <w:color w:val="auto"/>
          <w:kern w:val="0"/>
          <w:sz w:val="24"/>
          <w:szCs w:val="24"/>
          <w:highlight w:val="none"/>
          <w:shd w:val="clear" w:color="auto" w:fill="auto"/>
          <w:lang w:val="en-US"/>
        </w:rPr>
        <w:t>网上核验）</w:t>
      </w:r>
      <w:r>
        <w:rPr>
          <w:rFonts w:hint="eastAsia" w:ascii="仿宋" w:hAnsi="仿宋" w:eastAsia="仿宋" w:cs="仿宋"/>
          <w:bCs/>
          <w:color w:val="auto"/>
          <w:kern w:val="0"/>
          <w:sz w:val="24"/>
          <w:szCs w:val="24"/>
          <w:highlight w:val="none"/>
          <w:shd w:val="clear" w:color="auto" w:fill="auto"/>
          <w:lang w:val="en-US" w:eastAsia="zh-CN"/>
        </w:rPr>
        <w:t>。</w:t>
      </w:r>
    </w:p>
    <w:p>
      <w:pPr>
        <w:adjustRightInd w:val="0"/>
        <w:snapToGrid w:val="0"/>
        <w:spacing w:line="360" w:lineRule="auto"/>
        <w:ind w:firstLine="480" w:firstLineChars="200"/>
        <w:rPr>
          <w:rFonts w:hint="eastAsia" w:ascii="仿宋" w:hAnsi="仿宋" w:eastAsia="仿宋" w:cs="仿宋"/>
          <w:bCs/>
          <w:snapToGrid/>
          <w:color w:val="auto"/>
          <w:kern w:val="0"/>
          <w:sz w:val="24"/>
          <w:highlight w:val="none"/>
          <w:shd w:val="clear" w:color="auto" w:fill="auto"/>
          <w:lang w:val="en-US" w:eastAsia="zh-CN"/>
        </w:rPr>
      </w:pPr>
      <w:r>
        <w:rPr>
          <w:rFonts w:hint="eastAsia" w:ascii="仿宋" w:hAnsi="仿宋" w:eastAsia="仿宋" w:cs="仿宋"/>
          <w:bCs/>
          <w:snapToGrid/>
          <w:color w:val="auto"/>
          <w:kern w:val="0"/>
          <w:sz w:val="24"/>
          <w:highlight w:val="none"/>
          <w:shd w:val="clear" w:color="auto" w:fill="auto"/>
          <w:lang w:val="en-US" w:eastAsia="zh-CN"/>
        </w:rPr>
        <w:t>（2）除项目负责人外，项目团队应有发行人员、编目人员。其中具有出版物发行员证书（证书可网上核验）的至少3人，具有图书编目证书（证书可网上核验）的至少3人。</w:t>
      </w:r>
    </w:p>
    <w:p>
      <w:pPr>
        <w:adjustRightInd w:val="0"/>
        <w:snapToGrid w:val="0"/>
        <w:spacing w:line="360" w:lineRule="auto"/>
        <w:ind w:firstLine="480" w:firstLineChars="200"/>
        <w:rPr>
          <w:rFonts w:hint="default" w:ascii="仿宋" w:hAnsi="仿宋" w:eastAsia="仿宋" w:cs="仿宋"/>
          <w:bCs/>
          <w:color w:val="auto"/>
          <w:kern w:val="0"/>
          <w:sz w:val="24"/>
          <w:highlight w:val="none"/>
          <w:shd w:val="clear" w:color="auto" w:fill="auto"/>
          <w:lang w:val="en-US"/>
        </w:rPr>
      </w:pPr>
      <w:r>
        <w:rPr>
          <w:rFonts w:hint="eastAsia" w:ascii="仿宋" w:hAnsi="仿宋" w:eastAsia="仿宋" w:cs="仿宋"/>
          <w:bCs/>
          <w:snapToGrid/>
          <w:color w:val="auto"/>
          <w:kern w:val="0"/>
          <w:sz w:val="24"/>
          <w:highlight w:val="none"/>
          <w:shd w:val="clear" w:color="auto" w:fill="auto"/>
          <w:lang w:val="en-US" w:eastAsia="zh-CN"/>
        </w:rPr>
        <w:t>（3）根据服务内容及要求，加工、派送、账目、库管、客服等等岗位有合理配置的人员。</w:t>
      </w:r>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bCs/>
          <w:snapToGrid/>
          <w:color w:val="auto"/>
          <w:kern w:val="0"/>
          <w:sz w:val="24"/>
          <w:highlight w:val="none"/>
          <w:shd w:val="clear" w:color="auto" w:fill="auto"/>
          <w:lang w:val="en-US" w:eastAsia="zh-CN"/>
        </w:rPr>
        <w:t>4、在项目实施过程中，服务团队应能够与采购人及时沟通，并充分尊重采购方意见，配合采购人完成相关工作直至项目完成。</w:t>
      </w:r>
    </w:p>
    <w:p>
      <w:pPr>
        <w:pStyle w:val="2"/>
        <w:spacing w:before="120" w:after="120" w:line="360" w:lineRule="auto"/>
        <w:rPr>
          <w:rFonts w:hint="eastAsia" w:ascii="仿宋" w:hAnsi="仿宋" w:eastAsia="仿宋" w:cs="仿宋"/>
          <w:color w:val="auto"/>
          <w:sz w:val="24"/>
          <w:szCs w:val="24"/>
          <w:highlight w:val="none"/>
          <w:shd w:val="clear" w:color="auto" w:fill="auto"/>
          <w:lang w:val="zh-CN"/>
        </w:rPr>
      </w:pPr>
      <w:bookmarkStart w:id="45" w:name="_Toc16093"/>
      <w:bookmarkStart w:id="46" w:name="_Toc26437"/>
      <w:bookmarkStart w:id="47" w:name="_Toc2111"/>
      <w:bookmarkStart w:id="48" w:name="_Toc28570"/>
      <w:r>
        <w:rPr>
          <w:rFonts w:hint="eastAsia" w:ascii="仿宋" w:hAnsi="仿宋" w:eastAsia="仿宋" w:cs="仿宋"/>
          <w:color w:val="auto"/>
          <w:sz w:val="24"/>
          <w:szCs w:val="24"/>
          <w:highlight w:val="none"/>
          <w:shd w:val="clear" w:color="auto" w:fill="auto"/>
          <w:lang w:val="en-US" w:eastAsia="zh-CN"/>
        </w:rPr>
        <w:t>七</w:t>
      </w:r>
      <w:r>
        <w:rPr>
          <w:rFonts w:hint="eastAsia" w:ascii="仿宋" w:hAnsi="仿宋" w:eastAsia="仿宋" w:cs="仿宋"/>
          <w:color w:val="auto"/>
          <w:sz w:val="24"/>
          <w:szCs w:val="24"/>
          <w:highlight w:val="none"/>
          <w:shd w:val="clear" w:color="auto" w:fill="auto"/>
          <w:lang w:val="zh-CN"/>
        </w:rPr>
        <w:t>、其他</w:t>
      </w:r>
      <w:bookmarkEnd w:id="45"/>
      <w:bookmarkEnd w:id="46"/>
      <w:bookmarkEnd w:id="47"/>
      <w:bookmarkEnd w:id="48"/>
    </w:p>
    <w:p>
      <w:pPr>
        <w:pStyle w:val="17"/>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1、分包和转包</w:t>
      </w:r>
    </w:p>
    <w:p>
      <w:pPr>
        <w:pStyle w:val="17"/>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（1）一旦中标，本项目不得转包，也不得未经采购人同意擅自部分内容分包给其他单位承担。如有违反以上情形，采购人有权解除合同，并追究中标人的违约责任。 </w:t>
      </w:r>
    </w:p>
    <w:p>
      <w:pPr>
        <w:pStyle w:val="17"/>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（2）享受《政府采购促进中小企业发展管理办法》的通知（财库〔2020〕46 号）的规定扶持政策获得政府采购合同的，小微企业不得将合同分包给大中型企业，中型企业不得将合同分包给大型企业。  </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lang w:val="en-US" w:eastAsia="zh-CN"/>
        </w:rPr>
        <w:t>2、</w:t>
      </w:r>
      <w:r>
        <w:rPr>
          <w:rFonts w:hint="eastAsia" w:ascii="仿宋" w:hAnsi="仿宋" w:eastAsia="仿宋" w:cs="仿宋"/>
          <w:snapToGrid w:val="0"/>
          <w:color w:val="auto"/>
          <w:kern w:val="0"/>
          <w:sz w:val="24"/>
          <w:highlight w:val="none"/>
        </w:rPr>
        <w:t>投标时的证明材料要确保真实有效。如核实虚假的，采购人有权向监管部门反映，取消该投标人的中标资格并追究其法律责任。</w:t>
      </w:r>
    </w:p>
    <w:p>
      <w:pPr>
        <w:adjustRightInd w:val="0"/>
        <w:snapToGrid w:val="0"/>
        <w:spacing w:line="360" w:lineRule="auto"/>
        <w:ind w:firstLine="480" w:firstLineChars="200"/>
        <w:rPr>
          <w:rFonts w:ascii="仿宋" w:hAnsi="仿宋" w:eastAsia="仿宋" w:cs="仿宋"/>
          <w:bCs/>
          <w:color w:val="auto"/>
          <w:highlight w:val="none"/>
        </w:rPr>
      </w:pPr>
      <w:r>
        <w:rPr>
          <w:rFonts w:hint="eastAsia" w:ascii="仿宋" w:hAnsi="仿宋" w:eastAsia="仿宋" w:cs="仿宋"/>
          <w:snapToGrid w:val="0"/>
          <w:color w:val="auto"/>
          <w:kern w:val="0"/>
          <w:sz w:val="24"/>
          <w:highlight w:val="none"/>
          <w:lang w:val="en-US" w:eastAsia="zh-CN"/>
        </w:rPr>
        <w:t>3</w:t>
      </w:r>
      <w:r>
        <w:rPr>
          <w:rFonts w:hint="eastAsia" w:ascii="仿宋" w:hAnsi="仿宋" w:eastAsia="仿宋" w:cs="仿宋"/>
          <w:snapToGrid w:val="0"/>
          <w:color w:val="auto"/>
          <w:kern w:val="0"/>
          <w:sz w:val="24"/>
          <w:highlight w:val="none"/>
        </w:rPr>
        <w:t>、</w:t>
      </w:r>
      <w:r>
        <w:rPr>
          <w:rFonts w:hint="eastAsia" w:ascii="仿宋" w:hAnsi="仿宋" w:eastAsia="仿宋" w:cs="仿宋"/>
          <w:snapToGrid w:val="0"/>
          <w:color w:val="auto"/>
          <w:kern w:val="0"/>
          <w:sz w:val="24"/>
          <w:highlight w:val="none"/>
          <w:lang w:val="zh-CN"/>
        </w:rPr>
        <w:t>未尽事宜可进一步参阅合同条款、</w:t>
      </w:r>
      <w:r>
        <w:rPr>
          <w:rFonts w:hint="eastAsia" w:ascii="仿宋" w:hAnsi="仿宋" w:eastAsia="仿宋" w:cs="仿宋"/>
          <w:snapToGrid w:val="0"/>
          <w:color w:val="auto"/>
          <w:kern w:val="0"/>
          <w:sz w:val="24"/>
          <w:highlight w:val="none"/>
        </w:rPr>
        <w:t>招标文件其他内容、</w:t>
      </w:r>
      <w:r>
        <w:rPr>
          <w:rFonts w:hint="eastAsia" w:ascii="仿宋" w:hAnsi="仿宋" w:eastAsia="仿宋" w:cs="仿宋"/>
          <w:snapToGrid w:val="0"/>
          <w:color w:val="auto"/>
          <w:kern w:val="0"/>
          <w:sz w:val="24"/>
          <w:highlight w:val="none"/>
          <w:lang w:val="zh-CN"/>
        </w:rPr>
        <w:t>相关附件。</w:t>
      </w:r>
    </w:p>
    <w:p>
      <w:pPr>
        <w:pStyle w:val="18"/>
        <w:rPr>
          <w:highlight w:val="none"/>
        </w:rPr>
        <w:sectPr>
          <w:headerReference r:id="rId5" w:type="default"/>
          <w:footerReference r:id="rId6" w:type="default"/>
          <w:pgSz w:w="11850" w:h="16783"/>
          <w:pgMar w:top="1247" w:right="1588" w:bottom="1089" w:left="1588" w:header="851" w:footer="992" w:gutter="0"/>
          <w:cols w:space="720" w:num="1"/>
          <w:docGrid w:linePitch="312" w:charSpace="0"/>
        </w:sectPr>
      </w:pPr>
    </w:p>
    <w:bookmarkEnd w:id="25"/>
    <w:bookmarkEnd w:id="26"/>
    <w:bookmarkEnd w:id="27"/>
    <w:bookmarkEnd w:id="28"/>
    <w:p>
      <w:pPr>
        <w:adjustRightInd w:val="0"/>
        <w:snapToGrid w:val="0"/>
        <w:spacing w:before="120" w:beforeLines="50" w:after="120" w:afterLines="50" w:line="360" w:lineRule="auto"/>
        <w:jc w:val="center"/>
        <w:outlineLvl w:val="0"/>
        <w:rPr>
          <w:rFonts w:ascii="仿宋" w:hAnsi="仿宋" w:eastAsia="仿宋" w:cs="仿宋"/>
          <w:b/>
          <w:color w:val="auto"/>
          <w:sz w:val="30"/>
          <w:szCs w:val="30"/>
          <w:highlight w:val="none"/>
        </w:rPr>
      </w:pPr>
      <w:bookmarkStart w:id="49" w:name="_Toc14349"/>
      <w:bookmarkStart w:id="50" w:name="_Toc17565"/>
      <w:r>
        <w:rPr>
          <w:rFonts w:hint="eastAsia" w:ascii="仿宋" w:hAnsi="仿宋" w:eastAsia="仿宋" w:cs="仿宋"/>
          <w:b/>
          <w:color w:val="auto"/>
          <w:sz w:val="30"/>
          <w:szCs w:val="30"/>
          <w:highlight w:val="none"/>
        </w:rPr>
        <w:t>第四部分  评标办法</w:t>
      </w:r>
      <w:bookmarkEnd w:id="49"/>
      <w:bookmarkEnd w:id="50"/>
    </w:p>
    <w:p>
      <w:pPr>
        <w:pStyle w:val="2"/>
        <w:snapToGrid w:val="0"/>
        <w:spacing w:before="120" w:beforeLines="50" w:after="120" w:afterLines="50" w:line="360" w:lineRule="auto"/>
        <w:rPr>
          <w:rFonts w:hint="eastAsia" w:ascii="仿宋" w:hAnsi="仿宋" w:eastAsia="仿宋" w:cs="仿宋"/>
          <w:color w:val="auto"/>
          <w:sz w:val="24"/>
          <w:szCs w:val="24"/>
          <w:highlight w:val="none"/>
        </w:rPr>
      </w:pPr>
      <w:bookmarkStart w:id="51" w:name="_Toc16598"/>
      <w:bookmarkStart w:id="52" w:name="_Toc27092"/>
      <w:r>
        <w:rPr>
          <w:rFonts w:hint="eastAsia" w:ascii="仿宋" w:hAnsi="仿宋" w:eastAsia="仿宋" w:cs="仿宋"/>
          <w:color w:val="auto"/>
          <w:sz w:val="24"/>
          <w:szCs w:val="24"/>
          <w:highlight w:val="none"/>
        </w:rPr>
        <w:t>评标办法前附表</w:t>
      </w:r>
      <w:bookmarkEnd w:id="51"/>
      <w:bookmarkEnd w:id="52"/>
    </w:p>
    <w:p>
      <w:pPr>
        <w:rPr>
          <w:highlight w:val="none"/>
        </w:rPr>
      </w:pPr>
    </w:p>
    <w:tbl>
      <w:tblPr>
        <w:tblStyle w:val="45"/>
        <w:tblW w:w="9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5797"/>
        <w:gridCol w:w="1080"/>
        <w:gridCol w:w="892"/>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5797" w:type="dxa"/>
            <w:noWrap w:val="0"/>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评分因素</w:t>
            </w:r>
          </w:p>
        </w:tc>
        <w:tc>
          <w:tcPr>
            <w:tcW w:w="1080" w:type="dxa"/>
            <w:noWrap w:val="0"/>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权重</w:t>
            </w:r>
          </w:p>
        </w:tc>
        <w:tc>
          <w:tcPr>
            <w:tcW w:w="892" w:type="dxa"/>
            <w:noWrap w:val="0"/>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_GB2312"/>
                <w:bCs/>
                <w:color w:val="auto"/>
                <w:sz w:val="24"/>
                <w:highlight w:val="none"/>
              </w:rPr>
              <w:t>主观分/客观分属性</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_GB2312"/>
                <w:bCs/>
                <w:color w:val="auto"/>
                <w:sz w:val="24"/>
                <w:highlight w:val="none"/>
              </w:rPr>
              <w:t>投标文件中评标标准相应的商务技术资料目录</w:t>
            </w:r>
            <w:r>
              <w:rPr>
                <w:rFonts w:ascii="仿宋" w:hAnsi="仿宋" w:eastAsia="仿宋" w:cs="Arial"/>
                <w:color w:val="auto"/>
                <w:sz w:val="24"/>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54" w:type="dxa"/>
            <w:noWrap w:val="0"/>
            <w:vAlign w:val="center"/>
          </w:tcPr>
          <w:p>
            <w:pPr>
              <w:adjustRightInd w:val="0"/>
              <w:snapToGrid w:val="0"/>
              <w:jc w:val="center"/>
              <w:rPr>
                <w:rFonts w:hint="eastAsia" w:ascii="仿宋" w:hAnsi="仿宋" w:eastAsia="仿宋" w:cs="仿宋"/>
                <w:bCs/>
                <w:color w:val="auto"/>
                <w:sz w:val="24"/>
                <w:highlight w:val="none"/>
              </w:rPr>
            </w:pPr>
            <w:r>
              <w:rPr>
                <w:rFonts w:hint="eastAsia" w:ascii="仿宋" w:hAnsi="仿宋" w:eastAsia="仿宋" w:cs="仿宋"/>
                <w:b w:val="0"/>
                <w:bCs/>
                <w:color w:val="auto"/>
                <w:sz w:val="24"/>
                <w:szCs w:val="24"/>
                <w:highlight w:val="none"/>
                <w:shd w:val="clear" w:color="auto" w:fill="auto"/>
              </w:rPr>
              <w:t>1</w:t>
            </w:r>
          </w:p>
        </w:tc>
        <w:tc>
          <w:tcPr>
            <w:tcW w:w="5797" w:type="dxa"/>
            <w:noWrap w:val="0"/>
            <w:vAlign w:val="center"/>
          </w:tcPr>
          <w:p>
            <w:pPr>
              <w:snapToGrid w:val="0"/>
              <w:rPr>
                <w:rFonts w:hint="eastAsia" w:ascii="仿宋" w:hAnsi="仿宋" w:eastAsia="仿宋" w:cs="仿宋"/>
                <w:bCs/>
                <w:color w:val="auto"/>
                <w:kern w:val="0"/>
                <w:sz w:val="24"/>
                <w:highlight w:val="none"/>
              </w:rPr>
            </w:pPr>
            <w:r>
              <w:rPr>
                <w:rFonts w:hint="eastAsia" w:ascii="仿宋" w:hAnsi="仿宋" w:eastAsia="仿宋" w:cs="仿宋"/>
                <w:b w:val="0"/>
                <w:bCs/>
                <w:color w:val="auto"/>
                <w:kern w:val="0"/>
                <w:sz w:val="24"/>
                <w:szCs w:val="24"/>
                <w:highlight w:val="none"/>
                <w:shd w:val="clear" w:color="auto" w:fill="auto"/>
                <w:lang w:val="en-US" w:eastAsia="zh-CN"/>
              </w:rPr>
              <w:t>投标人资信能力评价</w:t>
            </w:r>
          </w:p>
        </w:tc>
        <w:tc>
          <w:tcPr>
            <w:tcW w:w="1080"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892" w:type="dxa"/>
            <w:noWrap w:val="0"/>
            <w:vAlign w:val="center"/>
          </w:tcPr>
          <w:p>
            <w:pPr>
              <w:adjustRightInd w:val="0"/>
              <w:snapToGrid w:val="0"/>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w:t>
            </w:r>
          </w:p>
        </w:tc>
        <w:tc>
          <w:tcPr>
            <w:tcW w:w="1485" w:type="dxa"/>
            <w:noWrap w:val="0"/>
            <w:vAlign w:val="center"/>
          </w:tcPr>
          <w:p>
            <w:pPr>
              <w:adjustRightInd w:val="0"/>
              <w:snapToGrid w:val="0"/>
              <w:jc w:val="center"/>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shd w:val="clear" w:color="auto" w:fill="auto"/>
              </w:rPr>
              <w:t>1.1</w:t>
            </w:r>
          </w:p>
        </w:tc>
        <w:tc>
          <w:tcPr>
            <w:tcW w:w="5797" w:type="dxa"/>
            <w:noWrap w:val="0"/>
            <w:vAlign w:val="center"/>
          </w:tcPr>
          <w:p>
            <w:pPr>
              <w:snapToGrid w:val="0"/>
              <w:rPr>
                <w:rFonts w:hint="eastAsia" w:ascii="仿宋" w:hAnsi="仿宋" w:eastAsia="仿宋" w:cs="仿宋"/>
                <w:color w:val="auto"/>
                <w:kern w:val="0"/>
                <w:sz w:val="24"/>
                <w:szCs w:val="24"/>
                <w:highlight w:val="none"/>
                <w:shd w:val="clear" w:color="auto" w:fill="auto"/>
                <w:lang w:val="en-US"/>
              </w:rPr>
            </w:pPr>
            <w:r>
              <w:rPr>
                <w:rFonts w:hint="eastAsia" w:ascii="仿宋" w:hAnsi="仿宋" w:eastAsia="仿宋" w:cs="仿宋"/>
                <w:color w:val="auto"/>
                <w:kern w:val="0"/>
                <w:sz w:val="24"/>
                <w:szCs w:val="24"/>
                <w:highlight w:val="none"/>
                <w:shd w:val="clear" w:color="auto" w:fill="auto"/>
                <w:lang w:val="en-US" w:eastAsia="zh-CN"/>
              </w:rPr>
              <w:t>201</w:t>
            </w:r>
            <w:r>
              <w:rPr>
                <w:rFonts w:hint="eastAsia" w:ascii="仿宋" w:hAnsi="仿宋" w:eastAsia="仿宋" w:cs="仿宋"/>
                <w:color w:val="auto"/>
                <w:kern w:val="0"/>
                <w:sz w:val="24"/>
                <w:szCs w:val="24"/>
                <w:highlight w:val="none"/>
                <w:shd w:val="clear" w:color="auto" w:fill="auto"/>
                <w:lang w:val="en" w:eastAsia="zh-CN"/>
              </w:rPr>
              <w:t>9</w:t>
            </w:r>
            <w:r>
              <w:rPr>
                <w:rFonts w:hint="eastAsia" w:ascii="仿宋" w:hAnsi="仿宋" w:eastAsia="仿宋" w:cs="仿宋"/>
                <w:color w:val="auto"/>
                <w:kern w:val="0"/>
                <w:sz w:val="24"/>
                <w:szCs w:val="24"/>
                <w:highlight w:val="none"/>
                <w:shd w:val="clear" w:color="auto" w:fill="auto"/>
                <w:lang w:val="en-US" w:eastAsia="zh-CN"/>
              </w:rPr>
              <w:t>年1月1日以来（以合同签署时间为准），投标人承接</w:t>
            </w:r>
            <w:r>
              <w:rPr>
                <w:rFonts w:hint="eastAsia" w:ascii="仿宋" w:hAnsi="仿宋" w:eastAsia="仿宋" w:cs="仿宋"/>
                <w:color w:val="auto"/>
                <w:kern w:val="0"/>
                <w:sz w:val="24"/>
                <w:szCs w:val="24"/>
                <w:highlight w:val="none"/>
                <w:shd w:val="clear" w:color="auto" w:fill="auto"/>
                <w:lang w:val="en-US"/>
              </w:rPr>
              <w:t>的</w:t>
            </w:r>
            <w:r>
              <w:rPr>
                <w:rFonts w:hint="eastAsia" w:ascii="仿宋" w:hAnsi="仿宋" w:eastAsia="仿宋" w:cs="仿宋"/>
                <w:color w:val="auto"/>
                <w:kern w:val="0"/>
                <w:sz w:val="24"/>
                <w:szCs w:val="24"/>
                <w:highlight w:val="none"/>
                <w:shd w:val="clear" w:color="auto" w:fill="auto"/>
                <w:lang w:val="en-US" w:eastAsia="zh-CN"/>
              </w:rPr>
              <w:t>类似</w:t>
            </w:r>
            <w:r>
              <w:rPr>
                <w:rFonts w:hint="eastAsia" w:ascii="仿宋" w:hAnsi="仿宋" w:eastAsia="仿宋" w:cs="仿宋"/>
                <w:color w:val="auto"/>
                <w:kern w:val="0"/>
                <w:sz w:val="24"/>
                <w:szCs w:val="24"/>
                <w:highlight w:val="none"/>
                <w:shd w:val="clear" w:color="auto" w:fill="auto"/>
                <w:lang w:val="en-US"/>
              </w:rPr>
              <w:t>项目，每提供1例得</w:t>
            </w:r>
            <w:r>
              <w:rPr>
                <w:rFonts w:hint="eastAsia" w:ascii="仿宋" w:hAnsi="仿宋" w:eastAsia="仿宋" w:cs="仿宋"/>
                <w:color w:val="auto"/>
                <w:kern w:val="0"/>
                <w:sz w:val="24"/>
                <w:szCs w:val="24"/>
                <w:highlight w:val="none"/>
                <w:shd w:val="clear" w:color="auto" w:fill="auto"/>
                <w:lang w:val="en-US" w:eastAsia="zh-CN"/>
              </w:rPr>
              <w:t>1</w:t>
            </w:r>
            <w:r>
              <w:rPr>
                <w:rFonts w:hint="eastAsia" w:ascii="仿宋" w:hAnsi="仿宋" w:eastAsia="仿宋" w:cs="仿宋"/>
                <w:color w:val="auto"/>
                <w:kern w:val="0"/>
                <w:sz w:val="24"/>
                <w:szCs w:val="24"/>
                <w:highlight w:val="none"/>
                <w:shd w:val="clear" w:color="auto" w:fill="auto"/>
                <w:lang w:val="en-US"/>
              </w:rPr>
              <w:t>分，最高得</w:t>
            </w:r>
            <w:r>
              <w:rPr>
                <w:rFonts w:hint="eastAsia" w:ascii="仿宋" w:hAnsi="仿宋" w:eastAsia="仿宋" w:cs="仿宋"/>
                <w:color w:val="auto"/>
                <w:kern w:val="0"/>
                <w:sz w:val="24"/>
                <w:szCs w:val="24"/>
                <w:highlight w:val="none"/>
                <w:shd w:val="clear" w:color="auto" w:fill="auto"/>
                <w:lang w:val="en-US" w:eastAsia="zh-CN"/>
              </w:rPr>
              <w:t>3</w:t>
            </w:r>
            <w:r>
              <w:rPr>
                <w:rFonts w:hint="eastAsia" w:ascii="仿宋" w:hAnsi="仿宋" w:eastAsia="仿宋" w:cs="仿宋"/>
                <w:color w:val="auto"/>
                <w:kern w:val="0"/>
                <w:sz w:val="24"/>
                <w:szCs w:val="24"/>
                <w:highlight w:val="none"/>
                <w:shd w:val="clear" w:color="auto" w:fill="auto"/>
                <w:lang w:val="en-US"/>
              </w:rPr>
              <w:t>分</w:t>
            </w:r>
          </w:p>
          <w:p>
            <w:pPr>
              <w:snapToGrid w:val="0"/>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shd w:val="clear" w:color="auto" w:fill="auto"/>
                <w:lang w:val="en-US" w:eastAsia="zh-CN"/>
              </w:rPr>
              <w:t>说明：①类似项目系指</w:t>
            </w:r>
            <w:r>
              <w:rPr>
                <w:rFonts w:hint="eastAsia" w:ascii="仿宋" w:hAnsi="仿宋" w:eastAsia="仿宋" w:cs="仿宋"/>
                <w:color w:val="auto"/>
                <w:kern w:val="0"/>
                <w:sz w:val="24"/>
                <w:szCs w:val="24"/>
                <w:highlight w:val="none"/>
                <w:shd w:val="clear" w:color="auto" w:fill="auto"/>
                <w:lang w:val="en-US"/>
              </w:rPr>
              <w:t>公共图书馆供应图书</w:t>
            </w:r>
            <w:r>
              <w:rPr>
                <w:rFonts w:hint="eastAsia" w:ascii="仿宋" w:hAnsi="仿宋" w:eastAsia="仿宋" w:cs="仿宋"/>
                <w:color w:val="auto"/>
                <w:kern w:val="0"/>
                <w:sz w:val="24"/>
                <w:szCs w:val="24"/>
                <w:highlight w:val="none"/>
                <w:shd w:val="clear" w:color="auto" w:fill="auto"/>
                <w:lang w:val="en-US" w:eastAsia="zh-CN"/>
              </w:rPr>
              <w:t>；②</w:t>
            </w:r>
            <w:r>
              <w:rPr>
                <w:rFonts w:hint="eastAsia" w:ascii="仿宋" w:hAnsi="仿宋" w:eastAsia="仿宋" w:cs="仿宋"/>
                <w:color w:val="auto"/>
                <w:kern w:val="0"/>
                <w:sz w:val="24"/>
                <w:szCs w:val="24"/>
                <w:highlight w:val="none"/>
                <w:shd w:val="clear" w:color="auto" w:fill="auto"/>
                <w:lang w:val="en-US"/>
              </w:rPr>
              <w:t>提供此类项目合同复印件或中标证明。</w:t>
            </w:r>
          </w:p>
        </w:tc>
        <w:tc>
          <w:tcPr>
            <w:tcW w:w="1080"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892"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shd w:val="clear" w:color="auto" w:fill="auto"/>
                <w:lang w:val="en-US" w:eastAsia="zh-CN"/>
              </w:rPr>
              <w:t>1.2</w:t>
            </w:r>
          </w:p>
        </w:tc>
        <w:tc>
          <w:tcPr>
            <w:tcW w:w="5797" w:type="dxa"/>
            <w:noWrap w:val="0"/>
            <w:vAlign w:val="center"/>
          </w:tcPr>
          <w:p>
            <w:pPr>
              <w:snapToGrid w:val="0"/>
              <w:rPr>
                <w:rFonts w:hint="eastAsia" w:ascii="仿宋" w:hAnsi="仿宋" w:eastAsia="仿宋" w:cs="仿宋"/>
                <w:color w:val="auto"/>
                <w:kern w:val="0"/>
                <w:sz w:val="24"/>
                <w:szCs w:val="24"/>
                <w:highlight w:val="none"/>
                <w:shd w:val="clear" w:color="auto" w:fill="auto"/>
                <w:lang w:val="en-US"/>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val="en-US" w:eastAsia="zh-CN"/>
              </w:rPr>
              <w:t>有有效的</w:t>
            </w:r>
            <w:r>
              <w:rPr>
                <w:rFonts w:hint="eastAsia" w:ascii="仿宋" w:hAnsi="仿宋" w:eastAsia="仿宋" w:cs="仿宋"/>
                <w:color w:val="auto"/>
                <w:sz w:val="24"/>
                <w:highlight w:val="none"/>
              </w:rPr>
              <w:t>质量管理体系、环境</w:t>
            </w:r>
            <w:r>
              <w:rPr>
                <w:rFonts w:hint="eastAsia" w:ascii="仿宋" w:hAnsi="仿宋" w:eastAsia="仿宋" w:cs="仿宋"/>
                <w:color w:val="auto"/>
                <w:sz w:val="24"/>
                <w:highlight w:val="none"/>
                <w:lang w:val="en-US" w:eastAsia="zh-CN"/>
              </w:rPr>
              <w:t>管理体系</w:t>
            </w:r>
            <w:r>
              <w:rPr>
                <w:rFonts w:hint="eastAsia" w:ascii="仿宋" w:hAnsi="仿宋" w:eastAsia="仿宋" w:cs="仿宋"/>
                <w:color w:val="auto"/>
                <w:sz w:val="24"/>
                <w:highlight w:val="none"/>
              </w:rPr>
              <w:t>认证、</w:t>
            </w:r>
            <w:r>
              <w:rPr>
                <w:rFonts w:hint="eastAsia" w:ascii="仿宋" w:hAnsi="仿宋" w:eastAsia="仿宋" w:cs="仿宋"/>
                <w:color w:val="auto"/>
                <w:sz w:val="24"/>
                <w:highlight w:val="none"/>
                <w:lang w:val="en-US" w:eastAsia="zh-CN"/>
              </w:rPr>
              <w:t>中国</w:t>
            </w:r>
            <w:r>
              <w:rPr>
                <w:rFonts w:hint="eastAsia" w:ascii="仿宋" w:hAnsi="仿宋" w:eastAsia="仿宋" w:cs="仿宋"/>
                <w:color w:val="auto"/>
                <w:sz w:val="24"/>
                <w:highlight w:val="none"/>
              </w:rPr>
              <w:t>职业健康安全管理体系认证</w:t>
            </w:r>
            <w:r>
              <w:rPr>
                <w:rFonts w:hint="eastAsia" w:ascii="仿宋" w:hAnsi="仿宋" w:eastAsia="仿宋" w:cs="仿宋"/>
                <w:color w:val="auto"/>
                <w:kern w:val="0"/>
                <w:sz w:val="24"/>
                <w:szCs w:val="24"/>
                <w:highlight w:val="none"/>
                <w:shd w:val="clear" w:color="auto" w:fill="auto"/>
                <w:lang w:val="en-US"/>
              </w:rPr>
              <w:t>的，每有一项得1分，最多得3分。</w:t>
            </w:r>
          </w:p>
          <w:p>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kern w:val="0"/>
                <w:sz w:val="24"/>
                <w:szCs w:val="24"/>
                <w:highlight w:val="none"/>
                <w:shd w:val="clear" w:color="auto" w:fill="auto"/>
                <w:lang w:val="en-US" w:eastAsia="zh-CN"/>
              </w:rPr>
              <w:t>说明：①提供证书的复印件或扫描件</w:t>
            </w:r>
            <w:r>
              <w:rPr>
                <w:rFonts w:hint="eastAsia" w:ascii="仿宋" w:hAnsi="仿宋" w:eastAsia="仿宋" w:cs="仿宋"/>
                <w:color w:val="auto"/>
                <w:kern w:val="0"/>
                <w:sz w:val="24"/>
                <w:szCs w:val="24"/>
                <w:highlight w:val="none"/>
                <w:shd w:val="clear" w:color="auto" w:fill="auto"/>
                <w:lang w:val="en-US"/>
              </w:rPr>
              <w:t>书</w:t>
            </w:r>
            <w:r>
              <w:rPr>
                <w:rFonts w:hint="eastAsia" w:ascii="仿宋" w:hAnsi="仿宋" w:eastAsia="仿宋" w:cs="仿宋"/>
                <w:color w:val="auto"/>
                <w:kern w:val="0"/>
                <w:sz w:val="24"/>
                <w:szCs w:val="24"/>
                <w:highlight w:val="none"/>
                <w:shd w:val="clear" w:color="auto" w:fill="auto"/>
                <w:lang w:val="en-US" w:eastAsia="zh-CN"/>
              </w:rPr>
              <w:t>；②证书在国家认证认可信息公共服务平台状态为有效</w:t>
            </w:r>
            <w:r>
              <w:rPr>
                <w:rFonts w:hint="eastAsia" w:ascii="仿宋" w:hAnsi="仿宋" w:eastAsia="仿宋" w:cs="仿宋"/>
                <w:color w:val="auto"/>
                <w:kern w:val="0"/>
                <w:sz w:val="24"/>
                <w:szCs w:val="24"/>
                <w:highlight w:val="none"/>
                <w:shd w:val="clear" w:color="auto" w:fill="auto"/>
                <w:lang w:val="en-US"/>
              </w:rPr>
              <w:t>。</w:t>
            </w:r>
          </w:p>
        </w:tc>
        <w:tc>
          <w:tcPr>
            <w:tcW w:w="1080"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892"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shd w:val="clear" w:color="auto" w:fill="auto"/>
                <w:lang w:val="en-US" w:eastAsia="zh-CN"/>
              </w:rPr>
              <w:t>2</w:t>
            </w:r>
          </w:p>
        </w:tc>
        <w:tc>
          <w:tcPr>
            <w:tcW w:w="5797" w:type="dxa"/>
            <w:noWrap w:val="0"/>
            <w:vAlign w:val="center"/>
          </w:tcPr>
          <w:p>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kern w:val="0"/>
                <w:sz w:val="24"/>
                <w:szCs w:val="24"/>
                <w:highlight w:val="none"/>
                <w:shd w:val="clear" w:color="auto" w:fill="auto"/>
                <w:lang w:val="en-US" w:eastAsia="zh-CN"/>
              </w:rPr>
              <w:t>项目团队情况。</w:t>
            </w:r>
            <w:r>
              <w:rPr>
                <w:rFonts w:hint="eastAsia" w:ascii="仿宋" w:hAnsi="仿宋" w:eastAsia="仿宋" w:cs="仿宋"/>
                <w:b w:val="0"/>
                <w:bCs/>
                <w:color w:val="auto"/>
                <w:kern w:val="0"/>
                <w:sz w:val="24"/>
                <w:szCs w:val="24"/>
                <w:highlight w:val="none"/>
                <w:shd w:val="clear" w:color="auto" w:fill="auto"/>
              </w:rPr>
              <w:t>项目团队成员需提供</w:t>
            </w:r>
            <w:r>
              <w:rPr>
                <w:rFonts w:hint="eastAsia" w:ascii="仿宋" w:hAnsi="仿宋" w:eastAsia="仿宋" w:cs="仿宋"/>
                <w:b w:val="0"/>
                <w:bCs/>
                <w:color w:val="auto"/>
                <w:kern w:val="0"/>
                <w:sz w:val="24"/>
                <w:szCs w:val="24"/>
                <w:highlight w:val="none"/>
                <w:shd w:val="clear" w:color="auto" w:fill="auto"/>
                <w:lang w:val="en-US" w:eastAsia="zh-CN"/>
              </w:rPr>
              <w:t>姓名、身份证号码，并提供距</w:t>
            </w:r>
            <w:r>
              <w:rPr>
                <w:rFonts w:hint="eastAsia" w:ascii="仿宋" w:hAnsi="仿宋" w:eastAsia="仿宋" w:cs="仿宋"/>
                <w:b w:val="0"/>
                <w:bCs/>
                <w:color w:val="auto"/>
                <w:kern w:val="0"/>
                <w:sz w:val="24"/>
                <w:szCs w:val="24"/>
                <w:highlight w:val="none"/>
                <w:shd w:val="clear" w:color="auto" w:fill="auto"/>
              </w:rPr>
              <w:t>投标截止时间最近3个月任意一个月的社保缴纳证明，否则</w:t>
            </w:r>
            <w:r>
              <w:rPr>
                <w:rFonts w:hint="eastAsia" w:ascii="仿宋" w:hAnsi="仿宋" w:eastAsia="仿宋" w:cs="仿宋"/>
                <w:b w:val="0"/>
                <w:bCs/>
                <w:color w:val="auto"/>
                <w:kern w:val="0"/>
                <w:sz w:val="24"/>
                <w:szCs w:val="24"/>
                <w:highlight w:val="none"/>
                <w:shd w:val="clear" w:color="auto" w:fill="auto"/>
                <w:lang w:val="en-US" w:eastAsia="zh-CN"/>
              </w:rPr>
              <w:t>评审时</w:t>
            </w:r>
            <w:r>
              <w:rPr>
                <w:rFonts w:hint="eastAsia" w:ascii="仿宋" w:hAnsi="仿宋" w:eastAsia="仿宋" w:cs="仿宋"/>
                <w:b w:val="0"/>
                <w:bCs/>
                <w:color w:val="auto"/>
                <w:kern w:val="0"/>
                <w:sz w:val="24"/>
                <w:szCs w:val="24"/>
                <w:highlight w:val="none"/>
                <w:shd w:val="clear" w:color="auto" w:fill="auto"/>
              </w:rPr>
              <w:t>人员</w:t>
            </w:r>
            <w:r>
              <w:rPr>
                <w:rFonts w:hint="eastAsia" w:ascii="仿宋" w:hAnsi="仿宋" w:eastAsia="仿宋" w:cs="仿宋"/>
                <w:b w:val="0"/>
                <w:bCs/>
                <w:color w:val="auto"/>
                <w:kern w:val="0"/>
                <w:sz w:val="24"/>
                <w:szCs w:val="24"/>
                <w:highlight w:val="none"/>
                <w:shd w:val="clear" w:color="auto" w:fill="auto"/>
                <w:lang w:val="en-US" w:eastAsia="zh-CN"/>
              </w:rPr>
              <w:t>不予认可。</w:t>
            </w:r>
            <w:r>
              <w:rPr>
                <w:rFonts w:hint="eastAsia" w:ascii="仿宋" w:hAnsi="仿宋" w:eastAsia="仿宋" w:cs="仿宋"/>
                <w:b w:val="0"/>
                <w:bCs/>
                <w:color w:val="auto"/>
                <w:kern w:val="0"/>
                <w:sz w:val="24"/>
                <w:szCs w:val="24"/>
                <w:highlight w:val="none"/>
                <w:shd w:val="clear" w:color="auto" w:fill="auto"/>
              </w:rPr>
              <w:t>如社保证明为网上打印，可只提供盖有电子章的打印页</w:t>
            </w:r>
          </w:p>
        </w:tc>
        <w:tc>
          <w:tcPr>
            <w:tcW w:w="1080" w:type="dxa"/>
            <w:noWrap w:val="0"/>
            <w:vAlign w:val="center"/>
          </w:tcPr>
          <w:p>
            <w:pPr>
              <w:adjustRightInd w:val="0"/>
              <w:snapToGrid w:val="0"/>
              <w:jc w:val="center"/>
              <w:rPr>
                <w:rFonts w:hint="eastAsia" w:ascii="仿宋" w:hAnsi="仿宋" w:eastAsia="宋体" w:cs="仿宋"/>
                <w:color w:val="auto"/>
                <w:sz w:val="24"/>
                <w:highlight w:val="none"/>
                <w:lang w:val="en-US" w:eastAsia="zh-CN"/>
              </w:rPr>
            </w:pPr>
            <w:r>
              <w:rPr>
                <w:rFonts w:hint="eastAsia"/>
                <w:highlight w:val="none"/>
                <w:lang w:val="en-US" w:eastAsia="zh-CN"/>
              </w:rPr>
              <w:t>/</w:t>
            </w:r>
          </w:p>
        </w:tc>
        <w:tc>
          <w:tcPr>
            <w:tcW w:w="892"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54" w:type="dxa"/>
            <w:noWrap w:val="0"/>
            <w:vAlign w:val="center"/>
          </w:tcPr>
          <w:p>
            <w:pPr>
              <w:adjustRightInd w:val="0"/>
              <w:snapToGrid w:val="0"/>
              <w:jc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24"/>
                <w:szCs w:val="24"/>
                <w:highlight w:val="none"/>
                <w:shd w:val="clear" w:color="auto" w:fill="auto"/>
                <w:lang w:val="en-US" w:eastAsia="zh-CN"/>
              </w:rPr>
              <w:t>2.1</w:t>
            </w:r>
          </w:p>
        </w:tc>
        <w:tc>
          <w:tcPr>
            <w:tcW w:w="5797" w:type="dxa"/>
            <w:noWrap w:val="0"/>
            <w:vAlign w:val="center"/>
          </w:tcPr>
          <w:p>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kern w:val="0"/>
                <w:sz w:val="24"/>
                <w:szCs w:val="24"/>
                <w:highlight w:val="none"/>
                <w:shd w:val="clear" w:color="auto" w:fill="auto"/>
                <w:lang w:val="en-US" w:eastAsia="zh-CN"/>
              </w:rPr>
              <w:t>项目负责人有中级及以上出版物发行员证书（证书可网上核验），满足得2分，不满足不得分</w:t>
            </w:r>
          </w:p>
        </w:tc>
        <w:tc>
          <w:tcPr>
            <w:tcW w:w="1080"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892"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54" w:type="dxa"/>
            <w:noWrap w:val="0"/>
            <w:vAlign w:val="center"/>
          </w:tcPr>
          <w:p>
            <w:pPr>
              <w:adjustRightInd w:val="0"/>
              <w:snapToGrid w:val="0"/>
              <w:jc w:val="center"/>
              <w:rPr>
                <w:rFonts w:hint="default"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2.2</w:t>
            </w:r>
          </w:p>
        </w:tc>
        <w:tc>
          <w:tcPr>
            <w:tcW w:w="5797" w:type="dxa"/>
            <w:noWrap w:val="0"/>
            <w:vAlign w:val="center"/>
          </w:tcPr>
          <w:p>
            <w:pPr>
              <w:snapToGrid w:val="0"/>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团队人员数量5人以上（不足10人）1分，10人以上（不足20人）2分，20人以上3分</w:t>
            </w:r>
          </w:p>
        </w:tc>
        <w:tc>
          <w:tcPr>
            <w:tcW w:w="1080"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892"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654" w:type="dxa"/>
            <w:noWrap w:val="0"/>
            <w:vAlign w:val="center"/>
          </w:tcPr>
          <w:p>
            <w:pPr>
              <w:adjustRightInd w:val="0"/>
              <w:snapToGrid w:val="0"/>
              <w:jc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24"/>
                <w:szCs w:val="24"/>
                <w:highlight w:val="none"/>
                <w:shd w:val="clear" w:color="auto" w:fill="auto"/>
                <w:lang w:val="en-US" w:eastAsia="zh-CN"/>
              </w:rPr>
              <w:t>2.3</w:t>
            </w:r>
          </w:p>
        </w:tc>
        <w:tc>
          <w:tcPr>
            <w:tcW w:w="5797" w:type="dxa"/>
            <w:noWrap w:val="0"/>
            <w:vAlign w:val="center"/>
          </w:tcPr>
          <w:p>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kern w:val="0"/>
                <w:sz w:val="24"/>
                <w:szCs w:val="24"/>
                <w:highlight w:val="none"/>
                <w:shd w:val="clear" w:color="auto" w:fill="auto"/>
                <w:lang w:val="en-US" w:eastAsia="zh-CN"/>
              </w:rPr>
              <w:t>除项目负责人外，项目团队成员中具有出版物发行员证书（证书可网上核验）的，每个得1分，最多3分；具有图书编目证书的（证书可网上核验），每个得1分，最多得3分</w:t>
            </w:r>
          </w:p>
        </w:tc>
        <w:tc>
          <w:tcPr>
            <w:tcW w:w="1080"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892"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54" w:type="dxa"/>
            <w:noWrap w:val="0"/>
            <w:vAlign w:val="center"/>
          </w:tcPr>
          <w:p>
            <w:pPr>
              <w:adjustRightInd w:val="0"/>
              <w:snapToGrid w:val="0"/>
              <w:jc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24"/>
                <w:szCs w:val="24"/>
                <w:highlight w:val="none"/>
                <w:shd w:val="clear" w:color="auto" w:fill="auto"/>
                <w:lang w:val="en-US" w:eastAsia="zh-CN"/>
              </w:rPr>
              <w:t>3</w:t>
            </w:r>
          </w:p>
        </w:tc>
        <w:tc>
          <w:tcPr>
            <w:tcW w:w="5797" w:type="dxa"/>
            <w:noWrap w:val="0"/>
            <w:vAlign w:val="center"/>
          </w:tcPr>
          <w:p>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kern w:val="0"/>
                <w:sz w:val="24"/>
                <w:szCs w:val="24"/>
                <w:highlight w:val="none"/>
                <w:shd w:val="clear" w:color="auto" w:fill="auto"/>
                <w:lang w:val="en-US" w:eastAsia="zh-CN"/>
              </w:rPr>
              <w:t>纸质图书采购渠道。有供书保障的各类出版社数量，超过300家（含）得5分；超过200家（含）不足300家得3分；超过100家（含）不足200家得1分，低于100家不得分。（提供合作的出版社清单，并承担真实有效的责任）</w:t>
            </w:r>
          </w:p>
        </w:tc>
        <w:tc>
          <w:tcPr>
            <w:tcW w:w="1080"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892" w:type="dxa"/>
            <w:noWrap w:val="0"/>
            <w:vAlign w:val="center"/>
          </w:tcPr>
          <w:p>
            <w:pPr>
              <w:adjustRightInd w:val="0"/>
              <w:snapToGrid w:val="0"/>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客观分</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54" w:type="dxa"/>
            <w:noWrap w:val="0"/>
            <w:vAlign w:val="center"/>
          </w:tcPr>
          <w:p>
            <w:pPr>
              <w:adjustRightInd w:val="0"/>
              <w:snapToGrid w:val="0"/>
              <w:jc w:val="center"/>
              <w:rPr>
                <w:rFonts w:hint="eastAsia" w:ascii="仿宋" w:hAnsi="仿宋" w:eastAsia="仿宋" w:cs="仿宋"/>
                <w:color w:val="auto"/>
                <w:sz w:val="16"/>
                <w:szCs w:val="16"/>
                <w:highlight w:val="none"/>
                <w:lang w:val="en-US" w:eastAsia="zh-CN"/>
              </w:rPr>
            </w:pPr>
            <w:r>
              <w:rPr>
                <w:rFonts w:hint="eastAsia" w:ascii="仿宋" w:hAnsi="仿宋" w:eastAsia="仿宋" w:cs="仿宋"/>
                <w:b w:val="0"/>
                <w:bCs/>
                <w:color w:val="auto"/>
                <w:sz w:val="24"/>
                <w:szCs w:val="24"/>
                <w:highlight w:val="none"/>
                <w:shd w:val="clear" w:color="auto" w:fill="auto"/>
                <w:lang w:val="en-US" w:eastAsia="zh-CN"/>
              </w:rPr>
              <w:t>4</w:t>
            </w:r>
          </w:p>
        </w:tc>
        <w:tc>
          <w:tcPr>
            <w:tcW w:w="5797" w:type="dxa"/>
            <w:noWrap w:val="0"/>
            <w:vAlign w:val="center"/>
          </w:tcPr>
          <w:p>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kern w:val="0"/>
                <w:sz w:val="24"/>
                <w:szCs w:val="24"/>
                <w:highlight w:val="none"/>
                <w:shd w:val="clear" w:color="auto" w:fill="auto"/>
                <w:lang w:val="en-US" w:eastAsia="zh-CN"/>
              </w:rPr>
              <w:t>图书采购方式。</w:t>
            </w:r>
          </w:p>
        </w:tc>
        <w:tc>
          <w:tcPr>
            <w:tcW w:w="1080"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892" w:type="dxa"/>
            <w:noWrap w:val="0"/>
            <w:vAlign w:val="center"/>
          </w:tcPr>
          <w:p>
            <w:pPr>
              <w:adjustRightInd w:val="0"/>
              <w:snapToGrid w:val="0"/>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54" w:type="dxa"/>
            <w:noWrap w:val="0"/>
            <w:vAlign w:val="center"/>
          </w:tcPr>
          <w:p>
            <w:pPr>
              <w:adjustRightInd w:val="0"/>
              <w:snapToGrid w:val="0"/>
              <w:jc w:val="center"/>
              <w:rPr>
                <w:rFonts w:hint="default" w:ascii="仿宋" w:hAnsi="仿宋" w:eastAsia="仿宋" w:cs="仿宋"/>
                <w:b w:val="0"/>
                <w:bCs/>
                <w:color w:val="auto"/>
                <w:sz w:val="24"/>
                <w:szCs w:val="24"/>
                <w:highlight w:val="none"/>
                <w:shd w:val="clear" w:color="auto" w:fill="auto"/>
                <w:lang w:val="en-US" w:eastAsia="zh-CN"/>
              </w:rPr>
            </w:pPr>
            <w:r>
              <w:rPr>
                <w:rFonts w:hint="eastAsia" w:ascii="仿宋" w:hAnsi="仿宋" w:eastAsia="仿宋" w:cs="仿宋"/>
                <w:b w:val="0"/>
                <w:bCs/>
                <w:color w:val="auto"/>
                <w:sz w:val="24"/>
                <w:szCs w:val="24"/>
                <w:highlight w:val="none"/>
                <w:shd w:val="clear" w:color="auto" w:fill="auto"/>
                <w:lang w:val="en-US" w:eastAsia="zh-CN"/>
              </w:rPr>
              <w:t>4.1</w:t>
            </w:r>
          </w:p>
        </w:tc>
        <w:tc>
          <w:tcPr>
            <w:tcW w:w="5797" w:type="dxa"/>
            <w:noWrap w:val="0"/>
            <w:vAlign w:val="center"/>
          </w:tcPr>
          <w:p>
            <w:pPr>
              <w:snapToGrid w:val="0"/>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rPr>
              <w:t>能提供图书现采服务(需</w:t>
            </w:r>
            <w:r>
              <w:rPr>
                <w:rFonts w:hint="eastAsia" w:ascii="仿宋" w:hAnsi="仿宋" w:eastAsia="仿宋" w:cs="仿宋"/>
                <w:color w:val="auto"/>
                <w:kern w:val="0"/>
                <w:sz w:val="24"/>
                <w:szCs w:val="24"/>
                <w:highlight w:val="none"/>
                <w:shd w:val="clear" w:color="auto" w:fill="auto"/>
                <w:lang w:val="en-US" w:eastAsia="zh-CN"/>
              </w:rPr>
              <w:t>提供现采服务现场</w:t>
            </w:r>
            <w:r>
              <w:rPr>
                <w:rFonts w:hint="eastAsia" w:ascii="仿宋" w:hAnsi="仿宋" w:eastAsia="仿宋" w:cs="仿宋"/>
                <w:color w:val="auto"/>
                <w:kern w:val="0"/>
                <w:sz w:val="24"/>
                <w:szCs w:val="24"/>
                <w:highlight w:val="none"/>
                <w:shd w:val="clear" w:color="auto" w:fill="auto"/>
                <w:lang w:val="en-US"/>
              </w:rPr>
              <w:t>照片)</w:t>
            </w:r>
            <w:r>
              <w:rPr>
                <w:rFonts w:hint="eastAsia" w:ascii="仿宋" w:hAnsi="仿宋" w:eastAsia="仿宋" w:cs="仿宋"/>
                <w:color w:val="auto"/>
                <w:kern w:val="0"/>
                <w:sz w:val="24"/>
                <w:szCs w:val="24"/>
                <w:highlight w:val="none"/>
                <w:shd w:val="clear" w:color="auto" w:fill="auto"/>
                <w:lang w:val="en-US" w:eastAsia="zh-CN"/>
              </w:rPr>
              <w:t>的</w:t>
            </w:r>
            <w:r>
              <w:rPr>
                <w:rFonts w:hint="eastAsia" w:ascii="仿宋" w:hAnsi="仿宋" w:eastAsia="仿宋" w:cs="仿宋"/>
                <w:color w:val="auto"/>
                <w:kern w:val="0"/>
                <w:sz w:val="24"/>
                <w:szCs w:val="24"/>
                <w:highlight w:val="none"/>
                <w:shd w:val="clear" w:color="auto" w:fill="auto"/>
                <w:lang w:val="en-US"/>
              </w:rPr>
              <w:t>得</w:t>
            </w:r>
            <w:r>
              <w:rPr>
                <w:rFonts w:hint="eastAsia" w:ascii="仿宋" w:hAnsi="仿宋" w:eastAsia="仿宋" w:cs="仿宋"/>
                <w:color w:val="auto"/>
                <w:kern w:val="0"/>
                <w:sz w:val="24"/>
                <w:szCs w:val="24"/>
                <w:highlight w:val="none"/>
                <w:shd w:val="clear" w:color="auto" w:fill="auto"/>
                <w:lang w:val="en-US" w:eastAsia="zh-CN"/>
              </w:rPr>
              <w:t>5</w:t>
            </w:r>
            <w:r>
              <w:rPr>
                <w:rFonts w:hint="eastAsia" w:ascii="仿宋" w:hAnsi="仿宋" w:eastAsia="仿宋" w:cs="仿宋"/>
                <w:color w:val="auto"/>
                <w:kern w:val="0"/>
                <w:sz w:val="24"/>
                <w:szCs w:val="24"/>
                <w:highlight w:val="none"/>
                <w:shd w:val="clear" w:color="auto" w:fill="auto"/>
                <w:lang w:val="en-US"/>
              </w:rPr>
              <w:t>分</w:t>
            </w:r>
          </w:p>
        </w:tc>
        <w:tc>
          <w:tcPr>
            <w:tcW w:w="1080"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892" w:type="dxa"/>
            <w:noWrap w:val="0"/>
            <w:vAlign w:val="center"/>
          </w:tcPr>
          <w:p>
            <w:pPr>
              <w:adjustRightInd w:val="0"/>
              <w:snapToGrid w:val="0"/>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客观分</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54" w:type="dxa"/>
            <w:noWrap w:val="0"/>
            <w:vAlign w:val="center"/>
          </w:tcPr>
          <w:p>
            <w:pPr>
              <w:adjustRightInd w:val="0"/>
              <w:snapToGrid w:val="0"/>
              <w:jc w:val="center"/>
              <w:rPr>
                <w:rFonts w:hint="default" w:ascii="仿宋" w:hAnsi="仿宋" w:eastAsia="仿宋" w:cs="仿宋"/>
                <w:b w:val="0"/>
                <w:bCs/>
                <w:color w:val="auto"/>
                <w:sz w:val="24"/>
                <w:szCs w:val="24"/>
                <w:highlight w:val="none"/>
                <w:shd w:val="clear" w:color="auto" w:fill="auto"/>
                <w:lang w:val="en-US" w:eastAsia="zh-CN"/>
              </w:rPr>
            </w:pPr>
            <w:r>
              <w:rPr>
                <w:rFonts w:hint="eastAsia" w:ascii="仿宋" w:hAnsi="仿宋" w:eastAsia="仿宋" w:cs="仿宋"/>
                <w:b w:val="0"/>
                <w:bCs/>
                <w:color w:val="auto"/>
                <w:sz w:val="24"/>
                <w:szCs w:val="24"/>
                <w:highlight w:val="none"/>
                <w:shd w:val="clear" w:color="auto" w:fill="auto"/>
                <w:lang w:val="en-US" w:eastAsia="zh-CN"/>
              </w:rPr>
              <w:t>4.2</w:t>
            </w:r>
          </w:p>
        </w:tc>
        <w:tc>
          <w:tcPr>
            <w:tcW w:w="5797" w:type="dxa"/>
            <w:noWrap w:val="0"/>
            <w:vAlign w:val="center"/>
          </w:tcPr>
          <w:p>
            <w:pPr>
              <w:snapToGrid w:val="0"/>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有公共图书馆网上借书悦借服务平台的，得2分（需提供网站截屏；可实现类似服务内容即可）</w:t>
            </w:r>
          </w:p>
        </w:tc>
        <w:tc>
          <w:tcPr>
            <w:tcW w:w="1080"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892" w:type="dxa"/>
            <w:noWrap w:val="0"/>
            <w:vAlign w:val="center"/>
          </w:tcPr>
          <w:p>
            <w:pPr>
              <w:adjustRightInd w:val="0"/>
              <w:snapToGrid w:val="0"/>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客观分</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54" w:type="dxa"/>
            <w:noWrap w:val="0"/>
            <w:vAlign w:val="center"/>
          </w:tcPr>
          <w:p>
            <w:pPr>
              <w:adjustRightInd w:val="0"/>
              <w:snapToGrid w:val="0"/>
              <w:jc w:val="center"/>
              <w:rPr>
                <w:rFonts w:hint="default" w:ascii="仿宋" w:hAnsi="仿宋" w:eastAsia="仿宋" w:cs="仿宋"/>
                <w:b w:val="0"/>
                <w:bCs/>
                <w:color w:val="auto"/>
                <w:sz w:val="24"/>
                <w:szCs w:val="24"/>
                <w:highlight w:val="none"/>
                <w:shd w:val="clear" w:color="auto" w:fill="auto"/>
                <w:lang w:val="en-US" w:eastAsia="zh-CN"/>
              </w:rPr>
            </w:pPr>
            <w:r>
              <w:rPr>
                <w:rFonts w:hint="eastAsia" w:ascii="仿宋" w:hAnsi="仿宋" w:eastAsia="仿宋" w:cs="仿宋"/>
                <w:b w:val="0"/>
                <w:bCs/>
                <w:color w:val="auto"/>
                <w:sz w:val="24"/>
                <w:szCs w:val="24"/>
                <w:highlight w:val="none"/>
                <w:shd w:val="clear" w:color="auto" w:fill="auto"/>
                <w:lang w:val="en-US" w:eastAsia="zh-CN"/>
              </w:rPr>
              <w:t>4.3</w:t>
            </w:r>
          </w:p>
        </w:tc>
        <w:tc>
          <w:tcPr>
            <w:tcW w:w="5797" w:type="dxa"/>
            <w:noWrap w:val="0"/>
            <w:vAlign w:val="center"/>
          </w:tcPr>
          <w:p>
            <w:pPr>
              <w:snapToGrid w:val="0"/>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能提供杭州市“一键借阅”平台线上借书服务，得3分（服务证明、服务评价等作为证明材料）</w:t>
            </w:r>
          </w:p>
        </w:tc>
        <w:tc>
          <w:tcPr>
            <w:tcW w:w="1080"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892" w:type="dxa"/>
            <w:noWrap w:val="0"/>
            <w:vAlign w:val="center"/>
          </w:tcPr>
          <w:p>
            <w:pPr>
              <w:adjustRightInd w:val="0"/>
              <w:snapToGrid w:val="0"/>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客观分</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54"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shd w:val="clear" w:color="auto" w:fill="auto"/>
                <w:lang w:val="en-US" w:eastAsia="zh-CN"/>
              </w:rPr>
              <w:t>5</w:t>
            </w:r>
          </w:p>
        </w:tc>
        <w:tc>
          <w:tcPr>
            <w:tcW w:w="5797" w:type="dxa"/>
            <w:noWrap w:val="0"/>
            <w:vAlign w:val="center"/>
          </w:tcPr>
          <w:p>
            <w:pPr>
              <w:snapToGrid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shd w:val="clear" w:color="auto" w:fill="auto"/>
                <w:lang w:val="en-US"/>
              </w:rPr>
              <w:t>图书质量</w:t>
            </w:r>
            <w:r>
              <w:rPr>
                <w:rFonts w:hint="eastAsia" w:ascii="仿宋" w:hAnsi="仿宋" w:eastAsia="仿宋" w:cs="仿宋"/>
                <w:color w:val="auto"/>
                <w:kern w:val="0"/>
                <w:sz w:val="24"/>
                <w:szCs w:val="24"/>
                <w:highlight w:val="none"/>
                <w:shd w:val="clear" w:color="auto" w:fill="auto"/>
                <w:lang w:val="en-US" w:eastAsia="zh-CN"/>
              </w:rPr>
              <w:t>情况</w:t>
            </w:r>
          </w:p>
        </w:tc>
        <w:tc>
          <w:tcPr>
            <w:tcW w:w="1080" w:type="dxa"/>
            <w:noWrap w:val="0"/>
            <w:vAlign w:val="center"/>
          </w:tcPr>
          <w:p>
            <w:pPr>
              <w:adjustRightInd w:val="0"/>
              <w:snapToGrid w:val="0"/>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w:t>
            </w:r>
          </w:p>
        </w:tc>
        <w:tc>
          <w:tcPr>
            <w:tcW w:w="892" w:type="dxa"/>
            <w:noWrap w:val="0"/>
            <w:vAlign w:val="center"/>
          </w:tcPr>
          <w:p>
            <w:pPr>
              <w:adjustRightInd w:val="0"/>
              <w:snapToGrid w:val="0"/>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54"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shd w:val="clear" w:color="auto" w:fill="auto"/>
                <w:lang w:val="en-US" w:eastAsia="zh-CN"/>
              </w:rPr>
              <w:t>5.1</w:t>
            </w:r>
          </w:p>
        </w:tc>
        <w:tc>
          <w:tcPr>
            <w:tcW w:w="5797" w:type="dxa"/>
            <w:noWrap w:val="0"/>
            <w:vAlign w:val="center"/>
          </w:tcPr>
          <w:p>
            <w:pPr>
              <w:snapToGrid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shd w:val="clear" w:color="auto" w:fill="auto"/>
                <w:lang w:val="en-US" w:eastAsia="zh-CN"/>
              </w:rPr>
              <w:t>承诺所供图书为正式出版物得2分</w:t>
            </w:r>
          </w:p>
        </w:tc>
        <w:tc>
          <w:tcPr>
            <w:tcW w:w="1080" w:type="dxa"/>
            <w:noWrap w:val="0"/>
            <w:vAlign w:val="center"/>
          </w:tcPr>
          <w:p>
            <w:pPr>
              <w:adjustRightInd w:val="0"/>
              <w:snapToGrid w:val="0"/>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w:t>
            </w:r>
          </w:p>
        </w:tc>
        <w:tc>
          <w:tcPr>
            <w:tcW w:w="892" w:type="dxa"/>
            <w:noWrap w:val="0"/>
            <w:vAlign w:val="center"/>
          </w:tcPr>
          <w:p>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客观分</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54"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shd w:val="clear" w:color="auto" w:fill="auto"/>
                <w:lang w:val="en-US" w:eastAsia="zh-CN"/>
              </w:rPr>
              <w:t>5.2</w:t>
            </w:r>
          </w:p>
        </w:tc>
        <w:tc>
          <w:tcPr>
            <w:tcW w:w="5797" w:type="dxa"/>
            <w:noWrap w:val="0"/>
            <w:vAlign w:val="center"/>
          </w:tcPr>
          <w:p>
            <w:pPr>
              <w:snapToGrid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shd w:val="clear" w:color="auto" w:fill="auto"/>
                <w:lang w:val="en-US" w:eastAsia="zh-CN"/>
              </w:rPr>
              <w:t>承诺无污染破损得2分</w:t>
            </w:r>
          </w:p>
        </w:tc>
        <w:tc>
          <w:tcPr>
            <w:tcW w:w="1080" w:type="dxa"/>
            <w:noWrap w:val="0"/>
            <w:vAlign w:val="center"/>
          </w:tcPr>
          <w:p>
            <w:pPr>
              <w:adjustRightInd w:val="0"/>
              <w:snapToGrid w:val="0"/>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w:t>
            </w:r>
          </w:p>
        </w:tc>
        <w:tc>
          <w:tcPr>
            <w:tcW w:w="892" w:type="dxa"/>
            <w:noWrap w:val="0"/>
            <w:vAlign w:val="center"/>
          </w:tcPr>
          <w:p>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客观分</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54"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b w:val="0"/>
                <w:bCs/>
                <w:color w:val="auto"/>
                <w:sz w:val="24"/>
                <w:szCs w:val="24"/>
                <w:highlight w:val="none"/>
                <w:shd w:val="clear" w:color="auto" w:fill="auto"/>
                <w:lang w:val="en-US" w:eastAsia="zh-CN"/>
              </w:rPr>
              <w:t>5.3</w:t>
            </w:r>
          </w:p>
        </w:tc>
        <w:tc>
          <w:tcPr>
            <w:tcW w:w="5797" w:type="dxa"/>
            <w:noWrap w:val="0"/>
            <w:vAlign w:val="center"/>
          </w:tcPr>
          <w:p>
            <w:pPr>
              <w:snapToGrid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shd w:val="clear" w:color="auto" w:fill="auto"/>
                <w:lang w:val="en-US" w:eastAsia="zh-CN"/>
              </w:rPr>
              <w:t>承诺采访书目为当年全国的书目信息，完整准确得2分</w:t>
            </w:r>
          </w:p>
        </w:tc>
        <w:tc>
          <w:tcPr>
            <w:tcW w:w="1080" w:type="dxa"/>
            <w:noWrap w:val="0"/>
            <w:vAlign w:val="center"/>
          </w:tcPr>
          <w:p>
            <w:pPr>
              <w:adjustRightInd w:val="0"/>
              <w:snapToGrid w:val="0"/>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w:t>
            </w:r>
          </w:p>
        </w:tc>
        <w:tc>
          <w:tcPr>
            <w:tcW w:w="892" w:type="dxa"/>
            <w:noWrap w:val="0"/>
            <w:vAlign w:val="center"/>
          </w:tcPr>
          <w:p>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客观分</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b w:val="0"/>
                <w:bCs/>
                <w:color w:val="auto"/>
                <w:sz w:val="24"/>
                <w:szCs w:val="24"/>
                <w:highlight w:val="none"/>
                <w:shd w:val="clear" w:color="auto" w:fill="auto"/>
                <w:lang w:val="en-US" w:eastAsia="zh-CN"/>
              </w:rPr>
              <w:t>6</w:t>
            </w:r>
          </w:p>
        </w:tc>
        <w:tc>
          <w:tcPr>
            <w:tcW w:w="5797" w:type="dxa"/>
            <w:noWrap w:val="0"/>
            <w:vAlign w:val="center"/>
          </w:tcPr>
          <w:p>
            <w:pPr>
              <w:snapToGrid w:val="0"/>
              <w:rPr>
                <w:rFonts w:hint="eastAsia" w:ascii="仿宋" w:hAnsi="仿宋" w:eastAsia="仿宋" w:cs="仿宋"/>
                <w:color w:val="auto"/>
                <w:sz w:val="24"/>
                <w:highlight w:val="none"/>
                <w:lang w:eastAsia="zh-CN"/>
              </w:rPr>
            </w:pPr>
            <w:r>
              <w:rPr>
                <w:rFonts w:hint="eastAsia" w:ascii="仿宋" w:hAnsi="仿宋" w:eastAsia="仿宋" w:cs="仿宋"/>
                <w:color w:val="auto"/>
                <w:kern w:val="0"/>
                <w:sz w:val="24"/>
                <w:szCs w:val="24"/>
                <w:highlight w:val="none"/>
                <w:shd w:val="clear" w:color="auto" w:fill="auto"/>
                <w:lang w:val="en-US"/>
              </w:rPr>
              <w:t>编目数据质量</w:t>
            </w:r>
            <w:r>
              <w:rPr>
                <w:rFonts w:hint="eastAsia" w:ascii="仿宋" w:hAnsi="仿宋" w:eastAsia="仿宋" w:cs="仿宋"/>
                <w:color w:val="auto"/>
                <w:kern w:val="0"/>
                <w:sz w:val="24"/>
                <w:szCs w:val="24"/>
                <w:highlight w:val="none"/>
                <w:shd w:val="clear" w:color="auto" w:fill="auto"/>
                <w:lang w:val="en-US" w:eastAsia="zh-CN"/>
              </w:rPr>
              <w:t>情况</w:t>
            </w:r>
          </w:p>
        </w:tc>
        <w:tc>
          <w:tcPr>
            <w:tcW w:w="1080"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892" w:type="dxa"/>
            <w:noWrap w:val="0"/>
            <w:vAlign w:val="center"/>
          </w:tcPr>
          <w:p>
            <w:pPr>
              <w:adjustRightInd w:val="0"/>
              <w:snapToGrid w:val="0"/>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shd w:val="clear" w:color="auto" w:fill="auto"/>
                <w:lang w:val="en-US" w:eastAsia="zh-CN"/>
              </w:rPr>
              <w:t>6.1</w:t>
            </w:r>
          </w:p>
        </w:tc>
        <w:tc>
          <w:tcPr>
            <w:tcW w:w="5797" w:type="dxa"/>
            <w:noWrap w:val="0"/>
            <w:vAlign w:val="center"/>
          </w:tcPr>
          <w:p>
            <w:pPr>
              <w:snapToGrid w:val="0"/>
              <w:rPr>
                <w:rFonts w:hint="default" w:ascii="仿宋" w:hAnsi="仿宋" w:eastAsia="仿宋" w:cs="仿宋"/>
                <w:bCs/>
                <w:color w:val="auto"/>
                <w:sz w:val="24"/>
                <w:highlight w:val="none"/>
                <w:lang w:val="en-US" w:eastAsia="zh-CN"/>
              </w:rPr>
            </w:pPr>
            <w:r>
              <w:rPr>
                <w:rFonts w:hint="eastAsia" w:ascii="仿宋" w:hAnsi="仿宋" w:eastAsia="仿宋" w:cs="仿宋"/>
                <w:color w:val="auto"/>
                <w:kern w:val="0"/>
                <w:sz w:val="24"/>
                <w:szCs w:val="24"/>
                <w:highlight w:val="none"/>
                <w:shd w:val="clear" w:color="auto" w:fill="auto"/>
                <w:lang w:val="en-US" w:eastAsia="zh-CN"/>
              </w:rPr>
              <w:t>投标人确保编目数据质量的保障方案。根据方案完整性、与采购需求的匹配性进行评价。完整性、匹配性好得2分；完整性、匹配性一般得1分；其余不得分</w:t>
            </w:r>
          </w:p>
        </w:tc>
        <w:tc>
          <w:tcPr>
            <w:tcW w:w="1080"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892" w:type="dxa"/>
            <w:noWrap w:val="0"/>
            <w:vAlign w:val="center"/>
          </w:tcPr>
          <w:p>
            <w:pPr>
              <w:adjustRightInd w:val="0"/>
              <w:snapToGrid w:val="0"/>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主观分</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pPr>
              <w:adjustRightInd w:val="0"/>
              <w:snapToGrid w:val="0"/>
              <w:jc w:val="center"/>
              <w:rPr>
                <w:rFonts w:hint="default" w:ascii="仿宋" w:hAnsi="仿宋" w:eastAsia="仿宋" w:cs="仿宋"/>
                <w:color w:val="auto"/>
                <w:sz w:val="24"/>
                <w:highlight w:val="none"/>
                <w:lang w:val="en-US"/>
              </w:rPr>
            </w:pPr>
            <w:r>
              <w:rPr>
                <w:rFonts w:hint="eastAsia" w:ascii="仿宋" w:hAnsi="仿宋" w:eastAsia="仿宋" w:cs="仿宋"/>
                <w:color w:val="auto"/>
                <w:sz w:val="24"/>
                <w:szCs w:val="24"/>
                <w:highlight w:val="none"/>
                <w:shd w:val="clear" w:color="auto" w:fill="auto"/>
                <w:lang w:val="en-US" w:eastAsia="zh-CN"/>
              </w:rPr>
              <w:t>6.2</w:t>
            </w:r>
          </w:p>
        </w:tc>
        <w:tc>
          <w:tcPr>
            <w:tcW w:w="5797" w:type="dxa"/>
            <w:noWrap w:val="0"/>
            <w:vAlign w:val="center"/>
          </w:tcPr>
          <w:p>
            <w:pPr>
              <w:snapToGrid w:val="0"/>
              <w:rPr>
                <w:rFonts w:hint="eastAsia" w:ascii="仿宋" w:hAnsi="仿宋" w:eastAsia="仿宋" w:cs="仿宋"/>
                <w:bCs/>
                <w:color w:val="auto"/>
                <w:sz w:val="24"/>
                <w:highlight w:val="none"/>
                <w:lang w:val="en-US" w:eastAsia="zh-CN"/>
              </w:rPr>
            </w:pPr>
            <w:r>
              <w:rPr>
                <w:rFonts w:hint="eastAsia" w:ascii="仿宋" w:hAnsi="仿宋" w:eastAsia="仿宋" w:cs="仿宋"/>
                <w:color w:val="auto"/>
                <w:kern w:val="0"/>
                <w:sz w:val="24"/>
                <w:szCs w:val="24"/>
                <w:highlight w:val="none"/>
                <w:shd w:val="clear" w:color="auto" w:fill="auto"/>
                <w:lang w:val="en-US" w:eastAsia="zh-CN"/>
              </w:rPr>
              <w:t>与</w:t>
            </w:r>
            <w:r>
              <w:rPr>
                <w:rFonts w:hint="eastAsia" w:ascii="仿宋" w:hAnsi="仿宋" w:eastAsia="仿宋" w:cs="仿宋"/>
                <w:color w:val="auto"/>
                <w:kern w:val="0"/>
                <w:sz w:val="24"/>
                <w:szCs w:val="24"/>
                <w:highlight w:val="none"/>
                <w:shd w:val="clear" w:color="auto" w:fill="auto"/>
                <w:lang w:val="en-US"/>
              </w:rPr>
              <w:t>公共图书馆联网编目</w:t>
            </w:r>
            <w:r>
              <w:rPr>
                <w:rFonts w:hint="eastAsia" w:ascii="仿宋" w:hAnsi="仿宋" w:eastAsia="仿宋" w:cs="仿宋"/>
                <w:color w:val="auto"/>
                <w:kern w:val="0"/>
                <w:sz w:val="24"/>
                <w:szCs w:val="24"/>
                <w:highlight w:val="none"/>
                <w:shd w:val="clear" w:color="auto" w:fill="auto"/>
                <w:lang w:val="en-US" w:eastAsia="zh-CN"/>
              </w:rPr>
              <w:t>方案。根据方案完整性、可行性进行评价。完整性、可行性好得4分；完整性、可行性较好得3分；完整性、可行性一般得2分；有较大欠缺得1分；其余不得分</w:t>
            </w:r>
          </w:p>
        </w:tc>
        <w:tc>
          <w:tcPr>
            <w:tcW w:w="1080"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892" w:type="dxa"/>
            <w:noWrap w:val="0"/>
            <w:vAlign w:val="center"/>
          </w:tcPr>
          <w:p>
            <w:pPr>
              <w:adjustRightInd w:val="0"/>
              <w:snapToGrid w:val="0"/>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主观分</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54"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shd w:val="clear" w:color="auto" w:fill="auto"/>
                <w:lang w:val="en-US" w:eastAsia="zh-CN"/>
              </w:rPr>
              <w:t>7</w:t>
            </w:r>
          </w:p>
        </w:tc>
        <w:tc>
          <w:tcPr>
            <w:tcW w:w="5797" w:type="dxa"/>
            <w:noWrap w:val="0"/>
            <w:vAlign w:val="center"/>
          </w:tcPr>
          <w:p>
            <w:pPr>
              <w:snapToGrid w:val="0"/>
              <w:rPr>
                <w:rFonts w:hint="eastAsia" w:ascii="仿宋" w:hAnsi="仿宋" w:eastAsia="仿宋" w:cs="仿宋"/>
                <w:bCs/>
                <w:color w:val="auto"/>
                <w:sz w:val="24"/>
                <w:highlight w:val="none"/>
                <w:lang w:val="en-US" w:eastAsia="zh-CN"/>
              </w:rPr>
            </w:pPr>
            <w:r>
              <w:rPr>
                <w:rFonts w:hint="eastAsia" w:ascii="仿宋" w:hAnsi="仿宋" w:eastAsia="仿宋" w:cs="仿宋"/>
                <w:color w:val="auto"/>
                <w:kern w:val="0"/>
                <w:sz w:val="24"/>
                <w:szCs w:val="24"/>
                <w:highlight w:val="none"/>
                <w:shd w:val="clear" w:color="auto" w:fill="auto"/>
                <w:lang w:val="en-US" w:eastAsia="zh-CN"/>
              </w:rPr>
              <w:t>提供</w:t>
            </w:r>
            <w:r>
              <w:rPr>
                <w:rFonts w:hint="eastAsia" w:ascii="仿宋" w:hAnsi="仿宋" w:eastAsia="仿宋" w:cs="仿宋"/>
                <w:color w:val="auto"/>
                <w:kern w:val="0"/>
                <w:sz w:val="24"/>
                <w:szCs w:val="24"/>
                <w:highlight w:val="none"/>
                <w:shd w:val="clear" w:color="auto" w:fill="auto"/>
                <w:lang w:val="en-US"/>
              </w:rPr>
              <w:t>到书率</w:t>
            </w:r>
            <w:r>
              <w:rPr>
                <w:rFonts w:hint="eastAsia" w:ascii="仿宋" w:hAnsi="仿宋" w:eastAsia="仿宋" w:cs="仿宋"/>
                <w:color w:val="auto"/>
                <w:kern w:val="0"/>
                <w:sz w:val="24"/>
                <w:szCs w:val="24"/>
                <w:highlight w:val="none"/>
                <w:shd w:val="clear" w:color="auto" w:fill="auto"/>
                <w:lang w:val="en-US" w:eastAsia="zh-CN"/>
              </w:rPr>
              <w:t>保障方案。提供确保</w:t>
            </w:r>
            <w:r>
              <w:rPr>
                <w:rFonts w:hint="eastAsia" w:ascii="仿宋" w:hAnsi="仿宋" w:eastAsia="仿宋" w:cs="仿宋"/>
                <w:color w:val="auto"/>
                <w:kern w:val="0"/>
                <w:sz w:val="24"/>
                <w:szCs w:val="24"/>
                <w:highlight w:val="none"/>
                <w:shd w:val="clear" w:color="auto" w:fill="auto"/>
                <w:lang w:val="en-US"/>
              </w:rPr>
              <w:t>到书率</w:t>
            </w:r>
            <w:r>
              <w:rPr>
                <w:rFonts w:hint="eastAsia" w:ascii="仿宋" w:hAnsi="仿宋" w:eastAsia="仿宋" w:cs="仿宋"/>
                <w:color w:val="auto"/>
                <w:kern w:val="0"/>
                <w:sz w:val="24"/>
                <w:szCs w:val="24"/>
                <w:highlight w:val="none"/>
                <w:shd w:val="clear" w:color="auto" w:fill="auto"/>
                <w:lang w:val="en-US" w:eastAsia="zh-CN"/>
              </w:rPr>
              <w:t>98%以上的方案及相关措施，并确保可信度、可行性。完整性、可行性好得3分；完整性、可行性较好得2分；完整性、可行性一般得1分；其余不得分</w:t>
            </w:r>
          </w:p>
        </w:tc>
        <w:tc>
          <w:tcPr>
            <w:tcW w:w="1080" w:type="dxa"/>
            <w:noWrap w:val="0"/>
            <w:vAlign w:val="center"/>
          </w:tcPr>
          <w:p>
            <w:pPr>
              <w:adjustRightInd w:val="0"/>
              <w:snapToGrid w:val="0"/>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w:t>
            </w:r>
          </w:p>
        </w:tc>
        <w:tc>
          <w:tcPr>
            <w:tcW w:w="892" w:type="dxa"/>
            <w:noWrap w:val="0"/>
            <w:vAlign w:val="center"/>
          </w:tcPr>
          <w:p>
            <w:pPr>
              <w:adjustRightInd w:val="0"/>
              <w:snapToGrid w:val="0"/>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主观分</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shd w:val="clear" w:color="auto" w:fill="auto"/>
                <w:lang w:val="en-US" w:eastAsia="zh-CN"/>
              </w:rPr>
              <w:t>8</w:t>
            </w:r>
          </w:p>
        </w:tc>
        <w:tc>
          <w:tcPr>
            <w:tcW w:w="5797" w:type="dxa"/>
            <w:noWrap w:val="0"/>
            <w:vAlign w:val="center"/>
          </w:tcPr>
          <w:p>
            <w:pPr>
              <w:snapToGrid w:val="0"/>
              <w:rPr>
                <w:rFonts w:hint="eastAsia" w:ascii="仿宋" w:hAnsi="仿宋" w:eastAsia="仿宋" w:cs="仿宋"/>
                <w:bCs/>
                <w:color w:val="auto"/>
                <w:sz w:val="24"/>
                <w:highlight w:val="none"/>
                <w:lang w:val="en-US" w:eastAsia="zh-CN"/>
              </w:rPr>
            </w:pPr>
            <w:r>
              <w:rPr>
                <w:rFonts w:hint="eastAsia" w:ascii="仿宋" w:hAnsi="仿宋" w:eastAsia="仿宋" w:cs="仿宋"/>
                <w:color w:val="auto"/>
                <w:kern w:val="0"/>
                <w:sz w:val="24"/>
                <w:szCs w:val="24"/>
                <w:highlight w:val="none"/>
                <w:shd w:val="clear" w:color="auto" w:fill="auto"/>
                <w:lang w:val="en-US" w:eastAsia="zh-CN"/>
              </w:rPr>
              <w:t>根据</w:t>
            </w:r>
            <w:r>
              <w:rPr>
                <w:rFonts w:hint="eastAsia" w:ascii="仿宋" w:hAnsi="仿宋" w:eastAsia="仿宋" w:cs="仿宋"/>
                <w:color w:val="auto"/>
                <w:kern w:val="0"/>
                <w:sz w:val="24"/>
                <w:szCs w:val="24"/>
                <w:highlight w:val="none"/>
                <w:shd w:val="clear" w:color="auto" w:fill="auto"/>
                <w:lang w:val="en-US"/>
              </w:rPr>
              <w:t>图书</w:t>
            </w:r>
            <w:r>
              <w:rPr>
                <w:rFonts w:hint="eastAsia" w:ascii="仿宋" w:hAnsi="仿宋" w:eastAsia="仿宋" w:cs="仿宋"/>
                <w:color w:val="auto"/>
                <w:kern w:val="0"/>
                <w:sz w:val="24"/>
                <w:szCs w:val="24"/>
                <w:highlight w:val="none"/>
                <w:shd w:val="clear" w:color="auto" w:fill="auto"/>
                <w:lang w:val="en-US" w:eastAsia="zh-CN"/>
              </w:rPr>
              <w:t>加工细则及要求提供方案。完整性、可行性好得4分；完整性、可行性较好得3分；完整性、可行性一般得2分；有较大欠缺得1分；其余不得分</w:t>
            </w:r>
          </w:p>
        </w:tc>
        <w:tc>
          <w:tcPr>
            <w:tcW w:w="1080" w:type="dxa"/>
            <w:noWrap w:val="0"/>
            <w:vAlign w:val="center"/>
          </w:tcPr>
          <w:p>
            <w:pPr>
              <w:adjustRightInd w:val="0"/>
              <w:snapToGrid w:val="0"/>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w:t>
            </w:r>
          </w:p>
        </w:tc>
        <w:tc>
          <w:tcPr>
            <w:tcW w:w="892" w:type="dxa"/>
            <w:noWrap w:val="0"/>
            <w:vAlign w:val="center"/>
          </w:tcPr>
          <w:p>
            <w:pPr>
              <w:adjustRightInd w:val="0"/>
              <w:snapToGrid w:val="0"/>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主观分</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54" w:type="dxa"/>
            <w:noWrap w:val="0"/>
            <w:vAlign w:val="center"/>
          </w:tcPr>
          <w:p>
            <w:pPr>
              <w:adjustRightInd w:val="0"/>
              <w:snapToGrid w:val="0"/>
              <w:jc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24"/>
                <w:szCs w:val="24"/>
                <w:highlight w:val="none"/>
                <w:shd w:val="clear" w:color="auto" w:fill="auto"/>
                <w:lang w:val="en-US" w:eastAsia="zh-CN"/>
              </w:rPr>
              <w:t>9</w:t>
            </w:r>
          </w:p>
        </w:tc>
        <w:tc>
          <w:tcPr>
            <w:tcW w:w="5797" w:type="dxa"/>
            <w:noWrap w:val="0"/>
            <w:vAlign w:val="center"/>
          </w:tcPr>
          <w:p>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kern w:val="0"/>
                <w:sz w:val="24"/>
                <w:szCs w:val="24"/>
                <w:highlight w:val="none"/>
                <w:shd w:val="clear" w:color="auto" w:fill="auto"/>
                <w:lang w:val="en-US"/>
              </w:rPr>
              <w:t>对图书订单的处理</w:t>
            </w:r>
            <w:r>
              <w:rPr>
                <w:rFonts w:hint="eastAsia" w:ascii="仿宋" w:hAnsi="仿宋" w:eastAsia="仿宋" w:cs="仿宋"/>
                <w:color w:val="auto"/>
                <w:kern w:val="0"/>
                <w:sz w:val="24"/>
                <w:szCs w:val="24"/>
                <w:highlight w:val="none"/>
                <w:shd w:val="clear" w:color="auto" w:fill="auto"/>
                <w:lang w:val="en-US" w:eastAsia="zh-CN"/>
              </w:rPr>
              <w:t>及反馈方案</w:t>
            </w:r>
          </w:p>
        </w:tc>
        <w:tc>
          <w:tcPr>
            <w:tcW w:w="1080" w:type="dxa"/>
            <w:noWrap w:val="0"/>
            <w:vAlign w:val="center"/>
          </w:tcPr>
          <w:p>
            <w:pPr>
              <w:adjustRightInd w:val="0"/>
              <w:snapToGrid w:val="0"/>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w:t>
            </w:r>
          </w:p>
        </w:tc>
        <w:tc>
          <w:tcPr>
            <w:tcW w:w="892" w:type="dxa"/>
            <w:noWrap w:val="0"/>
            <w:vAlign w:val="center"/>
          </w:tcPr>
          <w:p>
            <w:pPr>
              <w:adjustRightInd w:val="0"/>
              <w:snapToGrid w:val="0"/>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54" w:type="dxa"/>
            <w:noWrap w:val="0"/>
            <w:vAlign w:val="center"/>
          </w:tcPr>
          <w:p>
            <w:pPr>
              <w:adjustRightInd w:val="0"/>
              <w:snapToGrid w:val="0"/>
              <w:jc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24"/>
                <w:szCs w:val="24"/>
                <w:highlight w:val="none"/>
                <w:shd w:val="clear" w:color="auto" w:fill="auto"/>
                <w:lang w:val="en-US" w:eastAsia="zh-CN"/>
              </w:rPr>
              <w:t>9.1</w:t>
            </w:r>
          </w:p>
        </w:tc>
        <w:tc>
          <w:tcPr>
            <w:tcW w:w="5797" w:type="dxa"/>
            <w:noWrap w:val="0"/>
            <w:vAlign w:val="center"/>
          </w:tcPr>
          <w:p>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kern w:val="0"/>
                <w:sz w:val="24"/>
                <w:szCs w:val="24"/>
                <w:highlight w:val="none"/>
                <w:shd w:val="clear" w:color="auto" w:fill="auto"/>
                <w:lang w:val="en-US"/>
              </w:rPr>
              <w:t>对采购方自备书目的采购能力，及自定较窄主题采购的快速响应能力</w:t>
            </w:r>
            <w:r>
              <w:rPr>
                <w:rFonts w:hint="eastAsia" w:ascii="仿宋" w:hAnsi="仿宋" w:eastAsia="仿宋" w:cs="仿宋"/>
                <w:color w:val="auto"/>
                <w:kern w:val="0"/>
                <w:sz w:val="24"/>
                <w:szCs w:val="24"/>
                <w:highlight w:val="none"/>
                <w:shd w:val="clear" w:color="auto" w:fill="auto"/>
                <w:lang w:val="en-US" w:eastAsia="zh-CN"/>
              </w:rPr>
              <w:t>。提供服务方案并确保可信度、可行性。完整性、可行性好得2分；完整性、可行性一般得1分；其余不得分</w:t>
            </w:r>
          </w:p>
        </w:tc>
        <w:tc>
          <w:tcPr>
            <w:tcW w:w="1080" w:type="dxa"/>
            <w:noWrap w:val="0"/>
            <w:vAlign w:val="center"/>
          </w:tcPr>
          <w:p>
            <w:pPr>
              <w:adjustRightInd w:val="0"/>
              <w:snapToGrid w:val="0"/>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w:t>
            </w:r>
          </w:p>
        </w:tc>
        <w:tc>
          <w:tcPr>
            <w:tcW w:w="892" w:type="dxa"/>
            <w:noWrap w:val="0"/>
            <w:vAlign w:val="center"/>
          </w:tcPr>
          <w:p>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主观分</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54" w:type="dxa"/>
            <w:noWrap w:val="0"/>
            <w:vAlign w:val="center"/>
          </w:tcPr>
          <w:p>
            <w:pPr>
              <w:adjustRightInd w:val="0"/>
              <w:snapToGrid w:val="0"/>
              <w:jc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24"/>
                <w:szCs w:val="24"/>
                <w:highlight w:val="none"/>
                <w:shd w:val="clear" w:color="auto" w:fill="auto"/>
                <w:lang w:val="en-US" w:eastAsia="zh-CN"/>
              </w:rPr>
              <w:t>9.2</w:t>
            </w:r>
          </w:p>
        </w:tc>
        <w:tc>
          <w:tcPr>
            <w:tcW w:w="5797" w:type="dxa"/>
            <w:noWrap w:val="0"/>
            <w:vAlign w:val="center"/>
          </w:tcPr>
          <w:p>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kern w:val="0"/>
                <w:sz w:val="24"/>
                <w:szCs w:val="24"/>
                <w:highlight w:val="none"/>
                <w:shd w:val="clear" w:color="auto" w:fill="auto"/>
                <w:lang w:val="en-US"/>
              </w:rPr>
              <w:t>对已订清单因情况变化，采购方要求调整订单的反应能力（承诺完全根据采购方要求调整</w:t>
            </w:r>
            <w:r>
              <w:rPr>
                <w:rFonts w:hint="eastAsia" w:ascii="仿宋" w:hAnsi="仿宋" w:eastAsia="仿宋" w:cs="仿宋"/>
                <w:color w:val="auto"/>
                <w:kern w:val="0"/>
                <w:sz w:val="24"/>
                <w:szCs w:val="24"/>
                <w:highlight w:val="none"/>
                <w:shd w:val="clear" w:color="auto" w:fill="auto"/>
                <w:lang w:val="en-US" w:eastAsia="zh-CN"/>
              </w:rPr>
              <w:t>），提供服务方案并确保可信度、可行性。完整性、可行性好得2分；完整性、可行性一般得1分；其余不得分</w:t>
            </w:r>
          </w:p>
        </w:tc>
        <w:tc>
          <w:tcPr>
            <w:tcW w:w="1080" w:type="dxa"/>
            <w:noWrap w:val="0"/>
            <w:vAlign w:val="center"/>
          </w:tcPr>
          <w:p>
            <w:pPr>
              <w:adjustRightInd w:val="0"/>
              <w:snapToGrid w:val="0"/>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w:t>
            </w:r>
          </w:p>
        </w:tc>
        <w:tc>
          <w:tcPr>
            <w:tcW w:w="892" w:type="dxa"/>
            <w:noWrap w:val="0"/>
            <w:vAlign w:val="center"/>
          </w:tcPr>
          <w:p>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主观分</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shd w:val="clear" w:color="auto" w:fill="auto"/>
                <w:lang w:val="en-US" w:eastAsia="zh-CN"/>
              </w:rPr>
              <w:t>9.3</w:t>
            </w:r>
          </w:p>
        </w:tc>
        <w:tc>
          <w:tcPr>
            <w:tcW w:w="5797" w:type="dxa"/>
            <w:noWrap w:val="0"/>
            <w:vAlign w:val="center"/>
          </w:tcPr>
          <w:p>
            <w:pPr>
              <w:snapToGrid w:val="0"/>
              <w:rPr>
                <w:rFonts w:hint="eastAsia" w:ascii="仿宋" w:hAnsi="仿宋" w:eastAsia="仿宋" w:cs="仿宋"/>
                <w:bCs/>
                <w:color w:val="auto"/>
                <w:sz w:val="24"/>
                <w:highlight w:val="none"/>
                <w:lang w:val="en-US" w:eastAsia="zh-CN"/>
              </w:rPr>
            </w:pPr>
            <w:r>
              <w:rPr>
                <w:rFonts w:hint="eastAsia" w:ascii="仿宋" w:hAnsi="仿宋" w:eastAsia="仿宋" w:cs="仿宋"/>
                <w:color w:val="auto"/>
                <w:kern w:val="0"/>
                <w:sz w:val="24"/>
                <w:szCs w:val="24"/>
                <w:highlight w:val="none"/>
                <w:shd w:val="clear" w:color="auto" w:fill="auto"/>
                <w:lang w:val="en-US"/>
              </w:rPr>
              <w:t>对采购方已预订，但不能及时到货的图书，或取消出版的图书信息及时予以反馈</w:t>
            </w:r>
            <w:r>
              <w:rPr>
                <w:rFonts w:hint="eastAsia" w:ascii="仿宋" w:hAnsi="仿宋" w:eastAsia="仿宋" w:cs="仿宋"/>
                <w:color w:val="auto"/>
                <w:kern w:val="0"/>
                <w:sz w:val="24"/>
                <w:szCs w:val="24"/>
                <w:highlight w:val="none"/>
                <w:shd w:val="clear" w:color="auto" w:fill="auto"/>
                <w:lang w:val="en-US" w:eastAsia="zh-CN"/>
              </w:rPr>
              <w:t>，提供服务方案并确保可信度、可行性。完整性、可行性好得2分；完整性、可行性一般得1分；其余不得分</w:t>
            </w:r>
          </w:p>
        </w:tc>
        <w:tc>
          <w:tcPr>
            <w:tcW w:w="1080" w:type="dxa"/>
            <w:noWrap w:val="0"/>
            <w:vAlign w:val="center"/>
          </w:tcPr>
          <w:p>
            <w:pPr>
              <w:adjustRightInd w:val="0"/>
              <w:snapToGrid w:val="0"/>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w:t>
            </w:r>
          </w:p>
        </w:tc>
        <w:tc>
          <w:tcPr>
            <w:tcW w:w="892" w:type="dxa"/>
            <w:noWrap w:val="0"/>
            <w:vAlign w:val="center"/>
          </w:tcPr>
          <w:p>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主观分</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shd w:val="clear" w:color="auto" w:fill="auto"/>
                <w:lang w:val="en-US" w:eastAsia="zh-CN"/>
              </w:rPr>
              <w:t>9.4</w:t>
            </w:r>
          </w:p>
        </w:tc>
        <w:tc>
          <w:tcPr>
            <w:tcW w:w="5797" w:type="dxa"/>
            <w:noWrap w:val="0"/>
            <w:vAlign w:val="center"/>
          </w:tcPr>
          <w:p>
            <w:pPr>
              <w:snapToGrid w:val="0"/>
              <w:rPr>
                <w:rFonts w:hint="eastAsia" w:ascii="仿宋" w:hAnsi="仿宋" w:eastAsia="仿宋" w:cs="仿宋"/>
                <w:bCs/>
                <w:color w:val="auto"/>
                <w:sz w:val="24"/>
                <w:highlight w:val="none"/>
                <w:lang w:val="en-US" w:eastAsia="zh-CN"/>
              </w:rPr>
            </w:pPr>
            <w:r>
              <w:rPr>
                <w:rFonts w:hint="eastAsia" w:ascii="仿宋" w:hAnsi="仿宋" w:eastAsia="仿宋" w:cs="仿宋"/>
                <w:color w:val="auto"/>
                <w:kern w:val="0"/>
                <w:sz w:val="24"/>
                <w:szCs w:val="24"/>
                <w:highlight w:val="none"/>
                <w:shd w:val="clear" w:color="auto" w:fill="auto"/>
                <w:lang w:val="en-US"/>
              </w:rPr>
              <w:t>对因质量问题、与要求不符、与预订不符等退书的处理态度及速度</w:t>
            </w:r>
            <w:r>
              <w:rPr>
                <w:rFonts w:hint="eastAsia" w:ascii="仿宋" w:hAnsi="仿宋" w:eastAsia="仿宋" w:cs="仿宋"/>
                <w:color w:val="auto"/>
                <w:kern w:val="0"/>
                <w:sz w:val="24"/>
                <w:szCs w:val="24"/>
                <w:highlight w:val="none"/>
                <w:shd w:val="clear" w:color="auto" w:fill="auto"/>
                <w:lang w:val="en-US" w:eastAsia="zh-CN"/>
              </w:rPr>
              <w:t>。提供服务方案并确保可信度、可行性。完整性、可行性好得3分；完整性、可行性较好得2分；完整性、可行性一般得1分；其余不得分</w:t>
            </w:r>
          </w:p>
        </w:tc>
        <w:tc>
          <w:tcPr>
            <w:tcW w:w="1080" w:type="dxa"/>
            <w:noWrap w:val="0"/>
            <w:vAlign w:val="center"/>
          </w:tcPr>
          <w:p>
            <w:pPr>
              <w:adjustRightInd w:val="0"/>
              <w:snapToGrid w:val="0"/>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w:t>
            </w:r>
          </w:p>
        </w:tc>
        <w:tc>
          <w:tcPr>
            <w:tcW w:w="892" w:type="dxa"/>
            <w:noWrap w:val="0"/>
            <w:vAlign w:val="center"/>
          </w:tcPr>
          <w:p>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主观分</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shd w:val="clear" w:color="auto" w:fill="auto"/>
                <w:lang w:val="en-US" w:eastAsia="zh-CN"/>
              </w:rPr>
              <w:t>10</w:t>
            </w:r>
          </w:p>
        </w:tc>
        <w:tc>
          <w:tcPr>
            <w:tcW w:w="5797" w:type="dxa"/>
            <w:noWrap w:val="0"/>
            <w:vAlign w:val="center"/>
          </w:tcPr>
          <w:p>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shd w:val="clear" w:color="auto" w:fill="auto"/>
                <w:lang w:val="en-US" w:eastAsia="zh-CN"/>
              </w:rPr>
              <w:t>文献与数据安全要求方案。</w:t>
            </w:r>
            <w:r>
              <w:rPr>
                <w:rFonts w:hint="eastAsia" w:ascii="仿宋" w:hAnsi="仿宋" w:eastAsia="仿宋" w:cs="仿宋"/>
                <w:color w:val="auto"/>
                <w:kern w:val="0"/>
                <w:sz w:val="24"/>
                <w:szCs w:val="24"/>
                <w:highlight w:val="none"/>
                <w:shd w:val="clear" w:color="auto" w:fill="auto"/>
                <w:lang w:val="en-US" w:eastAsia="zh-CN"/>
              </w:rPr>
              <w:t>完整性、可行性好得5分；完整性、可行性较好得4分；完整性、可行性一般得3分；有较大欠缺得1分；其余不得分</w:t>
            </w:r>
          </w:p>
        </w:tc>
        <w:tc>
          <w:tcPr>
            <w:tcW w:w="1080"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bCs/>
                <w:color w:val="auto"/>
                <w:sz w:val="24"/>
                <w:highlight w:val="none"/>
                <w:lang w:val="en-US" w:eastAsia="zh-CN"/>
              </w:rPr>
              <w:t>5</w:t>
            </w:r>
          </w:p>
        </w:tc>
        <w:tc>
          <w:tcPr>
            <w:tcW w:w="892" w:type="dxa"/>
            <w:noWrap w:val="0"/>
            <w:vAlign w:val="center"/>
          </w:tcPr>
          <w:p>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主观分</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54" w:type="dxa"/>
            <w:noWrap w:val="0"/>
            <w:vAlign w:val="center"/>
          </w:tcPr>
          <w:p>
            <w:pPr>
              <w:adjustRightInd w:val="0"/>
              <w:snapToGrid w:val="0"/>
              <w:jc w:val="center"/>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11</w:t>
            </w:r>
          </w:p>
        </w:tc>
        <w:tc>
          <w:tcPr>
            <w:tcW w:w="5797" w:type="dxa"/>
            <w:noWrap w:val="0"/>
            <w:vAlign w:val="center"/>
          </w:tcPr>
          <w:p>
            <w:pPr>
              <w:snapToGrid w:val="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投标人应负责图书包装及运输，确保到馆图书的包装符合运输和方便装卸，确保及时运送搬运到指定地点，提供图书包装及运输方案，根据方案的完整性，与采购需求的匹配性进行评价。完整性、可行性好得3分；完整性、可行性较好得2分；完整性、可行性一般得1分；其余不得分</w:t>
            </w:r>
          </w:p>
        </w:tc>
        <w:tc>
          <w:tcPr>
            <w:tcW w:w="1080" w:type="dxa"/>
            <w:noWrap w:val="0"/>
            <w:vAlign w:val="center"/>
          </w:tcPr>
          <w:p>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892" w:type="dxa"/>
            <w:noWrap w:val="0"/>
            <w:vAlign w:val="center"/>
          </w:tcPr>
          <w:p>
            <w:pPr>
              <w:adjustRightInd w:val="0"/>
              <w:snapToGrid w:val="0"/>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主观分</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54" w:type="dxa"/>
            <w:noWrap w:val="0"/>
            <w:vAlign w:val="center"/>
          </w:tcPr>
          <w:p>
            <w:pPr>
              <w:adjustRightInd w:val="0"/>
              <w:snapToGrid w:val="0"/>
              <w:jc w:val="center"/>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12</w:t>
            </w:r>
          </w:p>
        </w:tc>
        <w:tc>
          <w:tcPr>
            <w:tcW w:w="5797" w:type="dxa"/>
            <w:noWrap w:val="0"/>
            <w:vAlign w:val="center"/>
          </w:tcPr>
          <w:p>
            <w:pPr>
              <w:snapToGrid w:val="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提供其他文献加工服务：能够提供捐赠图书全加工或者期刊全加工其中一项的，得 1.5 分；在此基础上，能同时提供捐赠图书全加工和期刊全加工两项服务的，得 3 分。</w:t>
            </w:r>
          </w:p>
        </w:tc>
        <w:tc>
          <w:tcPr>
            <w:tcW w:w="1080" w:type="dxa"/>
            <w:noWrap w:val="0"/>
            <w:vAlign w:val="center"/>
          </w:tcPr>
          <w:p>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892" w:type="dxa"/>
            <w:noWrap w:val="0"/>
            <w:vAlign w:val="center"/>
          </w:tcPr>
          <w:p>
            <w:pPr>
              <w:adjustRightInd w:val="0"/>
              <w:snapToGrid w:val="0"/>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客观分</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54" w:type="dxa"/>
            <w:noWrap w:val="0"/>
            <w:vAlign w:val="center"/>
          </w:tcPr>
          <w:p>
            <w:pPr>
              <w:adjustRightInd w:val="0"/>
              <w:snapToGrid w:val="0"/>
              <w:jc w:val="center"/>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13</w:t>
            </w:r>
          </w:p>
        </w:tc>
        <w:tc>
          <w:tcPr>
            <w:tcW w:w="5797" w:type="dxa"/>
            <w:noWrap w:val="0"/>
            <w:vAlign w:val="center"/>
          </w:tcPr>
          <w:p>
            <w:pPr>
              <w:snapToGrid w:val="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在采购需求基础上</w:t>
            </w:r>
            <w:r>
              <w:rPr>
                <w:rFonts w:hint="eastAsia" w:ascii="仿宋" w:hAnsi="仿宋" w:eastAsia="仿宋" w:cs="仿宋"/>
                <w:color w:val="auto"/>
                <w:kern w:val="0"/>
                <w:sz w:val="24"/>
                <w:szCs w:val="24"/>
                <w:highlight w:val="none"/>
                <w:shd w:val="clear" w:color="auto" w:fill="auto"/>
                <w:lang w:val="en-US"/>
              </w:rPr>
              <w:t>提供其它特色服务，或合理化建议，得到专家认可且有实际意义的</w:t>
            </w:r>
            <w:r>
              <w:rPr>
                <w:rFonts w:hint="eastAsia" w:ascii="仿宋" w:hAnsi="仿宋" w:eastAsia="仿宋" w:cs="仿宋"/>
                <w:color w:val="auto"/>
                <w:kern w:val="0"/>
                <w:sz w:val="24"/>
                <w:szCs w:val="24"/>
                <w:highlight w:val="none"/>
                <w:shd w:val="clear" w:color="auto" w:fill="auto"/>
                <w:lang w:val="en-US" w:eastAsia="zh-CN"/>
              </w:rPr>
              <w:t>，每项1分，最多3分。（应与本项目相关，例如图书的采购、供应、加工、保管、运送及各种伴随服务，项目开展过程中的应急措施等等）</w:t>
            </w:r>
          </w:p>
        </w:tc>
        <w:tc>
          <w:tcPr>
            <w:tcW w:w="1080" w:type="dxa"/>
            <w:noWrap w:val="0"/>
            <w:vAlign w:val="center"/>
          </w:tcPr>
          <w:p>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892" w:type="dxa"/>
            <w:noWrap w:val="0"/>
            <w:vAlign w:val="center"/>
          </w:tcPr>
          <w:p>
            <w:pPr>
              <w:adjustRightInd w:val="0"/>
              <w:snapToGrid w:val="0"/>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主观分</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bl>
    <w:p>
      <w:pPr>
        <w:pStyle w:val="17"/>
        <w:rPr>
          <w:color w:val="auto"/>
          <w:highlight w:val="none"/>
          <w:lang w:val="zh-CN"/>
        </w:rPr>
      </w:pPr>
    </w:p>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报价部分（权重为</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有效投标报价的最低价作为评标基准价，其最低报价为满分；按［投标报价得分=（评标基准价/投标报价）*权重］的计算公式计算。</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p>
      <w:pPr>
        <w:snapToGrid w:val="0"/>
        <w:spacing w:line="360" w:lineRule="auto"/>
        <w:rPr>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因落实政府采购政策需要进行价格调整的，以调整后的价格计算评标基准价和投标报价。</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本项目中，</w:t>
      </w:r>
      <w:bookmarkStart w:id="53" w:name="_Toc8202"/>
      <w:r>
        <w:rPr>
          <w:rFonts w:hint="eastAsia" w:ascii="仿宋" w:hAnsi="仿宋" w:eastAsia="仿宋" w:cs="仿宋"/>
          <w:color w:val="auto"/>
          <w:sz w:val="24"/>
          <w:highlight w:val="none"/>
        </w:rPr>
        <w:t>对于未预留份额专门面向中小企业的政府采购货物项目，以及预留份额政府采购货物项目中的非预留部分标项，对小型和微型企业的投标报价给予</w:t>
      </w:r>
      <w:r>
        <w:rPr>
          <w:rFonts w:hint="eastAsia" w:ascii="仿宋" w:hAnsi="仿宋" w:eastAsia="仿宋" w:cs="仿宋"/>
          <w:color w:val="auto"/>
          <w:sz w:val="24"/>
          <w:highlight w:val="none"/>
          <w:lang w:val="en-US" w:eastAsia="zh-CN"/>
        </w:rPr>
        <w:t xml:space="preserve"> 20 </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 xml:space="preserve"> 6 </w:t>
      </w:r>
      <w:r>
        <w:rPr>
          <w:rFonts w:hint="eastAsia" w:ascii="仿宋" w:hAnsi="仿宋" w:eastAsia="仿宋" w:cs="仿宋"/>
          <w:color w:val="auto"/>
          <w:sz w:val="24"/>
          <w:highlight w:val="none"/>
        </w:rPr>
        <w:t>%的扣除，用扣除后的价格参加评审。</w:t>
      </w:r>
      <w:bookmarkEnd w:id="53"/>
    </w:p>
    <w:p>
      <w:pPr>
        <w:pStyle w:val="18"/>
        <w:rPr>
          <w:rFonts w:ascii="仿宋" w:hAnsi="仿宋" w:eastAsia="仿宋" w:cs="仿宋"/>
          <w:color w:val="auto"/>
          <w:highlight w:val="none"/>
        </w:rPr>
      </w:pPr>
    </w:p>
    <w:p>
      <w:pPr>
        <w:snapToGrid w:val="0"/>
        <w:spacing w:line="360" w:lineRule="auto"/>
        <w:rPr>
          <w:rFonts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pPr>
        <w:rPr>
          <w:rFonts w:ascii="仿宋" w:hAnsi="仿宋" w:eastAsia="仿宋" w:cs="仿宋"/>
          <w:b/>
          <w:color w:val="auto"/>
          <w:sz w:val="32"/>
          <w:highlight w:val="none"/>
        </w:rPr>
      </w:pPr>
    </w:p>
    <w:p>
      <w:pPr>
        <w:pStyle w:val="17"/>
        <w:rPr>
          <w:rFonts w:ascii="仿宋" w:hAnsi="仿宋" w:eastAsia="仿宋" w:cs="仿宋"/>
          <w:b/>
          <w:color w:val="auto"/>
          <w:sz w:val="32"/>
          <w:highlight w:val="none"/>
        </w:rPr>
      </w:pPr>
    </w:p>
    <w:p>
      <w:pPr>
        <w:keepNext w:val="0"/>
        <w:keepLines w:val="0"/>
        <w:pageBreakBefore w:val="0"/>
        <w:widowControl w:val="0"/>
        <w:numPr>
          <w:ilvl w:val="0"/>
          <w:numId w:val="4"/>
        </w:numPr>
        <w:kinsoku/>
        <w:wordWrap/>
        <w:overflowPunct/>
        <w:topLinePunct w:val="0"/>
        <w:autoSpaceDE/>
        <w:autoSpaceDN/>
        <w:bidi w:val="0"/>
        <w:adjustRightInd w:val="0"/>
        <w:snapToGrid w:val="0"/>
        <w:spacing w:before="0" w:beforeLines="50" w:after="0" w:afterLines="50" w:line="360" w:lineRule="auto"/>
        <w:ind w:left="0" w:leftChars="0" w:firstLine="0" w:firstLineChars="0"/>
        <w:jc w:val="left"/>
        <w:textAlignment w:val="auto"/>
        <w:outlineLvl w:val="1"/>
        <w:rPr>
          <w:rFonts w:hint="eastAsia" w:ascii="仿宋_GB2312" w:hAnsi="仿宋" w:eastAsia="仿宋_GB2312" w:cs="仿宋_GB2312"/>
          <w:b/>
          <w:sz w:val="28"/>
          <w:szCs w:val="28"/>
          <w:highlight w:val="none"/>
        </w:rPr>
      </w:pPr>
      <w:bookmarkStart w:id="54" w:name="_Toc9192"/>
      <w:r>
        <w:rPr>
          <w:rFonts w:hint="eastAsia" w:ascii="仿宋" w:hAnsi="仿宋" w:eastAsia="仿宋" w:cs="仿宋"/>
          <w:color w:val="auto"/>
          <w:sz w:val="24"/>
          <w:szCs w:val="24"/>
          <w:highlight w:val="none"/>
        </w:rPr>
        <w:br w:type="page"/>
      </w:r>
      <w:bookmarkEnd w:id="54"/>
      <w:bookmarkStart w:id="55" w:name="_Toc19686"/>
      <w:bookmarkStart w:id="56" w:name="_Toc14163"/>
      <w:bookmarkStart w:id="57" w:name="_Toc21159"/>
      <w:r>
        <w:rPr>
          <w:rFonts w:hint="eastAsia" w:ascii="仿宋_GB2312" w:hAnsi="仿宋" w:eastAsia="仿宋_GB2312" w:cs="仿宋_GB2312"/>
          <w:b/>
          <w:sz w:val="28"/>
          <w:szCs w:val="28"/>
          <w:highlight w:val="none"/>
        </w:rPr>
        <w:t>评标方法</w:t>
      </w:r>
      <w:bookmarkEnd w:id="55"/>
      <w:bookmarkEnd w:id="56"/>
      <w:bookmarkEnd w:id="57"/>
    </w:p>
    <w:p>
      <w:pPr>
        <w:numPr>
          <w:ilvl w:val="0"/>
          <w:numId w:val="5"/>
        </w:numPr>
        <w:tabs>
          <w:tab w:val="left" w:pos="210"/>
        </w:tabs>
        <w:adjustRightInd/>
        <w:spacing w:line="360" w:lineRule="auto"/>
        <w:ind w:left="405" w:leftChars="0" w:hanging="405" w:firstLineChars="0"/>
        <w:rPr>
          <w:rFonts w:ascii="仿宋_GB2312" w:hAnsi="仿宋" w:eastAsia="仿宋_GB2312" w:cs="Arial"/>
          <w:kern w:val="0"/>
          <w:sz w:val="24"/>
          <w:highlight w:val="none"/>
        </w:rPr>
      </w:pPr>
      <w:r>
        <w:rPr>
          <w:rFonts w:hint="eastAsia" w:ascii="仿宋_GB2312" w:hAnsi="仿宋" w:eastAsia="仿宋_GB2312" w:cs="Arial"/>
          <w:b/>
          <w:kern w:val="0"/>
          <w:sz w:val="24"/>
          <w:highlight w:val="none"/>
        </w:rPr>
        <w:t>本项目采用综合评分法。</w:t>
      </w:r>
      <w:r>
        <w:rPr>
          <w:rFonts w:hint="eastAsia" w:ascii="仿宋_GB2312" w:hAnsi="仿宋" w:eastAsia="仿宋_GB2312" w:cs="Arial"/>
          <w:kern w:val="0"/>
          <w:sz w:val="24"/>
          <w:highlight w:val="none"/>
        </w:rPr>
        <w:t>综合评分法，是指投标文件满足招标文件全部实质性要求，且按照评审因素的量化指标评审得分最高的投标人为中标候选人的评标方法。</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0" w:beforeLines="50" w:after="0" w:afterLines="50" w:line="360" w:lineRule="auto"/>
        <w:ind w:left="0" w:leftChars="0" w:firstLine="0" w:firstLineChars="0"/>
        <w:jc w:val="left"/>
        <w:textAlignment w:val="auto"/>
        <w:outlineLvl w:val="1"/>
        <w:rPr>
          <w:rFonts w:hint="eastAsia" w:ascii="仿宋_GB2312" w:hAnsi="仿宋" w:eastAsia="仿宋_GB2312" w:cs="仿宋_GB2312"/>
          <w:b/>
          <w:sz w:val="28"/>
          <w:szCs w:val="28"/>
          <w:highlight w:val="none"/>
        </w:rPr>
      </w:pPr>
      <w:bookmarkStart w:id="58" w:name="_Toc9518"/>
      <w:bookmarkStart w:id="59" w:name="_Toc19233"/>
      <w:bookmarkStart w:id="60" w:name="_Toc6265"/>
      <w:r>
        <w:rPr>
          <w:rFonts w:hint="eastAsia" w:ascii="仿宋_GB2312" w:hAnsi="仿宋" w:eastAsia="仿宋_GB2312" w:cs="仿宋_GB2312"/>
          <w:b/>
          <w:sz w:val="28"/>
          <w:szCs w:val="28"/>
          <w:highlight w:val="none"/>
        </w:rPr>
        <w:t>评标标准</w:t>
      </w:r>
      <w:bookmarkEnd w:id="58"/>
      <w:bookmarkEnd w:id="59"/>
      <w:bookmarkEnd w:id="60"/>
    </w:p>
    <w:p>
      <w:pPr>
        <w:numPr>
          <w:ilvl w:val="0"/>
          <w:numId w:val="5"/>
        </w:numPr>
        <w:tabs>
          <w:tab w:val="left" w:pos="210"/>
        </w:tabs>
        <w:adjustRightInd/>
        <w:spacing w:line="360" w:lineRule="auto"/>
        <w:ind w:left="405" w:leftChars="0" w:hanging="405" w:firstLineChars="0"/>
        <w:rPr>
          <w:rFonts w:hint="eastAsia" w:ascii="仿宋_GB2312" w:hAnsi="仿宋" w:eastAsia="仿宋_GB2312" w:cs="Arial"/>
          <w:kern w:val="0"/>
          <w:sz w:val="24"/>
          <w:highlight w:val="none"/>
        </w:rPr>
      </w:pPr>
      <w:r>
        <w:rPr>
          <w:rFonts w:hint="eastAsia" w:ascii="仿宋_GB2312" w:hAnsi="仿宋" w:eastAsia="仿宋_GB2312" w:cs="Arial"/>
          <w:b/>
          <w:bCs/>
          <w:kern w:val="0"/>
          <w:sz w:val="24"/>
          <w:highlight w:val="none"/>
        </w:rPr>
        <w:t>评标标准：</w:t>
      </w:r>
      <w:r>
        <w:rPr>
          <w:rFonts w:hint="eastAsia" w:ascii="仿宋_GB2312" w:hAnsi="仿宋" w:eastAsia="仿宋_GB2312" w:cs="Arial"/>
          <w:kern w:val="0"/>
          <w:sz w:val="24"/>
          <w:highlight w:val="none"/>
        </w:rPr>
        <w:t>见评标办法前附表。</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0" w:beforeLines="50" w:after="0" w:afterLines="50" w:line="360" w:lineRule="auto"/>
        <w:ind w:left="0" w:leftChars="0" w:firstLine="0" w:firstLineChars="0"/>
        <w:jc w:val="left"/>
        <w:textAlignment w:val="auto"/>
        <w:outlineLvl w:val="1"/>
        <w:rPr>
          <w:rFonts w:hint="eastAsia" w:ascii="仿宋_GB2312" w:hAnsi="仿宋" w:eastAsia="仿宋_GB2312" w:cs="仿宋_GB2312"/>
          <w:b/>
          <w:sz w:val="28"/>
          <w:szCs w:val="28"/>
          <w:highlight w:val="none"/>
        </w:rPr>
      </w:pPr>
      <w:bookmarkStart w:id="61" w:name="_Toc26738"/>
      <w:bookmarkStart w:id="62" w:name="_Toc1897"/>
      <w:bookmarkStart w:id="63" w:name="_Toc26895"/>
      <w:r>
        <w:rPr>
          <w:rFonts w:hint="eastAsia" w:ascii="仿宋_GB2312" w:hAnsi="仿宋" w:eastAsia="仿宋_GB2312" w:cs="仿宋_GB2312"/>
          <w:b/>
          <w:sz w:val="28"/>
          <w:szCs w:val="28"/>
          <w:highlight w:val="none"/>
        </w:rPr>
        <w:t>评标程序</w:t>
      </w:r>
      <w:bookmarkEnd w:id="61"/>
      <w:bookmarkEnd w:id="62"/>
      <w:bookmarkEnd w:id="63"/>
    </w:p>
    <w:p>
      <w:pPr>
        <w:numPr>
          <w:ilvl w:val="1"/>
          <w:numId w:val="6"/>
        </w:numPr>
        <w:tabs>
          <w:tab w:val="left" w:pos="210"/>
        </w:tabs>
        <w:adjustRightInd/>
        <w:spacing w:line="360" w:lineRule="auto"/>
        <w:ind w:left="567" w:leftChars="0" w:hanging="567" w:firstLineChars="0"/>
        <w:rPr>
          <w:rFonts w:hint="eastAsia" w:ascii="仿宋_GB2312" w:hAnsi="仿宋" w:eastAsia="仿宋_GB2312" w:cs="Arial"/>
          <w:b w:val="0"/>
          <w:bCs w:val="0"/>
          <w:kern w:val="0"/>
          <w:sz w:val="24"/>
          <w:highlight w:val="none"/>
        </w:rPr>
      </w:pPr>
      <w:r>
        <w:rPr>
          <w:rFonts w:hint="eastAsia" w:ascii="仿宋_GB2312" w:hAnsi="仿宋" w:eastAsia="仿宋_GB2312" w:cs="Arial"/>
          <w:b/>
          <w:bCs/>
          <w:kern w:val="0"/>
          <w:sz w:val="24"/>
          <w:highlight w:val="none"/>
        </w:rPr>
        <w:t>符合性审查。</w:t>
      </w:r>
      <w:r>
        <w:rPr>
          <w:rFonts w:hint="eastAsia" w:ascii="仿宋_GB2312" w:hAnsi="仿宋" w:eastAsia="仿宋_GB2312" w:cs="Arial"/>
          <w:b w:val="0"/>
          <w:bCs w:val="0"/>
          <w:kern w:val="0"/>
          <w:sz w:val="24"/>
          <w:highlight w:val="none"/>
        </w:rPr>
        <w:t>评标委员会应当对符合资格的投标人的投标文件进行符合性审查，以确定其是否满足招标文件的实质性要求。不满足招标文件的实质性要求的，投标无效。</w:t>
      </w:r>
    </w:p>
    <w:p>
      <w:pPr>
        <w:numPr>
          <w:ilvl w:val="1"/>
          <w:numId w:val="6"/>
        </w:numPr>
        <w:tabs>
          <w:tab w:val="left" w:pos="210"/>
        </w:tabs>
        <w:adjustRightInd/>
        <w:spacing w:line="360" w:lineRule="auto"/>
        <w:ind w:left="567" w:leftChars="0" w:hanging="567" w:firstLineChars="0"/>
        <w:rPr>
          <w:rFonts w:hint="eastAsia" w:ascii="仿宋_GB2312" w:hAnsi="仿宋" w:eastAsia="仿宋_GB2312" w:cs="Arial"/>
          <w:b/>
          <w:bCs/>
          <w:kern w:val="0"/>
          <w:sz w:val="24"/>
          <w:highlight w:val="none"/>
        </w:rPr>
      </w:pPr>
      <w:r>
        <w:rPr>
          <w:rFonts w:hint="eastAsia" w:ascii="仿宋_GB2312" w:hAnsi="仿宋" w:eastAsia="仿宋_GB2312" w:cs="Arial"/>
          <w:b/>
          <w:bCs/>
          <w:kern w:val="0"/>
          <w:sz w:val="24"/>
          <w:highlight w:val="none"/>
        </w:rPr>
        <w:t>比较与评价。</w:t>
      </w:r>
      <w:r>
        <w:rPr>
          <w:rFonts w:hint="eastAsia" w:ascii="仿宋_GB2312" w:hAnsi="仿宋" w:eastAsia="仿宋_GB2312" w:cs="Arial"/>
          <w:b w:val="0"/>
          <w:bCs w:val="0"/>
          <w:kern w:val="0"/>
          <w:sz w:val="24"/>
          <w:highlight w:val="none"/>
        </w:rPr>
        <w:t>评标委员会应当按照招标文件中规定的评标方法和标准，对符合性审查合格的投标文件进行商务和技术评估，综合比较与评价。</w:t>
      </w:r>
    </w:p>
    <w:p>
      <w:pPr>
        <w:numPr>
          <w:ilvl w:val="1"/>
          <w:numId w:val="6"/>
        </w:numPr>
        <w:tabs>
          <w:tab w:val="left" w:pos="210"/>
        </w:tabs>
        <w:adjustRightInd/>
        <w:spacing w:line="360" w:lineRule="auto"/>
        <w:ind w:left="567" w:leftChars="0" w:hanging="567" w:firstLineChars="0"/>
        <w:rPr>
          <w:rFonts w:hint="eastAsia" w:ascii="仿宋_GB2312" w:hAnsi="仿宋" w:eastAsia="仿宋_GB2312" w:cs="Arial"/>
          <w:b w:val="0"/>
          <w:bCs w:val="0"/>
          <w:kern w:val="0"/>
          <w:sz w:val="24"/>
          <w:highlight w:val="none"/>
        </w:rPr>
      </w:pPr>
      <w:r>
        <w:rPr>
          <w:rFonts w:hint="eastAsia" w:ascii="仿宋_GB2312" w:hAnsi="仿宋" w:eastAsia="仿宋_GB2312" w:cs="Arial"/>
          <w:b/>
          <w:bCs/>
          <w:kern w:val="0"/>
          <w:sz w:val="24"/>
          <w:highlight w:val="none"/>
        </w:rPr>
        <w:t>汇总商务技术得分。</w:t>
      </w:r>
      <w:r>
        <w:rPr>
          <w:rFonts w:hint="eastAsia" w:ascii="仿宋_GB2312" w:hAnsi="仿宋" w:eastAsia="仿宋_GB2312" w:cs="Arial"/>
          <w:b w:val="0"/>
          <w:bCs w:val="0"/>
          <w:kern w:val="0"/>
          <w:sz w:val="24"/>
          <w:highlight w:val="none"/>
        </w:rPr>
        <w:t>评标委员会各成员应当独立对每个投标人的商务和技术文件进行评价，并汇总商务技术得分情况。</w:t>
      </w:r>
    </w:p>
    <w:p>
      <w:pPr>
        <w:numPr>
          <w:ilvl w:val="-1"/>
          <w:numId w:val="0"/>
        </w:numPr>
        <w:tabs>
          <w:tab w:val="left" w:pos="210"/>
        </w:tabs>
        <w:adjustRightInd/>
        <w:spacing w:line="360" w:lineRule="auto"/>
        <w:ind w:left="0" w:leftChars="0" w:firstLine="480" w:firstLineChars="200"/>
        <w:rPr>
          <w:rFonts w:hint="eastAsia" w:ascii="仿宋_GB2312" w:hAnsi="仿宋" w:eastAsia="仿宋_GB2312" w:cs="Arial"/>
          <w:b/>
          <w:bCs/>
          <w:kern w:val="0"/>
          <w:sz w:val="24"/>
          <w:highlight w:val="none"/>
        </w:rPr>
      </w:pPr>
      <w:r>
        <w:rPr>
          <w:rFonts w:hint="eastAsia" w:ascii="仿宋_GB2312" w:hAnsi="仿宋" w:eastAsia="仿宋_GB2312" w:cs="Arial"/>
          <w:b w:val="0"/>
          <w:bCs w:val="0"/>
          <w:kern w:val="0"/>
          <w:sz w:val="24"/>
          <w:highlight w:val="none"/>
        </w:rPr>
        <w:t>评标委员会</w:t>
      </w:r>
      <w:r>
        <w:rPr>
          <w:rFonts w:hint="eastAsia" w:ascii="仿宋_GB2312" w:hAnsi="仿宋" w:eastAsia="仿宋_GB2312" w:cs="Arial"/>
          <w:b w:val="0"/>
          <w:bCs w:val="0"/>
          <w:kern w:val="0"/>
          <w:sz w:val="24"/>
          <w:highlight w:val="none"/>
          <w:lang w:eastAsia="zh-CN"/>
        </w:rPr>
        <w:t>各成员</w:t>
      </w:r>
      <w:r>
        <w:rPr>
          <w:rFonts w:hint="eastAsia" w:ascii="仿宋_GB2312" w:hAnsi="仿宋" w:eastAsia="仿宋_GB2312" w:cs="Arial"/>
          <w:b w:val="0"/>
          <w:bCs w:val="0"/>
          <w:kern w:val="0"/>
          <w:sz w:val="24"/>
          <w:highlight w:val="none"/>
        </w:rPr>
        <w:t>每人一份评分表，进行独自打分并签名。在统计得分时，如发现某一单项评分超过评分细则规定的分值范围，则该张评分表无效。投标人</w:t>
      </w:r>
      <w:r>
        <w:rPr>
          <w:rFonts w:hint="eastAsia" w:ascii="仿宋_GB2312" w:hAnsi="仿宋" w:eastAsia="仿宋_GB2312" w:cs="Arial"/>
          <w:b w:val="0"/>
          <w:bCs w:val="0"/>
          <w:kern w:val="0"/>
          <w:sz w:val="24"/>
          <w:highlight w:val="none"/>
          <w:lang w:eastAsia="zh-CN"/>
        </w:rPr>
        <w:t>商务</w:t>
      </w:r>
      <w:r>
        <w:rPr>
          <w:rFonts w:hint="eastAsia" w:ascii="仿宋_GB2312" w:hAnsi="仿宋" w:eastAsia="仿宋_GB2312" w:cs="Arial"/>
          <w:b w:val="0"/>
          <w:bCs w:val="0"/>
          <w:kern w:val="0"/>
          <w:sz w:val="24"/>
          <w:highlight w:val="none"/>
        </w:rPr>
        <w:t>技术部分的得分为评标委员会各成员的有效评分的算术平均值。</w:t>
      </w:r>
    </w:p>
    <w:p>
      <w:pPr>
        <w:numPr>
          <w:ilvl w:val="1"/>
          <w:numId w:val="6"/>
        </w:numPr>
        <w:tabs>
          <w:tab w:val="left" w:pos="210"/>
        </w:tabs>
        <w:adjustRightInd/>
        <w:spacing w:line="360" w:lineRule="auto"/>
        <w:ind w:left="567" w:leftChars="0" w:hanging="567" w:firstLineChars="0"/>
        <w:rPr>
          <w:rFonts w:hint="eastAsia" w:ascii="仿宋_GB2312" w:hAnsi="仿宋" w:eastAsia="仿宋_GB2312" w:cs="Arial"/>
          <w:b/>
          <w:bCs/>
          <w:kern w:val="0"/>
          <w:sz w:val="24"/>
          <w:highlight w:val="none"/>
        </w:rPr>
      </w:pPr>
      <w:r>
        <w:rPr>
          <w:rFonts w:hint="eastAsia" w:ascii="仿宋_GB2312" w:hAnsi="仿宋" w:eastAsia="仿宋_GB2312" w:cs="Arial"/>
          <w:b/>
          <w:bCs/>
          <w:kern w:val="0"/>
          <w:sz w:val="24"/>
          <w:highlight w:val="none"/>
        </w:rPr>
        <w:t>报价评审。</w:t>
      </w:r>
    </w:p>
    <w:p>
      <w:pPr>
        <w:numPr>
          <w:ilvl w:val="2"/>
          <w:numId w:val="6"/>
        </w:numPr>
        <w:tabs>
          <w:tab w:val="left" w:pos="210"/>
        </w:tabs>
        <w:adjustRightInd/>
        <w:spacing w:line="360" w:lineRule="auto"/>
        <w:ind w:left="709" w:leftChars="0" w:hanging="709" w:firstLineChars="0"/>
        <w:rPr>
          <w:rFonts w:hint="eastAsia" w:ascii="仿宋_GB2312" w:hAnsi="仿宋" w:eastAsia="仿宋_GB2312" w:cs="Arial"/>
          <w:b/>
          <w:bCs/>
          <w:kern w:val="0"/>
          <w:sz w:val="24"/>
          <w:highlight w:val="none"/>
        </w:rPr>
      </w:pPr>
      <w:r>
        <w:rPr>
          <w:rFonts w:hint="eastAsia" w:ascii="仿宋_GB2312" w:hAnsi="仿宋" w:eastAsia="仿宋_GB2312" w:cs="Arial"/>
          <w:b/>
          <w:bCs/>
          <w:kern w:val="0"/>
          <w:sz w:val="24"/>
          <w:highlight w:val="none"/>
        </w:rPr>
        <w:t>投标文件报价出现前后不一致的，按照下列规定修正：</w:t>
      </w:r>
    </w:p>
    <w:p>
      <w:pPr>
        <w:numPr>
          <w:ilvl w:val="3"/>
          <w:numId w:val="6"/>
        </w:numPr>
        <w:tabs>
          <w:tab w:val="left" w:pos="210"/>
          <w:tab w:val="left" w:pos="1050"/>
        </w:tabs>
        <w:adjustRightInd/>
        <w:spacing w:line="360" w:lineRule="auto"/>
        <w:ind w:left="1050" w:leftChars="0" w:hanging="1050" w:firstLineChars="0"/>
        <w:rPr>
          <w:rFonts w:hint="eastAsia" w:ascii="仿宋_GB2312" w:hAnsi="仿宋" w:eastAsia="仿宋_GB2312" w:cs="Arial"/>
          <w:b w:val="0"/>
          <w:bCs w:val="0"/>
          <w:kern w:val="0"/>
          <w:sz w:val="24"/>
          <w:highlight w:val="none"/>
        </w:rPr>
      </w:pPr>
      <w:r>
        <w:rPr>
          <w:rFonts w:hint="eastAsia" w:ascii="仿宋_GB2312" w:hAnsi="仿宋" w:eastAsia="仿宋_GB2312" w:cs="Arial"/>
          <w:b w:val="0"/>
          <w:bCs w:val="0"/>
          <w:kern w:val="0"/>
          <w:sz w:val="24"/>
          <w:highlight w:val="none"/>
        </w:rPr>
        <w:t>投标文件中开标一览表(报价表)内容与投标文件中相应内容不一致的，以开标一览表(报价表)为准;</w:t>
      </w:r>
    </w:p>
    <w:p>
      <w:pPr>
        <w:numPr>
          <w:ilvl w:val="3"/>
          <w:numId w:val="6"/>
        </w:numPr>
        <w:tabs>
          <w:tab w:val="left" w:pos="210"/>
          <w:tab w:val="left" w:pos="1050"/>
        </w:tabs>
        <w:adjustRightInd/>
        <w:spacing w:line="360" w:lineRule="auto"/>
        <w:ind w:left="1050" w:leftChars="0" w:hanging="1050" w:firstLineChars="0"/>
        <w:rPr>
          <w:rFonts w:hint="eastAsia" w:ascii="仿宋_GB2312" w:hAnsi="仿宋" w:eastAsia="仿宋_GB2312" w:cs="Arial"/>
          <w:b w:val="0"/>
          <w:bCs w:val="0"/>
          <w:kern w:val="0"/>
          <w:sz w:val="24"/>
          <w:highlight w:val="none"/>
        </w:rPr>
      </w:pPr>
      <w:r>
        <w:rPr>
          <w:rFonts w:hint="eastAsia" w:ascii="仿宋_GB2312" w:hAnsi="仿宋" w:eastAsia="仿宋_GB2312" w:cs="Arial"/>
          <w:b w:val="0"/>
          <w:bCs w:val="0"/>
          <w:kern w:val="0"/>
          <w:sz w:val="24"/>
          <w:highlight w:val="none"/>
        </w:rPr>
        <w:t>大写金额和小写金额不一致的，以大写金额为准;</w:t>
      </w:r>
    </w:p>
    <w:p>
      <w:pPr>
        <w:numPr>
          <w:ilvl w:val="3"/>
          <w:numId w:val="6"/>
        </w:numPr>
        <w:tabs>
          <w:tab w:val="left" w:pos="210"/>
          <w:tab w:val="left" w:pos="1050"/>
        </w:tabs>
        <w:adjustRightInd/>
        <w:spacing w:line="360" w:lineRule="auto"/>
        <w:ind w:left="1050" w:leftChars="0" w:hanging="1050" w:firstLineChars="0"/>
        <w:rPr>
          <w:rFonts w:hint="eastAsia" w:ascii="仿宋_GB2312" w:hAnsi="仿宋" w:eastAsia="仿宋_GB2312" w:cs="Arial"/>
          <w:b w:val="0"/>
          <w:bCs w:val="0"/>
          <w:kern w:val="0"/>
          <w:sz w:val="24"/>
          <w:highlight w:val="none"/>
        </w:rPr>
      </w:pPr>
      <w:r>
        <w:rPr>
          <w:rFonts w:hint="eastAsia" w:ascii="仿宋_GB2312" w:hAnsi="仿宋" w:eastAsia="仿宋_GB2312" w:cs="Arial"/>
          <w:b w:val="0"/>
          <w:bCs w:val="0"/>
          <w:kern w:val="0"/>
          <w:sz w:val="24"/>
          <w:highlight w:val="none"/>
        </w:rPr>
        <w:t>单价金额小数点或者百分比有明显错位的，以开标一览表的总价为准，并修改单价;</w:t>
      </w:r>
    </w:p>
    <w:p>
      <w:pPr>
        <w:numPr>
          <w:ilvl w:val="3"/>
          <w:numId w:val="6"/>
        </w:numPr>
        <w:tabs>
          <w:tab w:val="left" w:pos="210"/>
          <w:tab w:val="left" w:pos="1050"/>
        </w:tabs>
        <w:adjustRightInd/>
        <w:spacing w:line="360" w:lineRule="auto"/>
        <w:ind w:left="1050" w:leftChars="0" w:hanging="1050" w:firstLineChars="0"/>
        <w:rPr>
          <w:rFonts w:hint="eastAsia" w:ascii="仿宋_GB2312" w:hAnsi="仿宋" w:eastAsia="仿宋_GB2312" w:cs="Arial"/>
          <w:b w:val="0"/>
          <w:bCs w:val="0"/>
          <w:kern w:val="0"/>
          <w:sz w:val="24"/>
          <w:highlight w:val="none"/>
        </w:rPr>
      </w:pPr>
      <w:r>
        <w:rPr>
          <w:rFonts w:hint="eastAsia" w:ascii="仿宋_GB2312" w:hAnsi="仿宋" w:eastAsia="仿宋_GB2312" w:cs="Arial"/>
          <w:b w:val="0"/>
          <w:bCs w:val="0"/>
          <w:kern w:val="0"/>
          <w:sz w:val="24"/>
          <w:highlight w:val="none"/>
        </w:rPr>
        <w:t>总价金额与按单价汇总金额不一致的，以单价金额计算结果为准。</w:t>
      </w:r>
    </w:p>
    <w:p>
      <w:pPr>
        <w:numPr>
          <w:ilvl w:val="3"/>
          <w:numId w:val="6"/>
        </w:numPr>
        <w:tabs>
          <w:tab w:val="left" w:pos="210"/>
          <w:tab w:val="left" w:pos="1050"/>
        </w:tabs>
        <w:adjustRightInd/>
        <w:spacing w:line="360" w:lineRule="auto"/>
        <w:ind w:left="1050" w:leftChars="0" w:hanging="1050" w:firstLineChars="0"/>
        <w:rPr>
          <w:rFonts w:hint="eastAsia" w:ascii="仿宋_GB2312" w:hAnsi="仿宋" w:eastAsia="仿宋_GB2312" w:cs="Arial"/>
          <w:b w:val="0"/>
          <w:bCs w:val="0"/>
          <w:kern w:val="0"/>
          <w:sz w:val="24"/>
          <w:highlight w:val="none"/>
        </w:rPr>
      </w:pPr>
      <w:r>
        <w:rPr>
          <w:rFonts w:hint="eastAsia" w:ascii="仿宋_GB2312" w:hAnsi="仿宋" w:eastAsia="仿宋_GB2312" w:cs="Arial"/>
          <w:b w:val="0"/>
          <w:bCs w:val="0"/>
          <w:kern w:val="0"/>
          <w:sz w:val="24"/>
          <w:highlight w:val="none"/>
        </w:rPr>
        <w:t>同时出现两种以上不一致的，按照3.4.1规定的顺序修正。修正后的报价按照财政部第87号令 《政府采购货物和服务招标投标管理办法》第五十一条第二款的规定经投标人确认后产生约束力。</w:t>
      </w:r>
    </w:p>
    <w:p>
      <w:pPr>
        <w:numPr>
          <w:ilvl w:val="2"/>
          <w:numId w:val="6"/>
        </w:numPr>
        <w:tabs>
          <w:tab w:val="left" w:pos="210"/>
        </w:tabs>
        <w:adjustRightInd/>
        <w:spacing w:line="360" w:lineRule="auto"/>
        <w:ind w:left="709" w:leftChars="0" w:hanging="709" w:firstLineChars="0"/>
        <w:rPr>
          <w:rFonts w:hint="eastAsia" w:ascii="仿宋_GB2312" w:hAnsi="仿宋" w:eastAsia="仿宋_GB2312" w:cs="Arial"/>
          <w:b/>
          <w:bCs/>
          <w:kern w:val="0"/>
          <w:sz w:val="24"/>
          <w:highlight w:val="none"/>
        </w:rPr>
      </w:pPr>
      <w:r>
        <w:rPr>
          <w:rFonts w:hint="eastAsia" w:ascii="仿宋_GB2312" w:hAnsi="仿宋" w:eastAsia="仿宋_GB2312" w:cs="Arial"/>
          <w:b/>
          <w:bCs/>
          <w:kern w:val="0"/>
          <w:sz w:val="24"/>
          <w:highlight w:val="none"/>
        </w:rPr>
        <w:t>投标文件出现不是唯一的、有选择性投标报价的，投标无效。</w:t>
      </w:r>
    </w:p>
    <w:p>
      <w:pPr>
        <w:numPr>
          <w:ilvl w:val="2"/>
          <w:numId w:val="6"/>
        </w:numPr>
        <w:tabs>
          <w:tab w:val="left" w:pos="210"/>
        </w:tabs>
        <w:adjustRightInd/>
        <w:spacing w:line="360" w:lineRule="auto"/>
        <w:ind w:left="709" w:leftChars="0" w:hanging="709" w:firstLineChars="0"/>
        <w:rPr>
          <w:rFonts w:hint="eastAsia" w:ascii="仿宋_GB2312" w:hAnsi="仿宋" w:eastAsia="仿宋_GB2312" w:cs="Arial"/>
          <w:b/>
          <w:bCs/>
          <w:kern w:val="0"/>
          <w:sz w:val="24"/>
          <w:highlight w:val="none"/>
        </w:rPr>
      </w:pPr>
      <w:r>
        <w:rPr>
          <w:rFonts w:hint="eastAsia" w:ascii="仿宋_GB2312" w:hAnsi="仿宋" w:eastAsia="仿宋_GB2312" w:cs="Arial"/>
          <w:b/>
          <w:bCs/>
          <w:kern w:val="0"/>
          <w:sz w:val="24"/>
          <w:highlight w:val="none"/>
        </w:rPr>
        <w:t>投标报价超过招标文件中规定的预算金额或者最高限价的，投标无效。</w:t>
      </w:r>
    </w:p>
    <w:p>
      <w:pPr>
        <w:numPr>
          <w:ilvl w:val="2"/>
          <w:numId w:val="6"/>
        </w:numPr>
        <w:tabs>
          <w:tab w:val="left" w:pos="210"/>
        </w:tabs>
        <w:adjustRightInd/>
        <w:spacing w:line="360" w:lineRule="auto"/>
        <w:ind w:left="709" w:leftChars="0" w:hanging="709" w:firstLineChars="0"/>
        <w:rPr>
          <w:rFonts w:hint="eastAsia" w:ascii="仿宋_GB2312" w:hAnsi="仿宋" w:eastAsia="仿宋_GB2312" w:cs="Arial"/>
          <w:b w:val="0"/>
          <w:bCs w:val="0"/>
          <w:kern w:val="0"/>
          <w:sz w:val="24"/>
          <w:highlight w:val="none"/>
        </w:rPr>
      </w:pPr>
      <w:r>
        <w:rPr>
          <w:rFonts w:hint="eastAsia" w:ascii="仿宋_GB2312" w:hAnsi="仿宋" w:eastAsia="仿宋_GB2312" w:cs="Arial"/>
          <w:b w:val="0"/>
          <w:bCs w:val="0"/>
          <w:kern w:val="0"/>
          <w:sz w:val="24"/>
          <w:highlight w:val="none"/>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numPr>
          <w:ilvl w:val="2"/>
          <w:numId w:val="6"/>
        </w:numPr>
        <w:tabs>
          <w:tab w:val="left" w:pos="210"/>
        </w:tabs>
        <w:adjustRightInd/>
        <w:spacing w:line="360" w:lineRule="auto"/>
        <w:ind w:left="709" w:leftChars="0" w:hanging="709" w:firstLineChars="0"/>
        <w:rPr>
          <w:rFonts w:hint="eastAsia" w:ascii="仿宋_GB2312" w:hAnsi="仿宋" w:eastAsia="仿宋_GB2312" w:cs="Arial"/>
          <w:b w:val="0"/>
          <w:bCs w:val="0"/>
          <w:kern w:val="0"/>
          <w:sz w:val="24"/>
          <w:highlight w:val="none"/>
        </w:rPr>
      </w:pPr>
      <w:r>
        <w:rPr>
          <w:rFonts w:hint="eastAsia" w:ascii="仿宋_GB2312" w:hAnsi="仿宋" w:eastAsia="仿宋_GB2312" w:cs="Arial"/>
          <w:b w:val="0"/>
          <w:bCs w:val="0"/>
          <w:kern w:val="0"/>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s="Arial"/>
          <w:b/>
          <w:bCs/>
          <w:color w:val="FF0000"/>
          <w:kern w:val="0"/>
          <w:sz w:val="24"/>
          <w:highlight w:val="none"/>
          <w:lang w:val="en-US" w:eastAsia="zh-CN"/>
        </w:rPr>
        <w:t>10%-2</w:t>
      </w:r>
      <w:r>
        <w:rPr>
          <w:rFonts w:hint="eastAsia" w:ascii="仿宋_GB2312" w:hAnsi="仿宋" w:eastAsia="仿宋_GB2312" w:cs="Arial"/>
          <w:b/>
          <w:bCs/>
          <w:color w:val="FF0000"/>
          <w:kern w:val="0"/>
          <w:sz w:val="24"/>
          <w:highlight w:val="none"/>
        </w:rPr>
        <w:t>0%</w:t>
      </w:r>
      <w:r>
        <w:rPr>
          <w:rFonts w:hint="eastAsia" w:ascii="仿宋_GB2312" w:hAnsi="仿宋" w:eastAsia="仿宋_GB2312" w:cs="Arial"/>
          <w:b w:val="0"/>
          <w:bCs w:val="0"/>
          <w:kern w:val="0"/>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_GB2312" w:hAnsi="仿宋" w:eastAsia="仿宋_GB2312" w:cs="Arial"/>
          <w:b/>
          <w:bCs/>
          <w:color w:val="FF0000"/>
          <w:kern w:val="0"/>
          <w:sz w:val="24"/>
          <w:highlight w:val="none"/>
          <w:lang w:val="en-US" w:eastAsia="zh-CN"/>
        </w:rPr>
        <w:t>4%-6</w:t>
      </w:r>
      <w:r>
        <w:rPr>
          <w:rFonts w:hint="eastAsia" w:ascii="仿宋_GB2312" w:hAnsi="仿宋" w:eastAsia="仿宋_GB2312" w:cs="Arial"/>
          <w:b/>
          <w:bCs/>
          <w:color w:val="FF0000"/>
          <w:kern w:val="0"/>
          <w:sz w:val="24"/>
          <w:highlight w:val="none"/>
        </w:rPr>
        <w:t>%</w:t>
      </w:r>
      <w:r>
        <w:rPr>
          <w:rFonts w:hint="eastAsia" w:ascii="仿宋_GB2312" w:hAnsi="仿宋" w:eastAsia="仿宋_GB2312" w:cs="Arial"/>
          <w:b w:val="0"/>
          <w:bCs w:val="0"/>
          <w:kern w:val="0"/>
          <w:sz w:val="24"/>
          <w:highlight w:val="none"/>
        </w:rPr>
        <w:t>的扣除，用扣除后的价格参加评审。组成联合体或者接受分包的小微企业与联合体内其他企业、分包企业之间存在直接控股、管理关系的，不享受价格扣除优惠政策。</w:t>
      </w:r>
    </w:p>
    <w:p>
      <w:pPr>
        <w:numPr>
          <w:ilvl w:val="1"/>
          <w:numId w:val="6"/>
        </w:numPr>
        <w:tabs>
          <w:tab w:val="left" w:pos="210"/>
        </w:tabs>
        <w:adjustRightInd/>
        <w:spacing w:line="360" w:lineRule="auto"/>
        <w:ind w:left="567" w:leftChars="0" w:hanging="567" w:firstLineChars="0"/>
        <w:rPr>
          <w:rFonts w:hint="eastAsia" w:ascii="仿宋_GB2312" w:hAnsi="仿宋" w:eastAsia="仿宋_GB2312" w:cs="Arial"/>
          <w:b w:val="0"/>
          <w:bCs w:val="0"/>
          <w:kern w:val="0"/>
          <w:sz w:val="24"/>
          <w:highlight w:val="none"/>
        </w:rPr>
      </w:pPr>
      <w:r>
        <w:rPr>
          <w:rFonts w:hint="eastAsia" w:ascii="仿宋_GB2312" w:hAnsi="仿宋" w:eastAsia="仿宋_GB2312" w:cs="Arial"/>
          <w:b/>
          <w:bCs/>
          <w:kern w:val="0"/>
          <w:sz w:val="24"/>
          <w:highlight w:val="none"/>
        </w:rPr>
        <w:t>排序与推荐。</w:t>
      </w:r>
      <w:r>
        <w:rPr>
          <w:rFonts w:hint="eastAsia" w:ascii="仿宋_GB2312" w:hAnsi="仿宋" w:eastAsia="仿宋_GB2312" w:cs="Arial"/>
          <w:b w:val="0"/>
          <w:bCs w:val="0"/>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1"/>
          <w:numId w:val="6"/>
        </w:numPr>
        <w:tabs>
          <w:tab w:val="left" w:pos="210"/>
        </w:tabs>
        <w:adjustRightInd/>
        <w:spacing w:line="360" w:lineRule="auto"/>
        <w:ind w:left="567" w:hanging="567"/>
        <w:rPr>
          <w:rFonts w:hint="eastAsia" w:ascii="仿宋_GB2312" w:hAnsi="仿宋" w:eastAsia="仿宋_GB2312" w:cs="Arial"/>
          <w:b/>
          <w:bCs/>
          <w:kern w:val="0"/>
          <w:sz w:val="24"/>
          <w:highlight w:val="none"/>
        </w:rPr>
      </w:pPr>
      <w:r>
        <w:rPr>
          <w:rFonts w:hint="eastAsia" w:ascii="仿宋_GB2312" w:hAnsi="仿宋" w:eastAsia="仿宋_GB2312" w:cs="Arial"/>
          <w:b/>
          <w:bCs/>
          <w:kern w:val="0"/>
          <w:sz w:val="24"/>
          <w:highlight w:val="none"/>
        </w:rPr>
        <w:t>评分时保留小数点后1位小数，计算评分值时保留小数点后2位小数。</w:t>
      </w:r>
    </w:p>
    <w:p>
      <w:pPr>
        <w:numPr>
          <w:ilvl w:val="1"/>
          <w:numId w:val="6"/>
        </w:numPr>
        <w:tabs>
          <w:tab w:val="left" w:pos="210"/>
        </w:tabs>
        <w:adjustRightInd/>
        <w:spacing w:line="360" w:lineRule="auto"/>
        <w:ind w:left="567" w:leftChars="0" w:hanging="567" w:firstLineChars="0"/>
        <w:rPr>
          <w:rFonts w:hint="eastAsia" w:ascii="仿宋_GB2312" w:hAnsi="仿宋" w:eastAsia="仿宋_GB2312" w:cs="Arial"/>
          <w:b w:val="0"/>
          <w:bCs w:val="0"/>
          <w:kern w:val="0"/>
          <w:sz w:val="24"/>
          <w:highlight w:val="none"/>
        </w:rPr>
      </w:pPr>
      <w:r>
        <w:rPr>
          <w:rFonts w:hint="eastAsia" w:ascii="仿宋_GB2312" w:hAnsi="仿宋" w:eastAsia="仿宋_GB2312" w:cs="Arial"/>
          <w:b/>
          <w:bCs/>
          <w:kern w:val="0"/>
          <w:sz w:val="24"/>
          <w:highlight w:val="none"/>
        </w:rPr>
        <w:t>编写评标报告。</w:t>
      </w:r>
      <w:r>
        <w:rPr>
          <w:rFonts w:hint="eastAsia" w:ascii="仿宋_GB2312" w:hAnsi="仿宋" w:eastAsia="仿宋_GB2312" w:cs="Arial"/>
          <w:b w:val="0"/>
          <w:bCs w:val="0"/>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0" w:beforeLines="50" w:after="0" w:afterLines="50" w:line="360" w:lineRule="auto"/>
        <w:ind w:left="0" w:leftChars="0" w:firstLine="0" w:firstLineChars="0"/>
        <w:jc w:val="left"/>
        <w:textAlignment w:val="auto"/>
        <w:outlineLvl w:val="1"/>
        <w:rPr>
          <w:rFonts w:hint="eastAsia" w:ascii="仿宋_GB2312" w:hAnsi="仿宋" w:eastAsia="仿宋_GB2312" w:cs="仿宋_GB2312"/>
          <w:b/>
          <w:sz w:val="28"/>
          <w:szCs w:val="28"/>
          <w:highlight w:val="none"/>
        </w:rPr>
      </w:pPr>
      <w:bookmarkStart w:id="64" w:name="_Toc6871"/>
      <w:bookmarkStart w:id="65" w:name="_Toc26714"/>
      <w:bookmarkStart w:id="66" w:name="_Toc14486"/>
      <w:r>
        <w:rPr>
          <w:rFonts w:hint="eastAsia" w:ascii="仿宋_GB2312" w:hAnsi="仿宋" w:eastAsia="仿宋_GB2312" w:cs="仿宋_GB2312"/>
          <w:b/>
          <w:sz w:val="28"/>
          <w:szCs w:val="28"/>
          <w:highlight w:val="none"/>
        </w:rPr>
        <w:t>评标中的其他事项</w:t>
      </w:r>
      <w:bookmarkEnd w:id="64"/>
      <w:bookmarkEnd w:id="65"/>
      <w:bookmarkEnd w:id="66"/>
    </w:p>
    <w:p>
      <w:pPr>
        <w:numPr>
          <w:ilvl w:val="1"/>
          <w:numId w:val="7"/>
        </w:numPr>
        <w:tabs>
          <w:tab w:val="left" w:pos="210"/>
        </w:tabs>
        <w:adjustRightInd/>
        <w:spacing w:line="360" w:lineRule="auto"/>
        <w:ind w:left="567" w:leftChars="0" w:hanging="567" w:firstLineChars="0"/>
        <w:rPr>
          <w:rFonts w:hint="eastAsia" w:ascii="仿宋_GB2312" w:hAnsi="仿宋" w:eastAsia="仿宋_GB2312" w:cs="Arial"/>
          <w:b w:val="0"/>
          <w:bCs w:val="0"/>
          <w:kern w:val="0"/>
          <w:sz w:val="24"/>
          <w:highlight w:val="none"/>
        </w:rPr>
      </w:pPr>
      <w:r>
        <w:rPr>
          <w:rFonts w:hint="eastAsia" w:ascii="仿宋_GB2312" w:hAnsi="仿宋" w:eastAsia="仿宋_GB2312" w:cs="Arial"/>
          <w:b/>
          <w:bCs/>
          <w:kern w:val="0"/>
          <w:sz w:val="24"/>
          <w:highlight w:val="none"/>
        </w:rPr>
        <w:t>投标人澄清、说明或者补正。</w:t>
      </w:r>
      <w:r>
        <w:rPr>
          <w:rFonts w:hint="eastAsia" w:ascii="仿宋_GB2312" w:hAnsi="仿宋" w:eastAsia="仿宋_GB2312" w:cs="Arial"/>
          <w:b w:val="0"/>
          <w:bCs w:val="0"/>
          <w:kern w:val="0"/>
          <w:sz w:val="24"/>
          <w:highlight w:val="none"/>
        </w:rPr>
        <w:t>对于投标文件中含义不明确、同类问题表</w:t>
      </w:r>
      <w:r>
        <w:rPr>
          <w:rFonts w:hint="eastAsia" w:ascii="仿宋_GB2312" w:hAnsi="仿宋" w:eastAsia="仿宋_GB2312" w:cs="Arial"/>
          <w:b w:val="0"/>
          <w:bCs w:val="0"/>
          <w:kern w:val="0"/>
          <w:sz w:val="24"/>
          <w:highlight w:val="none"/>
          <w:lang w:val="en-US" w:eastAsia="zh-CN"/>
        </w:rPr>
        <w:t>述不一致或者有明显文字和计算错误的内容需要投标人作出必要的澄清、说明或者补正的，评标委员会和投标人通过电子交易平台交换数据电文，投标人提</w:t>
      </w:r>
      <w:r>
        <w:rPr>
          <w:rFonts w:hint="eastAsia" w:ascii="仿宋_GB2312" w:hAnsi="仿宋" w:eastAsia="仿宋_GB2312" w:cs="Arial"/>
          <w:b w:val="0"/>
          <w:bCs w:val="0"/>
          <w:kern w:val="0"/>
          <w:sz w:val="24"/>
          <w:highlight w:val="none"/>
        </w:rPr>
        <w:t>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numPr>
          <w:ilvl w:val="1"/>
          <w:numId w:val="7"/>
        </w:numPr>
        <w:tabs>
          <w:tab w:val="left" w:pos="210"/>
        </w:tabs>
        <w:adjustRightInd/>
        <w:spacing w:line="360" w:lineRule="auto"/>
        <w:ind w:left="567" w:leftChars="0" w:hanging="567" w:firstLineChars="0"/>
        <w:rPr>
          <w:rFonts w:hint="eastAsia" w:ascii="仿宋_GB2312" w:hAnsi="仿宋" w:eastAsia="仿宋_GB2312" w:cs="Arial"/>
          <w:b/>
          <w:bCs/>
          <w:kern w:val="0"/>
          <w:sz w:val="24"/>
          <w:highlight w:val="none"/>
        </w:rPr>
      </w:pPr>
      <w:r>
        <w:rPr>
          <w:rFonts w:hint="eastAsia" w:ascii="仿宋_GB2312" w:hAnsi="仿宋" w:eastAsia="仿宋_GB2312" w:cs="Arial"/>
          <w:b/>
          <w:bCs/>
          <w:kern w:val="0"/>
          <w:sz w:val="24"/>
          <w:highlight w:val="none"/>
        </w:rPr>
        <w:t>投标无效。有下列情况之一的，投标无效：</w:t>
      </w:r>
    </w:p>
    <w:p>
      <w:pPr>
        <w:numPr>
          <w:ilvl w:val="2"/>
          <w:numId w:val="7"/>
        </w:numPr>
        <w:tabs>
          <w:tab w:val="left" w:pos="210"/>
          <w:tab w:val="left" w:pos="840"/>
        </w:tabs>
        <w:adjustRightInd/>
        <w:spacing w:line="360" w:lineRule="auto"/>
        <w:ind w:left="829" w:leftChars="0" w:hanging="829" w:firstLineChars="0"/>
        <w:rPr>
          <w:rFonts w:hint="eastAsia" w:ascii="仿宋_GB2312" w:hAnsi="仿宋" w:eastAsia="仿宋_GB2312" w:cs="Arial"/>
          <w:b/>
          <w:bCs/>
          <w:kern w:val="0"/>
          <w:sz w:val="24"/>
          <w:highlight w:val="none"/>
        </w:rPr>
      </w:pPr>
      <w:r>
        <w:rPr>
          <w:rFonts w:hint="eastAsia" w:ascii="仿宋_GB2312" w:hAnsi="仿宋" w:eastAsia="仿宋_GB2312" w:cs="Arial"/>
          <w:b/>
          <w:bCs/>
          <w:kern w:val="0"/>
          <w:sz w:val="24"/>
          <w:highlight w:val="none"/>
        </w:rPr>
        <w:t>投标人不具备招标文件中规定的资格要求的（投标人未提供有效的资格文件的，视为投标人不具备招标文件中规定的资格要求）；</w:t>
      </w:r>
    </w:p>
    <w:p>
      <w:pPr>
        <w:numPr>
          <w:ilvl w:val="2"/>
          <w:numId w:val="7"/>
        </w:numPr>
        <w:tabs>
          <w:tab w:val="left" w:pos="210"/>
          <w:tab w:val="left" w:pos="840"/>
        </w:tabs>
        <w:adjustRightInd/>
        <w:spacing w:line="360" w:lineRule="auto"/>
        <w:ind w:left="829" w:leftChars="0" w:hanging="829" w:firstLineChars="0"/>
        <w:rPr>
          <w:rFonts w:hint="eastAsia" w:ascii="仿宋_GB2312" w:hAnsi="仿宋" w:eastAsia="仿宋_GB2312" w:cs="Arial"/>
          <w:b/>
          <w:bCs/>
          <w:kern w:val="0"/>
          <w:sz w:val="24"/>
          <w:highlight w:val="none"/>
        </w:rPr>
      </w:pPr>
      <w:r>
        <w:rPr>
          <w:rFonts w:hint="eastAsia" w:ascii="仿宋_GB2312" w:hAnsi="仿宋" w:eastAsia="仿宋_GB2312" w:cs="Arial"/>
          <w:b/>
          <w:bCs/>
          <w:kern w:val="0"/>
          <w:sz w:val="24"/>
          <w:highlight w:val="none"/>
        </w:rPr>
        <w:t>投标文件未按照招标文件要求签署、盖章的；</w:t>
      </w:r>
    </w:p>
    <w:p>
      <w:pPr>
        <w:numPr>
          <w:ilvl w:val="2"/>
          <w:numId w:val="7"/>
        </w:numPr>
        <w:tabs>
          <w:tab w:val="left" w:pos="210"/>
          <w:tab w:val="left" w:pos="840"/>
        </w:tabs>
        <w:adjustRightInd/>
        <w:spacing w:line="360" w:lineRule="auto"/>
        <w:ind w:left="829" w:leftChars="0" w:hanging="829" w:firstLineChars="0"/>
        <w:rPr>
          <w:rFonts w:hint="eastAsia" w:ascii="仿宋_GB2312" w:hAnsi="仿宋" w:eastAsia="仿宋_GB2312" w:cs="Arial"/>
          <w:b/>
          <w:bCs/>
          <w:kern w:val="0"/>
          <w:sz w:val="24"/>
          <w:highlight w:val="none"/>
        </w:rPr>
      </w:pPr>
      <w:r>
        <w:rPr>
          <w:rFonts w:hint="eastAsia" w:ascii="仿宋_GB2312" w:hAnsi="仿宋" w:eastAsia="仿宋_GB2312" w:cs="Arial"/>
          <w:b/>
          <w:bCs/>
          <w:kern w:val="0"/>
          <w:sz w:val="24"/>
          <w:highlight w:val="none"/>
        </w:rPr>
        <w:t>采购人拟采购的产品属于政府强制采购的节能产品品目清单范围的，投标人未按招标文件要求提供国家确定的认证机构出具的、处于有效期之内的节能产品认证证书的；</w:t>
      </w:r>
    </w:p>
    <w:p>
      <w:pPr>
        <w:numPr>
          <w:ilvl w:val="2"/>
          <w:numId w:val="7"/>
        </w:numPr>
        <w:tabs>
          <w:tab w:val="left" w:pos="210"/>
          <w:tab w:val="left" w:pos="840"/>
        </w:tabs>
        <w:adjustRightInd/>
        <w:spacing w:line="360" w:lineRule="auto"/>
        <w:ind w:left="829" w:leftChars="0" w:hanging="829" w:firstLineChars="0"/>
        <w:rPr>
          <w:rFonts w:hint="eastAsia" w:ascii="仿宋_GB2312" w:hAnsi="仿宋" w:eastAsia="仿宋_GB2312" w:cs="Arial"/>
          <w:b/>
          <w:bCs/>
          <w:kern w:val="0"/>
          <w:sz w:val="24"/>
          <w:highlight w:val="none"/>
        </w:rPr>
      </w:pPr>
      <w:r>
        <w:rPr>
          <w:rFonts w:hint="eastAsia" w:ascii="仿宋_GB2312" w:hAnsi="仿宋" w:eastAsia="仿宋_GB2312" w:cs="Arial"/>
          <w:b/>
          <w:bCs/>
          <w:kern w:val="0"/>
          <w:sz w:val="24"/>
          <w:highlight w:val="none"/>
        </w:rPr>
        <w:t>投标文件含有采购人不能接受的附加条件的；</w:t>
      </w:r>
    </w:p>
    <w:p>
      <w:pPr>
        <w:numPr>
          <w:ilvl w:val="2"/>
          <w:numId w:val="7"/>
        </w:numPr>
        <w:tabs>
          <w:tab w:val="left" w:pos="210"/>
          <w:tab w:val="left" w:pos="840"/>
        </w:tabs>
        <w:adjustRightInd/>
        <w:spacing w:line="360" w:lineRule="auto"/>
        <w:ind w:left="829" w:leftChars="0" w:hanging="829" w:firstLineChars="0"/>
        <w:rPr>
          <w:rFonts w:hint="eastAsia" w:ascii="仿宋_GB2312" w:hAnsi="仿宋" w:eastAsia="仿宋_GB2312" w:cs="Arial"/>
          <w:b/>
          <w:bCs/>
          <w:kern w:val="0"/>
          <w:sz w:val="24"/>
          <w:highlight w:val="none"/>
        </w:rPr>
      </w:pPr>
      <w:r>
        <w:rPr>
          <w:rFonts w:hint="eastAsia" w:ascii="仿宋_GB2312" w:hAnsi="仿宋" w:eastAsia="仿宋_GB2312" w:cs="Arial"/>
          <w:b/>
          <w:bCs/>
          <w:kern w:val="0"/>
          <w:sz w:val="24"/>
          <w:highlight w:val="none"/>
        </w:rPr>
        <w:t>投标文件中承诺的投标有效期少于招标文件中载明的投标有效期的；</w:t>
      </w:r>
    </w:p>
    <w:p>
      <w:pPr>
        <w:numPr>
          <w:ilvl w:val="2"/>
          <w:numId w:val="7"/>
        </w:numPr>
        <w:tabs>
          <w:tab w:val="left" w:pos="210"/>
          <w:tab w:val="left" w:pos="840"/>
        </w:tabs>
        <w:adjustRightInd/>
        <w:spacing w:line="360" w:lineRule="auto"/>
        <w:ind w:left="829" w:leftChars="0" w:hanging="829" w:firstLineChars="0"/>
        <w:rPr>
          <w:rFonts w:hint="eastAsia" w:ascii="仿宋_GB2312" w:hAnsi="仿宋" w:eastAsia="仿宋_GB2312" w:cs="Arial"/>
          <w:b/>
          <w:bCs/>
          <w:kern w:val="0"/>
          <w:sz w:val="24"/>
          <w:highlight w:val="none"/>
        </w:rPr>
      </w:pPr>
      <w:r>
        <w:rPr>
          <w:rFonts w:hint="eastAsia" w:ascii="仿宋_GB2312" w:hAnsi="仿宋" w:eastAsia="仿宋_GB2312" w:cs="Arial"/>
          <w:b/>
          <w:bCs/>
          <w:kern w:val="0"/>
          <w:sz w:val="24"/>
          <w:highlight w:val="none"/>
        </w:rPr>
        <w:t>投标文件出现不是唯一的、有选择性投标报价的;</w:t>
      </w:r>
    </w:p>
    <w:p>
      <w:pPr>
        <w:numPr>
          <w:ilvl w:val="2"/>
          <w:numId w:val="7"/>
        </w:numPr>
        <w:tabs>
          <w:tab w:val="left" w:pos="210"/>
          <w:tab w:val="left" w:pos="840"/>
        </w:tabs>
        <w:adjustRightInd/>
        <w:spacing w:line="360" w:lineRule="auto"/>
        <w:ind w:left="829" w:leftChars="0" w:hanging="829" w:firstLineChars="0"/>
        <w:rPr>
          <w:rFonts w:hint="eastAsia" w:ascii="仿宋_GB2312" w:hAnsi="仿宋" w:eastAsia="仿宋_GB2312" w:cs="Arial"/>
          <w:b/>
          <w:bCs/>
          <w:kern w:val="0"/>
          <w:sz w:val="24"/>
          <w:highlight w:val="none"/>
        </w:rPr>
      </w:pPr>
      <w:r>
        <w:rPr>
          <w:rFonts w:hint="eastAsia" w:ascii="仿宋_GB2312" w:hAnsi="仿宋" w:eastAsia="仿宋_GB2312" w:cs="Arial"/>
          <w:b/>
          <w:bCs/>
          <w:kern w:val="0"/>
          <w:sz w:val="24"/>
          <w:highlight w:val="none"/>
        </w:rPr>
        <w:t>投标报价超过招标文件中规定的预算金额或者最高限价的;</w:t>
      </w:r>
    </w:p>
    <w:p>
      <w:pPr>
        <w:numPr>
          <w:ilvl w:val="2"/>
          <w:numId w:val="7"/>
        </w:numPr>
        <w:tabs>
          <w:tab w:val="left" w:pos="210"/>
          <w:tab w:val="left" w:pos="840"/>
        </w:tabs>
        <w:adjustRightInd/>
        <w:spacing w:line="360" w:lineRule="auto"/>
        <w:ind w:left="829" w:leftChars="0" w:hanging="829" w:firstLineChars="0"/>
        <w:rPr>
          <w:rFonts w:hint="eastAsia" w:ascii="仿宋_GB2312" w:hAnsi="仿宋" w:eastAsia="仿宋_GB2312" w:cs="Arial"/>
          <w:b/>
          <w:bCs/>
          <w:kern w:val="0"/>
          <w:sz w:val="24"/>
          <w:highlight w:val="none"/>
        </w:rPr>
      </w:pPr>
      <w:r>
        <w:rPr>
          <w:rFonts w:hint="eastAsia" w:ascii="仿宋_GB2312" w:hAnsi="仿宋" w:eastAsia="仿宋_GB2312" w:cs="Arial"/>
          <w:b/>
          <w:bCs/>
          <w:kern w:val="0"/>
          <w:sz w:val="24"/>
          <w:highlight w:val="none"/>
        </w:rPr>
        <w:t>报价明显低于其他通过符合性审查投标人的报价，有可能影响产品质量或者不能诚信履约的，未能按要求提供书面说明或者提交相关证明材料，不能证明其报价合理性的;</w:t>
      </w:r>
    </w:p>
    <w:p>
      <w:pPr>
        <w:numPr>
          <w:ilvl w:val="2"/>
          <w:numId w:val="7"/>
        </w:numPr>
        <w:tabs>
          <w:tab w:val="left" w:pos="210"/>
          <w:tab w:val="left" w:pos="840"/>
        </w:tabs>
        <w:adjustRightInd/>
        <w:spacing w:line="360" w:lineRule="auto"/>
        <w:ind w:left="829" w:leftChars="0" w:hanging="829" w:firstLineChars="0"/>
        <w:rPr>
          <w:rFonts w:hint="eastAsia" w:ascii="仿宋_GB2312" w:hAnsi="仿宋" w:eastAsia="仿宋_GB2312" w:cs="Arial"/>
          <w:b/>
          <w:bCs/>
          <w:kern w:val="0"/>
          <w:sz w:val="24"/>
          <w:highlight w:val="none"/>
        </w:rPr>
      </w:pPr>
      <w:r>
        <w:rPr>
          <w:rFonts w:hint="eastAsia" w:ascii="仿宋_GB2312" w:hAnsi="仿宋" w:eastAsia="仿宋_GB2312" w:cs="Arial"/>
          <w:b/>
          <w:bCs/>
          <w:kern w:val="0"/>
          <w:sz w:val="24"/>
          <w:highlight w:val="none"/>
        </w:rPr>
        <w:t>投标人对根据修正原则修正后的报价不确认的；</w:t>
      </w:r>
    </w:p>
    <w:p>
      <w:pPr>
        <w:numPr>
          <w:ilvl w:val="2"/>
          <w:numId w:val="7"/>
        </w:numPr>
        <w:tabs>
          <w:tab w:val="left" w:pos="210"/>
          <w:tab w:val="left" w:pos="840"/>
          <w:tab w:val="left" w:pos="1050"/>
          <w:tab w:val="left" w:pos="1260"/>
        </w:tabs>
        <w:adjustRightInd/>
        <w:spacing w:line="360" w:lineRule="auto"/>
        <w:ind w:left="829" w:leftChars="0" w:hanging="829" w:firstLineChars="0"/>
        <w:rPr>
          <w:rFonts w:hint="eastAsia" w:ascii="仿宋_GB2312" w:hAnsi="仿宋" w:eastAsia="仿宋_GB2312" w:cs="Arial"/>
          <w:b/>
          <w:bCs/>
          <w:kern w:val="0"/>
          <w:sz w:val="24"/>
          <w:highlight w:val="none"/>
        </w:rPr>
      </w:pPr>
      <w:r>
        <w:rPr>
          <w:rFonts w:hint="eastAsia" w:ascii="仿宋_GB2312" w:hAnsi="仿宋" w:eastAsia="仿宋_GB2312" w:cs="Arial"/>
          <w:b/>
          <w:bCs/>
          <w:kern w:val="0"/>
          <w:sz w:val="24"/>
          <w:highlight w:val="none"/>
        </w:rPr>
        <w:t>投标人提供虚假材料投标的；</w:t>
      </w:r>
    </w:p>
    <w:p>
      <w:pPr>
        <w:numPr>
          <w:ilvl w:val="2"/>
          <w:numId w:val="7"/>
        </w:numPr>
        <w:tabs>
          <w:tab w:val="left" w:pos="210"/>
          <w:tab w:val="left" w:pos="840"/>
          <w:tab w:val="left" w:pos="1050"/>
          <w:tab w:val="left" w:pos="1260"/>
        </w:tabs>
        <w:adjustRightInd/>
        <w:spacing w:line="360" w:lineRule="auto"/>
        <w:ind w:left="1049" w:leftChars="0" w:hanging="1049" w:firstLineChars="0"/>
        <w:rPr>
          <w:rFonts w:hint="eastAsia" w:ascii="仿宋_GB2312" w:hAnsi="仿宋" w:eastAsia="仿宋_GB2312" w:cs="Arial"/>
          <w:b/>
          <w:bCs/>
          <w:kern w:val="0"/>
          <w:sz w:val="24"/>
          <w:highlight w:val="none"/>
        </w:rPr>
      </w:pPr>
      <w:r>
        <w:rPr>
          <w:rFonts w:hint="eastAsia" w:ascii="仿宋_GB2312" w:hAnsi="仿宋" w:eastAsia="仿宋_GB2312" w:cs="Arial"/>
          <w:b/>
          <w:bCs/>
          <w:kern w:val="0"/>
          <w:sz w:val="24"/>
          <w:highlight w:val="none"/>
        </w:rPr>
        <w:t>投标人有恶意串通、妨碍其他投标人的竞争行为、损害采购人或者其他投标人的合法权益情形的；</w:t>
      </w:r>
    </w:p>
    <w:p>
      <w:pPr>
        <w:numPr>
          <w:ilvl w:val="2"/>
          <w:numId w:val="7"/>
        </w:numPr>
        <w:tabs>
          <w:tab w:val="left" w:pos="210"/>
          <w:tab w:val="left" w:pos="840"/>
          <w:tab w:val="left" w:pos="1050"/>
          <w:tab w:val="left" w:pos="1260"/>
        </w:tabs>
        <w:adjustRightInd/>
        <w:spacing w:line="360" w:lineRule="auto"/>
        <w:ind w:left="1049" w:leftChars="0" w:hanging="1049" w:firstLineChars="0"/>
        <w:rPr>
          <w:rFonts w:hint="eastAsia" w:ascii="仿宋_GB2312" w:hAnsi="仿宋" w:eastAsia="仿宋_GB2312" w:cs="Arial"/>
          <w:b/>
          <w:bCs/>
          <w:kern w:val="0"/>
          <w:sz w:val="24"/>
          <w:highlight w:val="none"/>
        </w:rPr>
      </w:pPr>
      <w:r>
        <w:rPr>
          <w:rFonts w:hint="eastAsia" w:ascii="仿宋_GB2312" w:hAnsi="仿宋" w:eastAsia="仿宋_GB2312" w:cs="Arial"/>
          <w:b/>
          <w:bCs/>
          <w:kern w:val="0"/>
          <w:sz w:val="24"/>
          <w:highlight w:val="none"/>
        </w:rPr>
        <w:t>投标人仅提交备份投标文件，没有在电子交易平台传输递交投标文件的，投标无效；</w:t>
      </w:r>
    </w:p>
    <w:p>
      <w:pPr>
        <w:numPr>
          <w:ilvl w:val="2"/>
          <w:numId w:val="7"/>
        </w:numPr>
        <w:tabs>
          <w:tab w:val="left" w:pos="210"/>
          <w:tab w:val="left" w:pos="840"/>
          <w:tab w:val="left" w:pos="1050"/>
          <w:tab w:val="left" w:pos="1260"/>
        </w:tabs>
        <w:adjustRightInd/>
        <w:spacing w:line="360" w:lineRule="auto"/>
        <w:ind w:left="1049" w:leftChars="0" w:hanging="1049" w:firstLineChars="0"/>
        <w:rPr>
          <w:rFonts w:hint="eastAsia" w:ascii="仿宋_GB2312" w:hAnsi="仿宋" w:eastAsia="仿宋_GB2312" w:cs="Arial"/>
          <w:b/>
          <w:bCs/>
          <w:kern w:val="0"/>
          <w:sz w:val="24"/>
          <w:highlight w:val="none"/>
          <w:lang w:val="en-US"/>
        </w:rPr>
      </w:pPr>
      <w:r>
        <w:rPr>
          <w:rFonts w:hint="eastAsia" w:ascii="仿宋_GB2312" w:hAnsi="仿宋" w:eastAsia="仿宋_GB2312" w:cs="Arial"/>
          <w:b/>
          <w:bCs/>
          <w:kern w:val="0"/>
          <w:sz w:val="24"/>
          <w:highlight w:val="none"/>
          <w:lang w:val="en-US"/>
        </w:rPr>
        <w:t>投标文件不满足招标文件的其它实质性要求的；</w:t>
      </w:r>
    </w:p>
    <w:p>
      <w:pPr>
        <w:numPr>
          <w:ilvl w:val="2"/>
          <w:numId w:val="7"/>
        </w:numPr>
        <w:tabs>
          <w:tab w:val="left" w:pos="210"/>
          <w:tab w:val="left" w:pos="840"/>
          <w:tab w:val="left" w:pos="1050"/>
          <w:tab w:val="left" w:pos="1260"/>
        </w:tabs>
        <w:adjustRightInd/>
        <w:spacing w:line="360" w:lineRule="auto"/>
        <w:ind w:left="1049" w:leftChars="0" w:hanging="1049" w:firstLineChars="0"/>
        <w:rPr>
          <w:rFonts w:hint="eastAsia" w:ascii="仿宋_GB2312" w:hAnsi="仿宋" w:eastAsia="仿宋_GB2312" w:cs="Arial"/>
          <w:b/>
          <w:bCs/>
          <w:kern w:val="0"/>
          <w:sz w:val="24"/>
          <w:highlight w:val="none"/>
        </w:rPr>
      </w:pPr>
      <w:r>
        <w:rPr>
          <w:rFonts w:hint="eastAsia" w:ascii="仿宋_GB2312" w:hAnsi="仿宋" w:eastAsia="仿宋_GB2312" w:cs="Arial"/>
          <w:b/>
          <w:bCs/>
          <w:kern w:val="0"/>
          <w:sz w:val="24"/>
          <w:highlight w:val="none"/>
        </w:rPr>
        <w:t>法律、法规、规章（适用本市的）及省级以上规范性文件（适用本市的）规定的其他无效情形。</w:t>
      </w:r>
    </w:p>
    <w:p>
      <w:pPr>
        <w:numPr>
          <w:ilvl w:val="0"/>
          <w:numId w:val="7"/>
        </w:numPr>
        <w:tabs>
          <w:tab w:val="left" w:pos="210"/>
          <w:tab w:val="clear" w:pos="399"/>
        </w:tabs>
        <w:adjustRightInd/>
        <w:spacing w:line="360" w:lineRule="auto"/>
        <w:ind w:left="405" w:leftChars="0" w:hanging="405" w:firstLineChars="0"/>
        <w:rPr>
          <w:rFonts w:hint="eastAsia" w:ascii="仿宋_GB2312" w:hAnsi="仿宋" w:eastAsia="仿宋_GB2312" w:cs="Arial"/>
          <w:b w:val="0"/>
          <w:bCs w:val="0"/>
          <w:kern w:val="0"/>
          <w:sz w:val="24"/>
          <w:highlight w:val="none"/>
        </w:rPr>
      </w:pPr>
      <w:r>
        <w:rPr>
          <w:rFonts w:hint="eastAsia" w:ascii="仿宋_GB2312" w:hAnsi="仿宋" w:eastAsia="仿宋_GB2312" w:cs="Arial"/>
          <w:b/>
          <w:bCs/>
          <w:kern w:val="0"/>
          <w:sz w:val="24"/>
          <w:highlight w:val="none"/>
        </w:rPr>
        <w:t>废标。</w:t>
      </w:r>
      <w:r>
        <w:rPr>
          <w:rFonts w:hint="eastAsia" w:ascii="仿宋_GB2312" w:hAnsi="仿宋" w:eastAsia="仿宋_GB2312" w:cs="Arial"/>
          <w:b w:val="0"/>
          <w:bCs w:val="0"/>
          <w:kern w:val="0"/>
          <w:sz w:val="24"/>
          <w:highlight w:val="none"/>
        </w:rPr>
        <w:t>根据《中华人民共和国政府采购法》第三十六条之规定，在采购中，出现下列情形之一的，应予废标：</w:t>
      </w:r>
    </w:p>
    <w:p>
      <w:pPr>
        <w:numPr>
          <w:ilvl w:val="1"/>
          <w:numId w:val="7"/>
        </w:numPr>
        <w:tabs>
          <w:tab w:val="left" w:pos="210"/>
        </w:tabs>
        <w:adjustRightInd/>
        <w:spacing w:line="360" w:lineRule="auto"/>
        <w:ind w:left="567" w:leftChars="0" w:hanging="567" w:firstLineChars="0"/>
        <w:rPr>
          <w:rFonts w:hint="eastAsia" w:ascii="仿宋_GB2312" w:hAnsi="仿宋" w:eastAsia="仿宋_GB2312" w:cs="Arial"/>
          <w:b w:val="0"/>
          <w:bCs w:val="0"/>
          <w:kern w:val="0"/>
          <w:sz w:val="24"/>
          <w:highlight w:val="none"/>
        </w:rPr>
      </w:pPr>
      <w:r>
        <w:rPr>
          <w:rFonts w:hint="eastAsia" w:ascii="仿宋_GB2312" w:hAnsi="仿宋" w:eastAsia="仿宋_GB2312" w:cs="Arial"/>
          <w:b w:val="0"/>
          <w:bCs w:val="0"/>
          <w:kern w:val="0"/>
          <w:sz w:val="24"/>
          <w:highlight w:val="none"/>
        </w:rPr>
        <w:t>符合专业条件的供应商或者对招标文件作实质响应的供应商不足3家的；</w:t>
      </w:r>
    </w:p>
    <w:p>
      <w:pPr>
        <w:numPr>
          <w:ilvl w:val="1"/>
          <w:numId w:val="7"/>
        </w:numPr>
        <w:tabs>
          <w:tab w:val="left" w:pos="210"/>
        </w:tabs>
        <w:adjustRightInd/>
        <w:spacing w:line="360" w:lineRule="auto"/>
        <w:ind w:left="567" w:leftChars="0" w:hanging="567" w:firstLineChars="0"/>
        <w:rPr>
          <w:rFonts w:hint="eastAsia" w:ascii="仿宋_GB2312" w:hAnsi="仿宋" w:eastAsia="仿宋_GB2312" w:cs="Arial"/>
          <w:b w:val="0"/>
          <w:bCs w:val="0"/>
          <w:kern w:val="0"/>
          <w:sz w:val="24"/>
          <w:highlight w:val="none"/>
        </w:rPr>
      </w:pPr>
      <w:r>
        <w:rPr>
          <w:rFonts w:hint="eastAsia" w:ascii="仿宋_GB2312" w:hAnsi="仿宋" w:eastAsia="仿宋_GB2312" w:cs="Arial"/>
          <w:b w:val="0"/>
          <w:bCs w:val="0"/>
          <w:kern w:val="0"/>
          <w:sz w:val="24"/>
          <w:highlight w:val="none"/>
        </w:rPr>
        <w:t>出现影响采购公正的违法、违规行为的；</w:t>
      </w:r>
    </w:p>
    <w:p>
      <w:pPr>
        <w:numPr>
          <w:ilvl w:val="1"/>
          <w:numId w:val="7"/>
        </w:numPr>
        <w:tabs>
          <w:tab w:val="left" w:pos="210"/>
        </w:tabs>
        <w:adjustRightInd/>
        <w:spacing w:line="360" w:lineRule="auto"/>
        <w:ind w:left="567" w:leftChars="0" w:hanging="567" w:firstLineChars="0"/>
        <w:rPr>
          <w:rFonts w:hint="eastAsia" w:ascii="仿宋_GB2312" w:hAnsi="仿宋" w:eastAsia="仿宋_GB2312" w:cs="Arial"/>
          <w:b w:val="0"/>
          <w:bCs w:val="0"/>
          <w:kern w:val="0"/>
          <w:sz w:val="24"/>
          <w:highlight w:val="none"/>
        </w:rPr>
      </w:pPr>
      <w:r>
        <w:rPr>
          <w:rFonts w:hint="eastAsia" w:ascii="仿宋_GB2312" w:hAnsi="仿宋" w:eastAsia="仿宋_GB2312" w:cs="Arial"/>
          <w:b w:val="0"/>
          <w:bCs w:val="0"/>
          <w:kern w:val="0"/>
          <w:sz w:val="24"/>
          <w:highlight w:val="none"/>
        </w:rPr>
        <w:t>投标人的报价均超过了采购预算，采购人不能支付的；</w:t>
      </w:r>
    </w:p>
    <w:p>
      <w:pPr>
        <w:numPr>
          <w:ilvl w:val="1"/>
          <w:numId w:val="7"/>
        </w:numPr>
        <w:tabs>
          <w:tab w:val="left" w:pos="210"/>
        </w:tabs>
        <w:adjustRightInd/>
        <w:spacing w:line="360" w:lineRule="auto"/>
        <w:ind w:left="567" w:leftChars="0" w:hanging="567" w:firstLineChars="0"/>
        <w:rPr>
          <w:rFonts w:hint="eastAsia" w:ascii="仿宋_GB2312" w:hAnsi="仿宋" w:eastAsia="仿宋_GB2312" w:cs="Arial"/>
          <w:b w:val="0"/>
          <w:bCs w:val="0"/>
          <w:kern w:val="0"/>
          <w:sz w:val="24"/>
          <w:highlight w:val="none"/>
        </w:rPr>
      </w:pPr>
      <w:r>
        <w:rPr>
          <w:rFonts w:hint="eastAsia" w:ascii="仿宋_GB2312" w:hAnsi="仿宋" w:eastAsia="仿宋_GB2312" w:cs="Arial"/>
          <w:b w:val="0"/>
          <w:bCs w:val="0"/>
          <w:kern w:val="0"/>
          <w:sz w:val="24"/>
          <w:highlight w:val="none"/>
        </w:rPr>
        <w:t>因重大变故，采购任务取消的。</w:t>
      </w:r>
    </w:p>
    <w:p>
      <w:pPr>
        <w:pStyle w:val="18"/>
        <w:snapToGrid w:val="0"/>
        <w:spacing w:line="360" w:lineRule="auto"/>
        <w:rPr>
          <w:rFonts w:ascii="仿宋_GB2312" w:hAnsi="仿宋" w:eastAsia="仿宋_GB2312" w:cs="仿宋_GB2312"/>
          <w:highlight w:val="none"/>
        </w:rPr>
      </w:pPr>
      <w:r>
        <w:rPr>
          <w:rFonts w:hint="eastAsia" w:ascii="仿宋_GB2312" w:hAnsi="仿宋" w:eastAsia="仿宋_GB2312" w:cs="仿宋_GB2312"/>
          <w:highlight w:val="none"/>
        </w:rPr>
        <w:t>废标后，</w:t>
      </w:r>
      <w:r>
        <w:rPr>
          <w:rFonts w:hint="eastAsia" w:ascii="仿宋_GB2312" w:hAnsi="仿宋" w:eastAsia="仿宋_GB2312" w:cs="仿宋_GB2312"/>
          <w:highlight w:val="none"/>
          <w:lang w:eastAsia="zh-CN"/>
        </w:rPr>
        <w:t>采购代理机构</w:t>
      </w:r>
      <w:r>
        <w:rPr>
          <w:rFonts w:hint="eastAsia" w:ascii="仿宋_GB2312" w:hAnsi="仿宋" w:eastAsia="仿宋_GB2312" w:cs="仿宋_GB2312"/>
          <w:highlight w:val="none"/>
        </w:rPr>
        <w:t>应当将废标理由通知所有投标人。</w:t>
      </w:r>
    </w:p>
    <w:p>
      <w:pPr>
        <w:numPr>
          <w:ilvl w:val="0"/>
          <w:numId w:val="7"/>
        </w:numPr>
        <w:tabs>
          <w:tab w:val="left" w:pos="210"/>
          <w:tab w:val="clear" w:pos="399"/>
        </w:tabs>
        <w:adjustRightInd/>
        <w:spacing w:line="360" w:lineRule="auto"/>
        <w:ind w:left="405" w:leftChars="0" w:hanging="405" w:firstLineChars="0"/>
        <w:rPr>
          <w:rFonts w:hint="eastAsia" w:ascii="仿宋_GB2312" w:hAnsi="仿宋" w:eastAsia="仿宋_GB2312" w:cs="Arial"/>
          <w:b w:val="0"/>
          <w:bCs w:val="0"/>
          <w:kern w:val="0"/>
          <w:sz w:val="24"/>
          <w:highlight w:val="none"/>
        </w:rPr>
      </w:pPr>
      <w:r>
        <w:rPr>
          <w:rFonts w:hint="eastAsia" w:ascii="仿宋_GB2312" w:hAnsi="仿宋" w:eastAsia="仿宋_GB2312" w:cs="Arial"/>
          <w:b/>
          <w:bCs/>
          <w:kern w:val="0"/>
          <w:sz w:val="24"/>
          <w:highlight w:val="none"/>
        </w:rPr>
        <w:t>修改招标文件，重新组织采购活动。</w:t>
      </w:r>
      <w:r>
        <w:rPr>
          <w:rFonts w:hint="eastAsia" w:ascii="仿宋_GB2312" w:hAnsi="仿宋" w:eastAsia="仿宋_GB2312" w:cs="Arial"/>
          <w:b w:val="0"/>
          <w:bCs w:val="0"/>
          <w:kern w:val="0"/>
          <w:sz w:val="24"/>
          <w:highlight w:val="none"/>
        </w:rPr>
        <w:t>评标委员会发现招标文件存在歧义、重大缺陷导致评标工作无法进行，或者招标文件内容违反国家有关强制性规定的，将停止评标工作，并与采购人、</w:t>
      </w:r>
      <w:r>
        <w:rPr>
          <w:rFonts w:hint="eastAsia" w:ascii="仿宋_GB2312" w:hAnsi="仿宋" w:eastAsia="仿宋_GB2312" w:cs="Arial"/>
          <w:b w:val="0"/>
          <w:bCs w:val="0"/>
          <w:kern w:val="0"/>
          <w:sz w:val="24"/>
          <w:highlight w:val="none"/>
          <w:lang w:eastAsia="zh-CN"/>
        </w:rPr>
        <w:t>采购代理机构</w:t>
      </w:r>
      <w:r>
        <w:rPr>
          <w:rFonts w:hint="eastAsia" w:ascii="仿宋_GB2312" w:hAnsi="仿宋" w:eastAsia="仿宋_GB2312" w:cs="Arial"/>
          <w:b w:val="0"/>
          <w:bCs w:val="0"/>
          <w:kern w:val="0"/>
          <w:sz w:val="24"/>
          <w:highlight w:val="none"/>
        </w:rPr>
        <w:t>沟通并作书面记录。采购人、</w:t>
      </w:r>
      <w:r>
        <w:rPr>
          <w:rFonts w:hint="eastAsia" w:ascii="仿宋_GB2312" w:hAnsi="仿宋" w:eastAsia="仿宋_GB2312" w:cs="Arial"/>
          <w:b w:val="0"/>
          <w:bCs w:val="0"/>
          <w:kern w:val="0"/>
          <w:sz w:val="24"/>
          <w:highlight w:val="none"/>
          <w:lang w:eastAsia="zh-CN"/>
        </w:rPr>
        <w:t>采购代理机构</w:t>
      </w:r>
      <w:r>
        <w:rPr>
          <w:rFonts w:hint="eastAsia" w:ascii="仿宋_GB2312" w:hAnsi="仿宋" w:eastAsia="仿宋_GB2312" w:cs="Arial"/>
          <w:b w:val="0"/>
          <w:bCs w:val="0"/>
          <w:kern w:val="0"/>
          <w:sz w:val="24"/>
          <w:highlight w:val="none"/>
        </w:rPr>
        <w:t>确认后，将修改招标文件，重新组织采购活动。</w:t>
      </w:r>
    </w:p>
    <w:p>
      <w:pPr>
        <w:numPr>
          <w:ilvl w:val="0"/>
          <w:numId w:val="7"/>
        </w:numPr>
        <w:tabs>
          <w:tab w:val="left" w:pos="210"/>
          <w:tab w:val="clear" w:pos="399"/>
        </w:tabs>
        <w:adjustRightInd/>
        <w:spacing w:line="360" w:lineRule="auto"/>
        <w:ind w:left="405" w:leftChars="0" w:hanging="405" w:firstLineChars="0"/>
        <w:rPr>
          <w:rFonts w:hint="eastAsia" w:ascii="仿宋_GB2312" w:hAnsi="仿宋" w:eastAsia="仿宋_GB2312" w:cs="Arial"/>
          <w:b w:val="0"/>
          <w:bCs w:val="0"/>
          <w:kern w:val="0"/>
          <w:sz w:val="24"/>
          <w:highlight w:val="none"/>
        </w:rPr>
      </w:pPr>
      <w:r>
        <w:rPr>
          <w:rFonts w:hint="eastAsia" w:ascii="仿宋_GB2312" w:hAnsi="仿宋" w:eastAsia="仿宋_GB2312" w:cs="Arial"/>
          <w:b/>
          <w:bCs/>
          <w:kern w:val="0"/>
          <w:sz w:val="24"/>
          <w:highlight w:val="none"/>
        </w:rPr>
        <w:t>重新开展采购。</w:t>
      </w:r>
      <w:r>
        <w:rPr>
          <w:rFonts w:hint="eastAsia" w:ascii="仿宋_GB2312" w:hAnsi="仿宋" w:eastAsia="仿宋_GB2312" w:cs="Arial"/>
          <w:b w:val="0"/>
          <w:bCs w:val="0"/>
          <w:kern w:val="0"/>
          <w:sz w:val="24"/>
          <w:highlight w:val="none"/>
        </w:rPr>
        <w:t>有政府采购法第七十一条、第七十二条规定的违法行为之一，影响或者可能影响中标、成交结果的，依照下列规定处理：</w:t>
      </w:r>
    </w:p>
    <w:p>
      <w:pPr>
        <w:numPr>
          <w:ilvl w:val="1"/>
          <w:numId w:val="8"/>
        </w:numPr>
        <w:tabs>
          <w:tab w:val="left" w:pos="210"/>
        </w:tabs>
        <w:adjustRightInd/>
        <w:spacing w:line="360" w:lineRule="auto"/>
        <w:ind w:left="567" w:leftChars="0" w:hanging="567" w:firstLineChars="0"/>
        <w:rPr>
          <w:rFonts w:hint="eastAsia" w:ascii="仿宋_GB2312" w:hAnsi="仿宋" w:eastAsia="仿宋_GB2312" w:cs="Arial"/>
          <w:b w:val="0"/>
          <w:bCs w:val="0"/>
          <w:kern w:val="0"/>
          <w:sz w:val="24"/>
          <w:highlight w:val="none"/>
        </w:rPr>
      </w:pPr>
      <w:r>
        <w:rPr>
          <w:rFonts w:hint="eastAsia" w:ascii="仿宋_GB2312" w:hAnsi="仿宋" w:eastAsia="仿宋_GB2312" w:cs="Arial"/>
          <w:b w:val="0"/>
          <w:bCs w:val="0"/>
          <w:kern w:val="0"/>
          <w:sz w:val="24"/>
          <w:highlight w:val="none"/>
        </w:rPr>
        <w:t>未确定中标或者中标人的，终止本次政府采购活动，重新开展政府采购活动。</w:t>
      </w:r>
    </w:p>
    <w:p>
      <w:pPr>
        <w:numPr>
          <w:ilvl w:val="1"/>
          <w:numId w:val="8"/>
        </w:numPr>
        <w:tabs>
          <w:tab w:val="left" w:pos="210"/>
        </w:tabs>
        <w:adjustRightInd/>
        <w:spacing w:line="360" w:lineRule="auto"/>
        <w:ind w:left="567" w:leftChars="0" w:hanging="567" w:firstLineChars="0"/>
        <w:rPr>
          <w:rFonts w:hint="eastAsia" w:ascii="仿宋_GB2312" w:hAnsi="仿宋" w:eastAsia="仿宋_GB2312" w:cs="Arial"/>
          <w:b w:val="0"/>
          <w:bCs w:val="0"/>
          <w:kern w:val="0"/>
          <w:sz w:val="24"/>
          <w:highlight w:val="none"/>
        </w:rPr>
      </w:pPr>
      <w:r>
        <w:rPr>
          <w:rFonts w:hint="eastAsia" w:ascii="仿宋_GB2312" w:hAnsi="仿宋" w:eastAsia="仿宋_GB2312" w:cs="Arial"/>
          <w:b w:val="0"/>
          <w:bCs w:val="0"/>
          <w:kern w:val="0"/>
          <w:sz w:val="24"/>
          <w:highlight w:val="none"/>
        </w:rPr>
        <w:t>已确定中标或者中标人但尚未签订政府采购合同的，中标或者成交结果无效，从合格的中标或者成交候选人中另行确定中标或者中标人；没有合格的中标或者成交候选人的，重新开展政府采购活动。</w:t>
      </w:r>
    </w:p>
    <w:p>
      <w:pPr>
        <w:numPr>
          <w:ilvl w:val="1"/>
          <w:numId w:val="8"/>
        </w:numPr>
        <w:tabs>
          <w:tab w:val="left" w:pos="210"/>
        </w:tabs>
        <w:adjustRightInd/>
        <w:spacing w:line="360" w:lineRule="auto"/>
        <w:ind w:left="567" w:leftChars="0" w:hanging="567" w:firstLineChars="0"/>
        <w:rPr>
          <w:rFonts w:hint="eastAsia" w:ascii="仿宋_GB2312" w:hAnsi="仿宋" w:eastAsia="仿宋_GB2312" w:cs="Arial"/>
          <w:b w:val="0"/>
          <w:bCs w:val="0"/>
          <w:kern w:val="0"/>
          <w:sz w:val="24"/>
          <w:highlight w:val="none"/>
        </w:rPr>
      </w:pPr>
      <w:r>
        <w:rPr>
          <w:rFonts w:hint="eastAsia" w:ascii="仿宋_GB2312" w:hAnsi="仿宋" w:eastAsia="仿宋_GB2312" w:cs="Arial"/>
          <w:b w:val="0"/>
          <w:bCs w:val="0"/>
          <w:kern w:val="0"/>
          <w:sz w:val="24"/>
          <w:highlight w:val="none"/>
        </w:rPr>
        <w:t>政府采购合同已签订但尚未履行的，撤销合同，从合格的中标或者成交候选人中另行确定中标或者中标人；没有合格的中标或者成交候选人的，重新开展政府采购活动。</w:t>
      </w:r>
    </w:p>
    <w:p>
      <w:pPr>
        <w:numPr>
          <w:ilvl w:val="1"/>
          <w:numId w:val="8"/>
        </w:numPr>
        <w:tabs>
          <w:tab w:val="left" w:pos="210"/>
        </w:tabs>
        <w:adjustRightInd/>
        <w:spacing w:line="360" w:lineRule="auto"/>
        <w:ind w:left="567" w:leftChars="0" w:hanging="567" w:firstLineChars="0"/>
        <w:rPr>
          <w:rFonts w:hint="eastAsia" w:ascii="仿宋_GB2312" w:hAnsi="仿宋" w:eastAsia="仿宋_GB2312" w:cs="Arial"/>
          <w:b w:val="0"/>
          <w:bCs w:val="0"/>
          <w:kern w:val="0"/>
          <w:sz w:val="24"/>
          <w:highlight w:val="none"/>
        </w:rPr>
      </w:pPr>
      <w:r>
        <w:rPr>
          <w:rFonts w:hint="eastAsia" w:ascii="仿宋_GB2312" w:hAnsi="仿宋" w:eastAsia="仿宋_GB2312" w:cs="Arial"/>
          <w:b w:val="0"/>
          <w:bCs w:val="0"/>
          <w:kern w:val="0"/>
          <w:sz w:val="24"/>
          <w:highlight w:val="none"/>
        </w:rPr>
        <w:t>政府采购合同已经履行，给采购人、供应商造成损失的，由责任人承担赔偿责任。</w:t>
      </w:r>
    </w:p>
    <w:p>
      <w:pPr>
        <w:pStyle w:val="18"/>
        <w:snapToGrid w:val="0"/>
        <w:rPr>
          <w:rFonts w:ascii="仿宋" w:hAnsi="仿宋" w:eastAsia="仿宋" w:cs="仿宋"/>
          <w:color w:val="auto"/>
          <w:highlight w:val="none"/>
        </w:rPr>
      </w:pPr>
      <w:r>
        <w:rPr>
          <w:rFonts w:hint="eastAsia" w:ascii="仿宋_GB2312" w:hAnsi="仿宋" w:eastAsia="仿宋_GB2312" w:cs="Arial"/>
          <w:b w:val="0"/>
          <w:bCs w:val="0"/>
          <w:kern w:val="0"/>
          <w:sz w:val="24"/>
          <w:highlight w:val="none"/>
        </w:rPr>
        <w:t>政府采购当事人有其他违反政府采购法或者政府采购法实施条例等法律法规规定的行为，经改正后仍然影响或者可能影响中标、成交结果或者依法被认定为中标、成交无效的，依照7.1-7.4规定处理</w:t>
      </w:r>
      <w:r>
        <w:rPr>
          <w:rFonts w:hint="eastAsia" w:ascii="仿宋" w:hAnsi="仿宋" w:eastAsia="仿宋" w:cs="仿宋"/>
          <w:color w:val="auto"/>
          <w:highlight w:val="none"/>
        </w:rPr>
        <w:t>。</w:t>
      </w:r>
    </w:p>
    <w:p>
      <w:pPr>
        <w:pStyle w:val="18"/>
        <w:snapToGrid w:val="0"/>
        <w:rPr>
          <w:rFonts w:hint="eastAsia" w:ascii="仿宋_GB2312" w:hAnsi="仿宋" w:eastAsia="仿宋_GB2312" w:cs="Arial"/>
          <w:b w:val="0"/>
          <w:bCs w:val="0"/>
          <w:kern w:val="0"/>
          <w:sz w:val="24"/>
          <w:highlight w:val="none"/>
        </w:rPr>
      </w:pPr>
    </w:p>
    <w:p>
      <w:pPr>
        <w:rPr>
          <w:rFonts w:hint="eastAsia" w:ascii="仿宋_GB2312" w:hAnsi="仿宋" w:eastAsia="仿宋_GB2312" w:cs="Arial"/>
          <w:b w:val="0"/>
          <w:bCs w:val="0"/>
          <w:kern w:val="0"/>
          <w:sz w:val="24"/>
          <w:highlight w:val="none"/>
        </w:rPr>
      </w:pPr>
      <w:r>
        <w:rPr>
          <w:rFonts w:hint="eastAsia" w:ascii="仿宋_GB2312" w:hAnsi="仿宋" w:eastAsia="仿宋_GB2312" w:cs="Arial"/>
          <w:b w:val="0"/>
          <w:bCs w:val="0"/>
          <w:kern w:val="0"/>
          <w:sz w:val="24"/>
          <w:highlight w:val="none"/>
        </w:rPr>
        <w:br w:type="page"/>
      </w:r>
    </w:p>
    <w:bookmarkEnd w:id="29"/>
    <w:p>
      <w:pPr>
        <w:adjustRightInd w:val="0"/>
        <w:snapToGrid w:val="0"/>
        <w:spacing w:before="120" w:beforeLines="50" w:after="120" w:afterLines="50" w:line="360" w:lineRule="auto"/>
        <w:jc w:val="center"/>
        <w:outlineLvl w:val="0"/>
        <w:rPr>
          <w:rFonts w:ascii="仿宋" w:hAnsi="仿宋" w:eastAsia="仿宋" w:cs="仿宋"/>
          <w:color w:val="auto"/>
          <w:sz w:val="36"/>
          <w:highlight w:val="none"/>
        </w:rPr>
      </w:pPr>
      <w:bookmarkStart w:id="67" w:name="_Toc242012824"/>
      <w:bookmarkStart w:id="68" w:name="_Toc19650"/>
      <w:bookmarkStart w:id="69" w:name="_Toc20934"/>
      <w:r>
        <w:rPr>
          <w:rFonts w:hint="eastAsia" w:ascii="仿宋" w:hAnsi="仿宋" w:eastAsia="仿宋" w:cs="仿宋"/>
          <w:b/>
          <w:color w:val="auto"/>
          <w:sz w:val="30"/>
          <w:szCs w:val="30"/>
          <w:highlight w:val="none"/>
        </w:rPr>
        <w:t>第五部分  合同条款</w:t>
      </w:r>
      <w:bookmarkEnd w:id="67"/>
      <w:bookmarkEnd w:id="68"/>
      <w:bookmarkEnd w:id="69"/>
    </w:p>
    <w:p>
      <w:pPr>
        <w:adjustRightInd w:val="0"/>
        <w:snapToGrid w:val="0"/>
        <w:spacing w:line="360" w:lineRule="auto"/>
        <w:ind w:firstLine="420" w:firstLineChars="200"/>
        <w:rPr>
          <w:rFonts w:ascii="仿宋" w:hAnsi="仿宋" w:eastAsia="仿宋" w:cs="仿宋"/>
          <w:snapToGrid w:val="0"/>
          <w:color w:val="auto"/>
          <w:kern w:val="0"/>
          <w:szCs w:val="21"/>
          <w:highlight w:val="none"/>
        </w:rPr>
      </w:pPr>
      <w:bookmarkStart w:id="70" w:name="_Hlk534720381"/>
      <w:bookmarkStart w:id="71" w:name="_Toc249760790"/>
      <w:bookmarkStart w:id="72" w:name="_Toc251566661"/>
      <w:r>
        <w:rPr>
          <w:rFonts w:hint="eastAsia" w:ascii="仿宋" w:hAnsi="仿宋" w:eastAsia="仿宋" w:cs="仿宋"/>
          <w:snapToGrid w:val="0"/>
          <w:color w:val="auto"/>
          <w:kern w:val="0"/>
          <w:szCs w:val="21"/>
          <w:highlight w:val="none"/>
        </w:rPr>
        <w:t>合同将由</w:t>
      </w:r>
      <w:r>
        <w:rPr>
          <w:rFonts w:hint="eastAsia" w:ascii="仿宋" w:hAnsi="仿宋" w:eastAsia="仿宋" w:cs="仿宋"/>
          <w:snapToGrid w:val="0"/>
          <w:color w:val="auto"/>
          <w:kern w:val="0"/>
          <w:szCs w:val="21"/>
          <w:highlight w:val="none"/>
          <w:lang w:eastAsia="zh-CN"/>
        </w:rPr>
        <w:t>杭州市钱塘区社会发展局</w:t>
      </w:r>
      <w:r>
        <w:rPr>
          <w:rFonts w:hint="eastAsia" w:ascii="仿宋" w:hAnsi="仿宋" w:eastAsia="仿宋" w:cs="仿宋"/>
          <w:snapToGrid w:val="0"/>
          <w:color w:val="auto"/>
          <w:kern w:val="0"/>
          <w:szCs w:val="21"/>
          <w:highlight w:val="none"/>
        </w:rPr>
        <w:t>（以下简称甲方）与经评审最终确定的项目中标人（以下简称乙方）结合本项目具体情况协商后签订。以下为采购人提出涉及乙方的主要条款，投标人在投标文件中应对其进行确认或拒绝。如投标人在其投标文件中未做拒绝或提出修改要求的，采购人将视作认同。</w:t>
      </w:r>
    </w:p>
    <w:p>
      <w:pPr>
        <w:snapToGrid w:val="0"/>
        <w:spacing w:before="120" w:beforeLines="50" w:after="120" w:afterLines="50"/>
        <w:jc w:val="center"/>
        <w:rPr>
          <w:rFonts w:ascii="仿宋" w:hAnsi="仿宋" w:eastAsia="仿宋" w:cs="仿宋"/>
          <w:color w:val="auto"/>
          <w:spacing w:val="-6"/>
          <w:highlight w:val="none"/>
        </w:rPr>
        <w:sectPr>
          <w:pgSz w:w="11850" w:h="16783"/>
          <w:pgMar w:top="1247" w:right="1588" w:bottom="1089" w:left="1588" w:header="851" w:footer="992" w:gutter="0"/>
          <w:cols w:space="720" w:num="1"/>
          <w:docGrid w:linePitch="312" w:charSpace="0"/>
        </w:sectPr>
      </w:pPr>
      <w:r>
        <w:rPr>
          <w:rFonts w:hint="eastAsia" w:ascii="仿宋" w:hAnsi="仿宋" w:eastAsia="仿宋" w:cs="仿宋"/>
          <w:color w:val="auto"/>
          <w:spacing w:val="-6"/>
          <w:highlight w:val="none"/>
        </w:rPr>
        <w:t>（本合同为合同样稿）</w:t>
      </w:r>
    </w:p>
    <w:bookmarkEnd w:id="70"/>
    <w:bookmarkEnd w:id="71"/>
    <w:bookmarkEnd w:id="72"/>
    <w:p>
      <w:pPr>
        <w:adjustRightInd w:val="0"/>
        <w:snapToGrid w:val="0"/>
        <w:spacing w:line="360" w:lineRule="auto"/>
        <w:ind w:firstLine="482" w:firstLineChars="200"/>
        <w:rPr>
          <w:rFonts w:hint="default" w:ascii="仿宋" w:hAnsi="仿宋" w:eastAsia="仿宋" w:cs="仿宋"/>
          <w:b/>
          <w:bCs/>
          <w:color w:val="auto"/>
          <w:sz w:val="24"/>
          <w:highlight w:val="none"/>
          <w:lang w:val="en-US" w:eastAsia="zh-CN"/>
        </w:rPr>
      </w:pPr>
      <w:bookmarkStart w:id="73" w:name="_Toc415814139"/>
      <w:bookmarkStart w:id="74" w:name="_Toc249760791"/>
      <w:bookmarkStart w:id="75" w:name="_Toc367274988"/>
      <w:bookmarkStart w:id="76" w:name="_Toc295465366"/>
      <w:bookmarkStart w:id="77" w:name="_Toc251566662"/>
      <w:r>
        <w:rPr>
          <w:rFonts w:hint="eastAsia" w:ascii="仿宋" w:hAnsi="仿宋" w:eastAsia="仿宋" w:cs="仿宋"/>
          <w:b/>
          <w:bCs/>
          <w:color w:val="auto"/>
          <w:sz w:val="24"/>
          <w:highlight w:val="none"/>
          <w:lang w:val="en-US" w:eastAsia="zh-CN"/>
        </w:rPr>
        <w:t>合同参考格式</w:t>
      </w:r>
    </w:p>
    <w:p>
      <w:pPr>
        <w:snapToGrid w:val="0"/>
        <w:spacing w:before="120" w:beforeLines="50" w:after="120" w:afterLines="50"/>
        <w:jc w:val="center"/>
        <w:rPr>
          <w:rFonts w:hint="eastAsia" w:ascii="仿宋" w:hAnsi="仿宋" w:eastAsia="仿宋" w:cs="仿宋"/>
          <w:b/>
          <w:color w:val="auto"/>
          <w:sz w:val="32"/>
          <w:szCs w:val="32"/>
          <w:highlight w:val="none"/>
          <w:lang w:val="zh-CN"/>
        </w:rPr>
      </w:pPr>
    </w:p>
    <w:p>
      <w:pPr>
        <w:snapToGrid w:val="0"/>
        <w:spacing w:before="120" w:beforeLines="50" w:after="120" w:afterLines="50"/>
        <w:jc w:val="center"/>
        <w:rPr>
          <w:rFonts w:ascii="仿宋" w:hAnsi="仿宋" w:eastAsia="仿宋" w:cs="仿宋"/>
          <w:b/>
          <w:color w:val="auto"/>
          <w:sz w:val="32"/>
          <w:szCs w:val="32"/>
          <w:highlight w:val="none"/>
          <w:lang w:val="zh-CN"/>
        </w:rPr>
      </w:pPr>
      <w:r>
        <w:rPr>
          <w:rFonts w:hint="eastAsia" w:ascii="仿宋" w:hAnsi="仿宋" w:eastAsia="仿宋" w:cs="仿宋"/>
          <w:b/>
          <w:color w:val="auto"/>
          <w:sz w:val="32"/>
          <w:szCs w:val="32"/>
          <w:highlight w:val="none"/>
          <w:lang w:val="zh-CN"/>
        </w:rPr>
        <w:t>钱塘区2023年纸质中文图书采购合同</w:t>
      </w:r>
    </w:p>
    <w:p>
      <w:pPr>
        <w:adjustRightInd w:val="0"/>
        <w:snapToGrid w:val="0"/>
        <w:spacing w:line="360" w:lineRule="auto"/>
        <w:ind w:firstLine="422" w:firstLineChars="200"/>
        <w:rPr>
          <w:rFonts w:ascii="仿宋" w:hAnsi="仿宋" w:eastAsia="仿宋" w:cs="仿宋"/>
          <w:b/>
          <w:color w:val="auto"/>
          <w:szCs w:val="21"/>
          <w:highlight w:val="none"/>
        </w:rPr>
      </w:pPr>
    </w:p>
    <w:p>
      <w:pPr>
        <w:adjustRightInd w:val="0"/>
        <w:snapToGrid w:val="0"/>
        <w:spacing w:line="360" w:lineRule="auto"/>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甲方：</w:t>
      </w:r>
      <w:r>
        <w:rPr>
          <w:rFonts w:hint="eastAsia" w:ascii="仿宋" w:hAnsi="仿宋" w:eastAsia="仿宋" w:cs="仿宋"/>
          <w:b/>
          <w:color w:val="auto"/>
          <w:sz w:val="24"/>
          <w:highlight w:val="none"/>
          <w:lang w:eastAsia="zh-CN"/>
        </w:rPr>
        <w:t>杭州市钱塘区社会发展局</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地址：</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联系人：</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p>
      <w:pPr>
        <w:tabs>
          <w:tab w:val="left" w:pos="6237"/>
          <w:tab w:val="left" w:pos="6521"/>
        </w:tabs>
        <w:adjustRightInd w:val="0"/>
        <w:snapToGrid w:val="0"/>
        <w:spacing w:line="360" w:lineRule="auto"/>
        <w:ind w:firstLine="480" w:firstLineChars="200"/>
        <w:rPr>
          <w:rFonts w:ascii="仿宋" w:hAnsi="仿宋" w:eastAsia="仿宋" w:cs="仿宋"/>
          <w:color w:val="auto"/>
          <w:sz w:val="24"/>
          <w:highlight w:val="none"/>
        </w:rPr>
      </w:pPr>
    </w:p>
    <w:p>
      <w:pPr>
        <w:adjustRightInd w:val="0"/>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乙方：</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地址：</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法定代表人：</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统一社会信用代码：</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授权代表： </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联系人：</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p>
      <w:pPr>
        <w:adjustRightInd w:val="0"/>
        <w:snapToGrid w:val="0"/>
        <w:spacing w:line="360" w:lineRule="auto"/>
        <w:ind w:firstLine="480" w:firstLineChars="200"/>
        <w:rPr>
          <w:rFonts w:ascii="仿宋" w:hAnsi="仿宋" w:eastAsia="仿宋" w:cs="仿宋"/>
          <w:color w:val="auto"/>
          <w:sz w:val="24"/>
          <w:highlight w:val="none"/>
        </w:rPr>
      </w:pPr>
    </w:p>
    <w:p>
      <w:pPr>
        <w:pStyle w:val="132"/>
        <w:adjustRightInd w:val="0"/>
        <w:snapToGrid w:val="0"/>
        <w:spacing w:before="0" w:beforeAutospacing="0" w:after="0" w:afterAutospacing="0"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依据《中华人民共和国政府采购法》、《</w:t>
      </w:r>
      <w:r>
        <w:rPr>
          <w:rFonts w:hint="eastAsia" w:ascii="仿宋" w:hAnsi="仿宋" w:eastAsia="仿宋" w:cs="仿宋"/>
          <w:color w:val="auto"/>
          <w:szCs w:val="24"/>
          <w:highlight w:val="none"/>
          <w:lang w:val="zh-CN"/>
        </w:rPr>
        <w:t>中华人民共和国民法典</w:t>
      </w:r>
      <w:r>
        <w:rPr>
          <w:rFonts w:hint="eastAsia" w:ascii="仿宋" w:hAnsi="仿宋" w:eastAsia="仿宋" w:cs="仿宋"/>
          <w:color w:val="auto"/>
          <w:szCs w:val="24"/>
          <w:highlight w:val="none"/>
        </w:rPr>
        <w:t>》等相关法律法规，以及</w:t>
      </w:r>
      <w:r>
        <w:rPr>
          <w:rFonts w:hint="eastAsia" w:ascii="仿宋" w:hAnsi="仿宋" w:eastAsia="仿宋" w:cs="仿宋"/>
          <w:color w:val="auto"/>
          <w:highlight w:val="none"/>
          <w:u w:val="single"/>
          <w:lang w:eastAsia="zh-CN"/>
        </w:rPr>
        <w:t>钱塘区2023年纸质中文图书采购</w:t>
      </w:r>
      <w:r>
        <w:rPr>
          <w:rFonts w:hint="eastAsia" w:ascii="仿宋" w:hAnsi="仿宋" w:eastAsia="仿宋" w:cs="仿宋"/>
          <w:color w:val="auto"/>
          <w:szCs w:val="24"/>
          <w:highlight w:val="none"/>
        </w:rPr>
        <w:t>（项目编号：</w:t>
      </w:r>
      <w:r>
        <w:rPr>
          <w:rFonts w:hint="eastAsia" w:ascii="仿宋" w:hAnsi="仿宋" w:eastAsia="仿宋" w:cs="仿宋"/>
          <w:color w:val="auto"/>
          <w:szCs w:val="24"/>
          <w:highlight w:val="none"/>
          <w:lang w:eastAsia="zh-CN"/>
        </w:rPr>
        <w:t>QTCG-GK-2023-038</w:t>
      </w:r>
      <w:r>
        <w:rPr>
          <w:rFonts w:hint="eastAsia" w:ascii="仿宋" w:hAnsi="仿宋" w:eastAsia="仿宋" w:cs="仿宋"/>
          <w:color w:val="auto"/>
          <w:szCs w:val="24"/>
          <w:highlight w:val="none"/>
        </w:rPr>
        <w:t>）的中标结果，</w:t>
      </w:r>
      <w:r>
        <w:rPr>
          <w:rFonts w:hint="eastAsia" w:ascii="仿宋" w:hAnsi="仿宋" w:eastAsia="仿宋" w:cs="仿宋"/>
          <w:color w:val="auto"/>
          <w:szCs w:val="24"/>
          <w:highlight w:val="none"/>
          <w:lang w:val="en-US" w:eastAsia="zh-CN"/>
        </w:rPr>
        <w:t>乙方为该项目</w:t>
      </w:r>
      <w:r>
        <w:rPr>
          <w:rFonts w:hint="eastAsia" w:ascii="仿宋" w:hAnsi="仿宋" w:eastAsia="仿宋" w:cs="仿宋"/>
          <w:color w:val="auto"/>
          <w:szCs w:val="24"/>
          <w:highlight w:val="none"/>
          <w:u w:val="none"/>
          <w:lang w:val="en-US" w:eastAsia="zh-CN"/>
        </w:rPr>
        <w:t>承接单位。甲乙双方</w:t>
      </w:r>
      <w:r>
        <w:rPr>
          <w:rFonts w:hint="eastAsia" w:ascii="仿宋" w:hAnsi="仿宋" w:eastAsia="仿宋" w:cs="仿宋"/>
          <w:color w:val="auto"/>
          <w:szCs w:val="24"/>
          <w:highlight w:val="none"/>
        </w:rPr>
        <w:t>在平等自愿的基础上，同意按照下面的条款和条件，签署政府采购合同。</w:t>
      </w:r>
    </w:p>
    <w:p>
      <w:pPr>
        <w:pStyle w:val="132"/>
        <w:adjustRightInd w:val="0"/>
        <w:snapToGrid w:val="0"/>
        <w:spacing w:before="0" w:beforeAutospacing="0" w:after="0" w:afterAutospacing="0" w:line="360" w:lineRule="auto"/>
        <w:ind w:firstLine="480" w:firstLineChars="200"/>
        <w:rPr>
          <w:rFonts w:ascii="仿宋" w:hAnsi="仿宋" w:eastAsia="仿宋" w:cs="仿宋"/>
          <w:color w:val="auto"/>
          <w:szCs w:val="24"/>
          <w:highlight w:val="none"/>
        </w:rPr>
      </w:pPr>
    </w:p>
    <w:p>
      <w:pPr>
        <w:pStyle w:val="132"/>
        <w:adjustRightInd w:val="0"/>
        <w:snapToGrid w:val="0"/>
        <w:spacing w:before="0" w:beforeAutospacing="0" w:after="0" w:afterAutospacing="0" w:line="360" w:lineRule="auto"/>
        <w:ind w:firstLine="482" w:firstLineChars="200"/>
        <w:rPr>
          <w:rFonts w:hint="eastAsia" w:ascii="仿宋" w:hAnsi="仿宋" w:eastAsia="仿宋" w:cs="仿宋"/>
          <w:b/>
          <w:bCs/>
          <w:color w:val="auto"/>
          <w:szCs w:val="24"/>
          <w:highlight w:val="none"/>
        </w:rPr>
      </w:pPr>
      <w:bookmarkStart w:id="78" w:name="_Toc15439"/>
      <w:bookmarkStart w:id="79" w:name="_Toc12150"/>
      <w:bookmarkStart w:id="80" w:name="_Toc5416"/>
      <w:bookmarkStart w:id="81" w:name="_Toc7747"/>
      <w:bookmarkStart w:id="82" w:name="_Toc9726"/>
      <w:bookmarkStart w:id="83" w:name="_Toc30763"/>
      <w:bookmarkStart w:id="84" w:name="_Toc16068"/>
      <w:bookmarkStart w:id="85" w:name="_Toc18563"/>
      <w:bookmarkStart w:id="86" w:name="_Toc10896"/>
      <w:bookmarkStart w:id="87" w:name="_Toc23598"/>
      <w:bookmarkStart w:id="88" w:name="_Toc8191"/>
      <w:bookmarkStart w:id="89" w:name="_Toc25298"/>
      <w:bookmarkStart w:id="90" w:name="_Toc29985"/>
      <w:bookmarkStart w:id="91" w:name="_Toc17489"/>
      <w:bookmarkStart w:id="92" w:name="_Toc22037"/>
      <w:bookmarkStart w:id="93" w:name="_Toc20536"/>
      <w:bookmarkStart w:id="94" w:name="_Toc15574"/>
      <w:bookmarkStart w:id="95" w:name="_Toc25675"/>
      <w:bookmarkStart w:id="96" w:name="_Toc1602"/>
      <w:bookmarkStart w:id="97" w:name="_Toc18904"/>
      <w:bookmarkStart w:id="98" w:name="_Toc26493"/>
      <w:r>
        <w:rPr>
          <w:rFonts w:hint="eastAsia" w:ascii="仿宋" w:hAnsi="仿宋" w:eastAsia="仿宋" w:cs="仿宋"/>
          <w:b/>
          <w:bCs/>
          <w:color w:val="auto"/>
          <w:szCs w:val="24"/>
          <w:highlight w:val="none"/>
          <w:lang w:val="en-US" w:eastAsia="zh-CN"/>
        </w:rPr>
        <w:t>一</w:t>
      </w:r>
      <w:r>
        <w:rPr>
          <w:rFonts w:hint="eastAsia" w:ascii="仿宋" w:hAnsi="仿宋" w:eastAsia="仿宋" w:cs="仿宋"/>
          <w:b/>
          <w:bCs/>
          <w:color w:val="auto"/>
          <w:szCs w:val="24"/>
          <w:highlight w:val="none"/>
        </w:rPr>
        <w:t>、合同组成</w:t>
      </w:r>
      <w:bookmarkEnd w:id="78"/>
      <w:bookmarkEnd w:id="79"/>
      <w:bookmarkEnd w:id="80"/>
      <w:bookmarkEnd w:id="81"/>
      <w:bookmarkEnd w:id="82"/>
      <w:bookmarkEnd w:id="83"/>
    </w:p>
    <w:bookmarkEnd w:id="84"/>
    <w:bookmarkEnd w:id="85"/>
    <w:p>
      <w:pPr>
        <w:pStyle w:val="23"/>
        <w:adjustRightInd w:val="0"/>
        <w:snapToGrid w:val="0"/>
        <w:spacing w:line="360" w:lineRule="auto"/>
        <w:ind w:firstLine="480" w:firstLineChars="200"/>
        <w:rPr>
          <w:rFonts w:hint="eastAsia" w:ascii="仿宋" w:hAnsi="仿宋" w:eastAsia="仿宋" w:cs="仿宋"/>
          <w:color w:val="auto"/>
          <w:sz w:val="24"/>
          <w:szCs w:val="24"/>
          <w:highlight w:val="none"/>
          <w:lang w:val="zh-CN"/>
        </w:rPr>
      </w:pPr>
      <w:bookmarkStart w:id="99" w:name="_Toc29502"/>
      <w:r>
        <w:rPr>
          <w:rFonts w:hint="eastAsia" w:ascii="仿宋" w:hAnsi="仿宋" w:eastAsia="仿宋" w:cs="仿宋"/>
          <w:color w:val="auto"/>
          <w:sz w:val="24"/>
          <w:szCs w:val="24"/>
          <w:highlight w:val="none"/>
          <w:lang w:val="zh-CN"/>
        </w:rPr>
        <w:t>下列文件构成本合同的组成部分，应该认为是一个整体，彼此相互解释，相互补充。组成合同的多个文件的优先支配地位的次序如下：</w:t>
      </w:r>
      <w:bookmarkEnd w:id="86"/>
      <w:bookmarkEnd w:id="87"/>
      <w:bookmarkEnd w:id="88"/>
      <w:bookmarkEnd w:id="89"/>
      <w:bookmarkEnd w:id="90"/>
      <w:bookmarkEnd w:id="91"/>
      <w:bookmarkEnd w:id="92"/>
      <w:bookmarkEnd w:id="93"/>
      <w:bookmarkEnd w:id="94"/>
      <w:bookmarkEnd w:id="95"/>
      <w:bookmarkEnd w:id="96"/>
      <w:bookmarkEnd w:id="97"/>
      <w:bookmarkEnd w:id="98"/>
      <w:bookmarkEnd w:id="99"/>
    </w:p>
    <w:p>
      <w:pPr>
        <w:pStyle w:val="23"/>
        <w:adjustRightInd w:val="0"/>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1、本合同书；　</w:t>
      </w:r>
    </w:p>
    <w:p>
      <w:pPr>
        <w:pStyle w:val="23"/>
        <w:adjustRightInd w:val="0"/>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lang w:val="zh-CN"/>
        </w:rPr>
        <w:t>通知书；</w:t>
      </w:r>
      <w:r>
        <w:rPr>
          <w:rFonts w:hint="eastAsia" w:ascii="仿宋" w:hAnsi="仿宋" w:eastAsia="仿宋" w:cs="仿宋"/>
          <w:color w:val="auto"/>
          <w:sz w:val="24"/>
          <w:szCs w:val="24"/>
          <w:highlight w:val="none"/>
          <w:lang w:val="zh-CN"/>
        </w:rPr>
        <w:tab/>
      </w:r>
    </w:p>
    <w:p>
      <w:pPr>
        <w:pStyle w:val="23"/>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澄清修改文件；</w:t>
      </w:r>
    </w:p>
    <w:p>
      <w:pPr>
        <w:pStyle w:val="23"/>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中标的投标</w:t>
      </w:r>
      <w:r>
        <w:rPr>
          <w:rFonts w:hint="eastAsia" w:ascii="仿宋" w:hAnsi="仿宋" w:eastAsia="仿宋" w:cs="仿宋"/>
          <w:color w:val="auto"/>
          <w:sz w:val="24"/>
          <w:szCs w:val="24"/>
          <w:highlight w:val="none"/>
        </w:rPr>
        <w:t>文件；</w:t>
      </w:r>
    </w:p>
    <w:p>
      <w:pPr>
        <w:pStyle w:val="23"/>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5、采购文件澄清修改文件；</w:t>
      </w:r>
    </w:p>
    <w:p>
      <w:pPr>
        <w:pStyle w:val="23"/>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6、采购文件；</w:t>
      </w:r>
    </w:p>
    <w:p>
      <w:pPr>
        <w:pStyle w:val="23"/>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7、标准、规范及有关技术文件、技术要求。</w:t>
      </w:r>
      <w:r>
        <w:rPr>
          <w:rFonts w:hint="eastAsia" w:ascii="仿宋" w:hAnsi="仿宋" w:eastAsia="仿宋" w:cs="仿宋"/>
          <w:color w:val="auto"/>
          <w:sz w:val="24"/>
          <w:szCs w:val="24"/>
          <w:highlight w:val="none"/>
        </w:rPr>
        <w:tab/>
      </w:r>
    </w:p>
    <w:p>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outlineLvl w:val="9"/>
        <w:rPr>
          <w:rFonts w:hint="eastAsia" w:ascii="仿宋" w:hAnsi="仿宋" w:eastAsia="仿宋" w:cs="仿宋"/>
          <w:b/>
          <w:i w:val="0"/>
          <w:iCs w:val="0"/>
          <w:color w:val="auto"/>
          <w:sz w:val="24"/>
          <w:szCs w:val="24"/>
          <w:highlight w:val="none"/>
          <w:lang w:eastAsia="zh-CN"/>
        </w:rPr>
      </w:pPr>
      <w:r>
        <w:rPr>
          <w:rFonts w:hint="eastAsia" w:ascii="仿宋" w:hAnsi="仿宋" w:eastAsia="仿宋" w:cs="仿宋"/>
          <w:b/>
          <w:i w:val="0"/>
          <w:iCs w:val="0"/>
          <w:color w:val="auto"/>
          <w:sz w:val="24"/>
          <w:szCs w:val="24"/>
          <w:highlight w:val="none"/>
          <w:lang w:val="en-US" w:eastAsia="zh-CN"/>
        </w:rPr>
        <w:t>二</w:t>
      </w:r>
      <w:r>
        <w:rPr>
          <w:rFonts w:hint="eastAsia" w:ascii="仿宋" w:hAnsi="仿宋" w:eastAsia="仿宋" w:cs="仿宋"/>
          <w:b/>
          <w:i w:val="0"/>
          <w:iCs w:val="0"/>
          <w:color w:val="auto"/>
          <w:sz w:val="24"/>
          <w:szCs w:val="24"/>
          <w:highlight w:val="none"/>
        </w:rPr>
        <w:t>、</w:t>
      </w:r>
      <w:r>
        <w:rPr>
          <w:rFonts w:hint="eastAsia" w:ascii="仿宋" w:hAnsi="仿宋" w:eastAsia="仿宋" w:cs="仿宋"/>
          <w:b/>
          <w:i w:val="0"/>
          <w:iCs w:val="0"/>
          <w:color w:val="auto"/>
          <w:sz w:val="24"/>
          <w:szCs w:val="24"/>
          <w:highlight w:val="none"/>
          <w:lang w:val="en-US" w:eastAsia="zh-CN"/>
        </w:rPr>
        <w:t>合同内容</w:t>
      </w:r>
    </w:p>
    <w:p>
      <w:pPr>
        <w:pStyle w:val="135"/>
        <w:keepNext w:val="0"/>
        <w:keepLines w:val="0"/>
        <w:pageBreakBefore w:val="0"/>
        <w:tabs>
          <w:tab w:val="right" w:leader="dot" w:pos="8268"/>
        </w:tabs>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（一）纸质中文图书采购方式</w:t>
      </w:r>
    </w:p>
    <w:p>
      <w:pPr>
        <w:pStyle w:val="135"/>
        <w:keepNext w:val="0"/>
        <w:keepLines w:val="0"/>
        <w:pageBreakBefore w:val="0"/>
        <w:tabs>
          <w:tab w:val="right" w:leader="dot" w:pos="8268"/>
        </w:tabs>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1.自主采购：甲方根据读者需求提供图书订单，由乙方负责提供。</w:t>
      </w:r>
    </w:p>
    <w:p>
      <w:pPr>
        <w:pStyle w:val="135"/>
        <w:keepNext w:val="0"/>
        <w:keepLines w:val="0"/>
        <w:pageBreakBefore w:val="0"/>
        <w:tabs>
          <w:tab w:val="right" w:leader="dot" w:pos="8268"/>
        </w:tabs>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2.订单采购：乙方在最大范围内为甲方征集新书出版、发行信息，提高采购效率（样书送取运输及其费用由乙方承担）。乙方提供的自编采访书目数据、现货书目数据（要求能提供电子书目）等均应符合采购文件中的规定。</w:t>
      </w:r>
    </w:p>
    <w:p>
      <w:pPr>
        <w:pStyle w:val="135"/>
        <w:keepNext w:val="0"/>
        <w:keepLines w:val="0"/>
        <w:pageBreakBefore w:val="0"/>
        <w:tabs>
          <w:tab w:val="right" w:leader="dot" w:pos="8268"/>
        </w:tabs>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3.专题采购：乙方配合甲方做好专题图书的采购，以满足甲方馆藏的特殊需求。</w:t>
      </w:r>
    </w:p>
    <w:p>
      <w:pPr>
        <w:pStyle w:val="135"/>
        <w:keepNext w:val="0"/>
        <w:keepLines w:val="0"/>
        <w:pageBreakBefore w:val="0"/>
        <w:tabs>
          <w:tab w:val="right" w:leader="dot" w:pos="8268"/>
        </w:tabs>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4.其它方式：随时进行图书增订、补订等工作。</w:t>
      </w:r>
    </w:p>
    <w:p>
      <w:pPr>
        <w:pStyle w:val="135"/>
        <w:keepNext w:val="0"/>
        <w:keepLines w:val="0"/>
        <w:pageBreakBefore w:val="0"/>
        <w:tabs>
          <w:tab w:val="right" w:leader="dot" w:pos="8268"/>
        </w:tabs>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（二）图书数据</w:t>
      </w:r>
    </w:p>
    <w:p>
      <w:pPr>
        <w:pStyle w:val="135"/>
        <w:keepNext w:val="0"/>
        <w:keepLines w:val="0"/>
        <w:pageBreakBefore w:val="0"/>
        <w:tabs>
          <w:tab w:val="right" w:leader="dot" w:pos="8268"/>
        </w:tabs>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乙方根据甲方要求，为甲方所购图书配送符合标准的MARC数据，另附对应的Excel格式书目文件，内容应包括征订号、书名、丛书名、著者、出版时间、出版社、单价、ISBN号。每次送书前两天交给采购人。</w:t>
      </w:r>
    </w:p>
    <w:p>
      <w:pPr>
        <w:pStyle w:val="135"/>
        <w:keepNext w:val="0"/>
        <w:keepLines w:val="0"/>
        <w:pageBreakBefore w:val="0"/>
        <w:tabs>
          <w:tab w:val="right" w:leader="dot" w:pos="8268"/>
        </w:tabs>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（三）供书时间</w:t>
      </w:r>
    </w:p>
    <w:p>
      <w:pPr>
        <w:pStyle w:val="135"/>
        <w:keepNext w:val="0"/>
        <w:keepLines w:val="0"/>
        <w:pageBreakBefore w:val="0"/>
        <w:tabs>
          <w:tab w:val="right" w:leader="dot" w:pos="8268"/>
        </w:tabs>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1、乙方收到甲方所确认的书目订单后，应及时对订单汇总、查重，安排采购。图书按甲方的预订批次进行配送，乙方应保证在合同有效期内送达甲方规定地点，到货率不低于98%。</w:t>
      </w:r>
    </w:p>
    <w:p>
      <w:pPr>
        <w:pStyle w:val="135"/>
        <w:keepNext w:val="0"/>
        <w:keepLines w:val="0"/>
        <w:pageBreakBefore w:val="0"/>
        <w:tabs>
          <w:tab w:val="right" w:leader="dot" w:pos="8268"/>
        </w:tabs>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2、本次供货合同有效期至2023年11月30日。若在合同有效期前不能到货的图书，应列出清单，说明原因。合同有效期满后，未到货的图书乙方有继续送货的义务，并履行相应服务要求。</w:t>
      </w:r>
    </w:p>
    <w:p>
      <w:pPr>
        <w:pStyle w:val="135"/>
        <w:keepNext w:val="0"/>
        <w:keepLines w:val="0"/>
        <w:pageBreakBefore w:val="0"/>
        <w:tabs>
          <w:tab w:val="right" w:leader="dot" w:pos="8268"/>
        </w:tabs>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（三）采购要求</w:t>
      </w:r>
    </w:p>
    <w:p>
      <w:pPr>
        <w:pStyle w:val="135"/>
        <w:keepNext w:val="0"/>
        <w:keepLines w:val="0"/>
        <w:pageBreakBefore w:val="0"/>
        <w:tabs>
          <w:tab w:val="right" w:leader="dot" w:pos="8268"/>
        </w:tabs>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1.乙方根据甲方要求的图书品种和复本数量配书，不得自行搭配和追加非采购人确认订购的品种或复本。图书品种、复本数量和随书光盘/磁盘/磁带等与订单不符时，无论是否已作前期加工，乙方必须无条件负责退换。</w:t>
      </w:r>
    </w:p>
    <w:p>
      <w:pPr>
        <w:pStyle w:val="135"/>
        <w:keepNext w:val="0"/>
        <w:keepLines w:val="0"/>
        <w:pageBreakBefore w:val="0"/>
        <w:tabs>
          <w:tab w:val="right" w:leader="dot" w:pos="8268"/>
        </w:tabs>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2.乙方供应的图书应剔除内容有色情、暴力、恐怖等不适合读者或装祯形式为小开本、活页等不适合采购人流通管理的图书。</w:t>
      </w:r>
    </w:p>
    <w:p>
      <w:pPr>
        <w:pStyle w:val="135"/>
        <w:keepNext w:val="0"/>
        <w:keepLines w:val="0"/>
        <w:pageBreakBefore w:val="0"/>
        <w:tabs>
          <w:tab w:val="right" w:leader="dot" w:pos="8268"/>
        </w:tabs>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（四） 图书质量</w:t>
      </w:r>
    </w:p>
    <w:p>
      <w:pPr>
        <w:pStyle w:val="135"/>
        <w:keepNext w:val="0"/>
        <w:keepLines w:val="0"/>
        <w:pageBreakBefore w:val="0"/>
        <w:tabs>
          <w:tab w:val="right" w:leader="dot" w:pos="8268"/>
        </w:tabs>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 xml:space="preserve">1.乙方须必须保证销售正版图书，保证所供应图书的版本与进书来源合法，并对所供应的图书版本、知识产权、进货来源承担相应的法律责任。对盗版图书无论是否已作前期加工，乙方必须无条件负责退货。 </w:t>
      </w:r>
    </w:p>
    <w:p>
      <w:pPr>
        <w:pStyle w:val="135"/>
        <w:keepNext w:val="0"/>
        <w:keepLines w:val="0"/>
        <w:pageBreakBefore w:val="0"/>
        <w:tabs>
          <w:tab w:val="right" w:leader="dot" w:pos="8268"/>
        </w:tabs>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2.乙方需保证供应图书的外观质量，如有缺页、倒装、污损等质量问题，由乙方负责更换或退货。</w:t>
      </w:r>
    </w:p>
    <w:p>
      <w:pPr>
        <w:pStyle w:val="135"/>
        <w:keepNext w:val="0"/>
        <w:keepLines w:val="0"/>
        <w:pageBreakBefore w:val="0"/>
        <w:tabs>
          <w:tab w:val="right" w:leader="dot" w:pos="8268"/>
        </w:tabs>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（五）图书加工要求</w:t>
      </w:r>
    </w:p>
    <w:p>
      <w:pPr>
        <w:pStyle w:val="135"/>
        <w:keepNext w:val="0"/>
        <w:keepLines w:val="0"/>
        <w:pageBreakBefore w:val="0"/>
        <w:tabs>
          <w:tab w:val="right" w:leader="dot" w:pos="8268"/>
        </w:tabs>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供应图书每册提供加盖馆藏章，加贴磁条，粘贴条形码、粘贴书标，加贴芯片，书标、条码加贴胶带纸，数据录入等全加工服务。具体要求详见招标采购内容与技术规格书。</w:t>
      </w:r>
    </w:p>
    <w:p>
      <w:pPr>
        <w:pStyle w:val="135"/>
        <w:keepNext w:val="0"/>
        <w:keepLines w:val="0"/>
        <w:pageBreakBefore w:val="0"/>
        <w:tabs>
          <w:tab w:val="right" w:leader="dot" w:pos="8268"/>
        </w:tabs>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（六）图书包装、发运及运输</w:t>
      </w:r>
    </w:p>
    <w:p>
      <w:pPr>
        <w:pStyle w:val="135"/>
        <w:keepNext w:val="0"/>
        <w:keepLines w:val="0"/>
        <w:pageBreakBefore w:val="0"/>
        <w:tabs>
          <w:tab w:val="right" w:leader="dot" w:pos="8268"/>
        </w:tabs>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1.乙方应在图书发运前对其进行满足运输距离、防湿和防破装卸要求的包装，保证图书安全运输到达甲方指定地点。甲方对运输途中出现的意外不承担任何责任，相关损失由乙方自行承担。</w:t>
      </w:r>
    </w:p>
    <w:p>
      <w:pPr>
        <w:pStyle w:val="135"/>
        <w:keepNext w:val="0"/>
        <w:keepLines w:val="0"/>
        <w:pageBreakBefore w:val="0"/>
        <w:tabs>
          <w:tab w:val="right" w:leader="dot" w:pos="8268"/>
        </w:tabs>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2.乙方送交甲方的图书应有汇总清单，一式贰份，内容包括此批图书的种数、册数和金额，汇总清单上需盖有与付款发票上相同的财务章。每包应附有清单，内容包括包号、征订号、书名、册数及小计等。</w:t>
      </w:r>
    </w:p>
    <w:p>
      <w:pPr>
        <w:pStyle w:val="135"/>
        <w:keepNext w:val="0"/>
        <w:keepLines w:val="0"/>
        <w:pageBreakBefore w:val="0"/>
        <w:tabs>
          <w:tab w:val="right" w:leader="dot" w:pos="8268"/>
        </w:tabs>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3.乙方在图书发运前的一天（如发运地非本地，则应在发运手续办理后的24小时内），用电话或传真通知甲方，以便甲方准备接货。因乙方通知延误所造成的所有风险由乙方自行承担。</w:t>
      </w:r>
    </w:p>
    <w:p>
      <w:pPr>
        <w:pStyle w:val="135"/>
        <w:keepNext w:val="0"/>
        <w:keepLines w:val="0"/>
        <w:pageBreakBefore w:val="0"/>
        <w:tabs>
          <w:tab w:val="right" w:leader="dot" w:pos="8268"/>
        </w:tabs>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4.甲方不承担所购图书资料的运管费，乙方须按甲方位要求发往指定地点，由乙方承担运输费用。图书在到达甲方指定地点前发生的不可预见的风险均由乙方自行承担。</w:t>
      </w:r>
    </w:p>
    <w:p>
      <w:pPr>
        <w:tabs>
          <w:tab w:val="left" w:pos="0"/>
        </w:tabs>
        <w:adjustRightInd w:val="0"/>
        <w:snapToGrid w:val="0"/>
        <w:spacing w:line="360" w:lineRule="auto"/>
        <w:ind w:firstLine="480" w:firstLineChars="200"/>
        <w:rPr>
          <w:rFonts w:hint="eastAsia" w:ascii="仿宋" w:hAnsi="仿宋" w:eastAsia="仿宋" w:cs="仿宋"/>
          <w:i w:val="0"/>
          <w:iCs w:val="0"/>
          <w:color w:val="auto"/>
          <w:kern w:val="28"/>
          <w:sz w:val="24"/>
          <w:szCs w:val="24"/>
          <w:highlight w:val="none"/>
          <w:lang w:val="en-US" w:eastAsia="zh-CN" w:bidi="ar-SA"/>
        </w:rPr>
      </w:pPr>
      <w:r>
        <w:rPr>
          <w:rFonts w:hint="eastAsia" w:ascii="仿宋" w:hAnsi="仿宋" w:eastAsia="仿宋" w:cs="仿宋"/>
          <w:i w:val="0"/>
          <w:iCs w:val="0"/>
          <w:color w:val="auto"/>
          <w:kern w:val="28"/>
          <w:sz w:val="24"/>
          <w:szCs w:val="24"/>
          <w:highlight w:val="none"/>
          <w:lang w:val="en-US" w:eastAsia="zh-CN" w:bidi="ar-SA"/>
        </w:rPr>
        <w:t>（七）优惠条件及服务承诺</w:t>
      </w:r>
    </w:p>
    <w:p>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1、乙方应按招标文件的规定，满足采购人提出的所有技术要求和服务要求。</w:t>
      </w:r>
    </w:p>
    <w:p>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2、乙方承诺甲方在浙江省享受最优惠图书馆待遇，即在合同期内，乙方如果给予浙江省杭州市其他图书馆更优惠的待遇，应立即通知甲方同时享有。</w:t>
      </w:r>
    </w:p>
    <w:p>
      <w:pPr>
        <w:pStyle w:val="18"/>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shd w:val="clear" w:color="auto" w:fill="auto"/>
          <w:lang w:val="en-US" w:eastAsia="zh-CN"/>
        </w:rPr>
        <w:t>3、（其他内容按采购文件要求、乙方投标文件响应内容）</w:t>
      </w:r>
    </w:p>
    <w:p>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outlineLvl w:val="9"/>
        <w:rPr>
          <w:rFonts w:hint="eastAsia" w:ascii="仿宋" w:hAnsi="仿宋" w:eastAsia="仿宋" w:cs="仿宋"/>
          <w:b/>
          <w:i w:val="0"/>
          <w:iCs w:val="0"/>
          <w:color w:val="auto"/>
          <w:sz w:val="24"/>
          <w:szCs w:val="24"/>
          <w:highlight w:val="none"/>
          <w:lang w:val="en-US" w:eastAsia="zh-CN"/>
        </w:rPr>
      </w:pPr>
      <w:r>
        <w:rPr>
          <w:rFonts w:hint="eastAsia" w:ascii="仿宋" w:hAnsi="仿宋" w:eastAsia="仿宋" w:cs="仿宋"/>
          <w:b/>
          <w:i w:val="0"/>
          <w:iCs w:val="0"/>
          <w:color w:val="auto"/>
          <w:sz w:val="24"/>
          <w:szCs w:val="24"/>
          <w:highlight w:val="none"/>
          <w:lang w:val="en-US" w:eastAsia="zh-CN"/>
        </w:rPr>
        <w:t>四</w:t>
      </w:r>
      <w:r>
        <w:rPr>
          <w:rFonts w:hint="eastAsia" w:ascii="仿宋" w:hAnsi="仿宋" w:eastAsia="仿宋" w:cs="仿宋"/>
          <w:b/>
          <w:i w:val="0"/>
          <w:iCs w:val="0"/>
          <w:color w:val="auto"/>
          <w:sz w:val="24"/>
          <w:szCs w:val="24"/>
          <w:highlight w:val="none"/>
        </w:rPr>
        <w:t>、</w:t>
      </w:r>
      <w:r>
        <w:rPr>
          <w:rFonts w:hint="eastAsia" w:ascii="仿宋" w:hAnsi="仿宋" w:eastAsia="仿宋" w:cs="仿宋"/>
          <w:b/>
          <w:i w:val="0"/>
          <w:iCs w:val="0"/>
          <w:color w:val="auto"/>
          <w:sz w:val="24"/>
          <w:szCs w:val="24"/>
          <w:highlight w:val="none"/>
          <w:lang w:val="en-US" w:eastAsia="zh-CN"/>
        </w:rPr>
        <w:t>合同费用及相关条款</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rPr>
        <w:t>（一）</w:t>
      </w:r>
      <w:r>
        <w:rPr>
          <w:rFonts w:hint="eastAsia" w:ascii="仿宋" w:hAnsi="仿宋" w:eastAsia="仿宋" w:cs="仿宋"/>
          <w:color w:val="auto"/>
          <w:sz w:val="24"/>
          <w:szCs w:val="24"/>
          <w:highlight w:val="none"/>
          <w:shd w:val="clear" w:color="auto" w:fill="auto"/>
          <w:lang w:val="en-US" w:eastAsia="zh-CN"/>
        </w:rPr>
        <w:t>合同费用</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val="en-US" w:eastAsia="zh-CN"/>
        </w:rPr>
        <w:t>1、</w:t>
      </w:r>
      <w:r>
        <w:rPr>
          <w:rFonts w:hint="eastAsia" w:ascii="仿宋" w:hAnsi="仿宋" w:eastAsia="仿宋" w:cs="仿宋"/>
          <w:color w:val="auto"/>
          <w:sz w:val="24"/>
          <w:szCs w:val="24"/>
          <w:highlight w:val="none"/>
          <w:shd w:val="clear" w:color="auto" w:fill="auto"/>
        </w:rPr>
        <w:t>本项目为</w:t>
      </w:r>
      <w:r>
        <w:rPr>
          <w:rFonts w:hint="eastAsia" w:ascii="仿宋" w:hAnsi="仿宋" w:eastAsia="仿宋" w:cs="仿宋"/>
          <w:color w:val="auto"/>
          <w:sz w:val="24"/>
          <w:szCs w:val="24"/>
          <w:highlight w:val="none"/>
          <w:shd w:val="clear" w:color="auto" w:fill="auto"/>
          <w:lang w:val="en-US" w:eastAsia="zh-CN"/>
        </w:rPr>
        <w:t>综合单价</w:t>
      </w:r>
      <w:r>
        <w:rPr>
          <w:rFonts w:hint="eastAsia" w:ascii="仿宋" w:hAnsi="仿宋" w:eastAsia="仿宋" w:cs="仿宋"/>
          <w:color w:val="auto"/>
          <w:sz w:val="24"/>
          <w:szCs w:val="24"/>
          <w:highlight w:val="none"/>
          <w:shd w:val="clear" w:color="auto" w:fill="auto"/>
        </w:rPr>
        <w:t>包干</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shd w:val="clear" w:color="auto" w:fill="auto"/>
          <w:lang w:val="en-US" w:eastAsia="zh-CN"/>
        </w:rPr>
        <w:t>乙方</w:t>
      </w:r>
      <w:r>
        <w:rPr>
          <w:rFonts w:hint="eastAsia" w:ascii="仿宋" w:hAnsi="仿宋" w:eastAsia="仿宋" w:cs="仿宋"/>
          <w:color w:val="auto"/>
          <w:sz w:val="24"/>
          <w:szCs w:val="24"/>
          <w:highlight w:val="none"/>
          <w:shd w:val="clear" w:color="auto" w:fill="auto"/>
          <w:lang w:eastAsia="zh-CN"/>
        </w:rPr>
        <w:t>需负担供图书购买费、途中运输费、装卸费、馆藏加工费、RFID芯片、磁条、数据、图书保管费、图书退换货、售后服务、图书信息提供、税费等一切费用可能涉及的各项费用。</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本项目暂定合同总价为130万元。</w:t>
      </w:r>
    </w:p>
    <w:p>
      <w:pPr>
        <w:adjustRightInd w:val="0"/>
        <w:snapToGrid w:val="0"/>
        <w:spacing w:line="360" w:lineRule="auto"/>
        <w:ind w:firstLine="480" w:firstLineChars="200"/>
        <w:jc w:val="left"/>
        <w:rPr>
          <w:rFonts w:hint="eastAsia" w:ascii="仿宋" w:hAnsi="仿宋" w:eastAsia="仿宋" w:cs="仿宋"/>
          <w:b w:val="0"/>
          <w:bCs w:val="0"/>
          <w:snapToGrid w:val="0"/>
          <w:color w:val="auto"/>
          <w:kern w:val="0"/>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2、</w:t>
      </w:r>
      <w:r>
        <w:rPr>
          <w:rFonts w:hint="eastAsia" w:ascii="仿宋" w:hAnsi="仿宋" w:eastAsia="仿宋" w:cs="仿宋"/>
          <w:b w:val="0"/>
          <w:bCs w:val="0"/>
          <w:snapToGrid w:val="0"/>
          <w:color w:val="auto"/>
          <w:kern w:val="0"/>
          <w:sz w:val="24"/>
          <w:szCs w:val="24"/>
          <w:highlight w:val="none"/>
          <w:shd w:val="clear" w:color="auto" w:fill="auto"/>
          <w:lang w:val="en-US" w:eastAsia="zh-CN"/>
        </w:rPr>
        <w:t>本项目合同费率为：</w:t>
      </w:r>
      <w:r>
        <w:rPr>
          <w:rFonts w:hint="eastAsia" w:ascii="仿宋" w:hAnsi="仿宋" w:eastAsia="仿宋" w:cs="仿宋"/>
          <w:b w:val="0"/>
          <w:bCs w:val="0"/>
          <w:snapToGrid w:val="0"/>
          <w:color w:val="auto"/>
          <w:kern w:val="0"/>
          <w:sz w:val="24"/>
          <w:szCs w:val="24"/>
          <w:highlight w:val="none"/>
          <w:u w:val="single"/>
          <w:shd w:val="clear" w:color="auto" w:fill="auto"/>
          <w:lang w:val="en-US" w:eastAsia="zh-CN"/>
        </w:rPr>
        <w:t xml:space="preserve">               </w:t>
      </w:r>
      <w:r>
        <w:rPr>
          <w:rFonts w:hint="eastAsia" w:ascii="仿宋" w:hAnsi="仿宋" w:eastAsia="仿宋" w:cs="仿宋"/>
          <w:b w:val="0"/>
          <w:bCs w:val="0"/>
          <w:snapToGrid w:val="0"/>
          <w:color w:val="auto"/>
          <w:kern w:val="0"/>
          <w:sz w:val="24"/>
          <w:szCs w:val="24"/>
          <w:highlight w:val="none"/>
          <w:shd w:val="clear" w:color="auto" w:fill="auto"/>
          <w:lang w:val="en-US" w:eastAsia="zh-CN"/>
        </w:rPr>
        <w:t>。</w:t>
      </w:r>
    </w:p>
    <w:p>
      <w:pPr>
        <w:adjustRightInd w:val="0"/>
        <w:snapToGrid w:val="0"/>
        <w:spacing w:line="360" w:lineRule="auto"/>
        <w:ind w:firstLine="480" w:firstLineChars="200"/>
        <w:jc w:val="left"/>
        <w:rPr>
          <w:rFonts w:hint="eastAsia" w:ascii="仿宋" w:hAnsi="仿宋" w:eastAsia="仿宋" w:cs="仿宋"/>
          <w:b w:val="0"/>
          <w:bCs w:val="0"/>
          <w:snapToGrid w:val="0"/>
          <w:color w:val="auto"/>
          <w:kern w:val="0"/>
          <w:sz w:val="24"/>
          <w:szCs w:val="24"/>
          <w:highlight w:val="none"/>
          <w:shd w:val="clear" w:color="auto" w:fill="auto"/>
          <w:lang w:eastAsia="zh-CN"/>
        </w:rPr>
      </w:pPr>
      <w:r>
        <w:rPr>
          <w:rFonts w:hint="eastAsia" w:ascii="仿宋" w:hAnsi="仿宋" w:eastAsia="仿宋" w:cs="仿宋"/>
          <w:b w:val="0"/>
          <w:bCs w:val="0"/>
          <w:snapToGrid w:val="0"/>
          <w:color w:val="auto"/>
          <w:kern w:val="0"/>
          <w:sz w:val="24"/>
          <w:szCs w:val="24"/>
          <w:highlight w:val="none"/>
          <w:shd w:val="clear" w:color="auto" w:fill="auto"/>
        </w:rPr>
        <w:t>在合同执行期内，</w:t>
      </w:r>
      <w:r>
        <w:rPr>
          <w:rFonts w:hint="eastAsia" w:ascii="仿宋" w:hAnsi="仿宋" w:eastAsia="仿宋" w:cs="仿宋"/>
          <w:b w:val="0"/>
          <w:bCs w:val="0"/>
          <w:snapToGrid w:val="0"/>
          <w:color w:val="auto"/>
          <w:kern w:val="0"/>
          <w:sz w:val="24"/>
          <w:szCs w:val="24"/>
          <w:highlight w:val="none"/>
          <w:shd w:val="clear" w:color="auto" w:fill="auto"/>
          <w:lang w:val="en-US" w:eastAsia="zh-CN"/>
        </w:rPr>
        <w:t>费率</w:t>
      </w:r>
      <w:r>
        <w:rPr>
          <w:rFonts w:hint="eastAsia" w:ascii="仿宋" w:hAnsi="仿宋" w:eastAsia="仿宋" w:cs="仿宋"/>
          <w:b w:val="0"/>
          <w:bCs w:val="0"/>
          <w:snapToGrid w:val="0"/>
          <w:color w:val="auto"/>
          <w:kern w:val="0"/>
          <w:sz w:val="24"/>
          <w:szCs w:val="24"/>
          <w:highlight w:val="none"/>
          <w:shd w:val="clear" w:color="auto" w:fill="auto"/>
        </w:rPr>
        <w:t>固定不变，因各种原因而导致费用的增减，</w:t>
      </w:r>
      <w:r>
        <w:rPr>
          <w:rFonts w:hint="eastAsia" w:ascii="仿宋" w:hAnsi="仿宋" w:eastAsia="仿宋" w:cs="仿宋"/>
          <w:b w:val="0"/>
          <w:bCs w:val="0"/>
          <w:snapToGrid w:val="0"/>
          <w:color w:val="auto"/>
          <w:kern w:val="0"/>
          <w:sz w:val="24"/>
          <w:szCs w:val="24"/>
          <w:highlight w:val="none"/>
          <w:shd w:val="clear" w:color="auto" w:fill="auto"/>
          <w:lang w:val="en-US" w:eastAsia="zh-CN"/>
        </w:rPr>
        <w:t>甲方</w:t>
      </w:r>
      <w:r>
        <w:rPr>
          <w:rFonts w:hint="eastAsia" w:ascii="仿宋" w:hAnsi="仿宋" w:eastAsia="仿宋" w:cs="仿宋"/>
          <w:b w:val="0"/>
          <w:bCs w:val="0"/>
          <w:snapToGrid w:val="0"/>
          <w:color w:val="auto"/>
          <w:kern w:val="0"/>
          <w:sz w:val="24"/>
          <w:szCs w:val="24"/>
          <w:highlight w:val="none"/>
          <w:shd w:val="clear" w:color="auto" w:fill="auto"/>
        </w:rPr>
        <w:t>均不考虑补偿</w:t>
      </w:r>
      <w:r>
        <w:rPr>
          <w:rFonts w:hint="eastAsia" w:ascii="仿宋" w:hAnsi="仿宋" w:eastAsia="仿宋" w:cs="仿宋"/>
          <w:b w:val="0"/>
          <w:bCs w:val="0"/>
          <w:snapToGrid w:val="0"/>
          <w:color w:val="auto"/>
          <w:kern w:val="0"/>
          <w:sz w:val="24"/>
          <w:szCs w:val="24"/>
          <w:highlight w:val="none"/>
          <w:shd w:val="clear" w:color="auto" w:fill="auto"/>
          <w:lang w:eastAsia="zh-CN"/>
        </w:rPr>
        <w:t>。</w:t>
      </w:r>
    </w:p>
    <w:p>
      <w:pPr>
        <w:adjustRightInd w:val="0"/>
        <w:snapToGrid w:val="0"/>
        <w:spacing w:line="360" w:lineRule="auto"/>
        <w:ind w:firstLine="480" w:firstLineChars="200"/>
        <w:jc w:val="left"/>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snapToGrid w:val="0"/>
          <w:color w:val="auto"/>
          <w:kern w:val="0"/>
          <w:sz w:val="24"/>
          <w:szCs w:val="24"/>
          <w:highlight w:val="none"/>
          <w:shd w:val="clear" w:color="auto" w:fill="auto"/>
        </w:rPr>
        <w:t>结算</w:t>
      </w:r>
      <w:r>
        <w:rPr>
          <w:rFonts w:hint="eastAsia" w:ascii="仿宋" w:hAnsi="仿宋" w:eastAsia="仿宋" w:cs="仿宋"/>
          <w:b w:val="0"/>
          <w:bCs w:val="0"/>
          <w:snapToGrid w:val="0"/>
          <w:color w:val="auto"/>
          <w:kern w:val="0"/>
          <w:sz w:val="24"/>
          <w:szCs w:val="24"/>
          <w:highlight w:val="none"/>
          <w:shd w:val="clear" w:color="auto" w:fill="auto"/>
          <w:lang w:val="en-US" w:eastAsia="zh-CN"/>
        </w:rPr>
        <w:t>合同款时，以图书定价为依据，按照合同费率（%），计算书款</w:t>
      </w:r>
      <w:r>
        <w:rPr>
          <w:rFonts w:hint="eastAsia" w:ascii="仿宋" w:hAnsi="仿宋" w:eastAsia="仿宋" w:cs="仿宋"/>
          <w:b w:val="0"/>
          <w:bCs w:val="0"/>
          <w:snapToGrid w:val="0"/>
          <w:color w:val="auto"/>
          <w:kern w:val="0"/>
          <w:sz w:val="24"/>
          <w:szCs w:val="24"/>
          <w:highlight w:val="none"/>
          <w:shd w:val="clear" w:color="auto" w:fill="auto"/>
        </w:rPr>
        <w:t>总价</w:t>
      </w:r>
      <w:r>
        <w:rPr>
          <w:rFonts w:hint="eastAsia" w:ascii="仿宋" w:hAnsi="仿宋" w:eastAsia="仿宋" w:cs="仿宋"/>
          <w:b w:val="0"/>
          <w:bCs w:val="0"/>
          <w:snapToGrid w:val="0"/>
          <w:color w:val="auto"/>
          <w:kern w:val="0"/>
          <w:sz w:val="24"/>
          <w:szCs w:val="24"/>
          <w:highlight w:val="none"/>
          <w:shd w:val="clear" w:color="auto" w:fill="auto"/>
          <w:lang w:eastAsia="zh-CN"/>
        </w:rPr>
        <w:t>。</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3、合同</w:t>
      </w:r>
      <w:r>
        <w:rPr>
          <w:rFonts w:hint="eastAsia" w:ascii="仿宋" w:hAnsi="仿宋" w:eastAsia="仿宋" w:cs="仿宋"/>
          <w:color w:val="auto"/>
          <w:sz w:val="24"/>
          <w:szCs w:val="24"/>
          <w:highlight w:val="none"/>
          <w:shd w:val="clear" w:color="auto" w:fill="auto"/>
          <w:lang w:val="en-US" w:eastAsia="zh-CN"/>
        </w:rPr>
        <w:t>支付金额的上限为预算金额130万元。乙方有义务提醒甲方项目总价的实时统计情况，以免工作量超限价。</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（二）履约担保：无。</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（三）合同款支付</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合同生效以及具备实施条件后5个工作日内，甲方向乙方支付暂定合同总价（以130万元计）的50%作为预付款。（支付预付款的，合同费用将在预付款全部扣回后支付。在签订合同时，乙方明确表示无需预付款或者主动要求降低预付款比例的，可不适用预付款相关规定）。</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u w:val="none"/>
          <w:shd w:val="clear" w:color="auto" w:fill="auto"/>
          <w:lang w:val="en-US" w:eastAsia="zh-CN"/>
        </w:rPr>
      </w:pPr>
      <w:r>
        <w:rPr>
          <w:rFonts w:hint="eastAsia" w:ascii="仿宋" w:hAnsi="仿宋" w:eastAsia="仿宋" w:cs="仿宋"/>
          <w:color w:val="auto"/>
          <w:sz w:val="24"/>
          <w:szCs w:val="24"/>
          <w:highlight w:val="none"/>
          <w:u w:val="none"/>
          <w:shd w:val="clear" w:color="auto" w:fill="auto"/>
          <w:lang w:val="en-US" w:eastAsia="zh-CN"/>
        </w:rPr>
        <w:t>2、费用支付方式：凡交到甲方的图书，以图书定价和中标费率作为计算书款的依据。经验收发现书款与发货单不符的，甲方及时通知乙方派相关人员到验收地核算。乙方接到通知之日起5个工作日内不能及时派人员核算的，以甲方验收的实际数额计算书款金额。所有图书验收合格后，一次性结算全部书款金额。</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u w:val="none"/>
          <w:shd w:val="clear" w:color="auto" w:fill="auto"/>
          <w:lang w:val="en-US" w:eastAsia="zh-CN"/>
        </w:rPr>
      </w:pPr>
      <w:r>
        <w:rPr>
          <w:rFonts w:hint="eastAsia" w:ascii="仿宋" w:hAnsi="仿宋" w:eastAsia="仿宋" w:cs="仿宋"/>
          <w:color w:val="auto"/>
          <w:sz w:val="24"/>
          <w:szCs w:val="24"/>
          <w:highlight w:val="none"/>
          <w:u w:val="none"/>
          <w:shd w:val="clear" w:color="auto" w:fill="auto"/>
          <w:lang w:val="en-US" w:eastAsia="zh-CN"/>
        </w:rPr>
        <w:t>3、乙方申请付款时，需提供工作量清单及正规发票。</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（四）税费</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本合同执行中相关的一切税费均由乙方负担。</w:t>
      </w:r>
    </w:p>
    <w:p>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outlineLvl w:val="9"/>
        <w:rPr>
          <w:rFonts w:hint="eastAsia" w:ascii="仿宋" w:hAnsi="仿宋" w:eastAsia="仿宋" w:cs="仿宋"/>
          <w:b/>
          <w:i w:val="0"/>
          <w:iCs w:val="0"/>
          <w:color w:val="auto"/>
          <w:sz w:val="24"/>
          <w:szCs w:val="24"/>
          <w:highlight w:val="none"/>
          <w:lang w:val="en-US" w:eastAsia="zh-CN"/>
        </w:rPr>
      </w:pPr>
      <w:r>
        <w:rPr>
          <w:rFonts w:hint="eastAsia" w:ascii="仿宋" w:hAnsi="仿宋" w:eastAsia="仿宋" w:cs="仿宋"/>
          <w:b/>
          <w:i w:val="0"/>
          <w:iCs w:val="0"/>
          <w:color w:val="auto"/>
          <w:sz w:val="24"/>
          <w:szCs w:val="24"/>
          <w:highlight w:val="none"/>
          <w:lang w:val="en-US" w:eastAsia="zh-CN"/>
        </w:rPr>
        <w:t>五、验收</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（一）交付验收</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甲方对乙方送交的图书依据招标文件上的要求标准进行验收。验收不合格的，甲方不予接收。</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（二）履约验收</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shd w:val="clear" w:color="auto" w:fill="auto"/>
          <w:lang w:val="zh-CN" w:eastAsia="zh-CN"/>
        </w:rPr>
      </w:pPr>
      <w:r>
        <w:rPr>
          <w:rFonts w:hint="eastAsia" w:ascii="仿宋" w:hAnsi="仿宋" w:eastAsia="仿宋" w:cs="仿宋"/>
          <w:color w:val="auto"/>
          <w:sz w:val="24"/>
          <w:szCs w:val="24"/>
          <w:highlight w:val="none"/>
          <w:shd w:val="clear" w:color="auto" w:fill="auto"/>
          <w:lang w:val="en-US" w:eastAsia="zh-CN"/>
        </w:rPr>
        <w:t>1、</w:t>
      </w:r>
      <w:r>
        <w:rPr>
          <w:rFonts w:hint="eastAsia" w:ascii="仿宋" w:hAnsi="仿宋" w:eastAsia="仿宋" w:cs="仿宋"/>
          <w:color w:val="auto"/>
          <w:sz w:val="24"/>
          <w:szCs w:val="24"/>
          <w:highlight w:val="none"/>
          <w:shd w:val="clear" w:color="auto" w:fill="auto"/>
          <w:lang w:val="zh-CN" w:eastAsia="zh-CN"/>
        </w:rPr>
        <w:t>本项目</w:t>
      </w:r>
      <w:r>
        <w:rPr>
          <w:rFonts w:hint="eastAsia" w:ascii="仿宋" w:hAnsi="仿宋" w:eastAsia="仿宋" w:cs="仿宋"/>
          <w:color w:val="auto"/>
          <w:sz w:val="24"/>
          <w:szCs w:val="24"/>
          <w:highlight w:val="none"/>
          <w:shd w:val="clear" w:color="auto" w:fill="auto"/>
          <w:lang w:val="en-US" w:eastAsia="zh-CN"/>
        </w:rPr>
        <w:t>组织</w:t>
      </w:r>
      <w:r>
        <w:rPr>
          <w:rFonts w:hint="eastAsia" w:ascii="仿宋" w:hAnsi="仿宋" w:eastAsia="仿宋" w:cs="仿宋"/>
          <w:color w:val="auto"/>
          <w:sz w:val="24"/>
          <w:szCs w:val="24"/>
          <w:highlight w:val="none"/>
          <w:shd w:val="clear" w:color="auto" w:fill="auto"/>
          <w:lang w:val="zh-CN" w:eastAsia="zh-CN"/>
        </w:rPr>
        <w:t>履约验收，验收合格的情况作为项目支付的依据。</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shd w:val="clear" w:color="auto" w:fill="auto"/>
          <w:lang w:val="zh-CN" w:eastAsia="zh-CN"/>
        </w:rPr>
      </w:pPr>
      <w:r>
        <w:rPr>
          <w:rFonts w:hint="eastAsia" w:ascii="仿宋" w:hAnsi="仿宋" w:eastAsia="仿宋" w:cs="仿宋"/>
          <w:color w:val="auto"/>
          <w:sz w:val="24"/>
          <w:szCs w:val="24"/>
          <w:highlight w:val="none"/>
          <w:shd w:val="clear" w:color="auto" w:fill="auto"/>
          <w:lang w:val="zh-CN" w:eastAsia="zh-CN"/>
        </w:rPr>
        <w:t>验收依据：①采购文件确定的技术指标或者服务要求；②投标文件承诺、询标回复；③服务合同、甲方制定的考核标准。未进行相应约定的，应当符合国家强制性规定、政策要求、安全标准、行业或企业有关标准等。</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shd w:val="clear" w:color="auto" w:fill="auto"/>
          <w:lang w:val="zh-CN" w:eastAsia="zh-CN"/>
        </w:rPr>
      </w:pPr>
      <w:r>
        <w:rPr>
          <w:rFonts w:hint="eastAsia" w:ascii="仿宋" w:hAnsi="仿宋" w:eastAsia="仿宋" w:cs="仿宋"/>
          <w:color w:val="auto"/>
          <w:sz w:val="24"/>
          <w:szCs w:val="24"/>
          <w:highlight w:val="none"/>
          <w:shd w:val="clear" w:color="auto" w:fill="auto"/>
          <w:lang w:val="en-US" w:eastAsia="zh-CN"/>
        </w:rPr>
        <w:t>2、本项目的验收标准：甲方订单及乙方交付清单；乙方服务内容及总结</w:t>
      </w:r>
      <w:r>
        <w:rPr>
          <w:rFonts w:hint="eastAsia" w:ascii="仿宋" w:hAnsi="仿宋" w:eastAsia="仿宋" w:cs="仿宋"/>
          <w:color w:val="auto"/>
          <w:sz w:val="24"/>
          <w:szCs w:val="24"/>
          <w:highlight w:val="none"/>
          <w:shd w:val="clear" w:color="auto" w:fill="auto"/>
          <w:lang w:val="zh-CN" w:eastAsia="zh-CN"/>
        </w:rPr>
        <w:t>（</w:t>
      </w:r>
      <w:r>
        <w:rPr>
          <w:rFonts w:hint="eastAsia" w:ascii="仿宋" w:hAnsi="仿宋" w:eastAsia="仿宋" w:cs="仿宋"/>
          <w:color w:val="auto"/>
          <w:sz w:val="24"/>
          <w:szCs w:val="24"/>
          <w:highlight w:val="none"/>
          <w:shd w:val="clear" w:color="auto" w:fill="auto"/>
          <w:lang w:val="en-US" w:eastAsia="zh-CN"/>
        </w:rPr>
        <w:t>乙方应</w:t>
      </w:r>
      <w:r>
        <w:rPr>
          <w:rFonts w:hint="eastAsia" w:ascii="仿宋" w:hAnsi="仿宋" w:eastAsia="仿宋" w:cs="仿宋"/>
          <w:color w:val="auto"/>
          <w:sz w:val="24"/>
          <w:szCs w:val="24"/>
          <w:highlight w:val="none"/>
          <w:shd w:val="clear" w:color="auto" w:fill="auto"/>
          <w:lang w:val="zh-CN" w:eastAsia="zh-CN"/>
        </w:rPr>
        <w:t>提交的</w:t>
      </w:r>
      <w:r>
        <w:rPr>
          <w:rFonts w:hint="eastAsia" w:ascii="仿宋" w:hAnsi="仿宋" w:eastAsia="仿宋" w:cs="仿宋"/>
          <w:color w:val="auto"/>
          <w:sz w:val="24"/>
          <w:szCs w:val="24"/>
          <w:highlight w:val="none"/>
          <w:shd w:val="clear" w:color="auto" w:fill="auto"/>
          <w:lang w:val="en-US" w:eastAsia="zh-CN"/>
        </w:rPr>
        <w:t>服务过程</w:t>
      </w:r>
      <w:r>
        <w:rPr>
          <w:rFonts w:hint="eastAsia" w:ascii="仿宋" w:hAnsi="仿宋" w:eastAsia="仿宋" w:cs="仿宋"/>
          <w:color w:val="auto"/>
          <w:sz w:val="24"/>
          <w:szCs w:val="24"/>
          <w:highlight w:val="none"/>
          <w:shd w:val="clear" w:color="auto" w:fill="auto"/>
          <w:lang w:val="zh-CN" w:eastAsia="zh-CN"/>
        </w:rPr>
        <w:t>照片、总结等资料）。</w:t>
      </w:r>
      <w:r>
        <w:rPr>
          <w:rFonts w:hint="eastAsia" w:ascii="仿宋" w:hAnsi="仿宋" w:eastAsia="仿宋" w:cs="仿宋"/>
          <w:color w:val="auto"/>
          <w:sz w:val="24"/>
          <w:szCs w:val="24"/>
          <w:highlight w:val="none"/>
          <w:shd w:val="clear" w:color="auto" w:fill="auto"/>
          <w:lang w:val="en-US" w:eastAsia="zh-CN"/>
        </w:rPr>
        <w:t>要求台账记录清晰完整、</w:t>
      </w:r>
      <w:r>
        <w:rPr>
          <w:rFonts w:hint="eastAsia" w:ascii="仿宋" w:hAnsi="仿宋" w:eastAsia="仿宋" w:cs="仿宋"/>
          <w:color w:val="auto"/>
          <w:sz w:val="24"/>
          <w:szCs w:val="24"/>
          <w:highlight w:val="none"/>
          <w:shd w:val="clear" w:color="auto" w:fill="auto"/>
          <w:lang w:val="zh-CN" w:eastAsia="zh-CN"/>
        </w:rPr>
        <w:t>质量反馈表良好、材料完备。</w:t>
      </w:r>
    </w:p>
    <w:p>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outlineLvl w:val="9"/>
        <w:rPr>
          <w:rFonts w:hint="eastAsia" w:ascii="仿宋" w:hAnsi="仿宋" w:eastAsia="仿宋" w:cs="仿宋"/>
          <w:b/>
          <w:i w:val="0"/>
          <w:iCs w:val="0"/>
          <w:color w:val="auto"/>
          <w:sz w:val="24"/>
          <w:szCs w:val="24"/>
          <w:highlight w:val="none"/>
          <w:lang w:val="en-US" w:eastAsia="zh-CN"/>
        </w:rPr>
      </w:pPr>
      <w:r>
        <w:rPr>
          <w:rFonts w:hint="eastAsia" w:ascii="仿宋" w:hAnsi="仿宋" w:eastAsia="仿宋" w:cs="仿宋"/>
          <w:b/>
          <w:i w:val="0"/>
          <w:iCs w:val="0"/>
          <w:color w:val="auto"/>
          <w:sz w:val="24"/>
          <w:szCs w:val="24"/>
          <w:highlight w:val="none"/>
          <w:lang w:val="en-US" w:eastAsia="zh-CN"/>
        </w:rPr>
        <w:t>六、违约处理</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1、合同生效后若一方违约解除合同，违约方应承担由此给对方造成的一切实际损失。</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2、违约赔偿</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乙方必须依本合同的各项规定准确供书，若达不到约定的订到率，每下降一个百分点，则按该年度购书总额的千分之五支付违约金（直接从中标方的履约金里扣除），订到率低于定数十个百分点（含十个）以上视为严重违约，甲方有权终止合同，并没收履约承诺金。</w:t>
      </w:r>
    </w:p>
    <w:p>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outlineLvl w:val="9"/>
        <w:rPr>
          <w:rFonts w:hint="eastAsia" w:ascii="仿宋" w:hAnsi="仿宋" w:eastAsia="仿宋" w:cs="仿宋"/>
          <w:b/>
          <w:i w:val="0"/>
          <w:iCs w:val="0"/>
          <w:color w:val="auto"/>
          <w:sz w:val="24"/>
          <w:szCs w:val="24"/>
          <w:highlight w:val="none"/>
        </w:rPr>
      </w:pPr>
      <w:r>
        <w:rPr>
          <w:rFonts w:hint="eastAsia" w:ascii="仿宋" w:hAnsi="仿宋" w:eastAsia="仿宋" w:cs="仿宋"/>
          <w:b/>
          <w:i w:val="0"/>
          <w:iCs w:val="0"/>
          <w:color w:val="auto"/>
          <w:sz w:val="24"/>
          <w:szCs w:val="24"/>
          <w:highlight w:val="none"/>
          <w:lang w:val="en-US" w:eastAsia="zh-CN"/>
        </w:rPr>
        <w:t>七</w:t>
      </w:r>
      <w:r>
        <w:rPr>
          <w:rFonts w:hint="eastAsia" w:ascii="仿宋" w:hAnsi="仿宋" w:eastAsia="仿宋" w:cs="仿宋"/>
          <w:b/>
          <w:i w:val="0"/>
          <w:iCs w:val="0"/>
          <w:color w:val="auto"/>
          <w:sz w:val="24"/>
          <w:szCs w:val="24"/>
          <w:highlight w:val="none"/>
        </w:rPr>
        <w:t>、争议解决</w:t>
      </w:r>
    </w:p>
    <w:p>
      <w:pPr>
        <w:pStyle w:val="152"/>
        <w:adjustRightInd w:val="0"/>
        <w:snapToGrid w:val="0"/>
        <w:spacing w:line="360" w:lineRule="auto"/>
        <w:ind w:firstLine="480" w:firstLineChars="200"/>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val="0"/>
          <w:bCs w:val="0"/>
          <w:color w:val="auto"/>
          <w:sz w:val="24"/>
          <w:szCs w:val="24"/>
          <w:highlight w:val="none"/>
          <w:shd w:val="clear" w:color="auto" w:fill="auto"/>
          <w:lang w:val="en-US" w:eastAsia="zh-CN"/>
        </w:rPr>
        <w:t>1、</w:t>
      </w:r>
      <w:r>
        <w:rPr>
          <w:rFonts w:hint="eastAsia" w:ascii="仿宋" w:hAnsi="仿宋" w:eastAsia="仿宋" w:cs="仿宋"/>
          <w:b w:val="0"/>
          <w:bCs w:val="0"/>
          <w:color w:val="auto"/>
          <w:sz w:val="24"/>
          <w:szCs w:val="24"/>
          <w:highlight w:val="none"/>
          <w:shd w:val="clear" w:color="auto" w:fill="auto"/>
        </w:rPr>
        <w:t>本合同应适用中国法律并应根据中国法律解释。</w:t>
      </w:r>
    </w:p>
    <w:p>
      <w:pPr>
        <w:pStyle w:val="152"/>
        <w:adjustRightInd w:val="0"/>
        <w:snapToGrid w:val="0"/>
        <w:spacing w:line="360" w:lineRule="auto"/>
        <w:ind w:firstLine="480" w:firstLineChars="200"/>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val="0"/>
          <w:bCs w:val="0"/>
          <w:color w:val="auto"/>
          <w:sz w:val="24"/>
          <w:szCs w:val="24"/>
          <w:highlight w:val="none"/>
          <w:shd w:val="clear" w:color="auto" w:fill="auto"/>
          <w:lang w:val="en-US" w:eastAsia="zh-CN"/>
        </w:rPr>
        <w:t>2、</w:t>
      </w:r>
      <w:r>
        <w:rPr>
          <w:rFonts w:hint="eastAsia" w:ascii="仿宋" w:hAnsi="仿宋" w:eastAsia="仿宋" w:cs="仿宋"/>
          <w:b w:val="0"/>
          <w:bCs w:val="0"/>
          <w:color w:val="auto"/>
          <w:sz w:val="24"/>
          <w:szCs w:val="24"/>
          <w:highlight w:val="none"/>
          <w:shd w:val="clear" w:color="auto" w:fill="auto"/>
        </w:rPr>
        <w:t>因本合同引起的或与本合同有关的任何争议，双方应当协商解决。经双方协商不能解决的，均提请杭州仲裁委员会，按照其仲裁规则进行仲裁。仲裁裁决是终局的，对双方均有约束力。</w:t>
      </w:r>
    </w:p>
    <w:p>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outlineLvl w:val="9"/>
        <w:rPr>
          <w:rFonts w:hint="eastAsia" w:ascii="仿宋" w:hAnsi="仿宋" w:eastAsia="仿宋" w:cs="仿宋"/>
          <w:b/>
          <w:i w:val="0"/>
          <w:iCs w:val="0"/>
          <w:color w:val="auto"/>
          <w:sz w:val="24"/>
          <w:szCs w:val="24"/>
          <w:highlight w:val="none"/>
        </w:rPr>
      </w:pPr>
      <w:r>
        <w:rPr>
          <w:rFonts w:hint="eastAsia" w:ascii="仿宋" w:hAnsi="仿宋" w:eastAsia="仿宋" w:cs="仿宋"/>
          <w:b/>
          <w:i w:val="0"/>
          <w:iCs w:val="0"/>
          <w:color w:val="auto"/>
          <w:sz w:val="24"/>
          <w:szCs w:val="24"/>
          <w:highlight w:val="none"/>
          <w:lang w:val="en-US" w:eastAsia="zh-CN"/>
        </w:rPr>
        <w:t>八</w:t>
      </w:r>
      <w:r>
        <w:rPr>
          <w:rFonts w:hint="eastAsia" w:ascii="仿宋" w:hAnsi="仿宋" w:eastAsia="仿宋" w:cs="仿宋"/>
          <w:b/>
          <w:i w:val="0"/>
          <w:iCs w:val="0"/>
          <w:color w:val="auto"/>
          <w:sz w:val="24"/>
          <w:szCs w:val="24"/>
          <w:highlight w:val="none"/>
        </w:rPr>
        <w:t>、不可抗力</w:t>
      </w:r>
    </w:p>
    <w:p>
      <w:pPr>
        <w:pStyle w:val="152"/>
        <w:adjustRightInd w:val="0"/>
        <w:snapToGrid w:val="0"/>
        <w:spacing w:line="360" w:lineRule="auto"/>
        <w:ind w:firstLine="480" w:firstLineChars="200"/>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val="0"/>
          <w:bCs w:val="0"/>
          <w:color w:val="auto"/>
          <w:sz w:val="24"/>
          <w:szCs w:val="24"/>
          <w:highlight w:val="none"/>
          <w:shd w:val="clear" w:color="auto" w:fill="auto"/>
          <w:lang w:val="en-US" w:eastAsia="zh-CN"/>
        </w:rPr>
        <w:t>1、</w:t>
      </w:r>
      <w:r>
        <w:rPr>
          <w:rFonts w:hint="eastAsia" w:ascii="仿宋" w:hAnsi="仿宋" w:eastAsia="仿宋" w:cs="仿宋"/>
          <w:b w:val="0"/>
          <w:bCs w:val="0"/>
          <w:color w:val="auto"/>
          <w:sz w:val="24"/>
          <w:szCs w:val="24"/>
          <w:highlight w:val="none"/>
          <w:shd w:val="clear" w:color="auto" w:fill="auto"/>
        </w:rPr>
        <w:t>不可抗力是指因无法预见、无法避免且无法克服之原因发生的事项，包括但不限于地震、台风、海啸、瘟疫、火灾、洪水、重大疫情、政府行为、战争、恐怖袭击、蓄意破坏等客观情况。</w:t>
      </w:r>
    </w:p>
    <w:p>
      <w:pPr>
        <w:pStyle w:val="152"/>
        <w:adjustRightInd w:val="0"/>
        <w:snapToGrid w:val="0"/>
        <w:spacing w:line="360" w:lineRule="auto"/>
        <w:ind w:firstLine="480" w:firstLineChars="200"/>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val="0"/>
          <w:bCs w:val="0"/>
          <w:color w:val="auto"/>
          <w:sz w:val="24"/>
          <w:szCs w:val="24"/>
          <w:highlight w:val="none"/>
          <w:shd w:val="clear" w:color="auto" w:fill="auto"/>
          <w:lang w:val="en-US" w:eastAsia="zh-CN"/>
        </w:rPr>
        <w:t>2、</w:t>
      </w:r>
      <w:r>
        <w:rPr>
          <w:rFonts w:hint="eastAsia" w:ascii="仿宋" w:hAnsi="仿宋" w:eastAsia="仿宋" w:cs="仿宋"/>
          <w:b w:val="0"/>
          <w:bCs w:val="0"/>
          <w:color w:val="auto"/>
          <w:sz w:val="24"/>
          <w:szCs w:val="24"/>
          <w:highlight w:val="none"/>
          <w:shd w:val="clear" w:color="auto" w:fill="auto"/>
        </w:rPr>
        <w:t>本合同项下任何一方对于因不可抗力致使本合同不能履行或不能全部履行而给对方造成的任何损失不承担违约责任。</w:t>
      </w:r>
    </w:p>
    <w:p>
      <w:pPr>
        <w:pStyle w:val="152"/>
        <w:adjustRightInd w:val="0"/>
        <w:snapToGrid w:val="0"/>
        <w:spacing w:line="360" w:lineRule="auto"/>
        <w:ind w:firstLine="480" w:firstLineChars="200"/>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val="0"/>
          <w:bCs w:val="0"/>
          <w:color w:val="auto"/>
          <w:sz w:val="24"/>
          <w:szCs w:val="24"/>
          <w:highlight w:val="none"/>
          <w:shd w:val="clear" w:color="auto" w:fill="auto"/>
          <w:lang w:val="en-US" w:eastAsia="zh-CN"/>
        </w:rPr>
        <w:t>3、</w:t>
      </w:r>
      <w:r>
        <w:rPr>
          <w:rFonts w:hint="eastAsia" w:ascii="仿宋" w:hAnsi="仿宋" w:eastAsia="仿宋" w:cs="仿宋"/>
          <w:b w:val="0"/>
          <w:bCs w:val="0"/>
          <w:color w:val="auto"/>
          <w:sz w:val="24"/>
          <w:szCs w:val="24"/>
          <w:highlight w:val="none"/>
          <w:shd w:val="clear" w:color="auto" w:fill="auto"/>
        </w:rPr>
        <w:t>如果发生不可抗力事件，则受影响的一方应采取积极有效的措施以减少因本合同不能履行或不能全部履行而给对方造成的损失，并应在不可抗力事件发生后【3】个工作日内通知对方，并在 14 个工作日内出具官方证明文件。</w:t>
      </w:r>
    </w:p>
    <w:p>
      <w:pPr>
        <w:pStyle w:val="152"/>
        <w:adjustRightInd w:val="0"/>
        <w:snapToGrid w:val="0"/>
        <w:spacing w:line="360" w:lineRule="auto"/>
        <w:ind w:firstLine="480" w:firstLineChars="200"/>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val="0"/>
          <w:bCs w:val="0"/>
          <w:color w:val="auto"/>
          <w:sz w:val="24"/>
          <w:szCs w:val="24"/>
          <w:highlight w:val="none"/>
          <w:shd w:val="clear" w:color="auto" w:fill="auto"/>
          <w:lang w:val="en-US" w:eastAsia="zh-CN"/>
        </w:rPr>
        <w:t>4、</w:t>
      </w:r>
      <w:r>
        <w:rPr>
          <w:rFonts w:hint="eastAsia" w:ascii="仿宋" w:hAnsi="仿宋" w:eastAsia="仿宋" w:cs="仿宋"/>
          <w:b w:val="0"/>
          <w:bCs w:val="0"/>
          <w:color w:val="auto"/>
          <w:sz w:val="24"/>
          <w:szCs w:val="24"/>
          <w:highlight w:val="none"/>
          <w:shd w:val="clear" w:color="auto" w:fill="auto"/>
        </w:rPr>
        <w:t>不可抗力影响因素消失以后，双方应协商是否继续履行合同。如果不可抗力因素对合同一方的义务产生实质性、无法补救的影响，导致合同已无法履行，双方应通过书面形式终止本合同。</w:t>
      </w:r>
    </w:p>
    <w:p>
      <w:pPr>
        <w:pStyle w:val="152"/>
        <w:adjustRightInd w:val="0"/>
        <w:snapToGrid w:val="0"/>
        <w:spacing w:line="360" w:lineRule="auto"/>
        <w:ind w:firstLine="480" w:firstLineChars="200"/>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val="0"/>
          <w:bCs w:val="0"/>
          <w:color w:val="auto"/>
          <w:sz w:val="24"/>
          <w:szCs w:val="24"/>
          <w:highlight w:val="none"/>
          <w:shd w:val="clear" w:color="auto" w:fill="auto"/>
          <w:lang w:val="en-US" w:eastAsia="zh-CN"/>
        </w:rPr>
        <w:t>5、</w:t>
      </w:r>
      <w:r>
        <w:rPr>
          <w:rFonts w:hint="eastAsia" w:ascii="仿宋" w:hAnsi="仿宋" w:eastAsia="仿宋" w:cs="仿宋"/>
          <w:b w:val="0"/>
          <w:bCs w:val="0"/>
          <w:color w:val="auto"/>
          <w:sz w:val="24"/>
          <w:szCs w:val="24"/>
          <w:highlight w:val="none"/>
          <w:shd w:val="clear" w:color="auto" w:fill="auto"/>
        </w:rPr>
        <w:t>如果因本条第 2 款和/或第 4 款所述原因导致本合同被提前终止，则任何一方均无需继续履行其在本合同项下的义务，也无需为此向另一方承担任何责任；但双方应根据诚实信用原则，合理确定本合同终止前甲方为乙方提供的服务所应支付的费用，并进行相应的结算。但一方延迟履行后发生不可抗力的，不能免除该方的责任。</w:t>
      </w:r>
    </w:p>
    <w:p>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outlineLvl w:val="9"/>
        <w:rPr>
          <w:rFonts w:hint="eastAsia" w:ascii="仿宋" w:hAnsi="仿宋" w:eastAsia="仿宋" w:cs="仿宋"/>
          <w:b/>
          <w:i w:val="0"/>
          <w:iCs w:val="0"/>
          <w:color w:val="auto"/>
          <w:sz w:val="24"/>
          <w:szCs w:val="24"/>
          <w:highlight w:val="none"/>
        </w:rPr>
      </w:pPr>
      <w:r>
        <w:rPr>
          <w:rFonts w:hint="eastAsia" w:ascii="仿宋" w:hAnsi="仿宋" w:eastAsia="仿宋" w:cs="仿宋"/>
          <w:b/>
          <w:i w:val="0"/>
          <w:iCs w:val="0"/>
          <w:color w:val="auto"/>
          <w:sz w:val="24"/>
          <w:szCs w:val="24"/>
          <w:highlight w:val="none"/>
          <w:lang w:val="en-US" w:eastAsia="zh-CN"/>
        </w:rPr>
        <w:t>九、</w:t>
      </w:r>
      <w:r>
        <w:rPr>
          <w:rFonts w:hint="eastAsia" w:ascii="仿宋" w:hAnsi="仿宋" w:eastAsia="仿宋" w:cs="仿宋"/>
          <w:b/>
          <w:i w:val="0"/>
          <w:iCs w:val="0"/>
          <w:color w:val="auto"/>
          <w:sz w:val="24"/>
          <w:szCs w:val="24"/>
          <w:highlight w:val="none"/>
        </w:rPr>
        <w:t>其他</w:t>
      </w:r>
    </w:p>
    <w:p>
      <w:pPr>
        <w:pStyle w:val="152"/>
        <w:adjustRightInd w:val="0"/>
        <w:snapToGrid w:val="0"/>
        <w:spacing w:line="360" w:lineRule="auto"/>
        <w:ind w:firstLine="480" w:firstLineChars="200"/>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val="0"/>
          <w:bCs w:val="0"/>
          <w:color w:val="auto"/>
          <w:sz w:val="24"/>
          <w:szCs w:val="24"/>
          <w:highlight w:val="none"/>
          <w:shd w:val="clear" w:color="auto" w:fill="auto"/>
          <w:lang w:val="en-US" w:eastAsia="zh-CN"/>
        </w:rPr>
        <w:t>1、</w:t>
      </w:r>
      <w:r>
        <w:rPr>
          <w:rFonts w:hint="eastAsia" w:ascii="仿宋" w:hAnsi="仿宋" w:eastAsia="仿宋" w:cs="仿宋"/>
          <w:b w:val="0"/>
          <w:bCs w:val="0"/>
          <w:color w:val="auto"/>
          <w:sz w:val="24"/>
          <w:szCs w:val="24"/>
          <w:highlight w:val="none"/>
          <w:shd w:val="clear" w:color="auto" w:fill="auto"/>
        </w:rPr>
        <w:t>本合同由甲乙双方签署之日起生效。</w:t>
      </w:r>
    </w:p>
    <w:p>
      <w:pPr>
        <w:pStyle w:val="152"/>
        <w:adjustRightInd w:val="0"/>
        <w:snapToGrid w:val="0"/>
        <w:spacing w:line="360" w:lineRule="auto"/>
        <w:ind w:firstLine="480" w:firstLineChars="200"/>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val="0"/>
          <w:bCs w:val="0"/>
          <w:color w:val="auto"/>
          <w:sz w:val="24"/>
          <w:szCs w:val="24"/>
          <w:highlight w:val="none"/>
          <w:shd w:val="clear" w:color="auto" w:fill="auto"/>
          <w:lang w:val="en-US" w:eastAsia="zh-CN"/>
        </w:rPr>
        <w:t>2、</w:t>
      </w:r>
      <w:r>
        <w:rPr>
          <w:rFonts w:hint="eastAsia" w:ascii="仿宋" w:hAnsi="仿宋" w:eastAsia="仿宋" w:cs="仿宋"/>
          <w:b w:val="0"/>
          <w:bCs w:val="0"/>
          <w:color w:val="auto"/>
          <w:sz w:val="24"/>
          <w:szCs w:val="24"/>
          <w:highlight w:val="none"/>
          <w:shd w:val="clear" w:color="auto" w:fill="auto"/>
        </w:rPr>
        <w:t>对本合同的任何修改和补充均应以补充合同的形式作出，由双方签署后生效。本合同的附件、补充合同与本合同具有同等法律效力。</w:t>
      </w:r>
    </w:p>
    <w:p>
      <w:pPr>
        <w:pStyle w:val="152"/>
        <w:adjustRightInd w:val="0"/>
        <w:snapToGrid w:val="0"/>
        <w:spacing w:line="360" w:lineRule="auto"/>
        <w:ind w:firstLine="480" w:firstLineChars="200"/>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val="0"/>
          <w:bCs w:val="0"/>
          <w:color w:val="auto"/>
          <w:sz w:val="24"/>
          <w:szCs w:val="24"/>
          <w:highlight w:val="none"/>
          <w:shd w:val="clear" w:color="auto" w:fill="auto"/>
          <w:lang w:val="en-US" w:eastAsia="zh-CN"/>
        </w:rPr>
        <w:t>3、</w:t>
      </w:r>
      <w:r>
        <w:rPr>
          <w:rFonts w:hint="eastAsia" w:ascii="仿宋" w:hAnsi="仿宋" w:eastAsia="仿宋" w:cs="仿宋"/>
          <w:b w:val="0"/>
          <w:bCs w:val="0"/>
          <w:color w:val="auto"/>
          <w:sz w:val="24"/>
          <w:szCs w:val="24"/>
          <w:highlight w:val="none"/>
          <w:shd w:val="clear" w:color="auto" w:fill="auto"/>
        </w:rPr>
        <w:t>本合同一式</w:t>
      </w:r>
      <w:r>
        <w:rPr>
          <w:rFonts w:hint="eastAsia" w:ascii="仿宋" w:hAnsi="仿宋" w:eastAsia="仿宋" w:cs="仿宋"/>
          <w:b w:val="0"/>
          <w:bCs w:val="0"/>
          <w:color w:val="auto"/>
          <w:sz w:val="24"/>
          <w:szCs w:val="24"/>
          <w:highlight w:val="non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rPr>
        <w:t>份，甲方执</w:t>
      </w:r>
      <w:r>
        <w:rPr>
          <w:rFonts w:hint="eastAsia" w:ascii="仿宋" w:hAnsi="仿宋" w:eastAsia="仿宋" w:cs="仿宋"/>
          <w:b w:val="0"/>
          <w:bCs w:val="0"/>
          <w:color w:val="auto"/>
          <w:sz w:val="24"/>
          <w:szCs w:val="24"/>
          <w:highlight w:val="non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rPr>
        <w:t>份，乙方执</w:t>
      </w:r>
      <w:r>
        <w:rPr>
          <w:rFonts w:hint="eastAsia" w:ascii="仿宋" w:hAnsi="仿宋" w:eastAsia="仿宋" w:cs="仿宋"/>
          <w:b w:val="0"/>
          <w:bCs w:val="0"/>
          <w:color w:val="auto"/>
          <w:sz w:val="24"/>
          <w:szCs w:val="24"/>
          <w:highlight w:val="non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rPr>
        <w:t>份，各份具有同等法律效力。</w:t>
      </w:r>
    </w:p>
    <w:p>
      <w:pPr>
        <w:pStyle w:val="152"/>
        <w:adjustRightInd w:val="0"/>
        <w:snapToGrid w:val="0"/>
        <w:spacing w:line="360" w:lineRule="auto"/>
        <w:ind w:firstLine="480" w:firstLineChars="200"/>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val="0"/>
          <w:bCs w:val="0"/>
          <w:color w:val="auto"/>
          <w:sz w:val="24"/>
          <w:szCs w:val="24"/>
          <w:highlight w:val="none"/>
          <w:shd w:val="clear" w:color="auto" w:fill="auto"/>
          <w:lang w:val="en-US" w:eastAsia="zh-CN"/>
        </w:rPr>
        <w:t>4、</w:t>
      </w:r>
      <w:r>
        <w:rPr>
          <w:rFonts w:hint="eastAsia" w:ascii="仿宋" w:hAnsi="仿宋" w:eastAsia="仿宋" w:cs="仿宋"/>
          <w:b w:val="0"/>
          <w:bCs w:val="0"/>
          <w:color w:val="auto"/>
          <w:sz w:val="24"/>
          <w:szCs w:val="24"/>
          <w:highlight w:val="none"/>
          <w:shd w:val="clear" w:color="auto" w:fill="auto"/>
        </w:rPr>
        <w:t>本合同文件、中标通知书、招标文件及其补充文件、投标文件、技术标准和要求、合同补充条款或说明（如有）构成本合同的组成部分。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9"/>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（以下无正文）</w:t>
      </w:r>
    </w:p>
    <w:p>
      <w:pPr>
        <w:adjustRightInd w:val="0"/>
        <w:snapToGrid w:val="0"/>
        <w:spacing w:line="360" w:lineRule="auto"/>
        <w:ind w:firstLine="482" w:firstLineChars="200"/>
        <w:rPr>
          <w:rFonts w:hint="eastAsia" w:ascii="仿宋" w:hAnsi="仿宋" w:eastAsia="仿宋" w:cs="仿宋"/>
          <w:b/>
          <w:i/>
          <w:color w:val="auto"/>
          <w:sz w:val="24"/>
          <w:highlight w:val="none"/>
          <w:shd w:val="clear" w:color="auto" w:fill="auto"/>
        </w:rPr>
      </w:pPr>
      <w:r>
        <w:rPr>
          <w:rFonts w:hint="eastAsia" w:ascii="仿宋" w:hAnsi="仿宋" w:eastAsia="仿宋" w:cs="仿宋"/>
          <w:b/>
          <w:i/>
          <w:color w:val="auto"/>
          <w:sz w:val="24"/>
          <w:highlight w:val="none"/>
          <w:shd w:val="clear" w:color="auto" w:fill="auto"/>
        </w:rPr>
        <w:t>（本页无正文，为本合同签署页）注：如另起签署页的，需保留该内容。</w:t>
      </w:r>
    </w:p>
    <w:p>
      <w:pPr>
        <w:adjustRightInd w:val="0"/>
        <w:snapToGrid w:val="0"/>
        <w:spacing w:line="360" w:lineRule="auto"/>
        <w:ind w:firstLine="480" w:firstLineChars="200"/>
        <w:rPr>
          <w:rFonts w:hint="eastAsia"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rPr>
        <w:t xml:space="preserve">  </w:t>
      </w:r>
    </w:p>
    <w:tbl>
      <w:tblPr>
        <w:tblStyle w:val="45"/>
        <w:tblW w:w="0" w:type="auto"/>
        <w:tblCellSpacing w:w="0" w:type="dxa"/>
        <w:tblInd w:w="0" w:type="dxa"/>
        <w:tblLayout w:type="fixed"/>
        <w:tblCellMar>
          <w:top w:w="0" w:type="dxa"/>
          <w:left w:w="0" w:type="dxa"/>
          <w:bottom w:w="0" w:type="dxa"/>
          <w:right w:w="0" w:type="dxa"/>
        </w:tblCellMar>
      </w:tblPr>
      <w:tblGrid>
        <w:gridCol w:w="5160"/>
        <w:gridCol w:w="3735"/>
      </w:tblGrid>
      <w:tr>
        <w:tblPrEx>
          <w:tblCellMar>
            <w:top w:w="0" w:type="dxa"/>
            <w:left w:w="0" w:type="dxa"/>
            <w:bottom w:w="0" w:type="dxa"/>
            <w:right w:w="0" w:type="dxa"/>
          </w:tblCellMar>
        </w:tblPrEx>
        <w:trPr>
          <w:trHeight w:val="600" w:hRule="atLeast"/>
          <w:tblCellSpacing w:w="0" w:type="dxa"/>
        </w:trPr>
        <w:tc>
          <w:tcPr>
            <w:tcW w:w="5160" w:type="dxa"/>
            <w:noWrap w:val="0"/>
            <w:vAlign w:val="center"/>
          </w:tcPr>
          <w:p>
            <w:pPr>
              <w:adjustRightInd w:val="0"/>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甲方（</w:t>
            </w:r>
            <w:r>
              <w:rPr>
                <w:rFonts w:hint="eastAsia" w:ascii="仿宋" w:hAnsi="仿宋" w:eastAsia="仿宋" w:cs="仿宋"/>
                <w:color w:val="auto"/>
                <w:kern w:val="0"/>
                <w:sz w:val="24"/>
                <w:highlight w:val="none"/>
                <w:shd w:val="clear" w:color="auto" w:fill="auto"/>
                <w:lang w:eastAsia="zh-CN"/>
              </w:rPr>
              <w:t>采购人</w:t>
            </w:r>
            <w:r>
              <w:rPr>
                <w:rFonts w:hint="eastAsia" w:ascii="仿宋" w:hAnsi="仿宋" w:eastAsia="仿宋" w:cs="仿宋"/>
                <w:color w:val="auto"/>
                <w:kern w:val="0"/>
                <w:sz w:val="24"/>
                <w:highlight w:val="none"/>
                <w:shd w:val="clear" w:color="auto" w:fill="auto"/>
              </w:rPr>
              <w:t xml:space="preserve">）（盖章）： </w:t>
            </w:r>
          </w:p>
        </w:tc>
        <w:tc>
          <w:tcPr>
            <w:tcW w:w="3735" w:type="dxa"/>
            <w:noWrap w:val="0"/>
            <w:vAlign w:val="center"/>
          </w:tcPr>
          <w:p>
            <w:pPr>
              <w:adjustRightInd w:val="0"/>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乙方（供应商）（盖章）： </w:t>
            </w:r>
          </w:p>
        </w:tc>
      </w:tr>
      <w:tr>
        <w:tblPrEx>
          <w:tblCellMar>
            <w:top w:w="0" w:type="dxa"/>
            <w:left w:w="0" w:type="dxa"/>
            <w:bottom w:w="0" w:type="dxa"/>
            <w:right w:w="0" w:type="dxa"/>
          </w:tblCellMar>
        </w:tblPrEx>
        <w:trPr>
          <w:trHeight w:val="705" w:hRule="atLeast"/>
          <w:tblCellSpacing w:w="0" w:type="dxa"/>
        </w:trPr>
        <w:tc>
          <w:tcPr>
            <w:tcW w:w="5160" w:type="dxa"/>
            <w:noWrap w:val="0"/>
            <w:vAlign w:val="center"/>
          </w:tcPr>
          <w:p>
            <w:pPr>
              <w:adjustRightInd w:val="0"/>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法定代表人：</w:t>
            </w:r>
            <w:r>
              <w:rPr>
                <w:rFonts w:hint="eastAsia" w:ascii="仿宋" w:hAnsi="仿宋" w:eastAsia="仿宋" w:cs="仿宋"/>
                <w:color w:val="auto"/>
                <w:kern w:val="0"/>
                <w:sz w:val="24"/>
                <w:highlight w:val="none"/>
                <w:shd w:val="clear" w:color="auto" w:fill="auto"/>
              </w:rPr>
              <w:br w:type="textWrapping"/>
            </w:r>
            <w:r>
              <w:rPr>
                <w:rFonts w:hint="eastAsia" w:ascii="仿宋" w:hAnsi="仿宋" w:eastAsia="仿宋" w:cs="仿宋"/>
                <w:color w:val="auto"/>
                <w:kern w:val="0"/>
                <w:sz w:val="24"/>
                <w:highlight w:val="none"/>
                <w:shd w:val="clear" w:color="auto" w:fill="auto"/>
              </w:rPr>
              <w:t xml:space="preserve">或授权委托人（签字）： </w:t>
            </w:r>
          </w:p>
        </w:tc>
        <w:tc>
          <w:tcPr>
            <w:tcW w:w="3735" w:type="dxa"/>
            <w:noWrap w:val="0"/>
            <w:vAlign w:val="center"/>
          </w:tcPr>
          <w:p>
            <w:pPr>
              <w:adjustRightInd w:val="0"/>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法定代表人：</w:t>
            </w:r>
            <w:r>
              <w:rPr>
                <w:rFonts w:hint="eastAsia" w:ascii="仿宋" w:hAnsi="仿宋" w:eastAsia="仿宋" w:cs="仿宋"/>
                <w:color w:val="auto"/>
                <w:kern w:val="0"/>
                <w:sz w:val="24"/>
                <w:highlight w:val="none"/>
                <w:shd w:val="clear" w:color="auto" w:fill="auto"/>
              </w:rPr>
              <w:br w:type="textWrapping"/>
            </w:r>
            <w:r>
              <w:rPr>
                <w:rFonts w:hint="eastAsia" w:ascii="仿宋" w:hAnsi="仿宋" w:eastAsia="仿宋" w:cs="仿宋"/>
                <w:color w:val="auto"/>
                <w:kern w:val="0"/>
                <w:sz w:val="24"/>
                <w:highlight w:val="none"/>
                <w:shd w:val="clear" w:color="auto" w:fill="auto"/>
              </w:rPr>
              <w:t xml:space="preserve">或授权委托人（签字）： </w:t>
            </w:r>
          </w:p>
        </w:tc>
      </w:tr>
      <w:tr>
        <w:tblPrEx>
          <w:tblCellMar>
            <w:top w:w="0" w:type="dxa"/>
            <w:left w:w="0" w:type="dxa"/>
            <w:bottom w:w="0" w:type="dxa"/>
            <w:right w:w="0" w:type="dxa"/>
          </w:tblCellMar>
        </w:tblPrEx>
        <w:trPr>
          <w:trHeight w:val="600" w:hRule="atLeast"/>
          <w:tblCellSpacing w:w="0" w:type="dxa"/>
        </w:trPr>
        <w:tc>
          <w:tcPr>
            <w:tcW w:w="5160" w:type="dxa"/>
            <w:noWrap w:val="0"/>
            <w:vAlign w:val="center"/>
          </w:tcPr>
          <w:p>
            <w:pPr>
              <w:adjustRightInd w:val="0"/>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联系人（签字）： </w:t>
            </w:r>
          </w:p>
        </w:tc>
        <w:tc>
          <w:tcPr>
            <w:tcW w:w="3735" w:type="dxa"/>
            <w:noWrap w:val="0"/>
            <w:vAlign w:val="center"/>
          </w:tcPr>
          <w:p>
            <w:pPr>
              <w:adjustRightInd w:val="0"/>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联系人（签字）： </w:t>
            </w:r>
          </w:p>
        </w:tc>
      </w:tr>
      <w:tr>
        <w:tblPrEx>
          <w:tblCellMar>
            <w:top w:w="0" w:type="dxa"/>
            <w:left w:w="0" w:type="dxa"/>
            <w:bottom w:w="0" w:type="dxa"/>
            <w:right w:w="0" w:type="dxa"/>
          </w:tblCellMar>
        </w:tblPrEx>
        <w:trPr>
          <w:trHeight w:val="600" w:hRule="atLeast"/>
          <w:tblCellSpacing w:w="0" w:type="dxa"/>
        </w:trPr>
        <w:tc>
          <w:tcPr>
            <w:tcW w:w="5160" w:type="dxa"/>
            <w:noWrap w:val="0"/>
            <w:vAlign w:val="center"/>
          </w:tcPr>
          <w:p>
            <w:pPr>
              <w:adjustRightInd w:val="0"/>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地址： </w:t>
            </w:r>
          </w:p>
        </w:tc>
        <w:tc>
          <w:tcPr>
            <w:tcW w:w="3735" w:type="dxa"/>
            <w:noWrap w:val="0"/>
            <w:vAlign w:val="center"/>
          </w:tcPr>
          <w:p>
            <w:pPr>
              <w:adjustRightInd w:val="0"/>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地址： </w:t>
            </w:r>
          </w:p>
        </w:tc>
      </w:tr>
      <w:tr>
        <w:tblPrEx>
          <w:tblCellMar>
            <w:top w:w="0" w:type="dxa"/>
            <w:left w:w="0" w:type="dxa"/>
            <w:bottom w:w="0" w:type="dxa"/>
            <w:right w:w="0" w:type="dxa"/>
          </w:tblCellMar>
        </w:tblPrEx>
        <w:trPr>
          <w:trHeight w:val="600" w:hRule="atLeast"/>
          <w:tblCellSpacing w:w="0" w:type="dxa"/>
        </w:trPr>
        <w:tc>
          <w:tcPr>
            <w:tcW w:w="5160" w:type="dxa"/>
            <w:noWrap w:val="0"/>
            <w:vAlign w:val="center"/>
          </w:tcPr>
          <w:p>
            <w:pPr>
              <w:adjustRightInd w:val="0"/>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邮编：</w:t>
            </w:r>
          </w:p>
        </w:tc>
        <w:tc>
          <w:tcPr>
            <w:tcW w:w="3735" w:type="dxa"/>
            <w:noWrap w:val="0"/>
            <w:vAlign w:val="center"/>
          </w:tcPr>
          <w:p>
            <w:pPr>
              <w:adjustRightInd w:val="0"/>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邮编： </w:t>
            </w:r>
          </w:p>
        </w:tc>
      </w:tr>
      <w:tr>
        <w:tblPrEx>
          <w:tblCellMar>
            <w:top w:w="0" w:type="dxa"/>
            <w:left w:w="0" w:type="dxa"/>
            <w:bottom w:w="0" w:type="dxa"/>
            <w:right w:w="0" w:type="dxa"/>
          </w:tblCellMar>
        </w:tblPrEx>
        <w:trPr>
          <w:trHeight w:val="600" w:hRule="atLeast"/>
          <w:tblCellSpacing w:w="0" w:type="dxa"/>
        </w:trPr>
        <w:tc>
          <w:tcPr>
            <w:tcW w:w="5160" w:type="dxa"/>
            <w:noWrap w:val="0"/>
            <w:vAlign w:val="center"/>
          </w:tcPr>
          <w:p>
            <w:pPr>
              <w:adjustRightInd w:val="0"/>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电话：</w:t>
            </w:r>
          </w:p>
        </w:tc>
        <w:tc>
          <w:tcPr>
            <w:tcW w:w="3735" w:type="dxa"/>
            <w:noWrap w:val="0"/>
            <w:vAlign w:val="center"/>
          </w:tcPr>
          <w:p>
            <w:pPr>
              <w:adjustRightInd w:val="0"/>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电话： </w:t>
            </w:r>
          </w:p>
        </w:tc>
      </w:tr>
      <w:tr>
        <w:tblPrEx>
          <w:tblCellMar>
            <w:top w:w="0" w:type="dxa"/>
            <w:left w:w="0" w:type="dxa"/>
            <w:bottom w:w="0" w:type="dxa"/>
            <w:right w:w="0" w:type="dxa"/>
          </w:tblCellMar>
        </w:tblPrEx>
        <w:trPr>
          <w:trHeight w:val="600" w:hRule="atLeast"/>
          <w:tblCellSpacing w:w="0" w:type="dxa"/>
        </w:trPr>
        <w:tc>
          <w:tcPr>
            <w:tcW w:w="5160" w:type="dxa"/>
            <w:noWrap w:val="0"/>
            <w:vAlign w:val="center"/>
          </w:tcPr>
          <w:p>
            <w:pPr>
              <w:adjustRightInd w:val="0"/>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传真： </w:t>
            </w:r>
          </w:p>
        </w:tc>
        <w:tc>
          <w:tcPr>
            <w:tcW w:w="3735" w:type="dxa"/>
            <w:noWrap w:val="0"/>
            <w:vAlign w:val="center"/>
          </w:tcPr>
          <w:p>
            <w:pPr>
              <w:adjustRightInd w:val="0"/>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传真： </w:t>
            </w:r>
          </w:p>
        </w:tc>
      </w:tr>
      <w:tr>
        <w:tblPrEx>
          <w:tblCellMar>
            <w:top w:w="0" w:type="dxa"/>
            <w:left w:w="0" w:type="dxa"/>
            <w:bottom w:w="0" w:type="dxa"/>
            <w:right w:w="0" w:type="dxa"/>
          </w:tblCellMar>
        </w:tblPrEx>
        <w:trPr>
          <w:trHeight w:val="600" w:hRule="atLeast"/>
          <w:tblCellSpacing w:w="0" w:type="dxa"/>
        </w:trPr>
        <w:tc>
          <w:tcPr>
            <w:tcW w:w="5160" w:type="dxa"/>
            <w:noWrap w:val="0"/>
            <w:vAlign w:val="center"/>
          </w:tcPr>
          <w:p>
            <w:pPr>
              <w:adjustRightInd w:val="0"/>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开户银行： </w:t>
            </w:r>
          </w:p>
        </w:tc>
        <w:tc>
          <w:tcPr>
            <w:tcW w:w="3735" w:type="dxa"/>
            <w:noWrap w:val="0"/>
            <w:vAlign w:val="center"/>
          </w:tcPr>
          <w:p>
            <w:pPr>
              <w:adjustRightInd w:val="0"/>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开户银行： </w:t>
            </w:r>
          </w:p>
        </w:tc>
      </w:tr>
      <w:tr>
        <w:tblPrEx>
          <w:tblCellMar>
            <w:top w:w="0" w:type="dxa"/>
            <w:left w:w="0" w:type="dxa"/>
            <w:bottom w:w="0" w:type="dxa"/>
            <w:right w:w="0" w:type="dxa"/>
          </w:tblCellMar>
        </w:tblPrEx>
        <w:trPr>
          <w:trHeight w:val="600" w:hRule="atLeast"/>
          <w:tblCellSpacing w:w="0" w:type="dxa"/>
        </w:trPr>
        <w:tc>
          <w:tcPr>
            <w:tcW w:w="5160" w:type="dxa"/>
            <w:noWrap w:val="0"/>
            <w:vAlign w:val="center"/>
          </w:tcPr>
          <w:p>
            <w:pPr>
              <w:adjustRightInd w:val="0"/>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帐号 ： </w:t>
            </w:r>
          </w:p>
        </w:tc>
        <w:tc>
          <w:tcPr>
            <w:tcW w:w="3735" w:type="dxa"/>
            <w:noWrap w:val="0"/>
            <w:vAlign w:val="center"/>
          </w:tcPr>
          <w:p>
            <w:pPr>
              <w:adjustRightInd w:val="0"/>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帐号 ： </w:t>
            </w:r>
          </w:p>
        </w:tc>
      </w:tr>
    </w:tbl>
    <w:p>
      <w:pPr>
        <w:adjustRightInd w:val="0"/>
        <w:snapToGrid w:val="0"/>
        <w:spacing w:line="360" w:lineRule="auto"/>
        <w:rPr>
          <w:rFonts w:hint="eastAsia" w:ascii="仿宋" w:hAnsi="仿宋" w:eastAsia="仿宋" w:cs="仿宋"/>
          <w:color w:val="auto"/>
          <w:kern w:val="0"/>
          <w:sz w:val="24"/>
          <w:highlight w:val="none"/>
          <w:shd w:val="clear" w:color="auto" w:fill="auto"/>
        </w:rPr>
      </w:pPr>
    </w:p>
    <w:p>
      <w:pPr>
        <w:adjustRightInd w:val="0"/>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合同签订时间：    年 月  日</w:t>
      </w:r>
    </w:p>
    <w:p>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shd w:val="clear" w:color="auto" w:fill="auto"/>
          <w:lang w:val="en-US" w:eastAsia="zh-CN"/>
        </w:rPr>
        <w:t>签约地点：</w:t>
      </w:r>
    </w:p>
    <w:p>
      <w:pPr>
        <w:rPr>
          <w:highlight w:val="none"/>
        </w:rPr>
      </w:pPr>
      <w:r>
        <w:rPr>
          <w:highlight w:val="none"/>
        </w:rPr>
        <w:br w:type="page"/>
      </w:r>
    </w:p>
    <w:bookmarkEnd w:id="73"/>
    <w:bookmarkEnd w:id="74"/>
    <w:bookmarkEnd w:id="75"/>
    <w:bookmarkEnd w:id="76"/>
    <w:bookmarkEnd w:id="77"/>
    <w:p>
      <w:pPr>
        <w:pStyle w:val="18"/>
        <w:rPr>
          <w:rFonts w:ascii="仿宋" w:hAnsi="仿宋" w:eastAsia="仿宋" w:cs="仿宋"/>
          <w:snapToGrid w:val="0"/>
          <w:color w:val="auto"/>
          <w:kern w:val="0"/>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pPr>
        <w:adjustRightInd w:val="0"/>
        <w:snapToGrid w:val="0"/>
        <w:spacing w:before="120" w:beforeLines="50" w:after="120" w:afterLines="50" w:line="360" w:lineRule="auto"/>
        <w:jc w:val="center"/>
        <w:outlineLvl w:val="0"/>
        <w:rPr>
          <w:rFonts w:ascii="仿宋" w:hAnsi="仿宋" w:eastAsia="仿宋" w:cs="仿宋"/>
          <w:b/>
          <w:bCs/>
          <w:color w:val="auto"/>
          <w:sz w:val="32"/>
          <w:szCs w:val="32"/>
          <w:highlight w:val="none"/>
        </w:rPr>
      </w:pPr>
      <w:bookmarkStart w:id="100" w:name="_Toc1306"/>
      <w:bookmarkStart w:id="101" w:name="_Toc249760797"/>
      <w:bookmarkStart w:id="102" w:name="_Toc251566668"/>
      <w:bookmarkStart w:id="103" w:name="_Toc234764855"/>
      <w:bookmarkStart w:id="104" w:name="_Toc28748"/>
      <w:r>
        <w:rPr>
          <w:rFonts w:hint="eastAsia" w:ascii="仿宋" w:hAnsi="仿宋" w:eastAsia="仿宋" w:cs="仿宋"/>
          <w:b/>
          <w:color w:val="auto"/>
          <w:sz w:val="30"/>
          <w:szCs w:val="30"/>
          <w:highlight w:val="none"/>
        </w:rPr>
        <w:t>第六部分  投标文件格式</w:t>
      </w:r>
      <w:bookmarkEnd w:id="100"/>
      <w:bookmarkEnd w:id="101"/>
      <w:bookmarkEnd w:id="102"/>
      <w:bookmarkEnd w:id="103"/>
      <w:bookmarkEnd w:id="104"/>
    </w:p>
    <w:p>
      <w:pPr>
        <w:autoSpaceDE w:val="0"/>
        <w:autoSpaceDN w:val="0"/>
        <w:adjustRightInd w:val="0"/>
        <w:spacing w:line="360" w:lineRule="auto"/>
        <w:ind w:firstLine="480"/>
        <w:rPr>
          <w:rFonts w:ascii="仿宋" w:hAnsi="仿宋" w:eastAsia="仿宋" w:cs="仿宋"/>
          <w:color w:val="auto"/>
          <w:sz w:val="24"/>
          <w:highlight w:val="none"/>
        </w:rPr>
      </w:pPr>
    </w:p>
    <w:p>
      <w:pPr>
        <w:spacing w:line="360" w:lineRule="auto"/>
        <w:jc w:val="center"/>
        <w:outlineLvl w:val="1"/>
        <w:rPr>
          <w:rFonts w:ascii="仿宋" w:hAnsi="仿宋" w:eastAsia="仿宋" w:cs="仿宋"/>
          <w:b/>
          <w:color w:val="auto"/>
          <w:kern w:val="0"/>
          <w:sz w:val="36"/>
          <w:szCs w:val="36"/>
          <w:highlight w:val="none"/>
        </w:rPr>
      </w:pPr>
      <w:bookmarkStart w:id="105" w:name="_Toc25507"/>
      <w:bookmarkStart w:id="106" w:name="_Toc4683"/>
      <w:bookmarkStart w:id="107" w:name="_Toc23013"/>
      <w:bookmarkStart w:id="108" w:name="_Toc23772"/>
      <w:r>
        <w:rPr>
          <w:rFonts w:hint="eastAsia" w:ascii="仿宋" w:hAnsi="仿宋" w:eastAsia="仿宋" w:cs="仿宋"/>
          <w:b/>
          <w:color w:val="auto"/>
          <w:kern w:val="0"/>
          <w:sz w:val="36"/>
          <w:szCs w:val="36"/>
          <w:highlight w:val="none"/>
        </w:rPr>
        <w:t>资格文件部分</w:t>
      </w:r>
      <w:bookmarkEnd w:id="105"/>
      <w:bookmarkEnd w:id="106"/>
      <w:bookmarkEnd w:id="107"/>
      <w:bookmarkEnd w:id="108"/>
    </w:p>
    <w:p>
      <w:pPr>
        <w:spacing w:line="360" w:lineRule="auto"/>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rPr>
          <w:rFonts w:ascii="仿宋" w:hAnsi="仿宋" w:eastAsia="仿宋" w:cs="仿宋"/>
          <w:b/>
          <w:color w:val="auto"/>
          <w:kern w:val="0"/>
          <w:sz w:val="36"/>
          <w:szCs w:val="36"/>
          <w:highlight w:val="none"/>
        </w:rPr>
      </w:pP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（3）本项目的特定资格要求………………………………………………（页码）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（4）联合协议（如有）……………………………………………………（页码）</w:t>
      </w:r>
    </w:p>
    <w:p>
      <w:pPr>
        <w:snapToGrid w:val="0"/>
        <w:spacing w:line="360" w:lineRule="auto"/>
        <w:ind w:firstLine="480" w:firstLineChars="200"/>
        <w:rPr>
          <w:rFonts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p>
    <w:p>
      <w:pPr>
        <w:snapToGrid w:val="0"/>
        <w:spacing w:line="360" w:lineRule="auto"/>
        <w:ind w:right="480"/>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一、 符合参加政府采购活动应当具备的一般条件的承诺函</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sz w:val="24"/>
          <w:highlight w:val="none"/>
        </w:rPr>
        <w:t>：</w:t>
      </w:r>
    </w:p>
    <w:p>
      <w:pPr>
        <w:snapToGrid w:val="0"/>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pStyle w:val="18"/>
        <w:rPr>
          <w:rFonts w:ascii="仿宋" w:hAnsi="仿宋" w:eastAsia="仿宋" w:cs="仿宋"/>
          <w:color w:val="auto"/>
          <w:highlight w:val="none"/>
        </w:rPr>
      </w:pPr>
    </w:p>
    <w:p>
      <w:pPr>
        <w:rPr>
          <w:rFonts w:ascii="仿宋" w:hAnsi="仿宋" w:eastAsia="仿宋" w:cs="仿宋"/>
          <w:color w:val="auto"/>
          <w:highlight w:val="none"/>
        </w:rPr>
      </w:pPr>
    </w:p>
    <w:p>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rPr>
          <w:rFonts w:ascii="仿宋" w:hAnsi="仿宋" w:eastAsia="仿宋" w:cs="仿宋"/>
          <w:color w:val="auto"/>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二、落实政府采购政策需满足的资格要求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.专门面向中小企业，服务全部由符合政策要求的中小企业（或小微企业）承接的，提供相应的中小企业声明函（附件5）。 </w:t>
      </w:r>
    </w:p>
    <w:p>
      <w:pPr>
        <w:snapToGrid w:val="0"/>
        <w:spacing w:before="50" w:after="50" w:line="360" w:lineRule="auto"/>
        <w:ind w:firstLine="470" w:firstLineChars="196"/>
        <w:jc w:val="left"/>
        <w:rPr>
          <w:rFonts w:ascii="仿宋" w:hAnsi="仿宋" w:eastAsia="仿宋" w:cs="仿宋"/>
          <w:b/>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联合协议</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四、联合体成员中小企业合同份额。</w:t>
      </w:r>
    </w:p>
    <w:p>
      <w:pPr>
        <w:snapToGrid w:val="0"/>
        <w:spacing w:line="360" w:lineRule="auto"/>
        <w:ind w:firstLine="576"/>
        <w:rPr>
          <w:rFonts w:hint="eastAsia" w:ascii="仿宋" w:hAnsi="仿宋" w:eastAsia="仿宋" w:cs="仿宋"/>
          <w:b/>
          <w:kern w:val="0"/>
          <w:sz w:val="24"/>
          <w:highlight w:val="none"/>
          <w:lang w:val="zh-CN"/>
        </w:rPr>
      </w:pPr>
      <w:r>
        <w:rPr>
          <w:rFonts w:hint="eastAsia" w:ascii="仿宋" w:hAnsi="仿宋" w:eastAsia="仿宋" w:cs="仿宋"/>
          <w:kern w:val="0"/>
          <w:sz w:val="24"/>
          <w:highlight w:val="none"/>
          <w:lang w:val="zh-CN"/>
        </w:rPr>
        <w:t>1、</w:t>
      </w:r>
      <w:r>
        <w:rPr>
          <w:rFonts w:hint="eastAsia" w:ascii="仿宋" w:hAnsi="仿宋" w:eastAsia="仿宋" w:cs="仿宋"/>
          <w:kern w:val="0"/>
          <w:sz w:val="24"/>
          <w:highlight w:val="none"/>
          <w:u w:val="single"/>
        </w:rPr>
        <w:t>（联合体成员X,……）</w:t>
      </w:r>
      <w:r>
        <w:rPr>
          <w:rFonts w:hint="eastAsia" w:ascii="仿宋" w:hAnsi="仿宋" w:eastAsia="仿宋" w:cs="仿宋"/>
          <w:kern w:val="0"/>
          <w:sz w:val="24"/>
          <w:highlight w:val="none"/>
        </w:rPr>
        <w:t>提供的全部货物由小微企业制造，其合同份额占到合同总金额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%以上；</w:t>
      </w:r>
      <w:r>
        <w:rPr>
          <w:rFonts w:hint="eastAsia" w:ascii="仿宋" w:hAnsi="仿宋" w:eastAsia="仿宋" w:cs="仿宋"/>
          <w:kern w:val="0"/>
          <w:sz w:val="24"/>
          <w:highlight w:val="none"/>
          <w:lang w:val="zh-CN"/>
        </w:rPr>
        <w:t>……。</w:t>
      </w:r>
      <w:r>
        <w:rPr>
          <w:rFonts w:hint="eastAsia" w:ascii="仿宋" w:hAnsi="仿宋" w:eastAsia="仿宋" w:cs="仿宋"/>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highlight w:val="none"/>
        </w:rPr>
        <w:t>拟享受以上价格扣除政策的，填写有关内容。</w:t>
      </w:r>
      <w:r>
        <w:rPr>
          <w:rFonts w:hint="eastAsia" w:ascii="仿宋" w:hAnsi="仿宋" w:eastAsia="仿宋" w:cs="仿宋"/>
          <w:b/>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sz w:val="24"/>
          <w:highlight w:val="none"/>
        </w:rPr>
        <w:t>2、中小企业合同金额达到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w:t>
      </w:r>
      <w:r>
        <w:rPr>
          <w:rFonts w:hint="eastAsia" w:ascii="仿宋" w:hAnsi="仿宋" w:eastAsia="仿宋" w:cs="仿宋"/>
          <w:b/>
          <w:bCs/>
          <w:kern w:val="0"/>
          <w:sz w:val="24"/>
          <w:highlight w:val="none"/>
          <w:lang w:val="zh-CN"/>
        </w:rPr>
        <w:t>（</w:t>
      </w:r>
      <w:r>
        <w:rPr>
          <w:rFonts w:hint="eastAsia" w:ascii="仿宋" w:hAnsi="仿宋" w:eastAsia="仿宋" w:cs="仿宋"/>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rPr>
          <w:highlight w:val="none"/>
          <w:lang w:val="zh-CN"/>
        </w:rPr>
      </w:pPr>
      <w:r>
        <w:rPr>
          <w:highlight w:val="none"/>
          <w:lang w:val="zh-CN"/>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keepNext w:val="0"/>
        <w:keepLines w:val="0"/>
        <w:pageBreakBefore w:val="0"/>
        <w:widowControl w:val="0"/>
        <w:kinsoku/>
        <w:wordWrap/>
        <w:overflowPunct/>
        <w:topLinePunct w:val="0"/>
        <w:autoSpaceDE/>
        <w:autoSpaceDN/>
        <w:bidi w:val="0"/>
        <w:adjustRightInd w:val="0"/>
        <w:snapToGrid w:val="0"/>
        <w:spacing w:line="360" w:lineRule="auto"/>
        <w:ind w:firstLine="3534" w:firstLineChars="1100"/>
        <w:textAlignment w:val="auto"/>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pPr>
        <w:pageBreakBefore w:val="0"/>
        <w:widowControl/>
        <w:kinsoku/>
        <w:wordWrap/>
        <w:overflowPunct/>
        <w:topLinePunct w:val="0"/>
        <w:autoSpaceDE/>
        <w:autoSpaceDN/>
        <w:bidi w:val="0"/>
        <w:adjustRightInd w:val="0"/>
        <w:snapToGrid w:val="0"/>
        <w:spacing w:line="360" w:lineRule="auto"/>
        <w:ind w:firstLine="120" w:firstLineChars="50"/>
        <w:jc w:val="left"/>
        <w:textAlignment w:val="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pageBreakBefore w:val="0"/>
        <w:kinsoku/>
        <w:wordWrap/>
        <w:overflowPunct/>
        <w:topLinePunct w:val="0"/>
        <w:autoSpaceDE/>
        <w:autoSpaceDN/>
        <w:bidi w:val="0"/>
        <w:adjustRightInd w:val="0"/>
        <w:snapToGrid w:val="0"/>
        <w:spacing w:line="360" w:lineRule="auto"/>
        <w:ind w:firstLine="576"/>
        <w:textAlignment w:val="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pageBreakBefore w:val="0"/>
        <w:kinsoku/>
        <w:wordWrap/>
        <w:overflowPunct/>
        <w:topLinePunct w:val="0"/>
        <w:autoSpaceDE/>
        <w:autoSpaceDN/>
        <w:bidi w:val="0"/>
        <w:adjustRightInd w:val="0"/>
        <w:snapToGrid w:val="0"/>
        <w:spacing w:line="360" w:lineRule="auto"/>
        <w:ind w:firstLine="576"/>
        <w:textAlignment w:val="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pageBreakBefore w:val="0"/>
        <w:kinsoku/>
        <w:wordWrap/>
        <w:overflowPunct/>
        <w:topLinePunct w:val="0"/>
        <w:autoSpaceDE/>
        <w:autoSpaceDN/>
        <w:bidi w:val="0"/>
        <w:adjustRightInd w:val="0"/>
        <w:snapToGrid w:val="0"/>
        <w:spacing w:line="360" w:lineRule="auto"/>
        <w:ind w:firstLine="576"/>
        <w:textAlignment w:val="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keepNext/>
        <w:keepLines/>
        <w:pageBreakBefore w:val="0"/>
        <w:widowControl w:val="0"/>
        <w:tabs>
          <w:tab w:val="left" w:pos="432"/>
        </w:tabs>
        <w:kinsoku/>
        <w:wordWrap/>
        <w:overflowPunct/>
        <w:topLinePunct w:val="0"/>
        <w:autoSpaceDE/>
        <w:autoSpaceDN/>
        <w:bidi w:val="0"/>
        <w:adjustRightInd w:val="0"/>
        <w:snapToGrid w:val="0"/>
        <w:spacing w:line="360" w:lineRule="auto"/>
        <w:ind w:left="664" w:leftChars="316" w:firstLine="228" w:firstLineChars="95"/>
        <w:textAlignment w:val="auto"/>
        <w:outlineLvl w:val="9"/>
        <w:rPr>
          <w:color w:val="auto"/>
          <w:highlight w:val="none"/>
        </w:rPr>
      </w:pPr>
      <w:r>
        <w:rPr>
          <w:rFonts w:hint="eastAsia" w:cs="仿宋_GB2312"/>
          <w:color w:val="auto"/>
          <w:kern w:val="0"/>
          <w:sz w:val="24"/>
          <w:szCs w:val="24"/>
          <w:highlight w:val="none"/>
        </w:rPr>
        <w:t>……</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二、分包供应商中小企业合同份额</w:t>
      </w:r>
    </w:p>
    <w:p>
      <w:pPr>
        <w:snapToGrid w:val="0"/>
        <w:spacing w:line="360" w:lineRule="auto"/>
        <w:ind w:firstLine="576"/>
        <w:rPr>
          <w:rFonts w:hint="eastAsia" w:ascii="仿宋" w:hAnsi="仿宋" w:eastAsia="仿宋" w:cs="仿宋"/>
          <w:b/>
          <w:kern w:val="0"/>
          <w:sz w:val="24"/>
          <w:highlight w:val="none"/>
          <w:lang w:val="zh-CN"/>
        </w:rPr>
      </w:pPr>
      <w:r>
        <w:rPr>
          <w:rFonts w:hint="eastAsia" w:ascii="仿宋" w:hAnsi="仿宋" w:eastAsia="仿宋" w:cs="仿宋"/>
          <w:kern w:val="0"/>
          <w:sz w:val="24"/>
          <w:highlight w:val="none"/>
        </w:rPr>
        <w:t>1、</w:t>
      </w:r>
      <w:r>
        <w:rPr>
          <w:rFonts w:hint="eastAsia" w:ascii="仿宋" w:hAnsi="仿宋" w:eastAsia="仿宋" w:cs="仿宋"/>
          <w:kern w:val="0"/>
          <w:sz w:val="24"/>
          <w:highlight w:val="none"/>
          <w:u w:val="single"/>
        </w:rPr>
        <w:t>（分包供应商X,……）提供的货物全部由小微企业制造，</w:t>
      </w:r>
      <w:r>
        <w:rPr>
          <w:rFonts w:hint="eastAsia" w:ascii="仿宋" w:hAnsi="仿宋" w:eastAsia="仿宋" w:cs="仿宋"/>
          <w:kern w:val="0"/>
          <w:sz w:val="24"/>
          <w:highlight w:val="none"/>
        </w:rPr>
        <w:t>其合同份额占到合同总金额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%以上</w:t>
      </w:r>
      <w:r>
        <w:rPr>
          <w:rFonts w:hint="eastAsia" w:ascii="仿宋" w:hAnsi="仿宋" w:eastAsia="仿宋" w:cs="仿宋"/>
          <w:highlight w:val="none"/>
        </w:rPr>
        <w:t>。</w:t>
      </w:r>
      <w:r>
        <w:rPr>
          <w:rFonts w:hint="eastAsia" w:ascii="仿宋" w:hAnsi="仿宋" w:eastAsia="仿宋" w:cs="仿宋"/>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highlight w:val="none"/>
        </w:rPr>
        <w:t>拟享受以上价格扣除政策的，填写有关内容。</w:t>
      </w:r>
      <w:r>
        <w:rPr>
          <w:rFonts w:hint="eastAsia" w:ascii="仿宋" w:hAnsi="仿宋" w:eastAsia="仿宋" w:cs="仿宋"/>
          <w:b/>
          <w:kern w:val="0"/>
          <w:sz w:val="24"/>
          <w:highlight w:val="none"/>
          <w:lang w:val="zh-CN"/>
        </w:rPr>
        <w:t>）</w:t>
      </w:r>
    </w:p>
    <w:p>
      <w:pPr>
        <w:spacing w:line="360" w:lineRule="auto"/>
        <w:ind w:firstLine="480" w:firstLineChars="200"/>
        <w:rPr>
          <w:rFonts w:hint="eastAsia" w:ascii="仿宋" w:hAnsi="仿宋" w:eastAsia="仿宋" w:cs="仿宋"/>
          <w:b/>
          <w:bCs/>
          <w:kern w:val="0"/>
          <w:sz w:val="24"/>
          <w:highlight w:val="none"/>
          <w:lang w:val="zh-CN"/>
        </w:rPr>
      </w:pPr>
      <w:r>
        <w:rPr>
          <w:rFonts w:hint="eastAsia" w:ascii="仿宋" w:hAnsi="仿宋" w:eastAsia="仿宋" w:cs="仿宋"/>
          <w:sz w:val="24"/>
          <w:highlight w:val="none"/>
        </w:rPr>
        <w:t>2、</w:t>
      </w:r>
      <w:bookmarkStart w:id="109" w:name="_Hlk101133173"/>
      <w:r>
        <w:rPr>
          <w:rFonts w:hint="eastAsia" w:ascii="仿宋" w:hAnsi="仿宋" w:eastAsia="仿宋" w:cs="仿宋"/>
          <w:sz w:val="24"/>
          <w:highlight w:val="none"/>
        </w:rPr>
        <w:t>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w:t>
      </w:r>
      <w:r>
        <w:rPr>
          <w:rFonts w:hint="eastAsia" w:ascii="仿宋" w:hAnsi="仿宋" w:eastAsia="仿宋" w:cs="仿宋"/>
          <w:b/>
          <w:bCs/>
          <w:kern w:val="0"/>
          <w:sz w:val="24"/>
          <w:highlight w:val="none"/>
          <w:lang w:val="zh-CN"/>
        </w:rPr>
        <w:t>（</w:t>
      </w:r>
      <w:r>
        <w:rPr>
          <w:rFonts w:hint="eastAsia" w:ascii="仿宋" w:hAnsi="仿宋" w:eastAsia="仿宋" w:cs="仿宋"/>
          <w:b/>
          <w:bCs/>
          <w:sz w:val="24"/>
          <w:highlight w:val="none"/>
        </w:rPr>
        <w:t>要求合同分包形式参加的项目或采购包，供应商按招标文件第一部分招标公告申请人的资格要求中规定的</w:t>
      </w:r>
      <w:r>
        <w:rPr>
          <w:rFonts w:hint="eastAsia" w:ascii="仿宋" w:hAnsi="仿宋" w:eastAsia="仿宋" w:cs="仿宋"/>
          <w:b/>
          <w:kern w:val="0"/>
          <w:sz w:val="24"/>
          <w:highlight w:val="none"/>
          <w:lang w:val="zh-CN"/>
        </w:rPr>
        <w:t>分包意向协议</w:t>
      </w:r>
      <w:r>
        <w:rPr>
          <w:rFonts w:hint="eastAsia" w:ascii="仿宋" w:hAnsi="仿宋" w:eastAsia="仿宋" w:cs="仿宋"/>
          <w:b/>
          <w:bCs/>
          <w:sz w:val="24"/>
          <w:highlight w:val="none"/>
        </w:rPr>
        <w:t>中中小企业、小微企业合同金额应当达到的比例要求填写。</w:t>
      </w:r>
      <w:r>
        <w:rPr>
          <w:rFonts w:hint="eastAsia" w:ascii="仿宋" w:hAnsi="仿宋" w:eastAsia="仿宋" w:cs="仿宋"/>
          <w:b/>
          <w:bCs/>
          <w:kern w:val="0"/>
          <w:sz w:val="24"/>
          <w:highlight w:val="none"/>
          <w:lang w:val="zh-CN"/>
        </w:rPr>
        <w:t>）</w:t>
      </w:r>
      <w:bookmarkEnd w:id="109"/>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三、分包工作履行期限、地点、方式</w:t>
      </w:r>
    </w:p>
    <w:p>
      <w:pPr>
        <w:snapToGrid w:val="0"/>
        <w:spacing w:line="360" w:lineRule="auto"/>
        <w:ind w:firstLine="576"/>
        <w:rPr>
          <w:rFonts w:hint="eastAsia" w:ascii="仿宋" w:hAnsi="仿宋" w:eastAsia="仿宋" w:cs="仿宋"/>
          <w:highlight w:val="none"/>
          <w:u w:val="single"/>
        </w:rPr>
      </w:pPr>
      <w:r>
        <w:rPr>
          <w:rFonts w:hint="eastAsia" w:ascii="仿宋" w:hAnsi="仿宋" w:eastAsia="仿宋" w:cs="仿宋"/>
          <w:highlight w:val="none"/>
          <w:u w:val="single"/>
        </w:rPr>
        <w:t xml:space="preserve">                                                                                  </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四、质量</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五、价款或者报酬</w:t>
      </w:r>
    </w:p>
    <w:p>
      <w:pPr>
        <w:snapToGrid w:val="0"/>
        <w:spacing w:line="360" w:lineRule="auto"/>
        <w:ind w:left="573" w:leftChars="273"/>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pPr>
        <w:snapToGrid w:val="0"/>
        <w:spacing w:line="360" w:lineRule="auto"/>
        <w:ind w:left="573" w:leftChars="273"/>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六、违约责任</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七、争议解决的办法</w:t>
      </w:r>
    </w:p>
    <w:p>
      <w:pPr>
        <w:pageBreakBefore w:val="0"/>
        <w:kinsoku/>
        <w:wordWrap/>
        <w:overflowPunct/>
        <w:topLinePunct w:val="0"/>
        <w:autoSpaceDE/>
        <w:autoSpaceDN/>
        <w:bidi w:val="0"/>
        <w:adjustRightInd w:val="0"/>
        <w:snapToGrid w:val="0"/>
        <w:spacing w:line="36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highlight w:val="none"/>
          <w:u w:val="single"/>
        </w:rPr>
        <w:t xml:space="preserve">                                                                                 </w:t>
      </w:r>
    </w:p>
    <w:p>
      <w:pPr>
        <w:pageBreakBefore w:val="0"/>
        <w:kinsoku/>
        <w:wordWrap/>
        <w:overflowPunct/>
        <w:topLinePunct w:val="0"/>
        <w:autoSpaceDE/>
        <w:autoSpaceDN/>
        <w:bidi w:val="0"/>
        <w:adjustRightInd w:val="0"/>
        <w:snapToGrid w:val="0"/>
        <w:spacing w:line="360" w:lineRule="auto"/>
        <w:ind w:left="5758" w:leftChars="342" w:hanging="5040" w:hangingChars="2100"/>
        <w:textAlignment w:val="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w:t>
      </w:r>
    </w:p>
    <w:p>
      <w:pPr>
        <w:pageBreakBefore w:val="0"/>
        <w:kinsoku/>
        <w:wordWrap/>
        <w:overflowPunct/>
        <w:topLinePunct w:val="0"/>
        <w:autoSpaceDE/>
        <w:autoSpaceDN/>
        <w:bidi w:val="0"/>
        <w:adjustRightInd w:val="0"/>
        <w:snapToGrid w:val="0"/>
        <w:spacing w:line="360" w:lineRule="auto"/>
        <w:ind w:firstLine="5640" w:firstLineChars="2350"/>
        <w:textAlignment w:val="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pageBreakBefore w:val="0"/>
        <w:kinsoku/>
        <w:wordWrap/>
        <w:overflowPunct/>
        <w:topLinePunct w:val="0"/>
        <w:autoSpaceDE/>
        <w:autoSpaceDN/>
        <w:bidi w:val="0"/>
        <w:adjustRightInd w:val="0"/>
        <w:snapToGrid w:val="0"/>
        <w:spacing w:line="360" w:lineRule="auto"/>
        <w:ind w:firstLine="5760" w:firstLineChars="2400"/>
        <w:textAlignment w:val="auto"/>
        <w:rPr>
          <w:color w:val="auto"/>
          <w:highlight w:val="none"/>
        </w:rPr>
      </w:pPr>
      <w:r>
        <w:rPr>
          <w:rFonts w:hint="eastAsia" w:ascii="仿宋_GB2312" w:hAnsi="仿宋" w:eastAsia="仿宋_GB2312" w:cs="仿宋_GB2312"/>
          <w:color w:val="auto"/>
          <w:kern w:val="0"/>
          <w:sz w:val="24"/>
          <w:highlight w:val="none"/>
          <w:lang w:val="zh-CN"/>
        </w:rPr>
        <w:t>……</w:t>
      </w:r>
    </w:p>
    <w:p>
      <w:pPr>
        <w:pageBreakBefore w:val="0"/>
        <w:kinsoku/>
        <w:wordWrap/>
        <w:overflowPunct/>
        <w:topLinePunct w:val="0"/>
        <w:autoSpaceDE/>
        <w:autoSpaceDN/>
        <w:bidi w:val="0"/>
        <w:adjustRightInd w:val="0"/>
        <w:snapToGrid w:val="0"/>
        <w:spacing w:line="360" w:lineRule="auto"/>
        <w:jc w:val="center"/>
        <w:textAlignment w:val="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keepNext/>
        <w:keepLines/>
        <w:pageBreakBefore w:val="0"/>
        <w:widowControl w:val="0"/>
        <w:kinsoku/>
        <w:wordWrap/>
        <w:overflowPunct/>
        <w:topLinePunct w:val="0"/>
        <w:autoSpaceDE/>
        <w:autoSpaceDN/>
        <w:bidi w:val="0"/>
        <w:adjustRightInd w:val="0"/>
        <w:snapToGrid/>
        <w:spacing w:line="416" w:lineRule="auto"/>
        <w:textAlignment w:val="auto"/>
        <w:outlineLvl w:val="9"/>
        <w:rPr>
          <w:highlight w:val="none"/>
          <w:lang w:val="zh-CN"/>
        </w:rPr>
      </w:pPr>
    </w:p>
    <w:p>
      <w:pPr>
        <w:keepNext/>
        <w:keepLines/>
        <w:pageBreakBefore w:val="0"/>
        <w:widowControl w:val="0"/>
        <w:kinsoku/>
        <w:wordWrap/>
        <w:overflowPunct/>
        <w:topLinePunct w:val="0"/>
        <w:autoSpaceDE/>
        <w:autoSpaceDN/>
        <w:bidi w:val="0"/>
        <w:adjustRightInd w:val="0"/>
        <w:snapToGrid/>
        <w:spacing w:line="416" w:lineRule="auto"/>
        <w:textAlignment w:val="auto"/>
        <w:outlineLvl w:val="9"/>
        <w:rPr>
          <w:highlight w:val="none"/>
          <w:lang w:val="zh-CN"/>
        </w:rPr>
      </w:pPr>
    </w:p>
    <w:p>
      <w:pPr>
        <w:keepNext/>
        <w:keepLines/>
        <w:pageBreakBefore w:val="0"/>
        <w:widowControl w:val="0"/>
        <w:kinsoku/>
        <w:wordWrap/>
        <w:overflowPunct/>
        <w:topLinePunct w:val="0"/>
        <w:autoSpaceDE/>
        <w:autoSpaceDN/>
        <w:bidi w:val="0"/>
        <w:adjustRightInd w:val="0"/>
        <w:snapToGrid/>
        <w:spacing w:line="416" w:lineRule="auto"/>
        <w:textAlignment w:val="auto"/>
        <w:outlineLvl w:val="9"/>
        <w:rPr>
          <w:highlight w:val="none"/>
          <w:lang w:val="zh-CN"/>
        </w:rPr>
      </w:pPr>
    </w:p>
    <w:p>
      <w:pPr>
        <w:rPr>
          <w:rFonts w:ascii="仿宋" w:hAnsi="仿宋" w:eastAsia="仿宋" w:cs="仿宋"/>
          <w:b/>
          <w:color w:val="auto"/>
          <w:kern w:val="0"/>
          <w:sz w:val="32"/>
          <w:szCs w:val="32"/>
          <w:highlight w:val="none"/>
        </w:rPr>
      </w:pPr>
      <w:r>
        <w:rPr>
          <w:rFonts w:ascii="仿宋" w:hAnsi="仿宋" w:eastAsia="仿宋" w:cs="仿宋"/>
          <w:b/>
          <w:color w:val="auto"/>
          <w:kern w:val="0"/>
          <w:sz w:val="32"/>
          <w:szCs w:val="32"/>
          <w:highlight w:val="none"/>
        </w:rPr>
        <w:br w:type="page"/>
      </w:r>
    </w:p>
    <w:p>
      <w:pPr>
        <w:widowControl/>
        <w:spacing w:line="360" w:lineRule="auto"/>
        <w:ind w:left="15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三、本项目的特定资格要求</w:t>
      </w:r>
    </w:p>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spacing w:line="360" w:lineRule="auto"/>
        <w:jc w:val="center"/>
        <w:rPr>
          <w:rFonts w:hint="eastAsia" w:ascii="仿宋" w:hAnsi="仿宋" w:eastAsia="仿宋" w:cs="仿宋"/>
          <w:color w:val="FF0000"/>
          <w:sz w:val="24"/>
          <w:highlight w:val="none"/>
        </w:rPr>
      </w:pPr>
    </w:p>
    <w:p>
      <w:pPr>
        <w:spacing w:line="360" w:lineRule="auto"/>
        <w:jc w:val="center"/>
        <w:rPr>
          <w:rFonts w:ascii="仿宋" w:hAnsi="仿宋" w:eastAsia="仿宋" w:cs="仿宋"/>
          <w:color w:val="auto"/>
          <w:sz w:val="24"/>
          <w:highlight w:val="none"/>
        </w:rPr>
      </w:pPr>
      <w:r>
        <w:rPr>
          <w:rFonts w:hint="eastAsia" w:ascii="仿宋" w:hAnsi="仿宋" w:eastAsia="仿宋" w:cs="仿宋"/>
          <w:color w:val="FF0000"/>
          <w:sz w:val="24"/>
          <w:highlight w:val="none"/>
          <w:lang w:eastAsia="zh-CN"/>
        </w:rPr>
        <w:t>具有新闻出版行政部门颁发的出版物经营许可证</w:t>
      </w:r>
      <w:r>
        <w:rPr>
          <w:rFonts w:hint="eastAsia" w:ascii="仿宋" w:hAnsi="仿宋" w:eastAsia="仿宋" w:cs="仿宋"/>
          <w:color w:val="auto"/>
          <w:sz w:val="24"/>
          <w:highlight w:val="none"/>
        </w:rPr>
        <w:br w:type="page"/>
      </w:r>
    </w:p>
    <w:p>
      <w:pPr>
        <w:spacing w:line="360" w:lineRule="auto"/>
        <w:ind w:right="420"/>
        <w:jc w:val="center"/>
        <w:outlineLvl w:val="1"/>
        <w:rPr>
          <w:rFonts w:ascii="仿宋" w:hAnsi="仿宋" w:eastAsia="仿宋" w:cs="仿宋"/>
          <w:b/>
          <w:color w:val="auto"/>
          <w:kern w:val="0"/>
          <w:sz w:val="36"/>
          <w:szCs w:val="36"/>
          <w:highlight w:val="none"/>
        </w:rPr>
      </w:pPr>
      <w:bookmarkStart w:id="110" w:name="_Toc3036"/>
      <w:bookmarkStart w:id="111" w:name="_Toc23502"/>
      <w:bookmarkStart w:id="112" w:name="_Toc4272"/>
      <w:bookmarkStart w:id="113" w:name="_Toc18895"/>
      <w:r>
        <w:rPr>
          <w:rFonts w:hint="eastAsia" w:ascii="仿宋" w:hAnsi="仿宋" w:eastAsia="仿宋" w:cs="仿宋"/>
          <w:b/>
          <w:color w:val="auto"/>
          <w:kern w:val="0"/>
          <w:sz w:val="36"/>
          <w:szCs w:val="36"/>
          <w:highlight w:val="none"/>
        </w:rPr>
        <w:t>商务技术文件部分</w:t>
      </w:r>
      <w:bookmarkEnd w:id="110"/>
      <w:bookmarkEnd w:id="111"/>
      <w:bookmarkEnd w:id="112"/>
      <w:bookmarkEnd w:id="113"/>
    </w:p>
    <w:p>
      <w:pPr>
        <w:spacing w:line="360" w:lineRule="auto"/>
        <w:jc w:val="center"/>
        <w:rPr>
          <w:rFonts w:ascii="仿宋" w:hAnsi="仿宋" w:eastAsia="仿宋" w:cs="仿宋"/>
          <w:b/>
          <w:color w:val="auto"/>
          <w:kern w:val="0"/>
          <w:sz w:val="24"/>
          <w:highlight w:val="none"/>
        </w:rPr>
      </w:pPr>
    </w:p>
    <w:p>
      <w:pPr>
        <w:bidi w:val="0"/>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目录</w:t>
      </w:r>
    </w:p>
    <w:p>
      <w:pPr>
        <w:numPr>
          <w:ilvl w:val="0"/>
          <w:numId w:val="9"/>
        </w:numPr>
        <w:snapToGrid w:val="0"/>
        <w:spacing w:line="360" w:lineRule="auto"/>
        <w:ind w:left="425" w:leftChars="0" w:hanging="5"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投标函…………………………………………………………………………（页码）</w:t>
      </w:r>
    </w:p>
    <w:p>
      <w:pPr>
        <w:numPr>
          <w:ilvl w:val="0"/>
          <w:numId w:val="9"/>
        </w:numPr>
        <w:snapToGrid w:val="0"/>
        <w:spacing w:line="360" w:lineRule="auto"/>
        <w:ind w:left="425" w:leftChars="0" w:hanging="5"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授权委托书或法定代表人（单位负责人、自然人本人）身份证明………（页码）</w:t>
      </w:r>
    </w:p>
    <w:p>
      <w:pPr>
        <w:numPr>
          <w:ilvl w:val="0"/>
          <w:numId w:val="9"/>
        </w:numPr>
        <w:snapToGrid w:val="0"/>
        <w:spacing w:line="360" w:lineRule="auto"/>
        <w:ind w:left="425" w:leftChars="0" w:hanging="5"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分包意向协议…………………………………………………………………（页码）</w:t>
      </w:r>
    </w:p>
    <w:p>
      <w:pPr>
        <w:numPr>
          <w:ilvl w:val="0"/>
          <w:numId w:val="9"/>
        </w:numPr>
        <w:snapToGrid w:val="0"/>
        <w:spacing w:line="360" w:lineRule="auto"/>
        <w:ind w:left="425" w:leftChars="0" w:hanging="5"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符合性审查资料………………………………………………………………（页码）</w:t>
      </w:r>
    </w:p>
    <w:p>
      <w:pPr>
        <w:numPr>
          <w:ilvl w:val="0"/>
          <w:numId w:val="9"/>
        </w:numPr>
        <w:snapToGrid w:val="0"/>
        <w:spacing w:line="360" w:lineRule="auto"/>
        <w:ind w:left="425" w:leftChars="0" w:hanging="5"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评标标准相应的商务技术资料………………………………………………（页码）</w:t>
      </w:r>
    </w:p>
    <w:p>
      <w:pPr>
        <w:numPr>
          <w:ilvl w:val="0"/>
          <w:numId w:val="9"/>
        </w:numPr>
        <w:snapToGrid w:val="0"/>
        <w:spacing w:line="360" w:lineRule="auto"/>
        <w:ind w:left="425" w:leftChars="0" w:hanging="5"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投标标的清单……………………………………………………</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………（页码）</w:t>
      </w:r>
    </w:p>
    <w:p>
      <w:pPr>
        <w:numPr>
          <w:ilvl w:val="0"/>
          <w:numId w:val="9"/>
        </w:numPr>
        <w:snapToGrid w:val="0"/>
        <w:spacing w:line="360" w:lineRule="auto"/>
        <w:ind w:left="425" w:leftChars="0" w:hanging="5"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商务技术偏离表………………………………………………………………（页码）</w:t>
      </w:r>
    </w:p>
    <w:p>
      <w:pPr>
        <w:numPr>
          <w:ilvl w:val="0"/>
          <w:numId w:val="9"/>
        </w:numPr>
        <w:snapToGrid w:val="0"/>
        <w:spacing w:line="360" w:lineRule="auto"/>
        <w:ind w:left="425" w:leftChars="0" w:hanging="5" w:firstLineChars="0"/>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政府采购供应商廉洁自律承诺书</w:t>
      </w:r>
      <w:r>
        <w:rPr>
          <w:rFonts w:hint="eastAsia" w:ascii="仿宋" w:hAnsi="仿宋" w:eastAsia="仿宋" w:cs="仿宋"/>
          <w:sz w:val="24"/>
          <w:szCs w:val="24"/>
          <w:highlight w:val="none"/>
        </w:rPr>
        <w:t>……………………………………………（页码）</w:t>
      </w:r>
    </w:p>
    <w:p>
      <w:pPr>
        <w:bidi w:val="0"/>
        <w:rPr>
          <w:highlight w:val="none"/>
          <w:lang w:val="zh-CN"/>
        </w:rPr>
      </w:pPr>
    </w:p>
    <w:p>
      <w:pPr>
        <w:bidi w:val="0"/>
        <w:rPr>
          <w:highlight w:val="none"/>
          <w:lang w:val="zh-CN"/>
        </w:rPr>
      </w:pPr>
    </w:p>
    <w:p>
      <w:pPr>
        <w:bidi w:val="0"/>
        <w:rPr>
          <w:highlight w:val="none"/>
          <w:lang w:val="zh-CN"/>
        </w:rPr>
      </w:pPr>
    </w:p>
    <w:p>
      <w:pPr>
        <w:bidi w:val="0"/>
        <w:rPr>
          <w:highlight w:val="none"/>
          <w:lang w:val="zh-CN"/>
        </w:rPr>
      </w:pPr>
    </w:p>
    <w:p>
      <w:pPr>
        <w:bidi w:val="0"/>
        <w:rPr>
          <w:highlight w:val="none"/>
          <w:lang w:val="zh-CN"/>
        </w:rPr>
      </w:pPr>
    </w:p>
    <w:p>
      <w:pPr>
        <w:bidi w:val="0"/>
        <w:rPr>
          <w:highlight w:val="none"/>
        </w:rPr>
      </w:pPr>
    </w:p>
    <w:p>
      <w:pPr>
        <w:bidi w:val="0"/>
        <w:rPr>
          <w:highlight w:val="none"/>
        </w:rPr>
      </w:pPr>
    </w:p>
    <w:p>
      <w:pPr>
        <w:bidi w:val="0"/>
        <w:rPr>
          <w:highlight w:val="none"/>
        </w:rPr>
      </w:pPr>
    </w:p>
    <w:p>
      <w:pPr>
        <w:bidi w:val="0"/>
        <w:rPr>
          <w:highlight w:val="none"/>
        </w:rPr>
      </w:pPr>
    </w:p>
    <w:p>
      <w:pPr>
        <w:bidi w:val="0"/>
        <w:rPr>
          <w:highlight w:val="none"/>
        </w:rPr>
      </w:pPr>
    </w:p>
    <w:p>
      <w:pPr>
        <w:bidi w:val="0"/>
        <w:rPr>
          <w:highlight w:val="none"/>
        </w:rPr>
      </w:pPr>
    </w:p>
    <w:p>
      <w:pPr>
        <w:bidi w:val="0"/>
        <w:rPr>
          <w:highlight w:val="none"/>
        </w:rPr>
      </w:pPr>
    </w:p>
    <w:p>
      <w:pPr>
        <w:bidi w:val="0"/>
        <w:rPr>
          <w:highlight w:val="none"/>
        </w:rPr>
      </w:pPr>
    </w:p>
    <w:p>
      <w:pPr>
        <w:bidi w:val="0"/>
        <w:rPr>
          <w:highlight w:val="none"/>
        </w:rPr>
      </w:pPr>
    </w:p>
    <w:p>
      <w:pPr>
        <w:rPr>
          <w:rFonts w:hint="eastAsia"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br w:type="page"/>
      </w:r>
    </w:p>
    <w:p>
      <w:pPr>
        <w:keepNext w:val="0"/>
        <w:keepLines w:val="0"/>
        <w:pageBreakBefore w:val="0"/>
        <w:kinsoku/>
        <w:wordWrap/>
        <w:overflowPunct/>
        <w:topLinePunct w:val="0"/>
        <w:bidi w:val="0"/>
        <w:snapToGrid w:val="0"/>
        <w:spacing w:line="360" w:lineRule="auto"/>
        <w:jc w:val="center"/>
        <w:textAlignment w:val="auto"/>
        <w:outlineLvl w:val="9"/>
        <w:rPr>
          <w:rFonts w:ascii="仿宋_GB2312" w:hAnsi="仿宋" w:eastAsia="仿宋_GB2312" w:cs="仿宋_GB2312"/>
          <w:b/>
          <w:sz w:val="32"/>
          <w:szCs w:val="32"/>
          <w:highlight w:val="none"/>
        </w:rPr>
      </w:pPr>
      <w:r>
        <w:rPr>
          <w:rFonts w:hint="eastAsia" w:ascii="仿宋_GB2312" w:hAnsi="仿宋" w:eastAsia="仿宋_GB2312" w:cs="仿宋_GB2312"/>
          <w:b/>
          <w:kern w:val="0"/>
          <w:sz w:val="32"/>
          <w:szCs w:val="32"/>
          <w:highlight w:val="none"/>
        </w:rPr>
        <w:t>一、投标</w:t>
      </w:r>
      <w:r>
        <w:rPr>
          <w:rFonts w:hint="eastAsia" w:ascii="仿宋_GB2312" w:hAnsi="仿宋" w:eastAsia="仿宋_GB2312" w:cs="仿宋_GB2312"/>
          <w:b/>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ascii="仿宋_GB2312" w:hAnsi="仿宋" w:eastAsia="仿宋_GB2312" w:cs="仿宋_GB2312"/>
          <w:sz w:val="24"/>
          <w:highlight w:val="none"/>
        </w:rPr>
      </w:pPr>
      <w:r>
        <w:rPr>
          <w:rFonts w:hint="eastAsia" w:ascii="仿宋_GB2312" w:hAnsi="仿宋" w:eastAsia="仿宋_GB2312" w:cs="仿宋_GB2312"/>
          <w:sz w:val="24"/>
          <w:highlight w:val="none"/>
          <w:u w:val="single"/>
        </w:rPr>
        <w:t>（采购人）、（采购代理机构）</w:t>
      </w:r>
      <w:r>
        <w:rPr>
          <w:rFonts w:hint="eastAsia" w:ascii="仿宋_GB2312" w:hAnsi="仿宋" w:eastAsia="仿宋_GB2312" w:cs="仿宋_GB2312"/>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outlineLvl w:val="9"/>
        <w:rPr>
          <w:rFonts w:ascii="仿宋_GB2312" w:hAnsi="仿宋" w:eastAsia="仿宋_GB2312" w:cs="仿宋_GB2312"/>
          <w:sz w:val="24"/>
          <w:highlight w:val="none"/>
        </w:rPr>
      </w:pPr>
      <w:r>
        <w:rPr>
          <w:rFonts w:hint="eastAsia" w:ascii="仿宋_GB2312" w:hAnsi="仿宋" w:eastAsia="仿宋_GB2312" w:cs="仿宋_GB2312"/>
          <w:sz w:val="24"/>
          <w:highlight w:val="none"/>
        </w:rPr>
        <w:t>我方参加你方组织的（项目名称）【招标编号：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0"/>
        <w:textAlignment w:val="auto"/>
        <w:outlineLvl w:val="9"/>
        <w:rPr>
          <w:rFonts w:ascii="仿宋_GB2312" w:hAnsi="仿宋" w:eastAsia="仿宋_GB2312" w:cs="仿宋_GB2312"/>
          <w:sz w:val="24"/>
          <w:highlight w:val="none"/>
        </w:rPr>
      </w:pPr>
      <w:r>
        <w:rPr>
          <w:rFonts w:ascii="仿宋_GB2312" w:hAnsi="仿宋" w:eastAsia="仿宋_GB2312" w:cs="仿宋_GB2312"/>
          <w:sz w:val="24"/>
          <w:highlight w:val="none"/>
        </w:rPr>
        <w:t>1、我方承诺投标有效期从提交投标文件的截止之日起</w:t>
      </w:r>
      <w:r>
        <w:rPr>
          <w:rFonts w:ascii="仿宋_GB2312" w:hAnsi="仿宋" w:eastAsia="仿宋_GB2312" w:cs="仿宋_GB2312"/>
          <w:sz w:val="24"/>
          <w:highlight w:val="none"/>
          <w:u w:val="single"/>
        </w:rPr>
        <w:t xml:space="preserve">     </w:t>
      </w:r>
      <w:r>
        <w:rPr>
          <w:rFonts w:hint="eastAsia" w:ascii="仿宋_GB2312" w:hAnsi="仿宋" w:eastAsia="仿宋_GB2312" w:cs="仿宋_GB2312"/>
          <w:sz w:val="24"/>
          <w:highlight w:val="none"/>
        </w:rPr>
        <w:t>天（不少于</w:t>
      </w:r>
      <w:r>
        <w:rPr>
          <w:rFonts w:ascii="仿宋_GB2312" w:hAnsi="仿宋" w:eastAsia="仿宋_GB2312" w:cs="仿宋_GB2312"/>
          <w:sz w:val="24"/>
          <w:highlight w:val="none"/>
        </w:rPr>
        <w:t>90天）</w:t>
      </w:r>
      <w:r>
        <w:rPr>
          <w:rFonts w:hint="eastAsia"/>
          <w:highlight w:val="none"/>
        </w:rPr>
        <w:t>，</w:t>
      </w:r>
      <w:r>
        <w:rPr>
          <w:rFonts w:hint="eastAsia" w:ascii="仿宋_GB2312" w:hAnsi="仿宋" w:eastAsia="仿宋_GB2312" w:cs="仿宋_GB2312"/>
          <w:sz w:val="24"/>
          <w:highlight w:val="none"/>
        </w:rPr>
        <w:t>本投标文件在投标有效期满之前均具有约束力。</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outlineLvl w:val="9"/>
        <w:rPr>
          <w:rFonts w:ascii="仿宋_GB2312" w:hAnsi="仿宋" w:eastAsia="仿宋_GB2312" w:cs="仿宋_GB2312"/>
          <w:sz w:val="24"/>
          <w:highlight w:val="none"/>
        </w:rPr>
      </w:pPr>
      <w:r>
        <w:rPr>
          <w:rFonts w:ascii="仿宋_GB2312" w:hAnsi="仿宋" w:eastAsia="仿宋_GB2312" w:cs="仿宋_GB2312"/>
          <w:sz w:val="24"/>
          <w:highlight w:val="none"/>
        </w:rPr>
        <w:t>2、我方的投标文件包括以下内容：</w:t>
      </w:r>
    </w:p>
    <w:p>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outlineLvl w:val="9"/>
        <w:rPr>
          <w:rFonts w:ascii="仿宋_GB2312" w:hAnsi="仿宋" w:eastAsia="仿宋_GB2312" w:cs="仿宋_GB2312"/>
          <w:sz w:val="24"/>
          <w:highlight w:val="none"/>
        </w:rPr>
      </w:pPr>
      <w:r>
        <w:rPr>
          <w:rFonts w:ascii="仿宋_GB2312" w:hAnsi="仿宋" w:eastAsia="仿宋_GB2312" w:cs="仿宋_GB2312"/>
          <w:sz w:val="24"/>
          <w:highlight w:val="none"/>
        </w:rPr>
        <w:t>2.1资格文件：</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ascii="仿宋_GB2312" w:hAnsi="仿宋" w:eastAsia="仿宋_GB2312" w:cs="仿宋_GB2312"/>
          <w:sz w:val="24"/>
          <w:highlight w:val="none"/>
        </w:rPr>
      </w:pPr>
      <w:r>
        <w:rPr>
          <w:rFonts w:ascii="仿宋_GB2312" w:hAnsi="仿宋" w:eastAsia="仿宋_GB2312" w:cs="仿宋_GB2312"/>
          <w:sz w:val="24"/>
          <w:highlight w:val="none"/>
        </w:rPr>
        <w:t>2.1.1</w:t>
      </w:r>
      <w:r>
        <w:rPr>
          <w:rFonts w:hint="eastAsia" w:ascii="仿宋_GB2312" w:hAnsi="仿宋" w:eastAsia="仿宋_GB2312" w:cs="仿宋_GB2312"/>
          <w:sz w:val="24"/>
          <w:highlight w:val="none"/>
        </w:rPr>
        <w:t>承诺函；</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ascii="仿宋_GB2312" w:hAnsi="仿宋" w:eastAsia="仿宋_GB2312" w:cs="仿宋_GB2312"/>
          <w:sz w:val="24"/>
          <w:highlight w:val="none"/>
        </w:rPr>
      </w:pPr>
      <w:r>
        <w:rPr>
          <w:rFonts w:ascii="仿宋_GB2312" w:hAnsi="仿宋" w:eastAsia="仿宋_GB2312" w:cs="仿宋_GB2312"/>
          <w:sz w:val="24"/>
          <w:highlight w:val="none"/>
        </w:rPr>
        <w:t>2.1.2</w:t>
      </w:r>
      <w:r>
        <w:rPr>
          <w:rFonts w:hint="eastAsia" w:ascii="仿宋_GB2312" w:hAnsi="仿宋" w:eastAsia="仿宋_GB2312" w:cs="仿宋_GB2312"/>
          <w:sz w:val="24"/>
          <w:highlight w:val="none"/>
        </w:rPr>
        <w:t>联合协议；</w:t>
      </w:r>
      <w:r>
        <w:rPr>
          <w:rFonts w:hint="eastAsia" w:ascii="仿宋_GB2312" w:hAnsi="仿宋" w:eastAsia="仿宋_GB2312" w:cs="仿宋_GB2312"/>
          <w:color w:val="FF0000"/>
          <w:sz w:val="24"/>
          <w:highlight w:val="none"/>
        </w:rPr>
        <w:t>（如果有)</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ascii="仿宋_GB2312" w:hAnsi="仿宋" w:eastAsia="仿宋_GB2312" w:cs="仿宋_GB2312"/>
          <w:sz w:val="24"/>
          <w:highlight w:val="none"/>
        </w:rPr>
      </w:pPr>
      <w:r>
        <w:rPr>
          <w:rFonts w:hint="eastAsia" w:ascii="仿宋_GB2312" w:hAnsi="仿宋" w:eastAsia="仿宋_GB2312" w:cs="仿宋_GB2312"/>
          <w:sz w:val="24"/>
          <w:highlight w:val="none"/>
          <w:lang w:val="en-US" w:eastAsia="zh-CN"/>
        </w:rPr>
        <w:t>2.1.3</w:t>
      </w:r>
      <w:r>
        <w:rPr>
          <w:rFonts w:ascii="仿宋_GB2312" w:hAnsi="仿宋" w:eastAsia="仿宋_GB2312" w:cs="仿宋_GB2312"/>
          <w:sz w:val="24"/>
          <w:highlight w:val="none"/>
        </w:rPr>
        <w:t>落实政府采购政策需满足的资格要求</w:t>
      </w:r>
      <w:r>
        <w:rPr>
          <w:rFonts w:hint="eastAsia" w:ascii="仿宋_GB2312" w:hAnsi="仿宋" w:eastAsia="仿宋_GB2312"/>
          <w:b w:val="0"/>
          <w:bCs/>
          <w:color w:val="auto"/>
          <w:sz w:val="24"/>
          <w:highlight w:val="none"/>
          <w:lang w:eastAsia="zh-CN"/>
        </w:rPr>
        <w:t>；</w:t>
      </w:r>
      <w:r>
        <w:rPr>
          <w:rFonts w:hint="eastAsia" w:ascii="仿宋_GB2312" w:hAnsi="仿宋" w:eastAsia="仿宋_GB2312"/>
          <w:b w:val="0"/>
          <w:bCs/>
          <w:color w:val="FF0000"/>
          <w:sz w:val="24"/>
          <w:highlight w:val="none"/>
          <w:lang w:eastAsia="zh-CN"/>
        </w:rPr>
        <w:t>（</w:t>
      </w:r>
      <w:r>
        <w:rPr>
          <w:rFonts w:hint="eastAsia" w:ascii="仿宋_GB2312" w:hAnsi="仿宋" w:eastAsia="仿宋_GB2312"/>
          <w:b w:val="0"/>
          <w:bCs/>
          <w:color w:val="FF0000"/>
          <w:sz w:val="24"/>
          <w:highlight w:val="none"/>
          <w:lang w:val="en-US" w:eastAsia="zh-CN"/>
        </w:rPr>
        <w:t>不适用</w:t>
      </w:r>
      <w:r>
        <w:rPr>
          <w:rFonts w:hint="eastAsia" w:ascii="仿宋_GB2312" w:hAnsi="仿宋" w:eastAsia="仿宋_GB2312"/>
          <w:b w:val="0"/>
          <w:bCs/>
          <w:color w:val="FF0000"/>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hint="eastAsia" w:ascii="仿宋_GB2312" w:hAnsi="仿宋" w:eastAsia="仿宋_GB2312" w:cs="仿宋_GB2312"/>
          <w:sz w:val="24"/>
          <w:highlight w:val="none"/>
        </w:rPr>
      </w:pPr>
      <w:r>
        <w:rPr>
          <w:rFonts w:ascii="仿宋_GB2312" w:hAnsi="仿宋" w:eastAsia="仿宋_GB2312" w:cs="仿宋_GB2312"/>
          <w:sz w:val="24"/>
          <w:highlight w:val="none"/>
        </w:rPr>
        <w:t>2.1.</w:t>
      </w:r>
      <w:r>
        <w:rPr>
          <w:rFonts w:hint="eastAsia" w:ascii="仿宋_GB2312" w:hAnsi="仿宋" w:eastAsia="仿宋_GB2312" w:cs="仿宋_GB2312"/>
          <w:sz w:val="24"/>
          <w:highlight w:val="none"/>
          <w:lang w:val="en-US" w:eastAsia="zh-CN"/>
        </w:rPr>
        <w:t>4</w:t>
      </w:r>
      <w:r>
        <w:rPr>
          <w:rFonts w:ascii="仿宋_GB2312" w:hAnsi="仿宋" w:eastAsia="仿宋_GB2312" w:cs="仿宋_GB2312"/>
          <w:sz w:val="24"/>
          <w:highlight w:val="none"/>
        </w:rPr>
        <w:t>本项目的特定资格要求</w:t>
      </w:r>
      <w:r>
        <w:rPr>
          <w:rFonts w:hint="eastAsia" w:ascii="仿宋_GB2312" w:hAnsi="仿宋" w:eastAsia="仿宋_GB2312"/>
          <w:b w:val="0"/>
          <w:bCs/>
          <w:color w:val="auto"/>
          <w:sz w:val="24"/>
          <w:highlight w:val="none"/>
          <w:lang w:eastAsia="zh-CN"/>
        </w:rPr>
        <w:t>。</w:t>
      </w:r>
      <w:r>
        <w:rPr>
          <w:rFonts w:hint="eastAsia" w:ascii="仿宋_GB2312" w:hAnsi="仿宋" w:eastAsia="仿宋_GB2312"/>
          <w:b w:val="0"/>
          <w:bCs/>
          <w:color w:val="FF0000"/>
          <w:sz w:val="24"/>
          <w:highlight w:val="none"/>
          <w:lang w:eastAsia="zh-CN"/>
        </w:rPr>
        <w:t>（具有新闻出版行政部门颁发的出版物经营许可证）</w:t>
      </w:r>
    </w:p>
    <w:p>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outlineLvl w:val="9"/>
        <w:rPr>
          <w:rFonts w:ascii="仿宋_GB2312" w:hAnsi="仿宋" w:eastAsia="仿宋_GB2312" w:cs="仿宋_GB2312"/>
          <w:sz w:val="24"/>
          <w:highlight w:val="none"/>
          <w:lang w:val="zh-CN"/>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 xml:space="preserve"> </w:t>
      </w:r>
      <w:r>
        <w:rPr>
          <w:rFonts w:hint="eastAsia" w:ascii="仿宋_GB2312" w:hAnsi="仿宋" w:eastAsia="仿宋_GB2312" w:cs="仿宋_GB2312"/>
          <w:sz w:val="24"/>
          <w:highlight w:val="none"/>
        </w:rPr>
        <w:t>商务技术</w:t>
      </w:r>
      <w:r>
        <w:rPr>
          <w:rFonts w:hint="eastAsia" w:ascii="仿宋_GB2312" w:hAnsi="仿宋" w:eastAsia="仿宋_GB2312" w:cs="仿宋_GB2312"/>
          <w:sz w:val="24"/>
          <w:highlight w:val="none"/>
          <w:lang w:val="zh-CN"/>
        </w:rPr>
        <w:t>文件：</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ascii="仿宋_GB2312" w:hAnsi="仿宋" w:eastAsia="仿宋_GB2312" w:cs="仿宋_GB2312"/>
          <w:sz w:val="24"/>
          <w:highlight w:val="none"/>
        </w:rPr>
      </w:pPr>
      <w:r>
        <w:rPr>
          <w:rFonts w:ascii="仿宋_GB2312" w:hAnsi="仿宋" w:eastAsia="仿宋_GB2312" w:cs="仿宋_GB2312"/>
          <w:sz w:val="24"/>
          <w:highlight w:val="none"/>
        </w:rPr>
        <w:t>2.2.1投标函；</w:t>
      </w:r>
      <w:r>
        <w:rPr>
          <w:rFonts w:ascii="仿宋_GB2312" w:hAnsi="仿宋" w:eastAsia="仿宋_GB2312" w:cs="仿宋_GB2312"/>
          <w:sz w:val="24"/>
          <w:highlight w:val="non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ascii="仿宋_GB2312" w:hAnsi="仿宋" w:eastAsia="仿宋_GB2312" w:cs="仿宋_GB2312"/>
          <w:sz w:val="24"/>
          <w:highlight w:val="none"/>
        </w:rPr>
      </w:pPr>
      <w:r>
        <w:rPr>
          <w:rFonts w:ascii="仿宋_GB2312" w:hAnsi="仿宋" w:eastAsia="仿宋_GB2312" w:cs="仿宋_GB2312"/>
          <w:sz w:val="24"/>
          <w:highlight w:val="none"/>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ascii="仿宋_GB2312" w:hAnsi="仿宋" w:eastAsia="仿宋_GB2312" w:cs="仿宋_GB2312"/>
          <w:color w:val="FF0000"/>
          <w:sz w:val="24"/>
          <w:highlight w:val="none"/>
        </w:rPr>
      </w:pPr>
      <w:r>
        <w:rPr>
          <w:rFonts w:hint="eastAsia" w:ascii="仿宋_GB2312" w:hAnsi="仿宋" w:eastAsia="仿宋_GB2312" w:cs="仿宋_GB2312"/>
          <w:sz w:val="24"/>
          <w:highlight w:val="none"/>
          <w:lang w:val="en-US" w:eastAsia="zh-CN"/>
        </w:rPr>
        <w:t>2.2.3</w:t>
      </w:r>
      <w:r>
        <w:rPr>
          <w:rFonts w:ascii="仿宋_GB2312" w:hAnsi="仿宋" w:eastAsia="仿宋_GB2312" w:cs="仿宋_GB2312"/>
          <w:sz w:val="24"/>
          <w:highlight w:val="none"/>
        </w:rPr>
        <w:t>分包意向协议</w:t>
      </w:r>
      <w:r>
        <w:rPr>
          <w:rFonts w:hint="eastAsia" w:ascii="仿宋_GB2312" w:hAnsi="仿宋" w:eastAsia="仿宋_GB2312" w:cs="仿宋_GB2312"/>
          <w:color w:val="FF0000"/>
          <w:sz w:val="24"/>
          <w:highlight w:val="none"/>
          <w:lang w:eastAsia="zh-CN"/>
        </w:rPr>
        <w:t>（如果有）</w:t>
      </w:r>
      <w:r>
        <w:rPr>
          <w:rFonts w:hint="eastAsia" w:ascii="仿宋_GB2312" w:hAnsi="仿宋" w:eastAsia="仿宋_GB2312" w:cs="仿宋_GB2312"/>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ascii="仿宋_GB2312" w:hAnsi="仿宋" w:eastAsia="仿宋_GB2312" w:cs="仿宋_GB2312"/>
          <w:sz w:val="24"/>
          <w:highlight w:val="none"/>
        </w:rPr>
      </w:pPr>
      <w:r>
        <w:rPr>
          <w:rFonts w:ascii="仿宋_GB2312" w:hAnsi="仿宋" w:eastAsia="仿宋_GB2312" w:cs="仿宋_GB2312"/>
          <w:sz w:val="24"/>
          <w:highlight w:val="none"/>
        </w:rPr>
        <w:t>2.2.</w:t>
      </w:r>
      <w:r>
        <w:rPr>
          <w:rFonts w:hint="eastAsia" w:ascii="仿宋_GB2312" w:hAnsi="仿宋" w:eastAsia="仿宋_GB2312" w:cs="仿宋_GB2312"/>
          <w:sz w:val="24"/>
          <w:highlight w:val="none"/>
          <w:lang w:val="en-US" w:eastAsia="zh-CN"/>
        </w:rPr>
        <w:t>4</w:t>
      </w:r>
      <w:r>
        <w:rPr>
          <w:rFonts w:ascii="仿宋_GB2312" w:hAnsi="仿宋" w:eastAsia="仿宋_GB2312" w:cs="仿宋_GB2312"/>
          <w:sz w:val="24"/>
          <w:highlight w:val="none"/>
        </w:rPr>
        <w:t>符合性审查资料；</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ascii="仿宋_GB2312" w:hAnsi="仿宋" w:eastAsia="仿宋_GB2312" w:cs="仿宋_GB2312"/>
          <w:sz w:val="24"/>
          <w:highlight w:val="none"/>
        </w:rPr>
      </w:pPr>
      <w:r>
        <w:rPr>
          <w:rFonts w:ascii="仿宋_GB2312" w:hAnsi="仿宋" w:eastAsia="仿宋_GB2312" w:cs="仿宋_GB2312"/>
          <w:sz w:val="24"/>
          <w:highlight w:val="none"/>
        </w:rPr>
        <w:t>2.2.</w:t>
      </w:r>
      <w:r>
        <w:rPr>
          <w:rFonts w:hint="eastAsia" w:ascii="仿宋_GB2312" w:hAnsi="仿宋" w:eastAsia="仿宋_GB2312" w:cs="仿宋_GB2312"/>
          <w:sz w:val="24"/>
          <w:highlight w:val="none"/>
          <w:lang w:val="en-US" w:eastAsia="zh-CN"/>
        </w:rPr>
        <w:t>5</w:t>
      </w:r>
      <w:r>
        <w:rPr>
          <w:rFonts w:ascii="仿宋_GB2312" w:hAnsi="仿宋" w:eastAsia="仿宋_GB2312" w:cs="仿宋_GB2312"/>
          <w:sz w:val="24"/>
          <w:highlight w:val="none"/>
        </w:rPr>
        <w:t>评标标准相应的商务技术资料；</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ascii="仿宋_GB2312" w:hAnsi="仿宋" w:eastAsia="仿宋_GB2312" w:cs="仿宋_GB2312"/>
          <w:sz w:val="24"/>
          <w:highlight w:val="none"/>
        </w:rPr>
      </w:pPr>
      <w:r>
        <w:rPr>
          <w:rFonts w:hint="eastAsia" w:ascii="仿宋_GB2312" w:hAnsi="仿宋" w:eastAsia="仿宋_GB2312" w:cs="仿宋_GB2312"/>
          <w:sz w:val="24"/>
          <w:highlight w:val="none"/>
        </w:rPr>
        <w:t>2.2.</w:t>
      </w:r>
      <w:r>
        <w:rPr>
          <w:rFonts w:hint="eastAsia" w:ascii="仿宋_GB2312" w:hAnsi="仿宋" w:eastAsia="仿宋_GB2312" w:cs="仿宋_GB2312"/>
          <w:sz w:val="24"/>
          <w:highlight w:val="none"/>
          <w:lang w:val="en-US" w:eastAsia="zh-CN"/>
        </w:rPr>
        <w:t>6</w:t>
      </w:r>
      <w:r>
        <w:rPr>
          <w:rFonts w:hint="eastAsia" w:ascii="仿宋_GB2312" w:hAnsi="仿宋" w:eastAsia="仿宋_GB2312" w:cs="仿宋_GB2312"/>
          <w:sz w:val="24"/>
          <w:highlight w:val="none"/>
        </w:rPr>
        <w:t>投标标的清单；</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ascii="仿宋_GB2312" w:hAnsi="仿宋" w:eastAsia="仿宋_GB2312" w:cs="仿宋_GB2312"/>
          <w:sz w:val="24"/>
          <w:highlight w:val="none"/>
        </w:rPr>
      </w:pPr>
      <w:r>
        <w:rPr>
          <w:rFonts w:ascii="仿宋_GB2312" w:hAnsi="仿宋" w:eastAsia="仿宋_GB2312" w:cs="仿宋_GB2312"/>
          <w:sz w:val="24"/>
          <w:highlight w:val="none"/>
        </w:rPr>
        <w:t>2.2.</w:t>
      </w:r>
      <w:r>
        <w:rPr>
          <w:rFonts w:hint="eastAsia" w:ascii="仿宋_GB2312" w:hAnsi="仿宋" w:eastAsia="仿宋_GB2312" w:cs="仿宋_GB2312"/>
          <w:sz w:val="24"/>
          <w:highlight w:val="none"/>
          <w:lang w:val="en-US" w:eastAsia="zh-CN"/>
        </w:rPr>
        <w:t>7</w:t>
      </w:r>
      <w:r>
        <w:rPr>
          <w:rFonts w:ascii="仿宋_GB2312" w:hAnsi="仿宋" w:eastAsia="仿宋_GB2312" w:cs="仿宋_GB2312"/>
          <w:sz w:val="24"/>
          <w:highlight w:val="none"/>
        </w:rPr>
        <w:t>商务技术偏离表；</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ascii="仿宋_GB2312" w:hAnsi="仿宋" w:eastAsia="仿宋_GB2312" w:cs="仿宋_GB2312"/>
          <w:sz w:val="24"/>
          <w:highlight w:val="none"/>
          <w:lang w:val="zh-CN"/>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hint="eastAsia" w:ascii="仿宋_GB2312" w:hAnsi="仿宋" w:eastAsia="仿宋_GB2312" w:cs="仿宋_GB2312"/>
          <w:sz w:val="24"/>
          <w:highlight w:val="none"/>
          <w:lang w:val="en-US" w:eastAsia="zh-CN"/>
        </w:rPr>
        <w:t>8</w:t>
      </w:r>
      <w:r>
        <w:rPr>
          <w:rFonts w:hint="eastAsia" w:ascii="仿宋_GB2312" w:hAnsi="仿宋" w:eastAsia="仿宋_GB2312" w:cs="仿宋_GB2312"/>
          <w:sz w:val="24"/>
          <w:highlight w:val="none"/>
          <w:lang w:val="zh-CN"/>
        </w:rPr>
        <w:t>政府采购供应商廉洁自律承诺书；</w:t>
      </w:r>
    </w:p>
    <w:p>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outlineLvl w:val="9"/>
        <w:rPr>
          <w:rFonts w:ascii="仿宋_GB2312" w:hAnsi="仿宋" w:eastAsia="仿宋_GB2312" w:cs="仿宋_GB2312"/>
          <w:sz w:val="24"/>
          <w:highlight w:val="none"/>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3报价文件</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ascii="仿宋_GB2312" w:hAnsi="仿宋" w:eastAsia="仿宋_GB2312" w:cs="仿宋_GB2312"/>
          <w:sz w:val="24"/>
          <w:highlight w:val="none"/>
        </w:rPr>
      </w:pPr>
      <w:r>
        <w:rPr>
          <w:rFonts w:ascii="仿宋_GB2312" w:hAnsi="仿宋" w:eastAsia="仿宋_GB2312" w:cs="仿宋_GB2312"/>
          <w:sz w:val="24"/>
          <w:highlight w:val="none"/>
        </w:rPr>
        <w:t>2.3.1开标一览表（报价表）；</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hint="default" w:ascii="仿宋_GB2312" w:hAnsi="仿宋" w:eastAsia="仿宋_GB2312" w:cs="仿宋_GB2312"/>
          <w:sz w:val="24"/>
          <w:highlight w:val="none"/>
          <w:lang w:val="en-US" w:eastAsia="zh-CN"/>
        </w:rPr>
      </w:pPr>
      <w:r>
        <w:rPr>
          <w:rFonts w:hint="eastAsia" w:ascii="仿宋_GB2312" w:hAnsi="仿宋" w:eastAsia="仿宋_GB2312" w:cs="仿宋_GB2312"/>
          <w:sz w:val="24"/>
          <w:highlight w:val="none"/>
          <w:lang w:val="en-US" w:eastAsia="zh-CN"/>
        </w:rPr>
        <w:t>2.3.2成本测算表；</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ascii="仿宋_GB2312" w:hAnsi="仿宋" w:eastAsia="仿宋_GB2312" w:cs="仿宋_GB2312"/>
          <w:sz w:val="24"/>
          <w:highlight w:val="none"/>
        </w:rPr>
      </w:pPr>
      <w:r>
        <w:rPr>
          <w:rFonts w:ascii="仿宋_GB2312" w:hAnsi="仿宋" w:eastAsia="仿宋_GB2312" w:cs="仿宋_GB2312"/>
          <w:sz w:val="24"/>
          <w:highlight w:val="none"/>
        </w:rPr>
        <w:t>2.3.</w:t>
      </w:r>
      <w:r>
        <w:rPr>
          <w:rFonts w:hint="eastAsia" w:ascii="仿宋_GB2312" w:hAnsi="仿宋" w:eastAsia="仿宋_GB2312" w:cs="仿宋_GB2312"/>
          <w:sz w:val="24"/>
          <w:highlight w:val="none"/>
          <w:lang w:val="en-US" w:eastAsia="zh-CN"/>
        </w:rPr>
        <w:t>3</w:t>
      </w:r>
      <w:r>
        <w:rPr>
          <w:rFonts w:ascii="仿宋_GB2312" w:hAnsi="仿宋" w:eastAsia="仿宋_GB2312" w:cs="仿宋_GB2312"/>
          <w:sz w:val="24"/>
          <w:highlight w:val="none"/>
        </w:rPr>
        <w:t>中小企业声明函</w:t>
      </w:r>
      <w:r>
        <w:rPr>
          <w:rFonts w:hint="eastAsia" w:ascii="仿宋_GB2312" w:hAnsi="仿宋" w:eastAsia="仿宋_GB2312" w:cs="仿宋_GB2312"/>
          <w:sz w:val="24"/>
          <w:highlight w:val="none"/>
        </w:rPr>
        <w:t>。</w:t>
      </w:r>
      <w:r>
        <w:rPr>
          <w:rFonts w:hint="eastAsia" w:ascii="仿宋_GB2312" w:hAnsi="仿宋" w:eastAsia="仿宋_GB2312" w:cs="仿宋_GB2312"/>
          <w:color w:val="FF0000"/>
          <w:sz w:val="24"/>
          <w:highlight w:val="none"/>
          <w:lang w:eastAsia="zh-CN"/>
        </w:rPr>
        <w:t>（如果有）</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0"/>
        <w:textAlignment w:val="auto"/>
        <w:outlineLvl w:val="9"/>
        <w:rPr>
          <w:rFonts w:ascii="仿宋_GB2312" w:hAnsi="仿宋" w:eastAsia="仿宋_GB2312" w:cs="仿宋_GB2312"/>
          <w:sz w:val="24"/>
          <w:highlight w:val="none"/>
        </w:rPr>
      </w:pPr>
      <w:r>
        <w:rPr>
          <w:rFonts w:ascii="仿宋_GB2312" w:hAnsi="仿宋" w:eastAsia="仿宋_GB2312" w:cs="仿宋_GB2312"/>
          <w:sz w:val="24"/>
          <w:highlight w:val="none"/>
        </w:rPr>
        <w:t>3、我方承诺除商务技术偏离表列出的偏离外，我方响应招标文件的全部要求。</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0"/>
        <w:textAlignment w:val="auto"/>
        <w:outlineLvl w:val="9"/>
        <w:rPr>
          <w:rFonts w:ascii="仿宋_GB2312" w:hAnsi="仿宋" w:eastAsia="仿宋_GB2312" w:cs="仿宋_GB2312"/>
          <w:sz w:val="24"/>
          <w:highlight w:val="none"/>
        </w:rPr>
      </w:pPr>
      <w:r>
        <w:rPr>
          <w:rFonts w:ascii="仿宋_GB2312" w:hAnsi="仿宋" w:eastAsia="仿宋_GB2312" w:cs="仿宋_GB2312"/>
          <w:sz w:val="24"/>
          <w:highlight w:val="none"/>
        </w:rPr>
        <w:t>4、如我方中标，我方承诺：</w:t>
      </w:r>
    </w:p>
    <w:p>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outlineLvl w:val="9"/>
        <w:rPr>
          <w:rFonts w:ascii="仿宋_GB2312" w:hAnsi="仿宋" w:eastAsia="仿宋_GB2312" w:cs="仿宋_GB2312"/>
          <w:sz w:val="24"/>
          <w:highlight w:val="none"/>
        </w:rPr>
      </w:pPr>
      <w:r>
        <w:rPr>
          <w:rFonts w:ascii="仿宋_GB2312" w:hAnsi="仿宋" w:eastAsia="仿宋_GB2312" w:cs="仿宋_GB2312"/>
          <w:sz w:val="24"/>
          <w:highlight w:val="none"/>
        </w:rPr>
        <w:t xml:space="preserve">4.1在收到中标通知书后，在中标通知书规定的期限内与你方签订合同；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outlineLvl w:val="9"/>
        <w:rPr>
          <w:rFonts w:ascii="仿宋_GB2312" w:hAnsi="仿宋" w:eastAsia="仿宋_GB2312" w:cs="仿宋_GB2312"/>
          <w:sz w:val="24"/>
          <w:highlight w:val="none"/>
        </w:rPr>
      </w:pPr>
      <w:r>
        <w:rPr>
          <w:rFonts w:ascii="仿宋_GB2312" w:hAnsi="仿宋" w:eastAsia="仿宋_GB2312" w:cs="仿宋_GB2312"/>
          <w:sz w:val="24"/>
          <w:highlight w:val="none"/>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outlineLvl w:val="9"/>
        <w:rPr>
          <w:rFonts w:ascii="仿宋_GB2312" w:hAnsi="仿宋" w:eastAsia="仿宋_GB2312" w:cs="仿宋_GB2312"/>
          <w:sz w:val="24"/>
          <w:highlight w:val="none"/>
        </w:rPr>
      </w:pPr>
      <w:r>
        <w:rPr>
          <w:rFonts w:ascii="仿宋_GB2312" w:hAnsi="仿宋" w:eastAsia="仿宋_GB2312" w:cs="仿宋_GB2312"/>
          <w:sz w:val="24"/>
          <w:highlight w:val="none"/>
        </w:rPr>
        <w:t xml:space="preserve">4.3按照招标文件要求提交履约保证金； </w:t>
      </w:r>
    </w:p>
    <w:p>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outlineLvl w:val="9"/>
        <w:rPr>
          <w:rFonts w:ascii="仿宋_GB2312" w:hAnsi="仿宋" w:eastAsia="仿宋_GB2312" w:cs="仿宋_GB2312"/>
          <w:sz w:val="24"/>
          <w:highlight w:val="none"/>
        </w:rPr>
      </w:pPr>
      <w:r>
        <w:rPr>
          <w:rFonts w:ascii="仿宋_GB2312" w:hAnsi="仿宋" w:eastAsia="仿宋_GB2312" w:cs="仿宋_GB2312"/>
          <w:sz w:val="24"/>
          <w:highlight w:val="none"/>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0"/>
        <w:textAlignment w:val="auto"/>
        <w:outlineLvl w:val="9"/>
        <w:rPr>
          <w:rFonts w:ascii="仿宋_GB2312" w:hAnsi="仿宋" w:eastAsia="仿宋_GB2312" w:cs="仿宋_GB2312"/>
          <w:sz w:val="24"/>
          <w:highlight w:val="none"/>
        </w:rPr>
      </w:pPr>
      <w:r>
        <w:rPr>
          <w:rFonts w:ascii="仿宋_GB2312" w:hAnsi="仿宋" w:eastAsia="仿宋_GB2312" w:cs="仿宋_GB2312"/>
          <w:sz w:val="24"/>
          <w:highlight w:val="none"/>
        </w:rPr>
        <w:t>5、其他补充说明:</w:t>
      </w:r>
      <w:r>
        <w:rPr>
          <w:rFonts w:ascii="仿宋_GB2312" w:hAnsi="仿宋" w:eastAsia="仿宋_GB2312" w:cs="仿宋_GB2312"/>
          <w:sz w:val="24"/>
          <w:highlight w:val="none"/>
          <w:u w:val="single"/>
        </w:rPr>
        <w:t xml:space="preserve">                                       </w:t>
      </w:r>
      <w:r>
        <w:rPr>
          <w:rFonts w:hint="eastAsia" w:ascii="仿宋_GB2312" w:hAnsi="仿宋" w:eastAsia="仿宋_GB2312" w:cs="仿宋_GB2312"/>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3600" w:firstLineChars="1500"/>
        <w:textAlignment w:val="auto"/>
        <w:outlineLvl w:val="9"/>
        <w:rPr>
          <w:rFonts w:hint="eastAsia" w:ascii="仿宋_GB2312" w:hAnsi="仿宋" w:eastAsia="仿宋_GB2312" w:cs="仿宋_GB2312"/>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firstLine="3600" w:firstLineChars="1500"/>
        <w:textAlignment w:val="auto"/>
        <w:outlineLvl w:val="9"/>
        <w:rPr>
          <w:rFonts w:ascii="仿宋_GB2312" w:hAnsi="仿宋" w:eastAsia="仿宋_GB2312" w:cs="仿宋_GB2312"/>
          <w:sz w:val="24"/>
          <w:highlight w:val="none"/>
        </w:rPr>
      </w:pPr>
      <w:r>
        <w:rPr>
          <w:rFonts w:hint="eastAsia" w:ascii="仿宋_GB2312" w:hAnsi="仿宋" w:eastAsia="仿宋_GB2312" w:cs="仿宋_GB2312"/>
          <w:sz w:val="24"/>
          <w:highlight w:val="none"/>
        </w:rPr>
        <w:t>投标人名称（电子签名）：</w:t>
      </w:r>
      <w:r>
        <w:rPr>
          <w:rFonts w:ascii="仿宋_GB2312" w:hAnsi="仿宋" w:eastAsia="仿宋_GB2312" w:cs="仿宋_GB2312"/>
          <w:sz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ascii="仿宋_GB2312" w:hAnsi="仿宋" w:eastAsia="仿宋_GB2312" w:cs="仿宋_GB2312"/>
          <w:kern w:val="0"/>
          <w:sz w:val="24"/>
          <w:highlight w:val="none"/>
          <w:u w:val="single"/>
          <w:lang w:val="zh-CN"/>
        </w:rPr>
      </w:pPr>
      <w:r>
        <w:rPr>
          <w:rFonts w:ascii="仿宋_GB2312" w:hAnsi="仿宋" w:eastAsia="仿宋_GB2312" w:cs="仿宋_GB2312"/>
          <w:sz w:val="24"/>
          <w:highlight w:val="none"/>
        </w:rPr>
        <w:t xml:space="preserve">     日期：</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u w:val="single"/>
          <w:lang w:val="en-US" w:eastAsia="zh-CN"/>
        </w:rPr>
        <w:t xml:space="preserve">  </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u w:val="single"/>
          <w:lang w:val="en-US" w:eastAsia="zh-CN"/>
        </w:rPr>
        <w:t xml:space="preserve"> </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日</w:t>
      </w:r>
    </w:p>
    <w:p>
      <w:pPr>
        <w:keepNext w:val="0"/>
        <w:keepLines w:val="0"/>
        <w:pageBreakBefore w:val="0"/>
        <w:kinsoku/>
        <w:wordWrap/>
        <w:overflowPunct/>
        <w:topLinePunct w:val="0"/>
        <w:bidi w:val="0"/>
        <w:spacing w:line="360" w:lineRule="auto"/>
        <w:ind w:right="420"/>
        <w:textAlignment w:val="auto"/>
        <w:outlineLvl w:val="9"/>
        <w:rPr>
          <w:rFonts w:hint="eastAsia" w:ascii="仿宋" w:hAnsi="仿宋" w:eastAsia="仿宋" w:cs="仿宋"/>
          <w:sz w:val="24"/>
          <w:highlight w:val="none"/>
        </w:rPr>
      </w:pPr>
    </w:p>
    <w:p>
      <w:pPr>
        <w:keepNext w:val="0"/>
        <w:keepLines w:val="0"/>
        <w:pageBreakBefore w:val="0"/>
        <w:kinsoku/>
        <w:wordWrap/>
        <w:overflowPunct/>
        <w:topLinePunct w:val="0"/>
        <w:bidi w:val="0"/>
        <w:spacing w:line="360" w:lineRule="auto"/>
        <w:ind w:right="420"/>
        <w:textAlignment w:val="auto"/>
        <w:outlineLvl w:val="9"/>
        <w:rPr>
          <w:rFonts w:hint="eastAsia" w:ascii="仿宋" w:hAnsi="仿宋" w:eastAsia="仿宋" w:cs="仿宋"/>
          <w:sz w:val="24"/>
          <w:highlight w:val="none"/>
        </w:rPr>
      </w:pPr>
    </w:p>
    <w:p>
      <w:pPr>
        <w:keepNext w:val="0"/>
        <w:keepLines w:val="0"/>
        <w:pageBreakBefore w:val="0"/>
        <w:kinsoku/>
        <w:wordWrap/>
        <w:overflowPunct/>
        <w:topLinePunct w:val="0"/>
        <w:bidi w:val="0"/>
        <w:textAlignment w:val="auto"/>
        <w:outlineLvl w:val="9"/>
        <w:rPr>
          <w:rFonts w:hint="eastAsia"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lang w:val="zh-CN"/>
        </w:rPr>
        <w:br w:type="page"/>
      </w:r>
    </w:p>
    <w:p>
      <w:pPr>
        <w:keepNext w:val="0"/>
        <w:keepLines w:val="0"/>
        <w:pageBreakBefore w:val="0"/>
        <w:kinsoku/>
        <w:wordWrap/>
        <w:overflowPunct/>
        <w:topLinePunct w:val="0"/>
        <w:bidi w:val="0"/>
        <w:snapToGrid w:val="0"/>
        <w:spacing w:line="360" w:lineRule="auto"/>
        <w:jc w:val="center"/>
        <w:textAlignment w:val="auto"/>
        <w:outlineLvl w:val="9"/>
        <w:rPr>
          <w:rFonts w:hint="eastAsia"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lang w:val="zh-CN"/>
        </w:rPr>
        <w:t>二、授权委托书或法定代表人（单位负责人、自然人本人）身份证明</w:t>
      </w:r>
    </w:p>
    <w:p>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sz w:val="24"/>
          <w:highlight w:val="none"/>
        </w:rPr>
      </w:pPr>
      <w:r>
        <w:rPr>
          <w:rFonts w:ascii="仿宋_GB2312" w:hAnsi="仿宋" w:eastAsia="仿宋_GB2312" w:cs="仿宋_GB2312"/>
          <w:sz w:val="24"/>
          <w:highlight w:val="none"/>
        </w:rPr>
        <w:t xml:space="preserve">                                </w:t>
      </w:r>
    </w:p>
    <w:p>
      <w:pPr>
        <w:keepNext w:val="0"/>
        <w:keepLines w:val="0"/>
        <w:pageBreakBefore w:val="0"/>
        <w:kinsoku/>
        <w:wordWrap/>
        <w:overflowPunct/>
        <w:topLinePunct w:val="0"/>
        <w:bidi w:val="0"/>
        <w:snapToGrid w:val="0"/>
        <w:spacing w:line="360" w:lineRule="auto"/>
        <w:ind w:left="0" w:leftChars="0" w:firstLine="0" w:firstLineChars="0"/>
        <w:jc w:val="center"/>
        <w:textAlignment w:val="auto"/>
        <w:outlineLvl w:val="9"/>
        <w:rPr>
          <w:highlight w:val="none"/>
        </w:rPr>
      </w:pPr>
      <w:r>
        <w:rPr>
          <w:rFonts w:hint="eastAsia" w:ascii="仿宋_GB2312" w:hAnsi="仿宋" w:eastAsia="仿宋_GB2312" w:cs="仿宋_GB2312"/>
          <w:b/>
          <w:kern w:val="0"/>
          <w:sz w:val="32"/>
          <w:szCs w:val="32"/>
          <w:highlight w:val="none"/>
          <w:lang w:val="zh-CN"/>
        </w:rPr>
        <w:t>授权委托书（适用于非联合体投标）</w:t>
      </w:r>
    </w:p>
    <w:p>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kern w:val="0"/>
          <w:sz w:val="24"/>
          <w:highlight w:val="none"/>
        </w:rPr>
      </w:pPr>
      <w:r>
        <w:rPr>
          <w:rFonts w:hint="eastAsia" w:ascii="仿宋_GB2312" w:hAnsi="仿宋" w:eastAsia="仿宋_GB2312" w:cs="仿宋_GB2312"/>
          <w:sz w:val="24"/>
          <w:highlight w:val="none"/>
          <w:u w:val="single"/>
        </w:rPr>
        <w:t>（采购人）、（采购代理机构）</w:t>
      </w:r>
      <w:r>
        <w:rPr>
          <w:rFonts w:hint="eastAsia" w:ascii="仿宋_GB2312" w:hAnsi="仿宋" w:eastAsia="仿宋_GB2312" w:cs="仿宋_GB2312"/>
          <w:kern w:val="0"/>
          <w:sz w:val="24"/>
          <w:highlight w:val="none"/>
          <w:lang w:val="zh-CN"/>
        </w:rPr>
        <w:t>：</w:t>
      </w:r>
    </w:p>
    <w:p>
      <w:pPr>
        <w:keepNext w:val="0"/>
        <w:keepLines w:val="0"/>
        <w:pageBreakBefore w:val="0"/>
        <w:kinsoku/>
        <w:wordWrap/>
        <w:overflowPunct/>
        <w:topLinePunct w:val="0"/>
        <w:bidi w:val="0"/>
        <w:snapToGrid w:val="0"/>
        <w:spacing w:line="360" w:lineRule="auto"/>
        <w:ind w:firstLine="576"/>
        <w:textAlignment w:val="auto"/>
        <w:outlineLvl w:val="9"/>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现</w:t>
      </w:r>
      <w:r>
        <w:rPr>
          <w:rFonts w:hint="eastAsia" w:ascii="仿宋_GB2312" w:hAnsi="仿宋" w:eastAsia="仿宋_GB2312" w:cs="仿宋_GB2312"/>
          <w:kern w:val="0"/>
          <w:sz w:val="24"/>
          <w:highlight w:val="none"/>
          <w:lang w:val="zh-CN"/>
        </w:rPr>
        <w:t>委托</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（姓名）为我方代理人（身份证号码：</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，手机：</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），以我方名义处理</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政府采购投标的一切事项，其法律后果由我方承担。</w:t>
      </w:r>
    </w:p>
    <w:p>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委托期限</w:t>
      </w:r>
      <w:r>
        <w:rPr>
          <w:rFonts w:hint="eastAsia" w:ascii="仿宋_GB2312" w:hAnsi="仿宋" w:eastAsia="仿宋_GB2312" w:cs="仿宋_GB2312"/>
          <w:kern w:val="0"/>
          <w:sz w:val="24"/>
          <w:highlight w:val="none"/>
        </w:rPr>
        <w:t>：</w:t>
      </w:r>
      <w:r>
        <w:rPr>
          <w:rFonts w:hint="eastAsia" w:ascii="仿宋_GB2312" w:hAnsi="仿宋" w:eastAsia="仿宋_GB2312" w:cs="仿宋_GB2312"/>
          <w:kern w:val="0"/>
          <w:sz w:val="24"/>
          <w:highlight w:val="none"/>
          <w:lang w:val="zh-CN"/>
        </w:rPr>
        <w:t>自</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u w:val="single"/>
          <w:lang w:val="en-US" w:eastAsia="zh-CN"/>
        </w:rPr>
        <w:t xml:space="preserve">  </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u w:val="single"/>
          <w:lang w:val="en-US" w:eastAsia="zh-CN"/>
        </w:rPr>
        <w:t xml:space="preserve"> </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日</w:t>
      </w:r>
      <w:r>
        <w:rPr>
          <w:rFonts w:hint="eastAsia" w:ascii="仿宋_GB2312" w:hAnsi="仿宋" w:eastAsia="仿宋_GB2312" w:cs="仿宋_GB2312"/>
          <w:kern w:val="0"/>
          <w:sz w:val="24"/>
          <w:highlight w:val="none"/>
          <w:lang w:val="zh-CN"/>
        </w:rPr>
        <w:t>起至</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u w:val="single"/>
          <w:lang w:val="en-US" w:eastAsia="zh-CN"/>
        </w:rPr>
        <w:t xml:space="preserve">  </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u w:val="single"/>
          <w:lang w:val="en-US" w:eastAsia="zh-CN"/>
        </w:rPr>
        <w:t xml:space="preserve"> </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日</w:t>
      </w:r>
      <w:r>
        <w:rPr>
          <w:rFonts w:hint="eastAsia" w:ascii="仿宋_GB2312" w:hAnsi="仿宋" w:eastAsia="仿宋_GB2312" w:cs="仿宋_GB2312"/>
          <w:kern w:val="0"/>
          <w:sz w:val="24"/>
          <w:highlight w:val="none"/>
          <w:lang w:val="zh-CN"/>
        </w:rPr>
        <w:t>止。</w:t>
      </w:r>
    </w:p>
    <w:p>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特此告知。</w:t>
      </w:r>
    </w:p>
    <w:p>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kern w:val="0"/>
          <w:sz w:val="24"/>
          <w:highlight w:val="none"/>
        </w:rPr>
      </w:pPr>
      <w:r>
        <w:rPr>
          <w:rFonts w:ascii="仿宋_GB2312" w:hAnsi="仿宋" w:eastAsia="仿宋_GB2312" w:cs="仿宋_GB2312"/>
          <w:kern w:val="0"/>
          <w:sz w:val="24"/>
          <w:highlight w:val="none"/>
          <w:lang w:val="zh-CN"/>
        </w:rPr>
        <w:t xml:space="preserve">                                                 投标人名称(电子签名)：</w:t>
      </w:r>
    </w:p>
    <w:p>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签发日期：</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u w:val="single"/>
          <w:lang w:val="en-US" w:eastAsia="zh-CN"/>
        </w:rPr>
        <w:t xml:space="preserve">  </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u w:val="single"/>
          <w:lang w:val="en-US" w:eastAsia="zh-CN"/>
        </w:rPr>
        <w:t xml:space="preserve"> </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日</w:t>
      </w:r>
    </w:p>
    <w:p>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sz w:val="24"/>
          <w:highlight w:val="none"/>
        </w:rPr>
      </w:pPr>
    </w:p>
    <w:p>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sz w:val="24"/>
          <w:highlight w:val="none"/>
        </w:rPr>
      </w:pPr>
    </w:p>
    <w:p>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sz w:val="24"/>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r>
        <w:rPr>
          <w:rFonts w:ascii="仿宋_GB2312" w:hAnsi="仿宋" w:eastAsia="仿宋_GB2312" w:cs="仿宋_GB2312"/>
          <w:b/>
          <w:kern w:val="0"/>
          <w:sz w:val="32"/>
          <w:szCs w:val="32"/>
          <w:highlight w:val="none"/>
          <w:lang w:val="zh-CN"/>
        </w:rPr>
        <w:t xml:space="preserve">      </w:t>
      </w:r>
      <w:r>
        <w:rPr>
          <w:rFonts w:ascii="仿宋_GB2312" w:hAnsi="仿宋" w:eastAsia="仿宋_GB2312" w:cs="仿宋_GB2312"/>
          <w:b/>
          <w:kern w:val="0"/>
          <w:sz w:val="32"/>
          <w:szCs w:val="32"/>
          <w:highlight w:val="none"/>
        </w:rPr>
        <w:t xml:space="preserve"> </w:t>
      </w:r>
      <w:r>
        <w:rPr>
          <w:rFonts w:hint="eastAsia" w:ascii="仿宋_GB2312" w:hAnsi="仿宋" w:eastAsia="仿宋_GB2312" w:cs="仿宋_GB2312"/>
          <w:b/>
          <w:kern w:val="0"/>
          <w:sz w:val="32"/>
          <w:szCs w:val="32"/>
          <w:highlight w:val="none"/>
          <w:lang w:val="zh-CN"/>
        </w:rPr>
        <w:t>授权委托书（适用于联合体投标）</w:t>
      </w:r>
    </w:p>
    <w:p>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kern w:val="0"/>
          <w:sz w:val="24"/>
          <w:highlight w:val="none"/>
        </w:rPr>
      </w:pPr>
      <w:r>
        <w:rPr>
          <w:rFonts w:hint="eastAsia" w:ascii="仿宋_GB2312" w:hAnsi="仿宋" w:eastAsia="仿宋_GB2312" w:cs="仿宋_GB2312"/>
          <w:sz w:val="24"/>
          <w:highlight w:val="none"/>
        </w:rPr>
        <w:t>（采购人）、（采购代理机构）</w:t>
      </w:r>
      <w:r>
        <w:rPr>
          <w:rFonts w:hint="eastAsia" w:ascii="仿宋_GB2312" w:hAnsi="仿宋" w:eastAsia="仿宋_GB2312" w:cs="仿宋_GB2312"/>
          <w:kern w:val="0"/>
          <w:sz w:val="24"/>
          <w:highlight w:val="none"/>
          <w:lang w:val="zh-CN"/>
        </w:rPr>
        <w:t>：</w:t>
      </w:r>
    </w:p>
    <w:p>
      <w:pPr>
        <w:keepNext w:val="0"/>
        <w:keepLines w:val="0"/>
        <w:pageBreakBefore w:val="0"/>
        <w:kinsoku/>
        <w:wordWrap/>
        <w:overflowPunct/>
        <w:topLinePunct w:val="0"/>
        <w:bidi w:val="0"/>
        <w:snapToGrid w:val="0"/>
        <w:spacing w:line="360" w:lineRule="auto"/>
        <w:ind w:firstLine="576"/>
        <w:textAlignment w:val="auto"/>
        <w:outlineLvl w:val="9"/>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现</w:t>
      </w:r>
      <w:r>
        <w:rPr>
          <w:rFonts w:hint="eastAsia" w:ascii="仿宋_GB2312" w:hAnsi="仿宋" w:eastAsia="仿宋_GB2312" w:cs="仿宋_GB2312"/>
          <w:kern w:val="0"/>
          <w:sz w:val="24"/>
          <w:highlight w:val="none"/>
          <w:lang w:val="zh-CN"/>
        </w:rPr>
        <w:t>委托</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（姓名）为我方代理人（身份证号码：</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，手机：</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），以我方名义处理</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政府采购投标的一切事项，其法律后果由我方承担。</w:t>
      </w:r>
    </w:p>
    <w:p>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eastAsia="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kern w:val="0"/>
          <w:sz w:val="24"/>
          <w:highlight w:val="none"/>
          <w:lang w:val="zh-CN"/>
        </w:rPr>
        <w:t>自</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u w:val="single"/>
          <w:lang w:val="en-US" w:eastAsia="zh-CN"/>
        </w:rPr>
        <w:t xml:space="preserve">  </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u w:val="single"/>
          <w:lang w:val="en-US" w:eastAsia="zh-CN"/>
        </w:rPr>
        <w:t xml:space="preserve"> </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日</w:t>
      </w:r>
      <w:r>
        <w:rPr>
          <w:rFonts w:hint="eastAsia" w:ascii="仿宋_GB2312" w:hAnsi="仿宋" w:eastAsia="仿宋_GB2312" w:cs="仿宋_GB2312"/>
          <w:kern w:val="0"/>
          <w:sz w:val="24"/>
          <w:highlight w:val="none"/>
          <w:lang w:val="zh-CN"/>
        </w:rPr>
        <w:t>起至</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u w:val="single"/>
          <w:lang w:val="en-US" w:eastAsia="zh-CN"/>
        </w:rPr>
        <w:t xml:space="preserve">  </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u w:val="single"/>
          <w:lang w:val="en-US" w:eastAsia="zh-CN"/>
        </w:rPr>
        <w:t xml:space="preserve"> </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日</w:t>
      </w:r>
      <w:r>
        <w:rPr>
          <w:rFonts w:hint="eastAsia" w:ascii="仿宋_GB2312" w:hAnsi="仿宋" w:eastAsia="仿宋_GB2312" w:cs="仿宋_GB2312"/>
          <w:kern w:val="0"/>
          <w:sz w:val="24"/>
          <w:highlight w:val="none"/>
          <w:lang w:val="zh-CN"/>
        </w:rPr>
        <w:t>止。</w:t>
      </w:r>
    </w:p>
    <w:p>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特此告知。</w:t>
      </w: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textAlignment w:val="auto"/>
        <w:outlineLvl w:val="9"/>
        <w:rPr>
          <w:highlight w:val="none"/>
        </w:rPr>
      </w:pPr>
    </w:p>
    <w:p>
      <w:pPr>
        <w:keepNext w:val="0"/>
        <w:keepLines w:val="0"/>
        <w:pageBreakBefore w:val="0"/>
        <w:kinsoku/>
        <w:wordWrap/>
        <w:overflowPunct/>
        <w:topLinePunct w:val="0"/>
        <w:bidi w:val="0"/>
        <w:snapToGrid w:val="0"/>
        <w:spacing w:line="360" w:lineRule="auto"/>
        <w:ind w:firstLine="5040" w:firstLineChars="2100"/>
        <w:textAlignment w:val="auto"/>
        <w:outlineLvl w:val="9"/>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pPr>
        <w:keepNext w:val="0"/>
        <w:keepLines w:val="0"/>
        <w:pageBreakBefore w:val="0"/>
        <w:kinsoku/>
        <w:wordWrap/>
        <w:overflowPunct/>
        <w:topLinePunct w:val="0"/>
        <w:bidi w:val="0"/>
        <w:snapToGrid w:val="0"/>
        <w:spacing w:line="360" w:lineRule="auto"/>
        <w:ind w:firstLine="5040" w:firstLineChars="2100"/>
        <w:textAlignment w:val="auto"/>
        <w:outlineLvl w:val="9"/>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pPr>
        <w:keepNext w:val="0"/>
        <w:keepLines w:val="0"/>
        <w:pageBreakBefore w:val="0"/>
        <w:kinsoku/>
        <w:wordWrap/>
        <w:overflowPunct/>
        <w:topLinePunct w:val="0"/>
        <w:bidi w:val="0"/>
        <w:snapToGrid w:val="0"/>
        <w:spacing w:line="360" w:lineRule="auto"/>
        <w:ind w:firstLine="5760" w:firstLineChars="2400"/>
        <w:textAlignment w:val="auto"/>
        <w:outlineLvl w:val="9"/>
        <w:rPr>
          <w:highlight w:val="none"/>
        </w:rPr>
      </w:pPr>
      <w:r>
        <w:rPr>
          <w:rFonts w:hint="eastAsia" w:ascii="仿宋_GB2312" w:hAnsi="仿宋" w:eastAsia="仿宋_GB2312" w:cs="仿宋_GB2312"/>
          <w:kern w:val="0"/>
          <w:sz w:val="24"/>
          <w:highlight w:val="none"/>
          <w:lang w:val="zh-CN"/>
        </w:rPr>
        <w:t>……</w:t>
      </w:r>
    </w:p>
    <w:p>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u w:val="single"/>
          <w:lang w:val="en-US" w:eastAsia="zh-CN"/>
        </w:rPr>
        <w:t xml:space="preserve">  </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u w:val="single"/>
          <w:lang w:val="en-US" w:eastAsia="zh-CN"/>
        </w:rPr>
        <w:t xml:space="preserve"> </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日</w:t>
      </w:r>
    </w:p>
    <w:p>
      <w:pPr>
        <w:keepNext w:val="0"/>
        <w:keepLines w:val="0"/>
        <w:pageBreakBefore w:val="0"/>
        <w:kinsoku/>
        <w:wordWrap/>
        <w:overflowPunct/>
        <w:topLinePunct w:val="0"/>
        <w:bidi w:val="0"/>
        <w:textAlignment w:val="auto"/>
        <w:outlineLvl w:val="9"/>
        <w:rPr>
          <w:rFonts w:hint="eastAsia"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lang w:val="zh-CN"/>
        </w:rPr>
        <w:br w:type="page"/>
      </w:r>
    </w:p>
    <w:p>
      <w:pPr>
        <w:keepNext w:val="0"/>
        <w:keepLines w:val="0"/>
        <w:pageBreakBefore w:val="0"/>
        <w:kinsoku/>
        <w:wordWrap/>
        <w:overflowPunct/>
        <w:topLinePunct w:val="0"/>
        <w:autoSpaceDE w:val="0"/>
        <w:autoSpaceDN w:val="0"/>
        <w:bidi w:val="0"/>
        <w:spacing w:line="360" w:lineRule="auto"/>
        <w:jc w:val="center"/>
        <w:textAlignment w:val="auto"/>
        <w:outlineLvl w:val="9"/>
        <w:rPr>
          <w:rFonts w:ascii="仿宋_GB2312" w:hAnsi="仿宋" w:eastAsia="仿宋_GB2312" w:cs="仿宋_GB2312"/>
          <w:b/>
          <w:sz w:val="24"/>
          <w:highlight w:val="none"/>
        </w:rPr>
      </w:pPr>
      <w:r>
        <w:rPr>
          <w:rFonts w:hint="eastAsia" w:ascii="仿宋_GB2312" w:hAnsi="仿宋" w:eastAsia="仿宋_GB2312" w:cs="仿宋_GB2312"/>
          <w:b/>
          <w:kern w:val="0"/>
          <w:sz w:val="32"/>
          <w:szCs w:val="32"/>
          <w:highlight w:val="none"/>
          <w:lang w:val="zh-CN"/>
        </w:rPr>
        <w:t>法定代表人、单位负责人或自然人本人</w:t>
      </w:r>
      <w:r>
        <w:rPr>
          <w:rFonts w:hint="eastAsia" w:ascii="仿宋_GB2312" w:hAnsi="仿宋" w:eastAsia="仿宋_GB2312" w:cs="仿宋_GB2312"/>
          <w:b/>
          <w:sz w:val="30"/>
          <w:szCs w:val="30"/>
          <w:highlight w:val="none"/>
        </w:rPr>
        <w:t>的身份证明（适用于法定代表人、单位负责人或者自然人本人代表投标人参加投标）</w:t>
      </w:r>
    </w:p>
    <w:p>
      <w:pPr>
        <w:pStyle w:val="192"/>
        <w:keepNext w:val="0"/>
        <w:keepLines w:val="0"/>
        <w:pageBreakBefore w:val="0"/>
        <w:kinsoku/>
        <w:wordWrap/>
        <w:overflowPunct/>
        <w:topLinePunct w:val="0"/>
        <w:bidi w:val="0"/>
        <w:spacing w:line="360" w:lineRule="auto"/>
        <w:textAlignment w:val="auto"/>
        <w:outlineLvl w:val="9"/>
        <w:rPr>
          <w:rFonts w:ascii="仿宋_GB2312" w:hAnsi="仿宋" w:eastAsia="仿宋_GB2312"/>
          <w:bCs/>
          <w:sz w:val="24"/>
          <w:highlight w:val="none"/>
        </w:rPr>
      </w:pPr>
      <w:r>
        <w:rPr>
          <w:rFonts w:hint="eastAsia" w:ascii="仿宋_GB2312" w:hAnsi="仿宋" w:eastAsia="仿宋_GB2312"/>
          <w:bCs/>
          <w:sz w:val="24"/>
          <w:highlight w:val="none"/>
        </w:rPr>
        <w:t>身份证件扫描件：</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92"/>
              <w:keepNext w:val="0"/>
              <w:keepLines w:val="0"/>
              <w:pageBreakBefore w:val="0"/>
              <w:kinsoku/>
              <w:wordWrap/>
              <w:overflowPunct/>
              <w:topLinePunct w:val="0"/>
              <w:bidi w:val="0"/>
              <w:adjustRightInd w:val="0"/>
              <w:spacing w:line="360" w:lineRule="auto"/>
              <w:textAlignment w:val="auto"/>
              <w:outlineLvl w:val="9"/>
              <w:rPr>
                <w:rFonts w:ascii="仿宋_GB2312" w:hAnsi="仿宋" w:eastAsia="仿宋_GB2312"/>
                <w:bCs/>
                <w:sz w:val="24"/>
                <w:highlight w:val="none"/>
              </w:rPr>
            </w:pPr>
            <w:r>
              <w:rPr>
                <w:rFonts w:hint="eastAsia" w:ascii="仿宋_GB2312" w:hAnsi="仿宋" w:eastAsia="仿宋_GB2312"/>
                <w:bCs/>
                <w:sz w:val="24"/>
                <w:highlight w:val="none"/>
              </w:rPr>
              <w:t>正面：</w:t>
            </w:r>
            <w:r>
              <w:rPr>
                <w:rFonts w:ascii="仿宋_GB2312" w:hAnsi="仿宋" w:eastAsia="仿宋_GB2312"/>
                <w:bCs/>
                <w:sz w:val="24"/>
                <w:highlight w:val="none"/>
              </w:rPr>
              <w:t xml:space="preserve">                                 </w:t>
            </w:r>
            <w:r>
              <w:rPr>
                <w:rFonts w:hint="eastAsia" w:ascii="仿宋_GB2312" w:hAnsi="仿宋" w:eastAsia="仿宋_GB2312"/>
                <w:bCs/>
                <w:sz w:val="24"/>
                <w:highlight w:val="none"/>
              </w:rPr>
              <w:t>反面：</w:t>
            </w:r>
          </w:p>
          <w:p>
            <w:pPr>
              <w:pStyle w:val="192"/>
              <w:keepNext w:val="0"/>
              <w:keepLines w:val="0"/>
              <w:pageBreakBefore w:val="0"/>
              <w:kinsoku/>
              <w:wordWrap/>
              <w:overflowPunct/>
              <w:topLinePunct w:val="0"/>
              <w:bidi w:val="0"/>
              <w:adjustRightInd w:val="0"/>
              <w:spacing w:line="360" w:lineRule="auto"/>
              <w:textAlignment w:val="auto"/>
              <w:outlineLvl w:val="9"/>
              <w:rPr>
                <w:rFonts w:ascii="仿宋_GB2312" w:hAnsi="仿宋" w:eastAsia="仿宋_GB2312"/>
                <w:bCs/>
                <w:sz w:val="24"/>
                <w:highlight w:val="none"/>
              </w:rPr>
            </w:pPr>
          </w:p>
        </w:tc>
      </w:tr>
    </w:tbl>
    <w:p>
      <w:pPr>
        <w:keepNext w:val="0"/>
        <w:keepLines w:val="0"/>
        <w:pageBreakBefore w:val="0"/>
        <w:kinsoku/>
        <w:wordWrap/>
        <w:overflowPunct/>
        <w:topLinePunct w:val="0"/>
        <w:bidi w:val="0"/>
        <w:snapToGrid w:val="0"/>
        <w:spacing w:line="360" w:lineRule="auto"/>
        <w:ind w:firstLine="576"/>
        <w:jc w:val="center"/>
        <w:textAlignment w:val="auto"/>
        <w:outlineLvl w:val="9"/>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w:t>
      </w:r>
    </w:p>
    <w:p>
      <w:pPr>
        <w:keepNext w:val="0"/>
        <w:keepLines w:val="0"/>
        <w:pageBreakBefore w:val="0"/>
        <w:kinsoku/>
        <w:wordWrap/>
        <w:overflowPunct/>
        <w:topLinePunct w:val="0"/>
        <w:bidi w:val="0"/>
        <w:snapToGrid w:val="0"/>
        <w:spacing w:line="360" w:lineRule="auto"/>
        <w:ind w:firstLine="576"/>
        <w:jc w:val="center"/>
        <w:textAlignment w:val="auto"/>
        <w:outlineLvl w:val="9"/>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投标人名称(电子签名)：                              </w:t>
      </w:r>
    </w:p>
    <w:p>
      <w:pPr>
        <w:keepNext w:val="0"/>
        <w:keepLines w:val="0"/>
        <w:pageBreakBefore w:val="0"/>
        <w:kinsoku/>
        <w:wordWrap/>
        <w:overflowPunct/>
        <w:topLinePunct w:val="0"/>
        <w:bidi w:val="0"/>
        <w:spacing w:line="360" w:lineRule="auto"/>
        <w:jc w:val="center"/>
        <w:textAlignment w:val="auto"/>
        <w:outlineLvl w:val="9"/>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u w:val="single"/>
          <w:lang w:val="en-US" w:eastAsia="zh-CN"/>
        </w:rPr>
        <w:t xml:space="preserve">  </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u w:val="single"/>
          <w:lang w:val="en-US" w:eastAsia="zh-CN"/>
        </w:rPr>
        <w:t xml:space="preserve"> </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日</w:t>
      </w: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textAlignment w:val="auto"/>
        <w:outlineLvl w:val="9"/>
        <w:rPr>
          <w:rFonts w:hint="eastAsia"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br w:type="page"/>
      </w:r>
    </w:p>
    <w:p>
      <w:pPr>
        <w:keepNext w:val="0"/>
        <w:keepLines w:val="0"/>
        <w:pageBreakBefore w:val="0"/>
        <w:kinsoku/>
        <w:wordWrap/>
        <w:overflowPunct/>
        <w:topLinePunct w:val="0"/>
        <w:bidi w:val="0"/>
        <w:snapToGrid w:val="0"/>
        <w:spacing w:line="360" w:lineRule="auto"/>
        <w:jc w:val="center"/>
        <w:textAlignment w:val="auto"/>
        <w:outlineLvl w:val="9"/>
        <w:rPr>
          <w:rFonts w:hint="eastAsia"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lang w:val="zh-CN"/>
        </w:rPr>
        <w:t>三、分包意向协议</w:t>
      </w:r>
      <w:r>
        <w:rPr>
          <w:rFonts w:hint="eastAsia" w:ascii="仿宋_GB2312" w:hAnsi="仿宋" w:eastAsia="仿宋_GB2312" w:cs="仿宋_GB2312"/>
          <w:b/>
          <w:color w:val="FF0000"/>
          <w:kern w:val="0"/>
          <w:sz w:val="32"/>
          <w:szCs w:val="32"/>
          <w:highlight w:val="none"/>
          <w:lang w:val="zh-CN"/>
        </w:rPr>
        <w:t>（如果有）</w:t>
      </w:r>
    </w:p>
    <w:p>
      <w:pPr>
        <w:keepNext w:val="0"/>
        <w:keepLines w:val="0"/>
        <w:pageBreakBefore w:val="0"/>
        <w:widowControl/>
        <w:kinsoku/>
        <w:wordWrap/>
        <w:overflowPunct/>
        <w:topLinePunct w:val="0"/>
        <w:bidi w:val="0"/>
        <w:spacing w:line="360" w:lineRule="auto"/>
        <w:ind w:firstLine="120" w:firstLineChars="50"/>
        <w:jc w:val="left"/>
        <w:textAlignment w:val="auto"/>
        <w:outlineLvl w:val="9"/>
        <w:rPr>
          <w:rFonts w:hint="eastAsia" w:ascii="仿宋_GB2312" w:hAnsi="仿宋" w:eastAsia="仿宋_GB2312" w:cs="仿宋_GB2312"/>
          <w:sz w:val="24"/>
          <w:highlight w:val="none"/>
          <w:lang w:eastAsia="zh-CN"/>
        </w:rPr>
      </w:pPr>
      <w:r>
        <w:rPr>
          <w:rFonts w:hint="eastAsia" w:ascii="仿宋_GB2312" w:hAnsi="仿宋" w:eastAsia="仿宋_GB2312" w:cs="仿宋_GB2312"/>
          <w:sz w:val="24"/>
          <w:highlight w:val="none"/>
          <w:lang w:eastAsia="zh-CN"/>
        </w:rPr>
        <w:t>【</w:t>
      </w:r>
      <w:r>
        <w:rPr>
          <w:rFonts w:hint="eastAsia" w:ascii="仿宋_GB2312" w:hAnsi="仿宋" w:eastAsia="仿宋_GB2312" w:cs="仿宋_GB2312"/>
          <w:b/>
          <w:sz w:val="24"/>
          <w:highlight w:val="none"/>
        </w:rPr>
        <w:t>中标后以分包方式履行合同的，提供分包意向协议(附件6)；采购人不同意分包或者投标人中标后不以分包方式履行合同的，则不需要提供。</w:t>
      </w:r>
      <w:r>
        <w:rPr>
          <w:rFonts w:hint="eastAsia" w:ascii="仿宋_GB2312" w:hAnsi="仿宋" w:eastAsia="仿宋_GB2312" w:cs="仿宋_GB2312"/>
          <w:sz w:val="24"/>
          <w:highlight w:val="none"/>
          <w:lang w:eastAsia="zh-CN"/>
        </w:rPr>
        <w:t>】</w:t>
      </w:r>
    </w:p>
    <w:p>
      <w:pPr>
        <w:keepNext w:val="0"/>
        <w:keepLines w:val="0"/>
        <w:pageBreakBefore w:val="0"/>
        <w:kinsoku/>
        <w:wordWrap/>
        <w:overflowPunct/>
        <w:topLinePunct w:val="0"/>
        <w:bidi w:val="0"/>
        <w:textAlignment w:val="auto"/>
        <w:outlineLvl w:val="9"/>
        <w:rPr>
          <w:rFonts w:hint="eastAsia"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lang w:val="zh-CN"/>
        </w:rPr>
        <w:br w:type="page"/>
      </w:r>
    </w:p>
    <w:p>
      <w:pPr>
        <w:keepNext w:val="0"/>
        <w:keepLines w:val="0"/>
        <w:pageBreakBefore w:val="0"/>
        <w:kinsoku/>
        <w:wordWrap/>
        <w:overflowPunct/>
        <w:topLinePunct w:val="0"/>
        <w:bidi w:val="0"/>
        <w:snapToGrid w:val="0"/>
        <w:spacing w:line="360" w:lineRule="auto"/>
        <w:jc w:val="center"/>
        <w:textAlignment w:val="auto"/>
        <w:outlineLvl w:val="9"/>
        <w:rPr>
          <w:rFonts w:hint="eastAsia"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lang w:val="zh-CN"/>
        </w:rPr>
        <w:t>四、符合性审查资料</w:t>
      </w: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tbl>
      <w:tblPr>
        <w:tblStyle w:val="45"/>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 w:hAnsi="仿宋" w:eastAsia="仿宋"/>
                <w:b/>
                <w:sz w:val="24"/>
                <w:highlight w:val="none"/>
              </w:rPr>
            </w:pPr>
            <w:r>
              <w:rPr>
                <w:rFonts w:hint="eastAsia" w:ascii="仿宋" w:hAnsi="仿宋" w:eastAsia="仿宋"/>
                <w:b/>
                <w:sz w:val="24"/>
                <w:highlight w:val="none"/>
              </w:rPr>
              <w:t>序号</w:t>
            </w:r>
          </w:p>
        </w:tc>
        <w:tc>
          <w:tcPr>
            <w:tcW w:w="424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 w:hAnsi="仿宋" w:eastAsia="仿宋"/>
                <w:b/>
                <w:sz w:val="24"/>
                <w:highlight w:val="none"/>
              </w:rPr>
            </w:pPr>
            <w:r>
              <w:rPr>
                <w:rFonts w:hint="eastAsia" w:ascii="仿宋" w:hAnsi="仿宋" w:eastAsia="仿宋"/>
                <w:b/>
                <w:sz w:val="24"/>
                <w:highlight w:val="none"/>
              </w:rPr>
              <w:t>实质性要求</w:t>
            </w:r>
          </w:p>
        </w:tc>
        <w:tc>
          <w:tcPr>
            <w:tcW w:w="255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 w:hAnsi="仿宋" w:eastAsia="仿宋"/>
                <w:b/>
                <w:sz w:val="24"/>
                <w:highlight w:val="none"/>
              </w:rPr>
            </w:pPr>
            <w:r>
              <w:rPr>
                <w:rFonts w:hint="eastAsia" w:ascii="仿宋" w:hAnsi="仿宋" w:eastAsia="仿宋"/>
                <w:b/>
                <w:sz w:val="24"/>
                <w:highlight w:val="none"/>
              </w:rPr>
              <w:t>需要提供的符合性审查资料</w:t>
            </w:r>
          </w:p>
        </w:tc>
        <w:tc>
          <w:tcPr>
            <w:tcW w:w="167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 w:hAnsi="仿宋" w:eastAsia="仿宋"/>
                <w:b/>
                <w:sz w:val="24"/>
                <w:highlight w:val="none"/>
              </w:rPr>
            </w:pPr>
            <w:r>
              <w:rPr>
                <w:rFonts w:hint="eastAsia" w:ascii="仿宋" w:hAnsi="仿宋" w:eastAsia="仿宋"/>
                <w:b/>
                <w:sz w:val="24"/>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Times New Roman"/>
                <w:b w:val="0"/>
                <w:bCs/>
                <w:sz w:val="24"/>
                <w:highlight w:val="none"/>
              </w:rPr>
            </w:pPr>
            <w:r>
              <w:rPr>
                <w:rFonts w:hint="eastAsia" w:ascii="仿宋" w:hAnsi="仿宋" w:eastAsia="仿宋" w:cs="Times New Roman"/>
                <w:b w:val="0"/>
                <w:bCs/>
                <w:sz w:val="24"/>
                <w:highlight w:val="none"/>
              </w:rPr>
              <w:t>1</w:t>
            </w:r>
          </w:p>
        </w:tc>
        <w:tc>
          <w:tcPr>
            <w:tcW w:w="424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ascii="仿宋_GB2312" w:hAnsi="仿宋" w:eastAsia="仿宋_GB2312" w:cs="仿宋_GB2312"/>
                <w:sz w:val="24"/>
                <w:highlight w:val="none"/>
              </w:rPr>
            </w:pPr>
            <w:r>
              <w:rPr>
                <w:rFonts w:hint="eastAsia" w:ascii="仿宋_GB2312" w:hAnsi="仿宋" w:eastAsia="仿宋_GB2312" w:cs="仿宋_GB2312"/>
                <w:sz w:val="24"/>
                <w:highlight w:val="none"/>
              </w:rPr>
              <w:t>投标文件按照招标文件要求签署、盖章。</w:t>
            </w:r>
          </w:p>
        </w:tc>
        <w:tc>
          <w:tcPr>
            <w:tcW w:w="255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ascii="仿宋" w:hAnsi="仿宋" w:eastAsia="仿宋"/>
                <w:sz w:val="24"/>
                <w:highlight w:val="none"/>
              </w:rPr>
            </w:pPr>
            <w:r>
              <w:rPr>
                <w:rFonts w:hint="eastAsia" w:ascii="仿宋" w:hAnsi="仿宋" w:eastAsia="仿宋"/>
                <w:sz w:val="24"/>
                <w:highlight w:val="none"/>
              </w:rPr>
              <w:t>需要使用电子签名或者签字盖章的投标文件的组成部分</w:t>
            </w:r>
          </w:p>
        </w:tc>
        <w:tc>
          <w:tcPr>
            <w:tcW w:w="167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ascii="仿宋" w:hAnsi="仿宋" w:eastAsia="仿宋" w:cs="仿宋_GB2312"/>
                <w:sz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ascii="仿宋" w:hAnsi="仿宋" w:eastAsia="仿宋" w:cs="仿宋_GB2312"/>
                <w:sz w:val="24"/>
                <w:highlight w:val="none"/>
              </w:rPr>
            </w:pPr>
            <w:r>
              <w:rPr>
                <w:rFonts w:hint="eastAsia" w:ascii="仿宋" w:hAnsi="仿宋" w:eastAsia="仿宋" w:cs="仿宋_GB2312"/>
                <w:sz w:val="24"/>
                <w:highlight w:val="none"/>
              </w:rPr>
              <w:t>见投标文件</w:t>
            </w: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highlight w:val="none"/>
              </w:rPr>
            </w:pPr>
            <w:r>
              <w:rPr>
                <w:rFonts w:hint="eastAsia" w:ascii="仿宋" w:eastAsia="仿宋" w:cs="仿宋_GB2312"/>
                <w:sz w:val="24"/>
                <w:highlight w:val="none"/>
              </w:rPr>
              <w:t>第</w:t>
            </w:r>
            <w:r>
              <w:rPr>
                <w:rFonts w:ascii="仿宋" w:eastAsia="仿宋" w:cs="仿宋_GB2312"/>
                <w:sz w:val="24"/>
                <w:highlight w:val="none"/>
                <w:u w:val="single"/>
              </w:rPr>
              <w:t xml:space="preserve">  </w:t>
            </w:r>
            <w:r>
              <w:rPr>
                <w:rFonts w:hint="eastAsia" w:ascii="仿宋" w:eastAsia="仿宋" w:cs="仿宋_GB2312"/>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Times New Roman"/>
                <w:b w:val="0"/>
                <w:bCs/>
                <w:sz w:val="24"/>
                <w:highlight w:val="none"/>
                <w:lang w:eastAsia="zh-CN"/>
              </w:rPr>
            </w:pPr>
            <w:r>
              <w:rPr>
                <w:rFonts w:hint="eastAsia" w:ascii="仿宋" w:hAnsi="仿宋" w:eastAsia="仿宋" w:cs="Times New Roman"/>
                <w:b w:val="0"/>
                <w:bCs/>
                <w:sz w:val="24"/>
                <w:highlight w:val="none"/>
                <w:lang w:val="en-US" w:eastAsia="zh-CN"/>
              </w:rPr>
              <w:t>2</w:t>
            </w:r>
          </w:p>
        </w:tc>
        <w:tc>
          <w:tcPr>
            <w:tcW w:w="424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ascii="仿宋_GB2312" w:hAnsi="仿宋" w:eastAsia="仿宋_GB2312" w:cs="仿宋_GB2312"/>
                <w:sz w:val="24"/>
                <w:highlight w:val="none"/>
              </w:rPr>
            </w:pPr>
            <w:r>
              <w:rPr>
                <w:rFonts w:hint="eastAsia" w:ascii="仿宋_GB2312" w:hAnsi="仿宋" w:eastAsia="仿宋_GB2312"/>
                <w:sz w:val="24"/>
                <w:highlight w:val="none"/>
              </w:rPr>
              <w:t>投标文件中承诺的投标有效期不少于招标文件中载明的投标有效期。</w:t>
            </w:r>
          </w:p>
        </w:tc>
        <w:tc>
          <w:tcPr>
            <w:tcW w:w="255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ascii="仿宋" w:hAnsi="仿宋" w:eastAsia="仿宋"/>
                <w:sz w:val="24"/>
                <w:highlight w:val="none"/>
              </w:rPr>
            </w:pPr>
            <w:r>
              <w:rPr>
                <w:rFonts w:hint="eastAsia" w:ascii="仿宋" w:hAnsi="仿宋" w:eastAsia="仿宋"/>
                <w:sz w:val="24"/>
                <w:highlight w:val="none"/>
              </w:rPr>
              <w:t>投标函</w:t>
            </w:r>
          </w:p>
        </w:tc>
        <w:tc>
          <w:tcPr>
            <w:tcW w:w="167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仿宋" w:hAnsi="仿宋" w:eastAsia="仿宋" w:cs="仿宋_GB2312"/>
                <w:sz w:val="24"/>
                <w:highlight w:val="none"/>
              </w:rPr>
            </w:pPr>
            <w:r>
              <w:rPr>
                <w:rFonts w:hint="eastAsia" w:ascii="仿宋" w:hAnsi="仿宋" w:eastAsia="仿宋" w:cs="仿宋_GB2312"/>
                <w:sz w:val="24"/>
                <w:highlight w:val="none"/>
              </w:rPr>
              <w:t>见投标文件</w:t>
            </w: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highlight w:val="none"/>
              </w:rPr>
            </w:pPr>
            <w:r>
              <w:rPr>
                <w:rFonts w:hint="eastAsia" w:ascii="仿宋" w:hAnsi="仿宋" w:eastAsia="仿宋" w:cs="仿宋_GB2312"/>
                <w:sz w:val="24"/>
                <w:highlight w:val="none"/>
              </w:rPr>
              <w:t>第</w:t>
            </w:r>
            <w:r>
              <w:rPr>
                <w:rFonts w:ascii="仿宋" w:hAnsi="仿宋" w:eastAsia="仿宋" w:cs="仿宋_GB2312"/>
                <w:sz w:val="24"/>
                <w:highlight w:val="none"/>
                <w:u w:val="single"/>
              </w:rPr>
              <w:t xml:space="preserve">  </w:t>
            </w:r>
            <w:r>
              <w:rPr>
                <w:rFonts w:hint="eastAsia" w:ascii="仿宋" w:hAnsi="仿宋" w:eastAsia="仿宋" w:cs="仿宋_GB2312"/>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Times New Roman"/>
                <w:b w:val="0"/>
                <w:bCs/>
                <w:sz w:val="24"/>
                <w:highlight w:val="none"/>
                <w:lang w:eastAsia="zh-CN"/>
              </w:rPr>
            </w:pPr>
            <w:r>
              <w:rPr>
                <w:rFonts w:hint="eastAsia" w:ascii="仿宋" w:hAnsi="仿宋" w:eastAsia="仿宋" w:cs="Times New Roman"/>
                <w:b w:val="0"/>
                <w:bCs/>
                <w:sz w:val="24"/>
                <w:highlight w:val="none"/>
                <w:lang w:val="en-US" w:eastAsia="zh-CN"/>
              </w:rPr>
              <w:t>3</w:t>
            </w:r>
          </w:p>
        </w:tc>
        <w:tc>
          <w:tcPr>
            <w:tcW w:w="424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ascii="仿宋_GB2312" w:hAnsi="仿宋" w:eastAsia="仿宋_GB2312"/>
                <w:sz w:val="24"/>
                <w:highlight w:val="none"/>
              </w:rPr>
            </w:pPr>
            <w:r>
              <w:rPr>
                <w:rFonts w:hint="eastAsia" w:ascii="仿宋_GB2312" w:hAnsi="仿宋" w:eastAsia="仿宋_GB2312"/>
                <w:sz w:val="24"/>
                <w:highlight w:val="none"/>
              </w:rPr>
              <w:t>投标文件满足招标文件的其它实质性要求。</w:t>
            </w:r>
          </w:p>
        </w:tc>
        <w:tc>
          <w:tcPr>
            <w:tcW w:w="255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ascii="仿宋" w:hAnsi="仿宋" w:eastAsia="仿宋"/>
                <w:sz w:val="24"/>
                <w:highlight w:val="none"/>
              </w:rPr>
            </w:pPr>
            <w:r>
              <w:rPr>
                <w:rFonts w:hint="eastAsia" w:ascii="仿宋_GB2312" w:hAnsi="仿宋" w:eastAsia="仿宋_GB2312" w:cs="仿宋_GB2312"/>
                <w:kern w:val="0"/>
                <w:sz w:val="24"/>
                <w:highlight w:val="none"/>
              </w:rPr>
              <w:t>招标文件其它实质性要求相应的材料（“▲”</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rPr>
              <w:t>系指实质性要求条款，招标文件无其它实质性要求的，无需提供）</w:t>
            </w:r>
          </w:p>
        </w:tc>
        <w:tc>
          <w:tcPr>
            <w:tcW w:w="167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仿宋" w:hAnsi="仿宋" w:eastAsia="仿宋" w:cs="仿宋_GB2312"/>
                <w:sz w:val="24"/>
                <w:highlight w:val="none"/>
              </w:rPr>
            </w:pPr>
            <w:r>
              <w:rPr>
                <w:rFonts w:hint="eastAsia" w:ascii="仿宋" w:hAnsi="仿宋" w:eastAsia="仿宋" w:cs="仿宋_GB2312"/>
                <w:sz w:val="24"/>
                <w:highlight w:val="none"/>
              </w:rPr>
              <w:t>见投标文件</w:t>
            </w: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highlight w:val="none"/>
              </w:rPr>
            </w:pPr>
            <w:r>
              <w:rPr>
                <w:rFonts w:hint="eastAsia" w:ascii="仿宋" w:hAnsi="仿宋" w:eastAsia="仿宋" w:cs="仿宋_GB2312"/>
                <w:sz w:val="24"/>
                <w:highlight w:val="none"/>
              </w:rPr>
              <w:t>第</w:t>
            </w:r>
            <w:r>
              <w:rPr>
                <w:rFonts w:ascii="仿宋" w:hAnsi="仿宋" w:eastAsia="仿宋" w:cs="仿宋_GB2312"/>
                <w:sz w:val="24"/>
                <w:highlight w:val="none"/>
                <w:u w:val="single"/>
              </w:rPr>
              <w:t xml:space="preserve">  </w:t>
            </w:r>
            <w:r>
              <w:rPr>
                <w:rFonts w:hint="eastAsia" w:ascii="仿宋" w:hAnsi="仿宋" w:eastAsia="仿宋" w:cs="仿宋_GB2312"/>
                <w:sz w:val="24"/>
                <w:highlight w:val="none"/>
              </w:rPr>
              <w:t>页</w:t>
            </w:r>
          </w:p>
        </w:tc>
      </w:tr>
    </w:tbl>
    <w:p>
      <w:pPr>
        <w:keepNext w:val="0"/>
        <w:keepLines w:val="0"/>
        <w:pageBreakBefore w:val="0"/>
        <w:kinsoku/>
        <w:wordWrap/>
        <w:overflowPunct/>
        <w:topLinePunct w:val="0"/>
        <w:bidi w:val="0"/>
        <w:spacing w:line="360" w:lineRule="auto"/>
        <w:ind w:right="420"/>
        <w:textAlignment w:val="auto"/>
        <w:outlineLvl w:val="9"/>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r>
        <w:rPr>
          <w:rFonts w:ascii="仿宋_GB2312" w:hAnsi="仿宋" w:eastAsia="仿宋_GB2312" w:cs="仿宋_GB2312"/>
          <w:b/>
          <w:kern w:val="0"/>
          <w:sz w:val="32"/>
          <w:szCs w:val="32"/>
          <w:highlight w:val="none"/>
        </w:rPr>
        <w:t xml:space="preserve">            </w:t>
      </w: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textAlignment w:val="auto"/>
        <w:outlineLvl w:val="9"/>
        <w:rPr>
          <w:rFonts w:hint="eastAsia"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br w:type="page"/>
      </w:r>
    </w:p>
    <w:p>
      <w:pPr>
        <w:keepNext w:val="0"/>
        <w:keepLines w:val="0"/>
        <w:pageBreakBefore w:val="0"/>
        <w:kinsoku/>
        <w:wordWrap/>
        <w:overflowPunct/>
        <w:topLinePunct w:val="0"/>
        <w:bidi w:val="0"/>
        <w:snapToGrid w:val="0"/>
        <w:spacing w:line="360" w:lineRule="auto"/>
        <w:jc w:val="center"/>
        <w:textAlignment w:val="auto"/>
        <w:outlineLvl w:val="9"/>
        <w:rPr>
          <w:rFonts w:hint="eastAsia"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lang w:val="zh-CN"/>
        </w:rPr>
        <w:t>五、评标标准相应的商务技术资料</w:t>
      </w:r>
    </w:p>
    <w:p>
      <w:pPr>
        <w:keepNext w:val="0"/>
        <w:keepLines w:val="0"/>
        <w:pageBreakBefore w:val="0"/>
        <w:kinsoku/>
        <w:wordWrap/>
        <w:overflowPunct/>
        <w:topLinePunct w:val="0"/>
        <w:bidi w:val="0"/>
        <w:snapToGrid w:val="0"/>
        <w:spacing w:line="360" w:lineRule="auto"/>
        <w:jc w:val="left"/>
        <w:textAlignment w:val="auto"/>
        <w:outlineLvl w:val="9"/>
        <w:rPr>
          <w:rFonts w:hint="eastAsia" w:ascii="仿宋_GB2312" w:hAnsi="仿宋" w:eastAsia="仿宋_GB2312" w:cs="仿宋_GB2312"/>
          <w:b/>
          <w:sz w:val="24"/>
          <w:highlight w:val="none"/>
        </w:rPr>
      </w:pPr>
    </w:p>
    <w:p>
      <w:pPr>
        <w:keepNext w:val="0"/>
        <w:keepLines w:val="0"/>
        <w:pageBreakBefore w:val="0"/>
        <w:kinsoku/>
        <w:wordWrap/>
        <w:overflowPunct/>
        <w:topLinePunct w:val="0"/>
        <w:bidi w:val="0"/>
        <w:snapToGrid w:val="0"/>
        <w:spacing w:line="360" w:lineRule="auto"/>
        <w:jc w:val="left"/>
        <w:textAlignment w:val="auto"/>
        <w:outlineLvl w:val="9"/>
        <w:rPr>
          <w:rFonts w:ascii="仿宋_GB2312" w:hAnsi="仿宋" w:eastAsia="仿宋_GB2312" w:cs="仿宋_GB2312"/>
          <w:b/>
          <w:sz w:val="24"/>
          <w:highlight w:val="none"/>
        </w:rPr>
      </w:pPr>
      <w:r>
        <w:rPr>
          <w:rFonts w:hint="eastAsia" w:ascii="仿宋_GB2312" w:hAnsi="仿宋" w:eastAsia="仿宋_GB2312" w:cs="仿宋_GB2312"/>
          <w:b/>
          <w:sz w:val="24"/>
          <w:highlight w:val="none"/>
        </w:rPr>
        <w:t>（按招标文件第四部分评标办法前附表中“投标文件中评标标准相应的商务技术资料目录”提供资料）</w:t>
      </w: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textAlignment w:val="auto"/>
        <w:outlineLvl w:val="9"/>
        <w:rPr>
          <w:rFonts w:hint="eastAsia"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br w:type="page"/>
      </w:r>
    </w:p>
    <w:p>
      <w:pPr>
        <w:keepNext w:val="0"/>
        <w:keepLines w:val="0"/>
        <w:pageBreakBefore w:val="0"/>
        <w:kinsoku/>
        <w:wordWrap/>
        <w:overflowPunct/>
        <w:topLinePunct w:val="0"/>
        <w:bidi w:val="0"/>
        <w:snapToGrid w:val="0"/>
        <w:spacing w:line="360" w:lineRule="auto"/>
        <w:jc w:val="center"/>
        <w:textAlignment w:val="auto"/>
        <w:outlineLvl w:val="9"/>
        <w:rPr>
          <w:rFonts w:hint="eastAsia"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lang w:val="zh-CN"/>
        </w:rPr>
        <w:t>六、投标标的清单</w:t>
      </w:r>
    </w:p>
    <w:tbl>
      <w:tblPr>
        <w:tblStyle w:val="4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图书</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z w:val="24"/>
                <w:highlight w:val="none"/>
              </w:rPr>
            </w:pPr>
          </w:p>
        </w:tc>
      </w:tr>
    </w:tbl>
    <w:p>
      <w:pPr>
        <w:keepNext w:val="0"/>
        <w:keepLines w:val="0"/>
        <w:pageBreakBefore w:val="0"/>
        <w:kinsoku/>
        <w:wordWrap/>
        <w:overflowPunct/>
        <w:topLinePunct w:val="0"/>
        <w:bidi w:val="0"/>
        <w:spacing w:line="360" w:lineRule="auto"/>
        <w:ind w:right="420"/>
        <w:textAlignment w:val="auto"/>
        <w:outlineLvl w:val="9"/>
        <w:rPr>
          <w:rFonts w:hint="eastAsia" w:ascii="仿宋" w:hAnsi="仿宋" w:eastAsia="仿宋" w:cs="仿宋"/>
          <w:sz w:val="24"/>
          <w:highlight w:val="none"/>
        </w:rPr>
      </w:pPr>
    </w:p>
    <w:p>
      <w:pPr>
        <w:keepNext w:val="0"/>
        <w:keepLines w:val="0"/>
        <w:pageBreakBefore w:val="0"/>
        <w:kinsoku/>
        <w:wordWrap/>
        <w:overflowPunct/>
        <w:topLinePunct w:val="0"/>
        <w:bidi w:val="0"/>
        <w:spacing w:line="360" w:lineRule="auto"/>
        <w:ind w:right="420"/>
        <w:textAlignment w:val="auto"/>
        <w:outlineLvl w:val="9"/>
        <w:rPr>
          <w:rFonts w:hint="default" w:ascii="仿宋_GB2312" w:hAnsi="仿宋" w:eastAsia="仿宋_GB2312"/>
          <w:sz w:val="24"/>
          <w:highlight w:val="none"/>
          <w:lang w:val="en-US"/>
        </w:rPr>
      </w:pPr>
      <w:r>
        <w:rPr>
          <w:rFonts w:hint="eastAsia" w:ascii="仿宋" w:hAnsi="仿宋" w:eastAsia="仿宋" w:cs="仿宋"/>
          <w:sz w:val="24"/>
          <w:highlight w:val="none"/>
        </w:rPr>
        <w:t>注：</w:t>
      </w:r>
      <w:r>
        <w:rPr>
          <w:rFonts w:hint="eastAsia" w:ascii="仿宋_GB2312" w:hAnsi="仿宋" w:eastAsia="仿宋_GB2312"/>
          <w:sz w:val="24"/>
          <w:highlight w:val="none"/>
          <w:lang w:val="en-US" w:eastAsia="zh-CN"/>
        </w:rPr>
        <w:t>本项目标的为图书，只有所有图书制造商为中小企业的，</w:t>
      </w:r>
      <w:r>
        <w:rPr>
          <w:rFonts w:hint="eastAsia" w:ascii="仿宋_GB2312" w:hAnsi="仿宋" w:eastAsia="仿宋_GB2312"/>
          <w:sz w:val="24"/>
          <w:highlight w:val="none"/>
        </w:rPr>
        <w:t>享受中小企业扶持政策</w:t>
      </w:r>
    </w:p>
    <w:p>
      <w:pPr>
        <w:keepNext w:val="0"/>
        <w:keepLines w:val="0"/>
        <w:pageBreakBefore w:val="0"/>
        <w:kinsoku/>
        <w:wordWrap/>
        <w:overflowPunct/>
        <w:topLinePunct w:val="0"/>
        <w:bidi w:val="0"/>
        <w:textAlignment w:val="auto"/>
        <w:outlineLvl w:val="9"/>
        <w:rPr>
          <w:rFonts w:hint="eastAsia"/>
          <w:highlight w:val="none"/>
          <w:lang w:val="zh-CN"/>
        </w:rPr>
      </w:pPr>
    </w:p>
    <w:p>
      <w:pPr>
        <w:keepNext w:val="0"/>
        <w:keepLines w:val="0"/>
        <w:pageBreakBefore w:val="0"/>
        <w:kinsoku/>
        <w:wordWrap/>
        <w:overflowPunct/>
        <w:topLinePunct w:val="0"/>
        <w:bidi w:val="0"/>
        <w:textAlignment w:val="auto"/>
        <w:outlineLvl w:val="9"/>
        <w:rPr>
          <w:rFonts w:hint="eastAsia"/>
          <w:highlight w:val="none"/>
          <w:lang w:val="zh-CN"/>
        </w:rPr>
      </w:pPr>
    </w:p>
    <w:p>
      <w:pPr>
        <w:keepNext w:val="0"/>
        <w:keepLines w:val="0"/>
        <w:pageBreakBefore w:val="0"/>
        <w:kinsoku/>
        <w:wordWrap/>
        <w:overflowPunct/>
        <w:topLinePunct w:val="0"/>
        <w:bidi w:val="0"/>
        <w:textAlignment w:val="auto"/>
        <w:outlineLvl w:val="9"/>
        <w:rPr>
          <w:rFonts w:hint="eastAsia"/>
          <w:highlight w:val="none"/>
          <w:lang w:val="zh-CN"/>
        </w:rPr>
      </w:pPr>
    </w:p>
    <w:p>
      <w:pPr>
        <w:keepNext w:val="0"/>
        <w:keepLines w:val="0"/>
        <w:pageBreakBefore w:val="0"/>
        <w:kinsoku/>
        <w:wordWrap/>
        <w:overflowPunct/>
        <w:topLinePunct w:val="0"/>
        <w:bidi w:val="0"/>
        <w:textAlignment w:val="auto"/>
        <w:outlineLvl w:val="9"/>
        <w:rPr>
          <w:rFonts w:hint="eastAsia"/>
          <w:highlight w:val="none"/>
          <w:lang w:val="zh-CN"/>
        </w:rPr>
      </w:pPr>
    </w:p>
    <w:p>
      <w:pPr>
        <w:keepNext w:val="0"/>
        <w:keepLines w:val="0"/>
        <w:pageBreakBefore w:val="0"/>
        <w:kinsoku/>
        <w:wordWrap/>
        <w:overflowPunct/>
        <w:topLinePunct w:val="0"/>
        <w:bidi w:val="0"/>
        <w:textAlignment w:val="auto"/>
        <w:outlineLvl w:val="9"/>
        <w:rPr>
          <w:rFonts w:hint="eastAsia"/>
          <w:highlight w:val="none"/>
          <w:lang w:val="zh-CN"/>
        </w:rPr>
      </w:pPr>
    </w:p>
    <w:p>
      <w:pPr>
        <w:keepNext w:val="0"/>
        <w:keepLines w:val="0"/>
        <w:pageBreakBefore w:val="0"/>
        <w:kinsoku/>
        <w:wordWrap/>
        <w:overflowPunct/>
        <w:topLinePunct w:val="0"/>
        <w:bidi w:val="0"/>
        <w:textAlignment w:val="auto"/>
        <w:outlineLvl w:val="9"/>
        <w:rPr>
          <w:rFonts w:hint="eastAsia"/>
          <w:highlight w:val="none"/>
          <w:lang w:val="zh-CN"/>
        </w:rPr>
      </w:pPr>
    </w:p>
    <w:p>
      <w:pPr>
        <w:keepNext w:val="0"/>
        <w:keepLines w:val="0"/>
        <w:pageBreakBefore w:val="0"/>
        <w:kinsoku/>
        <w:wordWrap/>
        <w:overflowPunct/>
        <w:topLinePunct w:val="0"/>
        <w:bidi w:val="0"/>
        <w:textAlignment w:val="auto"/>
        <w:outlineLvl w:val="9"/>
        <w:rPr>
          <w:rFonts w:hint="eastAsia"/>
          <w:highlight w:val="none"/>
          <w:lang w:val="zh-CN"/>
        </w:rPr>
      </w:pPr>
    </w:p>
    <w:p>
      <w:pPr>
        <w:keepNext w:val="0"/>
        <w:keepLines w:val="0"/>
        <w:pageBreakBefore w:val="0"/>
        <w:kinsoku/>
        <w:wordWrap/>
        <w:overflowPunct/>
        <w:topLinePunct w:val="0"/>
        <w:bidi w:val="0"/>
        <w:textAlignment w:val="auto"/>
        <w:outlineLvl w:val="9"/>
        <w:rPr>
          <w:rFonts w:hint="eastAsia"/>
          <w:highlight w:val="none"/>
          <w:lang w:val="zh-CN"/>
        </w:rPr>
      </w:pPr>
    </w:p>
    <w:p>
      <w:pPr>
        <w:keepNext w:val="0"/>
        <w:keepLines w:val="0"/>
        <w:pageBreakBefore w:val="0"/>
        <w:kinsoku/>
        <w:wordWrap/>
        <w:overflowPunct/>
        <w:topLinePunct w:val="0"/>
        <w:bidi w:val="0"/>
        <w:textAlignment w:val="auto"/>
        <w:outlineLvl w:val="9"/>
        <w:rPr>
          <w:rFonts w:hint="eastAsia"/>
          <w:highlight w:val="none"/>
          <w:lang w:val="zh-CN"/>
        </w:rPr>
      </w:pPr>
    </w:p>
    <w:p>
      <w:pPr>
        <w:keepNext w:val="0"/>
        <w:keepLines w:val="0"/>
        <w:pageBreakBefore w:val="0"/>
        <w:kinsoku/>
        <w:wordWrap/>
        <w:overflowPunct/>
        <w:topLinePunct w:val="0"/>
        <w:bidi w:val="0"/>
        <w:textAlignment w:val="auto"/>
        <w:outlineLvl w:val="9"/>
        <w:rPr>
          <w:rFonts w:hint="eastAsia"/>
          <w:highlight w:val="none"/>
          <w:lang w:val="zh-CN"/>
        </w:rPr>
      </w:pPr>
    </w:p>
    <w:p>
      <w:pPr>
        <w:keepNext w:val="0"/>
        <w:keepLines w:val="0"/>
        <w:pageBreakBefore w:val="0"/>
        <w:kinsoku/>
        <w:wordWrap/>
        <w:overflowPunct/>
        <w:topLinePunct w:val="0"/>
        <w:bidi w:val="0"/>
        <w:snapToGrid w:val="0"/>
        <w:spacing w:line="360" w:lineRule="auto"/>
        <w:jc w:val="center"/>
        <w:textAlignment w:val="auto"/>
        <w:outlineLvl w:val="9"/>
        <w:rPr>
          <w:rFonts w:hint="eastAsia"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lang w:val="zh-CN"/>
        </w:rPr>
        <w:t>七、商务技术偏离表</w:t>
      </w:r>
    </w:p>
    <w:p>
      <w:pPr>
        <w:keepNext w:val="0"/>
        <w:keepLines w:val="0"/>
        <w:pageBreakBefore w:val="0"/>
        <w:kinsoku/>
        <w:wordWrap/>
        <w:overflowPunct/>
        <w:topLinePunct w:val="0"/>
        <w:bidi w:val="0"/>
        <w:jc w:val="center"/>
        <w:textAlignment w:val="auto"/>
        <w:outlineLvl w:val="9"/>
        <w:rPr>
          <w:rFonts w:hint="eastAsia" w:ascii="仿宋_GB2312" w:hAnsi="仿宋" w:eastAsia="仿宋_GB2312"/>
          <w:b/>
          <w:bCs/>
          <w:sz w:val="24"/>
          <w:highlight w:val="none"/>
        </w:rPr>
      </w:pPr>
    </w:p>
    <w:tbl>
      <w:tblPr>
        <w:tblStyle w:val="4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5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b/>
                <w:bCs/>
                <w:sz w:val="24"/>
                <w:highlight w:val="none"/>
              </w:rPr>
            </w:pPr>
            <w:r>
              <w:rPr>
                <w:rFonts w:hint="eastAsia" w:ascii="仿宋_GB2312" w:hAnsi="仿宋" w:eastAsia="仿宋_GB2312"/>
                <w:b/>
                <w:bCs/>
                <w:sz w:val="24"/>
                <w:highlight w:val="none"/>
              </w:rPr>
              <w:t>序号</w:t>
            </w:r>
          </w:p>
        </w:tc>
        <w:tc>
          <w:tcPr>
            <w:tcW w:w="368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b/>
                <w:bCs/>
                <w:sz w:val="24"/>
                <w:highlight w:val="none"/>
              </w:rPr>
            </w:pPr>
            <w:r>
              <w:rPr>
                <w:rFonts w:hint="eastAsia" w:ascii="仿宋_GB2312" w:hAnsi="仿宋" w:eastAsia="仿宋_GB2312"/>
                <w:b/>
                <w:bCs/>
                <w:sz w:val="24"/>
                <w:highlight w:val="none"/>
              </w:rPr>
              <w:t>招标文件章节及具体内容</w:t>
            </w:r>
          </w:p>
        </w:tc>
        <w:tc>
          <w:tcPr>
            <w:tcW w:w="35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b/>
                <w:bCs/>
                <w:sz w:val="24"/>
                <w:highlight w:val="none"/>
              </w:rPr>
            </w:pPr>
            <w:r>
              <w:rPr>
                <w:rFonts w:hint="eastAsia" w:ascii="仿宋_GB2312" w:hAnsi="仿宋" w:eastAsia="仿宋_GB2312"/>
                <w:b/>
                <w:bCs/>
                <w:sz w:val="24"/>
                <w:highlight w:val="none"/>
              </w:rPr>
              <w:t>投标文件章节及具体内容</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b/>
                <w:bCs/>
                <w:sz w:val="24"/>
                <w:highlight w:val="none"/>
              </w:rPr>
            </w:pPr>
            <w:r>
              <w:rPr>
                <w:rFonts w:hint="eastAsia" w:ascii="仿宋_GB2312" w:hAnsi="仿宋" w:eastAsia="仿宋_GB2312"/>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5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kern w:val="0"/>
                <w:sz w:val="24"/>
                <w:highlight w:val="none"/>
              </w:rPr>
            </w:pPr>
            <w:r>
              <w:rPr>
                <w:rFonts w:ascii="仿宋_GB2312" w:hAnsi="仿宋" w:eastAsia="仿宋_GB2312" w:cs="仿宋_GB2312"/>
                <w:kern w:val="0"/>
                <w:sz w:val="24"/>
                <w:highlight w:val="none"/>
              </w:rPr>
              <w:t>1</w:t>
            </w:r>
          </w:p>
        </w:tc>
        <w:tc>
          <w:tcPr>
            <w:tcW w:w="368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b/>
                <w:kern w:val="0"/>
                <w:sz w:val="32"/>
                <w:szCs w:val="32"/>
                <w:highlight w:val="none"/>
              </w:rPr>
            </w:pPr>
          </w:p>
        </w:tc>
        <w:tc>
          <w:tcPr>
            <w:tcW w:w="35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b/>
                <w:kern w:val="0"/>
                <w:sz w:val="32"/>
                <w:szCs w:val="32"/>
                <w:highlight w:val="none"/>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5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kern w:val="0"/>
                <w:sz w:val="24"/>
                <w:highlight w:val="none"/>
              </w:rPr>
            </w:pPr>
            <w:r>
              <w:rPr>
                <w:rFonts w:ascii="仿宋_GB2312" w:hAnsi="仿宋" w:eastAsia="仿宋_GB2312" w:cs="仿宋_GB2312"/>
                <w:kern w:val="0"/>
                <w:sz w:val="24"/>
                <w:highlight w:val="none"/>
              </w:rPr>
              <w:t>2</w:t>
            </w:r>
          </w:p>
        </w:tc>
        <w:tc>
          <w:tcPr>
            <w:tcW w:w="368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b/>
                <w:kern w:val="0"/>
                <w:sz w:val="32"/>
                <w:szCs w:val="32"/>
                <w:highlight w:val="none"/>
              </w:rPr>
            </w:pPr>
          </w:p>
        </w:tc>
        <w:tc>
          <w:tcPr>
            <w:tcW w:w="35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b/>
                <w:kern w:val="0"/>
                <w:sz w:val="32"/>
                <w:szCs w:val="32"/>
                <w:highlight w:val="none"/>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w:t>
            </w:r>
          </w:p>
        </w:tc>
        <w:tc>
          <w:tcPr>
            <w:tcW w:w="368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b/>
                <w:kern w:val="0"/>
                <w:sz w:val="32"/>
                <w:szCs w:val="32"/>
                <w:highlight w:val="none"/>
              </w:rPr>
            </w:pPr>
          </w:p>
        </w:tc>
        <w:tc>
          <w:tcPr>
            <w:tcW w:w="35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b/>
                <w:kern w:val="0"/>
                <w:sz w:val="32"/>
                <w:szCs w:val="32"/>
                <w:highlight w:val="none"/>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b/>
                <w:kern w:val="0"/>
                <w:sz w:val="32"/>
                <w:szCs w:val="32"/>
                <w:highlight w:val="none"/>
              </w:rPr>
            </w:pPr>
          </w:p>
        </w:tc>
      </w:tr>
    </w:tbl>
    <w:p>
      <w:pPr>
        <w:keepNext w:val="0"/>
        <w:keepLines w:val="0"/>
        <w:pageBreakBefore w:val="0"/>
        <w:kinsoku/>
        <w:wordWrap/>
        <w:overflowPunct/>
        <w:topLinePunct w:val="0"/>
        <w:bidi w:val="0"/>
        <w:jc w:val="left"/>
        <w:textAlignment w:val="auto"/>
        <w:outlineLvl w:val="9"/>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投标人保证：除商务技术偏离表列出的偏离外，投标人响应招标文件的全部要求</w:t>
      </w:r>
    </w:p>
    <w:p>
      <w:pPr>
        <w:keepNext w:val="0"/>
        <w:keepLines w:val="0"/>
        <w:pageBreakBefore w:val="0"/>
        <w:kinsoku/>
        <w:wordWrap/>
        <w:overflowPunct/>
        <w:topLinePunct w:val="0"/>
        <w:bidi w:val="0"/>
        <w:spacing w:line="360" w:lineRule="auto"/>
        <w:ind w:right="420"/>
        <w:textAlignment w:val="auto"/>
        <w:outlineLvl w:val="9"/>
        <w:rPr>
          <w:rFonts w:hint="eastAsia" w:ascii="仿宋" w:hAnsi="仿宋" w:eastAsia="仿宋" w:cs="仿宋"/>
          <w:sz w:val="24"/>
          <w:highlight w:val="none"/>
        </w:rPr>
      </w:pPr>
    </w:p>
    <w:p>
      <w:pPr>
        <w:keepNext w:val="0"/>
        <w:keepLines w:val="0"/>
        <w:pageBreakBefore w:val="0"/>
        <w:kinsoku/>
        <w:wordWrap/>
        <w:overflowPunct/>
        <w:topLinePunct w:val="0"/>
        <w:bidi w:val="0"/>
        <w:spacing w:line="360" w:lineRule="auto"/>
        <w:ind w:right="420"/>
        <w:textAlignment w:val="auto"/>
        <w:outlineLvl w:val="9"/>
        <w:rPr>
          <w:rFonts w:hint="eastAsia" w:ascii="仿宋" w:hAnsi="仿宋" w:eastAsia="仿宋" w:cs="仿宋"/>
          <w:sz w:val="24"/>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textAlignment w:val="auto"/>
        <w:outlineLvl w:val="9"/>
        <w:rPr>
          <w:rFonts w:hint="eastAsia"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br w:type="page"/>
      </w:r>
    </w:p>
    <w:p>
      <w:pPr>
        <w:keepNext w:val="0"/>
        <w:keepLines w:val="0"/>
        <w:pageBreakBefore w:val="0"/>
        <w:kinsoku/>
        <w:wordWrap/>
        <w:overflowPunct/>
        <w:topLinePunct w:val="0"/>
        <w:bidi w:val="0"/>
        <w:snapToGrid w:val="0"/>
        <w:spacing w:line="360" w:lineRule="auto"/>
        <w:jc w:val="center"/>
        <w:textAlignment w:val="auto"/>
        <w:outlineLvl w:val="9"/>
        <w:rPr>
          <w:rFonts w:hint="eastAsia"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lang w:val="zh-CN"/>
        </w:rPr>
        <w:t>八、政府采购供应商廉洁自律承诺书</w:t>
      </w:r>
    </w:p>
    <w:p>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sz w:val="24"/>
          <w:highlight w:val="none"/>
        </w:rPr>
      </w:pPr>
    </w:p>
    <w:p>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kern w:val="0"/>
          <w:sz w:val="24"/>
          <w:highlight w:val="none"/>
        </w:rPr>
      </w:pPr>
      <w:r>
        <w:rPr>
          <w:rFonts w:hint="eastAsia" w:ascii="仿宋_GB2312" w:hAnsi="仿宋" w:eastAsia="仿宋_GB2312" w:cs="仿宋_GB2312"/>
          <w:sz w:val="24"/>
          <w:highlight w:val="none"/>
          <w:u w:val="single"/>
        </w:rPr>
        <w:t>（采购人）、（采购代理机构）</w:t>
      </w:r>
      <w:r>
        <w:rPr>
          <w:rFonts w:hint="eastAsia" w:ascii="仿宋_GB2312" w:hAnsi="仿宋" w:eastAsia="仿宋_GB2312" w:cs="仿宋_GB2312"/>
          <w:kern w:val="0"/>
          <w:sz w:val="24"/>
          <w:highlight w:val="none"/>
          <w:lang w:val="zh-CN"/>
        </w:rPr>
        <w:t>：</w:t>
      </w:r>
    </w:p>
    <w:p>
      <w:pPr>
        <w:keepNext w:val="0"/>
        <w:keepLines w:val="0"/>
        <w:pageBreakBefore w:val="0"/>
        <w:kinsoku/>
        <w:wordWrap/>
        <w:overflowPunct/>
        <w:topLinePunct w:val="0"/>
        <w:autoSpaceDE w:val="0"/>
        <w:autoSpaceDN w:val="0"/>
        <w:bidi w:val="0"/>
        <w:spacing w:line="360" w:lineRule="auto"/>
        <w:ind w:left="2" w:leftChars="1" w:firstLine="480" w:firstLineChars="200"/>
        <w:jc w:val="left"/>
        <w:textAlignment w:val="auto"/>
        <w:outlineLvl w:val="9"/>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我单位响应你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项目招标要求参加投标。在这次投标过程中和中标后，我们将严格遵守国家法律法规要求，并郑重承诺：</w:t>
      </w:r>
    </w:p>
    <w:p>
      <w:pPr>
        <w:keepNext w:val="0"/>
        <w:keepLines w:val="0"/>
        <w:pageBreakBefore w:val="0"/>
        <w:kinsoku/>
        <w:wordWrap/>
        <w:overflowPunct/>
        <w:topLinePunct w:val="0"/>
        <w:autoSpaceDE w:val="0"/>
        <w:autoSpaceDN w:val="0"/>
        <w:bidi w:val="0"/>
        <w:spacing w:line="360" w:lineRule="auto"/>
        <w:ind w:left="2" w:leftChars="1" w:firstLine="480" w:firstLineChars="200"/>
        <w:jc w:val="left"/>
        <w:textAlignment w:val="auto"/>
        <w:outlineLvl w:val="9"/>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kern w:val="0"/>
          <w:sz w:val="24"/>
          <w:highlight w:val="none"/>
          <w:lang w:val="zh-CN"/>
        </w:rPr>
        <w:t xml:space="preserve"> </w:t>
      </w:r>
    </w:p>
    <w:p>
      <w:pPr>
        <w:keepNext w:val="0"/>
        <w:keepLines w:val="0"/>
        <w:pageBreakBefore w:val="0"/>
        <w:kinsoku/>
        <w:wordWrap/>
        <w:overflowPunct/>
        <w:topLinePunct w:val="0"/>
        <w:autoSpaceDE w:val="0"/>
        <w:autoSpaceDN w:val="0"/>
        <w:bidi w:val="0"/>
        <w:spacing w:line="360" w:lineRule="auto"/>
        <w:ind w:left="2" w:leftChars="1" w:firstLine="480" w:firstLineChars="200"/>
        <w:jc w:val="left"/>
        <w:textAlignment w:val="auto"/>
        <w:outlineLvl w:val="9"/>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二、不为项目有关人员及部门报销应由你方单位或个人支付的费用；</w:t>
      </w:r>
      <w:r>
        <w:rPr>
          <w:rFonts w:ascii="仿宋_GB2312" w:hAnsi="仿宋_GB2312" w:eastAsia="仿宋_GB2312" w:cs="仿宋_GB2312"/>
          <w:kern w:val="0"/>
          <w:sz w:val="24"/>
          <w:highlight w:val="none"/>
          <w:lang w:val="zh-CN"/>
        </w:rPr>
        <w:t xml:space="preserve"> </w:t>
      </w:r>
    </w:p>
    <w:p>
      <w:pPr>
        <w:keepNext w:val="0"/>
        <w:keepLines w:val="0"/>
        <w:pageBreakBefore w:val="0"/>
        <w:kinsoku/>
        <w:wordWrap/>
        <w:overflowPunct/>
        <w:topLinePunct w:val="0"/>
        <w:autoSpaceDE w:val="0"/>
        <w:autoSpaceDN w:val="0"/>
        <w:bidi w:val="0"/>
        <w:spacing w:line="360" w:lineRule="auto"/>
        <w:ind w:left="2" w:leftChars="1" w:firstLine="480" w:firstLineChars="200"/>
        <w:jc w:val="left"/>
        <w:textAlignment w:val="auto"/>
        <w:outlineLvl w:val="9"/>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三、不向项目有关人员及部门提供有可能影响公正的宴请和健身娱乐等活动；</w:t>
      </w:r>
      <w:r>
        <w:rPr>
          <w:rFonts w:ascii="仿宋_GB2312" w:hAnsi="仿宋_GB2312" w:eastAsia="仿宋_GB2312" w:cs="仿宋_GB2312"/>
          <w:kern w:val="0"/>
          <w:sz w:val="24"/>
          <w:highlight w:val="none"/>
          <w:lang w:val="zh-CN"/>
        </w:rPr>
        <w:t xml:space="preserve"> </w:t>
      </w:r>
    </w:p>
    <w:p>
      <w:pPr>
        <w:keepNext w:val="0"/>
        <w:keepLines w:val="0"/>
        <w:pageBreakBefore w:val="0"/>
        <w:kinsoku/>
        <w:wordWrap/>
        <w:overflowPunct/>
        <w:topLinePunct w:val="0"/>
        <w:autoSpaceDE w:val="0"/>
        <w:autoSpaceDN w:val="0"/>
        <w:bidi w:val="0"/>
        <w:spacing w:line="360" w:lineRule="auto"/>
        <w:ind w:left="2" w:leftChars="1" w:firstLine="480" w:firstLineChars="200"/>
        <w:jc w:val="left"/>
        <w:textAlignment w:val="auto"/>
        <w:outlineLvl w:val="9"/>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四、不为项目有关人员及部门出国（境）、旅游等提供方便；</w:t>
      </w:r>
    </w:p>
    <w:p>
      <w:pPr>
        <w:keepNext w:val="0"/>
        <w:keepLines w:val="0"/>
        <w:pageBreakBefore w:val="0"/>
        <w:kinsoku/>
        <w:wordWrap/>
        <w:overflowPunct/>
        <w:topLinePunct w:val="0"/>
        <w:autoSpaceDE w:val="0"/>
        <w:autoSpaceDN w:val="0"/>
        <w:bidi w:val="0"/>
        <w:spacing w:line="360" w:lineRule="auto"/>
        <w:ind w:left="481" w:leftChars="229"/>
        <w:jc w:val="left"/>
        <w:textAlignment w:val="auto"/>
        <w:outlineLvl w:val="9"/>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五、不为项目有关人员个人装修住房、婚丧嫁娶、配偶子女工作安排等提供</w:t>
      </w:r>
    </w:p>
    <w:p>
      <w:pPr>
        <w:keepNext w:val="0"/>
        <w:keepLines w:val="0"/>
        <w:pageBreakBefore w:val="0"/>
        <w:kinsoku/>
        <w:wordWrap/>
        <w:overflowPunct/>
        <w:topLinePunct w:val="0"/>
        <w:autoSpaceDE w:val="0"/>
        <w:autoSpaceDN w:val="0"/>
        <w:bidi w:val="0"/>
        <w:spacing w:line="360" w:lineRule="auto"/>
        <w:jc w:val="left"/>
        <w:textAlignment w:val="auto"/>
        <w:outlineLvl w:val="9"/>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好处；</w:t>
      </w:r>
    </w:p>
    <w:p>
      <w:pPr>
        <w:keepNext w:val="0"/>
        <w:keepLines w:val="0"/>
        <w:pageBreakBefore w:val="0"/>
        <w:kinsoku/>
        <w:wordWrap/>
        <w:overflowPunct/>
        <w:topLinePunct w:val="0"/>
        <w:autoSpaceDE w:val="0"/>
        <w:autoSpaceDN w:val="0"/>
        <w:bidi w:val="0"/>
        <w:spacing w:line="360" w:lineRule="auto"/>
        <w:ind w:left="481" w:leftChars="229"/>
        <w:jc w:val="left"/>
        <w:textAlignment w:val="auto"/>
        <w:outlineLvl w:val="9"/>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六、严格遵守《</w:t>
      </w:r>
      <w:r>
        <w:rPr>
          <w:rFonts w:hint="eastAsia" w:ascii="仿宋_GB2312" w:hAnsi="楷体" w:eastAsia="仿宋_GB2312"/>
          <w:sz w:val="24"/>
          <w:highlight w:val="none"/>
          <w:lang w:val="zh-CN"/>
        </w:rPr>
        <w:t>中华人民共和国</w:t>
      </w:r>
      <w:r>
        <w:rPr>
          <w:rFonts w:hint="eastAsia" w:ascii="仿宋_GB2312" w:hAnsi="仿宋_GB2312" w:eastAsia="仿宋_GB2312" w:cs="仿宋_GB2312"/>
          <w:kern w:val="0"/>
          <w:sz w:val="24"/>
          <w:highlight w:val="none"/>
          <w:lang w:val="zh-CN"/>
        </w:rPr>
        <w:t>政府采购法》《</w:t>
      </w:r>
      <w:r>
        <w:rPr>
          <w:rFonts w:hint="eastAsia" w:ascii="仿宋_GB2312" w:hAnsi="楷体" w:eastAsia="仿宋_GB2312"/>
          <w:sz w:val="24"/>
          <w:highlight w:val="none"/>
          <w:lang w:val="zh-CN"/>
        </w:rPr>
        <w:t>中华人民共和国</w:t>
      </w:r>
      <w:r>
        <w:rPr>
          <w:rFonts w:hint="eastAsia" w:ascii="仿宋_GB2312" w:hAnsi="仿宋_GB2312" w:eastAsia="仿宋_GB2312" w:cs="仿宋_GB2312"/>
          <w:kern w:val="0"/>
          <w:sz w:val="24"/>
          <w:highlight w:val="none"/>
          <w:lang w:val="zh-CN"/>
        </w:rPr>
        <w:t>招标投标</w:t>
      </w:r>
    </w:p>
    <w:p>
      <w:pPr>
        <w:keepNext w:val="0"/>
        <w:keepLines w:val="0"/>
        <w:pageBreakBefore w:val="0"/>
        <w:kinsoku/>
        <w:wordWrap/>
        <w:overflowPunct/>
        <w:topLinePunct w:val="0"/>
        <w:autoSpaceDE w:val="0"/>
        <w:autoSpaceDN w:val="0"/>
        <w:bidi w:val="0"/>
        <w:spacing w:line="360" w:lineRule="auto"/>
        <w:jc w:val="left"/>
        <w:textAlignment w:val="auto"/>
        <w:outlineLvl w:val="9"/>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法》</w:t>
      </w:r>
      <w:r>
        <w:rPr>
          <w:rFonts w:hint="eastAsia" w:ascii="仿宋_GB2312" w:hAnsi="楷体" w:eastAsia="仿宋_GB2312"/>
          <w:sz w:val="24"/>
          <w:highlight w:val="none"/>
          <w:lang w:val="zh-CN"/>
        </w:rPr>
        <w:t>《中华人民共和国民法典》</w:t>
      </w:r>
      <w:r>
        <w:rPr>
          <w:rFonts w:hint="eastAsia" w:ascii="仿宋_GB2312" w:hAnsi="仿宋_GB2312" w:eastAsia="仿宋_GB2312" w:cs="仿宋_GB2312"/>
          <w:kern w:val="0"/>
          <w:sz w:val="24"/>
          <w:highlight w:val="none"/>
          <w:lang w:val="zh-CN"/>
        </w:rPr>
        <w:t>等法律法规，诚实守信，合法经营，坚决抵制各种违法违纪行为。</w:t>
      </w:r>
      <w:r>
        <w:rPr>
          <w:rFonts w:ascii="仿宋_GB2312" w:hAnsi="仿宋_GB2312" w:eastAsia="仿宋_GB2312" w:cs="仿宋_GB2312"/>
          <w:kern w:val="0"/>
          <w:sz w:val="24"/>
          <w:highlight w:val="none"/>
          <w:lang w:val="zh-CN"/>
        </w:rPr>
        <w:t xml:space="preserve"> </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outlineLvl w:val="9"/>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如违反上述承诺，你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进行项目建设或其他经营活动，并通报</w:t>
      </w:r>
      <w:r>
        <w:rPr>
          <w:rFonts w:hint="eastAsia" w:ascii="仿宋_GB2312" w:hAnsi="仿宋_GB2312" w:eastAsia="仿宋_GB2312" w:cs="仿宋_GB2312"/>
          <w:kern w:val="0"/>
          <w:sz w:val="24"/>
          <w:highlight w:val="none"/>
          <w:lang w:val="en-US" w:eastAsia="zh-CN"/>
        </w:rPr>
        <w:t>监管部门</w:t>
      </w:r>
      <w:r>
        <w:rPr>
          <w:rFonts w:hint="eastAsia" w:ascii="仿宋_GB2312" w:hAnsi="仿宋_GB2312" w:eastAsia="仿宋_GB2312" w:cs="仿宋_GB2312"/>
          <w:kern w:val="0"/>
          <w:sz w:val="24"/>
          <w:highlight w:val="none"/>
          <w:lang w:val="zh-CN"/>
        </w:rPr>
        <w:t>。由此引起的相应损失均由我单位承担。</w:t>
      </w:r>
    </w:p>
    <w:p>
      <w:pPr>
        <w:keepNext w:val="0"/>
        <w:keepLines w:val="0"/>
        <w:pageBreakBefore w:val="0"/>
        <w:kinsoku/>
        <w:wordWrap/>
        <w:overflowPunct/>
        <w:topLinePunct w:val="0"/>
        <w:autoSpaceDE w:val="0"/>
        <w:autoSpaceDN w:val="0"/>
        <w:bidi w:val="0"/>
        <w:spacing w:line="360" w:lineRule="auto"/>
        <w:ind w:left="2"/>
        <w:jc w:val="left"/>
        <w:textAlignment w:val="auto"/>
        <w:outlineLvl w:val="9"/>
        <w:rPr>
          <w:rFonts w:ascii="仿宋_GB2312" w:hAnsi="仿宋_GB2312" w:eastAsia="仿宋_GB2312" w:cs="仿宋_GB2312"/>
          <w:kern w:val="0"/>
          <w:sz w:val="24"/>
          <w:highlight w:val="none"/>
          <w:lang w:val="zh-CN"/>
        </w:rPr>
      </w:pPr>
    </w:p>
    <w:p>
      <w:pPr>
        <w:keepNext w:val="0"/>
        <w:keepLines w:val="0"/>
        <w:pageBreakBefore w:val="0"/>
        <w:kinsoku/>
        <w:wordWrap/>
        <w:overflowPunct/>
        <w:topLinePunct w:val="0"/>
        <w:autoSpaceDE w:val="0"/>
        <w:autoSpaceDN w:val="0"/>
        <w:bidi w:val="0"/>
        <w:spacing w:line="360" w:lineRule="auto"/>
        <w:ind w:left="2"/>
        <w:jc w:val="left"/>
        <w:textAlignment w:val="auto"/>
        <w:outlineLvl w:val="9"/>
        <w:rPr>
          <w:rFonts w:ascii="仿宋_GB2312" w:hAnsi="仿宋_GB2312" w:eastAsia="仿宋_GB2312" w:cs="仿宋_GB2312"/>
          <w:kern w:val="0"/>
          <w:sz w:val="24"/>
          <w:highlight w:val="none"/>
          <w:lang w:val="zh-CN"/>
        </w:rPr>
      </w:pPr>
    </w:p>
    <w:p>
      <w:pPr>
        <w:keepNext w:val="0"/>
        <w:keepLines w:val="0"/>
        <w:pageBreakBefore w:val="0"/>
        <w:kinsoku/>
        <w:wordWrap/>
        <w:overflowPunct/>
        <w:topLinePunct w:val="0"/>
        <w:autoSpaceDE w:val="0"/>
        <w:autoSpaceDN w:val="0"/>
        <w:bidi w:val="0"/>
        <w:spacing w:line="360" w:lineRule="auto"/>
        <w:ind w:left="2"/>
        <w:jc w:val="left"/>
        <w:textAlignment w:val="auto"/>
        <w:outlineLvl w:val="9"/>
        <w:rPr>
          <w:rFonts w:ascii="仿宋_GB2312" w:hAnsi="仿宋_GB2312" w:eastAsia="仿宋_GB2312" w:cs="仿宋_GB2312"/>
          <w:kern w:val="0"/>
          <w:sz w:val="24"/>
          <w:highlight w:val="none"/>
          <w:lang w:val="zh-CN"/>
        </w:rPr>
      </w:pPr>
    </w:p>
    <w:p>
      <w:pPr>
        <w:keepNext w:val="0"/>
        <w:keepLines w:val="0"/>
        <w:pageBreakBefore w:val="0"/>
        <w:kinsoku/>
        <w:wordWrap/>
        <w:overflowPunct/>
        <w:topLinePunct w:val="0"/>
        <w:autoSpaceDE w:val="0"/>
        <w:autoSpaceDN w:val="0"/>
        <w:bidi w:val="0"/>
        <w:spacing w:line="360" w:lineRule="auto"/>
        <w:ind w:left="2" w:leftChars="1" w:right="1120" w:firstLine="4560" w:firstLineChars="1900"/>
        <w:jc w:val="left"/>
        <w:textAlignment w:val="auto"/>
        <w:outlineLvl w:val="9"/>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投标人名称（</w:t>
      </w:r>
      <w:r>
        <w:rPr>
          <w:rFonts w:hint="eastAsia" w:ascii="仿宋_GB2312" w:hAnsi="仿宋" w:eastAsia="仿宋_GB2312" w:cs="仿宋_GB2312"/>
          <w:sz w:val="24"/>
          <w:highlight w:val="none"/>
        </w:rPr>
        <w:t>电子签名</w:t>
      </w:r>
      <w:r>
        <w:rPr>
          <w:rFonts w:hint="eastAsia" w:ascii="仿宋_GB2312" w:hAnsi="仿宋_GB2312" w:eastAsia="仿宋_GB2312" w:cs="仿宋_GB2312"/>
          <w:kern w:val="0"/>
          <w:sz w:val="24"/>
          <w:highlight w:val="none"/>
          <w:lang w:val="zh-CN"/>
        </w:rPr>
        <w:t>）：</w:t>
      </w:r>
      <w:r>
        <w:rPr>
          <w:rFonts w:ascii="仿宋_GB2312" w:hAnsi="仿宋_GB2312" w:eastAsia="仿宋_GB2312" w:cs="仿宋_GB2312"/>
          <w:kern w:val="0"/>
          <w:sz w:val="24"/>
          <w:highlight w:val="none"/>
          <w:lang w:val="zh-CN"/>
        </w:rPr>
        <w:t xml:space="preserve">                                                                                                                                                                                                               </w:t>
      </w:r>
    </w:p>
    <w:p>
      <w:pPr>
        <w:keepNext w:val="0"/>
        <w:keepLines w:val="0"/>
        <w:pageBreakBefore w:val="0"/>
        <w:kinsoku/>
        <w:wordWrap/>
        <w:overflowPunct/>
        <w:topLinePunct w:val="0"/>
        <w:bidi w:val="0"/>
        <w:spacing w:line="360" w:lineRule="auto"/>
        <w:ind w:left="4620" w:leftChars="2200"/>
        <w:textAlignment w:val="auto"/>
        <w:outlineLvl w:val="9"/>
        <w:rPr>
          <w:rFonts w:ascii="仿宋" w:hAnsi="仿宋" w:eastAsia="仿宋" w:cs="仿宋"/>
          <w:color w:val="auto"/>
          <w:sz w:val="24"/>
          <w:highlight w:val="none"/>
        </w:rPr>
      </w:pPr>
      <w:r>
        <w:rPr>
          <w:rFonts w:hint="eastAsia" w:ascii="仿宋_GB2312" w:hAnsi="仿宋_GB2312" w:eastAsia="仿宋_GB2312" w:cs="仿宋_GB2312"/>
          <w:kern w:val="0"/>
          <w:sz w:val="24"/>
          <w:highlight w:val="none"/>
          <w:lang w:val="zh-CN"/>
        </w:rPr>
        <w:t>日期</w:t>
      </w:r>
      <w:r>
        <w:rPr>
          <w:rFonts w:hint="eastAsia" w:ascii="仿宋_GB2312" w:hAnsi="仿宋_GB2312" w:eastAsia="仿宋_GB2312" w:cs="仿宋_GB2312"/>
          <w:kern w:val="0"/>
          <w:sz w:val="24"/>
          <w:highlight w:val="none"/>
        </w:rPr>
        <w:t>：</w:t>
      </w:r>
      <w:r>
        <w:rPr>
          <w:rFonts w:ascii="仿宋_GB2312" w:hAnsi="仿宋_GB2312" w:eastAsia="仿宋_GB2312" w:cs="仿宋_GB2312"/>
          <w:kern w:val="0"/>
          <w:sz w:val="24"/>
          <w:highlight w:val="none"/>
          <w:lang w:val="zh-CN"/>
        </w:rPr>
        <w:t xml:space="preserve"> </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u w:val="single"/>
          <w:lang w:val="en-US" w:eastAsia="zh-CN"/>
        </w:rPr>
        <w:t xml:space="preserve">  </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u w:val="single"/>
          <w:lang w:val="en-US" w:eastAsia="zh-CN"/>
        </w:rPr>
        <w:t xml:space="preserve"> </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日</w:t>
      </w:r>
    </w:p>
    <w:p>
      <w:pP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pPr>
        <w:spacing w:line="360" w:lineRule="auto"/>
        <w:jc w:val="center"/>
        <w:outlineLvl w:val="1"/>
        <w:rPr>
          <w:rFonts w:ascii="仿宋" w:hAnsi="仿宋" w:eastAsia="仿宋" w:cs="仿宋"/>
          <w:b/>
          <w:color w:val="auto"/>
          <w:kern w:val="0"/>
          <w:sz w:val="36"/>
          <w:szCs w:val="36"/>
          <w:highlight w:val="none"/>
        </w:rPr>
      </w:pPr>
      <w:bookmarkStart w:id="114" w:name="_Toc5590"/>
      <w:bookmarkStart w:id="115" w:name="_Toc3363"/>
      <w:bookmarkStart w:id="116" w:name="_Toc18480"/>
      <w:bookmarkStart w:id="117" w:name="_Toc29208"/>
      <w:r>
        <w:rPr>
          <w:rFonts w:hint="eastAsia" w:ascii="仿宋" w:hAnsi="仿宋" w:eastAsia="仿宋" w:cs="仿宋"/>
          <w:b/>
          <w:color w:val="auto"/>
          <w:kern w:val="0"/>
          <w:sz w:val="36"/>
          <w:szCs w:val="36"/>
          <w:highlight w:val="none"/>
        </w:rPr>
        <w:t>报价文件部分</w:t>
      </w:r>
      <w:bookmarkEnd w:id="114"/>
      <w:bookmarkEnd w:id="115"/>
      <w:bookmarkEnd w:id="116"/>
      <w:bookmarkEnd w:id="117"/>
    </w:p>
    <w:p>
      <w:pPr>
        <w:spacing w:line="360" w:lineRule="auto"/>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rPr>
          <w:rFonts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成本测算表</w:t>
      </w:r>
      <w:r>
        <w:rPr>
          <w:rFonts w:hint="eastAsia" w:ascii="仿宋" w:hAnsi="仿宋" w:eastAsia="仿宋" w:cs="仿宋"/>
          <w:color w:val="auto"/>
          <w:sz w:val="24"/>
          <w:highlight w:val="none"/>
        </w:rPr>
        <w:t>……………………………………………………………………（页码）</w:t>
      </w:r>
    </w:p>
    <w:p>
      <w:pPr>
        <w:snapToGrid w:val="0"/>
        <w:spacing w:line="360" w:lineRule="auto"/>
        <w:rPr>
          <w:rFonts w:hint="default" w:ascii="仿宋_GB2312" w:hAnsi="仿宋" w:eastAsia="仿宋_GB2312" w:cs="仿宋_GB2312"/>
          <w:color w:val="auto"/>
          <w:sz w:val="24"/>
          <w:highlight w:val="none"/>
          <w:lang w:val="en-US" w:eastAsia="zh-CN"/>
        </w:rPr>
      </w:pP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3</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中小企业声明函</w:t>
      </w:r>
      <w:r>
        <w:rPr>
          <w:rFonts w:hint="eastAsia" w:ascii="仿宋_GB2312" w:hAnsi="仿宋" w:eastAsia="仿宋_GB2312" w:cs="仿宋_GB2312"/>
          <w:color w:val="auto"/>
          <w:sz w:val="24"/>
          <w:highlight w:val="none"/>
        </w:rPr>
        <w:t>………………………………………………………………（页码）</w:t>
      </w: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pStyle w:val="172"/>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pgSz w:w="11906" w:h="16838"/>
          <w:pgMar w:top="1276" w:right="1418" w:bottom="1247" w:left="1418" w:header="851" w:footer="992" w:gutter="0"/>
          <w:cols w:space="720" w:num="1"/>
          <w:titlePg/>
          <w:docGrid w:linePitch="312" w:charSpace="0"/>
        </w:sectPr>
      </w:pPr>
    </w:p>
    <w:p>
      <w:pPr>
        <w:pStyle w:val="172"/>
        <w:keepNext w:val="0"/>
        <w:keepLines w:val="0"/>
        <w:pageBreakBefore w:val="0"/>
        <w:widowControl w:val="0"/>
        <w:tabs>
          <w:tab w:val="clear" w:pos="720"/>
        </w:tabs>
        <w:kinsoku/>
        <w:wordWrap/>
        <w:overflowPunct/>
        <w:topLinePunct w:val="0"/>
        <w:autoSpaceDE/>
        <w:autoSpaceDN/>
        <w:bidi w:val="0"/>
        <w:adjustRightInd/>
        <w:snapToGrid w:val="0"/>
        <w:spacing w:before="120" w:after="120"/>
        <w:ind w:firstLine="643"/>
        <w:textAlignment w:val="auto"/>
        <w:outlineLvl w:val="9"/>
        <w:rPr>
          <w:rFonts w:ascii="仿宋" w:hAnsi="仿宋" w:eastAsia="仿宋" w:cs="仿宋"/>
          <w:color w:val="auto"/>
          <w:kern w:val="2"/>
          <w:sz w:val="32"/>
          <w:szCs w:val="32"/>
          <w:highlight w:val="none"/>
        </w:rPr>
      </w:pPr>
      <w:bookmarkStart w:id="118" w:name="_Toc21526"/>
      <w:bookmarkStart w:id="119" w:name="_Toc21682"/>
      <w:bookmarkStart w:id="120" w:name="_Toc19569"/>
      <w:bookmarkStart w:id="121" w:name="_Toc5399"/>
      <w:bookmarkStart w:id="122" w:name="_Toc1967"/>
      <w:bookmarkStart w:id="123" w:name="_Toc15988"/>
      <w:bookmarkStart w:id="124" w:name="_Toc1528"/>
      <w:bookmarkStart w:id="125" w:name="_Toc25033"/>
      <w:bookmarkStart w:id="126" w:name="_Toc8039"/>
      <w:bookmarkStart w:id="127" w:name="_Toc9655"/>
      <w:bookmarkStart w:id="128" w:name="_Toc26125"/>
      <w:bookmarkStart w:id="129" w:name="_Toc17498"/>
      <w:bookmarkStart w:id="130" w:name="_Toc11262"/>
      <w:bookmarkStart w:id="131" w:name="_Toc9713"/>
      <w:bookmarkStart w:id="132" w:name="_Toc13843"/>
      <w:r>
        <w:rPr>
          <w:rFonts w:hint="eastAsia" w:ascii="仿宋" w:hAnsi="仿宋" w:eastAsia="仿宋" w:cs="仿宋"/>
          <w:color w:val="auto"/>
          <w:kern w:val="2"/>
          <w:sz w:val="32"/>
          <w:szCs w:val="32"/>
          <w:highlight w:val="none"/>
        </w:rPr>
        <w:t>一、开标一览表（报价表）</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ascii="仿宋" w:hAnsi="仿宋" w:eastAsia="仿宋" w:cs="仿宋"/>
          <w:color w:val="auto"/>
          <w:kern w:val="0"/>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kern w:val="0"/>
          <w:sz w:val="24"/>
          <w:highlight w:val="none"/>
          <w:lang w:val="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2"/>
        <w:textAlignment w:val="auto"/>
        <w:outlineLvl w:val="9"/>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pPr>
        <w:keepNext w:val="0"/>
        <w:keepLines w:val="0"/>
        <w:pageBreakBefore w:val="0"/>
        <w:widowControl w:val="0"/>
        <w:kinsoku/>
        <w:wordWrap/>
        <w:overflowPunct/>
        <w:topLinePunct w:val="0"/>
        <w:autoSpaceDE/>
        <w:autoSpaceDN/>
        <w:bidi w:val="0"/>
        <w:adjustRightInd/>
        <w:spacing w:line="360" w:lineRule="auto"/>
        <w:jc w:val="center"/>
        <w:textAlignment w:val="auto"/>
        <w:outlineLvl w:val="9"/>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4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36" w:type="dxa"/>
            <w:noWrap/>
            <w:vAlign w:val="center"/>
          </w:tcPr>
          <w:p>
            <w:pPr>
              <w:adjustRightInd w:val="0"/>
              <w:snapToGrid w:val="0"/>
              <w:rPr>
                <w:rFonts w:hint="eastAsia" w:ascii="仿宋" w:hAnsi="仿宋" w:eastAsia="仿宋" w:cs="仿宋"/>
                <w:snapToGrid w:val="0"/>
                <w:color w:val="auto"/>
                <w:kern w:val="0"/>
                <w:szCs w:val="21"/>
                <w:highlight w:val="none"/>
                <w:lang w:eastAsia="zh-CN"/>
              </w:rPr>
            </w:pPr>
            <w:r>
              <w:rPr>
                <w:rFonts w:hint="eastAsia" w:ascii="仿宋" w:hAnsi="仿宋" w:eastAsia="仿宋" w:cs="仿宋"/>
                <w:snapToGrid w:val="0"/>
                <w:color w:val="auto"/>
                <w:kern w:val="0"/>
                <w:szCs w:val="21"/>
                <w:highlight w:val="none"/>
              </w:rPr>
              <w:t>投标</w:t>
            </w:r>
            <w:r>
              <w:rPr>
                <w:rFonts w:hint="eastAsia" w:ascii="仿宋" w:hAnsi="仿宋" w:eastAsia="仿宋" w:cs="仿宋"/>
                <w:snapToGrid w:val="0"/>
                <w:color w:val="auto"/>
                <w:kern w:val="0"/>
                <w:szCs w:val="21"/>
                <w:highlight w:val="none"/>
                <w:lang w:val="en-US" w:eastAsia="zh-CN"/>
              </w:rPr>
              <w:t>费率</w:t>
            </w:r>
          </w:p>
        </w:tc>
        <w:tc>
          <w:tcPr>
            <w:tcW w:w="6286" w:type="dxa"/>
            <w:noWrap/>
            <w:vAlign w:val="center"/>
          </w:tcPr>
          <w:p>
            <w:pPr>
              <w:adjustRightInd w:val="0"/>
              <w:snapToGrid w:val="0"/>
              <w:ind w:left="72"/>
              <w:rPr>
                <w:rFonts w:hint="default" w:ascii="仿宋" w:hAnsi="仿宋" w:eastAsia="仿宋" w:cs="仿宋"/>
                <w:snapToGrid w:val="0"/>
                <w:color w:val="auto"/>
                <w:kern w:val="0"/>
                <w:szCs w:val="21"/>
                <w:highlight w:val="none"/>
                <w:lang w:val="en-US" w:eastAsia="zh-CN"/>
              </w:rPr>
            </w:pPr>
            <w:r>
              <w:rPr>
                <w:rFonts w:hint="eastAsia" w:ascii="仿宋" w:hAnsi="仿宋" w:eastAsia="仿宋" w:cs="仿宋"/>
                <w:snapToGrid w:val="0"/>
                <w:color w:val="auto"/>
                <w:kern w:val="0"/>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36" w:type="dxa"/>
            <w:noWrap/>
            <w:vAlign w:val="center"/>
          </w:tcPr>
          <w:p>
            <w:pPr>
              <w:adjustRightInd w:val="0"/>
              <w:snapToGrid w:val="0"/>
              <w:rPr>
                <w:rFonts w:hint="eastAsia" w:ascii="仿宋" w:hAnsi="仿宋" w:eastAsia="仿宋" w:cs="仿宋"/>
                <w:snapToGrid w:val="0"/>
                <w:color w:val="auto"/>
                <w:kern w:val="0"/>
                <w:szCs w:val="21"/>
                <w:highlight w:val="none"/>
                <w:lang w:val="en-US" w:eastAsia="zh-CN"/>
              </w:rPr>
            </w:pPr>
            <w:r>
              <w:rPr>
                <w:rFonts w:hint="eastAsia" w:ascii="仿宋" w:hAnsi="仿宋" w:eastAsia="仿宋" w:cs="仿宋"/>
                <w:snapToGrid w:val="0"/>
                <w:color w:val="auto"/>
                <w:kern w:val="0"/>
                <w:szCs w:val="21"/>
                <w:highlight w:val="none"/>
                <w:lang w:val="en-US" w:eastAsia="zh-CN"/>
              </w:rPr>
              <w:t>备注：</w:t>
            </w:r>
            <w:r>
              <w:rPr>
                <w:rFonts w:hint="eastAsia" w:ascii="仿宋" w:hAnsi="仿宋" w:eastAsia="仿宋" w:cs="仿宋"/>
                <w:snapToGrid w:val="0"/>
                <w:color w:val="auto"/>
                <w:kern w:val="0"/>
                <w:szCs w:val="21"/>
                <w:highlight w:val="none"/>
                <w:lang w:eastAsia="zh-CN"/>
              </w:rPr>
              <w:t>（</w:t>
            </w:r>
            <w:r>
              <w:rPr>
                <w:rFonts w:hint="eastAsia" w:ascii="仿宋" w:hAnsi="仿宋" w:eastAsia="仿宋" w:cs="仿宋"/>
                <w:snapToGrid w:val="0"/>
                <w:color w:val="auto"/>
                <w:kern w:val="0"/>
                <w:szCs w:val="21"/>
                <w:highlight w:val="none"/>
                <w:lang w:val="en-US" w:eastAsia="zh-CN"/>
              </w:rPr>
              <w:t>填写费率：%；</w:t>
            </w:r>
            <w:r>
              <w:rPr>
                <w:rFonts w:hint="eastAsia" w:ascii="仿宋" w:hAnsi="仿宋" w:eastAsia="仿宋" w:cs="仿宋"/>
                <w:bCs/>
                <w:color w:val="auto"/>
                <w:sz w:val="21"/>
                <w:szCs w:val="21"/>
                <w:highlight w:val="none"/>
                <w:shd w:val="clear" w:color="auto" w:fill="auto"/>
                <w:lang w:val="en-US" w:eastAsia="zh-CN"/>
              </w:rPr>
              <w:t>例如费率为X%，图书原定价为A元/册，供货数量为B，则支付金额=A×B×X%</w:t>
            </w:r>
            <w:r>
              <w:rPr>
                <w:rFonts w:hint="eastAsia" w:ascii="仿宋" w:hAnsi="仿宋" w:eastAsia="仿宋" w:cs="仿宋"/>
                <w:snapToGrid w:val="0"/>
                <w:color w:val="auto"/>
                <w:kern w:val="0"/>
                <w:szCs w:val="21"/>
                <w:highlight w:val="none"/>
                <w:lang w:eastAsia="zh-CN"/>
              </w:rPr>
              <w:t>）</w:t>
            </w:r>
          </w:p>
        </w:tc>
        <w:tc>
          <w:tcPr>
            <w:tcW w:w="6286" w:type="dxa"/>
            <w:noWrap/>
            <w:vAlign w:val="center"/>
          </w:tcPr>
          <w:p>
            <w:pPr>
              <w:adjustRightInd w:val="0"/>
              <w:snapToGrid w:val="0"/>
              <w:ind w:left="72"/>
              <w:rPr>
                <w:rFonts w:hint="eastAsia" w:ascii="仿宋" w:hAnsi="仿宋" w:eastAsia="仿宋" w:cs="仿宋"/>
                <w:snapToGrid w:val="0"/>
                <w:color w:val="auto"/>
                <w:kern w:val="0"/>
                <w:szCs w:val="21"/>
                <w:highlight w:val="none"/>
                <w:u w:val="single"/>
                <w:lang w:val="en-US" w:eastAsia="zh-CN"/>
              </w:rPr>
            </w:pPr>
          </w:p>
        </w:tc>
      </w:tr>
    </w:tbl>
    <w:p>
      <w:pPr>
        <w:adjustRightInd w:val="0"/>
        <w:snapToGrid w:val="0"/>
        <w:spacing w:line="360" w:lineRule="auto"/>
        <w:ind w:left="480"/>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adjustRightInd w:val="0"/>
        <w:snapToGrid w:val="0"/>
        <w:spacing w:line="360" w:lineRule="auto"/>
        <w:ind w:left="-2" w:leftChars="-1"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1、投标人需按本表格式填写，不得自行更改。</w:t>
      </w:r>
    </w:p>
    <w:p>
      <w:pPr>
        <w:adjustRightInd w:val="0"/>
        <w:snapToGrid w:val="0"/>
        <w:spacing w:line="360" w:lineRule="auto"/>
        <w:ind w:firstLine="480" w:firstLineChars="200"/>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kern w:val="0"/>
          <w:sz w:val="24"/>
          <w:highlight w:val="none"/>
          <w:lang w:val="zh-CN"/>
        </w:rPr>
        <w:t>。</w:t>
      </w:r>
    </w:p>
    <w:p>
      <w:pPr>
        <w:spacing w:line="360" w:lineRule="auto"/>
        <w:ind w:firstLine="482" w:firstLineChars="200"/>
        <w:rPr>
          <w:rFonts w:ascii="仿宋" w:hAnsi="仿宋" w:eastAsia="仿宋" w:cs="仿宋"/>
          <w:b/>
          <w:color w:val="auto"/>
          <w:kern w:val="0"/>
          <w:sz w:val="24"/>
          <w:highlight w:val="none"/>
        </w:rPr>
      </w:pPr>
    </w:p>
    <w:p>
      <w:pPr>
        <w:pStyle w:val="172"/>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p>
    <w:p>
      <w:pPr>
        <w:pStyle w:val="172"/>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18"/>
        <w:spacing w:line="600" w:lineRule="exact"/>
        <w:ind w:firstLine="0"/>
        <w:jc w:val="center"/>
        <w:rPr>
          <w:rFonts w:ascii="仿宋" w:hAnsi="仿宋" w:eastAsia="仿宋" w:cs="仿宋"/>
          <w:b/>
          <w:bCs/>
          <w:snapToGrid w:val="0"/>
          <w:color w:val="auto"/>
          <w:kern w:val="0"/>
          <w:sz w:val="28"/>
          <w:szCs w:val="28"/>
          <w:highlight w:val="none"/>
        </w:rPr>
      </w:pPr>
      <w:r>
        <w:rPr>
          <w:rFonts w:hint="eastAsia" w:ascii="仿宋" w:hAnsi="仿宋" w:eastAsia="仿宋" w:cs="仿宋"/>
          <w:b/>
          <w:bCs/>
          <w:snapToGrid w:val="0"/>
          <w:color w:val="auto"/>
          <w:kern w:val="0"/>
          <w:sz w:val="28"/>
          <w:szCs w:val="28"/>
          <w:highlight w:val="none"/>
          <w:lang w:val="en-US" w:eastAsia="zh-CN"/>
        </w:rPr>
        <w:t>二、成本测算</w:t>
      </w:r>
      <w:r>
        <w:rPr>
          <w:rFonts w:hint="eastAsia" w:ascii="仿宋" w:hAnsi="仿宋" w:eastAsia="仿宋" w:cs="仿宋"/>
          <w:b/>
          <w:bCs/>
          <w:snapToGrid w:val="0"/>
          <w:color w:val="auto"/>
          <w:kern w:val="0"/>
          <w:sz w:val="28"/>
          <w:szCs w:val="28"/>
          <w:highlight w:val="none"/>
        </w:rPr>
        <w:t>表</w:t>
      </w:r>
    </w:p>
    <w:p>
      <w:pPr>
        <w:adjustRightInd w:val="0"/>
        <w:spacing w:line="360" w:lineRule="auto"/>
        <w:jc w:val="left"/>
        <w:rPr>
          <w:rFonts w:ascii="仿宋" w:hAnsi="仿宋" w:eastAsia="仿宋" w:cs="仿宋"/>
          <w:color w:val="auto"/>
          <w:szCs w:val="21"/>
          <w:highlight w:val="none"/>
        </w:rPr>
      </w:pPr>
    </w:p>
    <w:p>
      <w:pPr>
        <w:adjustRightInd w:val="0"/>
        <w:spacing w:line="360" w:lineRule="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钱塘区2023年纸质中文图书采购</w:t>
      </w:r>
    </w:p>
    <w:p>
      <w:pPr>
        <w:pStyle w:val="17"/>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采购编号：</w:t>
      </w:r>
      <w:r>
        <w:rPr>
          <w:rFonts w:hint="eastAsia" w:ascii="仿宋" w:hAnsi="仿宋" w:eastAsia="仿宋" w:cs="仿宋"/>
          <w:color w:val="auto"/>
          <w:szCs w:val="21"/>
          <w:highlight w:val="none"/>
          <w:lang w:eastAsia="zh-CN"/>
        </w:rPr>
        <w:t>QTCG-GK-2023-038</w:t>
      </w:r>
    </w:p>
    <w:p>
      <w:pPr>
        <w:rPr>
          <w:rFonts w:ascii="仿宋" w:hAnsi="仿宋" w:eastAsia="仿宋" w:cs="仿宋"/>
          <w:color w:val="auto"/>
          <w:szCs w:val="21"/>
          <w:highlight w:val="none"/>
        </w:rPr>
      </w:pPr>
    </w:p>
    <w:p>
      <w:pPr>
        <w:pStyle w:val="18"/>
        <w:rPr>
          <w:rFonts w:ascii="仿宋" w:hAnsi="仿宋" w:eastAsia="仿宋" w:cs="仿宋"/>
          <w:color w:val="auto"/>
          <w:szCs w:val="21"/>
          <w:highlight w:val="none"/>
        </w:rPr>
      </w:pPr>
      <w:r>
        <w:rPr>
          <w:rFonts w:hint="eastAsia" w:ascii="仿宋" w:hAnsi="仿宋" w:eastAsia="仿宋" w:cs="仿宋"/>
          <w:color w:val="auto"/>
          <w:szCs w:val="21"/>
          <w:highlight w:val="none"/>
        </w:rPr>
        <w:t>（自拟）</w:t>
      </w:r>
    </w:p>
    <w:p>
      <w:pPr>
        <w:rPr>
          <w:rFonts w:ascii="仿宋" w:hAnsi="仿宋" w:eastAsia="仿宋" w:cs="仿宋"/>
          <w:color w:val="auto"/>
          <w:highlight w:val="none"/>
        </w:rPr>
      </w:pPr>
    </w:p>
    <w:p>
      <w:pPr>
        <w:adjustRightInd w:val="0"/>
        <w:spacing w:line="360" w:lineRule="auto"/>
        <w:ind w:firstLine="4515" w:firstLineChars="2150"/>
        <w:rPr>
          <w:rFonts w:ascii="仿宋" w:hAnsi="仿宋" w:eastAsia="仿宋" w:cs="仿宋"/>
          <w:color w:val="auto"/>
          <w:szCs w:val="21"/>
          <w:highlight w:val="none"/>
        </w:rPr>
      </w:pPr>
    </w:p>
    <w:p>
      <w:pPr>
        <w:adjustRightInd w:val="0"/>
        <w:spacing w:line="360" w:lineRule="auto"/>
        <w:ind w:firstLine="4515" w:firstLineChars="2150"/>
        <w:rPr>
          <w:rFonts w:ascii="仿宋" w:hAnsi="仿宋" w:eastAsia="仿宋" w:cs="仿宋"/>
          <w:color w:val="auto"/>
          <w:szCs w:val="21"/>
          <w:highlight w:val="none"/>
        </w:rPr>
      </w:pPr>
      <w:r>
        <w:rPr>
          <w:rFonts w:hint="eastAsia" w:ascii="仿宋" w:hAnsi="仿宋" w:eastAsia="仿宋" w:cs="仿宋"/>
          <w:color w:val="auto"/>
          <w:szCs w:val="21"/>
          <w:highlight w:val="none"/>
        </w:rPr>
        <w:t>投标人(盖公章或电子签章)</w:t>
      </w:r>
    </w:p>
    <w:p>
      <w:pPr>
        <w:adjustRightInd w:val="0"/>
        <w:ind w:firstLine="4515" w:firstLineChars="2150"/>
        <w:rPr>
          <w:rFonts w:ascii="仿宋" w:hAnsi="仿宋" w:eastAsia="仿宋" w:cs="仿宋"/>
          <w:color w:val="auto"/>
          <w:szCs w:val="21"/>
          <w:highlight w:val="none"/>
        </w:rPr>
      </w:pPr>
      <w:r>
        <w:rPr>
          <w:rFonts w:hint="eastAsia" w:ascii="仿宋" w:hAnsi="仿宋" w:eastAsia="仿宋" w:cs="仿宋"/>
          <w:color w:val="auto"/>
          <w:szCs w:val="21"/>
          <w:highlight w:val="none"/>
        </w:rPr>
        <w:t>日     期：</w:t>
      </w:r>
    </w:p>
    <w:p>
      <w:pPr>
        <w:rPr>
          <w:rFonts w:ascii="仿宋" w:hAnsi="仿宋" w:eastAsia="仿宋" w:cs="仿宋"/>
          <w:color w:val="auto"/>
          <w:highlight w:val="none"/>
        </w:rPr>
      </w:pPr>
      <w:r>
        <w:rPr>
          <w:rFonts w:ascii="仿宋" w:hAnsi="仿宋" w:eastAsia="仿宋" w:cs="仿宋"/>
          <w:color w:val="auto"/>
          <w:highlight w:val="none"/>
        </w:rPr>
        <w:br w:type="page"/>
      </w:r>
    </w:p>
    <w:p>
      <w:pPr>
        <w:rPr>
          <w:rFonts w:hint="eastAsia" w:ascii="仿宋_GB2312" w:hAnsi="仿宋" w:eastAsia="仿宋_GB2312" w:cs="仿宋_GB2312"/>
          <w:kern w:val="0"/>
          <w:sz w:val="24"/>
          <w:highlight w:val="none"/>
          <w:lang w:val="en-US" w:eastAsia="zh-CN"/>
        </w:rPr>
      </w:pPr>
      <w:r>
        <w:rPr>
          <w:rFonts w:hint="eastAsia" w:ascii="仿宋_GB2312" w:hAnsi="仿宋" w:eastAsia="仿宋_GB2312" w:cs="仿宋_GB2312"/>
          <w:color w:val="FF0000"/>
          <w:kern w:val="0"/>
          <w:sz w:val="24"/>
          <w:highlight w:val="none"/>
          <w:lang w:val="en-US" w:eastAsia="zh-CN"/>
        </w:rPr>
        <w:t>中小企业声明函示范格式如下：</w:t>
      </w:r>
    </w:p>
    <w:p>
      <w:pPr>
        <w:pageBreakBefore w:val="0"/>
        <w:widowControl w:val="0"/>
        <w:kinsoku/>
        <w:wordWrap/>
        <w:overflowPunct/>
        <w:topLinePunct w:val="0"/>
        <w:autoSpaceDE/>
        <w:autoSpaceDN/>
        <w:bidi w:val="0"/>
        <w:adjustRightInd w:val="0"/>
        <w:snapToGrid w:val="0"/>
        <w:spacing w:line="360" w:lineRule="auto"/>
        <w:ind w:right="0"/>
        <w:jc w:val="center"/>
        <w:textAlignment w:val="auto"/>
        <w:rPr>
          <w:rFonts w:ascii="仿宋_GB2312" w:hAnsi="宋体" w:eastAsia="仿宋_GB2312"/>
          <w:b/>
          <w:sz w:val="32"/>
          <w:szCs w:val="32"/>
          <w:highlight w:val="none"/>
        </w:rPr>
      </w:pPr>
      <w:r>
        <w:rPr>
          <w:rFonts w:hint="eastAsia" w:ascii="仿宋_GB2312" w:hAnsi="仿宋" w:eastAsia="仿宋_GB2312" w:cs="仿宋_GB2312"/>
          <w:b/>
          <w:sz w:val="32"/>
          <w:szCs w:val="32"/>
          <w:highlight w:val="none"/>
          <w:lang w:val="en-US" w:eastAsia="zh-CN"/>
        </w:rPr>
        <w:t>三、</w:t>
      </w:r>
      <w:r>
        <w:rPr>
          <w:rFonts w:hint="eastAsia" w:ascii="仿宋_GB2312" w:hAnsi="仿宋" w:eastAsia="仿宋_GB2312" w:cs="仿宋_GB2312"/>
          <w:b/>
          <w:sz w:val="32"/>
          <w:szCs w:val="32"/>
          <w:highlight w:val="none"/>
        </w:rPr>
        <w:t>中小企业声明函</w:t>
      </w:r>
      <w:r>
        <w:rPr>
          <w:rFonts w:hint="eastAsia" w:ascii="仿宋_GB2312" w:hAnsi="宋体" w:eastAsia="仿宋_GB2312"/>
          <w:b/>
          <w:sz w:val="32"/>
          <w:szCs w:val="32"/>
          <w:highlight w:val="none"/>
        </w:rPr>
        <w:t>（</w:t>
      </w:r>
      <w:r>
        <w:rPr>
          <w:rFonts w:hint="eastAsia" w:ascii="仿宋_GB2312" w:hAnsi="宋体" w:eastAsia="仿宋_GB2312"/>
          <w:b/>
          <w:sz w:val="32"/>
          <w:szCs w:val="32"/>
          <w:highlight w:val="none"/>
          <w:lang w:val="en-US" w:eastAsia="zh-CN"/>
        </w:rPr>
        <w:t>货物</w:t>
      </w:r>
      <w:r>
        <w:rPr>
          <w:rFonts w:hint="eastAsia" w:ascii="仿宋_GB2312" w:hAnsi="宋体" w:eastAsia="仿宋_GB2312"/>
          <w:b/>
          <w:sz w:val="32"/>
          <w:szCs w:val="32"/>
          <w:highlight w:val="none"/>
        </w:rPr>
        <w:t>）</w:t>
      </w:r>
    </w:p>
    <w:p>
      <w:pPr>
        <w:pageBreakBefore w:val="0"/>
        <w:widowControl w:val="0"/>
        <w:kinsoku/>
        <w:wordWrap/>
        <w:overflowPunct/>
        <w:topLinePunct w:val="0"/>
        <w:autoSpaceDE/>
        <w:autoSpaceDN/>
        <w:bidi w:val="0"/>
        <w:adjustRightInd w:val="0"/>
        <w:snapToGrid w:val="0"/>
        <w:spacing w:line="360" w:lineRule="auto"/>
        <w:ind w:right="0"/>
        <w:textAlignment w:val="auto"/>
        <w:rPr>
          <w:rFonts w:ascii="仿宋_GB2312" w:hAnsi="仿宋" w:eastAsia="仿宋_GB2312"/>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left"/>
        <w:textAlignment w:val="auto"/>
        <w:rPr>
          <w:rFonts w:ascii="仿宋_GB2312" w:hAnsi="宋体" w:eastAsia="仿宋_GB2312"/>
          <w:sz w:val="24"/>
          <w:highlight w:val="none"/>
        </w:rPr>
      </w:pPr>
      <w:r>
        <w:rPr>
          <w:rFonts w:hint="eastAsia" w:ascii="仿宋_GB2312" w:hAnsi="宋体" w:eastAsia="仿宋_GB2312"/>
          <w:sz w:val="24"/>
          <w:highlight w:val="none"/>
        </w:rPr>
        <w:t>本公司（联合体）郑重声明，根据《政府采购促进中小企业发展管理办法》（财库﹝</w:t>
      </w:r>
      <w:r>
        <w:rPr>
          <w:rFonts w:ascii="仿宋_GB2312" w:hAnsi="宋体" w:eastAsia="仿宋_GB2312"/>
          <w:sz w:val="24"/>
          <w:highlight w:val="none"/>
        </w:rPr>
        <w:t xml:space="preserve">2020﹞46 </w:t>
      </w:r>
      <w:r>
        <w:rPr>
          <w:rFonts w:hint="eastAsia" w:ascii="仿宋_GB2312" w:hAnsi="宋体" w:eastAsia="仿宋_GB2312"/>
          <w:sz w:val="24"/>
          <w:highlight w:val="none"/>
        </w:rPr>
        <w:t>号）的规定，本公司（联合体）参加</w:t>
      </w:r>
      <w:r>
        <w:rPr>
          <w:rFonts w:ascii="仿宋_GB2312" w:hAnsi="宋体" w:eastAsia="仿宋_GB2312"/>
          <w:sz w:val="24"/>
          <w:highlight w:val="none"/>
          <w:u w:val="single"/>
        </w:rPr>
        <w:t xml:space="preserve"> </w:t>
      </w:r>
      <w:r>
        <w:rPr>
          <w:rFonts w:hint="eastAsia" w:ascii="仿宋_GB2312" w:hAnsi="宋体" w:eastAsia="仿宋_GB2312"/>
          <w:color w:val="FF0000"/>
          <w:sz w:val="24"/>
          <w:highlight w:val="none"/>
          <w:u w:val="single"/>
          <w:lang w:eastAsia="zh-CN"/>
        </w:rPr>
        <w:t>杭州市钱塘区社会发展局</w:t>
      </w:r>
      <w:r>
        <w:rPr>
          <w:rFonts w:ascii="仿宋_GB2312" w:hAnsi="宋体" w:eastAsia="仿宋_GB2312"/>
          <w:color w:val="FF0000"/>
          <w:sz w:val="24"/>
          <w:highlight w:val="none"/>
          <w:u w:val="single"/>
        </w:rPr>
        <w:t xml:space="preserve"> </w:t>
      </w:r>
      <w:r>
        <w:rPr>
          <w:rFonts w:hint="eastAsia" w:ascii="仿宋_GB2312" w:hAnsi="宋体" w:eastAsia="仿宋_GB2312"/>
          <w:color w:val="FF0000"/>
          <w:sz w:val="24"/>
          <w:highlight w:val="none"/>
        </w:rPr>
        <w:t>的</w:t>
      </w:r>
      <w:r>
        <w:rPr>
          <w:rFonts w:ascii="仿宋_GB2312" w:hAnsi="宋体" w:eastAsia="仿宋_GB2312"/>
          <w:color w:val="FF0000"/>
          <w:sz w:val="24"/>
          <w:highlight w:val="none"/>
          <w:u w:val="single"/>
        </w:rPr>
        <w:t xml:space="preserve"> </w:t>
      </w:r>
      <w:r>
        <w:rPr>
          <w:rFonts w:hint="eastAsia" w:ascii="仿宋_GB2312" w:hAnsi="宋体" w:eastAsia="仿宋_GB2312"/>
          <w:color w:val="FF0000"/>
          <w:sz w:val="24"/>
          <w:highlight w:val="none"/>
          <w:u w:val="single"/>
          <w:lang w:eastAsia="zh-CN"/>
        </w:rPr>
        <w:t>钱塘区2023年纸质中文图书采购</w:t>
      </w:r>
      <w:r>
        <w:rPr>
          <w:rFonts w:hint="eastAsia" w:ascii="仿宋" w:hAnsi="仿宋" w:eastAsia="仿宋" w:cs="仿宋"/>
          <w:kern w:val="0"/>
          <w:sz w:val="24"/>
          <w:highlight w:val="none"/>
          <w:u w:val="single"/>
          <w:lang w:val="en-US" w:eastAsia="zh-CN"/>
        </w:rPr>
        <w:t xml:space="preserve"> </w:t>
      </w:r>
      <w:r>
        <w:rPr>
          <w:rFonts w:hint="eastAsia" w:ascii="仿宋_GB2312" w:hAnsi="宋体" w:eastAsia="仿宋_GB2312"/>
          <w:sz w:val="24"/>
          <w:highlight w:val="none"/>
        </w:rPr>
        <w:t>采购活动</w:t>
      </w:r>
      <w:r>
        <w:rPr>
          <w:rFonts w:hint="eastAsia" w:ascii="仿宋_GB2312" w:hAnsi="宋体" w:eastAsia="仿宋_GB2312" w:cs="Times New Roman"/>
          <w:sz w:val="24"/>
          <w:highlight w:val="none"/>
        </w:rPr>
        <w:t>，提供的货物全部由符合政策要求的中小企业制造。</w:t>
      </w:r>
      <w:r>
        <w:rPr>
          <w:rFonts w:hint="eastAsia" w:ascii="仿宋_GB2312" w:hAnsi="宋体" w:eastAsia="仿宋_GB2312"/>
          <w:sz w:val="24"/>
          <w:highlight w:val="none"/>
        </w:rPr>
        <w:t>相关企业（含联合体中的中小企业、签订分包意向协议的中小企业）的具体情况如下：</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right="0" w:firstLine="480" w:firstLineChars="200"/>
        <w:jc w:val="left"/>
        <w:textAlignment w:val="auto"/>
        <w:rPr>
          <w:rFonts w:ascii="仿宋_GB2312" w:hAnsi="宋体" w:eastAsia="仿宋_GB2312"/>
          <w:sz w:val="24"/>
          <w:highlight w:val="none"/>
        </w:rPr>
      </w:pPr>
      <w:r>
        <w:rPr>
          <w:rFonts w:hint="eastAsia" w:ascii="仿宋_GB2312" w:hAnsi="宋体" w:eastAsia="仿宋_GB2312"/>
          <w:b w:val="0"/>
          <w:bCs w:val="0"/>
          <w:sz w:val="24"/>
          <w:highlight w:val="none"/>
          <w:u w:val="single"/>
          <w:lang w:val="en-US" w:eastAsia="zh-CN"/>
        </w:rPr>
        <w:t xml:space="preserve"> </w:t>
      </w:r>
      <w:r>
        <w:rPr>
          <w:rFonts w:hint="eastAsia" w:ascii="仿宋" w:hAnsi="仿宋" w:eastAsia="仿宋" w:cs="仿宋"/>
          <w:b w:val="0"/>
          <w:bCs w:val="0"/>
          <w:color w:val="FF0000"/>
          <w:kern w:val="0"/>
          <w:sz w:val="24"/>
          <w:szCs w:val="24"/>
          <w:highlight w:val="none"/>
          <w:u w:val="single"/>
          <w:lang w:val="en-US" w:eastAsia="zh-CN"/>
        </w:rPr>
        <w:t>图书</w:t>
      </w:r>
      <w:r>
        <w:rPr>
          <w:rFonts w:hint="eastAsia" w:ascii="仿宋_GB2312" w:hAnsi="宋体" w:eastAsia="仿宋_GB2312"/>
          <w:b w:val="0"/>
          <w:bCs w:val="0"/>
          <w:sz w:val="24"/>
          <w:highlight w:val="none"/>
          <w:u w:val="single"/>
          <w:lang w:val="en-US" w:eastAsia="zh-CN"/>
        </w:rPr>
        <w:t xml:space="preserve"> </w:t>
      </w:r>
      <w:r>
        <w:rPr>
          <w:rFonts w:hint="eastAsia" w:ascii="仿宋_GB2312" w:hAnsi="宋体" w:eastAsia="仿宋_GB2312"/>
          <w:sz w:val="24"/>
          <w:highlight w:val="none"/>
        </w:rPr>
        <w:t>，属于</w:t>
      </w:r>
      <w:r>
        <w:rPr>
          <w:rFonts w:ascii="仿宋_GB2312" w:hAnsi="宋体" w:eastAsia="仿宋_GB2312"/>
          <w:sz w:val="24"/>
          <w:highlight w:val="none"/>
          <w:u w:val="single"/>
        </w:rPr>
        <w:t xml:space="preserve"> </w:t>
      </w:r>
      <w:r>
        <w:rPr>
          <w:rFonts w:hint="eastAsia" w:ascii="仿宋_GB2312" w:hAnsi="宋体" w:eastAsia="仿宋_GB2312"/>
          <w:color w:val="FF0000"/>
          <w:sz w:val="24"/>
          <w:highlight w:val="none"/>
          <w:u w:val="single"/>
          <w:lang w:val="en-US" w:eastAsia="zh-CN"/>
        </w:rPr>
        <w:t>工业行业</w:t>
      </w:r>
      <w:r>
        <w:rPr>
          <w:rFonts w:hint="eastAsia" w:ascii="仿宋_GB2312" w:hAnsi="宋体" w:eastAsia="仿宋_GB2312" w:cs="Times New Roman"/>
          <w:sz w:val="24"/>
          <w:highlight w:val="none"/>
          <w:u w:val="single"/>
          <w:lang w:val="en-US" w:eastAsia="zh-CN"/>
        </w:rPr>
        <w:t xml:space="preserve"> </w:t>
      </w:r>
      <w:r>
        <w:rPr>
          <w:rFonts w:ascii="仿宋_GB2312" w:hAnsi="宋体" w:eastAsia="仿宋_GB2312"/>
          <w:sz w:val="24"/>
          <w:highlight w:val="none"/>
        </w:rPr>
        <w:t>；</w:t>
      </w:r>
      <w:r>
        <w:rPr>
          <w:rFonts w:hint="eastAsia" w:ascii="仿宋_GB2312" w:hAnsi="宋体" w:eastAsia="仿宋_GB2312"/>
          <w:sz w:val="24"/>
          <w:highlight w:val="none"/>
        </w:rPr>
        <w:t>制造商</w:t>
      </w:r>
      <w:r>
        <w:rPr>
          <w:rFonts w:ascii="仿宋_GB2312" w:hAnsi="宋体" w:eastAsia="仿宋_GB2312"/>
          <w:sz w:val="24"/>
          <w:highlight w:val="none"/>
        </w:rPr>
        <w:t>为</w:t>
      </w:r>
      <w:r>
        <w:rPr>
          <w:rFonts w:ascii="仿宋_GB2312" w:hAnsi="宋体" w:eastAsia="仿宋_GB2312"/>
          <w:sz w:val="24"/>
          <w:highlight w:val="none"/>
          <w:u w:val="single"/>
        </w:rPr>
        <w:t xml:space="preserve"> </w:t>
      </w:r>
      <w:r>
        <w:rPr>
          <w:rFonts w:hint="eastAsia" w:ascii="仿宋_GB2312" w:hAnsi="宋体" w:eastAsia="仿宋_GB2312"/>
          <w:sz w:val="24"/>
          <w:highlight w:val="none"/>
          <w:u w:val="single"/>
          <w:lang w:val="en-US" w:eastAsia="zh-CN"/>
        </w:rPr>
        <w:t xml:space="preserve">       </w:t>
      </w:r>
      <w:r>
        <w:rPr>
          <w:rFonts w:hint="eastAsia" w:ascii="仿宋_GB2312" w:hAnsi="宋体" w:eastAsia="仿宋_GB2312"/>
          <w:sz w:val="24"/>
          <w:highlight w:val="none"/>
          <w:u w:val="single"/>
        </w:rPr>
        <w:t>（企业名称）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u w:val="single"/>
          <w:lang w:val="en-US" w:eastAsia="zh-CN"/>
        </w:rPr>
        <w:t xml:space="preserve">   </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u w:val="single"/>
          <w:lang w:val="en-US" w:eastAsia="zh-CN"/>
        </w:rPr>
        <w:t xml:space="preserve">      </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u w:val="single"/>
          <w:lang w:val="en-US" w:eastAsia="zh-CN"/>
        </w:rPr>
        <w:t xml:space="preserve">   </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属于</w:t>
      </w:r>
      <w:r>
        <w:rPr>
          <w:rFonts w:ascii="仿宋_GB2312" w:hAnsi="宋体" w:eastAsia="仿宋_GB2312"/>
          <w:sz w:val="24"/>
          <w:highlight w:val="none"/>
          <w:u w:val="single"/>
        </w:rPr>
        <w:t xml:space="preserve"> </w:t>
      </w:r>
      <w:r>
        <w:rPr>
          <w:rFonts w:hint="eastAsia" w:ascii="仿宋_GB2312" w:hAnsi="宋体" w:eastAsia="仿宋_GB2312"/>
          <w:sz w:val="24"/>
          <w:highlight w:val="none"/>
          <w:u w:val="single"/>
          <w:lang w:val="en-US" w:eastAsia="zh-CN"/>
        </w:rPr>
        <w:t xml:space="preserve">         </w:t>
      </w:r>
      <w:r>
        <w:rPr>
          <w:rFonts w:ascii="仿宋_GB2312" w:hAnsi="宋体" w:eastAsia="仿宋_GB2312"/>
          <w:sz w:val="24"/>
          <w:highlight w:val="none"/>
          <w:u w:val="single"/>
        </w:rPr>
        <w:t>（</w:t>
      </w:r>
      <w:r>
        <w:rPr>
          <w:rFonts w:hint="eastAsia" w:ascii="仿宋_GB2312" w:hAnsi="宋体" w:eastAsia="仿宋_GB2312"/>
          <w:sz w:val="24"/>
          <w:highlight w:val="none"/>
          <w:u w:val="single"/>
          <w:lang w:val="en-US" w:eastAsia="zh-CN"/>
        </w:rPr>
        <w:t>填写</w:t>
      </w:r>
      <w:r>
        <w:rPr>
          <w:rFonts w:ascii="仿宋_GB2312" w:hAnsi="宋体" w:eastAsia="仿宋_GB2312"/>
          <w:sz w:val="24"/>
          <w:highlight w:val="none"/>
          <w:u w:val="single"/>
        </w:rPr>
        <w:t>中型企业</w:t>
      </w:r>
      <w:r>
        <w:rPr>
          <w:rFonts w:hint="eastAsia" w:ascii="仿宋_GB2312" w:hAnsi="宋体" w:eastAsia="仿宋_GB2312"/>
          <w:sz w:val="24"/>
          <w:highlight w:val="none"/>
          <w:u w:val="single"/>
          <w:lang w:val="en-US" w:eastAsia="zh-CN"/>
        </w:rPr>
        <w:t>或</w:t>
      </w:r>
      <w:r>
        <w:rPr>
          <w:rFonts w:ascii="仿宋_GB2312" w:hAnsi="宋体" w:eastAsia="仿宋_GB2312"/>
          <w:sz w:val="24"/>
          <w:highlight w:val="none"/>
          <w:u w:val="single"/>
        </w:rPr>
        <w:t>小型企业</w:t>
      </w:r>
      <w:r>
        <w:rPr>
          <w:rFonts w:hint="eastAsia" w:ascii="仿宋_GB2312" w:hAnsi="宋体" w:eastAsia="仿宋_GB2312"/>
          <w:sz w:val="24"/>
          <w:highlight w:val="none"/>
          <w:u w:val="single"/>
          <w:lang w:val="en-US" w:eastAsia="zh-CN"/>
        </w:rPr>
        <w:t>或</w:t>
      </w:r>
      <w:r>
        <w:rPr>
          <w:rFonts w:ascii="仿宋_GB2312" w:hAnsi="宋体" w:eastAsia="仿宋_GB2312"/>
          <w:sz w:val="24"/>
          <w:highlight w:val="none"/>
          <w:u w:val="single"/>
        </w:rPr>
        <w:t>微型企业</w:t>
      </w:r>
      <w:r>
        <w:rPr>
          <w:rFonts w:hint="eastAsia" w:ascii="仿宋_GB2312" w:hAnsi="宋体" w:eastAsia="仿宋_GB2312"/>
          <w:sz w:val="24"/>
          <w:highlight w:val="none"/>
          <w:u w:val="single"/>
          <w:lang w:val="en-US" w:eastAsia="zh-CN"/>
        </w:rPr>
        <w:t>的一</w:t>
      </w:r>
      <w:r>
        <w:rPr>
          <w:rFonts w:ascii="仿宋_GB2312" w:hAnsi="宋体" w:eastAsia="仿宋_GB2312"/>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left"/>
        <w:textAlignment w:val="auto"/>
        <w:rPr>
          <w:rFonts w:ascii="仿宋_GB2312" w:hAnsi="宋体" w:eastAsia="仿宋_GB2312"/>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left"/>
        <w:textAlignment w:val="auto"/>
        <w:rPr>
          <w:rFonts w:ascii="仿宋_GB2312" w:hAnsi="宋体" w:eastAsia="仿宋_GB2312"/>
          <w:sz w:val="24"/>
          <w:highlight w:val="none"/>
        </w:rPr>
      </w:pPr>
      <w:r>
        <w:rPr>
          <w:rFonts w:hint="eastAsia" w:ascii="仿宋_GB2312" w:hAnsi="宋体" w:eastAsia="仿宋_GB2312"/>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left"/>
        <w:textAlignment w:val="auto"/>
        <w:rPr>
          <w:rFonts w:ascii="仿宋_GB2312" w:hAnsi="宋体" w:eastAsia="仿宋_GB2312"/>
          <w:sz w:val="24"/>
          <w:highlight w:val="none"/>
        </w:rPr>
      </w:pPr>
      <w:r>
        <w:rPr>
          <w:rFonts w:hint="eastAsia" w:ascii="仿宋_GB2312" w:hAnsi="宋体" w:eastAsia="仿宋_GB2312"/>
          <w:sz w:val="24"/>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left"/>
        <w:textAlignment w:val="auto"/>
        <w:rPr>
          <w:rFonts w:ascii="仿宋_GB2312" w:hAnsi="宋体" w:eastAsia="仿宋_GB2312"/>
          <w:sz w:val="24"/>
          <w:highlight w:val="none"/>
        </w:rPr>
      </w:pPr>
      <w:r>
        <w:rPr>
          <w:rFonts w:hint="eastAsia" w:ascii="仿宋_GB2312" w:hAnsi="宋体" w:eastAsia="仿宋_GB2312"/>
          <w:sz w:val="24"/>
          <w:highlight w:val="none"/>
        </w:rPr>
        <w:t>本企业对上述声明内容的真实性负责。如有虚假，将依法承担相应责任。</w:t>
      </w:r>
    </w:p>
    <w:p>
      <w:pPr>
        <w:pageBreakBefore w:val="0"/>
        <w:widowControl w:val="0"/>
        <w:kinsoku/>
        <w:wordWrap/>
        <w:overflowPunct/>
        <w:topLinePunct w:val="0"/>
        <w:autoSpaceDE/>
        <w:autoSpaceDN/>
        <w:bidi w:val="0"/>
        <w:adjustRightInd w:val="0"/>
        <w:snapToGrid w:val="0"/>
        <w:spacing w:line="360" w:lineRule="auto"/>
        <w:ind w:right="0"/>
        <w:jc w:val="right"/>
        <w:textAlignment w:val="auto"/>
        <w:rPr>
          <w:rFonts w:ascii="仿宋_GB2312" w:hAnsi="宋体" w:eastAsia="仿宋_GB2312"/>
          <w:sz w:val="24"/>
          <w:highlight w:val="none"/>
        </w:rPr>
      </w:pPr>
      <w:r>
        <w:rPr>
          <w:rFonts w:hint="eastAsia" w:ascii="仿宋_GB2312" w:hAnsi="仿宋" w:eastAsia="仿宋_GB2312" w:cs="仿宋_GB2312"/>
          <w:sz w:val="24"/>
          <w:highlight w:val="none"/>
        </w:rPr>
        <w:t>投标人</w:t>
      </w:r>
      <w:r>
        <w:rPr>
          <w:rFonts w:hint="eastAsia" w:ascii="仿宋_GB2312" w:hAnsi="宋体" w:eastAsia="仿宋_GB2312"/>
          <w:sz w:val="24"/>
          <w:highlight w:val="none"/>
        </w:rPr>
        <w:t>名称（</w:t>
      </w:r>
      <w:r>
        <w:rPr>
          <w:rFonts w:hint="eastAsia" w:ascii="仿宋_GB2312" w:hAnsi="仿宋" w:eastAsia="仿宋_GB2312" w:cs="仿宋_GB2312"/>
          <w:sz w:val="24"/>
          <w:highlight w:val="none"/>
        </w:rPr>
        <w:t>电子签名</w:t>
      </w:r>
      <w:r>
        <w:rPr>
          <w:rFonts w:hint="eastAsia" w:ascii="仿宋_GB2312" w:hAnsi="宋体" w:eastAsia="仿宋_GB2312"/>
          <w:sz w:val="24"/>
          <w:highlight w:val="none"/>
        </w:rPr>
        <w:t>）：</w:t>
      </w:r>
    </w:p>
    <w:p>
      <w:pPr>
        <w:keepNext/>
        <w:keepLines/>
        <w:pageBreakBefore w:val="0"/>
        <w:widowControl w:val="0"/>
        <w:kinsoku/>
        <w:wordWrap/>
        <w:overflowPunct/>
        <w:topLinePunct w:val="0"/>
        <w:autoSpaceDE/>
        <w:autoSpaceDN/>
        <w:bidi w:val="0"/>
        <w:adjustRightInd w:val="0"/>
        <w:snapToGrid w:val="0"/>
        <w:spacing w:line="360" w:lineRule="auto"/>
        <w:ind w:right="0" w:firstLine="6240" w:firstLineChars="2600"/>
        <w:textAlignment w:val="auto"/>
        <w:outlineLvl w:val="9"/>
        <w:rPr>
          <w:rFonts w:hint="eastAsia" w:ascii="仿宋_GB2312" w:hAnsi="宋体" w:eastAsia="仿宋_GB2312"/>
          <w:sz w:val="24"/>
          <w:highlight w:val="none"/>
        </w:rPr>
      </w:pPr>
      <w:r>
        <w:rPr>
          <w:rFonts w:hint="eastAsia" w:ascii="仿宋_GB2312" w:hAnsi="宋体" w:eastAsia="仿宋_GB2312"/>
          <w:sz w:val="24"/>
          <w:highlight w:val="none"/>
        </w:rPr>
        <w:t>日</w:t>
      </w:r>
      <w:r>
        <w:rPr>
          <w:rFonts w:ascii="仿宋_GB2312" w:hAnsi="宋体" w:eastAsia="仿宋_GB2312"/>
          <w:sz w:val="24"/>
          <w:highlight w:val="none"/>
        </w:rPr>
        <w:t xml:space="preserve"> </w:t>
      </w:r>
      <w:r>
        <w:rPr>
          <w:rFonts w:hint="eastAsia" w:ascii="仿宋_GB2312" w:hAnsi="宋体" w:eastAsia="仿宋_GB2312"/>
          <w:sz w:val="24"/>
          <w:highlight w:val="none"/>
        </w:rPr>
        <w:t>期：</w:t>
      </w:r>
    </w:p>
    <w:p>
      <w:pPr>
        <w:pStyle w:val="172"/>
        <w:keepNext w:val="0"/>
        <w:keepLines w:val="0"/>
        <w:pageBreakBefore w:val="0"/>
        <w:widowControl w:val="0"/>
        <w:tabs>
          <w:tab w:val="clear" w:pos="720"/>
        </w:tabs>
        <w:kinsoku/>
        <w:wordWrap/>
        <w:overflowPunct/>
        <w:topLinePunct w:val="0"/>
        <w:autoSpaceDE/>
        <w:autoSpaceDN/>
        <w:bidi w:val="0"/>
        <w:adjustRightInd/>
        <w:snapToGrid w:val="0"/>
        <w:spacing w:before="120" w:after="120"/>
        <w:ind w:firstLine="641"/>
        <w:jc w:val="both"/>
        <w:textAlignment w:val="auto"/>
        <w:outlineLvl w:val="9"/>
        <w:rPr>
          <w:rFonts w:hint="eastAsia" w:ascii="仿宋_GB2312" w:hAnsi="宋体" w:eastAsia="仿宋_GB2312" w:cs="Times New Roman"/>
          <w:b w:val="0"/>
          <w:kern w:val="2"/>
          <w:sz w:val="24"/>
          <w:szCs w:val="24"/>
          <w:highlight w:val="none"/>
          <w:lang w:val="en-US" w:eastAsia="zh-CN" w:bidi="ar-SA"/>
        </w:rPr>
        <w:sectPr>
          <w:pgSz w:w="11906" w:h="16838"/>
          <w:pgMar w:top="1247" w:right="1418" w:bottom="1276" w:left="1418" w:header="851" w:footer="992" w:gutter="0"/>
          <w:cols w:space="720" w:num="1"/>
          <w:titlePg/>
          <w:docGrid w:linePitch="312" w:charSpace="0"/>
        </w:sectPr>
      </w:pPr>
      <w:bookmarkStart w:id="133" w:name="_Toc27375"/>
      <w:r>
        <w:rPr>
          <w:rFonts w:hint="eastAsia" w:ascii="仿宋_GB2312" w:hAnsi="宋体" w:eastAsia="仿宋_GB2312" w:cs="Times New Roman"/>
          <w:b w:val="0"/>
          <w:kern w:val="2"/>
          <w:sz w:val="24"/>
          <w:szCs w:val="24"/>
          <w:highlight w:val="none"/>
          <w:lang w:val="en-US" w:eastAsia="zh-CN" w:bidi="ar-SA"/>
        </w:rPr>
        <w:t>说明：本项目标的为图书，制造商为出版社或出版公司。只有所有图书制造商为中小企业的，享受中小企业扶持政策。</w:t>
      </w:r>
      <w:bookmarkEnd w:id="133"/>
    </w:p>
    <w:p>
      <w:pPr>
        <w:rPr>
          <w:rFonts w:ascii="仿宋" w:hAnsi="仿宋" w:eastAsia="仿宋" w:cs="仿宋"/>
          <w:color w:val="auto"/>
          <w:highlight w:val="none"/>
        </w:rPr>
      </w:pPr>
    </w:p>
    <w:p>
      <w:pPr>
        <w:spacing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ascii="仿宋" w:hAnsi="仿宋" w:eastAsia="仿宋" w:cs="仿宋"/>
          <w:b/>
          <w:color w:val="auto"/>
          <w:spacing w:val="6"/>
          <w:sz w:val="32"/>
          <w:szCs w:val="32"/>
          <w:highlight w:val="none"/>
        </w:rPr>
      </w:pPr>
      <w:bookmarkStart w:id="134" w:name="OLE_LINK14"/>
      <w:bookmarkStart w:id="135" w:name="OLE_LINK13"/>
      <w:r>
        <w:rPr>
          <w:rFonts w:hint="eastAsia" w:ascii="仿宋" w:hAnsi="仿宋" w:eastAsia="仿宋" w:cs="仿宋"/>
          <w:b/>
          <w:color w:val="auto"/>
          <w:spacing w:val="6"/>
          <w:sz w:val="32"/>
          <w:szCs w:val="32"/>
          <w:highlight w:val="none"/>
        </w:rPr>
        <w:t>残疾人福利性单位声明函</w:t>
      </w:r>
    </w:p>
    <w:bookmarkEnd w:id="134"/>
    <w:bookmarkEnd w:id="135"/>
    <w:p>
      <w:pPr>
        <w:spacing w:line="360" w:lineRule="auto"/>
        <w:rPr>
          <w:rFonts w:ascii="仿宋" w:hAnsi="仿宋" w:eastAsia="仿宋" w:cs="仿宋"/>
          <w:b/>
          <w:color w:val="auto"/>
          <w:spacing w:val="6"/>
          <w:sz w:val="30"/>
          <w:szCs w:val="30"/>
          <w:highlight w:val="none"/>
        </w:rPr>
      </w:pP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p>
    <w:p>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ascii="仿宋" w:hAnsi="仿宋" w:eastAsia="仿宋" w:cs="仿宋"/>
          <w:color w:val="auto"/>
          <w:sz w:val="24"/>
          <w:highlight w:val="none"/>
        </w:rPr>
      </w:pPr>
    </w:p>
    <w:p>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地址：邮编：</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 邮编：</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pPr>
        <w:snapToGrid w:val="0"/>
        <w:spacing w:line="360" w:lineRule="auto"/>
        <w:rPr>
          <w:rFonts w:ascii="仿宋" w:hAnsi="仿宋" w:eastAsia="仿宋" w:cs="仿宋"/>
          <w:color w:val="auto"/>
          <w:sz w:val="24"/>
          <w:highlight w:val="none"/>
          <w:u w:val="dotted"/>
        </w:rPr>
      </w:pP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ascii="仿宋" w:hAnsi="仿宋" w:eastAsia="仿宋" w:cs="仿宋"/>
          <w:b/>
          <w:bCs/>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color w:val="auto"/>
          <w:sz w:val="30"/>
          <w:szCs w:val="30"/>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left"/>
        <w:rPr>
          <w:rFonts w:ascii="仿宋" w:hAnsi="仿宋" w:eastAsia="仿宋" w:cs="仿宋"/>
          <w:b/>
          <w:color w:val="auto"/>
          <w:spacing w:val="6"/>
          <w:sz w:val="32"/>
          <w:szCs w:val="32"/>
          <w:highlight w:val="none"/>
        </w:rPr>
      </w:pPr>
    </w:p>
    <w:p>
      <w:pPr>
        <w:spacing w:line="360" w:lineRule="auto"/>
        <w:jc w:val="left"/>
        <w:rPr>
          <w:rFonts w:ascii="仿宋" w:hAnsi="仿宋" w:eastAsia="仿宋" w:cs="仿宋"/>
          <w:b/>
          <w:color w:val="auto"/>
          <w:spacing w:val="6"/>
          <w:sz w:val="32"/>
          <w:szCs w:val="32"/>
          <w:highlight w:val="none"/>
        </w:rPr>
      </w:pPr>
    </w:p>
    <w:p>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ascii="仿宋" w:hAnsi="仿宋" w:eastAsia="仿宋" w:cs="仿宋"/>
          <w:b/>
          <w:color w:val="auto"/>
          <w:sz w:val="24"/>
          <w:highlight w:val="none"/>
        </w:rPr>
      </w:pPr>
    </w:p>
    <w:p>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p>
    <w:p>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授权代表：联系电话</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址：邮编：</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采购项目编号：包号：</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投诉人于年月日,向提出质疑，质疑事项为：</w:t>
      </w:r>
    </w:p>
    <w:p>
      <w:pPr>
        <w:spacing w:line="360" w:lineRule="auto"/>
        <w:rPr>
          <w:rFonts w:ascii="仿宋" w:hAnsi="仿宋" w:eastAsia="仿宋" w:cs="仿宋"/>
          <w:color w:val="auto"/>
          <w:sz w:val="24"/>
          <w:highlight w:val="none"/>
          <w:u w:val="dotted"/>
        </w:rPr>
      </w:pPr>
    </w:p>
    <w:p>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于年月日,就质疑事项作出了答复/没有在法定期限内作出答复。</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p>
    <w:p>
      <w:pPr>
        <w:spacing w:line="360" w:lineRule="auto"/>
        <w:rPr>
          <w:rFonts w:ascii="仿宋" w:hAnsi="仿宋" w:eastAsia="仿宋" w:cs="仿宋"/>
          <w:color w:val="auto"/>
          <w:sz w:val="24"/>
          <w:highlight w:val="none"/>
          <w:u w:val="dotted"/>
        </w:rPr>
      </w:pP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p>
    <w:p>
      <w:pPr>
        <w:spacing w:line="360" w:lineRule="auto"/>
        <w:rPr>
          <w:rFonts w:ascii="仿宋" w:hAnsi="仿宋" w:eastAsia="仿宋" w:cs="仿宋"/>
          <w:color w:val="auto"/>
          <w:sz w:val="24"/>
          <w:highlight w:val="none"/>
          <w:u w:val="dotted"/>
        </w:rPr>
      </w:pP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p>
    <w:p>
      <w:pPr>
        <w:spacing w:line="360" w:lineRule="auto"/>
        <w:rPr>
          <w:rFonts w:ascii="仿宋" w:hAnsi="仿宋" w:eastAsia="仿宋" w:cs="仿宋"/>
          <w:color w:val="auto"/>
          <w:sz w:val="24"/>
          <w:highlight w:val="none"/>
          <w:u w:val="single"/>
        </w:rPr>
      </w:pP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color w:val="auto"/>
          <w:sz w:val="24"/>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ascii="仿宋" w:hAnsi="仿宋" w:eastAsia="仿宋" w:cs="仿宋"/>
          <w:bCs/>
          <w:color w:val="auto"/>
          <w:sz w:val="24"/>
          <w:highlight w:val="none"/>
        </w:rPr>
      </w:pPr>
      <w:r>
        <w:rPr>
          <w:rFonts w:ascii="仿宋" w:hAnsi="仿宋" w:eastAsia="仿宋" w:cs="仿宋"/>
          <w:b/>
          <w:bCs/>
          <w:color w:val="auto"/>
          <w:sz w:val="24"/>
          <w:highlight w:val="none"/>
        </w:rPr>
        <mc:AlternateContent>
          <mc:Choice Requires="wps">
            <w:drawing>
              <wp:anchor distT="0" distB="0" distL="114300" distR="114300" simplePos="0" relativeHeight="251663360"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312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cs="仿宋"/>
          <w:b/>
          <w:bCs/>
          <w:color w:val="auto"/>
          <w:sz w:val="24"/>
          <w:highlight w:val="none"/>
        </w:rPr>
        <mc:AlternateContent>
          <mc:Choice Requires="wps">
            <w:drawing>
              <wp:anchor distT="0" distB="0" distL="114300" distR="114300" simplePos="0" relativeHeight="251664384"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209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sz w:val="32"/>
          <w:szCs w:val="32"/>
          <w:highlight w:val="none"/>
        </w:rPr>
        <w:t>中小企业声明函</w:t>
      </w:r>
    </w:p>
    <w:p>
      <w:pPr>
        <w:spacing w:line="360" w:lineRule="auto"/>
        <w:jc w:val="center"/>
        <w:rPr>
          <w:rFonts w:ascii="仿宋" w:hAnsi="仿宋" w:eastAsia="仿宋" w:cs="仿宋"/>
          <w:color w:val="auto"/>
          <w:sz w:val="24"/>
          <w:highlight w:val="none"/>
          <w:u w:val="single"/>
        </w:rPr>
      </w:pPr>
    </w:p>
    <w:p>
      <w:pPr>
        <w:rPr>
          <w:rFonts w:hint="eastAsia" w:ascii="仿宋" w:hAnsi="仿宋" w:eastAsia="仿宋" w:cs="仿宋"/>
          <w:b w:val="0"/>
          <w:bCs/>
          <w:color w:val="FF0000"/>
          <w:sz w:val="24"/>
          <w:szCs w:val="24"/>
          <w:highlight w:val="none"/>
          <w:lang w:val="en-US" w:eastAsia="zh-CN"/>
        </w:rPr>
      </w:pPr>
      <w:r>
        <w:rPr>
          <w:rFonts w:hint="eastAsia" w:ascii="仿宋" w:hAnsi="仿宋" w:eastAsia="仿宋" w:cs="仿宋"/>
          <w:b w:val="0"/>
          <w:bCs/>
          <w:color w:val="FF0000"/>
          <w:sz w:val="24"/>
          <w:szCs w:val="24"/>
          <w:highlight w:val="none"/>
          <w:lang w:val="en-US" w:eastAsia="zh-CN"/>
        </w:rPr>
        <w:t>（示范见资格文件部分）</w:t>
      </w:r>
    </w:p>
    <w:p>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中小企业声明函（货物）</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0000FF"/>
          <w:sz w:val="24"/>
          <w:highlight w:val="none"/>
          <w:u w:val="single"/>
        </w:rPr>
        <w:t>（采购人）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的 </w:t>
      </w:r>
      <w:r>
        <w:rPr>
          <w:rFonts w:hint="eastAsia" w:ascii="仿宋" w:hAnsi="仿宋" w:eastAsia="仿宋" w:cs="仿宋"/>
          <w:color w:val="0000FF"/>
          <w:sz w:val="24"/>
          <w:highlight w:val="none"/>
          <w:u w:val="single"/>
        </w:rPr>
        <w:t>（项目名称）</w:t>
      </w:r>
      <w:r>
        <w:rPr>
          <w:rFonts w:hint="eastAsia" w:ascii="仿宋" w:hAnsi="仿宋" w:eastAsia="仿宋" w:cs="仿宋"/>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highlight w:val="none"/>
        </w:rPr>
        <w:t xml:space="preserve"> </w:t>
      </w:r>
      <w:r>
        <w:rPr>
          <w:rFonts w:hint="eastAsia" w:ascii="仿宋" w:hAnsi="仿宋" w:eastAsia="仿宋" w:cs="仿宋"/>
          <w:color w:val="0000FF"/>
          <w:sz w:val="24"/>
          <w:highlight w:val="none"/>
          <w:u w:val="single"/>
        </w:rPr>
        <w:t>（标的名称）</w:t>
      </w:r>
      <w:r>
        <w:rPr>
          <w:rFonts w:hint="eastAsia" w:ascii="仿宋" w:hAnsi="仿宋" w:eastAsia="仿宋" w:cs="仿宋"/>
          <w:sz w:val="24"/>
          <w:highlight w:val="none"/>
        </w:rPr>
        <w:t xml:space="preserve"> ，属于</w:t>
      </w:r>
      <w:r>
        <w:rPr>
          <w:rFonts w:hint="eastAsia" w:ascii="仿宋" w:hAnsi="仿宋" w:eastAsia="仿宋" w:cs="仿宋"/>
          <w:color w:val="0000FF"/>
          <w:sz w:val="24"/>
          <w:highlight w:val="none"/>
        </w:rPr>
        <w:t xml:space="preserve"> </w:t>
      </w:r>
      <w:r>
        <w:rPr>
          <w:rFonts w:hint="eastAsia" w:ascii="仿宋" w:hAnsi="仿宋" w:eastAsia="仿宋" w:cs="仿宋"/>
          <w:color w:val="0000FF"/>
          <w:sz w:val="24"/>
          <w:highlight w:val="none"/>
          <w:u w:val="single"/>
        </w:rPr>
        <w:t>（采购文件中明确的所属行业）</w:t>
      </w:r>
      <w:r>
        <w:rPr>
          <w:rFonts w:hint="eastAsia" w:ascii="仿宋" w:hAnsi="仿宋" w:eastAsia="仿宋" w:cs="仿宋"/>
          <w:sz w:val="24"/>
          <w:highlight w:val="none"/>
        </w:rPr>
        <w:t>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highlight w:val="none"/>
        </w:rPr>
        <w:t xml:space="preserve"> </w:t>
      </w:r>
      <w:r>
        <w:rPr>
          <w:rFonts w:hint="eastAsia" w:ascii="仿宋" w:hAnsi="仿宋" w:eastAsia="仿宋" w:cs="仿宋"/>
          <w:color w:val="0000FF"/>
          <w:sz w:val="24"/>
          <w:highlight w:val="none"/>
          <w:u w:val="single"/>
        </w:rPr>
        <w:t>（标的名称）</w:t>
      </w:r>
      <w:r>
        <w:rPr>
          <w:rFonts w:hint="eastAsia" w:ascii="仿宋" w:hAnsi="仿宋" w:eastAsia="仿宋" w:cs="仿宋"/>
          <w:sz w:val="24"/>
          <w:highlight w:val="none"/>
        </w:rPr>
        <w:t xml:space="preserve"> ，属于 </w:t>
      </w:r>
      <w:r>
        <w:rPr>
          <w:rFonts w:hint="eastAsia" w:ascii="仿宋" w:hAnsi="仿宋" w:eastAsia="仿宋" w:cs="仿宋"/>
          <w:color w:val="0000FF"/>
          <w:sz w:val="24"/>
          <w:highlight w:val="none"/>
          <w:u w:val="single"/>
        </w:rPr>
        <w:t>（采购文件中明确的所属行业）</w:t>
      </w:r>
      <w:r>
        <w:rPr>
          <w:rFonts w:hint="eastAsia" w:ascii="仿宋" w:hAnsi="仿宋" w:eastAsia="仿宋" w:cs="仿宋"/>
          <w:sz w:val="24"/>
          <w:highlight w:val="none"/>
        </w:rPr>
        <w:t>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投标人名称(电子签名)：</w:t>
      </w:r>
    </w:p>
    <w:p>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pPr>
        <w:spacing w:line="360" w:lineRule="auto"/>
        <w:jc w:val="left"/>
        <w:rPr>
          <w:rFonts w:hint="eastAsia" w:ascii="仿宋" w:hAnsi="仿宋" w:eastAsia="仿宋" w:cs="仿宋"/>
          <w:sz w:val="18"/>
          <w:szCs w:val="18"/>
          <w:highlight w:val="none"/>
        </w:rPr>
      </w:pPr>
      <w:r>
        <w:rPr>
          <w:rFonts w:hint="eastAsia" w:ascii="仿宋" w:hAnsi="仿宋" w:eastAsia="仿宋" w:cs="仿宋"/>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sz w:val="24"/>
          <w:highlight w:val="none"/>
        </w:rPr>
      </w:pPr>
      <w:r>
        <w:rPr>
          <w:rFonts w:hint="eastAsia" w:ascii="仿宋" w:hAnsi="仿宋" w:eastAsia="仿宋" w:cs="仿宋"/>
          <w:sz w:val="24"/>
          <w:highlight w:val="none"/>
        </w:rPr>
        <w:t>注：</w:t>
      </w:r>
    </w:p>
    <w:p>
      <w:pPr>
        <w:spacing w:line="360" w:lineRule="auto"/>
        <w:ind w:right="420" w:firstLine="480" w:firstLineChars="200"/>
        <w:rPr>
          <w:rFonts w:hint="eastAsia" w:ascii="仿宋" w:hAnsi="仿宋" w:eastAsia="仿宋" w:cs="仿宋"/>
          <w:sz w:val="24"/>
          <w:highlight w:val="none"/>
        </w:rPr>
      </w:pPr>
      <w:r>
        <w:rPr>
          <w:rFonts w:hint="eastAsia" w:ascii="仿宋" w:hAnsi="仿宋" w:eastAsia="仿宋" w:cs="仿宋"/>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rPr>
          <w:rFonts w:hint="eastAsia" w:ascii="仿宋" w:hAnsi="仿宋" w:eastAsia="仿宋" w:cs="仿宋"/>
          <w:color w:val="auto"/>
          <w:highlight w:val="none"/>
        </w:rPr>
      </w:pPr>
      <w:r>
        <w:rPr>
          <w:rFonts w:hint="eastAsia" w:ascii="仿宋" w:hAnsi="仿宋" w:eastAsia="仿宋" w:cs="仿宋"/>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rFonts w:ascii="仿宋" w:hAnsi="仿宋" w:eastAsia="仿宋" w:cs="仿宋"/>
          <w:color w:val="auto"/>
          <w:highlight w:val="none"/>
        </w:rPr>
      </w:pPr>
    </w:p>
    <w:p>
      <w:pPr>
        <w:pStyle w:val="182"/>
        <w:widowControl w:val="0"/>
        <w:adjustRightInd w:val="0"/>
        <w:snapToGrid w:val="0"/>
        <w:spacing w:line="360" w:lineRule="auto"/>
        <w:jc w:val="both"/>
        <w:rPr>
          <w:rFonts w:hint="default" w:ascii="仿宋" w:hAnsi="仿宋" w:eastAsia="仿宋" w:cs="仿宋"/>
          <w:b/>
          <w:color w:val="auto"/>
          <w:sz w:val="30"/>
          <w:szCs w:val="30"/>
          <w:highlight w:val="none"/>
        </w:rPr>
        <w:sectPr>
          <w:headerReference r:id="rId11" w:type="default"/>
          <w:footerReference r:id="rId12" w:type="default"/>
          <w:pgSz w:w="11906" w:h="16838"/>
          <w:pgMar w:top="1247" w:right="1588" w:bottom="1089" w:left="1588" w:header="851" w:footer="992" w:gutter="0"/>
          <w:cols w:space="720" w:num="1"/>
          <w:docGrid w:linePitch="312" w:charSpace="0"/>
        </w:sectPr>
      </w:pPr>
    </w:p>
    <w:p>
      <w:pPr>
        <w:autoSpaceDE w:val="0"/>
        <w:autoSpaceDN w:val="0"/>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其他</w:t>
      </w:r>
    </w:p>
    <w:p>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关于钱塘区政府采购支持中小企业信用融资相关事项通知</w:t>
      </w:r>
    </w:p>
    <w:p>
      <w:pPr>
        <w:spacing w:line="360" w:lineRule="auto"/>
        <w:jc w:val="center"/>
        <w:rPr>
          <w:rFonts w:ascii="仿宋" w:hAnsi="仿宋" w:eastAsia="仿宋" w:cs="仿宋"/>
          <w:b/>
          <w:color w:val="auto"/>
          <w:sz w:val="10"/>
          <w:szCs w:val="10"/>
          <w:highlight w:val="none"/>
        </w:rPr>
      </w:pPr>
    </w:p>
    <w:p>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为支持和促进中小企业发展，进一步发挥政府采购政策功能，根据《杭州市政府采购支持中小企业信用融资管理办法》《关于钱塘区政府采购支持中小企业信用融资有关事项的通知》，现将相关事项通知如下：</w:t>
      </w:r>
    </w:p>
    <w:p>
      <w:pPr>
        <w:spacing w:line="360"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一、适用对象</w:t>
      </w:r>
    </w:p>
    <w:p>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在浙江“政采云”平台注册入库，并取得钱塘区政府采购合同的中小企业供应商。</w:t>
      </w:r>
    </w:p>
    <w:p>
      <w:pPr>
        <w:spacing w:line="360"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二、相关信息获取方式</w:t>
      </w:r>
    </w:p>
    <w:p>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请登陆杭州钱塘区管理委员会官网（http://qt.hangzhou.gov.cn） “公告公示”专栏，查看信用融资政策文件及各相关银行服务方案。</w:t>
      </w:r>
    </w:p>
    <w:p>
      <w:pPr>
        <w:spacing w:line="360"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三、申请方式和步骤</w:t>
      </w:r>
    </w:p>
    <w:p>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1、供应商若有融资意向，需先与钱塘区财政金融局合作的银行对接，办理相关融资前期手续；</w:t>
      </w:r>
    </w:p>
    <w:p>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2、中标后，供应商应与</w:t>
      </w:r>
      <w:r>
        <w:rPr>
          <w:rFonts w:hint="eastAsia" w:ascii="仿宋" w:hAnsi="仿宋" w:eastAsia="仿宋" w:cs="仿宋"/>
          <w:color w:val="auto"/>
          <w:szCs w:val="21"/>
          <w:highlight w:val="none"/>
          <w:lang w:eastAsia="zh-CN"/>
        </w:rPr>
        <w:t>采购人</w:t>
      </w:r>
      <w:r>
        <w:rPr>
          <w:rFonts w:hint="eastAsia" w:ascii="仿宋" w:hAnsi="仿宋" w:eastAsia="仿宋" w:cs="仿宋"/>
          <w:color w:val="auto"/>
          <w:szCs w:val="21"/>
          <w:highlight w:val="none"/>
        </w:rPr>
        <w:t>或者采购代理机构及时联系，告知融资需求；</w:t>
      </w:r>
    </w:p>
    <w:p>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3、相关合作银行联系并审核供应商及相关中标信息，办理相关融资事宜；</w:t>
      </w:r>
    </w:p>
    <w:p>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w:t>
      </w:r>
      <w:r>
        <w:rPr>
          <w:rFonts w:hint="eastAsia" w:ascii="仿宋" w:hAnsi="仿宋" w:eastAsia="仿宋" w:cs="仿宋"/>
          <w:color w:val="auto"/>
          <w:szCs w:val="21"/>
          <w:highlight w:val="none"/>
          <w:lang w:eastAsia="zh-CN"/>
        </w:rPr>
        <w:t>采购人</w:t>
      </w:r>
      <w:r>
        <w:rPr>
          <w:rFonts w:hint="eastAsia" w:ascii="仿宋" w:hAnsi="仿宋" w:eastAsia="仿宋" w:cs="仿宋"/>
          <w:color w:val="auto"/>
          <w:szCs w:val="21"/>
          <w:highlight w:val="none"/>
        </w:rPr>
        <w:t>或者采购代理机构在政府采购信息系统录入中标合同信息时，须标注合同为信用融资合同，并选择相应的信用融资合作银行，录入账号信息；</w:t>
      </w:r>
    </w:p>
    <w:p>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5、采购人应及时将信用融资合同提交财政金融局备案。</w:t>
      </w:r>
    </w:p>
    <w:p>
      <w:pPr>
        <w:spacing w:line="360"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四、注意事项</w:t>
      </w:r>
    </w:p>
    <w:p>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请各</w:t>
      </w:r>
      <w:r>
        <w:rPr>
          <w:rFonts w:hint="eastAsia" w:ascii="仿宋" w:hAnsi="仿宋" w:eastAsia="仿宋" w:cs="仿宋"/>
          <w:color w:val="auto"/>
          <w:szCs w:val="21"/>
          <w:highlight w:val="none"/>
          <w:lang w:eastAsia="zh-CN"/>
        </w:rPr>
        <w:t>采购人</w:t>
      </w:r>
      <w:r>
        <w:rPr>
          <w:rFonts w:hint="eastAsia" w:ascii="仿宋" w:hAnsi="仿宋" w:eastAsia="仿宋" w:cs="仿宋"/>
          <w:color w:val="auto"/>
          <w:szCs w:val="21"/>
          <w:highlight w:val="none"/>
        </w:rPr>
        <w:t>和采购代理机构积极支持和配合政府采购信用融资工作，在合同备案环节务必请仔细核对收款银行、账号信息等内容，一旦录入将无法修改。</w:t>
      </w:r>
    </w:p>
    <w:p>
      <w:pPr>
        <w:spacing w:line="360"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五、合作银行及联系方式</w:t>
      </w:r>
    </w:p>
    <w:tbl>
      <w:tblPr>
        <w:tblStyle w:val="45"/>
        <w:tblW w:w="8740" w:type="dxa"/>
        <w:tblInd w:w="95" w:type="dxa"/>
        <w:tblLayout w:type="fixed"/>
        <w:tblCellMar>
          <w:top w:w="0" w:type="dxa"/>
          <w:left w:w="108" w:type="dxa"/>
          <w:bottom w:w="0" w:type="dxa"/>
          <w:right w:w="108" w:type="dxa"/>
        </w:tblCellMar>
      </w:tblPr>
      <w:tblGrid>
        <w:gridCol w:w="1080"/>
        <w:gridCol w:w="3020"/>
        <w:gridCol w:w="1420"/>
        <w:gridCol w:w="3220"/>
      </w:tblGrid>
      <w:tr>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序号</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联系人</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电话</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1</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罗兴、王强</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86910319，13588718187</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2</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中信银行开发支行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左劼</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13777889798</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3</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民生银行下沙支行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吕刚</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13906811832</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4</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杭州银行下沙开发区支行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费莎</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13388617781</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5</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兴业银行开发区支行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丁萍</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13777421564</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6</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中国银行钱塘支行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高飞</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86722499</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7</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吴建恩</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13646861493</w:t>
            </w:r>
          </w:p>
        </w:tc>
      </w:tr>
      <w:tr>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8</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宁波银行开发区支行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贾磊</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13575745232</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9</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杭州联合银行下沙支行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王宁</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18906520030</w:t>
            </w:r>
          </w:p>
        </w:tc>
      </w:tr>
      <w:tr>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10</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农业银行杭州下沙支行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施伟东</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86912948,15988106601</w:t>
            </w:r>
          </w:p>
        </w:tc>
      </w:tr>
      <w:tr>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11</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建行杭州大江东支行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朱丽丹</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13732249271</w:t>
            </w:r>
          </w:p>
        </w:tc>
      </w:tr>
      <w:tr>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12</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农业银行临江支行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张学民</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82198699，13867197838</w:t>
            </w:r>
          </w:p>
        </w:tc>
      </w:tr>
    </w:tbl>
    <w:p>
      <w:pPr>
        <w:pStyle w:val="182"/>
        <w:widowControl w:val="0"/>
        <w:adjustRightInd w:val="0"/>
        <w:snapToGrid w:val="0"/>
        <w:spacing w:line="360" w:lineRule="auto"/>
        <w:jc w:val="both"/>
        <w:rPr>
          <w:rFonts w:hint="default" w:ascii="仿宋" w:hAnsi="仿宋" w:eastAsia="仿宋" w:cs="仿宋"/>
          <w:b/>
          <w:color w:val="auto"/>
          <w:sz w:val="30"/>
          <w:szCs w:val="30"/>
          <w:highlight w:val="none"/>
        </w:rPr>
        <w:sectPr>
          <w:pgSz w:w="11906" w:h="16838"/>
          <w:pgMar w:top="1247" w:right="1588" w:bottom="1089" w:left="1588" w:header="851" w:footer="992" w:gutter="0"/>
          <w:cols w:space="720" w:num="1"/>
          <w:docGrid w:linePitch="312" w:charSpace="0"/>
        </w:sectPr>
      </w:pPr>
    </w:p>
    <w:p>
      <w:pPr>
        <w:pStyle w:val="182"/>
        <w:widowControl w:val="0"/>
        <w:snapToGrid w:val="0"/>
        <w:spacing w:line="500" w:lineRule="exact"/>
        <w:rPr>
          <w:rFonts w:hint="default" w:ascii="仿宋" w:hAnsi="仿宋" w:eastAsia="仿宋" w:cs="仿宋"/>
          <w:b/>
          <w:color w:val="auto"/>
          <w:sz w:val="28"/>
          <w:szCs w:val="28"/>
          <w:highlight w:val="none"/>
        </w:rPr>
      </w:pPr>
      <w:r>
        <w:rPr>
          <w:rFonts w:ascii="仿宋" w:hAnsi="仿宋" w:eastAsia="仿宋" w:cs="仿宋"/>
          <w:color w:val="auto"/>
          <w:kern w:val="0"/>
          <w:szCs w:val="21"/>
          <w:highlight w:val="none"/>
        </w:rPr>
        <w:t>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182"/>
        <w:widowControl w:val="0"/>
        <w:snapToGrid w:val="0"/>
        <w:spacing w:line="500" w:lineRule="exact"/>
        <w:jc w:val="center"/>
        <w:rPr>
          <w:rFonts w:hint="default" w:ascii="仿宋" w:hAnsi="仿宋" w:eastAsia="仿宋" w:cs="仿宋"/>
          <w:b/>
          <w:color w:val="auto"/>
          <w:sz w:val="28"/>
          <w:szCs w:val="28"/>
          <w:highlight w:val="none"/>
        </w:rPr>
      </w:pPr>
      <w:r>
        <w:rPr>
          <w:rFonts w:ascii="仿宋" w:hAnsi="仿宋" w:eastAsia="仿宋" w:cs="仿宋"/>
          <w:b/>
          <w:color w:val="auto"/>
          <w:sz w:val="28"/>
          <w:szCs w:val="28"/>
          <w:highlight w:val="none"/>
        </w:rPr>
        <w:t>中小企业划型标准规定</w:t>
      </w:r>
    </w:p>
    <w:p>
      <w:pPr>
        <w:pStyle w:val="182"/>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p>
    <w:p>
      <w:pPr>
        <w:pStyle w:val="182"/>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一、根据《中华人民共和国中小企业促进法》和《</w:t>
      </w:r>
      <w:r>
        <w:rPr>
          <w:color w:val="auto"/>
          <w:highlight w:val="none"/>
        </w:rPr>
        <w:fldChar w:fldCharType="begin"/>
      </w:r>
      <w:r>
        <w:rPr>
          <w:color w:val="auto"/>
          <w:highlight w:val="none"/>
        </w:rPr>
        <w:instrText xml:space="preserve"> HYPERLINK "https://www.shui5.cn/article/47/26142.html" </w:instrText>
      </w:r>
      <w:r>
        <w:rPr>
          <w:color w:val="auto"/>
          <w:highlight w:val="none"/>
        </w:rPr>
        <w:fldChar w:fldCharType="separate"/>
      </w:r>
      <w:r>
        <w:rPr>
          <w:rFonts w:ascii="仿宋" w:hAnsi="仿宋" w:eastAsia="仿宋" w:cs="仿宋"/>
          <w:color w:val="auto"/>
          <w:spacing w:val="6"/>
          <w:szCs w:val="21"/>
          <w:highlight w:val="none"/>
        </w:rPr>
        <w:t>国务院关于进一步促进中小企业发展的若干意见</w:t>
      </w:r>
      <w:r>
        <w:rPr>
          <w:rFonts w:ascii="仿宋" w:hAnsi="仿宋" w:eastAsia="仿宋" w:cs="仿宋"/>
          <w:color w:val="auto"/>
          <w:spacing w:val="6"/>
          <w:szCs w:val="21"/>
          <w:highlight w:val="none"/>
        </w:rPr>
        <w:fldChar w:fldCharType="end"/>
      </w:r>
      <w:r>
        <w:rPr>
          <w:rFonts w:ascii="仿宋" w:hAnsi="仿宋" w:eastAsia="仿宋" w:cs="仿宋"/>
          <w:color w:val="auto"/>
          <w:spacing w:val="6"/>
          <w:szCs w:val="21"/>
          <w:highlight w:val="none"/>
        </w:rPr>
        <w:t>》（</w:t>
      </w:r>
      <w:r>
        <w:rPr>
          <w:color w:val="auto"/>
          <w:highlight w:val="none"/>
        </w:rPr>
        <w:fldChar w:fldCharType="begin"/>
      </w:r>
      <w:r>
        <w:rPr>
          <w:color w:val="auto"/>
          <w:highlight w:val="none"/>
        </w:rPr>
        <w:instrText xml:space="preserve"> HYPERLINK "https://www.shui5.cn/article/47/26142.html" </w:instrText>
      </w:r>
      <w:r>
        <w:rPr>
          <w:color w:val="auto"/>
          <w:highlight w:val="none"/>
        </w:rPr>
        <w:fldChar w:fldCharType="separate"/>
      </w:r>
      <w:r>
        <w:rPr>
          <w:rFonts w:ascii="仿宋" w:hAnsi="仿宋" w:eastAsia="仿宋" w:cs="仿宋"/>
          <w:color w:val="auto"/>
          <w:spacing w:val="6"/>
          <w:szCs w:val="21"/>
          <w:highlight w:val="none"/>
        </w:rPr>
        <w:t>国发〔2009〕36号</w:t>
      </w:r>
      <w:r>
        <w:rPr>
          <w:rFonts w:ascii="仿宋" w:hAnsi="仿宋" w:eastAsia="仿宋" w:cs="仿宋"/>
          <w:color w:val="auto"/>
          <w:spacing w:val="6"/>
          <w:szCs w:val="21"/>
          <w:highlight w:val="none"/>
        </w:rPr>
        <w:fldChar w:fldCharType="end"/>
      </w:r>
      <w:r>
        <w:rPr>
          <w:rFonts w:ascii="仿宋" w:hAnsi="仿宋" w:eastAsia="仿宋" w:cs="仿宋"/>
          <w:color w:val="auto"/>
          <w:spacing w:val="6"/>
          <w:szCs w:val="21"/>
          <w:highlight w:val="none"/>
        </w:rPr>
        <w:t>)，制定本规定。</w:t>
      </w:r>
    </w:p>
    <w:p>
      <w:pPr>
        <w:pStyle w:val="182"/>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二、中小企业划分为中型、小型、微型三种类型，具体标准根据企业从业人员、营业收入、资产总额等指标，结合行业特点制定。</w:t>
      </w:r>
    </w:p>
    <w:p>
      <w:pPr>
        <w:pStyle w:val="182"/>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182"/>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四、各行业划型标准为：</w:t>
      </w:r>
    </w:p>
    <w:p>
      <w:pPr>
        <w:pStyle w:val="182"/>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（一）农、林、牧、渔业。营业收入20000万元以下的为中小微型企业。其中，营业收入500万元及以上的为中型企业，营业收入50万元及以上的为小型企业，营业收入50万元以下的为微型企业。</w:t>
      </w:r>
    </w:p>
    <w:p>
      <w:pPr>
        <w:pStyle w:val="182"/>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182"/>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182"/>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182"/>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182"/>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182"/>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182"/>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182"/>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182"/>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182"/>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182"/>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182"/>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182"/>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182"/>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182"/>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pPr>
        <w:pStyle w:val="182"/>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五、企业类型的划分以统计部门的统计数据为依据。</w:t>
      </w:r>
    </w:p>
    <w:p>
      <w:pPr>
        <w:pStyle w:val="182"/>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六、本规定适用于在中华人民共和国境内依法设立的各类所有制和各种组织形式的企业。个体工商户和本规定以外的行业，参照本规定进行划型。</w:t>
      </w:r>
    </w:p>
    <w:p>
      <w:pPr>
        <w:pStyle w:val="182"/>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182"/>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八、本规定由工业和信息化部、国家统计局会同有关部门根据《国民经济行业分类》修订情况和企业发展变化情况适时修订。</w:t>
      </w:r>
    </w:p>
    <w:p>
      <w:pPr>
        <w:pStyle w:val="182"/>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九、本规定由工业和信息化部、国家统计局会同有关部门负责解释。</w:t>
      </w:r>
    </w:p>
    <w:p>
      <w:pPr>
        <w:pStyle w:val="182"/>
        <w:widowControl w:val="0"/>
        <w:adjustRightInd w:val="0"/>
        <w:snapToGrid w:val="0"/>
        <w:spacing w:line="360" w:lineRule="auto"/>
        <w:ind w:firstLine="444" w:firstLineChars="200"/>
        <w:jc w:val="both"/>
        <w:rPr>
          <w:rFonts w:hint="default" w:ascii="仿宋" w:hAnsi="仿宋" w:eastAsia="仿宋" w:cs="仿宋"/>
          <w:color w:val="auto"/>
          <w:szCs w:val="21"/>
          <w:highlight w:val="none"/>
        </w:rPr>
        <w:sectPr>
          <w:pgSz w:w="11906" w:h="16838"/>
          <w:pgMar w:top="1247" w:right="1588" w:bottom="1089" w:left="1588" w:header="851" w:footer="992" w:gutter="0"/>
          <w:cols w:space="720" w:num="1"/>
          <w:docGrid w:linePitch="312" w:charSpace="0"/>
        </w:sectPr>
      </w:pPr>
      <w:r>
        <w:rPr>
          <w:rFonts w:ascii="仿宋" w:hAnsi="仿宋" w:eastAsia="仿宋" w:cs="仿宋"/>
          <w:color w:val="auto"/>
          <w:spacing w:val="6"/>
          <w:szCs w:val="21"/>
          <w:highlight w:val="none"/>
        </w:rPr>
        <w:t>十、本规定自发布之日起执行，原国家经贸委、原国家计委、财政部和国家统计局2003年颁布的《</w:t>
      </w:r>
      <w:r>
        <w:rPr>
          <w:color w:val="auto"/>
          <w:highlight w:val="none"/>
        </w:rPr>
        <w:fldChar w:fldCharType="begin"/>
      </w:r>
      <w:r>
        <w:rPr>
          <w:color w:val="auto"/>
          <w:highlight w:val="none"/>
        </w:rPr>
        <w:instrText xml:space="preserve"> HYPERLINK "https://www.shui5.cn/article/df/24263.html" </w:instrText>
      </w:r>
      <w:r>
        <w:rPr>
          <w:color w:val="auto"/>
          <w:highlight w:val="none"/>
        </w:rPr>
        <w:fldChar w:fldCharType="separate"/>
      </w:r>
      <w:r>
        <w:rPr>
          <w:rFonts w:ascii="仿宋" w:hAnsi="仿宋" w:eastAsia="仿宋" w:cs="仿宋"/>
          <w:color w:val="auto"/>
          <w:spacing w:val="6"/>
          <w:szCs w:val="21"/>
          <w:highlight w:val="none"/>
        </w:rPr>
        <w:t>中小企业标准暂行规定</w:t>
      </w:r>
      <w:r>
        <w:rPr>
          <w:rFonts w:ascii="仿宋" w:hAnsi="仿宋" w:eastAsia="仿宋" w:cs="仿宋"/>
          <w:color w:val="auto"/>
          <w:spacing w:val="6"/>
          <w:szCs w:val="21"/>
          <w:highlight w:val="none"/>
        </w:rPr>
        <w:fldChar w:fldCharType="end"/>
      </w:r>
      <w:r>
        <w:rPr>
          <w:rFonts w:ascii="仿宋" w:hAnsi="仿宋" w:eastAsia="仿宋" w:cs="仿宋"/>
          <w:color w:val="auto"/>
          <w:spacing w:val="6"/>
          <w:szCs w:val="21"/>
          <w:highlight w:val="none"/>
        </w:rPr>
        <w:t>》</w:t>
      </w:r>
      <w:r>
        <w:rPr>
          <w:color w:val="auto"/>
          <w:highlight w:val="none"/>
        </w:rPr>
        <w:fldChar w:fldCharType="begin"/>
      </w:r>
      <w:r>
        <w:rPr>
          <w:color w:val="auto"/>
          <w:highlight w:val="none"/>
        </w:rPr>
        <w:instrText xml:space="preserve"> HYPERLINK "https://www.shui5.cn/article/df/24263.html" </w:instrText>
      </w:r>
      <w:r>
        <w:rPr>
          <w:color w:val="auto"/>
          <w:highlight w:val="none"/>
        </w:rPr>
        <w:fldChar w:fldCharType="separate"/>
      </w:r>
      <w:r>
        <w:rPr>
          <w:rFonts w:ascii="仿宋" w:hAnsi="仿宋" w:eastAsia="仿宋" w:cs="仿宋"/>
          <w:color w:val="auto"/>
          <w:spacing w:val="6"/>
          <w:szCs w:val="21"/>
          <w:highlight w:val="none"/>
        </w:rPr>
        <w:t>国经贸中小企[2003]143号</w:t>
      </w:r>
      <w:r>
        <w:rPr>
          <w:rFonts w:ascii="仿宋" w:hAnsi="仿宋" w:eastAsia="仿宋" w:cs="仿宋"/>
          <w:color w:val="auto"/>
          <w:spacing w:val="6"/>
          <w:szCs w:val="21"/>
          <w:highlight w:val="none"/>
        </w:rPr>
        <w:fldChar w:fldCharType="end"/>
      </w:r>
      <w:r>
        <w:rPr>
          <w:rFonts w:ascii="仿宋" w:hAnsi="仿宋" w:eastAsia="仿宋" w:cs="仿宋"/>
          <w:color w:val="auto"/>
          <w:spacing w:val="6"/>
          <w:szCs w:val="21"/>
          <w:highlight w:val="none"/>
        </w:rPr>
        <w:t>同时废止。</w:t>
      </w:r>
    </w:p>
    <w:p>
      <w:pPr>
        <w:pStyle w:val="182"/>
        <w:widowControl w:val="0"/>
        <w:adjustRightInd w:val="0"/>
        <w:snapToGrid w:val="0"/>
        <w:spacing w:line="360" w:lineRule="auto"/>
        <w:jc w:val="both"/>
        <w:rPr>
          <w:rFonts w:hint="default" w:ascii="仿宋" w:hAnsi="仿宋" w:eastAsia="仿宋" w:cs="仿宋"/>
          <w:b/>
          <w:color w:val="auto"/>
          <w:sz w:val="30"/>
          <w:szCs w:val="30"/>
          <w:highlight w:val="none"/>
        </w:rPr>
      </w:pPr>
      <w:r>
        <w:rPr>
          <w:rFonts w:ascii="仿宋" w:hAnsi="仿宋" w:eastAsia="仿宋" w:cs="仿宋"/>
          <w:color w:val="auto"/>
          <w:highlight w:val="none"/>
        </w:rPr>
        <w:drawing>
          <wp:inline distT="0" distB="0" distL="114300" distR="114300">
            <wp:extent cx="8667115" cy="5240020"/>
            <wp:effectExtent l="0" t="0" r="698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8667115" cy="5240020"/>
                    </a:xfrm>
                    <a:prstGeom prst="rect">
                      <a:avLst/>
                    </a:prstGeom>
                    <a:noFill/>
                    <a:ln>
                      <a:noFill/>
                    </a:ln>
                  </pic:spPr>
                </pic:pic>
              </a:graphicData>
            </a:graphic>
          </wp:inline>
        </w:drawing>
      </w:r>
    </w:p>
    <w:sectPr>
      <w:pgSz w:w="16838" w:h="11906" w:orient="landscape"/>
      <w:pgMar w:top="1588" w:right="1247" w:bottom="1588" w:left="1089"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AmdtSymbols"/>
    <w:panose1 w:val="020B0502020202020204"/>
    <w:charset w:val="00"/>
    <w:family w:val="swiss"/>
    <w:pitch w:val="default"/>
    <w:sig w:usb0="00000000" w:usb1="00000000" w:usb2="00000000" w:usb3="00000000" w:csb0="2000009F" w:csb1="DFD70000"/>
  </w:font>
  <w:font w:name="AmdtSymbols">
    <w:panose1 w:val="02000500000000020004"/>
    <w:charset w:val="00"/>
    <w:family w:val="auto"/>
    <w:pitch w:val="default"/>
    <w:sig w:usb0="00000001"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MS Sans Serif">
    <w:altName w:val="Segoe Print"/>
    <w:panose1 w:val="020B05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_x000B__x000C_">
    <w:altName w:val="宋体"/>
    <w:panose1 w:val="00000000000000000000"/>
    <w:charset w:val="00"/>
    <w:family w:val="roman"/>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Helvetica">
    <w:panose1 w:val="020B0604020202020204"/>
    <w:charset w:val="00"/>
    <w:family w:val="swiss"/>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
    <w:altName w:val="Times New Roman"/>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DokChampa">
    <w:altName w:val="Microsoft Sans Serif"/>
    <w:panose1 w:val="020B0604020202020204"/>
    <w:charset w:val="DE"/>
    <w:family w:val="swiss"/>
    <w:pitch w:val="default"/>
    <w:sig w:usb0="00000000" w:usb1="00000000" w:usb2="00000000" w:usb3="00000000" w:csb0="40010001" w:csb1="00000000"/>
  </w:font>
  <w:font w:name="Microsoft Sans Serif">
    <w:panose1 w:val="020B0604020202020204"/>
    <w:charset w:val="00"/>
    <w:family w:val="auto"/>
    <w:pitch w:val="default"/>
    <w:sig w:usb0="E5002EFF" w:usb1="C000605B" w:usb2="00000029" w:usb3="00000000" w:csb0="200101FF" w:csb1="20280000"/>
  </w:font>
  <w:font w:name="FangSong_GB2312">
    <w:altName w:val="仿宋"/>
    <w:panose1 w:val="02010609060101010101"/>
    <w:charset w:val="86"/>
    <w:family w:val="modern"/>
    <w:pitch w:val="default"/>
    <w:sig w:usb0="00000000" w:usb1="00000000"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8"/>
                            <w:rPr>
                              <w:rFonts w:eastAsia="宋体"/>
                            </w:rPr>
                          </w:pPr>
                          <w:r>
                            <w:fldChar w:fldCharType="begin"/>
                          </w:r>
                          <w:r>
                            <w:instrText xml:space="preserve"> PAGE  \* MERGEFORMAT </w:instrText>
                          </w:r>
                          <w:r>
                            <w:fldChar w:fldCharType="separate"/>
                          </w:r>
                          <w:r>
                            <w:t>34</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&#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PLkK7vQAQAApQMAAA4AAAAAAAAAAQAgAAAAIgEA&#10;AGRycy9lMm9Eb2MueG1sUEsFBgAAAAAGAAYAWQEAAGQFAAAAAA==&#10;">
              <v:fill on="f" focussize="0,0"/>
              <v:stroke on="f" weight="1.25pt"/>
              <v:imagedata o:title=""/>
              <o:lock v:ext="edit" aspectratio="f"/>
              <v:textbox inset="0mm,0mm,0mm,0mm" style="mso-fit-shape-to-text:t;">
                <w:txbxContent>
                  <w:p>
                    <w:pPr>
                      <w:pStyle w:val="28"/>
                      <w:rPr>
                        <w:rFonts w:eastAsia="宋体"/>
                      </w:rPr>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left" w:pos="900"/>
        <w:tab w:val="clear" w:pos="4153"/>
        <w:tab w:val="clear" w:pos="8306"/>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8"/>
                            <w:rPr>
                              <w:rFonts w:eastAsia="宋体"/>
                            </w:rPr>
                          </w:pPr>
                          <w:r>
                            <w:fldChar w:fldCharType="begin"/>
                          </w:r>
                          <w:r>
                            <w:instrText xml:space="preserve"> PAGE  \* MERGEFORMAT </w:instrText>
                          </w:r>
                          <w:r>
                            <w:fldChar w:fldCharType="separate"/>
                          </w:r>
                          <w:r>
                            <w:t>43</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&#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glGAjQAQAApQMAAA4AAAAAAAAAAQAgAAAAIgEA&#10;AGRycy9lMm9Eb2MueG1sUEsFBgAAAAAGAAYAWQEAAGQFAAAAAA==&#10;">
              <v:fill on="f" focussize="0,0"/>
              <v:stroke on="f" weight="1.25pt"/>
              <v:imagedata o:title=""/>
              <o:lock v:ext="edit" aspectratio="f"/>
              <v:textbox inset="0mm,0mm,0mm,0mm" style="mso-fit-shape-to-text:t;">
                <w:txbxContent>
                  <w:p>
                    <w:pPr>
                      <w:pStyle w:val="28"/>
                      <w:rPr>
                        <w:rFonts w:eastAsia="宋体"/>
                      </w:rPr>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8"/>
                            <w:rPr>
                              <w:rFonts w:eastAsia="宋体"/>
                            </w:rPr>
                          </w:pPr>
                          <w:r>
                            <w:fldChar w:fldCharType="begin"/>
                          </w:r>
                          <w:r>
                            <w:instrText xml:space="preserve"> PAGE  \* MERGEFORMAT </w:instrText>
                          </w:r>
                          <w:r>
                            <w:fldChar w:fldCharType="separate"/>
                          </w:r>
                          <w:r>
                            <w:t>48</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&#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gso80QEAAKUDAAAOAAAAAAAAAAEAIAAAACIB&#10;AABkcnMvZTJvRG9jLnhtbFBLBQYAAAAABgAGAFkBAABlBQAAAAA=&#10;">
              <v:fill on="f" focussize="0,0"/>
              <v:stroke on="f" weight="1.25pt"/>
              <v:imagedata o:title=""/>
              <o:lock v:ext="edit" aspectratio="f"/>
              <v:textbox inset="0mm,0mm,0mm,0mm" style="mso-fit-shape-to-text:t;">
                <w:txbxContent>
                  <w:p>
                    <w:pPr>
                      <w:pStyle w:val="28"/>
                      <w:rPr>
                        <w:rFonts w:eastAsia="宋体"/>
                      </w:rPr>
                    </w:pPr>
                    <w:r>
                      <w:fldChar w:fldCharType="begin"/>
                    </w:r>
                    <w:r>
                      <w:instrText xml:space="preserve"> PAGE  \* MERGEFORMAT </w:instrText>
                    </w:r>
                    <w:r>
                      <w:fldChar w:fldCharType="separate"/>
                    </w:r>
                    <w:r>
                      <w:t>48</w:t>
                    </w:r>
                    <w:r>
                      <w:fldChar w:fldCharType="end"/>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8"/>
                            <w:rPr>
                              <w:rFonts w:eastAsia="宋体"/>
                            </w:rPr>
                          </w:pPr>
                          <w:r>
                            <w:fldChar w:fldCharType="begin"/>
                          </w:r>
                          <w:r>
                            <w:instrText xml:space="preserve"> PAGE  \* MERGEFORMAT </w:instrText>
                          </w:r>
                          <w:r>
                            <w:fldChar w:fldCharType="separate"/>
                          </w:r>
                          <w:r>
                            <w:t>71</w:t>
                          </w:r>
                          <w: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&#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UWwW90QEAAKUDAAAOAAAAAAAAAAEAIAAAACIB&#10;AABkcnMvZTJvRG9jLnhtbFBLBQYAAAAABgAGAFkBAABlBQAAAAA=&#10;">
              <v:fill on="f" focussize="0,0"/>
              <v:stroke on="f" weight="1.25pt"/>
              <v:imagedata o:title=""/>
              <o:lock v:ext="edit" aspectratio="f"/>
              <v:textbox inset="0mm,0mm,0mm,0mm" style="mso-fit-shape-to-text:t;">
                <w:txbxContent>
                  <w:p>
                    <w:pPr>
                      <w:pStyle w:val="28"/>
                      <w:rPr>
                        <w:rFonts w:eastAsia="宋体"/>
                      </w:rPr>
                    </w:pPr>
                    <w:r>
                      <w:fldChar w:fldCharType="begin"/>
                    </w:r>
                    <w:r>
                      <w:instrText xml:space="preserve"> PAGE  \* MERGEFORMAT </w:instrText>
                    </w:r>
                    <w:r>
                      <w:fldChar w:fldCharType="separate"/>
                    </w:r>
                    <w:r>
                      <w:t>71</w:t>
                    </w:r>
                    <w:r>
                      <w:fldChar w:fldCharType="end"/>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8"/>
                            <w:rPr>
                              <w:rFonts w:eastAsia="宋体"/>
                            </w:rPr>
                          </w:pPr>
                          <w:r>
                            <w:fldChar w:fldCharType="begin"/>
                          </w:r>
                          <w:r>
                            <w:instrText xml:space="preserve"> PAGE  \* MERGEFORMAT </w:instrText>
                          </w:r>
                          <w:r>
                            <w:fldChar w:fldCharType="separate"/>
                          </w:r>
                          <w:r>
                            <w:t>72</w:t>
                          </w:r>
                          <w: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EoH3IHQAQAApQMAAA4AAAAAAAAAAQAgAAAAIgEA&#10;AGRycy9lMm9Eb2MueG1sUEsFBgAAAAAGAAYAWQEAAGQFAAAAAA==&#10;">
              <v:fill on="f" focussize="0,0"/>
              <v:stroke on="f" weight="1.25pt"/>
              <v:imagedata o:title=""/>
              <o:lock v:ext="edit" aspectratio="f"/>
              <v:textbox inset="0mm,0mm,0mm,0mm" style="mso-fit-shape-to-text:t;">
                <w:txbxContent>
                  <w:p>
                    <w:pPr>
                      <w:pStyle w:val="28"/>
                      <w:rPr>
                        <w:rFonts w:eastAsia="宋体"/>
                      </w:rPr>
                    </w:pPr>
                    <w:r>
                      <w:fldChar w:fldCharType="begin"/>
                    </w:r>
                    <w:r>
                      <w:instrText xml:space="preserve"> PAGE  \* MERGEFORMAT </w:instrText>
                    </w:r>
                    <w:r>
                      <w:fldChar w:fldCharType="separate"/>
                    </w:r>
                    <w:r>
                      <w:t>72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pPr>
  </w:p>
  <w:p>
    <w:pPr>
      <w:pStyle w:val="41"/>
      <w:tabs>
        <w:tab w:val="center" w:pos="4535"/>
        <w:tab w:val="right" w:pos="9070"/>
        <w:tab w:val="clear" w:pos="1200"/>
      </w:tabs>
      <w:spacing w:after="480"/>
      <w:ind w:left="1441" w:leftChars="686" w:firstLine="300" w:firstLineChars="100"/>
      <w:jc w:val="both"/>
      <w:rPr>
        <w:rFonts w:ascii="仿宋_GB2312" w:eastAsia="仿宋_GB2312"/>
        <w:b w:val="0"/>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jc w:val="right"/>
      <w:rPr>
        <w:rFonts w:ascii="仿宋_GB2312" w:eastAsia="仿宋_GB2312"/>
        <w:b/>
        <w:i/>
        <w:u w:val="single"/>
      </w:rPr>
    </w:pP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1">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2">
    <w:nsid w:val="D9EC99C5"/>
    <w:multiLevelType w:val="singleLevel"/>
    <w:tmpl w:val="D9EC99C5"/>
    <w:lvl w:ilvl="0" w:tentative="0">
      <w:start w:val="1"/>
      <w:numFmt w:val="decimal"/>
      <w:lvlText w:val="(%1)"/>
      <w:lvlJc w:val="left"/>
      <w:pPr>
        <w:ind w:left="425" w:hanging="425"/>
      </w:pPr>
      <w:rPr>
        <w:rFonts w:hint="default"/>
      </w:rPr>
    </w:lvl>
  </w:abstractNum>
  <w:abstractNum w:abstractNumId="3">
    <w:nsid w:val="F3171111"/>
    <w:multiLevelType w:val="multilevel"/>
    <w:tmpl w:val="F3171111"/>
    <w:lvl w:ilvl="0" w:tentative="0">
      <w:start w:val="4"/>
      <w:numFmt w:val="decimal"/>
      <w:lvlText w:val="%1."/>
      <w:lvlJc w:val="left"/>
      <w:pPr>
        <w:tabs>
          <w:tab w:val="left" w:pos="399"/>
        </w:tabs>
        <w:ind w:left="405" w:leftChars="0" w:hanging="405" w:firstLineChars="0"/>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0203A10E"/>
    <w:multiLevelType w:val="multilevel"/>
    <w:tmpl w:val="0203A10E"/>
    <w:lvl w:ilvl="0" w:tentative="0">
      <w:start w:val="7"/>
      <w:numFmt w:val="decimal"/>
      <w:lvlText w:val="%1."/>
      <w:lvlJc w:val="left"/>
      <w:pPr>
        <w:tabs>
          <w:tab w:val="left" w:pos="399"/>
        </w:tabs>
        <w:ind w:left="405" w:leftChars="0" w:hanging="405" w:firstLineChars="0"/>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1818B8E5"/>
    <w:multiLevelType w:val="multilevel"/>
    <w:tmpl w:val="1818B8E5"/>
    <w:lvl w:ilvl="0" w:tentative="0">
      <w:start w:val="1"/>
      <w:numFmt w:val="decimal"/>
      <w:lvlText w:val="%1."/>
      <w:lvlJc w:val="left"/>
      <w:pPr>
        <w:tabs>
          <w:tab w:val="left" w:pos="399"/>
        </w:tabs>
        <w:ind w:left="405" w:leftChars="0" w:hanging="405" w:firstLineChars="0"/>
      </w:pPr>
      <w:rPr>
        <w:rFonts w:hint="default"/>
        <w:b/>
        <w:sz w:val="24"/>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4CF30369"/>
    <w:multiLevelType w:val="multilevel"/>
    <w:tmpl w:val="4CF30369"/>
    <w:lvl w:ilvl="0" w:tentative="0">
      <w:start w:val="1"/>
      <w:numFmt w:val="decimal"/>
      <w:lvlText w:val="%1."/>
      <w:lvlJc w:val="left"/>
      <w:pPr>
        <w:ind w:left="323" w:leftChars="0" w:hanging="323" w:firstLineChars="0"/>
      </w:pPr>
      <w:rPr>
        <w:rFonts w:hint="default"/>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850" w:leftChars="0" w:hanging="850" w:firstLineChars="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513F8985"/>
    <w:multiLevelType w:val="singleLevel"/>
    <w:tmpl w:val="513F8985"/>
    <w:lvl w:ilvl="0" w:tentative="0">
      <w:start w:val="1"/>
      <w:numFmt w:val="decimal"/>
      <w:lvlText w:val="(%1)"/>
      <w:lvlJc w:val="left"/>
      <w:pPr>
        <w:ind w:left="425" w:hanging="425"/>
      </w:pPr>
      <w:rPr>
        <w:rFonts w:hint="default"/>
      </w:rPr>
    </w:lvl>
  </w:abstractNum>
  <w:abstractNum w:abstractNumId="8">
    <w:nsid w:val="68BD6464"/>
    <w:multiLevelType w:val="multilevel"/>
    <w:tmpl w:val="68BD6464"/>
    <w:lvl w:ilvl="0" w:tentative="0">
      <w:start w:val="3"/>
      <w:numFmt w:val="decimal"/>
      <w:lvlText w:val="%1."/>
      <w:lvlJc w:val="left"/>
      <w:pPr>
        <w:tabs>
          <w:tab w:val="left" w:pos="399"/>
        </w:tabs>
        <w:ind w:left="405" w:leftChars="0" w:hanging="405" w:firstLineChars="0"/>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6BCB5E2A"/>
    <w:multiLevelType w:val="singleLevel"/>
    <w:tmpl w:val="6BCB5E2A"/>
    <w:lvl w:ilvl="0" w:tentative="0">
      <w:start w:val="1"/>
      <w:numFmt w:val="decimal"/>
      <w:suff w:val="space"/>
      <w:lvlText w:val="%1."/>
      <w:lvlJc w:val="left"/>
    </w:lvl>
  </w:abstractNum>
  <w:num w:numId="1">
    <w:abstractNumId w:val="1"/>
  </w:num>
  <w:num w:numId="2">
    <w:abstractNumId w:val="2"/>
  </w:num>
  <w:num w:numId="3">
    <w:abstractNumId w:val="6"/>
  </w:num>
  <w:num w:numId="4">
    <w:abstractNumId w:val="0"/>
  </w:num>
  <w:num w:numId="5">
    <w:abstractNumId w:val="5"/>
  </w:num>
  <w:num w:numId="6">
    <w:abstractNumId w:val="8"/>
  </w:num>
  <w:num w:numId="7">
    <w:abstractNumId w:val="3"/>
  </w:num>
  <w:num w:numId="8">
    <w:abstractNumId w:val="4"/>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zMGExYzQ5NDk2OTJiODgzOWVmMWVlZmFhNWQ2ODcifQ=="/>
  </w:docVars>
  <w:rsids>
    <w:rsidRoot w:val="00172A27"/>
    <w:rsid w:val="00000693"/>
    <w:rsid w:val="00000CB0"/>
    <w:rsid w:val="00001E56"/>
    <w:rsid w:val="0000396E"/>
    <w:rsid w:val="000041FD"/>
    <w:rsid w:val="00004478"/>
    <w:rsid w:val="00006FBB"/>
    <w:rsid w:val="00011AE8"/>
    <w:rsid w:val="000128E2"/>
    <w:rsid w:val="000151EB"/>
    <w:rsid w:val="00015A40"/>
    <w:rsid w:val="000173D9"/>
    <w:rsid w:val="00020EBC"/>
    <w:rsid w:val="00023C95"/>
    <w:rsid w:val="00024054"/>
    <w:rsid w:val="00026AFD"/>
    <w:rsid w:val="0002713F"/>
    <w:rsid w:val="00033168"/>
    <w:rsid w:val="00033EE6"/>
    <w:rsid w:val="000364DE"/>
    <w:rsid w:val="00036535"/>
    <w:rsid w:val="000371E8"/>
    <w:rsid w:val="000445EB"/>
    <w:rsid w:val="00044C38"/>
    <w:rsid w:val="00045960"/>
    <w:rsid w:val="00046A23"/>
    <w:rsid w:val="00050BD9"/>
    <w:rsid w:val="00053E49"/>
    <w:rsid w:val="00054AB6"/>
    <w:rsid w:val="0005711D"/>
    <w:rsid w:val="00062E5D"/>
    <w:rsid w:val="00063A1A"/>
    <w:rsid w:val="00063C10"/>
    <w:rsid w:val="00065EDE"/>
    <w:rsid w:val="0006711B"/>
    <w:rsid w:val="0006742A"/>
    <w:rsid w:val="00067A80"/>
    <w:rsid w:val="00067D63"/>
    <w:rsid w:val="000740E5"/>
    <w:rsid w:val="000744B7"/>
    <w:rsid w:val="00074D21"/>
    <w:rsid w:val="0007753E"/>
    <w:rsid w:val="000776B6"/>
    <w:rsid w:val="00080EDD"/>
    <w:rsid w:val="0008108E"/>
    <w:rsid w:val="00082EC3"/>
    <w:rsid w:val="00084499"/>
    <w:rsid w:val="00086D73"/>
    <w:rsid w:val="00091E58"/>
    <w:rsid w:val="00093619"/>
    <w:rsid w:val="000960A4"/>
    <w:rsid w:val="000961B6"/>
    <w:rsid w:val="00096A49"/>
    <w:rsid w:val="000A26A0"/>
    <w:rsid w:val="000A7899"/>
    <w:rsid w:val="000B0696"/>
    <w:rsid w:val="000B5D16"/>
    <w:rsid w:val="000B7C98"/>
    <w:rsid w:val="000C296B"/>
    <w:rsid w:val="000C2F65"/>
    <w:rsid w:val="000C314E"/>
    <w:rsid w:val="000C7C36"/>
    <w:rsid w:val="000D021A"/>
    <w:rsid w:val="000D17E7"/>
    <w:rsid w:val="000D45A6"/>
    <w:rsid w:val="000D6467"/>
    <w:rsid w:val="000E5537"/>
    <w:rsid w:val="000F7411"/>
    <w:rsid w:val="00100AB6"/>
    <w:rsid w:val="0011022C"/>
    <w:rsid w:val="0011283B"/>
    <w:rsid w:val="00112CD4"/>
    <w:rsid w:val="00114CF3"/>
    <w:rsid w:val="00116F1F"/>
    <w:rsid w:val="00120DB1"/>
    <w:rsid w:val="001236DA"/>
    <w:rsid w:val="001307EB"/>
    <w:rsid w:val="00132794"/>
    <w:rsid w:val="00132FF2"/>
    <w:rsid w:val="00137837"/>
    <w:rsid w:val="0014060C"/>
    <w:rsid w:val="00140949"/>
    <w:rsid w:val="0014692D"/>
    <w:rsid w:val="001474A4"/>
    <w:rsid w:val="001503C2"/>
    <w:rsid w:val="001505B8"/>
    <w:rsid w:val="0015619F"/>
    <w:rsid w:val="0015799C"/>
    <w:rsid w:val="00163236"/>
    <w:rsid w:val="00163F29"/>
    <w:rsid w:val="00164FC3"/>
    <w:rsid w:val="0016537A"/>
    <w:rsid w:val="001662B9"/>
    <w:rsid w:val="00167D55"/>
    <w:rsid w:val="00172A27"/>
    <w:rsid w:val="00177349"/>
    <w:rsid w:val="00196AB7"/>
    <w:rsid w:val="001A1B64"/>
    <w:rsid w:val="001A2705"/>
    <w:rsid w:val="001A2D89"/>
    <w:rsid w:val="001A3C11"/>
    <w:rsid w:val="001A42DB"/>
    <w:rsid w:val="001A74D9"/>
    <w:rsid w:val="001B3D36"/>
    <w:rsid w:val="001B666B"/>
    <w:rsid w:val="001B7A47"/>
    <w:rsid w:val="001C1815"/>
    <w:rsid w:val="001C3846"/>
    <w:rsid w:val="001C3E5B"/>
    <w:rsid w:val="001C45D1"/>
    <w:rsid w:val="001C5282"/>
    <w:rsid w:val="001D028B"/>
    <w:rsid w:val="001D0DE0"/>
    <w:rsid w:val="001D2F82"/>
    <w:rsid w:val="001E035C"/>
    <w:rsid w:val="001E07E0"/>
    <w:rsid w:val="001F08E9"/>
    <w:rsid w:val="001F136F"/>
    <w:rsid w:val="001F4AAA"/>
    <w:rsid w:val="001F5FDA"/>
    <w:rsid w:val="002011AD"/>
    <w:rsid w:val="0020144A"/>
    <w:rsid w:val="00202D63"/>
    <w:rsid w:val="00202E28"/>
    <w:rsid w:val="00205FDC"/>
    <w:rsid w:val="00207AE5"/>
    <w:rsid w:val="00212A5F"/>
    <w:rsid w:val="00215C15"/>
    <w:rsid w:val="002161CA"/>
    <w:rsid w:val="00216329"/>
    <w:rsid w:val="00216906"/>
    <w:rsid w:val="00222740"/>
    <w:rsid w:val="00222F7A"/>
    <w:rsid w:val="00223F62"/>
    <w:rsid w:val="002261A8"/>
    <w:rsid w:val="0022730E"/>
    <w:rsid w:val="00231B07"/>
    <w:rsid w:val="00240555"/>
    <w:rsid w:val="00240D7E"/>
    <w:rsid w:val="002433D2"/>
    <w:rsid w:val="00244BE9"/>
    <w:rsid w:val="00252D74"/>
    <w:rsid w:val="00254D31"/>
    <w:rsid w:val="00255979"/>
    <w:rsid w:val="00255D75"/>
    <w:rsid w:val="002561BF"/>
    <w:rsid w:val="00260A47"/>
    <w:rsid w:val="00261C5B"/>
    <w:rsid w:val="00270D92"/>
    <w:rsid w:val="00271A3C"/>
    <w:rsid w:val="00273D40"/>
    <w:rsid w:val="00275D45"/>
    <w:rsid w:val="00276FA1"/>
    <w:rsid w:val="0027757B"/>
    <w:rsid w:val="00280335"/>
    <w:rsid w:val="002851C3"/>
    <w:rsid w:val="002868A7"/>
    <w:rsid w:val="002925D3"/>
    <w:rsid w:val="00297F15"/>
    <w:rsid w:val="002A0A4C"/>
    <w:rsid w:val="002A1790"/>
    <w:rsid w:val="002A4342"/>
    <w:rsid w:val="002A6597"/>
    <w:rsid w:val="002B35FC"/>
    <w:rsid w:val="002B5CC9"/>
    <w:rsid w:val="002B5F03"/>
    <w:rsid w:val="002B7F8B"/>
    <w:rsid w:val="002C0D02"/>
    <w:rsid w:val="002C2B43"/>
    <w:rsid w:val="002C3E6B"/>
    <w:rsid w:val="002C413D"/>
    <w:rsid w:val="002C4630"/>
    <w:rsid w:val="002D3FEA"/>
    <w:rsid w:val="002D6BB8"/>
    <w:rsid w:val="002D780C"/>
    <w:rsid w:val="002E4523"/>
    <w:rsid w:val="002E5354"/>
    <w:rsid w:val="002E6548"/>
    <w:rsid w:val="002E7540"/>
    <w:rsid w:val="002E78C0"/>
    <w:rsid w:val="002F1BCB"/>
    <w:rsid w:val="002F27F9"/>
    <w:rsid w:val="002F5751"/>
    <w:rsid w:val="002F716B"/>
    <w:rsid w:val="0030170F"/>
    <w:rsid w:val="00301A3B"/>
    <w:rsid w:val="0030358B"/>
    <w:rsid w:val="00310A86"/>
    <w:rsid w:val="00311BFC"/>
    <w:rsid w:val="00312338"/>
    <w:rsid w:val="003167FF"/>
    <w:rsid w:val="003217B8"/>
    <w:rsid w:val="003237D9"/>
    <w:rsid w:val="003309B8"/>
    <w:rsid w:val="0033361A"/>
    <w:rsid w:val="00337214"/>
    <w:rsid w:val="0033728A"/>
    <w:rsid w:val="00340FBD"/>
    <w:rsid w:val="00343EC5"/>
    <w:rsid w:val="00344E97"/>
    <w:rsid w:val="003458DD"/>
    <w:rsid w:val="00346FD6"/>
    <w:rsid w:val="003472F5"/>
    <w:rsid w:val="003510EC"/>
    <w:rsid w:val="003515A8"/>
    <w:rsid w:val="0035269E"/>
    <w:rsid w:val="00355298"/>
    <w:rsid w:val="00356AB6"/>
    <w:rsid w:val="00356B73"/>
    <w:rsid w:val="003577F6"/>
    <w:rsid w:val="00361C53"/>
    <w:rsid w:val="00362447"/>
    <w:rsid w:val="00371116"/>
    <w:rsid w:val="0037302D"/>
    <w:rsid w:val="00373515"/>
    <w:rsid w:val="00373E7F"/>
    <w:rsid w:val="00375001"/>
    <w:rsid w:val="00376577"/>
    <w:rsid w:val="00377D84"/>
    <w:rsid w:val="00380738"/>
    <w:rsid w:val="00383306"/>
    <w:rsid w:val="00384482"/>
    <w:rsid w:val="003846B2"/>
    <w:rsid w:val="00385E52"/>
    <w:rsid w:val="00387970"/>
    <w:rsid w:val="00391928"/>
    <w:rsid w:val="003919E1"/>
    <w:rsid w:val="00392692"/>
    <w:rsid w:val="00395172"/>
    <w:rsid w:val="003A0651"/>
    <w:rsid w:val="003A34DC"/>
    <w:rsid w:val="003A360E"/>
    <w:rsid w:val="003A48E1"/>
    <w:rsid w:val="003A7211"/>
    <w:rsid w:val="003B0B64"/>
    <w:rsid w:val="003B3663"/>
    <w:rsid w:val="003C1FBD"/>
    <w:rsid w:val="003C2091"/>
    <w:rsid w:val="003C2474"/>
    <w:rsid w:val="003C34D8"/>
    <w:rsid w:val="003C7DB6"/>
    <w:rsid w:val="003D0F5F"/>
    <w:rsid w:val="003D4FE5"/>
    <w:rsid w:val="003D62AA"/>
    <w:rsid w:val="003E078E"/>
    <w:rsid w:val="003E1944"/>
    <w:rsid w:val="003E3B36"/>
    <w:rsid w:val="003E445D"/>
    <w:rsid w:val="003E4D6D"/>
    <w:rsid w:val="003E76A2"/>
    <w:rsid w:val="003F03B2"/>
    <w:rsid w:val="003F19B5"/>
    <w:rsid w:val="003F1CA1"/>
    <w:rsid w:val="003F298D"/>
    <w:rsid w:val="003F58B4"/>
    <w:rsid w:val="003F710E"/>
    <w:rsid w:val="0040513D"/>
    <w:rsid w:val="004074F3"/>
    <w:rsid w:val="00410BB9"/>
    <w:rsid w:val="004137FD"/>
    <w:rsid w:val="00413EFB"/>
    <w:rsid w:val="00416D63"/>
    <w:rsid w:val="0041740B"/>
    <w:rsid w:val="00421230"/>
    <w:rsid w:val="004241E3"/>
    <w:rsid w:val="00424FA0"/>
    <w:rsid w:val="004278F1"/>
    <w:rsid w:val="004279A4"/>
    <w:rsid w:val="0043095A"/>
    <w:rsid w:val="00431055"/>
    <w:rsid w:val="00433B4B"/>
    <w:rsid w:val="0043486C"/>
    <w:rsid w:val="00436CA8"/>
    <w:rsid w:val="00437005"/>
    <w:rsid w:val="00452379"/>
    <w:rsid w:val="004535C1"/>
    <w:rsid w:val="00455128"/>
    <w:rsid w:val="0046312D"/>
    <w:rsid w:val="004652D2"/>
    <w:rsid w:val="004663CB"/>
    <w:rsid w:val="0047157C"/>
    <w:rsid w:val="00471CFD"/>
    <w:rsid w:val="00474574"/>
    <w:rsid w:val="004814E7"/>
    <w:rsid w:val="0048307C"/>
    <w:rsid w:val="004921BB"/>
    <w:rsid w:val="004943B1"/>
    <w:rsid w:val="004A1324"/>
    <w:rsid w:val="004A14C9"/>
    <w:rsid w:val="004A2A96"/>
    <w:rsid w:val="004A3F59"/>
    <w:rsid w:val="004A51F3"/>
    <w:rsid w:val="004B212A"/>
    <w:rsid w:val="004B2422"/>
    <w:rsid w:val="004C0F6C"/>
    <w:rsid w:val="004C3143"/>
    <w:rsid w:val="004C3774"/>
    <w:rsid w:val="004C636A"/>
    <w:rsid w:val="004D09F0"/>
    <w:rsid w:val="004D1FE1"/>
    <w:rsid w:val="004D4D0B"/>
    <w:rsid w:val="004E0204"/>
    <w:rsid w:val="004E0815"/>
    <w:rsid w:val="004E2CF8"/>
    <w:rsid w:val="004F010A"/>
    <w:rsid w:val="004F220B"/>
    <w:rsid w:val="004F29EC"/>
    <w:rsid w:val="004F2FE1"/>
    <w:rsid w:val="004F3A58"/>
    <w:rsid w:val="004F54AA"/>
    <w:rsid w:val="004F550E"/>
    <w:rsid w:val="004F653D"/>
    <w:rsid w:val="00500F82"/>
    <w:rsid w:val="00505E44"/>
    <w:rsid w:val="005100A3"/>
    <w:rsid w:val="0052516E"/>
    <w:rsid w:val="00527334"/>
    <w:rsid w:val="00527F3E"/>
    <w:rsid w:val="00542801"/>
    <w:rsid w:val="0054542F"/>
    <w:rsid w:val="005465D1"/>
    <w:rsid w:val="00550C9D"/>
    <w:rsid w:val="0055186A"/>
    <w:rsid w:val="00554D43"/>
    <w:rsid w:val="00556628"/>
    <w:rsid w:val="00565B42"/>
    <w:rsid w:val="00566AEF"/>
    <w:rsid w:val="005671D0"/>
    <w:rsid w:val="00572057"/>
    <w:rsid w:val="005730A2"/>
    <w:rsid w:val="00575415"/>
    <w:rsid w:val="00577D97"/>
    <w:rsid w:val="00585068"/>
    <w:rsid w:val="005923FB"/>
    <w:rsid w:val="0059694F"/>
    <w:rsid w:val="005A1025"/>
    <w:rsid w:val="005A19B1"/>
    <w:rsid w:val="005A325F"/>
    <w:rsid w:val="005A4A6C"/>
    <w:rsid w:val="005A5089"/>
    <w:rsid w:val="005B5322"/>
    <w:rsid w:val="005C1A23"/>
    <w:rsid w:val="005C1AB3"/>
    <w:rsid w:val="005C57E0"/>
    <w:rsid w:val="005C5869"/>
    <w:rsid w:val="005D3123"/>
    <w:rsid w:val="005D5AA2"/>
    <w:rsid w:val="005D7F80"/>
    <w:rsid w:val="005E0958"/>
    <w:rsid w:val="005E181F"/>
    <w:rsid w:val="005E6149"/>
    <w:rsid w:val="005F4032"/>
    <w:rsid w:val="00600A3F"/>
    <w:rsid w:val="00602112"/>
    <w:rsid w:val="00602465"/>
    <w:rsid w:val="00603844"/>
    <w:rsid w:val="00612BAB"/>
    <w:rsid w:val="00612C94"/>
    <w:rsid w:val="00613CC5"/>
    <w:rsid w:val="00614865"/>
    <w:rsid w:val="00616459"/>
    <w:rsid w:val="006169F8"/>
    <w:rsid w:val="00620666"/>
    <w:rsid w:val="006237B1"/>
    <w:rsid w:val="00623EAF"/>
    <w:rsid w:val="0062725D"/>
    <w:rsid w:val="0063089E"/>
    <w:rsid w:val="00633363"/>
    <w:rsid w:val="00633EE9"/>
    <w:rsid w:val="006357EE"/>
    <w:rsid w:val="006358C5"/>
    <w:rsid w:val="0064230B"/>
    <w:rsid w:val="006430A0"/>
    <w:rsid w:val="0064529F"/>
    <w:rsid w:val="00646EED"/>
    <w:rsid w:val="00652C80"/>
    <w:rsid w:val="00652C89"/>
    <w:rsid w:val="006636FB"/>
    <w:rsid w:val="0066425D"/>
    <w:rsid w:val="00670568"/>
    <w:rsid w:val="00675EBC"/>
    <w:rsid w:val="00677BE4"/>
    <w:rsid w:val="006802A2"/>
    <w:rsid w:val="006907C1"/>
    <w:rsid w:val="0069218D"/>
    <w:rsid w:val="006939FC"/>
    <w:rsid w:val="006948D7"/>
    <w:rsid w:val="00697C01"/>
    <w:rsid w:val="006A1BBD"/>
    <w:rsid w:val="006A232A"/>
    <w:rsid w:val="006A31F3"/>
    <w:rsid w:val="006A5767"/>
    <w:rsid w:val="006B43BE"/>
    <w:rsid w:val="006B55CD"/>
    <w:rsid w:val="006B7043"/>
    <w:rsid w:val="006C1236"/>
    <w:rsid w:val="006C5936"/>
    <w:rsid w:val="006C6366"/>
    <w:rsid w:val="006D1682"/>
    <w:rsid w:val="006D1F6D"/>
    <w:rsid w:val="006D3A10"/>
    <w:rsid w:val="006D753A"/>
    <w:rsid w:val="006E1167"/>
    <w:rsid w:val="006E284A"/>
    <w:rsid w:val="006E2A6C"/>
    <w:rsid w:val="006E3886"/>
    <w:rsid w:val="006E4B6B"/>
    <w:rsid w:val="006F15FC"/>
    <w:rsid w:val="006F27C9"/>
    <w:rsid w:val="006F3E6E"/>
    <w:rsid w:val="006F4AC7"/>
    <w:rsid w:val="006F6A39"/>
    <w:rsid w:val="006F6D41"/>
    <w:rsid w:val="00700BC8"/>
    <w:rsid w:val="0070194D"/>
    <w:rsid w:val="007031BD"/>
    <w:rsid w:val="007060EC"/>
    <w:rsid w:val="007112C6"/>
    <w:rsid w:val="0071174F"/>
    <w:rsid w:val="00714842"/>
    <w:rsid w:val="0071519C"/>
    <w:rsid w:val="007206D2"/>
    <w:rsid w:val="00720826"/>
    <w:rsid w:val="00722C13"/>
    <w:rsid w:val="00722E58"/>
    <w:rsid w:val="007239AA"/>
    <w:rsid w:val="00723BA4"/>
    <w:rsid w:val="007347A8"/>
    <w:rsid w:val="00734FB0"/>
    <w:rsid w:val="00736912"/>
    <w:rsid w:val="007477CE"/>
    <w:rsid w:val="00750320"/>
    <w:rsid w:val="007524E0"/>
    <w:rsid w:val="00753344"/>
    <w:rsid w:val="007536BE"/>
    <w:rsid w:val="007539DE"/>
    <w:rsid w:val="00754522"/>
    <w:rsid w:val="00755513"/>
    <w:rsid w:val="007606DF"/>
    <w:rsid w:val="00760BAB"/>
    <w:rsid w:val="00764575"/>
    <w:rsid w:val="007704B1"/>
    <w:rsid w:val="007704D8"/>
    <w:rsid w:val="00772D82"/>
    <w:rsid w:val="00775D40"/>
    <w:rsid w:val="0077691E"/>
    <w:rsid w:val="00781837"/>
    <w:rsid w:val="00782352"/>
    <w:rsid w:val="007823CF"/>
    <w:rsid w:val="00785412"/>
    <w:rsid w:val="00792D0A"/>
    <w:rsid w:val="0079652A"/>
    <w:rsid w:val="007A13A6"/>
    <w:rsid w:val="007A5DE1"/>
    <w:rsid w:val="007B2FD0"/>
    <w:rsid w:val="007B3A50"/>
    <w:rsid w:val="007C552C"/>
    <w:rsid w:val="007C69C5"/>
    <w:rsid w:val="007D22C7"/>
    <w:rsid w:val="007D3403"/>
    <w:rsid w:val="007D5983"/>
    <w:rsid w:val="007D5F7A"/>
    <w:rsid w:val="007E1963"/>
    <w:rsid w:val="007E380E"/>
    <w:rsid w:val="007E4E1F"/>
    <w:rsid w:val="007F0641"/>
    <w:rsid w:val="007F2E55"/>
    <w:rsid w:val="007F5CA2"/>
    <w:rsid w:val="0080136F"/>
    <w:rsid w:val="0080168E"/>
    <w:rsid w:val="008049C7"/>
    <w:rsid w:val="00806699"/>
    <w:rsid w:val="00807C1C"/>
    <w:rsid w:val="00811AE1"/>
    <w:rsid w:val="00813D33"/>
    <w:rsid w:val="00817233"/>
    <w:rsid w:val="00823BDB"/>
    <w:rsid w:val="008249DC"/>
    <w:rsid w:val="008249DD"/>
    <w:rsid w:val="0082579B"/>
    <w:rsid w:val="00827882"/>
    <w:rsid w:val="00831073"/>
    <w:rsid w:val="00831871"/>
    <w:rsid w:val="00831C85"/>
    <w:rsid w:val="008340DA"/>
    <w:rsid w:val="00834AEB"/>
    <w:rsid w:val="00835279"/>
    <w:rsid w:val="00843933"/>
    <w:rsid w:val="008523D4"/>
    <w:rsid w:val="008561C8"/>
    <w:rsid w:val="00863B15"/>
    <w:rsid w:val="0086431F"/>
    <w:rsid w:val="00866FE0"/>
    <w:rsid w:val="00873832"/>
    <w:rsid w:val="00882251"/>
    <w:rsid w:val="0088474D"/>
    <w:rsid w:val="00886E7D"/>
    <w:rsid w:val="00886E83"/>
    <w:rsid w:val="008877CA"/>
    <w:rsid w:val="00890235"/>
    <w:rsid w:val="008928ED"/>
    <w:rsid w:val="00893C95"/>
    <w:rsid w:val="0089426F"/>
    <w:rsid w:val="008957F8"/>
    <w:rsid w:val="00896DBE"/>
    <w:rsid w:val="00897B38"/>
    <w:rsid w:val="008A0D51"/>
    <w:rsid w:val="008A27A6"/>
    <w:rsid w:val="008A2DFE"/>
    <w:rsid w:val="008A58C0"/>
    <w:rsid w:val="008B2B43"/>
    <w:rsid w:val="008B365F"/>
    <w:rsid w:val="008B5440"/>
    <w:rsid w:val="008B6EF3"/>
    <w:rsid w:val="008C194F"/>
    <w:rsid w:val="008C3443"/>
    <w:rsid w:val="008C4537"/>
    <w:rsid w:val="008C4BC7"/>
    <w:rsid w:val="008C597D"/>
    <w:rsid w:val="008C6342"/>
    <w:rsid w:val="008C7B40"/>
    <w:rsid w:val="008D0582"/>
    <w:rsid w:val="008D38ED"/>
    <w:rsid w:val="008D3C24"/>
    <w:rsid w:val="008E1482"/>
    <w:rsid w:val="008E1AD7"/>
    <w:rsid w:val="008E2546"/>
    <w:rsid w:val="008E3E0C"/>
    <w:rsid w:val="008E637C"/>
    <w:rsid w:val="008E63ED"/>
    <w:rsid w:val="008F38D9"/>
    <w:rsid w:val="008F7D01"/>
    <w:rsid w:val="00902DA8"/>
    <w:rsid w:val="00904A11"/>
    <w:rsid w:val="009072E5"/>
    <w:rsid w:val="00910F4C"/>
    <w:rsid w:val="00917251"/>
    <w:rsid w:val="00917B9E"/>
    <w:rsid w:val="00917D8D"/>
    <w:rsid w:val="00921D9A"/>
    <w:rsid w:val="009221B0"/>
    <w:rsid w:val="00924071"/>
    <w:rsid w:val="00930024"/>
    <w:rsid w:val="00932140"/>
    <w:rsid w:val="00932BD4"/>
    <w:rsid w:val="0093363C"/>
    <w:rsid w:val="0093430C"/>
    <w:rsid w:val="00934CB3"/>
    <w:rsid w:val="009353C6"/>
    <w:rsid w:val="0093710F"/>
    <w:rsid w:val="00937E5F"/>
    <w:rsid w:val="00941770"/>
    <w:rsid w:val="009432AF"/>
    <w:rsid w:val="009506F2"/>
    <w:rsid w:val="00950B8B"/>
    <w:rsid w:val="00953BD5"/>
    <w:rsid w:val="00955C4D"/>
    <w:rsid w:val="0095633B"/>
    <w:rsid w:val="00956499"/>
    <w:rsid w:val="00957596"/>
    <w:rsid w:val="009677C0"/>
    <w:rsid w:val="00970C02"/>
    <w:rsid w:val="00971B09"/>
    <w:rsid w:val="00972F0D"/>
    <w:rsid w:val="00973D4B"/>
    <w:rsid w:val="00975676"/>
    <w:rsid w:val="00981962"/>
    <w:rsid w:val="00990003"/>
    <w:rsid w:val="00991B32"/>
    <w:rsid w:val="009937E4"/>
    <w:rsid w:val="0099473A"/>
    <w:rsid w:val="00997B4B"/>
    <w:rsid w:val="009A0651"/>
    <w:rsid w:val="009A2BF5"/>
    <w:rsid w:val="009A5E7E"/>
    <w:rsid w:val="009A5F06"/>
    <w:rsid w:val="009B2C10"/>
    <w:rsid w:val="009B3BC2"/>
    <w:rsid w:val="009B589E"/>
    <w:rsid w:val="009B59D2"/>
    <w:rsid w:val="009C0591"/>
    <w:rsid w:val="009C090E"/>
    <w:rsid w:val="009C0E6D"/>
    <w:rsid w:val="009C1567"/>
    <w:rsid w:val="009C33D5"/>
    <w:rsid w:val="009C56CE"/>
    <w:rsid w:val="009C5B37"/>
    <w:rsid w:val="009C67E9"/>
    <w:rsid w:val="009C797E"/>
    <w:rsid w:val="009D0543"/>
    <w:rsid w:val="009D0DDC"/>
    <w:rsid w:val="009D1220"/>
    <w:rsid w:val="009D25EA"/>
    <w:rsid w:val="009D7429"/>
    <w:rsid w:val="009D7EFB"/>
    <w:rsid w:val="009E060E"/>
    <w:rsid w:val="009E20C5"/>
    <w:rsid w:val="009E281B"/>
    <w:rsid w:val="009E29F7"/>
    <w:rsid w:val="009E4950"/>
    <w:rsid w:val="009F206D"/>
    <w:rsid w:val="009F2627"/>
    <w:rsid w:val="009F3DCA"/>
    <w:rsid w:val="009F4908"/>
    <w:rsid w:val="009F557F"/>
    <w:rsid w:val="009F7369"/>
    <w:rsid w:val="009F78C8"/>
    <w:rsid w:val="00A00775"/>
    <w:rsid w:val="00A02ABC"/>
    <w:rsid w:val="00A03707"/>
    <w:rsid w:val="00A047AA"/>
    <w:rsid w:val="00A04A75"/>
    <w:rsid w:val="00A04F8F"/>
    <w:rsid w:val="00A10C7D"/>
    <w:rsid w:val="00A1343F"/>
    <w:rsid w:val="00A21BFB"/>
    <w:rsid w:val="00A23CA2"/>
    <w:rsid w:val="00A24A90"/>
    <w:rsid w:val="00A2501C"/>
    <w:rsid w:val="00A33282"/>
    <w:rsid w:val="00A33491"/>
    <w:rsid w:val="00A34D63"/>
    <w:rsid w:val="00A34F2B"/>
    <w:rsid w:val="00A36443"/>
    <w:rsid w:val="00A412F8"/>
    <w:rsid w:val="00A44745"/>
    <w:rsid w:val="00A50C08"/>
    <w:rsid w:val="00A57527"/>
    <w:rsid w:val="00A64A15"/>
    <w:rsid w:val="00A702A9"/>
    <w:rsid w:val="00A70D13"/>
    <w:rsid w:val="00A73497"/>
    <w:rsid w:val="00A75327"/>
    <w:rsid w:val="00A8066B"/>
    <w:rsid w:val="00A80F56"/>
    <w:rsid w:val="00A92FFB"/>
    <w:rsid w:val="00A93FC0"/>
    <w:rsid w:val="00A94D98"/>
    <w:rsid w:val="00A94F6C"/>
    <w:rsid w:val="00A97D06"/>
    <w:rsid w:val="00AA190E"/>
    <w:rsid w:val="00AA410D"/>
    <w:rsid w:val="00AA6793"/>
    <w:rsid w:val="00AA7912"/>
    <w:rsid w:val="00AB1869"/>
    <w:rsid w:val="00AB1E3E"/>
    <w:rsid w:val="00AC0163"/>
    <w:rsid w:val="00AC0256"/>
    <w:rsid w:val="00AC2B0D"/>
    <w:rsid w:val="00AC5D27"/>
    <w:rsid w:val="00AC5E3E"/>
    <w:rsid w:val="00AD1B07"/>
    <w:rsid w:val="00AD4DAB"/>
    <w:rsid w:val="00AD5656"/>
    <w:rsid w:val="00AD77EE"/>
    <w:rsid w:val="00AE0282"/>
    <w:rsid w:val="00AE1009"/>
    <w:rsid w:val="00AE1A20"/>
    <w:rsid w:val="00AE4E6E"/>
    <w:rsid w:val="00AE5958"/>
    <w:rsid w:val="00AF341D"/>
    <w:rsid w:val="00B00363"/>
    <w:rsid w:val="00B012CD"/>
    <w:rsid w:val="00B01301"/>
    <w:rsid w:val="00B01644"/>
    <w:rsid w:val="00B04046"/>
    <w:rsid w:val="00B0444C"/>
    <w:rsid w:val="00B057FD"/>
    <w:rsid w:val="00B06D74"/>
    <w:rsid w:val="00B12E13"/>
    <w:rsid w:val="00B14E38"/>
    <w:rsid w:val="00B1695A"/>
    <w:rsid w:val="00B234C2"/>
    <w:rsid w:val="00B23F78"/>
    <w:rsid w:val="00B27DD7"/>
    <w:rsid w:val="00B330B3"/>
    <w:rsid w:val="00B345BB"/>
    <w:rsid w:val="00B35E3D"/>
    <w:rsid w:val="00B37663"/>
    <w:rsid w:val="00B46A67"/>
    <w:rsid w:val="00B46D44"/>
    <w:rsid w:val="00B5153E"/>
    <w:rsid w:val="00B51E27"/>
    <w:rsid w:val="00B53656"/>
    <w:rsid w:val="00B63DF2"/>
    <w:rsid w:val="00B65DFA"/>
    <w:rsid w:val="00B700E2"/>
    <w:rsid w:val="00B71FCC"/>
    <w:rsid w:val="00B7334B"/>
    <w:rsid w:val="00B750BD"/>
    <w:rsid w:val="00B8058F"/>
    <w:rsid w:val="00B8103A"/>
    <w:rsid w:val="00B83E0D"/>
    <w:rsid w:val="00B85CD0"/>
    <w:rsid w:val="00B878F6"/>
    <w:rsid w:val="00B92CBD"/>
    <w:rsid w:val="00B92F23"/>
    <w:rsid w:val="00B96E56"/>
    <w:rsid w:val="00BA10CB"/>
    <w:rsid w:val="00BA1E0D"/>
    <w:rsid w:val="00BA30BC"/>
    <w:rsid w:val="00BA577A"/>
    <w:rsid w:val="00BA64EB"/>
    <w:rsid w:val="00BA78D7"/>
    <w:rsid w:val="00BB2521"/>
    <w:rsid w:val="00BB4518"/>
    <w:rsid w:val="00BB6771"/>
    <w:rsid w:val="00BC170D"/>
    <w:rsid w:val="00BC46F3"/>
    <w:rsid w:val="00BC518A"/>
    <w:rsid w:val="00BD10F2"/>
    <w:rsid w:val="00BD2331"/>
    <w:rsid w:val="00BD2D21"/>
    <w:rsid w:val="00BE4640"/>
    <w:rsid w:val="00BE4F5F"/>
    <w:rsid w:val="00BF40B3"/>
    <w:rsid w:val="00BF5027"/>
    <w:rsid w:val="00C022FB"/>
    <w:rsid w:val="00C056B3"/>
    <w:rsid w:val="00C06B0F"/>
    <w:rsid w:val="00C105E7"/>
    <w:rsid w:val="00C12F00"/>
    <w:rsid w:val="00C1372F"/>
    <w:rsid w:val="00C13CF4"/>
    <w:rsid w:val="00C146B3"/>
    <w:rsid w:val="00C14E03"/>
    <w:rsid w:val="00C15D7E"/>
    <w:rsid w:val="00C17F0A"/>
    <w:rsid w:val="00C239C7"/>
    <w:rsid w:val="00C33DC5"/>
    <w:rsid w:val="00C346E8"/>
    <w:rsid w:val="00C36642"/>
    <w:rsid w:val="00C3672B"/>
    <w:rsid w:val="00C36CB6"/>
    <w:rsid w:val="00C379B8"/>
    <w:rsid w:val="00C37ACA"/>
    <w:rsid w:val="00C40DE5"/>
    <w:rsid w:val="00C43D33"/>
    <w:rsid w:val="00C43E3F"/>
    <w:rsid w:val="00C45A11"/>
    <w:rsid w:val="00C4636D"/>
    <w:rsid w:val="00C5391A"/>
    <w:rsid w:val="00C54003"/>
    <w:rsid w:val="00C568C3"/>
    <w:rsid w:val="00C623D9"/>
    <w:rsid w:val="00C708E4"/>
    <w:rsid w:val="00C747A1"/>
    <w:rsid w:val="00C76B54"/>
    <w:rsid w:val="00C76F02"/>
    <w:rsid w:val="00C77444"/>
    <w:rsid w:val="00C80386"/>
    <w:rsid w:val="00C81CE0"/>
    <w:rsid w:val="00C83733"/>
    <w:rsid w:val="00C85117"/>
    <w:rsid w:val="00C85FC2"/>
    <w:rsid w:val="00C9094B"/>
    <w:rsid w:val="00C90DED"/>
    <w:rsid w:val="00C91CF0"/>
    <w:rsid w:val="00C95402"/>
    <w:rsid w:val="00CA4188"/>
    <w:rsid w:val="00CA4F76"/>
    <w:rsid w:val="00CA5C47"/>
    <w:rsid w:val="00CA64AB"/>
    <w:rsid w:val="00CB1099"/>
    <w:rsid w:val="00CB22AE"/>
    <w:rsid w:val="00CB5D2B"/>
    <w:rsid w:val="00CB6394"/>
    <w:rsid w:val="00CB705B"/>
    <w:rsid w:val="00CB7A0A"/>
    <w:rsid w:val="00CC089A"/>
    <w:rsid w:val="00CC09DA"/>
    <w:rsid w:val="00CC1307"/>
    <w:rsid w:val="00CC1AE6"/>
    <w:rsid w:val="00CC1D10"/>
    <w:rsid w:val="00CC6586"/>
    <w:rsid w:val="00CC7090"/>
    <w:rsid w:val="00CD00BB"/>
    <w:rsid w:val="00CD0199"/>
    <w:rsid w:val="00CD4ED5"/>
    <w:rsid w:val="00CD6124"/>
    <w:rsid w:val="00CE70F7"/>
    <w:rsid w:val="00CE78DD"/>
    <w:rsid w:val="00CF365B"/>
    <w:rsid w:val="00CF4CC8"/>
    <w:rsid w:val="00CF77A8"/>
    <w:rsid w:val="00D027DA"/>
    <w:rsid w:val="00D0540A"/>
    <w:rsid w:val="00D05FAF"/>
    <w:rsid w:val="00D11F79"/>
    <w:rsid w:val="00D1761F"/>
    <w:rsid w:val="00D20019"/>
    <w:rsid w:val="00D20B54"/>
    <w:rsid w:val="00D2195C"/>
    <w:rsid w:val="00D227EA"/>
    <w:rsid w:val="00D2534B"/>
    <w:rsid w:val="00D26CA6"/>
    <w:rsid w:val="00D3126C"/>
    <w:rsid w:val="00D31DA9"/>
    <w:rsid w:val="00D3350D"/>
    <w:rsid w:val="00D34B9F"/>
    <w:rsid w:val="00D35A66"/>
    <w:rsid w:val="00D35E8E"/>
    <w:rsid w:val="00D36681"/>
    <w:rsid w:val="00D42BD4"/>
    <w:rsid w:val="00D439A9"/>
    <w:rsid w:val="00D457B6"/>
    <w:rsid w:val="00D515D2"/>
    <w:rsid w:val="00D61159"/>
    <w:rsid w:val="00D61F52"/>
    <w:rsid w:val="00D62ED8"/>
    <w:rsid w:val="00D65057"/>
    <w:rsid w:val="00D70C12"/>
    <w:rsid w:val="00D71BDF"/>
    <w:rsid w:val="00D71F9C"/>
    <w:rsid w:val="00D755AB"/>
    <w:rsid w:val="00D75C8A"/>
    <w:rsid w:val="00D85686"/>
    <w:rsid w:val="00D92A03"/>
    <w:rsid w:val="00D95431"/>
    <w:rsid w:val="00D97C70"/>
    <w:rsid w:val="00DA0114"/>
    <w:rsid w:val="00DA2635"/>
    <w:rsid w:val="00DA289C"/>
    <w:rsid w:val="00DA692B"/>
    <w:rsid w:val="00DB1250"/>
    <w:rsid w:val="00DB3BE4"/>
    <w:rsid w:val="00DC2D9B"/>
    <w:rsid w:val="00DC3E7C"/>
    <w:rsid w:val="00DC518F"/>
    <w:rsid w:val="00DC7119"/>
    <w:rsid w:val="00DC71BF"/>
    <w:rsid w:val="00DD12E1"/>
    <w:rsid w:val="00DD1A81"/>
    <w:rsid w:val="00DD699C"/>
    <w:rsid w:val="00DE01F1"/>
    <w:rsid w:val="00DE7222"/>
    <w:rsid w:val="00DF070C"/>
    <w:rsid w:val="00DF2E31"/>
    <w:rsid w:val="00DF4AA0"/>
    <w:rsid w:val="00DF56AD"/>
    <w:rsid w:val="00DF5723"/>
    <w:rsid w:val="00E00A58"/>
    <w:rsid w:val="00E01F08"/>
    <w:rsid w:val="00E03B78"/>
    <w:rsid w:val="00E04E07"/>
    <w:rsid w:val="00E05071"/>
    <w:rsid w:val="00E0708F"/>
    <w:rsid w:val="00E131F7"/>
    <w:rsid w:val="00E15D29"/>
    <w:rsid w:val="00E16921"/>
    <w:rsid w:val="00E169CF"/>
    <w:rsid w:val="00E16BA3"/>
    <w:rsid w:val="00E20818"/>
    <w:rsid w:val="00E23444"/>
    <w:rsid w:val="00E25909"/>
    <w:rsid w:val="00E260E6"/>
    <w:rsid w:val="00E27795"/>
    <w:rsid w:val="00E30990"/>
    <w:rsid w:val="00E309C7"/>
    <w:rsid w:val="00E32D71"/>
    <w:rsid w:val="00E3691C"/>
    <w:rsid w:val="00E41D4E"/>
    <w:rsid w:val="00E41F23"/>
    <w:rsid w:val="00E42E5E"/>
    <w:rsid w:val="00E42F2B"/>
    <w:rsid w:val="00E43723"/>
    <w:rsid w:val="00E438FF"/>
    <w:rsid w:val="00E43DC1"/>
    <w:rsid w:val="00E465CF"/>
    <w:rsid w:val="00E50A45"/>
    <w:rsid w:val="00E50AC6"/>
    <w:rsid w:val="00E53716"/>
    <w:rsid w:val="00E56245"/>
    <w:rsid w:val="00E568CF"/>
    <w:rsid w:val="00E61F24"/>
    <w:rsid w:val="00E631AC"/>
    <w:rsid w:val="00E63BF1"/>
    <w:rsid w:val="00E63DB4"/>
    <w:rsid w:val="00E63FAF"/>
    <w:rsid w:val="00E716A6"/>
    <w:rsid w:val="00E7367E"/>
    <w:rsid w:val="00E76F26"/>
    <w:rsid w:val="00E81D48"/>
    <w:rsid w:val="00E901C8"/>
    <w:rsid w:val="00E90AD7"/>
    <w:rsid w:val="00E90F53"/>
    <w:rsid w:val="00E93E0F"/>
    <w:rsid w:val="00E94094"/>
    <w:rsid w:val="00E941BD"/>
    <w:rsid w:val="00EA55DA"/>
    <w:rsid w:val="00EA717C"/>
    <w:rsid w:val="00EB1799"/>
    <w:rsid w:val="00EB17DC"/>
    <w:rsid w:val="00EC359A"/>
    <w:rsid w:val="00EC4FF2"/>
    <w:rsid w:val="00ED0811"/>
    <w:rsid w:val="00ED23D6"/>
    <w:rsid w:val="00ED2A0D"/>
    <w:rsid w:val="00ED581F"/>
    <w:rsid w:val="00ED7E04"/>
    <w:rsid w:val="00EE5966"/>
    <w:rsid w:val="00EF222F"/>
    <w:rsid w:val="00EF231F"/>
    <w:rsid w:val="00EF2A1A"/>
    <w:rsid w:val="00EF502F"/>
    <w:rsid w:val="00F04998"/>
    <w:rsid w:val="00F057E6"/>
    <w:rsid w:val="00F05FFE"/>
    <w:rsid w:val="00F11557"/>
    <w:rsid w:val="00F1486C"/>
    <w:rsid w:val="00F16532"/>
    <w:rsid w:val="00F173C6"/>
    <w:rsid w:val="00F17641"/>
    <w:rsid w:val="00F20DC4"/>
    <w:rsid w:val="00F251D9"/>
    <w:rsid w:val="00F263DC"/>
    <w:rsid w:val="00F27055"/>
    <w:rsid w:val="00F32409"/>
    <w:rsid w:val="00F3248B"/>
    <w:rsid w:val="00F3307C"/>
    <w:rsid w:val="00F33F05"/>
    <w:rsid w:val="00F36DFF"/>
    <w:rsid w:val="00F3767D"/>
    <w:rsid w:val="00F37FDF"/>
    <w:rsid w:val="00F42052"/>
    <w:rsid w:val="00F46ECA"/>
    <w:rsid w:val="00F52B2E"/>
    <w:rsid w:val="00F53CE7"/>
    <w:rsid w:val="00F548C4"/>
    <w:rsid w:val="00F5592B"/>
    <w:rsid w:val="00F6312D"/>
    <w:rsid w:val="00F64AA5"/>
    <w:rsid w:val="00F6671F"/>
    <w:rsid w:val="00F67079"/>
    <w:rsid w:val="00F723A9"/>
    <w:rsid w:val="00F75EB6"/>
    <w:rsid w:val="00F804AD"/>
    <w:rsid w:val="00F8405C"/>
    <w:rsid w:val="00F8490D"/>
    <w:rsid w:val="00F84D4B"/>
    <w:rsid w:val="00F86D16"/>
    <w:rsid w:val="00F93265"/>
    <w:rsid w:val="00F93EFE"/>
    <w:rsid w:val="00F96135"/>
    <w:rsid w:val="00FA18E4"/>
    <w:rsid w:val="00FA1C44"/>
    <w:rsid w:val="00FA348E"/>
    <w:rsid w:val="00FA3B25"/>
    <w:rsid w:val="00FB2B49"/>
    <w:rsid w:val="00FB352D"/>
    <w:rsid w:val="00FB4431"/>
    <w:rsid w:val="00FB6DBC"/>
    <w:rsid w:val="00FC1946"/>
    <w:rsid w:val="00FC38CF"/>
    <w:rsid w:val="00FC43EC"/>
    <w:rsid w:val="00FC6360"/>
    <w:rsid w:val="00FD09D1"/>
    <w:rsid w:val="00FD5426"/>
    <w:rsid w:val="00FE00BE"/>
    <w:rsid w:val="00FE2BA1"/>
    <w:rsid w:val="00FE431D"/>
    <w:rsid w:val="00FE56AD"/>
    <w:rsid w:val="00FE5CC3"/>
    <w:rsid w:val="00FE61FC"/>
    <w:rsid w:val="00FE6D09"/>
    <w:rsid w:val="00FF0D46"/>
    <w:rsid w:val="00FF26E4"/>
    <w:rsid w:val="00FF3F0D"/>
    <w:rsid w:val="00FF466A"/>
    <w:rsid w:val="00FF4774"/>
    <w:rsid w:val="00FF5203"/>
    <w:rsid w:val="00FF5B62"/>
    <w:rsid w:val="011C7C7F"/>
    <w:rsid w:val="01242C13"/>
    <w:rsid w:val="0126127D"/>
    <w:rsid w:val="012F6D31"/>
    <w:rsid w:val="013F0BAE"/>
    <w:rsid w:val="01426CB7"/>
    <w:rsid w:val="014C15F0"/>
    <w:rsid w:val="016A18BB"/>
    <w:rsid w:val="01767F39"/>
    <w:rsid w:val="01837032"/>
    <w:rsid w:val="01891C53"/>
    <w:rsid w:val="018F3568"/>
    <w:rsid w:val="01A026F0"/>
    <w:rsid w:val="01AF1DEF"/>
    <w:rsid w:val="01B33877"/>
    <w:rsid w:val="01B5447A"/>
    <w:rsid w:val="01C23D30"/>
    <w:rsid w:val="01D85D7E"/>
    <w:rsid w:val="01DD653E"/>
    <w:rsid w:val="01F03100"/>
    <w:rsid w:val="01FC6168"/>
    <w:rsid w:val="02205968"/>
    <w:rsid w:val="023C6877"/>
    <w:rsid w:val="023D593B"/>
    <w:rsid w:val="024A4B3B"/>
    <w:rsid w:val="02546DDA"/>
    <w:rsid w:val="025E069A"/>
    <w:rsid w:val="02676E1B"/>
    <w:rsid w:val="02731095"/>
    <w:rsid w:val="02772BD8"/>
    <w:rsid w:val="029F7028"/>
    <w:rsid w:val="02A77100"/>
    <w:rsid w:val="02C00B3F"/>
    <w:rsid w:val="02EF19D6"/>
    <w:rsid w:val="02F77757"/>
    <w:rsid w:val="02FA23A8"/>
    <w:rsid w:val="032062CB"/>
    <w:rsid w:val="032F0848"/>
    <w:rsid w:val="033A0E9D"/>
    <w:rsid w:val="033F29FA"/>
    <w:rsid w:val="034641C3"/>
    <w:rsid w:val="03485A0F"/>
    <w:rsid w:val="035B47DA"/>
    <w:rsid w:val="036D3BCF"/>
    <w:rsid w:val="036D5065"/>
    <w:rsid w:val="037557A7"/>
    <w:rsid w:val="03756445"/>
    <w:rsid w:val="038652C6"/>
    <w:rsid w:val="03936BB9"/>
    <w:rsid w:val="03A9328A"/>
    <w:rsid w:val="03C17E5B"/>
    <w:rsid w:val="03DB2543"/>
    <w:rsid w:val="03FC0994"/>
    <w:rsid w:val="042451DA"/>
    <w:rsid w:val="04266BBA"/>
    <w:rsid w:val="04281C40"/>
    <w:rsid w:val="042E4DD9"/>
    <w:rsid w:val="04325931"/>
    <w:rsid w:val="044029A5"/>
    <w:rsid w:val="04513859"/>
    <w:rsid w:val="045F036E"/>
    <w:rsid w:val="046532AA"/>
    <w:rsid w:val="04735F53"/>
    <w:rsid w:val="04757F77"/>
    <w:rsid w:val="04813F74"/>
    <w:rsid w:val="049B4ADB"/>
    <w:rsid w:val="04A21EFD"/>
    <w:rsid w:val="04A76479"/>
    <w:rsid w:val="04B63BFF"/>
    <w:rsid w:val="04BB391E"/>
    <w:rsid w:val="04D57147"/>
    <w:rsid w:val="04F11AB8"/>
    <w:rsid w:val="04F16904"/>
    <w:rsid w:val="04FA4853"/>
    <w:rsid w:val="04FC5702"/>
    <w:rsid w:val="04FE5BD1"/>
    <w:rsid w:val="050B0CD7"/>
    <w:rsid w:val="050E113B"/>
    <w:rsid w:val="052203F1"/>
    <w:rsid w:val="053179BA"/>
    <w:rsid w:val="053921E2"/>
    <w:rsid w:val="053E62FD"/>
    <w:rsid w:val="05407769"/>
    <w:rsid w:val="0549386E"/>
    <w:rsid w:val="054E5ED7"/>
    <w:rsid w:val="056B4BA9"/>
    <w:rsid w:val="059557B1"/>
    <w:rsid w:val="059F0331"/>
    <w:rsid w:val="05A0616A"/>
    <w:rsid w:val="05A133AA"/>
    <w:rsid w:val="05D62E8D"/>
    <w:rsid w:val="05F077D4"/>
    <w:rsid w:val="060D4D85"/>
    <w:rsid w:val="06136FCC"/>
    <w:rsid w:val="063D1A9A"/>
    <w:rsid w:val="063F1073"/>
    <w:rsid w:val="06477A15"/>
    <w:rsid w:val="064C7D14"/>
    <w:rsid w:val="065426BE"/>
    <w:rsid w:val="06545B13"/>
    <w:rsid w:val="06565F89"/>
    <w:rsid w:val="065E3C59"/>
    <w:rsid w:val="06711361"/>
    <w:rsid w:val="0676065B"/>
    <w:rsid w:val="069B792B"/>
    <w:rsid w:val="06A11AE7"/>
    <w:rsid w:val="06AD2B3B"/>
    <w:rsid w:val="06B4101E"/>
    <w:rsid w:val="06D74D2C"/>
    <w:rsid w:val="06D87FE9"/>
    <w:rsid w:val="06DD48E9"/>
    <w:rsid w:val="06E40402"/>
    <w:rsid w:val="06F14E7D"/>
    <w:rsid w:val="06F15F3E"/>
    <w:rsid w:val="070736C4"/>
    <w:rsid w:val="07272FEF"/>
    <w:rsid w:val="072A05F0"/>
    <w:rsid w:val="07387D99"/>
    <w:rsid w:val="074618E0"/>
    <w:rsid w:val="0756170A"/>
    <w:rsid w:val="07611FC2"/>
    <w:rsid w:val="07701844"/>
    <w:rsid w:val="07810992"/>
    <w:rsid w:val="078656CD"/>
    <w:rsid w:val="07881B83"/>
    <w:rsid w:val="079F1279"/>
    <w:rsid w:val="07A267CB"/>
    <w:rsid w:val="07A85F84"/>
    <w:rsid w:val="07C766EF"/>
    <w:rsid w:val="07D37E8D"/>
    <w:rsid w:val="07DB1942"/>
    <w:rsid w:val="07DB6632"/>
    <w:rsid w:val="07E6588F"/>
    <w:rsid w:val="07E67990"/>
    <w:rsid w:val="07EB52FC"/>
    <w:rsid w:val="07F6398C"/>
    <w:rsid w:val="08007C66"/>
    <w:rsid w:val="08066D92"/>
    <w:rsid w:val="080F5EFD"/>
    <w:rsid w:val="08163E4D"/>
    <w:rsid w:val="081E7C8D"/>
    <w:rsid w:val="08444D3B"/>
    <w:rsid w:val="084F6F27"/>
    <w:rsid w:val="085B2896"/>
    <w:rsid w:val="085B47AE"/>
    <w:rsid w:val="08752AC1"/>
    <w:rsid w:val="08757F68"/>
    <w:rsid w:val="08895C65"/>
    <w:rsid w:val="089153C7"/>
    <w:rsid w:val="08936E11"/>
    <w:rsid w:val="08A344C0"/>
    <w:rsid w:val="08B7057E"/>
    <w:rsid w:val="08BD56F0"/>
    <w:rsid w:val="08BF66FF"/>
    <w:rsid w:val="08DD1D65"/>
    <w:rsid w:val="08DD2846"/>
    <w:rsid w:val="08E13796"/>
    <w:rsid w:val="08E21174"/>
    <w:rsid w:val="08E32E74"/>
    <w:rsid w:val="08F740E9"/>
    <w:rsid w:val="08F84BFB"/>
    <w:rsid w:val="09023E0B"/>
    <w:rsid w:val="091D5275"/>
    <w:rsid w:val="092422D4"/>
    <w:rsid w:val="092E0CF2"/>
    <w:rsid w:val="0941147D"/>
    <w:rsid w:val="094E5EB9"/>
    <w:rsid w:val="09503F28"/>
    <w:rsid w:val="09647A9E"/>
    <w:rsid w:val="0967778B"/>
    <w:rsid w:val="0972141D"/>
    <w:rsid w:val="098B5CEE"/>
    <w:rsid w:val="09B0689E"/>
    <w:rsid w:val="09E0485F"/>
    <w:rsid w:val="09EF6144"/>
    <w:rsid w:val="09FD39CA"/>
    <w:rsid w:val="0A030A5B"/>
    <w:rsid w:val="0A110ED0"/>
    <w:rsid w:val="0A2A682C"/>
    <w:rsid w:val="0A2C7D49"/>
    <w:rsid w:val="0A4707FD"/>
    <w:rsid w:val="0A4D6348"/>
    <w:rsid w:val="0A690634"/>
    <w:rsid w:val="0AA350C7"/>
    <w:rsid w:val="0AA867C8"/>
    <w:rsid w:val="0AB16EAD"/>
    <w:rsid w:val="0AE67C59"/>
    <w:rsid w:val="0AEB64A8"/>
    <w:rsid w:val="0AED3445"/>
    <w:rsid w:val="0AF315E8"/>
    <w:rsid w:val="0AF344E1"/>
    <w:rsid w:val="0AF866D1"/>
    <w:rsid w:val="0AFE6184"/>
    <w:rsid w:val="0B1449F6"/>
    <w:rsid w:val="0B1A1E43"/>
    <w:rsid w:val="0B2912D0"/>
    <w:rsid w:val="0B361B49"/>
    <w:rsid w:val="0B476BBC"/>
    <w:rsid w:val="0B48684A"/>
    <w:rsid w:val="0B4D48A4"/>
    <w:rsid w:val="0B533B29"/>
    <w:rsid w:val="0B631A54"/>
    <w:rsid w:val="0B823FD1"/>
    <w:rsid w:val="0B9630C2"/>
    <w:rsid w:val="0B975356"/>
    <w:rsid w:val="0BA7004E"/>
    <w:rsid w:val="0BA8144D"/>
    <w:rsid w:val="0BAD7ADF"/>
    <w:rsid w:val="0BBD4675"/>
    <w:rsid w:val="0BE0144B"/>
    <w:rsid w:val="0BE10566"/>
    <w:rsid w:val="0C013897"/>
    <w:rsid w:val="0C176CBC"/>
    <w:rsid w:val="0C3236E7"/>
    <w:rsid w:val="0C352A19"/>
    <w:rsid w:val="0C494A35"/>
    <w:rsid w:val="0C49575D"/>
    <w:rsid w:val="0C6D71DA"/>
    <w:rsid w:val="0C6F619B"/>
    <w:rsid w:val="0C756558"/>
    <w:rsid w:val="0C7905D8"/>
    <w:rsid w:val="0C952C04"/>
    <w:rsid w:val="0C95435A"/>
    <w:rsid w:val="0CA87625"/>
    <w:rsid w:val="0CAD6CD5"/>
    <w:rsid w:val="0CAF4411"/>
    <w:rsid w:val="0CB02F58"/>
    <w:rsid w:val="0CB71182"/>
    <w:rsid w:val="0CC7607D"/>
    <w:rsid w:val="0CD31EEE"/>
    <w:rsid w:val="0D2B6157"/>
    <w:rsid w:val="0D3244DD"/>
    <w:rsid w:val="0D5864B2"/>
    <w:rsid w:val="0D6A1AC0"/>
    <w:rsid w:val="0D6B0852"/>
    <w:rsid w:val="0D6D3302"/>
    <w:rsid w:val="0D7F3975"/>
    <w:rsid w:val="0D8C26CD"/>
    <w:rsid w:val="0D9A0057"/>
    <w:rsid w:val="0DA27718"/>
    <w:rsid w:val="0DB1010B"/>
    <w:rsid w:val="0DBB55AD"/>
    <w:rsid w:val="0DE57D7F"/>
    <w:rsid w:val="0DF43238"/>
    <w:rsid w:val="0E096E39"/>
    <w:rsid w:val="0E1C1EC9"/>
    <w:rsid w:val="0E4C3071"/>
    <w:rsid w:val="0E60507D"/>
    <w:rsid w:val="0E971A66"/>
    <w:rsid w:val="0EA72BA6"/>
    <w:rsid w:val="0EAA475B"/>
    <w:rsid w:val="0EAC11AD"/>
    <w:rsid w:val="0EC74501"/>
    <w:rsid w:val="0ED73C0E"/>
    <w:rsid w:val="0EDA0876"/>
    <w:rsid w:val="0EEB4C90"/>
    <w:rsid w:val="0EF162BD"/>
    <w:rsid w:val="0F032F2D"/>
    <w:rsid w:val="0F14495A"/>
    <w:rsid w:val="0F305AAD"/>
    <w:rsid w:val="0F321605"/>
    <w:rsid w:val="0F3353B7"/>
    <w:rsid w:val="0F48505B"/>
    <w:rsid w:val="0F5342DC"/>
    <w:rsid w:val="0F566845"/>
    <w:rsid w:val="0F684F69"/>
    <w:rsid w:val="0F68565B"/>
    <w:rsid w:val="0F687084"/>
    <w:rsid w:val="0F8A27DB"/>
    <w:rsid w:val="0F96006E"/>
    <w:rsid w:val="0F9D00AA"/>
    <w:rsid w:val="0F9F1B67"/>
    <w:rsid w:val="0FA56B5C"/>
    <w:rsid w:val="0FBF5BD9"/>
    <w:rsid w:val="0FC05753"/>
    <w:rsid w:val="0FC05E5A"/>
    <w:rsid w:val="0FC30C2E"/>
    <w:rsid w:val="0FC929CF"/>
    <w:rsid w:val="0FD41F31"/>
    <w:rsid w:val="0FDB7383"/>
    <w:rsid w:val="0FDD6D95"/>
    <w:rsid w:val="0FE81479"/>
    <w:rsid w:val="0FFE1577"/>
    <w:rsid w:val="100737A9"/>
    <w:rsid w:val="101A342B"/>
    <w:rsid w:val="101F7C33"/>
    <w:rsid w:val="103C541A"/>
    <w:rsid w:val="1042335F"/>
    <w:rsid w:val="104735C4"/>
    <w:rsid w:val="1051038C"/>
    <w:rsid w:val="10804688"/>
    <w:rsid w:val="1082485A"/>
    <w:rsid w:val="10884916"/>
    <w:rsid w:val="109673A7"/>
    <w:rsid w:val="109C580E"/>
    <w:rsid w:val="10A55503"/>
    <w:rsid w:val="10A82ECB"/>
    <w:rsid w:val="10A906A7"/>
    <w:rsid w:val="10AD7AF8"/>
    <w:rsid w:val="10B15399"/>
    <w:rsid w:val="10E87676"/>
    <w:rsid w:val="10F378F4"/>
    <w:rsid w:val="10F55783"/>
    <w:rsid w:val="111649EF"/>
    <w:rsid w:val="111C76BD"/>
    <w:rsid w:val="111F3BCF"/>
    <w:rsid w:val="11382462"/>
    <w:rsid w:val="114306D4"/>
    <w:rsid w:val="11506166"/>
    <w:rsid w:val="11567833"/>
    <w:rsid w:val="116228F0"/>
    <w:rsid w:val="1163689E"/>
    <w:rsid w:val="117F37A7"/>
    <w:rsid w:val="11896F02"/>
    <w:rsid w:val="118D0A84"/>
    <w:rsid w:val="118E3A37"/>
    <w:rsid w:val="1194645C"/>
    <w:rsid w:val="11967803"/>
    <w:rsid w:val="11A163D0"/>
    <w:rsid w:val="11B23EB0"/>
    <w:rsid w:val="11B562D3"/>
    <w:rsid w:val="11D83EE0"/>
    <w:rsid w:val="11DB1F31"/>
    <w:rsid w:val="11DC0428"/>
    <w:rsid w:val="11E7187D"/>
    <w:rsid w:val="11F65457"/>
    <w:rsid w:val="1203249B"/>
    <w:rsid w:val="1207675D"/>
    <w:rsid w:val="121909F3"/>
    <w:rsid w:val="122E4B3D"/>
    <w:rsid w:val="123167DA"/>
    <w:rsid w:val="12361FE3"/>
    <w:rsid w:val="12491D3D"/>
    <w:rsid w:val="125011C5"/>
    <w:rsid w:val="12665CAA"/>
    <w:rsid w:val="126A3793"/>
    <w:rsid w:val="1273400A"/>
    <w:rsid w:val="127759F8"/>
    <w:rsid w:val="1288457B"/>
    <w:rsid w:val="128B45A0"/>
    <w:rsid w:val="12A30010"/>
    <w:rsid w:val="12A400B1"/>
    <w:rsid w:val="12B7738E"/>
    <w:rsid w:val="12B94748"/>
    <w:rsid w:val="12CE6A83"/>
    <w:rsid w:val="12EB69CE"/>
    <w:rsid w:val="12ED3A80"/>
    <w:rsid w:val="12F2222C"/>
    <w:rsid w:val="12F2530F"/>
    <w:rsid w:val="13021A2C"/>
    <w:rsid w:val="13152DB4"/>
    <w:rsid w:val="132A3E1B"/>
    <w:rsid w:val="133632F5"/>
    <w:rsid w:val="13465BC3"/>
    <w:rsid w:val="13500091"/>
    <w:rsid w:val="136620F4"/>
    <w:rsid w:val="1366701C"/>
    <w:rsid w:val="1379231B"/>
    <w:rsid w:val="139713B3"/>
    <w:rsid w:val="139E5A9A"/>
    <w:rsid w:val="13A4359A"/>
    <w:rsid w:val="13B445A5"/>
    <w:rsid w:val="13BB084D"/>
    <w:rsid w:val="13BC32D0"/>
    <w:rsid w:val="13CA1266"/>
    <w:rsid w:val="13D72474"/>
    <w:rsid w:val="13D971D2"/>
    <w:rsid w:val="13E11670"/>
    <w:rsid w:val="13E94203"/>
    <w:rsid w:val="13F15346"/>
    <w:rsid w:val="14120CA8"/>
    <w:rsid w:val="141D6D49"/>
    <w:rsid w:val="142B1664"/>
    <w:rsid w:val="144759A8"/>
    <w:rsid w:val="14587641"/>
    <w:rsid w:val="145B492E"/>
    <w:rsid w:val="146769B7"/>
    <w:rsid w:val="147B2758"/>
    <w:rsid w:val="14863342"/>
    <w:rsid w:val="1495686D"/>
    <w:rsid w:val="14961447"/>
    <w:rsid w:val="149B3737"/>
    <w:rsid w:val="149D6626"/>
    <w:rsid w:val="149F2901"/>
    <w:rsid w:val="14A44639"/>
    <w:rsid w:val="14A7200E"/>
    <w:rsid w:val="14AF52CE"/>
    <w:rsid w:val="14B34ACE"/>
    <w:rsid w:val="14B8155B"/>
    <w:rsid w:val="14C678DA"/>
    <w:rsid w:val="14CB4D1A"/>
    <w:rsid w:val="14D64FA0"/>
    <w:rsid w:val="14DE22A2"/>
    <w:rsid w:val="14F54092"/>
    <w:rsid w:val="14F64B17"/>
    <w:rsid w:val="1525553B"/>
    <w:rsid w:val="15296903"/>
    <w:rsid w:val="152B75D2"/>
    <w:rsid w:val="153C5776"/>
    <w:rsid w:val="154C573A"/>
    <w:rsid w:val="155265F4"/>
    <w:rsid w:val="15604361"/>
    <w:rsid w:val="157B0A32"/>
    <w:rsid w:val="15847260"/>
    <w:rsid w:val="15896493"/>
    <w:rsid w:val="15B51DDE"/>
    <w:rsid w:val="15B55363"/>
    <w:rsid w:val="15B61275"/>
    <w:rsid w:val="15C169AC"/>
    <w:rsid w:val="15EE0A89"/>
    <w:rsid w:val="15F00A00"/>
    <w:rsid w:val="15F65082"/>
    <w:rsid w:val="160024AA"/>
    <w:rsid w:val="160B2645"/>
    <w:rsid w:val="161578BF"/>
    <w:rsid w:val="16162EF0"/>
    <w:rsid w:val="16337E88"/>
    <w:rsid w:val="163A465A"/>
    <w:rsid w:val="1640771C"/>
    <w:rsid w:val="16455A79"/>
    <w:rsid w:val="164E4741"/>
    <w:rsid w:val="164E668F"/>
    <w:rsid w:val="165635D9"/>
    <w:rsid w:val="1658525F"/>
    <w:rsid w:val="16A1133A"/>
    <w:rsid w:val="16B001AD"/>
    <w:rsid w:val="16F5338F"/>
    <w:rsid w:val="1700661C"/>
    <w:rsid w:val="17193A6D"/>
    <w:rsid w:val="171D2783"/>
    <w:rsid w:val="171F52F1"/>
    <w:rsid w:val="172C3D13"/>
    <w:rsid w:val="175A32D2"/>
    <w:rsid w:val="176424DC"/>
    <w:rsid w:val="1767731A"/>
    <w:rsid w:val="176C179B"/>
    <w:rsid w:val="17790994"/>
    <w:rsid w:val="1783643C"/>
    <w:rsid w:val="178B7F80"/>
    <w:rsid w:val="17A54A43"/>
    <w:rsid w:val="17BA78E4"/>
    <w:rsid w:val="17E97420"/>
    <w:rsid w:val="17E979B2"/>
    <w:rsid w:val="17F36885"/>
    <w:rsid w:val="18004438"/>
    <w:rsid w:val="180E3449"/>
    <w:rsid w:val="18105287"/>
    <w:rsid w:val="18110CF1"/>
    <w:rsid w:val="182527C9"/>
    <w:rsid w:val="183E5722"/>
    <w:rsid w:val="18714E05"/>
    <w:rsid w:val="187637AB"/>
    <w:rsid w:val="187D6A8B"/>
    <w:rsid w:val="188B0AC6"/>
    <w:rsid w:val="18902376"/>
    <w:rsid w:val="18AB7E54"/>
    <w:rsid w:val="18CD5707"/>
    <w:rsid w:val="18E17C22"/>
    <w:rsid w:val="18ED7DF7"/>
    <w:rsid w:val="190D3E7D"/>
    <w:rsid w:val="19221422"/>
    <w:rsid w:val="19250B27"/>
    <w:rsid w:val="19264BDF"/>
    <w:rsid w:val="19346A4B"/>
    <w:rsid w:val="193B3A99"/>
    <w:rsid w:val="1940592C"/>
    <w:rsid w:val="195722CB"/>
    <w:rsid w:val="19671C74"/>
    <w:rsid w:val="19776586"/>
    <w:rsid w:val="199146A9"/>
    <w:rsid w:val="19930F16"/>
    <w:rsid w:val="19AB7B63"/>
    <w:rsid w:val="19AC7816"/>
    <w:rsid w:val="19C31A2B"/>
    <w:rsid w:val="19D27DA3"/>
    <w:rsid w:val="19D34CDE"/>
    <w:rsid w:val="19D4436D"/>
    <w:rsid w:val="19DC7A10"/>
    <w:rsid w:val="19E26DAC"/>
    <w:rsid w:val="19ED3CEA"/>
    <w:rsid w:val="1A0770C2"/>
    <w:rsid w:val="1A343559"/>
    <w:rsid w:val="1A3641C6"/>
    <w:rsid w:val="1A4F04C3"/>
    <w:rsid w:val="1A4F1C7C"/>
    <w:rsid w:val="1A5176FD"/>
    <w:rsid w:val="1A617DCC"/>
    <w:rsid w:val="1A6C2697"/>
    <w:rsid w:val="1A6D1B43"/>
    <w:rsid w:val="1A831294"/>
    <w:rsid w:val="1A8D3F8F"/>
    <w:rsid w:val="1A9100C3"/>
    <w:rsid w:val="1A9D75F4"/>
    <w:rsid w:val="1ABB3DE0"/>
    <w:rsid w:val="1AC62341"/>
    <w:rsid w:val="1AC6675E"/>
    <w:rsid w:val="1AEA7E63"/>
    <w:rsid w:val="1AEE0B2F"/>
    <w:rsid w:val="1AEE1B94"/>
    <w:rsid w:val="1AFD065A"/>
    <w:rsid w:val="1B03409D"/>
    <w:rsid w:val="1B111517"/>
    <w:rsid w:val="1B152B4D"/>
    <w:rsid w:val="1B2A45D6"/>
    <w:rsid w:val="1B55025B"/>
    <w:rsid w:val="1B5A2E9D"/>
    <w:rsid w:val="1B9A3B85"/>
    <w:rsid w:val="1B9E46F5"/>
    <w:rsid w:val="1BAF5235"/>
    <w:rsid w:val="1BB3174C"/>
    <w:rsid w:val="1BC06EA2"/>
    <w:rsid w:val="1BC34FCD"/>
    <w:rsid w:val="1BC50628"/>
    <w:rsid w:val="1BC50972"/>
    <w:rsid w:val="1BC55301"/>
    <w:rsid w:val="1BC57B47"/>
    <w:rsid w:val="1BC82618"/>
    <w:rsid w:val="1BD74EFE"/>
    <w:rsid w:val="1BDE3B4C"/>
    <w:rsid w:val="1C0E3977"/>
    <w:rsid w:val="1C1A6FEC"/>
    <w:rsid w:val="1C1E2754"/>
    <w:rsid w:val="1C215798"/>
    <w:rsid w:val="1C225C02"/>
    <w:rsid w:val="1C254629"/>
    <w:rsid w:val="1C2D471C"/>
    <w:rsid w:val="1C3768C3"/>
    <w:rsid w:val="1C3C55D4"/>
    <w:rsid w:val="1C4A6789"/>
    <w:rsid w:val="1C577B84"/>
    <w:rsid w:val="1C5C3956"/>
    <w:rsid w:val="1C654987"/>
    <w:rsid w:val="1C723F66"/>
    <w:rsid w:val="1C746750"/>
    <w:rsid w:val="1C825C78"/>
    <w:rsid w:val="1C8D1986"/>
    <w:rsid w:val="1C8E121B"/>
    <w:rsid w:val="1C8F233B"/>
    <w:rsid w:val="1CA86307"/>
    <w:rsid w:val="1CBA6E7B"/>
    <w:rsid w:val="1CBE2B3D"/>
    <w:rsid w:val="1CD90366"/>
    <w:rsid w:val="1CEE2D5A"/>
    <w:rsid w:val="1D185B98"/>
    <w:rsid w:val="1D1F3740"/>
    <w:rsid w:val="1D2E4533"/>
    <w:rsid w:val="1D361885"/>
    <w:rsid w:val="1D45790F"/>
    <w:rsid w:val="1D542175"/>
    <w:rsid w:val="1D625BC2"/>
    <w:rsid w:val="1D763161"/>
    <w:rsid w:val="1D767C76"/>
    <w:rsid w:val="1D7F6A99"/>
    <w:rsid w:val="1D8E03FA"/>
    <w:rsid w:val="1D8F2F1D"/>
    <w:rsid w:val="1D982ACF"/>
    <w:rsid w:val="1DB14064"/>
    <w:rsid w:val="1DC23D0F"/>
    <w:rsid w:val="1DD71650"/>
    <w:rsid w:val="1DEE1EFA"/>
    <w:rsid w:val="1E12611C"/>
    <w:rsid w:val="1E157A3A"/>
    <w:rsid w:val="1E3078D5"/>
    <w:rsid w:val="1E4644CC"/>
    <w:rsid w:val="1E61167C"/>
    <w:rsid w:val="1E7077F5"/>
    <w:rsid w:val="1E873F99"/>
    <w:rsid w:val="1E8B73A7"/>
    <w:rsid w:val="1E970166"/>
    <w:rsid w:val="1E9811D0"/>
    <w:rsid w:val="1EAA335B"/>
    <w:rsid w:val="1EAE6ECC"/>
    <w:rsid w:val="1EBB2DC6"/>
    <w:rsid w:val="1EBE7E01"/>
    <w:rsid w:val="1EDD2371"/>
    <w:rsid w:val="1F161228"/>
    <w:rsid w:val="1F1906B6"/>
    <w:rsid w:val="1F1D3032"/>
    <w:rsid w:val="1F390D89"/>
    <w:rsid w:val="1F3E7F5B"/>
    <w:rsid w:val="1F4A124B"/>
    <w:rsid w:val="1F513ECC"/>
    <w:rsid w:val="1F583E13"/>
    <w:rsid w:val="1F6A3BAE"/>
    <w:rsid w:val="1F6F027D"/>
    <w:rsid w:val="1F885F5F"/>
    <w:rsid w:val="1F8B0D13"/>
    <w:rsid w:val="1FB3007D"/>
    <w:rsid w:val="1FC86FB2"/>
    <w:rsid w:val="1FE039FF"/>
    <w:rsid w:val="1FFD682A"/>
    <w:rsid w:val="20017C8D"/>
    <w:rsid w:val="200E563D"/>
    <w:rsid w:val="2022167F"/>
    <w:rsid w:val="203C1C0C"/>
    <w:rsid w:val="20570026"/>
    <w:rsid w:val="20583861"/>
    <w:rsid w:val="2071673B"/>
    <w:rsid w:val="207724C8"/>
    <w:rsid w:val="20831771"/>
    <w:rsid w:val="208D5545"/>
    <w:rsid w:val="2097311F"/>
    <w:rsid w:val="20A84CA6"/>
    <w:rsid w:val="20BA620C"/>
    <w:rsid w:val="20BD50EA"/>
    <w:rsid w:val="20C22280"/>
    <w:rsid w:val="20C51FFF"/>
    <w:rsid w:val="20C90FE1"/>
    <w:rsid w:val="20CB1F1C"/>
    <w:rsid w:val="20CE35DC"/>
    <w:rsid w:val="20D91FEB"/>
    <w:rsid w:val="20EC236D"/>
    <w:rsid w:val="20F862CA"/>
    <w:rsid w:val="20FA4D71"/>
    <w:rsid w:val="20FB633F"/>
    <w:rsid w:val="20FF4C3E"/>
    <w:rsid w:val="210260CC"/>
    <w:rsid w:val="210F0B05"/>
    <w:rsid w:val="211254A2"/>
    <w:rsid w:val="211E47B1"/>
    <w:rsid w:val="213B0E23"/>
    <w:rsid w:val="21410A8D"/>
    <w:rsid w:val="214915A6"/>
    <w:rsid w:val="214F3C0C"/>
    <w:rsid w:val="21535276"/>
    <w:rsid w:val="21A56EDA"/>
    <w:rsid w:val="21B002AA"/>
    <w:rsid w:val="21B5199E"/>
    <w:rsid w:val="21BF6859"/>
    <w:rsid w:val="21C32279"/>
    <w:rsid w:val="21D867B6"/>
    <w:rsid w:val="21DB0BBB"/>
    <w:rsid w:val="21F029E2"/>
    <w:rsid w:val="21F5181A"/>
    <w:rsid w:val="22054352"/>
    <w:rsid w:val="221701F3"/>
    <w:rsid w:val="2244378B"/>
    <w:rsid w:val="224C7E9B"/>
    <w:rsid w:val="2254079F"/>
    <w:rsid w:val="22795451"/>
    <w:rsid w:val="228372A6"/>
    <w:rsid w:val="22855412"/>
    <w:rsid w:val="228B768D"/>
    <w:rsid w:val="22AC4FD3"/>
    <w:rsid w:val="22B1623E"/>
    <w:rsid w:val="22B22C63"/>
    <w:rsid w:val="22B318BC"/>
    <w:rsid w:val="22B83C0A"/>
    <w:rsid w:val="22C71DA9"/>
    <w:rsid w:val="22DA316B"/>
    <w:rsid w:val="22E80A9D"/>
    <w:rsid w:val="22EC0514"/>
    <w:rsid w:val="22F70D69"/>
    <w:rsid w:val="23061CAF"/>
    <w:rsid w:val="230963C7"/>
    <w:rsid w:val="230B64DF"/>
    <w:rsid w:val="231A52F5"/>
    <w:rsid w:val="231F64C9"/>
    <w:rsid w:val="232E7024"/>
    <w:rsid w:val="233A4131"/>
    <w:rsid w:val="233A4278"/>
    <w:rsid w:val="233E4A36"/>
    <w:rsid w:val="23846FD7"/>
    <w:rsid w:val="23B25529"/>
    <w:rsid w:val="23B420F8"/>
    <w:rsid w:val="23BC0851"/>
    <w:rsid w:val="23C1595F"/>
    <w:rsid w:val="23CD6B0E"/>
    <w:rsid w:val="23ED1676"/>
    <w:rsid w:val="23FE2357"/>
    <w:rsid w:val="24624308"/>
    <w:rsid w:val="246F5780"/>
    <w:rsid w:val="247C28FF"/>
    <w:rsid w:val="2499166B"/>
    <w:rsid w:val="24A905E3"/>
    <w:rsid w:val="24AA7332"/>
    <w:rsid w:val="24AF4AB0"/>
    <w:rsid w:val="24B81E16"/>
    <w:rsid w:val="24C63A20"/>
    <w:rsid w:val="24DE0E5E"/>
    <w:rsid w:val="24FB111E"/>
    <w:rsid w:val="251F3280"/>
    <w:rsid w:val="25203277"/>
    <w:rsid w:val="253E3EBC"/>
    <w:rsid w:val="25404CD9"/>
    <w:rsid w:val="25416241"/>
    <w:rsid w:val="254B1650"/>
    <w:rsid w:val="2553463D"/>
    <w:rsid w:val="255675F7"/>
    <w:rsid w:val="255B0BA0"/>
    <w:rsid w:val="25763B01"/>
    <w:rsid w:val="25931026"/>
    <w:rsid w:val="25BC5CB5"/>
    <w:rsid w:val="25BE7846"/>
    <w:rsid w:val="25C757F6"/>
    <w:rsid w:val="25CA0C55"/>
    <w:rsid w:val="25DB00D2"/>
    <w:rsid w:val="25E70335"/>
    <w:rsid w:val="25EB0B51"/>
    <w:rsid w:val="25ED2BD0"/>
    <w:rsid w:val="260B3108"/>
    <w:rsid w:val="260C5E52"/>
    <w:rsid w:val="26140373"/>
    <w:rsid w:val="26280C7C"/>
    <w:rsid w:val="26460C0D"/>
    <w:rsid w:val="26517D5A"/>
    <w:rsid w:val="265A1637"/>
    <w:rsid w:val="265D4D90"/>
    <w:rsid w:val="266427D3"/>
    <w:rsid w:val="266A6683"/>
    <w:rsid w:val="2675674A"/>
    <w:rsid w:val="26843375"/>
    <w:rsid w:val="26846979"/>
    <w:rsid w:val="268B606C"/>
    <w:rsid w:val="269359D8"/>
    <w:rsid w:val="26A4798B"/>
    <w:rsid w:val="26D1232B"/>
    <w:rsid w:val="26EE0FB2"/>
    <w:rsid w:val="273A03D9"/>
    <w:rsid w:val="27515A3B"/>
    <w:rsid w:val="27540081"/>
    <w:rsid w:val="275A1503"/>
    <w:rsid w:val="27707D9F"/>
    <w:rsid w:val="277736B5"/>
    <w:rsid w:val="2777522A"/>
    <w:rsid w:val="27A256BD"/>
    <w:rsid w:val="27AE05E7"/>
    <w:rsid w:val="27B0758A"/>
    <w:rsid w:val="27BC244A"/>
    <w:rsid w:val="27C93226"/>
    <w:rsid w:val="27D24A35"/>
    <w:rsid w:val="27E04F87"/>
    <w:rsid w:val="27E3520A"/>
    <w:rsid w:val="280C2F29"/>
    <w:rsid w:val="280E3E73"/>
    <w:rsid w:val="286B3E9F"/>
    <w:rsid w:val="286D568F"/>
    <w:rsid w:val="28771649"/>
    <w:rsid w:val="287A5694"/>
    <w:rsid w:val="28907A65"/>
    <w:rsid w:val="289F2FF8"/>
    <w:rsid w:val="28A74874"/>
    <w:rsid w:val="28AC48F5"/>
    <w:rsid w:val="28AF48FE"/>
    <w:rsid w:val="28B30360"/>
    <w:rsid w:val="28B700D8"/>
    <w:rsid w:val="28B81A59"/>
    <w:rsid w:val="28BC0025"/>
    <w:rsid w:val="28BD749A"/>
    <w:rsid w:val="28BF5BE1"/>
    <w:rsid w:val="28D466AC"/>
    <w:rsid w:val="28DE736F"/>
    <w:rsid w:val="28E215E7"/>
    <w:rsid w:val="28E75C23"/>
    <w:rsid w:val="28F66F27"/>
    <w:rsid w:val="28F74D45"/>
    <w:rsid w:val="28FE3091"/>
    <w:rsid w:val="28FF44FC"/>
    <w:rsid w:val="29004CA4"/>
    <w:rsid w:val="29060DC1"/>
    <w:rsid w:val="29077127"/>
    <w:rsid w:val="2908154A"/>
    <w:rsid w:val="29122857"/>
    <w:rsid w:val="293E708B"/>
    <w:rsid w:val="29594737"/>
    <w:rsid w:val="295E4802"/>
    <w:rsid w:val="2967522D"/>
    <w:rsid w:val="296E63D4"/>
    <w:rsid w:val="297D2E22"/>
    <w:rsid w:val="29931A80"/>
    <w:rsid w:val="299E45D3"/>
    <w:rsid w:val="299F2675"/>
    <w:rsid w:val="29A671D2"/>
    <w:rsid w:val="29AD6F45"/>
    <w:rsid w:val="29B444FC"/>
    <w:rsid w:val="29BD120F"/>
    <w:rsid w:val="29C769C8"/>
    <w:rsid w:val="29E2264F"/>
    <w:rsid w:val="29E4464B"/>
    <w:rsid w:val="29F36D30"/>
    <w:rsid w:val="29F84CE2"/>
    <w:rsid w:val="2A0343F7"/>
    <w:rsid w:val="2A277F19"/>
    <w:rsid w:val="2A4B31B4"/>
    <w:rsid w:val="2A676A61"/>
    <w:rsid w:val="2A77544F"/>
    <w:rsid w:val="2A7C4B41"/>
    <w:rsid w:val="2A872F51"/>
    <w:rsid w:val="2AA059B0"/>
    <w:rsid w:val="2AA2170A"/>
    <w:rsid w:val="2AAC3BC6"/>
    <w:rsid w:val="2AC15811"/>
    <w:rsid w:val="2ACE3624"/>
    <w:rsid w:val="2ACF5A8C"/>
    <w:rsid w:val="2ADF4AAE"/>
    <w:rsid w:val="2AEF7E60"/>
    <w:rsid w:val="2AF51552"/>
    <w:rsid w:val="2AFE28F4"/>
    <w:rsid w:val="2B0C00B5"/>
    <w:rsid w:val="2B0F60E3"/>
    <w:rsid w:val="2B171B79"/>
    <w:rsid w:val="2B2621F1"/>
    <w:rsid w:val="2B2E661F"/>
    <w:rsid w:val="2B3561CA"/>
    <w:rsid w:val="2B3E61BC"/>
    <w:rsid w:val="2B646A04"/>
    <w:rsid w:val="2B833DCF"/>
    <w:rsid w:val="2B9C72A6"/>
    <w:rsid w:val="2BA867E1"/>
    <w:rsid w:val="2BAA72ED"/>
    <w:rsid w:val="2BAD5346"/>
    <w:rsid w:val="2BB03333"/>
    <w:rsid w:val="2BC67E03"/>
    <w:rsid w:val="2BCC0AF7"/>
    <w:rsid w:val="2BDA19F5"/>
    <w:rsid w:val="2BDC54EB"/>
    <w:rsid w:val="2BF93228"/>
    <w:rsid w:val="2BFC41C0"/>
    <w:rsid w:val="2BFF6824"/>
    <w:rsid w:val="2C0E1ED5"/>
    <w:rsid w:val="2C37329E"/>
    <w:rsid w:val="2C3A254F"/>
    <w:rsid w:val="2C4D331F"/>
    <w:rsid w:val="2C7E0919"/>
    <w:rsid w:val="2C8F010A"/>
    <w:rsid w:val="2C963466"/>
    <w:rsid w:val="2CA05BB5"/>
    <w:rsid w:val="2CA820AE"/>
    <w:rsid w:val="2CB949F3"/>
    <w:rsid w:val="2CCA2003"/>
    <w:rsid w:val="2CD10B96"/>
    <w:rsid w:val="2CD43BBF"/>
    <w:rsid w:val="2CD52350"/>
    <w:rsid w:val="2D0A3C12"/>
    <w:rsid w:val="2D1947D7"/>
    <w:rsid w:val="2D200AE1"/>
    <w:rsid w:val="2D2D366D"/>
    <w:rsid w:val="2D485824"/>
    <w:rsid w:val="2D6B7AAF"/>
    <w:rsid w:val="2D7979A9"/>
    <w:rsid w:val="2D806EC2"/>
    <w:rsid w:val="2D90359F"/>
    <w:rsid w:val="2D962D8D"/>
    <w:rsid w:val="2DA210D2"/>
    <w:rsid w:val="2DA65AC5"/>
    <w:rsid w:val="2DAD5937"/>
    <w:rsid w:val="2DD11D00"/>
    <w:rsid w:val="2DDC0D17"/>
    <w:rsid w:val="2DDD3AA0"/>
    <w:rsid w:val="2DE07B9D"/>
    <w:rsid w:val="2DE87C4A"/>
    <w:rsid w:val="2DE90351"/>
    <w:rsid w:val="2E0C73C5"/>
    <w:rsid w:val="2E273777"/>
    <w:rsid w:val="2E3E1438"/>
    <w:rsid w:val="2E4B657B"/>
    <w:rsid w:val="2E6469A0"/>
    <w:rsid w:val="2E7656FD"/>
    <w:rsid w:val="2E7F2143"/>
    <w:rsid w:val="2E822F30"/>
    <w:rsid w:val="2E857D2F"/>
    <w:rsid w:val="2E8E5CB9"/>
    <w:rsid w:val="2E9417EC"/>
    <w:rsid w:val="2E9C1C84"/>
    <w:rsid w:val="2EAD0874"/>
    <w:rsid w:val="2EB53575"/>
    <w:rsid w:val="2EE72AF7"/>
    <w:rsid w:val="2EE87514"/>
    <w:rsid w:val="2EF36922"/>
    <w:rsid w:val="2EF62E8D"/>
    <w:rsid w:val="2EFF15EE"/>
    <w:rsid w:val="2F000DF7"/>
    <w:rsid w:val="2F10450B"/>
    <w:rsid w:val="2F130058"/>
    <w:rsid w:val="2F1468C2"/>
    <w:rsid w:val="2F277E48"/>
    <w:rsid w:val="2F5F5B1B"/>
    <w:rsid w:val="2F6971AB"/>
    <w:rsid w:val="2F6C5CA5"/>
    <w:rsid w:val="2F6C7A55"/>
    <w:rsid w:val="2F957CAF"/>
    <w:rsid w:val="2FC836E2"/>
    <w:rsid w:val="2FCF2A28"/>
    <w:rsid w:val="2FD97E44"/>
    <w:rsid w:val="2FE23FCB"/>
    <w:rsid w:val="2FEA3641"/>
    <w:rsid w:val="2FF454EA"/>
    <w:rsid w:val="2FFB9F57"/>
    <w:rsid w:val="30042D9F"/>
    <w:rsid w:val="30194492"/>
    <w:rsid w:val="302152AE"/>
    <w:rsid w:val="30235E16"/>
    <w:rsid w:val="30387810"/>
    <w:rsid w:val="303956AD"/>
    <w:rsid w:val="30424923"/>
    <w:rsid w:val="30442EDE"/>
    <w:rsid w:val="30527FC5"/>
    <w:rsid w:val="3053398E"/>
    <w:rsid w:val="306D31AB"/>
    <w:rsid w:val="307427C9"/>
    <w:rsid w:val="309950F4"/>
    <w:rsid w:val="30B73992"/>
    <w:rsid w:val="30BD6ACE"/>
    <w:rsid w:val="30BF415F"/>
    <w:rsid w:val="30C72B81"/>
    <w:rsid w:val="30C82D31"/>
    <w:rsid w:val="30CB5389"/>
    <w:rsid w:val="30D8510E"/>
    <w:rsid w:val="3106371A"/>
    <w:rsid w:val="310D28FD"/>
    <w:rsid w:val="31132938"/>
    <w:rsid w:val="312622CD"/>
    <w:rsid w:val="31282B8E"/>
    <w:rsid w:val="312C75A1"/>
    <w:rsid w:val="313A3CC4"/>
    <w:rsid w:val="315A1862"/>
    <w:rsid w:val="316049FB"/>
    <w:rsid w:val="317A2589"/>
    <w:rsid w:val="3188610E"/>
    <w:rsid w:val="318A4E74"/>
    <w:rsid w:val="318D5CFE"/>
    <w:rsid w:val="319627F6"/>
    <w:rsid w:val="319F3C19"/>
    <w:rsid w:val="31C132B8"/>
    <w:rsid w:val="31D16BBF"/>
    <w:rsid w:val="31F65A58"/>
    <w:rsid w:val="320B1A06"/>
    <w:rsid w:val="3210733A"/>
    <w:rsid w:val="32263C46"/>
    <w:rsid w:val="32267886"/>
    <w:rsid w:val="322B2A37"/>
    <w:rsid w:val="322B6746"/>
    <w:rsid w:val="3237213F"/>
    <w:rsid w:val="323E147B"/>
    <w:rsid w:val="3240048E"/>
    <w:rsid w:val="32435C17"/>
    <w:rsid w:val="325724E4"/>
    <w:rsid w:val="326738A9"/>
    <w:rsid w:val="327760DB"/>
    <w:rsid w:val="327A0086"/>
    <w:rsid w:val="327B7538"/>
    <w:rsid w:val="32816F96"/>
    <w:rsid w:val="328B3D6E"/>
    <w:rsid w:val="32903F19"/>
    <w:rsid w:val="32A457A0"/>
    <w:rsid w:val="32A503EC"/>
    <w:rsid w:val="32AD4FBB"/>
    <w:rsid w:val="32AE10A0"/>
    <w:rsid w:val="32B54566"/>
    <w:rsid w:val="32B76E6E"/>
    <w:rsid w:val="32B84446"/>
    <w:rsid w:val="32C67C77"/>
    <w:rsid w:val="32E7022E"/>
    <w:rsid w:val="330271CA"/>
    <w:rsid w:val="330E1FE9"/>
    <w:rsid w:val="330E5872"/>
    <w:rsid w:val="330E7FD6"/>
    <w:rsid w:val="33161561"/>
    <w:rsid w:val="331E7F08"/>
    <w:rsid w:val="331F6A4D"/>
    <w:rsid w:val="334603F1"/>
    <w:rsid w:val="3353338A"/>
    <w:rsid w:val="33701A05"/>
    <w:rsid w:val="337C00DB"/>
    <w:rsid w:val="33C62D00"/>
    <w:rsid w:val="33CE4A55"/>
    <w:rsid w:val="33DE50CB"/>
    <w:rsid w:val="33E123CD"/>
    <w:rsid w:val="33E23E40"/>
    <w:rsid w:val="33EC1514"/>
    <w:rsid w:val="33FF0C21"/>
    <w:rsid w:val="341A06B8"/>
    <w:rsid w:val="344D5388"/>
    <w:rsid w:val="346E46B7"/>
    <w:rsid w:val="3471177D"/>
    <w:rsid w:val="34726277"/>
    <w:rsid w:val="347B23B3"/>
    <w:rsid w:val="34832720"/>
    <w:rsid w:val="34915EA2"/>
    <w:rsid w:val="34940253"/>
    <w:rsid w:val="34983684"/>
    <w:rsid w:val="34A57D6A"/>
    <w:rsid w:val="34A913BC"/>
    <w:rsid w:val="34BC2226"/>
    <w:rsid w:val="34C03AF1"/>
    <w:rsid w:val="34D5003A"/>
    <w:rsid w:val="34E87B0F"/>
    <w:rsid w:val="34F26658"/>
    <w:rsid w:val="34FB7282"/>
    <w:rsid w:val="34FC4642"/>
    <w:rsid w:val="3520042F"/>
    <w:rsid w:val="3521031A"/>
    <w:rsid w:val="35210A8D"/>
    <w:rsid w:val="35216B3A"/>
    <w:rsid w:val="35354DFA"/>
    <w:rsid w:val="35393D99"/>
    <w:rsid w:val="35485A54"/>
    <w:rsid w:val="354E3B51"/>
    <w:rsid w:val="35522C36"/>
    <w:rsid w:val="355B4C65"/>
    <w:rsid w:val="356C52F9"/>
    <w:rsid w:val="35852EE6"/>
    <w:rsid w:val="35936C62"/>
    <w:rsid w:val="359B56A3"/>
    <w:rsid w:val="35A270E4"/>
    <w:rsid w:val="35D30C65"/>
    <w:rsid w:val="35D61456"/>
    <w:rsid w:val="35D65B34"/>
    <w:rsid w:val="35DA5022"/>
    <w:rsid w:val="35E644CB"/>
    <w:rsid w:val="35E81A7F"/>
    <w:rsid w:val="35F3004D"/>
    <w:rsid w:val="360139B8"/>
    <w:rsid w:val="36256DC5"/>
    <w:rsid w:val="36290C2F"/>
    <w:rsid w:val="36301CAE"/>
    <w:rsid w:val="3637718E"/>
    <w:rsid w:val="36384921"/>
    <w:rsid w:val="366B14B6"/>
    <w:rsid w:val="36900EB9"/>
    <w:rsid w:val="36A24CBE"/>
    <w:rsid w:val="36A85C45"/>
    <w:rsid w:val="36AF6AB1"/>
    <w:rsid w:val="36B36BA8"/>
    <w:rsid w:val="36BC7D30"/>
    <w:rsid w:val="36C515C6"/>
    <w:rsid w:val="36C7685E"/>
    <w:rsid w:val="36C8518D"/>
    <w:rsid w:val="36D70F63"/>
    <w:rsid w:val="36D911EF"/>
    <w:rsid w:val="36E93F55"/>
    <w:rsid w:val="36EE3F4B"/>
    <w:rsid w:val="36F07EC1"/>
    <w:rsid w:val="36F679D7"/>
    <w:rsid w:val="36FE1C40"/>
    <w:rsid w:val="37035E09"/>
    <w:rsid w:val="37110A52"/>
    <w:rsid w:val="371C79AA"/>
    <w:rsid w:val="371F3DE4"/>
    <w:rsid w:val="372248E3"/>
    <w:rsid w:val="37230362"/>
    <w:rsid w:val="37283FBD"/>
    <w:rsid w:val="373A41EA"/>
    <w:rsid w:val="37465029"/>
    <w:rsid w:val="37543839"/>
    <w:rsid w:val="37585C03"/>
    <w:rsid w:val="376B44C4"/>
    <w:rsid w:val="376D0E2E"/>
    <w:rsid w:val="37802D3A"/>
    <w:rsid w:val="37850091"/>
    <w:rsid w:val="379116A8"/>
    <w:rsid w:val="37A60983"/>
    <w:rsid w:val="37A93BCE"/>
    <w:rsid w:val="37B71B23"/>
    <w:rsid w:val="37BB194B"/>
    <w:rsid w:val="37BF843D"/>
    <w:rsid w:val="37DA2CF5"/>
    <w:rsid w:val="37DF0D06"/>
    <w:rsid w:val="37EF25FC"/>
    <w:rsid w:val="37F7120E"/>
    <w:rsid w:val="37FE5FF1"/>
    <w:rsid w:val="38035DBC"/>
    <w:rsid w:val="380D2520"/>
    <w:rsid w:val="380F56A1"/>
    <w:rsid w:val="38134DDD"/>
    <w:rsid w:val="381B6DB3"/>
    <w:rsid w:val="383B13D4"/>
    <w:rsid w:val="38546D78"/>
    <w:rsid w:val="385566B6"/>
    <w:rsid w:val="386144A9"/>
    <w:rsid w:val="38785F5F"/>
    <w:rsid w:val="388B52AB"/>
    <w:rsid w:val="389D5144"/>
    <w:rsid w:val="38A34CC6"/>
    <w:rsid w:val="38A66177"/>
    <w:rsid w:val="38A74DA6"/>
    <w:rsid w:val="38AB6509"/>
    <w:rsid w:val="38AC0B43"/>
    <w:rsid w:val="38C67BAB"/>
    <w:rsid w:val="38D47011"/>
    <w:rsid w:val="38E9013C"/>
    <w:rsid w:val="38F65019"/>
    <w:rsid w:val="38FD5AC6"/>
    <w:rsid w:val="38FF2F74"/>
    <w:rsid w:val="38FF4EFB"/>
    <w:rsid w:val="390B3713"/>
    <w:rsid w:val="391928A0"/>
    <w:rsid w:val="391C5320"/>
    <w:rsid w:val="39243F17"/>
    <w:rsid w:val="392B7BAB"/>
    <w:rsid w:val="392C18C2"/>
    <w:rsid w:val="39481B04"/>
    <w:rsid w:val="394C66DD"/>
    <w:rsid w:val="396122B0"/>
    <w:rsid w:val="396A3375"/>
    <w:rsid w:val="39730461"/>
    <w:rsid w:val="397440DA"/>
    <w:rsid w:val="39764D37"/>
    <w:rsid w:val="399D5052"/>
    <w:rsid w:val="39AE5A5B"/>
    <w:rsid w:val="39B72078"/>
    <w:rsid w:val="39B96310"/>
    <w:rsid w:val="39BB0FB8"/>
    <w:rsid w:val="39C830C2"/>
    <w:rsid w:val="39EC7D3C"/>
    <w:rsid w:val="39F9158B"/>
    <w:rsid w:val="3A2053A6"/>
    <w:rsid w:val="3A26050E"/>
    <w:rsid w:val="3A271F33"/>
    <w:rsid w:val="3A446E54"/>
    <w:rsid w:val="3A6B361F"/>
    <w:rsid w:val="3A714511"/>
    <w:rsid w:val="3A7FA0D8"/>
    <w:rsid w:val="3A894E1A"/>
    <w:rsid w:val="3A985B80"/>
    <w:rsid w:val="3AA51A0D"/>
    <w:rsid w:val="3ABD00AF"/>
    <w:rsid w:val="3AC76E36"/>
    <w:rsid w:val="3ACB56B9"/>
    <w:rsid w:val="3ADF037E"/>
    <w:rsid w:val="3AE22C48"/>
    <w:rsid w:val="3AEA64B7"/>
    <w:rsid w:val="3AEF41B2"/>
    <w:rsid w:val="3AF07D51"/>
    <w:rsid w:val="3AFD60FD"/>
    <w:rsid w:val="3B040FE4"/>
    <w:rsid w:val="3B0D0484"/>
    <w:rsid w:val="3B1744D9"/>
    <w:rsid w:val="3B1F1F2C"/>
    <w:rsid w:val="3B2B14C0"/>
    <w:rsid w:val="3B3D0765"/>
    <w:rsid w:val="3B510961"/>
    <w:rsid w:val="3B5B2B6C"/>
    <w:rsid w:val="3B641997"/>
    <w:rsid w:val="3B6762C9"/>
    <w:rsid w:val="3B723AD4"/>
    <w:rsid w:val="3B7B4897"/>
    <w:rsid w:val="3B7B4EF3"/>
    <w:rsid w:val="3B802375"/>
    <w:rsid w:val="3B8D4FDE"/>
    <w:rsid w:val="3B90605D"/>
    <w:rsid w:val="3BA53444"/>
    <w:rsid w:val="3BA81601"/>
    <w:rsid w:val="3BAC507F"/>
    <w:rsid w:val="3BB13E90"/>
    <w:rsid w:val="3BB70A8F"/>
    <w:rsid w:val="3BC242CB"/>
    <w:rsid w:val="3BC255BB"/>
    <w:rsid w:val="3BEA2018"/>
    <w:rsid w:val="3C1C68FB"/>
    <w:rsid w:val="3C266052"/>
    <w:rsid w:val="3C322630"/>
    <w:rsid w:val="3C390C19"/>
    <w:rsid w:val="3C5D3905"/>
    <w:rsid w:val="3C5E7B6B"/>
    <w:rsid w:val="3C720A34"/>
    <w:rsid w:val="3C731522"/>
    <w:rsid w:val="3C7B26C4"/>
    <w:rsid w:val="3C8D6778"/>
    <w:rsid w:val="3C935899"/>
    <w:rsid w:val="3C9E74DC"/>
    <w:rsid w:val="3CA40291"/>
    <w:rsid w:val="3CB35C1A"/>
    <w:rsid w:val="3CB46D18"/>
    <w:rsid w:val="3D066D21"/>
    <w:rsid w:val="3D0E1D7A"/>
    <w:rsid w:val="3D146378"/>
    <w:rsid w:val="3D1A551E"/>
    <w:rsid w:val="3D2364DC"/>
    <w:rsid w:val="3D3313E5"/>
    <w:rsid w:val="3D3B13BE"/>
    <w:rsid w:val="3D617252"/>
    <w:rsid w:val="3D636911"/>
    <w:rsid w:val="3D8865AD"/>
    <w:rsid w:val="3D9D0729"/>
    <w:rsid w:val="3DA8145F"/>
    <w:rsid w:val="3DA917B8"/>
    <w:rsid w:val="3DAC39CF"/>
    <w:rsid w:val="3DAE434A"/>
    <w:rsid w:val="3DB377D0"/>
    <w:rsid w:val="3DC44B1D"/>
    <w:rsid w:val="3DCB1B13"/>
    <w:rsid w:val="3DCD4D10"/>
    <w:rsid w:val="3DD223B2"/>
    <w:rsid w:val="3DEA0E7D"/>
    <w:rsid w:val="3DEA4188"/>
    <w:rsid w:val="3DFD3C46"/>
    <w:rsid w:val="3E234D34"/>
    <w:rsid w:val="3E28157C"/>
    <w:rsid w:val="3E313576"/>
    <w:rsid w:val="3E36697B"/>
    <w:rsid w:val="3E493FE3"/>
    <w:rsid w:val="3E4B6981"/>
    <w:rsid w:val="3E672EB4"/>
    <w:rsid w:val="3E695273"/>
    <w:rsid w:val="3E6D11EF"/>
    <w:rsid w:val="3E89310E"/>
    <w:rsid w:val="3E8D5C11"/>
    <w:rsid w:val="3EA22D08"/>
    <w:rsid w:val="3EA610B6"/>
    <w:rsid w:val="3EA6508A"/>
    <w:rsid w:val="3EA82CAC"/>
    <w:rsid w:val="3EB70181"/>
    <w:rsid w:val="3EBB151E"/>
    <w:rsid w:val="3EBC352D"/>
    <w:rsid w:val="3EBE084F"/>
    <w:rsid w:val="3EC076B5"/>
    <w:rsid w:val="3EC32B74"/>
    <w:rsid w:val="3ED715C1"/>
    <w:rsid w:val="3ED71712"/>
    <w:rsid w:val="3ED92825"/>
    <w:rsid w:val="3EDB7087"/>
    <w:rsid w:val="3F040999"/>
    <w:rsid w:val="3F062266"/>
    <w:rsid w:val="3F2179D0"/>
    <w:rsid w:val="3F265678"/>
    <w:rsid w:val="3F28434E"/>
    <w:rsid w:val="3F326DBB"/>
    <w:rsid w:val="3F360EA4"/>
    <w:rsid w:val="3F3A7F44"/>
    <w:rsid w:val="3F3E3276"/>
    <w:rsid w:val="3F4D6969"/>
    <w:rsid w:val="3F4E4B32"/>
    <w:rsid w:val="3F59010B"/>
    <w:rsid w:val="3F5E56C6"/>
    <w:rsid w:val="3F6C4251"/>
    <w:rsid w:val="3F9135C0"/>
    <w:rsid w:val="3F9A3294"/>
    <w:rsid w:val="3FA834DC"/>
    <w:rsid w:val="3FAE7BFF"/>
    <w:rsid w:val="3FB079D9"/>
    <w:rsid w:val="3FB44390"/>
    <w:rsid w:val="3FD010CB"/>
    <w:rsid w:val="3FD049EC"/>
    <w:rsid w:val="3FDA1D33"/>
    <w:rsid w:val="3FE815EE"/>
    <w:rsid w:val="3FF76861"/>
    <w:rsid w:val="40023C70"/>
    <w:rsid w:val="40086A92"/>
    <w:rsid w:val="402158C5"/>
    <w:rsid w:val="402F7539"/>
    <w:rsid w:val="404264F9"/>
    <w:rsid w:val="405F542D"/>
    <w:rsid w:val="406518C8"/>
    <w:rsid w:val="406B3A51"/>
    <w:rsid w:val="40736AAC"/>
    <w:rsid w:val="40774C91"/>
    <w:rsid w:val="40872663"/>
    <w:rsid w:val="408847A8"/>
    <w:rsid w:val="40A36975"/>
    <w:rsid w:val="40A92D7E"/>
    <w:rsid w:val="40DC05C4"/>
    <w:rsid w:val="40EC294D"/>
    <w:rsid w:val="41112814"/>
    <w:rsid w:val="41220DC3"/>
    <w:rsid w:val="41336AA7"/>
    <w:rsid w:val="413A078C"/>
    <w:rsid w:val="413C022C"/>
    <w:rsid w:val="41465A7C"/>
    <w:rsid w:val="414A27E7"/>
    <w:rsid w:val="41567FFC"/>
    <w:rsid w:val="416C6812"/>
    <w:rsid w:val="417A2E1B"/>
    <w:rsid w:val="419A3818"/>
    <w:rsid w:val="419C55D6"/>
    <w:rsid w:val="419F3437"/>
    <w:rsid w:val="41CC0CFB"/>
    <w:rsid w:val="41CE1449"/>
    <w:rsid w:val="41E31636"/>
    <w:rsid w:val="41E6684E"/>
    <w:rsid w:val="42007BC3"/>
    <w:rsid w:val="42187677"/>
    <w:rsid w:val="421A7F9D"/>
    <w:rsid w:val="422723C1"/>
    <w:rsid w:val="422E7705"/>
    <w:rsid w:val="42347BEE"/>
    <w:rsid w:val="4239502A"/>
    <w:rsid w:val="42397651"/>
    <w:rsid w:val="423D7BE4"/>
    <w:rsid w:val="423F278B"/>
    <w:rsid w:val="42902FAB"/>
    <w:rsid w:val="42954F65"/>
    <w:rsid w:val="42974896"/>
    <w:rsid w:val="429F402B"/>
    <w:rsid w:val="42AB6297"/>
    <w:rsid w:val="42AC1AFD"/>
    <w:rsid w:val="42BD5589"/>
    <w:rsid w:val="42C13E24"/>
    <w:rsid w:val="42C260BF"/>
    <w:rsid w:val="42C304D8"/>
    <w:rsid w:val="42C80099"/>
    <w:rsid w:val="42D03DF9"/>
    <w:rsid w:val="42DA2207"/>
    <w:rsid w:val="42DC4996"/>
    <w:rsid w:val="42DF438F"/>
    <w:rsid w:val="42E04ECD"/>
    <w:rsid w:val="42EE5C1F"/>
    <w:rsid w:val="42F052B7"/>
    <w:rsid w:val="42F80A8C"/>
    <w:rsid w:val="431E6379"/>
    <w:rsid w:val="431E7646"/>
    <w:rsid w:val="432039E0"/>
    <w:rsid w:val="432675D2"/>
    <w:rsid w:val="432A1D61"/>
    <w:rsid w:val="433208D1"/>
    <w:rsid w:val="4338529B"/>
    <w:rsid w:val="433F7EB7"/>
    <w:rsid w:val="43463727"/>
    <w:rsid w:val="43470476"/>
    <w:rsid w:val="4348702B"/>
    <w:rsid w:val="4351111A"/>
    <w:rsid w:val="43804A43"/>
    <w:rsid w:val="43891467"/>
    <w:rsid w:val="43963B42"/>
    <w:rsid w:val="43994D0F"/>
    <w:rsid w:val="43A05748"/>
    <w:rsid w:val="43B07F6C"/>
    <w:rsid w:val="43BA09D8"/>
    <w:rsid w:val="43BE2A16"/>
    <w:rsid w:val="43C9547E"/>
    <w:rsid w:val="43DC17D0"/>
    <w:rsid w:val="43DF4ED4"/>
    <w:rsid w:val="43F84BB0"/>
    <w:rsid w:val="441060A4"/>
    <w:rsid w:val="441C6B00"/>
    <w:rsid w:val="441F3CEF"/>
    <w:rsid w:val="442C445F"/>
    <w:rsid w:val="44304E5A"/>
    <w:rsid w:val="443B5510"/>
    <w:rsid w:val="445B5D66"/>
    <w:rsid w:val="445C25FF"/>
    <w:rsid w:val="446272E5"/>
    <w:rsid w:val="446374FE"/>
    <w:rsid w:val="44643E47"/>
    <w:rsid w:val="44836571"/>
    <w:rsid w:val="44897E3F"/>
    <w:rsid w:val="448C6DF0"/>
    <w:rsid w:val="449A179A"/>
    <w:rsid w:val="44A92E36"/>
    <w:rsid w:val="44BC166E"/>
    <w:rsid w:val="44C25CAA"/>
    <w:rsid w:val="44DF52E6"/>
    <w:rsid w:val="44F17CAA"/>
    <w:rsid w:val="45184507"/>
    <w:rsid w:val="451F4451"/>
    <w:rsid w:val="45201CD0"/>
    <w:rsid w:val="45261C17"/>
    <w:rsid w:val="45297843"/>
    <w:rsid w:val="4533463C"/>
    <w:rsid w:val="453426AB"/>
    <w:rsid w:val="45360362"/>
    <w:rsid w:val="453B4135"/>
    <w:rsid w:val="453B4205"/>
    <w:rsid w:val="453F19E0"/>
    <w:rsid w:val="454049A0"/>
    <w:rsid w:val="454436DE"/>
    <w:rsid w:val="45521467"/>
    <w:rsid w:val="455A7EC7"/>
    <w:rsid w:val="45705E8D"/>
    <w:rsid w:val="45766896"/>
    <w:rsid w:val="458B08FC"/>
    <w:rsid w:val="458B1BBC"/>
    <w:rsid w:val="45956E7E"/>
    <w:rsid w:val="45A95584"/>
    <w:rsid w:val="45AE4A0E"/>
    <w:rsid w:val="45B60FB3"/>
    <w:rsid w:val="45C412DE"/>
    <w:rsid w:val="45C42B72"/>
    <w:rsid w:val="45C65B0E"/>
    <w:rsid w:val="45C70A4F"/>
    <w:rsid w:val="45D16D59"/>
    <w:rsid w:val="45E10B02"/>
    <w:rsid w:val="45E56CA3"/>
    <w:rsid w:val="45EB06EF"/>
    <w:rsid w:val="45F17488"/>
    <w:rsid w:val="45FD6F20"/>
    <w:rsid w:val="460F492E"/>
    <w:rsid w:val="46186197"/>
    <w:rsid w:val="461934A2"/>
    <w:rsid w:val="461A4C1A"/>
    <w:rsid w:val="46332BF8"/>
    <w:rsid w:val="463E476D"/>
    <w:rsid w:val="46445707"/>
    <w:rsid w:val="464610B0"/>
    <w:rsid w:val="465638A4"/>
    <w:rsid w:val="4675215E"/>
    <w:rsid w:val="467B0514"/>
    <w:rsid w:val="467B30A8"/>
    <w:rsid w:val="467B4EE0"/>
    <w:rsid w:val="4691113B"/>
    <w:rsid w:val="469C3D47"/>
    <w:rsid w:val="46A85E78"/>
    <w:rsid w:val="46B04AE1"/>
    <w:rsid w:val="46B40B6B"/>
    <w:rsid w:val="46BA47C2"/>
    <w:rsid w:val="46BB765E"/>
    <w:rsid w:val="46D64DD7"/>
    <w:rsid w:val="46D7495C"/>
    <w:rsid w:val="46F427C7"/>
    <w:rsid w:val="46F43BD9"/>
    <w:rsid w:val="46F95916"/>
    <w:rsid w:val="46FE5DB8"/>
    <w:rsid w:val="470D2F62"/>
    <w:rsid w:val="4718603E"/>
    <w:rsid w:val="471D4CB0"/>
    <w:rsid w:val="4723541D"/>
    <w:rsid w:val="47256588"/>
    <w:rsid w:val="472C3214"/>
    <w:rsid w:val="473050C1"/>
    <w:rsid w:val="47326D4E"/>
    <w:rsid w:val="475B786F"/>
    <w:rsid w:val="477B2B8E"/>
    <w:rsid w:val="47814304"/>
    <w:rsid w:val="47843F76"/>
    <w:rsid w:val="478B7614"/>
    <w:rsid w:val="479F6D48"/>
    <w:rsid w:val="47A74A6E"/>
    <w:rsid w:val="47B2140D"/>
    <w:rsid w:val="47B70B10"/>
    <w:rsid w:val="47C76806"/>
    <w:rsid w:val="47F241AB"/>
    <w:rsid w:val="48025E63"/>
    <w:rsid w:val="48164085"/>
    <w:rsid w:val="48282106"/>
    <w:rsid w:val="484564C5"/>
    <w:rsid w:val="4854681C"/>
    <w:rsid w:val="485D351D"/>
    <w:rsid w:val="485E64DF"/>
    <w:rsid w:val="48797688"/>
    <w:rsid w:val="487F180D"/>
    <w:rsid w:val="488327FF"/>
    <w:rsid w:val="48A279E5"/>
    <w:rsid w:val="48AE07FB"/>
    <w:rsid w:val="48CA5BDD"/>
    <w:rsid w:val="48D91E9A"/>
    <w:rsid w:val="48E1229C"/>
    <w:rsid w:val="48FD3F53"/>
    <w:rsid w:val="48FE483B"/>
    <w:rsid w:val="49204394"/>
    <w:rsid w:val="49273E0A"/>
    <w:rsid w:val="49295B00"/>
    <w:rsid w:val="493605C1"/>
    <w:rsid w:val="49383978"/>
    <w:rsid w:val="49422109"/>
    <w:rsid w:val="494F77BB"/>
    <w:rsid w:val="495163FD"/>
    <w:rsid w:val="498F6B83"/>
    <w:rsid w:val="4990050C"/>
    <w:rsid w:val="49905F6E"/>
    <w:rsid w:val="49926105"/>
    <w:rsid w:val="49984919"/>
    <w:rsid w:val="499968D8"/>
    <w:rsid w:val="49A202BD"/>
    <w:rsid w:val="49B7467B"/>
    <w:rsid w:val="49BB4DFF"/>
    <w:rsid w:val="49DA6140"/>
    <w:rsid w:val="49ED5CD0"/>
    <w:rsid w:val="49F662B4"/>
    <w:rsid w:val="49F6782D"/>
    <w:rsid w:val="4A13062D"/>
    <w:rsid w:val="4A247656"/>
    <w:rsid w:val="4A27484B"/>
    <w:rsid w:val="4A35554B"/>
    <w:rsid w:val="4A4D4AF3"/>
    <w:rsid w:val="4A551DC2"/>
    <w:rsid w:val="4A5C4BFA"/>
    <w:rsid w:val="4A637FA2"/>
    <w:rsid w:val="4A683F6B"/>
    <w:rsid w:val="4A7578C9"/>
    <w:rsid w:val="4A7D7891"/>
    <w:rsid w:val="4A922B5E"/>
    <w:rsid w:val="4AAB7AF7"/>
    <w:rsid w:val="4AAF78C3"/>
    <w:rsid w:val="4AB2178A"/>
    <w:rsid w:val="4ABA6312"/>
    <w:rsid w:val="4ACF6D04"/>
    <w:rsid w:val="4ADB0F88"/>
    <w:rsid w:val="4AE9143A"/>
    <w:rsid w:val="4AE9280F"/>
    <w:rsid w:val="4AF20E05"/>
    <w:rsid w:val="4AF67242"/>
    <w:rsid w:val="4AFA0424"/>
    <w:rsid w:val="4B054CFE"/>
    <w:rsid w:val="4B117368"/>
    <w:rsid w:val="4B257BC2"/>
    <w:rsid w:val="4B3B31C8"/>
    <w:rsid w:val="4B3D4D2C"/>
    <w:rsid w:val="4B432B93"/>
    <w:rsid w:val="4B4817B5"/>
    <w:rsid w:val="4B660844"/>
    <w:rsid w:val="4B975535"/>
    <w:rsid w:val="4BA44B18"/>
    <w:rsid w:val="4BB12A34"/>
    <w:rsid w:val="4BB15C21"/>
    <w:rsid w:val="4BCD4D56"/>
    <w:rsid w:val="4BDB6776"/>
    <w:rsid w:val="4BE06EB7"/>
    <w:rsid w:val="4BE33950"/>
    <w:rsid w:val="4BEB7DF9"/>
    <w:rsid w:val="4BF63E77"/>
    <w:rsid w:val="4C171611"/>
    <w:rsid w:val="4C3103F7"/>
    <w:rsid w:val="4C3C127F"/>
    <w:rsid w:val="4C427B95"/>
    <w:rsid w:val="4C4669D2"/>
    <w:rsid w:val="4C871830"/>
    <w:rsid w:val="4C8B0174"/>
    <w:rsid w:val="4C9926CC"/>
    <w:rsid w:val="4CA62D4C"/>
    <w:rsid w:val="4CA75A70"/>
    <w:rsid w:val="4CAA3342"/>
    <w:rsid w:val="4CAA7011"/>
    <w:rsid w:val="4CB656F2"/>
    <w:rsid w:val="4CC3103C"/>
    <w:rsid w:val="4CCB42C5"/>
    <w:rsid w:val="4CCF0711"/>
    <w:rsid w:val="4CCF17BD"/>
    <w:rsid w:val="4CD55BEB"/>
    <w:rsid w:val="4CE81FC6"/>
    <w:rsid w:val="4CF520EB"/>
    <w:rsid w:val="4D020122"/>
    <w:rsid w:val="4D026969"/>
    <w:rsid w:val="4D0C2C77"/>
    <w:rsid w:val="4D1A1400"/>
    <w:rsid w:val="4D1E4578"/>
    <w:rsid w:val="4D447064"/>
    <w:rsid w:val="4D4F3090"/>
    <w:rsid w:val="4D722A68"/>
    <w:rsid w:val="4D7C0D00"/>
    <w:rsid w:val="4D87352F"/>
    <w:rsid w:val="4D931243"/>
    <w:rsid w:val="4DBC6539"/>
    <w:rsid w:val="4DD637A3"/>
    <w:rsid w:val="4DD776AB"/>
    <w:rsid w:val="4DF831B6"/>
    <w:rsid w:val="4E3653FD"/>
    <w:rsid w:val="4E37755B"/>
    <w:rsid w:val="4E3E4076"/>
    <w:rsid w:val="4E473566"/>
    <w:rsid w:val="4E503CDF"/>
    <w:rsid w:val="4E5972CA"/>
    <w:rsid w:val="4E5F56D9"/>
    <w:rsid w:val="4E647908"/>
    <w:rsid w:val="4E681FAD"/>
    <w:rsid w:val="4E790CD6"/>
    <w:rsid w:val="4E837F79"/>
    <w:rsid w:val="4E8B47DA"/>
    <w:rsid w:val="4E971287"/>
    <w:rsid w:val="4E9D0C5E"/>
    <w:rsid w:val="4EA5389D"/>
    <w:rsid w:val="4EA82125"/>
    <w:rsid w:val="4EA968C2"/>
    <w:rsid w:val="4EB173C6"/>
    <w:rsid w:val="4EB733D6"/>
    <w:rsid w:val="4EE17B83"/>
    <w:rsid w:val="4EE6611F"/>
    <w:rsid w:val="4F0AE590"/>
    <w:rsid w:val="4F321DBF"/>
    <w:rsid w:val="4F452886"/>
    <w:rsid w:val="4F4D1362"/>
    <w:rsid w:val="4F510335"/>
    <w:rsid w:val="4F5E4B10"/>
    <w:rsid w:val="4F7864E2"/>
    <w:rsid w:val="4FB91209"/>
    <w:rsid w:val="4FBD1A1F"/>
    <w:rsid w:val="4FBE1DF5"/>
    <w:rsid w:val="4FC24E8A"/>
    <w:rsid w:val="4FF10B69"/>
    <w:rsid w:val="4FFD57A5"/>
    <w:rsid w:val="500D5DB3"/>
    <w:rsid w:val="5010374D"/>
    <w:rsid w:val="501613EA"/>
    <w:rsid w:val="503E0ED2"/>
    <w:rsid w:val="505356F4"/>
    <w:rsid w:val="5067527D"/>
    <w:rsid w:val="506816E0"/>
    <w:rsid w:val="50744D60"/>
    <w:rsid w:val="50803083"/>
    <w:rsid w:val="508865A2"/>
    <w:rsid w:val="50A34C80"/>
    <w:rsid w:val="50AD68A1"/>
    <w:rsid w:val="50B65562"/>
    <w:rsid w:val="50C3153F"/>
    <w:rsid w:val="50C833CB"/>
    <w:rsid w:val="50EE3A87"/>
    <w:rsid w:val="510224A3"/>
    <w:rsid w:val="51096FBC"/>
    <w:rsid w:val="510C0E2E"/>
    <w:rsid w:val="511023D2"/>
    <w:rsid w:val="513833F4"/>
    <w:rsid w:val="513B4C0C"/>
    <w:rsid w:val="51431745"/>
    <w:rsid w:val="516171A0"/>
    <w:rsid w:val="5162232C"/>
    <w:rsid w:val="51636DAE"/>
    <w:rsid w:val="51722F47"/>
    <w:rsid w:val="51767FF0"/>
    <w:rsid w:val="51A551DA"/>
    <w:rsid w:val="51AE6FCB"/>
    <w:rsid w:val="51B63DF6"/>
    <w:rsid w:val="51E473ED"/>
    <w:rsid w:val="51F9411A"/>
    <w:rsid w:val="51FD1A5C"/>
    <w:rsid w:val="52211C80"/>
    <w:rsid w:val="5226155A"/>
    <w:rsid w:val="522639F0"/>
    <w:rsid w:val="522B3864"/>
    <w:rsid w:val="523C2CD5"/>
    <w:rsid w:val="5241072B"/>
    <w:rsid w:val="524C3FFD"/>
    <w:rsid w:val="52523205"/>
    <w:rsid w:val="52634BD2"/>
    <w:rsid w:val="52682C3F"/>
    <w:rsid w:val="52760D63"/>
    <w:rsid w:val="527F6CB5"/>
    <w:rsid w:val="528668E2"/>
    <w:rsid w:val="52A36D3A"/>
    <w:rsid w:val="52B61074"/>
    <w:rsid w:val="52CC22C8"/>
    <w:rsid w:val="52F3427A"/>
    <w:rsid w:val="52F5267F"/>
    <w:rsid w:val="52FA0223"/>
    <w:rsid w:val="530144F2"/>
    <w:rsid w:val="53074D0E"/>
    <w:rsid w:val="531C6B04"/>
    <w:rsid w:val="53346DCF"/>
    <w:rsid w:val="53365130"/>
    <w:rsid w:val="535F4C6A"/>
    <w:rsid w:val="53615D77"/>
    <w:rsid w:val="537428F6"/>
    <w:rsid w:val="537A110E"/>
    <w:rsid w:val="538A3FFC"/>
    <w:rsid w:val="539908EE"/>
    <w:rsid w:val="53F47C07"/>
    <w:rsid w:val="53F62110"/>
    <w:rsid w:val="53FA7012"/>
    <w:rsid w:val="54017C77"/>
    <w:rsid w:val="5405643C"/>
    <w:rsid w:val="54154D59"/>
    <w:rsid w:val="54282813"/>
    <w:rsid w:val="544A47D3"/>
    <w:rsid w:val="545B53C8"/>
    <w:rsid w:val="54730839"/>
    <w:rsid w:val="547D2F9E"/>
    <w:rsid w:val="547D731B"/>
    <w:rsid w:val="54895F6F"/>
    <w:rsid w:val="5496345A"/>
    <w:rsid w:val="54B30C5E"/>
    <w:rsid w:val="54B8031D"/>
    <w:rsid w:val="54BC4F94"/>
    <w:rsid w:val="54BD088F"/>
    <w:rsid w:val="54DB1C81"/>
    <w:rsid w:val="54DD0277"/>
    <w:rsid w:val="54E36374"/>
    <w:rsid w:val="54EF288B"/>
    <w:rsid w:val="550B5058"/>
    <w:rsid w:val="5515023E"/>
    <w:rsid w:val="551D5901"/>
    <w:rsid w:val="552176E2"/>
    <w:rsid w:val="5535086A"/>
    <w:rsid w:val="553B15EC"/>
    <w:rsid w:val="55692886"/>
    <w:rsid w:val="55781630"/>
    <w:rsid w:val="55787787"/>
    <w:rsid w:val="5588360C"/>
    <w:rsid w:val="558C23AE"/>
    <w:rsid w:val="55B70915"/>
    <w:rsid w:val="55BF392A"/>
    <w:rsid w:val="55C335FF"/>
    <w:rsid w:val="55D24AB8"/>
    <w:rsid w:val="55D70A42"/>
    <w:rsid w:val="55D903ED"/>
    <w:rsid w:val="55FF46FF"/>
    <w:rsid w:val="56124F67"/>
    <w:rsid w:val="56253E24"/>
    <w:rsid w:val="562770B6"/>
    <w:rsid w:val="562F0650"/>
    <w:rsid w:val="56325048"/>
    <w:rsid w:val="564E5475"/>
    <w:rsid w:val="565270C9"/>
    <w:rsid w:val="56556039"/>
    <w:rsid w:val="565D713B"/>
    <w:rsid w:val="565F7902"/>
    <w:rsid w:val="566E43CB"/>
    <w:rsid w:val="567134D1"/>
    <w:rsid w:val="567601AC"/>
    <w:rsid w:val="56817115"/>
    <w:rsid w:val="568D1ECF"/>
    <w:rsid w:val="56A81C1A"/>
    <w:rsid w:val="56B778AE"/>
    <w:rsid w:val="56C4326C"/>
    <w:rsid w:val="56CB1868"/>
    <w:rsid w:val="56CC25C8"/>
    <w:rsid w:val="56E056D4"/>
    <w:rsid w:val="56EE30C2"/>
    <w:rsid w:val="56F813A0"/>
    <w:rsid w:val="5701658C"/>
    <w:rsid w:val="57032046"/>
    <w:rsid w:val="57096108"/>
    <w:rsid w:val="571662CD"/>
    <w:rsid w:val="57455942"/>
    <w:rsid w:val="574B0213"/>
    <w:rsid w:val="574F2990"/>
    <w:rsid w:val="57B45537"/>
    <w:rsid w:val="57CA30B6"/>
    <w:rsid w:val="57D17F4B"/>
    <w:rsid w:val="57F934C0"/>
    <w:rsid w:val="57F93FED"/>
    <w:rsid w:val="58013D55"/>
    <w:rsid w:val="58233E6B"/>
    <w:rsid w:val="583F6838"/>
    <w:rsid w:val="58634DD0"/>
    <w:rsid w:val="586844B6"/>
    <w:rsid w:val="58786C58"/>
    <w:rsid w:val="58951C97"/>
    <w:rsid w:val="58AF735F"/>
    <w:rsid w:val="58B0410D"/>
    <w:rsid w:val="58BB21A4"/>
    <w:rsid w:val="58C62C27"/>
    <w:rsid w:val="58C963C2"/>
    <w:rsid w:val="58CC2A45"/>
    <w:rsid w:val="58D222ED"/>
    <w:rsid w:val="58E86451"/>
    <w:rsid w:val="58FC5AEF"/>
    <w:rsid w:val="59035AFA"/>
    <w:rsid w:val="5904247D"/>
    <w:rsid w:val="591E45BB"/>
    <w:rsid w:val="59201ECA"/>
    <w:rsid w:val="592F1BA0"/>
    <w:rsid w:val="593E64CA"/>
    <w:rsid w:val="594556FD"/>
    <w:rsid w:val="595A2183"/>
    <w:rsid w:val="596379A9"/>
    <w:rsid w:val="597115A7"/>
    <w:rsid w:val="59787FEA"/>
    <w:rsid w:val="597D0736"/>
    <w:rsid w:val="59834524"/>
    <w:rsid w:val="5991071A"/>
    <w:rsid w:val="59934B4F"/>
    <w:rsid w:val="59AA1CA3"/>
    <w:rsid w:val="59C02604"/>
    <w:rsid w:val="59CF1ADD"/>
    <w:rsid w:val="59D17D75"/>
    <w:rsid w:val="59D471D7"/>
    <w:rsid w:val="59E61693"/>
    <w:rsid w:val="5A1317F0"/>
    <w:rsid w:val="5A2646DB"/>
    <w:rsid w:val="5A2B57AE"/>
    <w:rsid w:val="5A321BEA"/>
    <w:rsid w:val="5A366F84"/>
    <w:rsid w:val="5A3F0176"/>
    <w:rsid w:val="5A6D2DB1"/>
    <w:rsid w:val="5A6E407A"/>
    <w:rsid w:val="5A7E74F9"/>
    <w:rsid w:val="5A8E165E"/>
    <w:rsid w:val="5AAE0441"/>
    <w:rsid w:val="5AAE5BEC"/>
    <w:rsid w:val="5AD1351F"/>
    <w:rsid w:val="5AD339D9"/>
    <w:rsid w:val="5AD85B99"/>
    <w:rsid w:val="5AE8322E"/>
    <w:rsid w:val="5AEF1185"/>
    <w:rsid w:val="5AF11C14"/>
    <w:rsid w:val="5AFA22EF"/>
    <w:rsid w:val="5AFA3298"/>
    <w:rsid w:val="5B016D34"/>
    <w:rsid w:val="5B0D7295"/>
    <w:rsid w:val="5B206399"/>
    <w:rsid w:val="5B224853"/>
    <w:rsid w:val="5B301154"/>
    <w:rsid w:val="5B4C2ADE"/>
    <w:rsid w:val="5B51735D"/>
    <w:rsid w:val="5B673616"/>
    <w:rsid w:val="5B681B2C"/>
    <w:rsid w:val="5B694FAE"/>
    <w:rsid w:val="5B6D243C"/>
    <w:rsid w:val="5B83792C"/>
    <w:rsid w:val="5B902EC7"/>
    <w:rsid w:val="5B9E223B"/>
    <w:rsid w:val="5BA14F87"/>
    <w:rsid w:val="5BAD3BAD"/>
    <w:rsid w:val="5BAD73DC"/>
    <w:rsid w:val="5BBB4917"/>
    <w:rsid w:val="5BD133DF"/>
    <w:rsid w:val="5BD366A4"/>
    <w:rsid w:val="5BE3130E"/>
    <w:rsid w:val="5BED3C29"/>
    <w:rsid w:val="5BF51E6A"/>
    <w:rsid w:val="5C093177"/>
    <w:rsid w:val="5C0D0073"/>
    <w:rsid w:val="5C3E78DA"/>
    <w:rsid w:val="5C5342DE"/>
    <w:rsid w:val="5C5373D9"/>
    <w:rsid w:val="5C5E1DE9"/>
    <w:rsid w:val="5C611C30"/>
    <w:rsid w:val="5C640E34"/>
    <w:rsid w:val="5C654CF3"/>
    <w:rsid w:val="5C6D3417"/>
    <w:rsid w:val="5C8D2EAA"/>
    <w:rsid w:val="5C9256E7"/>
    <w:rsid w:val="5CA531D1"/>
    <w:rsid w:val="5CAD5B70"/>
    <w:rsid w:val="5CB75213"/>
    <w:rsid w:val="5CBC5D91"/>
    <w:rsid w:val="5CC20563"/>
    <w:rsid w:val="5CCA12C8"/>
    <w:rsid w:val="5CFB164F"/>
    <w:rsid w:val="5D160E63"/>
    <w:rsid w:val="5D170048"/>
    <w:rsid w:val="5D17051D"/>
    <w:rsid w:val="5D2B473F"/>
    <w:rsid w:val="5D40035D"/>
    <w:rsid w:val="5D456135"/>
    <w:rsid w:val="5D49706D"/>
    <w:rsid w:val="5D5F77DD"/>
    <w:rsid w:val="5D717B18"/>
    <w:rsid w:val="5D840C43"/>
    <w:rsid w:val="5DAA3645"/>
    <w:rsid w:val="5DAE77A4"/>
    <w:rsid w:val="5DB57EF0"/>
    <w:rsid w:val="5DCE1D51"/>
    <w:rsid w:val="5DE8676B"/>
    <w:rsid w:val="5DF47894"/>
    <w:rsid w:val="5E1044A2"/>
    <w:rsid w:val="5E162F9C"/>
    <w:rsid w:val="5E192361"/>
    <w:rsid w:val="5E1F592C"/>
    <w:rsid w:val="5E2B3F08"/>
    <w:rsid w:val="5E366F27"/>
    <w:rsid w:val="5E386453"/>
    <w:rsid w:val="5E415746"/>
    <w:rsid w:val="5E455EF0"/>
    <w:rsid w:val="5E67210D"/>
    <w:rsid w:val="5E7D126D"/>
    <w:rsid w:val="5E8001BD"/>
    <w:rsid w:val="5E915FF6"/>
    <w:rsid w:val="5E9206AE"/>
    <w:rsid w:val="5EB218A9"/>
    <w:rsid w:val="5EB455C5"/>
    <w:rsid w:val="5ED351EB"/>
    <w:rsid w:val="5EE335F7"/>
    <w:rsid w:val="5EFF0ED2"/>
    <w:rsid w:val="5F126D05"/>
    <w:rsid w:val="5F204F1D"/>
    <w:rsid w:val="5F2B1DCB"/>
    <w:rsid w:val="5F401BE4"/>
    <w:rsid w:val="5F461386"/>
    <w:rsid w:val="5F4A1EBB"/>
    <w:rsid w:val="5F4B5E88"/>
    <w:rsid w:val="5F595662"/>
    <w:rsid w:val="5F5B7782"/>
    <w:rsid w:val="5F5E1936"/>
    <w:rsid w:val="5F675B22"/>
    <w:rsid w:val="5F732EBB"/>
    <w:rsid w:val="5F7D448F"/>
    <w:rsid w:val="5F8206CA"/>
    <w:rsid w:val="5F8250FF"/>
    <w:rsid w:val="5F906917"/>
    <w:rsid w:val="5F912ACF"/>
    <w:rsid w:val="5F9173F4"/>
    <w:rsid w:val="5FA20BE3"/>
    <w:rsid w:val="5FBE282E"/>
    <w:rsid w:val="5FD15BC7"/>
    <w:rsid w:val="5FD367A6"/>
    <w:rsid w:val="5FD73AA6"/>
    <w:rsid w:val="5FD85EAF"/>
    <w:rsid w:val="5FF41C37"/>
    <w:rsid w:val="60104EE3"/>
    <w:rsid w:val="602533C0"/>
    <w:rsid w:val="6027337A"/>
    <w:rsid w:val="605B4538"/>
    <w:rsid w:val="60896264"/>
    <w:rsid w:val="608F1BD3"/>
    <w:rsid w:val="60A13248"/>
    <w:rsid w:val="60A75DA3"/>
    <w:rsid w:val="60C5330A"/>
    <w:rsid w:val="60D11BBA"/>
    <w:rsid w:val="60D43683"/>
    <w:rsid w:val="60EB7AA8"/>
    <w:rsid w:val="60EF15B2"/>
    <w:rsid w:val="61001229"/>
    <w:rsid w:val="6121322E"/>
    <w:rsid w:val="61243429"/>
    <w:rsid w:val="61296ACD"/>
    <w:rsid w:val="612C2A9A"/>
    <w:rsid w:val="613D24A2"/>
    <w:rsid w:val="613D3287"/>
    <w:rsid w:val="614149F3"/>
    <w:rsid w:val="61476428"/>
    <w:rsid w:val="616638A2"/>
    <w:rsid w:val="6180258F"/>
    <w:rsid w:val="61862C2F"/>
    <w:rsid w:val="618C70A4"/>
    <w:rsid w:val="61A23F59"/>
    <w:rsid w:val="61B90BF2"/>
    <w:rsid w:val="61BC1E65"/>
    <w:rsid w:val="61E8288B"/>
    <w:rsid w:val="62033646"/>
    <w:rsid w:val="6203710A"/>
    <w:rsid w:val="621F3FC7"/>
    <w:rsid w:val="62320ECD"/>
    <w:rsid w:val="62321792"/>
    <w:rsid w:val="623873CB"/>
    <w:rsid w:val="62420D5E"/>
    <w:rsid w:val="624256F1"/>
    <w:rsid w:val="62461BBC"/>
    <w:rsid w:val="62480825"/>
    <w:rsid w:val="62540C44"/>
    <w:rsid w:val="625A4E9B"/>
    <w:rsid w:val="62635350"/>
    <w:rsid w:val="626A7DDF"/>
    <w:rsid w:val="62871B8B"/>
    <w:rsid w:val="628B5453"/>
    <w:rsid w:val="62983D63"/>
    <w:rsid w:val="62AB4430"/>
    <w:rsid w:val="62C671FE"/>
    <w:rsid w:val="62CD11E8"/>
    <w:rsid w:val="62DF39AC"/>
    <w:rsid w:val="62EC0CEF"/>
    <w:rsid w:val="62F7131A"/>
    <w:rsid w:val="63111189"/>
    <w:rsid w:val="6337309B"/>
    <w:rsid w:val="633A09A7"/>
    <w:rsid w:val="633C776F"/>
    <w:rsid w:val="636176F3"/>
    <w:rsid w:val="63877230"/>
    <w:rsid w:val="638C249A"/>
    <w:rsid w:val="63A8579E"/>
    <w:rsid w:val="63AF2E7A"/>
    <w:rsid w:val="63B1353D"/>
    <w:rsid w:val="63B425DD"/>
    <w:rsid w:val="63BE7084"/>
    <w:rsid w:val="63CD3460"/>
    <w:rsid w:val="63DF1582"/>
    <w:rsid w:val="63E646FF"/>
    <w:rsid w:val="63EF3DEF"/>
    <w:rsid w:val="63FE569C"/>
    <w:rsid w:val="6412191B"/>
    <w:rsid w:val="641240B1"/>
    <w:rsid w:val="64161F52"/>
    <w:rsid w:val="64171D73"/>
    <w:rsid w:val="642B3479"/>
    <w:rsid w:val="642F70DC"/>
    <w:rsid w:val="643C4639"/>
    <w:rsid w:val="64425440"/>
    <w:rsid w:val="644E2285"/>
    <w:rsid w:val="647F7413"/>
    <w:rsid w:val="64A14C54"/>
    <w:rsid w:val="64A55457"/>
    <w:rsid w:val="64AF0893"/>
    <w:rsid w:val="64B0068F"/>
    <w:rsid w:val="64B0634B"/>
    <w:rsid w:val="64B7DBF3"/>
    <w:rsid w:val="64BC5A53"/>
    <w:rsid w:val="64BD61FD"/>
    <w:rsid w:val="64C60289"/>
    <w:rsid w:val="64D03662"/>
    <w:rsid w:val="64E71808"/>
    <w:rsid w:val="64F302E2"/>
    <w:rsid w:val="64F44A85"/>
    <w:rsid w:val="64FC3B23"/>
    <w:rsid w:val="650F4BE9"/>
    <w:rsid w:val="651E0B7C"/>
    <w:rsid w:val="651E0F60"/>
    <w:rsid w:val="65301037"/>
    <w:rsid w:val="653D4453"/>
    <w:rsid w:val="653D4887"/>
    <w:rsid w:val="655D27A0"/>
    <w:rsid w:val="65691302"/>
    <w:rsid w:val="656B45D6"/>
    <w:rsid w:val="6577186E"/>
    <w:rsid w:val="6583118B"/>
    <w:rsid w:val="6583791F"/>
    <w:rsid w:val="658F1D57"/>
    <w:rsid w:val="658F6146"/>
    <w:rsid w:val="658F6F58"/>
    <w:rsid w:val="65995DFE"/>
    <w:rsid w:val="659A3745"/>
    <w:rsid w:val="65A62B21"/>
    <w:rsid w:val="65AD379D"/>
    <w:rsid w:val="65BB7BCB"/>
    <w:rsid w:val="65CE14C4"/>
    <w:rsid w:val="65D63B34"/>
    <w:rsid w:val="65DB4320"/>
    <w:rsid w:val="65DD0D4C"/>
    <w:rsid w:val="65E6167B"/>
    <w:rsid w:val="65E842FE"/>
    <w:rsid w:val="65F21C27"/>
    <w:rsid w:val="65F63A27"/>
    <w:rsid w:val="660A6E49"/>
    <w:rsid w:val="661360BB"/>
    <w:rsid w:val="66253C88"/>
    <w:rsid w:val="663C2578"/>
    <w:rsid w:val="663F36BF"/>
    <w:rsid w:val="66482D7B"/>
    <w:rsid w:val="66497400"/>
    <w:rsid w:val="66517729"/>
    <w:rsid w:val="66866840"/>
    <w:rsid w:val="66950E06"/>
    <w:rsid w:val="66A12504"/>
    <w:rsid w:val="66A46015"/>
    <w:rsid w:val="66BB34F8"/>
    <w:rsid w:val="66CF4C55"/>
    <w:rsid w:val="66D11DEE"/>
    <w:rsid w:val="66D63CEA"/>
    <w:rsid w:val="66D93057"/>
    <w:rsid w:val="66E40448"/>
    <w:rsid w:val="670871A8"/>
    <w:rsid w:val="672D3127"/>
    <w:rsid w:val="67420658"/>
    <w:rsid w:val="674533A1"/>
    <w:rsid w:val="675178A4"/>
    <w:rsid w:val="67782CEF"/>
    <w:rsid w:val="67802496"/>
    <w:rsid w:val="6788348E"/>
    <w:rsid w:val="67A400CA"/>
    <w:rsid w:val="67A50830"/>
    <w:rsid w:val="67A538BA"/>
    <w:rsid w:val="67A73955"/>
    <w:rsid w:val="67A90441"/>
    <w:rsid w:val="67C20C79"/>
    <w:rsid w:val="67C57F48"/>
    <w:rsid w:val="67DE4EEE"/>
    <w:rsid w:val="67E46554"/>
    <w:rsid w:val="67ED5955"/>
    <w:rsid w:val="68022E63"/>
    <w:rsid w:val="68052F36"/>
    <w:rsid w:val="6808141A"/>
    <w:rsid w:val="681A272F"/>
    <w:rsid w:val="68400AB2"/>
    <w:rsid w:val="6841737C"/>
    <w:rsid w:val="68536D0C"/>
    <w:rsid w:val="686B3644"/>
    <w:rsid w:val="687122A5"/>
    <w:rsid w:val="68827E4E"/>
    <w:rsid w:val="68866D0B"/>
    <w:rsid w:val="688C2726"/>
    <w:rsid w:val="689474C6"/>
    <w:rsid w:val="689A44D2"/>
    <w:rsid w:val="68AD5620"/>
    <w:rsid w:val="68BA7E2F"/>
    <w:rsid w:val="68CE48DE"/>
    <w:rsid w:val="68D044F1"/>
    <w:rsid w:val="68E47A64"/>
    <w:rsid w:val="68E94352"/>
    <w:rsid w:val="68EC7D6D"/>
    <w:rsid w:val="68F058E5"/>
    <w:rsid w:val="68F20AA9"/>
    <w:rsid w:val="6902255E"/>
    <w:rsid w:val="69081F0D"/>
    <w:rsid w:val="69185E16"/>
    <w:rsid w:val="6922628D"/>
    <w:rsid w:val="69243CCB"/>
    <w:rsid w:val="692D10A8"/>
    <w:rsid w:val="69344E2D"/>
    <w:rsid w:val="694006B0"/>
    <w:rsid w:val="694E1343"/>
    <w:rsid w:val="696778E1"/>
    <w:rsid w:val="6976628D"/>
    <w:rsid w:val="69781887"/>
    <w:rsid w:val="6979522C"/>
    <w:rsid w:val="69945F1A"/>
    <w:rsid w:val="69A264FB"/>
    <w:rsid w:val="69A463E4"/>
    <w:rsid w:val="69C159B6"/>
    <w:rsid w:val="69C356D6"/>
    <w:rsid w:val="69CE074D"/>
    <w:rsid w:val="69D152E0"/>
    <w:rsid w:val="69D54C7F"/>
    <w:rsid w:val="69DA7E3E"/>
    <w:rsid w:val="69E00A4D"/>
    <w:rsid w:val="69EB2D32"/>
    <w:rsid w:val="69FB5FAE"/>
    <w:rsid w:val="69FD50EC"/>
    <w:rsid w:val="6A0D33A8"/>
    <w:rsid w:val="6A1C386D"/>
    <w:rsid w:val="6A276531"/>
    <w:rsid w:val="6A2E5337"/>
    <w:rsid w:val="6A345BC3"/>
    <w:rsid w:val="6A3B1068"/>
    <w:rsid w:val="6A4E57F6"/>
    <w:rsid w:val="6A4F412A"/>
    <w:rsid w:val="6A5F7EB4"/>
    <w:rsid w:val="6A7202D9"/>
    <w:rsid w:val="6A856090"/>
    <w:rsid w:val="6A8E7D3F"/>
    <w:rsid w:val="6A9B7BF1"/>
    <w:rsid w:val="6A9F3D8E"/>
    <w:rsid w:val="6AA04EB0"/>
    <w:rsid w:val="6ABD3F83"/>
    <w:rsid w:val="6AC86960"/>
    <w:rsid w:val="6ACB1AF0"/>
    <w:rsid w:val="6AF14EA4"/>
    <w:rsid w:val="6B004DE3"/>
    <w:rsid w:val="6B0933D8"/>
    <w:rsid w:val="6B2347F8"/>
    <w:rsid w:val="6B2D2415"/>
    <w:rsid w:val="6B353BDC"/>
    <w:rsid w:val="6B810BED"/>
    <w:rsid w:val="6B8428B4"/>
    <w:rsid w:val="6B851189"/>
    <w:rsid w:val="6B91457B"/>
    <w:rsid w:val="6B930274"/>
    <w:rsid w:val="6BA47A68"/>
    <w:rsid w:val="6BBFA03B"/>
    <w:rsid w:val="6BCF2AB2"/>
    <w:rsid w:val="6C0D7E8A"/>
    <w:rsid w:val="6C261FA5"/>
    <w:rsid w:val="6C267CEF"/>
    <w:rsid w:val="6C271424"/>
    <w:rsid w:val="6C4F3C53"/>
    <w:rsid w:val="6C63308B"/>
    <w:rsid w:val="6C736123"/>
    <w:rsid w:val="6C7A1C7C"/>
    <w:rsid w:val="6C915824"/>
    <w:rsid w:val="6C98717A"/>
    <w:rsid w:val="6C9A696F"/>
    <w:rsid w:val="6C9E3F84"/>
    <w:rsid w:val="6C9F2ED4"/>
    <w:rsid w:val="6CA45DFE"/>
    <w:rsid w:val="6CB77895"/>
    <w:rsid w:val="6CC32DC1"/>
    <w:rsid w:val="6CCB2A5C"/>
    <w:rsid w:val="6CCB57A9"/>
    <w:rsid w:val="6CCE109B"/>
    <w:rsid w:val="6CE47F86"/>
    <w:rsid w:val="6CEF474A"/>
    <w:rsid w:val="6D0E6DEA"/>
    <w:rsid w:val="6D2C27DC"/>
    <w:rsid w:val="6D3A60CF"/>
    <w:rsid w:val="6D3E2220"/>
    <w:rsid w:val="6D3F63B2"/>
    <w:rsid w:val="6D4548B0"/>
    <w:rsid w:val="6D552A99"/>
    <w:rsid w:val="6D626FF2"/>
    <w:rsid w:val="6D652811"/>
    <w:rsid w:val="6D7573C9"/>
    <w:rsid w:val="6D9C0D39"/>
    <w:rsid w:val="6D9D3448"/>
    <w:rsid w:val="6DA45E1A"/>
    <w:rsid w:val="6DA51653"/>
    <w:rsid w:val="6DB02E03"/>
    <w:rsid w:val="6DB3306B"/>
    <w:rsid w:val="6DC00159"/>
    <w:rsid w:val="6DC42A14"/>
    <w:rsid w:val="6DD72E6A"/>
    <w:rsid w:val="6DED76D5"/>
    <w:rsid w:val="6DEF3963"/>
    <w:rsid w:val="6DF1261C"/>
    <w:rsid w:val="6DF633D0"/>
    <w:rsid w:val="6E090707"/>
    <w:rsid w:val="6E0D2F31"/>
    <w:rsid w:val="6E35541C"/>
    <w:rsid w:val="6E451788"/>
    <w:rsid w:val="6E541B46"/>
    <w:rsid w:val="6E561BF6"/>
    <w:rsid w:val="6E641F84"/>
    <w:rsid w:val="6E7D66A2"/>
    <w:rsid w:val="6E8C7D79"/>
    <w:rsid w:val="6E957A3F"/>
    <w:rsid w:val="6EA77046"/>
    <w:rsid w:val="6EC553D5"/>
    <w:rsid w:val="6EE7018C"/>
    <w:rsid w:val="6EEC6F33"/>
    <w:rsid w:val="6EF76DEC"/>
    <w:rsid w:val="6F074349"/>
    <w:rsid w:val="6F0B05C6"/>
    <w:rsid w:val="6F130C23"/>
    <w:rsid w:val="6F150B51"/>
    <w:rsid w:val="6F193BD1"/>
    <w:rsid w:val="6F270A73"/>
    <w:rsid w:val="6F364C63"/>
    <w:rsid w:val="6F5702B1"/>
    <w:rsid w:val="6F572727"/>
    <w:rsid w:val="6F5C26F0"/>
    <w:rsid w:val="6F68212E"/>
    <w:rsid w:val="6F792725"/>
    <w:rsid w:val="6F88611E"/>
    <w:rsid w:val="6FA303AB"/>
    <w:rsid w:val="6FAA58A9"/>
    <w:rsid w:val="6FB6420C"/>
    <w:rsid w:val="6FB81081"/>
    <w:rsid w:val="6FBC0361"/>
    <w:rsid w:val="6FC844B0"/>
    <w:rsid w:val="6FC91D09"/>
    <w:rsid w:val="6FCF744E"/>
    <w:rsid w:val="6FE27002"/>
    <w:rsid w:val="6FEA3F10"/>
    <w:rsid w:val="6FEA761E"/>
    <w:rsid w:val="6FEC76E2"/>
    <w:rsid w:val="6FF925B2"/>
    <w:rsid w:val="70062004"/>
    <w:rsid w:val="700F02F2"/>
    <w:rsid w:val="701D4C6D"/>
    <w:rsid w:val="702211B8"/>
    <w:rsid w:val="70285C83"/>
    <w:rsid w:val="70360700"/>
    <w:rsid w:val="704B6227"/>
    <w:rsid w:val="704F480E"/>
    <w:rsid w:val="70531176"/>
    <w:rsid w:val="70C05E85"/>
    <w:rsid w:val="70CE3CD6"/>
    <w:rsid w:val="70D5200B"/>
    <w:rsid w:val="70D77435"/>
    <w:rsid w:val="70D86A93"/>
    <w:rsid w:val="70F30CAD"/>
    <w:rsid w:val="70FC164A"/>
    <w:rsid w:val="70FE3E55"/>
    <w:rsid w:val="711B1573"/>
    <w:rsid w:val="711F5147"/>
    <w:rsid w:val="713664A7"/>
    <w:rsid w:val="713E00F5"/>
    <w:rsid w:val="713F2452"/>
    <w:rsid w:val="714F7DC5"/>
    <w:rsid w:val="7164280C"/>
    <w:rsid w:val="716B28F4"/>
    <w:rsid w:val="717568BB"/>
    <w:rsid w:val="7176061E"/>
    <w:rsid w:val="71A71FCA"/>
    <w:rsid w:val="71AE1825"/>
    <w:rsid w:val="71B23F18"/>
    <w:rsid w:val="71BF7712"/>
    <w:rsid w:val="71CF510A"/>
    <w:rsid w:val="71D11979"/>
    <w:rsid w:val="71D23CA4"/>
    <w:rsid w:val="71D821BD"/>
    <w:rsid w:val="71E54C93"/>
    <w:rsid w:val="71FB2A90"/>
    <w:rsid w:val="720B2724"/>
    <w:rsid w:val="72264CCC"/>
    <w:rsid w:val="722A0E8A"/>
    <w:rsid w:val="72361EFD"/>
    <w:rsid w:val="72391B27"/>
    <w:rsid w:val="724D0CB0"/>
    <w:rsid w:val="725E5BA2"/>
    <w:rsid w:val="728D3332"/>
    <w:rsid w:val="729B26AC"/>
    <w:rsid w:val="72D1040D"/>
    <w:rsid w:val="72DE24DB"/>
    <w:rsid w:val="72EA0498"/>
    <w:rsid w:val="72EA3482"/>
    <w:rsid w:val="72F40F30"/>
    <w:rsid w:val="72F56855"/>
    <w:rsid w:val="7304299B"/>
    <w:rsid w:val="730A2B08"/>
    <w:rsid w:val="730A558D"/>
    <w:rsid w:val="731A35C3"/>
    <w:rsid w:val="731A6169"/>
    <w:rsid w:val="73223DF1"/>
    <w:rsid w:val="733116B7"/>
    <w:rsid w:val="73330D90"/>
    <w:rsid w:val="733A737E"/>
    <w:rsid w:val="7351635F"/>
    <w:rsid w:val="73582E26"/>
    <w:rsid w:val="735F45EB"/>
    <w:rsid w:val="736572B2"/>
    <w:rsid w:val="73877A4C"/>
    <w:rsid w:val="738A46F3"/>
    <w:rsid w:val="739F7602"/>
    <w:rsid w:val="73A40733"/>
    <w:rsid w:val="73B9469D"/>
    <w:rsid w:val="73D3764A"/>
    <w:rsid w:val="73DB223E"/>
    <w:rsid w:val="73DB32B4"/>
    <w:rsid w:val="73EA000A"/>
    <w:rsid w:val="73F67F63"/>
    <w:rsid w:val="73FE361A"/>
    <w:rsid w:val="740800C7"/>
    <w:rsid w:val="74187158"/>
    <w:rsid w:val="74225CAE"/>
    <w:rsid w:val="74232A0F"/>
    <w:rsid w:val="74356168"/>
    <w:rsid w:val="7438012B"/>
    <w:rsid w:val="74394754"/>
    <w:rsid w:val="74411F41"/>
    <w:rsid w:val="744276DF"/>
    <w:rsid w:val="74450836"/>
    <w:rsid w:val="744566B3"/>
    <w:rsid w:val="744E15D3"/>
    <w:rsid w:val="744F5D6A"/>
    <w:rsid w:val="745500FA"/>
    <w:rsid w:val="74591A28"/>
    <w:rsid w:val="74633D61"/>
    <w:rsid w:val="74897BA8"/>
    <w:rsid w:val="74921949"/>
    <w:rsid w:val="74981804"/>
    <w:rsid w:val="74A62A32"/>
    <w:rsid w:val="74C303AA"/>
    <w:rsid w:val="74C85303"/>
    <w:rsid w:val="74DA01CE"/>
    <w:rsid w:val="74E11CE7"/>
    <w:rsid w:val="74EA0887"/>
    <w:rsid w:val="74F54377"/>
    <w:rsid w:val="751B69AC"/>
    <w:rsid w:val="75227415"/>
    <w:rsid w:val="75285984"/>
    <w:rsid w:val="752B18E8"/>
    <w:rsid w:val="75550DBA"/>
    <w:rsid w:val="75562889"/>
    <w:rsid w:val="756225D4"/>
    <w:rsid w:val="75646065"/>
    <w:rsid w:val="75716A6B"/>
    <w:rsid w:val="757A24EA"/>
    <w:rsid w:val="758868F7"/>
    <w:rsid w:val="75913442"/>
    <w:rsid w:val="759845E5"/>
    <w:rsid w:val="759D41D5"/>
    <w:rsid w:val="759F6E47"/>
    <w:rsid w:val="75AE3429"/>
    <w:rsid w:val="75BD26ED"/>
    <w:rsid w:val="75D32087"/>
    <w:rsid w:val="75E12922"/>
    <w:rsid w:val="75E53387"/>
    <w:rsid w:val="75E874E8"/>
    <w:rsid w:val="760602D2"/>
    <w:rsid w:val="760729A8"/>
    <w:rsid w:val="761C63DD"/>
    <w:rsid w:val="76204870"/>
    <w:rsid w:val="762215B7"/>
    <w:rsid w:val="76342A16"/>
    <w:rsid w:val="76521AC3"/>
    <w:rsid w:val="76674DB7"/>
    <w:rsid w:val="7673773D"/>
    <w:rsid w:val="7679161C"/>
    <w:rsid w:val="76873085"/>
    <w:rsid w:val="76976535"/>
    <w:rsid w:val="769774FD"/>
    <w:rsid w:val="769B0408"/>
    <w:rsid w:val="76A7418D"/>
    <w:rsid w:val="76B157DF"/>
    <w:rsid w:val="76B51266"/>
    <w:rsid w:val="76BA1A53"/>
    <w:rsid w:val="76BB6653"/>
    <w:rsid w:val="76C54672"/>
    <w:rsid w:val="76D65D10"/>
    <w:rsid w:val="76F26294"/>
    <w:rsid w:val="77052BDB"/>
    <w:rsid w:val="770E458F"/>
    <w:rsid w:val="772623E4"/>
    <w:rsid w:val="773847AD"/>
    <w:rsid w:val="775D7B56"/>
    <w:rsid w:val="77645A0B"/>
    <w:rsid w:val="777803CC"/>
    <w:rsid w:val="778234EF"/>
    <w:rsid w:val="778612B4"/>
    <w:rsid w:val="779A3B25"/>
    <w:rsid w:val="77A16F59"/>
    <w:rsid w:val="77A61A19"/>
    <w:rsid w:val="77A8713B"/>
    <w:rsid w:val="77B024F4"/>
    <w:rsid w:val="77BB27AB"/>
    <w:rsid w:val="77C7030D"/>
    <w:rsid w:val="77D12E2D"/>
    <w:rsid w:val="77D40517"/>
    <w:rsid w:val="77DB1D1B"/>
    <w:rsid w:val="77E804AB"/>
    <w:rsid w:val="77E85E69"/>
    <w:rsid w:val="780D018B"/>
    <w:rsid w:val="781A0DB5"/>
    <w:rsid w:val="78256ACF"/>
    <w:rsid w:val="782D7B09"/>
    <w:rsid w:val="78346968"/>
    <w:rsid w:val="783D7C3D"/>
    <w:rsid w:val="784C03CB"/>
    <w:rsid w:val="784D2006"/>
    <w:rsid w:val="7855282E"/>
    <w:rsid w:val="787A665F"/>
    <w:rsid w:val="7884180F"/>
    <w:rsid w:val="78915BE9"/>
    <w:rsid w:val="78957992"/>
    <w:rsid w:val="78B3587F"/>
    <w:rsid w:val="78B86EC2"/>
    <w:rsid w:val="78C141FE"/>
    <w:rsid w:val="78C20890"/>
    <w:rsid w:val="78D665EA"/>
    <w:rsid w:val="78D66912"/>
    <w:rsid w:val="78E05ACF"/>
    <w:rsid w:val="78E9231B"/>
    <w:rsid w:val="78ED13FE"/>
    <w:rsid w:val="78EE54C1"/>
    <w:rsid w:val="78F27200"/>
    <w:rsid w:val="78F82D58"/>
    <w:rsid w:val="78F856CB"/>
    <w:rsid w:val="7903679E"/>
    <w:rsid w:val="7903780E"/>
    <w:rsid w:val="790C6E07"/>
    <w:rsid w:val="791A21AC"/>
    <w:rsid w:val="791F177E"/>
    <w:rsid w:val="791F2A74"/>
    <w:rsid w:val="793D48A8"/>
    <w:rsid w:val="7953089D"/>
    <w:rsid w:val="795403AF"/>
    <w:rsid w:val="795A247F"/>
    <w:rsid w:val="79647BD1"/>
    <w:rsid w:val="796513FD"/>
    <w:rsid w:val="79660E3F"/>
    <w:rsid w:val="79683E73"/>
    <w:rsid w:val="797236C0"/>
    <w:rsid w:val="797876C3"/>
    <w:rsid w:val="797A12D2"/>
    <w:rsid w:val="79821501"/>
    <w:rsid w:val="798F5BB2"/>
    <w:rsid w:val="79A57893"/>
    <w:rsid w:val="79A64908"/>
    <w:rsid w:val="79C721B0"/>
    <w:rsid w:val="79CC3B9C"/>
    <w:rsid w:val="79CF4756"/>
    <w:rsid w:val="79D17055"/>
    <w:rsid w:val="79D81A97"/>
    <w:rsid w:val="79DB0FFE"/>
    <w:rsid w:val="79E93CD4"/>
    <w:rsid w:val="79EA3EAF"/>
    <w:rsid w:val="79F15391"/>
    <w:rsid w:val="7A122883"/>
    <w:rsid w:val="7A37269B"/>
    <w:rsid w:val="7A3F46A8"/>
    <w:rsid w:val="7A3F6A69"/>
    <w:rsid w:val="7A4260F2"/>
    <w:rsid w:val="7A511CEA"/>
    <w:rsid w:val="7A5B6BF1"/>
    <w:rsid w:val="7A636D8E"/>
    <w:rsid w:val="7A745689"/>
    <w:rsid w:val="7A74617C"/>
    <w:rsid w:val="7A882AAB"/>
    <w:rsid w:val="7A8935AA"/>
    <w:rsid w:val="7A8C5A62"/>
    <w:rsid w:val="7A9B02A0"/>
    <w:rsid w:val="7AAC493D"/>
    <w:rsid w:val="7AB70A93"/>
    <w:rsid w:val="7AC77AD7"/>
    <w:rsid w:val="7AE56790"/>
    <w:rsid w:val="7AFF5BCE"/>
    <w:rsid w:val="7B10013E"/>
    <w:rsid w:val="7B326C07"/>
    <w:rsid w:val="7B362E62"/>
    <w:rsid w:val="7B556837"/>
    <w:rsid w:val="7B676012"/>
    <w:rsid w:val="7B6A7511"/>
    <w:rsid w:val="7B711CC9"/>
    <w:rsid w:val="7B890DF9"/>
    <w:rsid w:val="7B9C2817"/>
    <w:rsid w:val="7BA311A3"/>
    <w:rsid w:val="7BA46460"/>
    <w:rsid w:val="7BBA247E"/>
    <w:rsid w:val="7BBA2AA5"/>
    <w:rsid w:val="7BBB6AF8"/>
    <w:rsid w:val="7BBF2239"/>
    <w:rsid w:val="7BD84BDB"/>
    <w:rsid w:val="7BE72A58"/>
    <w:rsid w:val="7BEA1821"/>
    <w:rsid w:val="7BEF2D8B"/>
    <w:rsid w:val="7C1773FB"/>
    <w:rsid w:val="7C1E7985"/>
    <w:rsid w:val="7C2F634D"/>
    <w:rsid w:val="7C304464"/>
    <w:rsid w:val="7C357268"/>
    <w:rsid w:val="7C394685"/>
    <w:rsid w:val="7C3946D8"/>
    <w:rsid w:val="7C3C1819"/>
    <w:rsid w:val="7C41114A"/>
    <w:rsid w:val="7C470595"/>
    <w:rsid w:val="7C5442D6"/>
    <w:rsid w:val="7C5A528B"/>
    <w:rsid w:val="7C620617"/>
    <w:rsid w:val="7C7878E3"/>
    <w:rsid w:val="7C826ECF"/>
    <w:rsid w:val="7C8C0A8D"/>
    <w:rsid w:val="7C8E3BC1"/>
    <w:rsid w:val="7C927AF3"/>
    <w:rsid w:val="7C97014B"/>
    <w:rsid w:val="7CA273D9"/>
    <w:rsid w:val="7CA874EC"/>
    <w:rsid w:val="7CB14A8A"/>
    <w:rsid w:val="7CBC0EDA"/>
    <w:rsid w:val="7CBE6E05"/>
    <w:rsid w:val="7CC01527"/>
    <w:rsid w:val="7CC318EA"/>
    <w:rsid w:val="7CCE5944"/>
    <w:rsid w:val="7CE4315C"/>
    <w:rsid w:val="7CF242BC"/>
    <w:rsid w:val="7CFE6AE4"/>
    <w:rsid w:val="7CFF2B54"/>
    <w:rsid w:val="7D001143"/>
    <w:rsid w:val="7D0905C7"/>
    <w:rsid w:val="7D180251"/>
    <w:rsid w:val="7D2E5F39"/>
    <w:rsid w:val="7D345D3C"/>
    <w:rsid w:val="7D3D4510"/>
    <w:rsid w:val="7D512219"/>
    <w:rsid w:val="7D6A7CF0"/>
    <w:rsid w:val="7DA77B7C"/>
    <w:rsid w:val="7DAB26E8"/>
    <w:rsid w:val="7DAF39E4"/>
    <w:rsid w:val="7DAF5F30"/>
    <w:rsid w:val="7DB41313"/>
    <w:rsid w:val="7DB8125E"/>
    <w:rsid w:val="7DBC38D5"/>
    <w:rsid w:val="7DC927EE"/>
    <w:rsid w:val="7DCD34A9"/>
    <w:rsid w:val="7DD1602F"/>
    <w:rsid w:val="7DDD79F9"/>
    <w:rsid w:val="7DDE2123"/>
    <w:rsid w:val="7DE37724"/>
    <w:rsid w:val="7DE7410A"/>
    <w:rsid w:val="7DED0007"/>
    <w:rsid w:val="7DEE0D61"/>
    <w:rsid w:val="7DFB187B"/>
    <w:rsid w:val="7DFFCB28"/>
    <w:rsid w:val="7E0B4B47"/>
    <w:rsid w:val="7E2447D7"/>
    <w:rsid w:val="7E3201EE"/>
    <w:rsid w:val="7E3A3239"/>
    <w:rsid w:val="7E3B60E6"/>
    <w:rsid w:val="7E5656C0"/>
    <w:rsid w:val="7E5A3003"/>
    <w:rsid w:val="7E694EB9"/>
    <w:rsid w:val="7E73447D"/>
    <w:rsid w:val="7E746479"/>
    <w:rsid w:val="7E8412AD"/>
    <w:rsid w:val="7E8D6A07"/>
    <w:rsid w:val="7E936085"/>
    <w:rsid w:val="7E955A58"/>
    <w:rsid w:val="7E962A62"/>
    <w:rsid w:val="7EBE700C"/>
    <w:rsid w:val="7EC2393B"/>
    <w:rsid w:val="7ECA5B6E"/>
    <w:rsid w:val="7ED20926"/>
    <w:rsid w:val="7ED95003"/>
    <w:rsid w:val="7EDC604B"/>
    <w:rsid w:val="7EE1028D"/>
    <w:rsid w:val="7EEE78CB"/>
    <w:rsid w:val="7F093C4D"/>
    <w:rsid w:val="7F0D5DAE"/>
    <w:rsid w:val="7F0F6AEE"/>
    <w:rsid w:val="7F176427"/>
    <w:rsid w:val="7F181840"/>
    <w:rsid w:val="7F2B63DB"/>
    <w:rsid w:val="7F396F3C"/>
    <w:rsid w:val="7F434859"/>
    <w:rsid w:val="7F505FC9"/>
    <w:rsid w:val="7F556937"/>
    <w:rsid w:val="7F6A4DD4"/>
    <w:rsid w:val="7F8830F2"/>
    <w:rsid w:val="7F8D64E6"/>
    <w:rsid w:val="7F930B43"/>
    <w:rsid w:val="7F942DB0"/>
    <w:rsid w:val="7F9C24B0"/>
    <w:rsid w:val="7FB73304"/>
    <w:rsid w:val="7FC03CB9"/>
    <w:rsid w:val="7FD63497"/>
    <w:rsid w:val="7FF11F9E"/>
    <w:rsid w:val="AE2FD64D"/>
    <w:rsid w:val="AFF7847B"/>
    <w:rsid w:val="BBFF417C"/>
    <w:rsid w:val="BF5E733C"/>
    <w:rsid w:val="BF7D0E26"/>
    <w:rsid w:val="CCBF4163"/>
    <w:rsid w:val="D4BF86C9"/>
    <w:rsid w:val="D7FF16CF"/>
    <w:rsid w:val="DB2DDDA8"/>
    <w:rsid w:val="DDF7DAF1"/>
    <w:rsid w:val="EE7FBE7D"/>
    <w:rsid w:val="EFD9372C"/>
    <w:rsid w:val="EFDF81C4"/>
    <w:rsid w:val="EFFE9AA7"/>
    <w:rsid w:val="F7D393A2"/>
    <w:rsid w:val="F9D7F67F"/>
    <w:rsid w:val="FDD82E6C"/>
    <w:rsid w:val="FE5B8028"/>
    <w:rsid w:val="FF75CE6E"/>
    <w:rsid w:val="FF9EA0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8"/>
    <w:qFormat/>
    <w:uiPriority w:val="0"/>
    <w:pPr>
      <w:keepNext/>
      <w:keepLines/>
      <w:spacing w:line="578" w:lineRule="auto"/>
      <w:outlineLvl w:val="0"/>
    </w:pPr>
    <w:rPr>
      <w:rFonts w:ascii="Times New Roman" w:hAnsi="Times New Roman" w:eastAsia="Century Gothic"/>
      <w:b/>
      <w:bCs/>
      <w:kern w:val="44"/>
      <w:sz w:val="44"/>
      <w:szCs w:val="44"/>
    </w:rPr>
  </w:style>
  <w:style w:type="paragraph" w:styleId="2">
    <w:name w:val="heading 2"/>
    <w:basedOn w:val="1"/>
    <w:next w:val="1"/>
    <w:qFormat/>
    <w:uiPriority w:val="0"/>
    <w:pPr>
      <w:keepNext/>
      <w:keepLines/>
      <w:adjustRightInd w:val="0"/>
      <w:spacing w:line="415" w:lineRule="auto"/>
      <w:jc w:val="left"/>
      <w:outlineLvl w:val="1"/>
    </w:pPr>
    <w:rPr>
      <w:rFonts w:ascii="黑体" w:hAnsi="黑体" w:eastAsia="楷体"/>
      <w:b/>
      <w:bCs/>
      <w:sz w:val="32"/>
      <w:szCs w:val="32"/>
    </w:rPr>
  </w:style>
  <w:style w:type="paragraph" w:styleId="4">
    <w:name w:val="heading 3"/>
    <w:basedOn w:val="1"/>
    <w:next w:val="1"/>
    <w:qFormat/>
    <w:uiPriority w:val="0"/>
    <w:pPr>
      <w:keepNext/>
      <w:keepLines/>
      <w:spacing w:line="416" w:lineRule="auto"/>
      <w:outlineLvl w:val="2"/>
    </w:pPr>
    <w:rPr>
      <w:b/>
      <w:bCs/>
      <w:sz w:val="32"/>
      <w:szCs w:val="32"/>
    </w:rPr>
  </w:style>
  <w:style w:type="paragraph" w:styleId="5">
    <w:name w:val="heading 4"/>
    <w:basedOn w:val="1"/>
    <w:next w:val="1"/>
    <w:qFormat/>
    <w:uiPriority w:val="0"/>
    <w:pPr>
      <w:keepNext/>
      <w:widowControl/>
      <w:jc w:val="center"/>
      <w:outlineLvl w:val="3"/>
    </w:pPr>
    <w:rPr>
      <w:rFonts w:ascii="MS Sans Serif" w:hAnsi="仿宋_GB2312" w:eastAsia="MS Sans Serif"/>
      <w:snapToGrid w:val="0"/>
      <w:kern w:val="0"/>
      <w:sz w:val="24"/>
      <w:szCs w:val="20"/>
    </w:rPr>
  </w:style>
  <w:style w:type="paragraph" w:styleId="6">
    <w:name w:val="heading 5"/>
    <w:basedOn w:val="1"/>
    <w:next w:val="1"/>
    <w:qFormat/>
    <w:uiPriority w:val="0"/>
    <w:pPr>
      <w:widowControl/>
      <w:jc w:val="left"/>
      <w:outlineLvl w:val="4"/>
    </w:pPr>
    <w:rPr>
      <w:rFonts w:ascii="MS Sans Serif" w:eastAsia="MS Sans Serif"/>
      <w:kern w:val="0"/>
      <w:sz w:val="24"/>
      <w:szCs w:val="20"/>
    </w:rPr>
  </w:style>
  <w:style w:type="paragraph" w:styleId="7">
    <w:name w:val="heading 6"/>
    <w:basedOn w:val="1"/>
    <w:next w:val="1"/>
    <w:qFormat/>
    <w:uiPriority w:val="0"/>
    <w:pPr>
      <w:keepNext/>
      <w:keepLines/>
      <w:spacing w:line="320" w:lineRule="auto"/>
      <w:outlineLvl w:val="5"/>
    </w:pPr>
    <w:rPr>
      <w:rFonts w:ascii="黑体" w:hAnsi="黑体" w:eastAsia="楷体"/>
      <w:b/>
      <w:sz w:val="24"/>
      <w:szCs w:val="20"/>
    </w:rPr>
  </w:style>
  <w:style w:type="paragraph" w:styleId="8">
    <w:name w:val="heading 7"/>
    <w:basedOn w:val="1"/>
    <w:next w:val="1"/>
    <w:qFormat/>
    <w:uiPriority w:val="0"/>
    <w:pPr>
      <w:keepNext/>
      <w:keepLines/>
      <w:spacing w:line="320" w:lineRule="auto"/>
      <w:outlineLvl w:val="6"/>
    </w:pPr>
    <w:rPr>
      <w:b/>
      <w:sz w:val="24"/>
      <w:szCs w:val="20"/>
    </w:rPr>
  </w:style>
  <w:style w:type="paragraph" w:styleId="9">
    <w:name w:val="heading 8"/>
    <w:basedOn w:val="1"/>
    <w:next w:val="10"/>
    <w:qFormat/>
    <w:uiPriority w:val="0"/>
    <w:pPr>
      <w:keepNext/>
      <w:keepLines/>
      <w:spacing w:line="320" w:lineRule="auto"/>
      <w:outlineLvl w:val="7"/>
    </w:pPr>
    <w:rPr>
      <w:rFonts w:ascii="黑体" w:hAnsi="黑体" w:eastAsia="楷体"/>
      <w:sz w:val="24"/>
      <w:szCs w:val="20"/>
    </w:rPr>
  </w:style>
  <w:style w:type="paragraph" w:styleId="11">
    <w:name w:val="heading 9"/>
    <w:basedOn w:val="1"/>
    <w:next w:val="10"/>
    <w:qFormat/>
    <w:uiPriority w:val="0"/>
    <w:pPr>
      <w:keepNext/>
      <w:keepLines/>
      <w:spacing w:line="320" w:lineRule="auto"/>
      <w:outlineLvl w:val="8"/>
    </w:pPr>
    <w:rPr>
      <w:rFonts w:ascii="黑体" w:hAnsi="黑体" w:eastAsia="楷体"/>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0">
    <w:name w:val="Normal Indent"/>
    <w:basedOn w:val="1"/>
    <w:next w:val="1"/>
    <w:link w:val="59"/>
    <w:qFormat/>
    <w:uiPriority w:val="0"/>
    <w:pPr>
      <w:widowControl/>
      <w:ind w:firstLine="420"/>
      <w:jc w:val="left"/>
    </w:pPr>
    <w:rPr>
      <w:rFonts w:ascii="Arial" w:hAnsi="Arial" w:cs="Arial"/>
      <w:kern w:val="0"/>
      <w:sz w:val="20"/>
      <w:szCs w:val="20"/>
    </w:rPr>
  </w:style>
  <w:style w:type="paragraph" w:styleId="12">
    <w:name w:val="toc 7"/>
    <w:basedOn w:val="1"/>
    <w:next w:val="1"/>
    <w:semiHidden/>
    <w:qFormat/>
    <w:uiPriority w:val="0"/>
    <w:pPr>
      <w:ind w:left="1260"/>
      <w:jc w:val="left"/>
    </w:pPr>
    <w:rPr>
      <w:sz w:val="18"/>
      <w:szCs w:val="18"/>
    </w:rPr>
  </w:style>
  <w:style w:type="paragraph" w:styleId="13">
    <w:name w:val="List Number"/>
    <w:basedOn w:val="1"/>
    <w:qFormat/>
    <w:uiPriority w:val="0"/>
    <w:pPr>
      <w:widowControl/>
      <w:tabs>
        <w:tab w:val="left" w:pos="420"/>
        <w:tab w:val="left" w:pos="454"/>
      </w:tabs>
      <w:spacing w:afterLines="50"/>
      <w:ind w:left="454" w:hanging="284"/>
      <w:jc w:val="left"/>
    </w:pPr>
    <w:rPr>
      <w:kern w:val="0"/>
      <w:sz w:val="24"/>
      <w:szCs w:val="20"/>
    </w:rPr>
  </w:style>
  <w:style w:type="paragraph" w:styleId="14">
    <w:name w:val="caption"/>
    <w:basedOn w:val="1"/>
    <w:next w:val="1"/>
    <w:qFormat/>
    <w:uiPriority w:val="0"/>
    <w:rPr>
      <w:rFonts w:ascii="黑体" w:hAnsi="黑体" w:eastAsia="楷体" w:cs="黑体"/>
      <w:sz w:val="20"/>
      <w:szCs w:val="20"/>
    </w:rPr>
  </w:style>
  <w:style w:type="paragraph" w:styleId="15">
    <w:name w:val="Document Map"/>
    <w:basedOn w:val="1"/>
    <w:semiHidden/>
    <w:qFormat/>
    <w:uiPriority w:val="0"/>
    <w:pPr>
      <w:shd w:val="clear" w:color="auto" w:fill="000080"/>
    </w:pPr>
  </w:style>
  <w:style w:type="paragraph" w:styleId="16">
    <w:name w:val="annotation text"/>
    <w:basedOn w:val="1"/>
    <w:semiHidden/>
    <w:qFormat/>
    <w:uiPriority w:val="0"/>
    <w:pPr>
      <w:jc w:val="left"/>
    </w:pPr>
  </w:style>
  <w:style w:type="paragraph" w:styleId="17">
    <w:name w:val="Body Text"/>
    <w:basedOn w:val="1"/>
    <w:next w:val="1"/>
    <w:qFormat/>
    <w:uiPriority w:val="0"/>
  </w:style>
  <w:style w:type="paragraph" w:styleId="18">
    <w:name w:val="Body Text Indent"/>
    <w:basedOn w:val="1"/>
    <w:next w:val="1"/>
    <w:link w:val="60"/>
    <w:qFormat/>
    <w:uiPriority w:val="0"/>
    <w:pPr>
      <w:adjustRightInd w:val="0"/>
      <w:spacing w:line="360" w:lineRule="auto"/>
      <w:ind w:firstLine="490"/>
      <w:jc w:val="left"/>
    </w:pPr>
    <w:rPr>
      <w:rFonts w:ascii="Century Gothic" w:hAnsi="Century Gothic" w:eastAsia="Century Gothic"/>
      <w:sz w:val="24"/>
      <w:szCs w:val="20"/>
    </w:rPr>
  </w:style>
  <w:style w:type="paragraph" w:styleId="19">
    <w:name w:val="List Number 3"/>
    <w:basedOn w:val="1"/>
    <w:qFormat/>
    <w:uiPriority w:val="0"/>
    <w:pPr>
      <w:widowControl/>
      <w:tabs>
        <w:tab w:val="left" w:pos="482"/>
        <w:tab w:val="left" w:pos="1157"/>
      </w:tabs>
      <w:spacing w:afterLines="50"/>
      <w:ind w:left="482" w:hanging="340"/>
      <w:jc w:val="left"/>
    </w:pPr>
    <w:rPr>
      <w:kern w:val="0"/>
      <w:sz w:val="24"/>
      <w:szCs w:val="20"/>
    </w:rPr>
  </w:style>
  <w:style w:type="paragraph" w:styleId="20">
    <w:name w:val="Block Text"/>
    <w:basedOn w:val="1"/>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styleId="21">
    <w:name w:val="toc 5"/>
    <w:basedOn w:val="1"/>
    <w:next w:val="1"/>
    <w:semiHidden/>
    <w:qFormat/>
    <w:uiPriority w:val="0"/>
    <w:pPr>
      <w:ind w:left="840"/>
      <w:jc w:val="left"/>
    </w:pPr>
    <w:rPr>
      <w:sz w:val="18"/>
      <w:szCs w:val="18"/>
    </w:rPr>
  </w:style>
  <w:style w:type="paragraph" w:styleId="22">
    <w:name w:val="toc 3"/>
    <w:basedOn w:val="1"/>
    <w:next w:val="1"/>
    <w:semiHidden/>
    <w:qFormat/>
    <w:uiPriority w:val="0"/>
    <w:pPr>
      <w:ind w:left="420"/>
      <w:jc w:val="left"/>
    </w:pPr>
    <w:rPr>
      <w:i/>
      <w:iCs/>
      <w:sz w:val="20"/>
      <w:szCs w:val="20"/>
    </w:rPr>
  </w:style>
  <w:style w:type="paragraph" w:styleId="23">
    <w:name w:val="Plain Text"/>
    <w:basedOn w:val="1"/>
    <w:next w:val="1"/>
    <w:link w:val="61"/>
    <w:qFormat/>
    <w:uiPriority w:val="0"/>
    <w:rPr>
      <w:rFonts w:ascii="Century Gothic" w:hAnsi="楷体_GB2312" w:eastAsia="Century Gothic" w:cs="楷体_GB2312"/>
      <w:szCs w:val="21"/>
    </w:rPr>
  </w:style>
  <w:style w:type="paragraph" w:styleId="24">
    <w:name w:val="toc 8"/>
    <w:basedOn w:val="1"/>
    <w:next w:val="1"/>
    <w:semiHidden/>
    <w:qFormat/>
    <w:uiPriority w:val="0"/>
    <w:pPr>
      <w:ind w:left="1470"/>
      <w:jc w:val="left"/>
    </w:pPr>
    <w:rPr>
      <w:sz w:val="18"/>
      <w:szCs w:val="18"/>
    </w:rPr>
  </w:style>
  <w:style w:type="paragraph" w:styleId="25">
    <w:name w:val="Date"/>
    <w:basedOn w:val="1"/>
    <w:next w:val="1"/>
    <w:qFormat/>
    <w:uiPriority w:val="0"/>
    <w:pPr>
      <w:ind w:left="100" w:leftChars="2500"/>
    </w:pPr>
  </w:style>
  <w:style w:type="paragraph" w:styleId="26">
    <w:name w:val="Body Text Indent 2"/>
    <w:basedOn w:val="1"/>
    <w:qFormat/>
    <w:uiPriority w:val="0"/>
    <w:pPr>
      <w:adjustRightInd w:val="0"/>
      <w:spacing w:line="360" w:lineRule="auto"/>
      <w:ind w:firstLine="504" w:firstLineChars="210"/>
      <w:jc w:val="left"/>
    </w:pPr>
    <w:rPr>
      <w:rFonts w:hint="eastAsia" w:ascii="Century Gothic" w:hAnsi="Century Gothic"/>
      <w:sz w:val="24"/>
      <w:szCs w:val="20"/>
    </w:rPr>
  </w:style>
  <w:style w:type="paragraph" w:styleId="27">
    <w:name w:val="Balloon Text"/>
    <w:basedOn w:val="1"/>
    <w:semiHidden/>
    <w:qFormat/>
    <w:uiPriority w:val="0"/>
    <w:rPr>
      <w:sz w:val="18"/>
      <w:szCs w:val="18"/>
    </w:rPr>
  </w:style>
  <w:style w:type="paragraph" w:styleId="28">
    <w:name w:val="footer"/>
    <w:basedOn w:val="1"/>
    <w:link w:val="62"/>
    <w:qFormat/>
    <w:uiPriority w:val="0"/>
    <w:pPr>
      <w:tabs>
        <w:tab w:val="center" w:pos="4153"/>
        <w:tab w:val="right" w:pos="8306"/>
      </w:tabs>
      <w:adjustRightInd w:val="0"/>
      <w:jc w:val="left"/>
    </w:pPr>
    <w:rPr>
      <w:rFonts w:ascii="Times New Roman" w:hAnsi="Times New Roman" w:eastAsia="Century Gothic"/>
      <w:sz w:val="18"/>
      <w:szCs w:val="20"/>
    </w:rPr>
  </w:style>
  <w:style w:type="paragraph" w:styleId="29">
    <w:name w:val="envelope return"/>
    <w:basedOn w:val="1"/>
    <w:qFormat/>
    <w:uiPriority w:val="0"/>
    <w:pPr>
      <w:snapToGrid w:val="0"/>
    </w:pPr>
    <w:rPr>
      <w:rFonts w:ascii="Arial" w:hAnsi="Arial"/>
    </w:rPr>
  </w:style>
  <w:style w:type="paragraph" w:styleId="30">
    <w:name w:val="header"/>
    <w:basedOn w:val="1"/>
    <w:qFormat/>
    <w:uiPriority w:val="0"/>
    <w:pPr>
      <w:pBdr>
        <w:bottom w:val="single" w:color="auto" w:sz="6" w:space="1"/>
      </w:pBdr>
      <w:tabs>
        <w:tab w:val="center" w:pos="4153"/>
        <w:tab w:val="right" w:pos="8306"/>
      </w:tabs>
      <w:adjustRightInd w:val="0"/>
      <w:jc w:val="center"/>
    </w:pPr>
    <w:rPr>
      <w:sz w:val="18"/>
      <w:szCs w:val="20"/>
    </w:rPr>
  </w:style>
  <w:style w:type="paragraph" w:styleId="31">
    <w:name w:val="toc 1"/>
    <w:basedOn w:val="1"/>
    <w:next w:val="1"/>
    <w:qFormat/>
    <w:uiPriority w:val="39"/>
    <w:pPr>
      <w:tabs>
        <w:tab w:val="right" w:leader="dot" w:pos="8720"/>
      </w:tabs>
      <w:jc w:val="left"/>
    </w:pPr>
    <w:rPr>
      <w:rFonts w:ascii="Century Gothic" w:hAnsi="Century Gothic"/>
      <w:bCs/>
      <w:caps/>
      <w:sz w:val="20"/>
      <w:szCs w:val="20"/>
    </w:rPr>
  </w:style>
  <w:style w:type="paragraph" w:styleId="32">
    <w:name w:val="toc 4"/>
    <w:basedOn w:val="1"/>
    <w:next w:val="1"/>
    <w:semiHidden/>
    <w:qFormat/>
    <w:uiPriority w:val="0"/>
    <w:pPr>
      <w:ind w:left="630"/>
      <w:jc w:val="left"/>
    </w:pPr>
    <w:rPr>
      <w:sz w:val="18"/>
      <w:szCs w:val="18"/>
    </w:rPr>
  </w:style>
  <w:style w:type="paragraph" w:styleId="33">
    <w:name w:val="toc 6"/>
    <w:basedOn w:val="1"/>
    <w:next w:val="1"/>
    <w:semiHidden/>
    <w:qFormat/>
    <w:uiPriority w:val="0"/>
    <w:pPr>
      <w:ind w:left="1050"/>
      <w:jc w:val="left"/>
    </w:pPr>
    <w:rPr>
      <w:sz w:val="18"/>
      <w:szCs w:val="18"/>
    </w:rPr>
  </w:style>
  <w:style w:type="paragraph" w:styleId="34">
    <w:name w:val="List 5"/>
    <w:basedOn w:val="1"/>
    <w:qFormat/>
    <w:uiPriority w:val="0"/>
    <w:pPr>
      <w:ind w:left="100" w:leftChars="800" w:hanging="200" w:hangingChars="200"/>
    </w:pPr>
    <w:rPr>
      <w:szCs w:val="20"/>
    </w:rPr>
  </w:style>
  <w:style w:type="paragraph" w:styleId="35">
    <w:name w:val="Body Text Indent 3"/>
    <w:basedOn w:val="1"/>
    <w:qFormat/>
    <w:uiPriority w:val="0"/>
    <w:pPr>
      <w:ind w:left="420" w:leftChars="200"/>
    </w:pPr>
    <w:rPr>
      <w:sz w:val="16"/>
      <w:szCs w:val="16"/>
    </w:rPr>
  </w:style>
  <w:style w:type="paragraph" w:styleId="36">
    <w:name w:val="toc 2"/>
    <w:basedOn w:val="1"/>
    <w:next w:val="1"/>
    <w:qFormat/>
    <w:uiPriority w:val="39"/>
    <w:pPr>
      <w:tabs>
        <w:tab w:val="right" w:leader="dot" w:pos="8720"/>
      </w:tabs>
      <w:adjustRightInd w:val="0"/>
      <w:snapToGrid w:val="0"/>
      <w:jc w:val="left"/>
    </w:pPr>
    <w:rPr>
      <w:smallCaps/>
      <w:sz w:val="20"/>
      <w:szCs w:val="20"/>
    </w:rPr>
  </w:style>
  <w:style w:type="paragraph" w:styleId="37">
    <w:name w:val="toc 9"/>
    <w:basedOn w:val="1"/>
    <w:next w:val="1"/>
    <w:semiHidden/>
    <w:qFormat/>
    <w:uiPriority w:val="0"/>
    <w:pPr>
      <w:ind w:left="1680"/>
      <w:jc w:val="left"/>
    </w:pPr>
    <w:rPr>
      <w:sz w:val="18"/>
      <w:szCs w:val="18"/>
    </w:rPr>
  </w:style>
  <w:style w:type="paragraph" w:styleId="38">
    <w:name w:val="Body Text 2"/>
    <w:basedOn w:val="1"/>
    <w:qFormat/>
    <w:uiPriority w:val="0"/>
    <w:rPr>
      <w:sz w:val="24"/>
    </w:rPr>
  </w:style>
  <w:style w:type="paragraph" w:styleId="3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40">
    <w:name w:val="Normal (Web)"/>
    <w:basedOn w:val="1"/>
    <w:qFormat/>
    <w:uiPriority w:val="0"/>
    <w:pPr>
      <w:widowControl/>
      <w:shd w:val="clear" w:color="auto" w:fill="FFFFFF"/>
      <w:spacing w:beforeAutospacing="1" w:afterAutospacing="1"/>
      <w:jc w:val="left"/>
    </w:pPr>
    <w:rPr>
      <w:rFonts w:ascii="Century Gothic" w:hAnsi="Century Gothic"/>
      <w:kern w:val="0"/>
      <w:sz w:val="18"/>
      <w:szCs w:val="18"/>
    </w:rPr>
  </w:style>
  <w:style w:type="paragraph" w:styleId="41">
    <w:name w:val="Title"/>
    <w:basedOn w:val="1"/>
    <w:next w:val="1"/>
    <w:qFormat/>
    <w:uiPriority w:val="0"/>
    <w:pPr>
      <w:tabs>
        <w:tab w:val="left" w:pos="1200"/>
      </w:tabs>
      <w:spacing w:afterLines="200"/>
      <w:ind w:left="1440" w:hanging="720"/>
      <w:jc w:val="center"/>
    </w:pPr>
    <w:rPr>
      <w:b/>
      <w:bCs/>
      <w:spacing w:val="60"/>
      <w:sz w:val="32"/>
    </w:rPr>
  </w:style>
  <w:style w:type="paragraph" w:styleId="42">
    <w:name w:val="annotation subject"/>
    <w:basedOn w:val="16"/>
    <w:next w:val="16"/>
    <w:semiHidden/>
    <w:qFormat/>
    <w:uiPriority w:val="0"/>
    <w:rPr>
      <w:b/>
      <w:bCs/>
    </w:rPr>
  </w:style>
  <w:style w:type="paragraph" w:styleId="43">
    <w:name w:val="Body Text First Indent"/>
    <w:basedOn w:val="17"/>
    <w:next w:val="33"/>
    <w:qFormat/>
    <w:uiPriority w:val="0"/>
    <w:pPr>
      <w:ind w:firstLine="420"/>
    </w:pPr>
  </w:style>
  <w:style w:type="paragraph" w:styleId="44">
    <w:name w:val="Body Text First Indent 2"/>
    <w:basedOn w:val="18"/>
    <w:qFormat/>
    <w:uiPriority w:val="0"/>
    <w:pPr>
      <w:ind w:firstLine="420" w:firstLineChars="200"/>
    </w:pPr>
  </w:style>
  <w:style w:type="table" w:styleId="46">
    <w:name w:val="Table Grid"/>
    <w:basedOn w:val="4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b/>
    </w:rPr>
  </w:style>
  <w:style w:type="character" w:styleId="49">
    <w:name w:val="page number"/>
    <w:qFormat/>
    <w:uiPriority w:val="0"/>
  </w:style>
  <w:style w:type="character" w:styleId="50">
    <w:name w:val="FollowedHyperlink"/>
    <w:qFormat/>
    <w:uiPriority w:val="0"/>
    <w:rPr>
      <w:color w:val="3177FD"/>
      <w:sz w:val="21"/>
      <w:szCs w:val="21"/>
      <w:u w:val="none"/>
    </w:rPr>
  </w:style>
  <w:style w:type="character" w:styleId="51">
    <w:name w:val="HTML Definition"/>
    <w:qFormat/>
    <w:uiPriority w:val="0"/>
    <w:rPr>
      <w:i/>
      <w:color w:val="FFFFFF"/>
      <w:u w:val="none"/>
    </w:rPr>
  </w:style>
  <w:style w:type="character" w:styleId="52">
    <w:name w:val="Hyperlink"/>
    <w:qFormat/>
    <w:uiPriority w:val="0"/>
    <w:rPr>
      <w:color w:val="3177FD"/>
      <w:u w:val="none"/>
    </w:rPr>
  </w:style>
  <w:style w:type="character" w:styleId="53">
    <w:name w:val="HTML Code"/>
    <w:qFormat/>
    <w:uiPriority w:val="0"/>
    <w:rPr>
      <w:rFonts w:hint="default" w:ascii="Consolas" w:hAnsi="Consolas" w:eastAsia="Consolas" w:cs="Consolas"/>
      <w:sz w:val="21"/>
      <w:szCs w:val="21"/>
    </w:rPr>
  </w:style>
  <w:style w:type="character" w:styleId="54">
    <w:name w:val="annotation reference"/>
    <w:semiHidden/>
    <w:qFormat/>
    <w:uiPriority w:val="0"/>
    <w:rPr>
      <w:sz w:val="21"/>
      <w:szCs w:val="21"/>
    </w:rPr>
  </w:style>
  <w:style w:type="character" w:styleId="55">
    <w:name w:val="HTML Keyboard"/>
    <w:qFormat/>
    <w:uiPriority w:val="0"/>
    <w:rPr>
      <w:rFonts w:ascii="Consolas" w:hAnsi="Consolas" w:eastAsia="Consolas" w:cs="Consolas"/>
      <w:sz w:val="21"/>
      <w:szCs w:val="21"/>
    </w:rPr>
  </w:style>
  <w:style w:type="character" w:styleId="56">
    <w:name w:val="HTML Sample"/>
    <w:qFormat/>
    <w:uiPriority w:val="0"/>
    <w:rPr>
      <w:rFonts w:hint="default" w:ascii="Consolas" w:hAnsi="Consolas" w:eastAsia="Consolas" w:cs="Consolas"/>
      <w:sz w:val="21"/>
      <w:szCs w:val="21"/>
    </w:rPr>
  </w:style>
  <w:style w:type="paragraph" w:customStyle="1" w:styleId="57">
    <w:name w:val="_Style 1"/>
    <w:qFormat/>
    <w:uiPriority w:val="0"/>
    <w:rPr>
      <w:rFonts w:ascii="Calibri" w:hAnsi="Calibri" w:eastAsia="宋体" w:cs="Times New Roman"/>
      <w:kern w:val="2"/>
      <w:sz w:val="28"/>
      <w:szCs w:val="22"/>
      <w:lang w:val="en-US" w:eastAsia="zh-CN" w:bidi="ar-SA"/>
    </w:rPr>
  </w:style>
  <w:style w:type="character" w:customStyle="1" w:styleId="58">
    <w:name w:val="标题 1 Char"/>
    <w:link w:val="3"/>
    <w:qFormat/>
    <w:uiPriority w:val="0"/>
    <w:rPr>
      <w:rFonts w:eastAsia="Century Gothic"/>
      <w:b/>
      <w:bCs/>
      <w:kern w:val="44"/>
      <w:sz w:val="44"/>
      <w:szCs w:val="44"/>
      <w:lang w:val="en-US" w:eastAsia="zh-CN" w:bidi="ar-SA"/>
    </w:rPr>
  </w:style>
  <w:style w:type="character" w:customStyle="1" w:styleId="59">
    <w:name w:val="正文缩进 Char"/>
    <w:link w:val="10"/>
    <w:qFormat/>
    <w:uiPriority w:val="0"/>
    <w:rPr>
      <w:rFonts w:ascii="Arial" w:hAnsi="Arial" w:eastAsia="宋体" w:cs="Arial"/>
      <w:lang w:val="en-US" w:eastAsia="zh-CN" w:bidi="ar-SA"/>
    </w:rPr>
  </w:style>
  <w:style w:type="character" w:customStyle="1" w:styleId="60">
    <w:name w:val="正文文本缩进 Char"/>
    <w:link w:val="18"/>
    <w:semiHidden/>
    <w:qFormat/>
    <w:uiPriority w:val="0"/>
    <w:rPr>
      <w:rFonts w:ascii="Century Gothic" w:hAnsi="Century Gothic" w:eastAsia="Century Gothic"/>
      <w:kern w:val="2"/>
      <w:sz w:val="24"/>
      <w:lang w:val="en-US" w:eastAsia="zh-CN" w:bidi="ar-SA"/>
    </w:rPr>
  </w:style>
  <w:style w:type="character" w:customStyle="1" w:styleId="61">
    <w:name w:val="纯文本 Char"/>
    <w:link w:val="23"/>
    <w:qFormat/>
    <w:uiPriority w:val="0"/>
    <w:rPr>
      <w:rFonts w:ascii="Century Gothic" w:hAnsi="楷体_GB2312" w:eastAsia="Century Gothic" w:cs="楷体_GB2312"/>
      <w:kern w:val="2"/>
      <w:sz w:val="21"/>
      <w:szCs w:val="21"/>
      <w:lang w:val="en-US" w:eastAsia="zh-CN" w:bidi="ar-SA"/>
    </w:rPr>
  </w:style>
  <w:style w:type="character" w:customStyle="1" w:styleId="62">
    <w:name w:val="页脚 Char"/>
    <w:link w:val="28"/>
    <w:qFormat/>
    <w:uiPriority w:val="0"/>
    <w:rPr>
      <w:rFonts w:eastAsia="Century Gothic"/>
      <w:kern w:val="2"/>
      <w:sz w:val="18"/>
      <w:lang w:val="en-US" w:eastAsia="zh-CN" w:bidi="ar-SA"/>
    </w:rPr>
  </w:style>
  <w:style w:type="character" w:customStyle="1" w:styleId="63">
    <w:name w:val="zbggmain style9"/>
    <w:qFormat/>
    <w:uiPriority w:val="0"/>
    <w:rPr>
      <w:rFonts w:ascii="Courier New" w:eastAsia="Courier New"/>
      <w:b/>
      <w:kern w:val="2"/>
      <w:sz w:val="32"/>
      <w:szCs w:val="32"/>
      <w:lang w:val="en-US" w:eastAsia="zh-CN" w:bidi="ar-SA"/>
    </w:rPr>
  </w:style>
  <w:style w:type="character" w:customStyle="1" w:styleId="64">
    <w:name w:val="temp1"/>
    <w:qFormat/>
    <w:uiPriority w:val="0"/>
  </w:style>
  <w:style w:type="character" w:customStyle="1" w:styleId="65">
    <w:name w:val="Char Char21"/>
    <w:qFormat/>
    <w:uiPriority w:val="0"/>
    <w:rPr>
      <w:rFonts w:eastAsia="Century Gothic"/>
      <w:b/>
      <w:bCs/>
      <w:kern w:val="44"/>
      <w:sz w:val="32"/>
      <w:szCs w:val="44"/>
      <w:lang w:val="en-US" w:eastAsia="zh-CN" w:bidi="ar-SA"/>
    </w:rPr>
  </w:style>
  <w:style w:type="character" w:customStyle="1" w:styleId="66">
    <w:name w:val="Char Char12"/>
    <w:qFormat/>
    <w:uiPriority w:val="0"/>
    <w:rPr>
      <w:rFonts w:ascii="Century Gothic" w:hAnsi="楷体_GB2312" w:eastAsia="Century Gothic" w:cs="楷体_GB2312"/>
      <w:kern w:val="2"/>
      <w:sz w:val="21"/>
      <w:szCs w:val="21"/>
      <w:lang w:val="en-US" w:eastAsia="zh-CN" w:bidi="ar-SA"/>
    </w:rPr>
  </w:style>
  <w:style w:type="character" w:customStyle="1" w:styleId="67">
    <w:name w:val="first-child7"/>
    <w:qFormat/>
    <w:uiPriority w:val="0"/>
  </w:style>
  <w:style w:type="character" w:customStyle="1" w:styleId="68">
    <w:name w:val="ant-select-tree-checkbox"/>
    <w:qFormat/>
    <w:uiPriority w:val="0"/>
  </w:style>
  <w:style w:type="character" w:customStyle="1" w:styleId="69">
    <w:name w:val="tag-type"/>
    <w:qFormat/>
    <w:uiPriority w:val="0"/>
    <w:rPr>
      <w:color w:val="FFFFFF"/>
      <w:sz w:val="18"/>
      <w:szCs w:val="18"/>
      <w:shd w:val="clear" w:color="auto" w:fill="317FFD"/>
    </w:rPr>
  </w:style>
  <w:style w:type="character" w:customStyle="1" w:styleId="70">
    <w:name w:val="ant-select-tree-switcher"/>
    <w:qFormat/>
    <w:uiPriority w:val="0"/>
  </w:style>
  <w:style w:type="character" w:customStyle="1" w:styleId="71">
    <w:name w:val="Default Char"/>
    <w:link w:val="72"/>
    <w:qFormat/>
    <w:uiPriority w:val="0"/>
    <w:rPr>
      <w:rFonts w:ascii="楷体" w:eastAsia="楷体"/>
      <w:color w:val="000000"/>
      <w:sz w:val="24"/>
      <w:szCs w:val="24"/>
      <w:lang w:val="en-US" w:eastAsia="zh-CN" w:bidi="ar-SA"/>
    </w:rPr>
  </w:style>
  <w:style w:type="paragraph" w:customStyle="1" w:styleId="72">
    <w:name w:val="Default"/>
    <w:next w:val="73"/>
    <w:link w:val="71"/>
    <w:qFormat/>
    <w:uiPriority w:val="0"/>
    <w:pPr>
      <w:widowControl w:val="0"/>
      <w:autoSpaceDE w:val="0"/>
      <w:autoSpaceDN w:val="0"/>
      <w:adjustRightInd w:val="0"/>
    </w:pPr>
    <w:rPr>
      <w:rFonts w:ascii="楷体" w:hAnsi="Times New Roman" w:eastAsia="楷体" w:cs="Times New Roman"/>
      <w:color w:val="000000"/>
      <w:sz w:val="24"/>
      <w:szCs w:val="24"/>
      <w:lang w:val="en-US" w:eastAsia="zh-CN" w:bidi="ar-SA"/>
    </w:rPr>
  </w:style>
  <w:style w:type="paragraph" w:customStyle="1" w:styleId="7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5">
    <w:name w:val="普通文字 Char Char1"/>
    <w:qFormat/>
    <w:uiPriority w:val="0"/>
    <w:rPr>
      <w:rFonts w:ascii="Century Gothic" w:hAnsi="楷体_GB2312" w:eastAsia="Century Gothic" w:cs="楷体_GB2312"/>
      <w:kern w:val="2"/>
      <w:sz w:val="21"/>
      <w:szCs w:val="21"/>
      <w:lang w:val="en-US" w:eastAsia="zh-CN" w:bidi="ar-SA"/>
    </w:rPr>
  </w:style>
  <w:style w:type="character" w:customStyle="1" w:styleId="76">
    <w:name w:val="font71"/>
    <w:qFormat/>
    <w:uiPriority w:val="0"/>
    <w:rPr>
      <w:rFonts w:hint="eastAsia" w:ascii="宋体" w:hAnsi="宋体" w:eastAsia="宋体" w:cs="宋体"/>
      <w:color w:val="000000"/>
      <w:sz w:val="20"/>
      <w:szCs w:val="20"/>
      <w:u w:val="none"/>
    </w:rPr>
  </w:style>
  <w:style w:type="character" w:customStyle="1" w:styleId="77">
    <w:name w:val="current"/>
    <w:qFormat/>
    <w:uiPriority w:val="0"/>
    <w:rPr>
      <w:color w:val="00C1DE"/>
    </w:rPr>
  </w:style>
  <w:style w:type="character" w:customStyle="1" w:styleId="78">
    <w:name w:val="last-of-type"/>
    <w:qFormat/>
    <w:uiPriority w:val="0"/>
    <w:rPr>
      <w:color w:val="FF4A44"/>
      <w:sz w:val="27"/>
      <w:szCs w:val="27"/>
    </w:rPr>
  </w:style>
  <w:style w:type="character" w:customStyle="1" w:styleId="79">
    <w:name w:val="font121"/>
    <w:qFormat/>
    <w:uiPriority w:val="0"/>
    <w:rPr>
      <w:rFonts w:hint="eastAsia" w:ascii="宋体" w:hAnsi="宋体" w:eastAsia="宋体" w:cs="宋体"/>
      <w:b/>
      <w:color w:val="000000"/>
      <w:sz w:val="20"/>
      <w:szCs w:val="20"/>
      <w:u w:val="none"/>
    </w:rPr>
  </w:style>
  <w:style w:type="character" w:customStyle="1" w:styleId="80">
    <w:name w:val="font01"/>
    <w:qFormat/>
    <w:uiPriority w:val="0"/>
    <w:rPr>
      <w:rFonts w:hint="eastAsia" w:ascii="宋体" w:hAnsi="宋体" w:eastAsia="宋体" w:cs="宋体"/>
      <w:color w:val="000000"/>
      <w:sz w:val="20"/>
      <w:szCs w:val="20"/>
      <w:u w:val="none"/>
      <w:vertAlign w:val="superscript"/>
    </w:rPr>
  </w:style>
  <w:style w:type="character" w:customStyle="1" w:styleId="81">
    <w:name w:val="first-child"/>
    <w:qFormat/>
    <w:uiPriority w:val="0"/>
  </w:style>
  <w:style w:type="character" w:customStyle="1" w:styleId="82">
    <w:name w:val="current1"/>
    <w:qFormat/>
    <w:uiPriority w:val="0"/>
    <w:rPr>
      <w:color w:val="00C1DE"/>
    </w:rPr>
  </w:style>
  <w:style w:type="character" w:customStyle="1" w:styleId="83">
    <w:name w:val="zbggtop11 style5"/>
    <w:qFormat/>
    <w:uiPriority w:val="0"/>
  </w:style>
  <w:style w:type="character" w:customStyle="1" w:styleId="84">
    <w:name w:val="style1"/>
    <w:qFormat/>
    <w:uiPriority w:val="0"/>
  </w:style>
  <w:style w:type="character" w:customStyle="1" w:styleId="85">
    <w:name w:val="ant-tree-iconele"/>
    <w:qFormat/>
    <w:uiPriority w:val="0"/>
  </w:style>
  <w:style w:type="character" w:customStyle="1" w:styleId="86">
    <w:name w:val="content"/>
    <w:qFormat/>
    <w:uiPriority w:val="0"/>
  </w:style>
  <w:style w:type="character" w:customStyle="1" w:styleId="87">
    <w:name w:val="font51"/>
    <w:qFormat/>
    <w:uiPriority w:val="0"/>
    <w:rPr>
      <w:rFonts w:hint="eastAsia" w:ascii="宋体" w:hAnsi="宋体" w:eastAsia="宋体" w:cs="宋体"/>
      <w:color w:val="000000"/>
      <w:sz w:val="20"/>
      <w:szCs w:val="20"/>
      <w:u w:val="none"/>
    </w:rPr>
  </w:style>
  <w:style w:type="character" w:customStyle="1" w:styleId="88">
    <w:name w:val="列出段落 Char"/>
    <w:link w:val="89"/>
    <w:qFormat/>
    <w:uiPriority w:val="34"/>
    <w:rPr>
      <w:kern w:val="2"/>
      <w:sz w:val="21"/>
      <w:szCs w:val="24"/>
    </w:rPr>
  </w:style>
  <w:style w:type="paragraph" w:styleId="89">
    <w:name w:val="List Paragraph"/>
    <w:basedOn w:val="1"/>
    <w:link w:val="88"/>
    <w:qFormat/>
    <w:uiPriority w:val="34"/>
    <w:pPr>
      <w:ind w:firstLine="420" w:firstLineChars="200"/>
    </w:pPr>
    <w:rPr>
      <w:rFonts w:ascii="Times New Roman" w:hAnsi="Times New Roman"/>
    </w:rPr>
  </w:style>
  <w:style w:type="character" w:customStyle="1" w:styleId="90">
    <w:name w:val="ant-select-tree-iconele"/>
    <w:qFormat/>
    <w:uiPriority w:val="0"/>
  </w:style>
  <w:style w:type="character" w:customStyle="1" w:styleId="91">
    <w:name w:val="bookmark-item uuid-1588129097073 code-23007 addword single-line-text-input-box-cls readonly"/>
    <w:qFormat/>
    <w:uiPriority w:val="0"/>
  </w:style>
  <w:style w:type="character" w:customStyle="1" w:styleId="92">
    <w:name w:val="ant-badge-status-dot2"/>
    <w:qFormat/>
    <w:uiPriority w:val="0"/>
    <w:rPr>
      <w:shd w:val="clear" w:color="auto" w:fill="FFFFFF"/>
    </w:rPr>
  </w:style>
  <w:style w:type="character" w:customStyle="1" w:styleId="93">
    <w:name w:val="change-camera-place"/>
    <w:qFormat/>
    <w:uiPriority w:val="0"/>
    <w:rPr>
      <w:color w:val="3177FD"/>
    </w:rPr>
  </w:style>
  <w:style w:type="character" w:customStyle="1" w:styleId="94">
    <w:name w:val="last-child1"/>
    <w:qFormat/>
    <w:uiPriority w:val="0"/>
  </w:style>
  <w:style w:type="character" w:customStyle="1" w:styleId="95">
    <w:name w:val="first-child9"/>
    <w:qFormat/>
    <w:uiPriority w:val="0"/>
  </w:style>
  <w:style w:type="character" w:customStyle="1" w:styleId="96">
    <w:name w:val="all-fit-info2"/>
    <w:qFormat/>
    <w:uiPriority w:val="0"/>
    <w:rPr>
      <w:color w:val="939393"/>
    </w:rPr>
  </w:style>
  <w:style w:type="character" w:customStyle="1" w:styleId="97">
    <w:name w:val="ant-tree-switcher"/>
    <w:qFormat/>
    <w:uiPriority w:val="0"/>
  </w:style>
  <w:style w:type="character" w:customStyle="1" w:styleId="98">
    <w:name w:val="temp2"/>
    <w:qFormat/>
    <w:uiPriority w:val="0"/>
  </w:style>
  <w:style w:type="character" w:customStyle="1" w:styleId="99">
    <w:name w:val="tpc_content1"/>
    <w:qFormat/>
    <w:uiPriority w:val="0"/>
    <w:rPr>
      <w:sz w:val="20"/>
      <w:szCs w:val="20"/>
    </w:rPr>
  </w:style>
  <w:style w:type="character" w:customStyle="1" w:styleId="100">
    <w:name w:val="font81"/>
    <w:basedOn w:val="47"/>
    <w:qFormat/>
    <w:uiPriority w:val="0"/>
    <w:rPr>
      <w:rFonts w:hint="eastAsia" w:ascii="宋体" w:hAnsi="宋体" w:eastAsia="宋体" w:cs="宋体"/>
      <w:color w:val="FF0000"/>
      <w:sz w:val="24"/>
      <w:szCs w:val="24"/>
      <w:u w:val="none"/>
    </w:rPr>
  </w:style>
  <w:style w:type="character" w:customStyle="1" w:styleId="101">
    <w:name w:val="tag-type1"/>
    <w:qFormat/>
    <w:uiPriority w:val="0"/>
    <w:rPr>
      <w:color w:val="FFFFFF"/>
      <w:sz w:val="18"/>
      <w:szCs w:val="18"/>
      <w:shd w:val="clear" w:color="auto" w:fill="317FFD"/>
    </w:rPr>
  </w:style>
  <w:style w:type="character" w:customStyle="1" w:styleId="102">
    <w:name w:val="font21"/>
    <w:qFormat/>
    <w:uiPriority w:val="0"/>
    <w:rPr>
      <w:rFonts w:hint="default" w:ascii="Arial" w:hAnsi="Arial" w:cs="Arial"/>
      <w:color w:val="000000"/>
      <w:sz w:val="21"/>
      <w:szCs w:val="21"/>
      <w:u w:val="none"/>
    </w:rPr>
  </w:style>
  <w:style w:type="character" w:customStyle="1" w:styleId="103">
    <w:name w:val="last-child2"/>
    <w:qFormat/>
    <w:uiPriority w:val="0"/>
  </w:style>
  <w:style w:type="character" w:customStyle="1" w:styleId="104">
    <w:name w:val="info-content"/>
    <w:qFormat/>
    <w:uiPriority w:val="0"/>
    <w:rPr>
      <w:color w:val="808080"/>
    </w:rPr>
  </w:style>
  <w:style w:type="character" w:customStyle="1" w:styleId="105">
    <w:name w:val="Char Char"/>
    <w:qFormat/>
    <w:uiPriority w:val="0"/>
    <w:rPr>
      <w:rFonts w:ascii="Courier New" w:eastAsia="Courier New"/>
      <w:color w:val="FF0000"/>
      <w:kern w:val="2"/>
      <w:sz w:val="24"/>
      <w:szCs w:val="24"/>
      <w:u w:val="single"/>
      <w:lang w:val="en-US" w:eastAsia="zh-CN" w:bidi="ar-SA"/>
    </w:rPr>
  </w:style>
  <w:style w:type="character" w:customStyle="1" w:styleId="106">
    <w:name w:val="ant-tree-checkbox2"/>
    <w:qFormat/>
    <w:uiPriority w:val="0"/>
  </w:style>
  <w:style w:type="character" w:customStyle="1" w:styleId="107">
    <w:name w:val="label2"/>
    <w:qFormat/>
    <w:uiPriority w:val="0"/>
  </w:style>
  <w:style w:type="character" w:customStyle="1" w:styleId="108">
    <w:name w:val="标准文本 Char"/>
    <w:link w:val="109"/>
    <w:qFormat/>
    <w:uiPriority w:val="0"/>
    <w:rPr>
      <w:rFonts w:eastAsia="宋体" w:cs="宋体"/>
      <w:kern w:val="2"/>
      <w:sz w:val="24"/>
      <w:lang w:val="en-US" w:eastAsia="zh-CN" w:bidi="ar-SA"/>
    </w:rPr>
  </w:style>
  <w:style w:type="paragraph" w:customStyle="1" w:styleId="109">
    <w:name w:val="标准文本"/>
    <w:basedOn w:val="1"/>
    <w:link w:val="108"/>
    <w:qFormat/>
    <w:uiPriority w:val="0"/>
    <w:pPr>
      <w:spacing w:line="360" w:lineRule="auto"/>
      <w:ind w:firstLine="480" w:firstLineChars="200"/>
    </w:pPr>
    <w:rPr>
      <w:rFonts w:ascii="Times New Roman" w:hAnsi="Times New Roman" w:cs="宋体"/>
      <w:sz w:val="24"/>
      <w:szCs w:val="20"/>
    </w:rPr>
  </w:style>
  <w:style w:type="character" w:customStyle="1" w:styleId="110">
    <w:name w:val="正文2 Char"/>
    <w:link w:val="111"/>
    <w:qFormat/>
    <w:uiPriority w:val="0"/>
    <w:rPr>
      <w:rFonts w:eastAsia="宋体"/>
      <w:kern w:val="2"/>
      <w:sz w:val="24"/>
      <w:lang w:val="en-US" w:eastAsia="zh-CN" w:bidi="ar-SA"/>
    </w:rPr>
  </w:style>
  <w:style w:type="paragraph" w:customStyle="1" w:styleId="111">
    <w:name w:val="正文2"/>
    <w:basedOn w:val="1"/>
    <w:link w:val="110"/>
    <w:qFormat/>
    <w:uiPriority w:val="0"/>
    <w:pPr>
      <w:spacing w:line="360" w:lineRule="auto"/>
      <w:ind w:firstLine="510" w:firstLineChars="200"/>
    </w:pPr>
    <w:rPr>
      <w:rFonts w:ascii="Times New Roman" w:hAnsi="Times New Roman"/>
      <w:sz w:val="24"/>
      <w:szCs w:val="20"/>
    </w:rPr>
  </w:style>
  <w:style w:type="character" w:customStyle="1" w:styleId="112">
    <w:name w:val="bulletintext1"/>
    <w:qFormat/>
    <w:uiPriority w:val="0"/>
    <w:rPr>
      <w:color w:val="000000"/>
      <w:sz w:val="18"/>
    </w:rPr>
  </w:style>
  <w:style w:type="character" w:customStyle="1" w:styleId="113">
    <w:name w:val="last-child"/>
    <w:qFormat/>
    <w:uiPriority w:val="0"/>
  </w:style>
  <w:style w:type="character" w:customStyle="1" w:styleId="114">
    <w:name w:val="font101"/>
    <w:qFormat/>
    <w:uiPriority w:val="0"/>
    <w:rPr>
      <w:rFonts w:ascii="Calibri" w:hAnsi="Calibri" w:cs="Calibri"/>
      <w:color w:val="000000"/>
      <w:sz w:val="20"/>
      <w:szCs w:val="20"/>
      <w:u w:val="none"/>
    </w:rPr>
  </w:style>
  <w:style w:type="character" w:customStyle="1" w:styleId="115">
    <w:name w:val="font61"/>
    <w:basedOn w:val="47"/>
    <w:qFormat/>
    <w:uiPriority w:val="0"/>
    <w:rPr>
      <w:rFonts w:hint="eastAsia" w:ascii="宋体" w:hAnsi="宋体" w:eastAsia="宋体" w:cs="宋体"/>
      <w:color w:val="161616"/>
      <w:sz w:val="20"/>
      <w:szCs w:val="20"/>
      <w:u w:val="none"/>
    </w:rPr>
  </w:style>
  <w:style w:type="character" w:customStyle="1" w:styleId="116">
    <w:name w:val="all-fit-info"/>
    <w:qFormat/>
    <w:uiPriority w:val="0"/>
    <w:rPr>
      <w:color w:val="939393"/>
    </w:rPr>
  </w:style>
  <w:style w:type="character" w:customStyle="1" w:styleId="117">
    <w:name w:val="ant-tree-checkbox"/>
    <w:qFormat/>
    <w:uiPriority w:val="0"/>
  </w:style>
  <w:style w:type="character" w:customStyle="1" w:styleId="118">
    <w:name w:val="ant-badge-status-dot"/>
    <w:qFormat/>
    <w:uiPriority w:val="0"/>
    <w:rPr>
      <w:shd w:val="clear" w:color="auto" w:fill="FFFFFF"/>
    </w:rPr>
  </w:style>
  <w:style w:type="character" w:customStyle="1" w:styleId="119">
    <w:name w:val="bookmark-item uuid-1591619842642 code-23011 addword date-time-selection-cls"/>
    <w:qFormat/>
    <w:uiPriority w:val="0"/>
  </w:style>
  <w:style w:type="character" w:customStyle="1" w:styleId="120">
    <w:name w:val="content8"/>
    <w:qFormat/>
    <w:uiPriority w:val="0"/>
  </w:style>
  <w:style w:type="character" w:customStyle="1" w:styleId="121">
    <w:name w:val="info-label"/>
    <w:qFormat/>
    <w:uiPriority w:val="0"/>
    <w:rPr>
      <w:b/>
    </w:rPr>
  </w:style>
  <w:style w:type="character" w:customStyle="1" w:styleId="122">
    <w:name w:val="ant-select-tree-checkbox2"/>
    <w:qFormat/>
    <w:uiPriority w:val="0"/>
  </w:style>
  <w:style w:type="character" w:customStyle="1" w:styleId="123">
    <w:name w:val="temp"/>
    <w:qFormat/>
    <w:uiPriority w:val="0"/>
  </w:style>
  <w:style w:type="character" w:customStyle="1" w:styleId="124">
    <w:name w:val="label"/>
    <w:qFormat/>
    <w:uiPriority w:val="0"/>
  </w:style>
  <w:style w:type="character" w:customStyle="1" w:styleId="125">
    <w:name w:val="ant-tree-icon_loading"/>
    <w:qFormat/>
    <w:uiPriority w:val="0"/>
    <w:rPr>
      <w:shd w:val="clear" w:color="auto" w:fill="FFFFFF"/>
    </w:rPr>
  </w:style>
  <w:style w:type="character" w:customStyle="1" w:styleId="126">
    <w:name w:val="last-child3"/>
    <w:qFormat/>
    <w:uiPriority w:val="0"/>
  </w:style>
  <w:style w:type="character" w:customStyle="1" w:styleId="127">
    <w:name w:val="font11"/>
    <w:qFormat/>
    <w:uiPriority w:val="0"/>
    <w:rPr>
      <w:rFonts w:hint="eastAsia" w:ascii="宋体" w:hAnsi="宋体" w:eastAsia="宋体" w:cs="宋体"/>
      <w:color w:val="000000"/>
      <w:sz w:val="21"/>
      <w:szCs w:val="21"/>
      <w:u w:val="none"/>
    </w:rPr>
  </w:style>
  <w:style w:type="character" w:customStyle="1" w:styleId="128">
    <w:name w:val="all-fit-info1"/>
    <w:qFormat/>
    <w:uiPriority w:val="0"/>
    <w:rPr>
      <w:color w:val="939393"/>
    </w:rPr>
  </w:style>
  <w:style w:type="paragraph" w:customStyle="1" w:styleId="129">
    <w:name w:val="[Normal]"/>
    <w:qFormat/>
    <w:uiPriority w:val="0"/>
    <w:rPr>
      <w:rFonts w:ascii="宋体" w:hAnsi="宋体" w:eastAsia="宋体" w:cs="Arial"/>
      <w:sz w:val="24"/>
      <w:szCs w:val="22"/>
      <w:lang w:val="zh-CN" w:eastAsia="zh-CN" w:bidi="ar-SA"/>
    </w:rPr>
  </w:style>
  <w:style w:type="paragraph" w:customStyle="1" w:styleId="130">
    <w:name w:val="font5"/>
    <w:basedOn w:val="1"/>
    <w:qFormat/>
    <w:uiPriority w:val="0"/>
    <w:pPr>
      <w:widowControl/>
      <w:spacing w:beforeAutospacing="1" w:afterAutospacing="1"/>
      <w:jc w:val="left"/>
    </w:pPr>
    <w:rPr>
      <w:rFonts w:ascii="Century Gothic" w:hAnsi="Century Gothic" w:cs="Century Gothic"/>
      <w:kern w:val="0"/>
      <w:sz w:val="18"/>
      <w:szCs w:val="18"/>
    </w:rPr>
  </w:style>
  <w:style w:type="paragraph" w:customStyle="1" w:styleId="131">
    <w:name w:val="样式5"/>
    <w:basedOn w:val="5"/>
    <w:qFormat/>
    <w:uiPriority w:val="0"/>
    <w:pPr>
      <w:keepLines/>
      <w:widowControl w:val="0"/>
      <w:spacing w:line="376" w:lineRule="auto"/>
    </w:pPr>
    <w:rPr>
      <w:rFonts w:ascii="Century Gothic" w:hAnsi="Century Gothic" w:eastAsia="Century Gothic"/>
      <w:b/>
      <w:bCs/>
      <w:snapToGrid/>
      <w:kern w:val="2"/>
      <w:sz w:val="32"/>
      <w:szCs w:val="32"/>
    </w:rPr>
  </w:style>
  <w:style w:type="paragraph" w:customStyle="1" w:styleId="132">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133">
    <w:name w:val="标书标题4"/>
    <w:basedOn w:val="5"/>
    <w:qFormat/>
    <w:uiPriority w:val="0"/>
    <w:pPr>
      <w:widowControl w:val="0"/>
      <w:adjustRightInd w:val="0"/>
      <w:snapToGrid w:val="0"/>
      <w:spacing w:line="300" w:lineRule="auto"/>
      <w:jc w:val="both"/>
    </w:pPr>
    <w:rPr>
      <w:rFonts w:ascii="_x000B__x000C_" w:hAnsi="_x000B__x000C_" w:eastAsia="Courier New"/>
      <w:b/>
      <w:snapToGrid/>
      <w:color w:val="000000"/>
      <w:sz w:val="28"/>
      <w:szCs w:val="32"/>
    </w:rPr>
  </w:style>
  <w:style w:type="paragraph" w:customStyle="1" w:styleId="134">
    <w:name w:val="xl34"/>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35">
    <w:name w:val="正文1"/>
    <w:basedOn w:val="2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36">
    <w:name w:val="章正文"/>
    <w:basedOn w:val="1"/>
    <w:qFormat/>
    <w:uiPriority w:val="0"/>
    <w:pPr>
      <w:spacing w:beforeLines="50" w:after="120" w:line="300" w:lineRule="auto"/>
      <w:ind w:firstLine="480" w:firstLineChars="200"/>
    </w:pPr>
    <w:rPr>
      <w:rFonts w:ascii="Helvetica" w:hAnsi="Helvetica"/>
      <w:kern w:val="0"/>
      <w:sz w:val="24"/>
    </w:rPr>
  </w:style>
  <w:style w:type="paragraph" w:customStyle="1" w:styleId="137">
    <w:name w:val="xl36"/>
    <w:basedOn w:val="1"/>
    <w:qFormat/>
    <w:uiPriority w:val="0"/>
    <w:pPr>
      <w:widowControl/>
      <w:pBdr>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38">
    <w:name w:val="xl29"/>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3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font6"/>
    <w:basedOn w:val="1"/>
    <w:qFormat/>
    <w:uiPriority w:val="0"/>
    <w:pPr>
      <w:widowControl/>
      <w:spacing w:beforeAutospacing="1" w:afterAutospacing="1"/>
      <w:jc w:val="left"/>
    </w:pPr>
    <w:rPr>
      <w:kern w:val="0"/>
      <w:sz w:val="18"/>
      <w:szCs w:val="18"/>
    </w:rPr>
  </w:style>
  <w:style w:type="paragraph" w:customStyle="1" w:styleId="14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kern w:val="0"/>
      <w:sz w:val="20"/>
      <w:szCs w:val="20"/>
    </w:rPr>
  </w:style>
  <w:style w:type="paragraph" w:customStyle="1" w:styleId="142">
    <w:name w:val="列出段落1"/>
    <w:basedOn w:val="1"/>
    <w:qFormat/>
    <w:uiPriority w:val="0"/>
    <w:pPr>
      <w:ind w:firstLine="420" w:firstLineChars="200"/>
    </w:pPr>
    <w:rPr>
      <w:rFonts w:ascii="等线" w:hAnsi="等线"/>
      <w:szCs w:val="21"/>
    </w:rPr>
  </w:style>
  <w:style w:type="paragraph" w:customStyle="1" w:styleId="143">
    <w:name w:val="xl27"/>
    <w:basedOn w:val="1"/>
    <w:qFormat/>
    <w:uiPriority w:val="0"/>
    <w:pPr>
      <w:widowControl/>
      <w:pBdr>
        <w:bottom w:val="single" w:color="auto" w:sz="4" w:space="0"/>
      </w:pBdr>
      <w:spacing w:beforeAutospacing="1" w:afterAutospacing="1"/>
      <w:jc w:val="center"/>
      <w:textAlignment w:val="center"/>
    </w:pPr>
    <w:rPr>
      <w:rFonts w:ascii="Arial Narrow" w:hAnsi="Century Gothic" w:eastAsia="Arial Narrow" w:cs="Century Gothic"/>
      <w:kern w:val="0"/>
      <w:sz w:val="36"/>
      <w:szCs w:val="36"/>
    </w:rPr>
  </w:style>
  <w:style w:type="paragraph" w:customStyle="1" w:styleId="144">
    <w:name w:val="正文缩进1"/>
    <w:basedOn w:val="1"/>
    <w:next w:val="1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45">
    <w:name w:val="BodyText1I"/>
    <w:basedOn w:val="146"/>
    <w:qFormat/>
    <w:uiPriority w:val="0"/>
    <w:pPr>
      <w:spacing w:after="120"/>
      <w:ind w:firstLine="420" w:firstLineChars="100"/>
    </w:pPr>
  </w:style>
  <w:style w:type="paragraph" w:customStyle="1" w:styleId="146">
    <w:name w:val="BodyText"/>
    <w:basedOn w:val="1"/>
    <w:next w:val="145"/>
    <w:qFormat/>
    <w:uiPriority w:val="0"/>
    <w:rPr>
      <w:sz w:val="20"/>
    </w:rPr>
  </w:style>
  <w:style w:type="paragraph" w:customStyle="1" w:styleId="147">
    <w:name w:val="索引 11"/>
    <w:basedOn w:val="1"/>
    <w:next w:val="1"/>
    <w:qFormat/>
    <w:uiPriority w:val="99"/>
    <w:pPr>
      <w:spacing w:line="360" w:lineRule="auto"/>
    </w:pPr>
    <w:rPr>
      <w:rFonts w:ascii="仿宋_GB2312" w:eastAsia="仿宋_GB2312"/>
      <w:sz w:val="24"/>
      <w:szCs w:val="20"/>
    </w:rPr>
  </w:style>
  <w:style w:type="paragraph" w:customStyle="1" w:styleId="148">
    <w:name w:val="Char Char Char Char Char"/>
    <w:basedOn w:val="1"/>
    <w:qFormat/>
    <w:uiPriority w:val="0"/>
    <w:pPr>
      <w:widowControl/>
      <w:spacing w:line="240" w:lineRule="exact"/>
      <w:jc w:val="left"/>
    </w:pPr>
    <w:rPr>
      <w:rFonts w:ascii="Verdana" w:hAnsi="Verdana" w:eastAsia="华文细黑"/>
    </w:rPr>
  </w:style>
  <w:style w:type="paragraph" w:customStyle="1" w:styleId="149">
    <w:name w:val="无间距1"/>
    <w:qFormat/>
    <w:uiPriority w:val="0"/>
    <w:rPr>
      <w:rFonts w:ascii="Times New Roman" w:hAnsi="Times New Roman" w:eastAsia="??" w:cs="宋体"/>
      <w:sz w:val="22"/>
      <w:szCs w:val="22"/>
      <w:lang w:val="en-US" w:eastAsia="en-US" w:bidi="ar-SA"/>
    </w:rPr>
  </w:style>
  <w:style w:type="paragraph" w:customStyle="1" w:styleId="150">
    <w:name w:val="x正文"/>
    <w:basedOn w:val="1"/>
    <w:qFormat/>
    <w:uiPriority w:val="0"/>
    <w:pPr>
      <w:spacing w:line="360" w:lineRule="auto"/>
      <w:ind w:left="482" w:firstLine="480" w:firstLineChars="200"/>
    </w:pPr>
    <w:rPr>
      <w:rFonts w:ascii="宋体" w:hAnsi="宋体"/>
      <w:color w:val="000000"/>
      <w:sz w:val="24"/>
      <w:szCs w:val="22"/>
    </w:rPr>
  </w:style>
  <w:style w:type="paragraph" w:customStyle="1" w:styleId="151">
    <w:name w:val="xl2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5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方案三级标题"/>
    <w:basedOn w:val="2"/>
    <w:qFormat/>
    <w:uiPriority w:val="0"/>
    <w:pPr>
      <w:spacing w:before="120" w:after="120" w:line="300" w:lineRule="auto"/>
    </w:pPr>
    <w:rPr>
      <w:rFonts w:ascii="宋体" w:hAnsi="宋体" w:eastAsia="宋体"/>
      <w:sz w:val="30"/>
    </w:rPr>
  </w:style>
  <w:style w:type="paragraph" w:customStyle="1" w:styleId="154">
    <w:name w:val="标书标题2"/>
    <w:basedOn w:val="2"/>
    <w:qFormat/>
    <w:uiPriority w:val="0"/>
    <w:pPr>
      <w:keepLines w:val="0"/>
      <w:widowControl/>
      <w:tabs>
        <w:tab w:val="left" w:pos="1320"/>
      </w:tabs>
      <w:snapToGrid w:val="0"/>
      <w:spacing w:beforeLines="50" w:line="300" w:lineRule="auto"/>
      <w:ind w:left="1320" w:hanging="420"/>
      <w:jc w:val="both"/>
    </w:pPr>
    <w:rPr>
      <w:rFonts w:ascii="_x000B__x000C_" w:hAnsi="_x000B__x000C_" w:eastAsia="Courier New"/>
      <w:color w:val="000000"/>
      <w:kern w:val="0"/>
      <w:sz w:val="28"/>
      <w:szCs w:val="20"/>
    </w:rPr>
  </w:style>
  <w:style w:type="paragraph" w:customStyle="1" w:styleId="155">
    <w:name w:val="xl22"/>
    <w:basedOn w:val="1"/>
    <w:qFormat/>
    <w:uiPriority w:val="0"/>
    <w:pPr>
      <w:widowControl/>
      <w:pBdr>
        <w:left w:val="single" w:color="auto" w:sz="4" w:space="0"/>
        <w:bottom w:val="single" w:color="auto" w:sz="4" w:space="0"/>
        <w:right w:val="single" w:color="auto" w:sz="4" w:space="0"/>
      </w:pBdr>
      <w:spacing w:beforeAutospacing="1" w:afterAutospacing="1"/>
      <w:jc w:val="center"/>
    </w:pPr>
    <w:rPr>
      <w:rFonts w:hint="eastAsia" w:ascii="Arial Unicode MS" w:hAnsi="Arial Unicode MS" w:eastAsia="Arial Unicode MS"/>
      <w:kern w:val="0"/>
      <w:sz w:val="24"/>
      <w:szCs w:val="20"/>
    </w:rPr>
  </w:style>
  <w:style w:type="paragraph" w:customStyle="1" w:styleId="156">
    <w:name w:val="正文（缩进）"/>
    <w:basedOn w:val="1"/>
    <w:qFormat/>
    <w:uiPriority w:val="0"/>
    <w:pPr>
      <w:spacing w:before="156" w:after="156"/>
      <w:ind w:firstLine="480"/>
    </w:pPr>
    <w:rPr>
      <w:rFonts w:ascii="Times New Roman" w:hAnsi="Times New Roman"/>
    </w:rPr>
  </w:style>
  <w:style w:type="paragraph" w:customStyle="1" w:styleId="157">
    <w:name w:val="Body Text Indent1"/>
    <w:basedOn w:val="1"/>
    <w:qFormat/>
    <w:uiPriority w:val="0"/>
    <w:pPr>
      <w:spacing w:line="200" w:lineRule="exact"/>
      <w:ind w:firstLine="301"/>
    </w:pPr>
    <w:rPr>
      <w:rFonts w:ascii="宋体" w:hAnsi="Courier New"/>
      <w:spacing w:val="-4"/>
      <w:sz w:val="18"/>
    </w:rPr>
  </w:style>
  <w:style w:type="paragraph" w:customStyle="1" w:styleId="158">
    <w:name w:val="title11"/>
    <w:basedOn w:val="1"/>
    <w:qFormat/>
    <w:uiPriority w:val="0"/>
    <w:pPr>
      <w:spacing w:before="150"/>
      <w:jc w:val="left"/>
    </w:pPr>
    <w:rPr>
      <w:b/>
      <w:kern w:val="0"/>
    </w:rPr>
  </w:style>
  <w:style w:type="paragraph" w:customStyle="1" w:styleId="159">
    <w:name w:val="Char Char Char Char"/>
    <w:basedOn w:val="1"/>
    <w:qFormat/>
    <w:uiPriority w:val="0"/>
    <w:rPr>
      <w:szCs w:val="20"/>
    </w:rPr>
  </w:style>
  <w:style w:type="paragraph" w:customStyle="1" w:styleId="160">
    <w:name w:val="_Style 158"/>
    <w:unhideWhenUsed/>
    <w:qFormat/>
    <w:uiPriority w:val="99"/>
    <w:rPr>
      <w:rFonts w:ascii="Times New Roman" w:hAnsi="Times New Roman" w:eastAsia="宋体" w:cs="Times New Roman"/>
      <w:kern w:val="2"/>
      <w:sz w:val="21"/>
      <w:szCs w:val="24"/>
      <w:lang w:val="en-US" w:eastAsia="zh-CN" w:bidi="ar-SA"/>
    </w:rPr>
  </w:style>
  <w:style w:type="paragraph" w:customStyle="1" w:styleId="161">
    <w:name w:val="纯文本1"/>
    <w:basedOn w:val="1"/>
    <w:qFormat/>
    <w:uiPriority w:val="0"/>
    <w:rPr>
      <w:rFonts w:ascii="宋体" w:hAnsi="Courier New"/>
      <w:kern w:val="0"/>
      <w:sz w:val="20"/>
      <w:szCs w:val="20"/>
    </w:rPr>
  </w:style>
  <w:style w:type="paragraph" w:customStyle="1" w:styleId="162">
    <w:name w:val="xl38"/>
    <w:basedOn w:val="1"/>
    <w:qFormat/>
    <w:uiPriority w:val="0"/>
    <w:pPr>
      <w:widowControl/>
      <w:spacing w:beforeAutospacing="1" w:afterAutospacing="1"/>
      <w:jc w:val="left"/>
    </w:pPr>
    <w:rPr>
      <w:rFonts w:ascii="Century Gothic" w:hAnsi="Century Gothic" w:cs="Century Gothic"/>
      <w:kern w:val="0"/>
      <w:sz w:val="18"/>
      <w:szCs w:val="18"/>
    </w:rPr>
  </w:style>
  <w:style w:type="paragraph" w:customStyle="1" w:styleId="163">
    <w:name w:val="Table Paragraph"/>
    <w:basedOn w:val="1"/>
    <w:qFormat/>
    <w:uiPriority w:val="1"/>
    <w:pPr>
      <w:autoSpaceDE w:val="0"/>
      <w:autoSpaceDN w:val="0"/>
      <w:adjustRightInd w:val="0"/>
      <w:jc w:val="left"/>
    </w:pPr>
    <w:rPr>
      <w:rFonts w:ascii="宋体" w:hAnsi="Times New Roman" w:cs="宋体"/>
      <w:kern w:val="0"/>
      <w:sz w:val="24"/>
    </w:rPr>
  </w:style>
  <w:style w:type="paragraph" w:customStyle="1" w:styleId="164">
    <w:name w:val="标书标题3"/>
    <w:basedOn w:val="4"/>
    <w:qFormat/>
    <w:uiPriority w:val="0"/>
    <w:pPr>
      <w:keepLines w:val="0"/>
      <w:widowControl/>
      <w:adjustRightInd w:val="0"/>
      <w:snapToGrid w:val="0"/>
      <w:spacing w:line="300" w:lineRule="auto"/>
      <w:jc w:val="left"/>
    </w:pPr>
    <w:rPr>
      <w:rFonts w:ascii="_x000B__x000C_" w:hAnsi="_x000B__x000C_" w:eastAsia="Courier New"/>
      <w:b w:val="0"/>
      <w:bCs w:val="0"/>
      <w:color w:val="000000"/>
      <w:kern w:val="0"/>
      <w:sz w:val="28"/>
    </w:rPr>
  </w:style>
  <w:style w:type="paragraph" w:customStyle="1" w:styleId="165">
    <w:name w:val="xl33"/>
    <w:basedOn w:val="1"/>
    <w:qFormat/>
    <w:uiPriority w:val="0"/>
    <w:pPr>
      <w:widowControl/>
      <w:pBdr>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66">
    <w:name w:val="p0"/>
    <w:basedOn w:val="1"/>
    <w:unhideWhenUsed/>
    <w:qFormat/>
    <w:uiPriority w:val="0"/>
    <w:pPr>
      <w:widowControl/>
    </w:pPr>
    <w:rPr>
      <w:rFonts w:hint="eastAsia"/>
    </w:rPr>
  </w:style>
  <w:style w:type="paragraph" w:customStyle="1" w:styleId="167">
    <w:name w:val="正文段"/>
    <w:basedOn w:val="1"/>
    <w:qFormat/>
    <w:uiPriority w:val="0"/>
    <w:pPr>
      <w:widowControl/>
      <w:snapToGrid w:val="0"/>
      <w:spacing w:afterLines="50"/>
      <w:ind w:firstLine="200" w:firstLineChars="200"/>
    </w:pPr>
    <w:rPr>
      <w:kern w:val="0"/>
      <w:sz w:val="24"/>
      <w:szCs w:val="20"/>
    </w:rPr>
  </w:style>
  <w:style w:type="paragraph" w:customStyle="1" w:styleId="168">
    <w:name w:val="节"/>
    <w:basedOn w:val="2"/>
    <w:qFormat/>
    <w:uiPriority w:val="0"/>
    <w:pPr>
      <w:adjustRightInd/>
      <w:spacing w:line="720" w:lineRule="exact"/>
      <w:jc w:val="center"/>
    </w:pPr>
    <w:rPr>
      <w:rFonts w:ascii="Arial" w:hAnsi="Arial"/>
      <w:b w:val="0"/>
      <w:color w:val="000000"/>
      <w:spacing w:val="14"/>
      <w:kern w:val="24"/>
      <w:sz w:val="28"/>
      <w:szCs w:val="20"/>
    </w:rPr>
  </w:style>
  <w:style w:type="paragraph" w:customStyle="1" w:styleId="169">
    <w:name w:val="正文文字"/>
    <w:basedOn w:val="1"/>
    <w:qFormat/>
    <w:uiPriority w:val="0"/>
    <w:pPr>
      <w:widowControl/>
      <w:spacing w:line="952" w:lineRule="atLeast"/>
      <w:ind w:firstLine="419"/>
    </w:pPr>
    <w:rPr>
      <w:b/>
      <w:color w:val="000000"/>
      <w:sz w:val="44"/>
      <w:szCs w:val="20"/>
    </w:rPr>
  </w:style>
  <w:style w:type="paragraph" w:customStyle="1" w:styleId="170">
    <w:name w:val="表头"/>
    <w:basedOn w:val="1"/>
    <w:qFormat/>
    <w:uiPriority w:val="0"/>
    <w:pPr>
      <w:adjustRightInd w:val="0"/>
      <w:spacing w:before="60" w:after="60" w:line="420" w:lineRule="atLeast"/>
      <w:jc w:val="left"/>
      <w:textAlignment w:val="baseline"/>
    </w:pPr>
    <w:rPr>
      <w:rFonts w:ascii="黑体" w:hAnsi="Times New Roman" w:eastAsia="黑体"/>
      <w:b/>
      <w:kern w:val="0"/>
      <w:szCs w:val="20"/>
    </w:rPr>
  </w:style>
  <w:style w:type="paragraph" w:customStyle="1" w:styleId="171">
    <w:name w:val="Char3 Char Char Char"/>
    <w:basedOn w:val="1"/>
    <w:qFormat/>
    <w:uiPriority w:val="0"/>
    <w:pPr>
      <w:widowControl/>
      <w:spacing w:line="240" w:lineRule="exact"/>
      <w:jc w:val="left"/>
    </w:pPr>
    <w:rPr>
      <w:szCs w:val="20"/>
    </w:rPr>
  </w:style>
  <w:style w:type="paragraph" w:customStyle="1" w:styleId="17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73">
    <w:name w:val="xl2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kern w:val="0"/>
      <w:sz w:val="24"/>
    </w:rPr>
  </w:style>
  <w:style w:type="paragraph" w:customStyle="1" w:styleId="174">
    <w:name w:val="小节"/>
    <w:basedOn w:val="4"/>
    <w:qFormat/>
    <w:uiPriority w:val="0"/>
    <w:pPr>
      <w:spacing w:line="560" w:lineRule="exact"/>
      <w:jc w:val="left"/>
    </w:pPr>
    <w:rPr>
      <w:rFonts w:ascii="Century Gothic" w:hAnsi="Century Gothic"/>
      <w:bCs w:val="0"/>
      <w:color w:val="000000"/>
      <w:spacing w:val="10"/>
      <w:kern w:val="24"/>
      <w:sz w:val="28"/>
    </w:rPr>
  </w:style>
  <w:style w:type="paragraph" w:customStyle="1" w:styleId="175">
    <w:name w:val="Heading1"/>
    <w:basedOn w:val="1"/>
    <w:next w:val="1"/>
    <w:qFormat/>
    <w:uiPriority w:val="0"/>
    <w:pPr>
      <w:keepNext/>
      <w:widowControl/>
      <w:spacing w:line="360" w:lineRule="auto"/>
      <w:jc w:val="center"/>
      <w:textAlignment w:val="baseline"/>
    </w:pPr>
    <w:rPr>
      <w:rFonts w:ascii="??" w:hAnsi="??" w:eastAsia="??"/>
      <w:b/>
      <w:kern w:val="36"/>
      <w:sz w:val="32"/>
      <w:szCs w:val="28"/>
    </w:rPr>
  </w:style>
  <w:style w:type="paragraph" w:customStyle="1" w:styleId="176">
    <w:name w:val="1正文"/>
    <w:basedOn w:val="1"/>
    <w:qFormat/>
    <w:uiPriority w:val="0"/>
    <w:rPr>
      <w:rFonts w:ascii="仿宋_GB2312" w:hAnsi="仿宋_GB2312"/>
      <w:szCs w:val="28"/>
    </w:rPr>
  </w:style>
  <w:style w:type="paragraph" w:customStyle="1" w:styleId="177">
    <w:name w:val="xl37"/>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78">
    <w:name w:val="Char1"/>
    <w:basedOn w:val="1"/>
    <w:qFormat/>
    <w:uiPriority w:val="0"/>
    <w:pPr>
      <w:widowControl/>
      <w:spacing w:line="240" w:lineRule="exact"/>
      <w:jc w:val="left"/>
    </w:pPr>
    <w:rPr>
      <w:szCs w:val="20"/>
    </w:rPr>
  </w:style>
  <w:style w:type="paragraph" w:customStyle="1" w:styleId="179">
    <w:name w:val="Char"/>
    <w:basedOn w:val="1"/>
    <w:qFormat/>
    <w:uiPriority w:val="0"/>
  </w:style>
  <w:style w:type="paragraph" w:customStyle="1" w:styleId="180">
    <w:name w:val="正文文字格式"/>
    <w:basedOn w:val="1"/>
    <w:qFormat/>
    <w:uiPriority w:val="0"/>
    <w:pPr>
      <w:spacing w:line="460" w:lineRule="exact"/>
      <w:ind w:firstLine="505"/>
      <w:jc w:val="left"/>
    </w:pPr>
    <w:rPr>
      <w:rFonts w:ascii="Century Gothic"/>
      <w:kern w:val="24"/>
      <w:sz w:val="24"/>
      <w:szCs w:val="20"/>
    </w:rPr>
  </w:style>
  <w:style w:type="paragraph" w:customStyle="1" w:styleId="181">
    <w:name w:val="Char Char11 Char Char Char Char Char Char Char Char Char Char Char"/>
    <w:basedOn w:val="1"/>
    <w:qFormat/>
    <w:uiPriority w:val="0"/>
    <w:pPr>
      <w:spacing w:line="360" w:lineRule="auto"/>
    </w:pPr>
    <w:rPr>
      <w:rFonts w:eastAsia="黑体"/>
      <w:snapToGrid w:val="0"/>
      <w:kern w:val="0"/>
      <w:szCs w:val="21"/>
    </w:rPr>
  </w:style>
  <w:style w:type="paragraph" w:customStyle="1" w:styleId="182">
    <w:name w:val="纯文本2"/>
    <w:basedOn w:val="135"/>
    <w:qFormat/>
    <w:uiPriority w:val="0"/>
    <w:pPr>
      <w:widowControl/>
      <w:jc w:val="left"/>
    </w:pPr>
    <w:rPr>
      <w:rFonts w:ascii="宋体" w:hAnsi="Courier New"/>
    </w:rPr>
  </w:style>
  <w:style w:type="paragraph" w:customStyle="1" w:styleId="183">
    <w:name w:val="Heading2"/>
    <w:basedOn w:val="175"/>
    <w:next w:val="1"/>
    <w:qFormat/>
    <w:uiPriority w:val="0"/>
    <w:pPr>
      <w:keepLines/>
      <w:tabs>
        <w:tab w:val="left" w:pos="706"/>
        <w:tab w:val="left" w:pos="1110"/>
      </w:tabs>
      <w:ind w:left="106" w:firstLine="454"/>
    </w:pPr>
    <w:rPr>
      <w:rFonts w:ascii="Arial" w:hAnsi="Arial" w:cs="Arial"/>
      <w:bCs/>
      <w:szCs w:val="32"/>
    </w:rPr>
  </w:style>
  <w:style w:type="paragraph" w:customStyle="1" w:styleId="184">
    <w:name w:val="样式 标题 1 + 四号 加粗"/>
    <w:basedOn w:val="3"/>
    <w:qFormat/>
    <w:uiPriority w:val="0"/>
    <w:rPr>
      <w:rFonts w:eastAsia="黑体"/>
    </w:rPr>
  </w:style>
  <w:style w:type="paragraph" w:customStyle="1" w:styleId="185">
    <w:name w:val="xl30"/>
    <w:basedOn w:val="1"/>
    <w:qFormat/>
    <w:uiPriority w:val="0"/>
    <w:pPr>
      <w:widowControl/>
      <w:pBdr>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86">
    <w:name w:val="DAS正文"/>
    <w:basedOn w:val="1"/>
    <w:qFormat/>
    <w:uiPriority w:val="0"/>
    <w:pPr>
      <w:spacing w:line="360" w:lineRule="auto"/>
      <w:ind w:right="181" w:firstLine="480" w:firstLineChars="200"/>
    </w:pPr>
    <w:rPr>
      <w:rFonts w:ascii="Verdana" w:hAnsi="Verdana"/>
      <w:sz w:val="24"/>
      <w:szCs w:val="20"/>
    </w:rPr>
  </w:style>
  <w:style w:type="paragraph" w:customStyle="1" w:styleId="18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88">
    <w:name w:val="xl2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89">
    <w:name w:val="xl2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9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1">
    <w:name w:val="List Paragraph1"/>
    <w:basedOn w:val="1"/>
    <w:qFormat/>
    <w:uiPriority w:val="0"/>
    <w:pPr>
      <w:ind w:firstLine="420" w:firstLineChars="200"/>
    </w:pPr>
  </w:style>
  <w:style w:type="paragraph" w:customStyle="1" w:styleId="192">
    <w:name w:val="纯文本_0_0"/>
    <w:basedOn w:val="139"/>
    <w:qFormat/>
    <w:uiPriority w:val="0"/>
    <w:rPr>
      <w:rFonts w:ascii="宋体" w:hAnsi="Courier New"/>
      <w:szCs w:val="21"/>
    </w:rPr>
  </w:style>
  <w:style w:type="paragraph" w:customStyle="1" w:styleId="193">
    <w:name w:val="p15"/>
    <w:basedOn w:val="1"/>
    <w:qFormat/>
    <w:uiPriority w:val="0"/>
    <w:pPr>
      <w:widowControl/>
      <w:ind w:firstLine="420"/>
    </w:pPr>
    <w:rPr>
      <w:rFonts w:cs="宋体"/>
      <w:kern w:val="0"/>
      <w:szCs w:val="21"/>
    </w:rPr>
  </w:style>
  <w:style w:type="paragraph" w:customStyle="1" w:styleId="194">
    <w:name w:val="xl35"/>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95">
    <w:name w:val="Blockquote"/>
    <w:basedOn w:val="1"/>
    <w:qFormat/>
    <w:uiPriority w:val="0"/>
    <w:pPr>
      <w:autoSpaceDE w:val="0"/>
      <w:autoSpaceDN w:val="0"/>
      <w:adjustRightInd w:val="0"/>
      <w:ind w:left="360" w:right="360"/>
      <w:jc w:val="left"/>
    </w:pPr>
    <w:rPr>
      <w:kern w:val="0"/>
      <w:sz w:val="24"/>
      <w:szCs w:val="20"/>
    </w:rPr>
  </w:style>
  <w:style w:type="paragraph" w:customStyle="1" w:styleId="196">
    <w:name w:val="正文文本 21"/>
    <w:basedOn w:val="1"/>
    <w:qFormat/>
    <w:uiPriority w:val="0"/>
    <w:pPr>
      <w:adjustRightInd w:val="0"/>
      <w:spacing w:line="300" w:lineRule="auto"/>
      <w:jc w:val="center"/>
    </w:pPr>
    <w:rPr>
      <w:rFonts w:hint="eastAsia" w:ascii="Century Gothic" w:hAnsi="Century Gothic"/>
      <w:sz w:val="24"/>
      <w:szCs w:val="20"/>
    </w:rPr>
  </w:style>
  <w:style w:type="paragraph" w:customStyle="1" w:styleId="197">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198">
    <w:name w:val="【正文】"/>
    <w:basedOn w:val="1"/>
    <w:qFormat/>
    <w:uiPriority w:val="0"/>
    <w:pPr>
      <w:ind w:firstLine="480"/>
    </w:pPr>
    <w:rPr>
      <w:rFonts w:cs="DokChampa"/>
      <w:szCs w:val="22"/>
    </w:rPr>
  </w:style>
  <w:style w:type="paragraph" w:customStyle="1" w:styleId="199">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0">
    <w:name w:val="font1"/>
    <w:basedOn w:val="1"/>
    <w:qFormat/>
    <w:uiPriority w:val="0"/>
    <w:pPr>
      <w:widowControl/>
      <w:spacing w:beforeAutospacing="1" w:afterAutospacing="1"/>
      <w:jc w:val="left"/>
    </w:pPr>
    <w:rPr>
      <w:rFonts w:ascii="Century Gothic" w:hAnsi="Century Gothic"/>
      <w:kern w:val="0"/>
      <w:sz w:val="24"/>
      <w:szCs w:val="20"/>
    </w:rPr>
  </w:style>
  <w:style w:type="paragraph" w:customStyle="1" w:styleId="201">
    <w:name w:val="xl32"/>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202">
    <w:name w:val="无间隔1"/>
    <w:qFormat/>
    <w:uiPriority w:val="0"/>
    <w:rPr>
      <w:rFonts w:ascii="Times New Roman" w:hAnsi="Times New Roman" w:eastAsia="宋体" w:cs="Times New Roman"/>
      <w:sz w:val="22"/>
      <w:szCs w:val="22"/>
      <w:lang w:val="en-US" w:eastAsia="en-US" w:bidi="ar-SA"/>
    </w:rPr>
  </w:style>
  <w:style w:type="paragraph" w:customStyle="1" w:styleId="203">
    <w:name w:val="正文不缩进"/>
    <w:basedOn w:val="1"/>
    <w:qFormat/>
    <w:uiPriority w:val="0"/>
    <w:pPr>
      <w:spacing w:before="240" w:after="240" w:line="360" w:lineRule="auto"/>
      <w:jc w:val="left"/>
    </w:pPr>
  </w:style>
  <w:style w:type="paragraph" w:customStyle="1" w:styleId="204">
    <w:name w:val="Body Text First Indent 21"/>
    <w:basedOn w:val="157"/>
    <w:qFormat/>
    <w:uiPriority w:val="0"/>
    <w:pPr>
      <w:spacing w:after="120" w:line="240" w:lineRule="auto"/>
      <w:ind w:left="420" w:leftChars="200" w:firstLine="420" w:firstLineChars="200"/>
    </w:pPr>
    <w:rPr>
      <w:sz w:val="21"/>
    </w:rPr>
  </w:style>
  <w:style w:type="paragraph" w:customStyle="1" w:styleId="205">
    <w:name w:val="样式1"/>
    <w:basedOn w:val="1"/>
    <w:qFormat/>
    <w:uiPriority w:val="0"/>
    <w:pPr>
      <w:spacing w:line="360" w:lineRule="exact"/>
      <w:ind w:firstLine="200" w:firstLineChars="200"/>
    </w:pPr>
    <w:rPr>
      <w:rFonts w:ascii="Arial" w:hAnsi="Arial"/>
    </w:rPr>
  </w:style>
  <w:style w:type="paragraph" w:customStyle="1" w:styleId="206">
    <w:name w:val="1"/>
    <w:basedOn w:val="1"/>
    <w:qFormat/>
    <w:uiPriority w:val="0"/>
    <w:pPr>
      <w:widowControl/>
      <w:spacing w:before="100" w:beforeAutospacing="1" w:after="100" w:afterAutospacing="1"/>
      <w:jc w:val="left"/>
    </w:pPr>
    <w:rPr>
      <w:rFonts w:ascii="宋体" w:hAnsi="宋体" w:cs="宋体"/>
      <w:kern w:val="0"/>
      <w:sz w:val="24"/>
    </w:rPr>
  </w:style>
  <w:style w:type="paragraph" w:customStyle="1" w:styleId="207">
    <w:name w:val="Char Char Char Char Char Char Char Char"/>
    <w:basedOn w:val="1"/>
    <w:qFormat/>
    <w:uiPriority w:val="0"/>
    <w:pPr>
      <w:tabs>
        <w:tab w:val="left" w:pos="360"/>
      </w:tabs>
    </w:pPr>
    <w:rPr>
      <w:szCs w:val="20"/>
    </w:rPr>
  </w:style>
  <w:style w:type="paragraph" w:customStyle="1" w:styleId="208">
    <w:name w:val="xl31"/>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209">
    <w:name w:val="Char2"/>
    <w:basedOn w:val="1"/>
    <w:qFormat/>
    <w:uiPriority w:val="0"/>
    <w:rPr>
      <w:rFonts w:ascii="Courier New" w:eastAsia="Courier New"/>
      <w:b/>
      <w:sz w:val="32"/>
      <w:szCs w:val="32"/>
    </w:rPr>
  </w:style>
  <w:style w:type="paragraph" w:customStyle="1" w:styleId="210">
    <w:name w:val="首行缩进"/>
    <w:basedOn w:val="1"/>
    <w:next w:val="17"/>
    <w:qFormat/>
    <w:uiPriority w:val="0"/>
    <w:pPr>
      <w:spacing w:line="360" w:lineRule="auto"/>
      <w:ind w:firstLine="480" w:firstLineChars="200"/>
    </w:pPr>
    <w:rPr>
      <w:rFonts w:ascii="宋体"/>
      <w:sz w:val="24"/>
      <w:szCs w:val="20"/>
    </w:rPr>
  </w:style>
  <w:style w:type="character" w:customStyle="1" w:styleId="211">
    <w:name w:val="font31"/>
    <w:basedOn w:val="47"/>
    <w:qFormat/>
    <w:uiPriority w:val="0"/>
    <w:rPr>
      <w:rFonts w:hint="default" w:ascii="仿宋_GB2312" w:eastAsia="仿宋_GB2312" w:cs="仿宋_GB2312"/>
      <w:color w:val="000000"/>
      <w:sz w:val="22"/>
      <w:szCs w:val="22"/>
      <w:u w:val="none"/>
    </w:rPr>
  </w:style>
  <w:style w:type="character" w:customStyle="1" w:styleId="212">
    <w:name w:val="font131"/>
    <w:basedOn w:val="4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85</Pages>
  <Words>41407</Words>
  <Characters>43284</Characters>
  <Lines>370</Lines>
  <Paragraphs>104</Paragraphs>
  <TotalTime>1</TotalTime>
  <ScaleCrop>false</ScaleCrop>
  <LinksUpToDate>false</LinksUpToDate>
  <CharactersWithSpaces>45607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2022-09-27T04:37:00Z</dcterms:created>
  <dc:creator>微软用户</dc:creator>
  <cp:lastModifiedBy>唐稳</cp:lastModifiedBy>
  <cp:lastPrinted>2021-08-06T06:33:00Z</cp:lastPrinted>
  <dcterms:modified xsi:type="dcterms:W3CDTF">2023-03-28T08:53:17Z</dcterms:modified>
  <dc:title>杭州下沙服务外包人才培训基地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9357AB1C0268459795E0B6AA608E3A63</vt:lpwstr>
  </property>
</Properties>
</file>