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Theme="minorEastAsia" w:hAnsiTheme="minorEastAsia" w:eastAsiaTheme="minorEastAsia" w:cstheme="minorEastAsia"/>
          <w:color w:val="auto"/>
          <w:w w:val="80"/>
          <w:sz w:val="52"/>
          <w:szCs w:val="52"/>
          <w:lang w:bidi="th-TH"/>
        </w:rPr>
      </w:pPr>
    </w:p>
    <w:p>
      <w:pPr>
        <w:pStyle w:val="15"/>
        <w:adjustRightInd w:val="0"/>
        <w:snapToGrid w:val="0"/>
        <w:spacing w:line="360" w:lineRule="auto"/>
        <w:ind w:firstLine="0"/>
        <w:rPr>
          <w:rFonts w:hint="eastAsia" w:asciiTheme="minorEastAsia" w:hAnsiTheme="minorEastAsia" w:eastAsiaTheme="minorEastAsia" w:cstheme="minorEastAsia"/>
          <w:color w:val="auto"/>
        </w:rPr>
      </w:pPr>
    </w:p>
    <w:p>
      <w:pPr>
        <w:pStyle w:val="90"/>
        <w:widowControl w:val="0"/>
        <w:adjustRightInd w:val="0"/>
        <w:snapToGrid w:val="0"/>
        <w:spacing w:line="360" w:lineRule="auto"/>
        <w:ind w:firstLine="0"/>
        <w:jc w:val="center"/>
        <w:rPr>
          <w:rFonts w:hint="eastAsia" w:asciiTheme="minorEastAsia" w:hAnsiTheme="minorEastAsia" w:eastAsiaTheme="minorEastAsia" w:cstheme="minorEastAsia"/>
          <w:b/>
          <w:bCs w:val="0"/>
          <w:color w:val="auto"/>
          <w:szCs w:val="44"/>
        </w:rPr>
      </w:pPr>
      <w:r>
        <w:rPr>
          <w:rFonts w:hint="eastAsia" w:asciiTheme="minorEastAsia" w:hAnsiTheme="minorEastAsia" w:eastAsiaTheme="minorEastAsia" w:cstheme="minorEastAsia"/>
          <w:b/>
          <w:bCs w:val="0"/>
          <w:color w:val="auto"/>
          <w:szCs w:val="44"/>
        </w:rPr>
        <w:t>2020年浙江省碳交易纳入企业</w:t>
      </w:r>
    </w:p>
    <w:p>
      <w:pPr>
        <w:pStyle w:val="90"/>
        <w:widowControl w:val="0"/>
        <w:adjustRightInd w:val="0"/>
        <w:snapToGrid w:val="0"/>
        <w:spacing w:line="360" w:lineRule="auto"/>
        <w:ind w:firstLine="0"/>
        <w:jc w:val="center"/>
        <w:rPr>
          <w:rFonts w:hint="eastAsia" w:asciiTheme="minorEastAsia" w:hAnsiTheme="minorEastAsia" w:eastAsiaTheme="minorEastAsia" w:cstheme="minorEastAsia"/>
          <w:b/>
          <w:bCs w:val="0"/>
          <w:color w:val="auto"/>
          <w:szCs w:val="44"/>
        </w:rPr>
      </w:pPr>
      <w:r>
        <w:rPr>
          <w:rFonts w:hint="eastAsia" w:asciiTheme="minorEastAsia" w:hAnsiTheme="minorEastAsia" w:eastAsiaTheme="minorEastAsia" w:cstheme="minorEastAsia"/>
          <w:b/>
          <w:bCs w:val="0"/>
          <w:color w:val="auto"/>
          <w:szCs w:val="44"/>
        </w:rPr>
        <w:t>温室气体排放报告核查复查</w:t>
      </w:r>
      <w:r>
        <w:rPr>
          <w:rFonts w:hint="eastAsia" w:asciiTheme="minorEastAsia" w:hAnsiTheme="minorEastAsia" w:eastAsiaTheme="minorEastAsia" w:cstheme="minorEastAsia"/>
          <w:b/>
          <w:bCs w:val="0"/>
          <w:color w:val="auto"/>
          <w:w w:val="90"/>
          <w:szCs w:val="44"/>
        </w:rPr>
        <w:t>项目</w:t>
      </w:r>
    </w:p>
    <w:p>
      <w:pPr>
        <w:adjustRightInd w:val="0"/>
        <w:snapToGrid w:val="0"/>
        <w:spacing w:line="360" w:lineRule="auto"/>
        <w:jc w:val="center"/>
        <w:rPr>
          <w:rFonts w:hint="eastAsia" w:asciiTheme="minorEastAsia" w:hAnsiTheme="minorEastAsia" w:eastAsiaTheme="minorEastAsia" w:cstheme="minorEastAsia"/>
          <w:b/>
          <w:bCs w:val="0"/>
          <w:color w:val="auto"/>
          <w:szCs w:val="84"/>
        </w:rPr>
      </w:pPr>
      <w:r>
        <w:rPr>
          <w:rFonts w:hint="eastAsia" w:asciiTheme="minorEastAsia" w:hAnsiTheme="minorEastAsia" w:eastAsiaTheme="minorEastAsia" w:cstheme="minorEastAsia"/>
          <w:b/>
          <w:bCs w:val="0"/>
          <w:color w:val="auto"/>
          <w:szCs w:val="84"/>
        </w:rPr>
        <w:t>（电子招投标方式）</w:t>
      </w:r>
    </w:p>
    <w:p>
      <w:pPr>
        <w:adjustRightInd w:val="0"/>
        <w:snapToGrid w:val="0"/>
        <w:spacing w:line="360" w:lineRule="auto"/>
        <w:jc w:val="center"/>
        <w:rPr>
          <w:rFonts w:hint="eastAsia" w:asciiTheme="minorEastAsia" w:hAnsiTheme="minorEastAsia" w:eastAsiaTheme="minorEastAsia" w:cstheme="minorEastAsia"/>
          <w:b/>
          <w:bCs w:val="0"/>
          <w:color w:val="auto"/>
          <w:szCs w:val="84"/>
        </w:rPr>
      </w:pPr>
    </w:p>
    <w:p>
      <w:pPr>
        <w:jc w:val="center"/>
        <w:rPr>
          <w:rFonts w:hint="eastAsia" w:asciiTheme="minorEastAsia" w:hAnsiTheme="minorEastAsia" w:eastAsiaTheme="minorEastAsia" w:cstheme="minorEastAsia"/>
          <w:b/>
          <w:bCs w:val="0"/>
          <w:color w:val="auto"/>
          <w:szCs w:val="84"/>
        </w:rPr>
      </w:pPr>
    </w:p>
    <w:p>
      <w:pPr>
        <w:jc w:val="center"/>
        <w:rPr>
          <w:rFonts w:hint="eastAsia" w:asciiTheme="minorEastAsia" w:hAnsiTheme="minorEastAsia" w:eastAsiaTheme="minorEastAsia" w:cstheme="minorEastAsia"/>
          <w:b/>
          <w:bCs w:val="0"/>
          <w:color w:val="auto"/>
          <w:szCs w:val="84"/>
        </w:rPr>
      </w:pPr>
    </w:p>
    <w:p>
      <w:pPr>
        <w:spacing w:line="360" w:lineRule="auto"/>
        <w:jc w:val="center"/>
        <w:rPr>
          <w:rFonts w:hint="eastAsia" w:asciiTheme="minorEastAsia" w:hAnsiTheme="minorEastAsia" w:eastAsiaTheme="minorEastAsia" w:cstheme="minorEastAsia"/>
          <w:b/>
          <w:bCs w:val="0"/>
          <w:color w:val="auto"/>
          <w:sz w:val="84"/>
          <w:szCs w:val="84"/>
        </w:rPr>
      </w:pPr>
      <w:r>
        <w:rPr>
          <w:rFonts w:hint="eastAsia" w:asciiTheme="minorEastAsia" w:hAnsiTheme="minorEastAsia" w:eastAsiaTheme="minorEastAsia" w:cstheme="minorEastAsia"/>
          <w:b/>
          <w:bCs w:val="0"/>
          <w:color w:val="auto"/>
          <w:spacing w:val="40"/>
          <w:w w:val="80"/>
          <w:sz w:val="96"/>
          <w:szCs w:val="96"/>
          <w:lang w:bidi="th-TH"/>
        </w:rPr>
        <w:t>采 购 文 件</w:t>
      </w:r>
    </w:p>
    <w:p>
      <w:pPr>
        <w:jc w:val="center"/>
        <w:rPr>
          <w:rFonts w:hint="eastAsia" w:asciiTheme="minorEastAsia" w:hAnsiTheme="minorEastAsia" w:eastAsiaTheme="minorEastAsia" w:cstheme="minorEastAsia"/>
          <w:b/>
          <w:bCs w:val="0"/>
          <w:color w:val="auto"/>
          <w:szCs w:val="84"/>
        </w:rPr>
      </w:pPr>
    </w:p>
    <w:p>
      <w:pPr>
        <w:jc w:val="center"/>
        <w:rPr>
          <w:rFonts w:hint="eastAsia" w:asciiTheme="minorEastAsia" w:hAnsiTheme="minorEastAsia" w:eastAsiaTheme="minorEastAsia" w:cstheme="minorEastAsia"/>
          <w:b/>
          <w:bCs w:val="0"/>
          <w:color w:val="auto"/>
          <w:szCs w:val="84"/>
        </w:rPr>
      </w:pPr>
    </w:p>
    <w:p>
      <w:pPr>
        <w:spacing w:line="360" w:lineRule="auto"/>
        <w:jc w:val="center"/>
        <w:rPr>
          <w:rFonts w:hint="eastAsia" w:asciiTheme="minorEastAsia" w:hAnsiTheme="minorEastAsia" w:eastAsiaTheme="minorEastAsia" w:cstheme="minorEastAsia"/>
          <w:b/>
          <w:bCs w:val="0"/>
          <w:color w:val="auto"/>
          <w:w w:val="80"/>
          <w:sz w:val="36"/>
          <w:szCs w:val="36"/>
          <w:lang w:bidi="th-TH"/>
        </w:rPr>
      </w:pPr>
      <w:r>
        <w:rPr>
          <w:rFonts w:hint="eastAsia" w:asciiTheme="minorEastAsia" w:hAnsiTheme="minorEastAsia" w:eastAsiaTheme="minorEastAsia" w:cstheme="minorEastAsia"/>
          <w:b/>
          <w:bCs w:val="0"/>
          <w:color w:val="auto"/>
          <w:w w:val="80"/>
          <w:sz w:val="36"/>
          <w:szCs w:val="36"/>
          <w:lang w:bidi="th-TH"/>
        </w:rPr>
        <w:t>采购编号：ZJ-204228</w:t>
      </w:r>
    </w:p>
    <w:p>
      <w:pPr>
        <w:pStyle w:val="27"/>
        <w:ind w:left="5250"/>
        <w:rPr>
          <w:rFonts w:hint="eastAsia" w:asciiTheme="minorEastAsia" w:hAnsiTheme="minorEastAsia" w:eastAsiaTheme="minorEastAsia" w:cstheme="minorEastAsia"/>
          <w:b/>
          <w:bCs w:val="0"/>
          <w:color w:val="auto"/>
          <w:szCs w:val="28"/>
        </w:rPr>
      </w:pPr>
      <w:r>
        <w:rPr>
          <w:rFonts w:hint="eastAsia" w:asciiTheme="minorEastAsia" w:hAnsiTheme="minorEastAsia" w:eastAsiaTheme="minorEastAsia" w:cstheme="minorEastAsia"/>
          <w:b/>
          <w:bCs w:val="0"/>
          <w:color w:val="auto"/>
        </w:rPr>
        <w:t xml:space="preserve">      </w:t>
      </w:r>
    </w:p>
    <w:p>
      <w:pPr>
        <w:rPr>
          <w:rFonts w:hint="eastAsia" w:asciiTheme="minorEastAsia" w:hAnsiTheme="minorEastAsia" w:eastAsiaTheme="minorEastAsia" w:cstheme="minorEastAsia"/>
          <w:b/>
          <w:bCs w:val="0"/>
          <w:color w:val="auto"/>
        </w:rPr>
      </w:pPr>
    </w:p>
    <w:p>
      <w:pPr>
        <w:rPr>
          <w:rFonts w:hint="eastAsia" w:asciiTheme="minorEastAsia" w:hAnsiTheme="minorEastAsia" w:eastAsiaTheme="minorEastAsia" w:cstheme="minorEastAsia"/>
          <w:b/>
          <w:bCs w:val="0"/>
          <w:color w:val="auto"/>
        </w:rPr>
      </w:pPr>
    </w:p>
    <w:p>
      <w:pPr>
        <w:rPr>
          <w:rFonts w:hint="eastAsia" w:asciiTheme="minorEastAsia" w:hAnsiTheme="minorEastAsia" w:eastAsiaTheme="minorEastAsia" w:cstheme="minorEastAsia"/>
          <w:b/>
          <w:bCs w:val="0"/>
          <w:color w:val="auto"/>
        </w:rPr>
      </w:pPr>
    </w:p>
    <w:p>
      <w:pPr>
        <w:rPr>
          <w:rFonts w:hint="eastAsia" w:asciiTheme="minorEastAsia" w:hAnsiTheme="minorEastAsia" w:eastAsiaTheme="minorEastAsia" w:cstheme="minorEastAsia"/>
          <w:b/>
          <w:bCs w:val="0"/>
          <w:color w:val="auto"/>
        </w:rPr>
      </w:pPr>
    </w:p>
    <w:p>
      <w:pPr>
        <w:rPr>
          <w:rFonts w:hint="eastAsia" w:asciiTheme="minorEastAsia" w:hAnsiTheme="minorEastAsia" w:eastAsiaTheme="minorEastAsia" w:cstheme="minorEastAsia"/>
          <w:b/>
          <w:bCs w:val="0"/>
          <w:color w:val="auto"/>
        </w:rPr>
      </w:pPr>
    </w:p>
    <w:p>
      <w:pPr>
        <w:rPr>
          <w:rFonts w:hint="eastAsia" w:asciiTheme="minorEastAsia" w:hAnsiTheme="minorEastAsia" w:eastAsiaTheme="minorEastAsia" w:cstheme="minorEastAsia"/>
          <w:b/>
          <w:bCs w:val="0"/>
          <w:color w:val="auto"/>
        </w:rPr>
      </w:pPr>
    </w:p>
    <w:p>
      <w:pPr>
        <w:rPr>
          <w:rFonts w:hint="eastAsia" w:asciiTheme="minorEastAsia" w:hAnsiTheme="minorEastAsia" w:eastAsiaTheme="minorEastAsia" w:cstheme="minorEastAsia"/>
          <w:b/>
          <w:bCs w:val="0"/>
          <w:color w:val="auto"/>
        </w:rPr>
      </w:pPr>
    </w:p>
    <w:p>
      <w:pPr>
        <w:rPr>
          <w:rFonts w:hint="eastAsia" w:asciiTheme="minorEastAsia" w:hAnsiTheme="minorEastAsia" w:eastAsiaTheme="minorEastAsia" w:cstheme="minorEastAsia"/>
          <w:b/>
          <w:bCs w:val="0"/>
          <w:color w:val="auto"/>
        </w:rPr>
      </w:pPr>
    </w:p>
    <w:p>
      <w:pPr>
        <w:rPr>
          <w:rFonts w:hint="eastAsia" w:asciiTheme="minorEastAsia" w:hAnsiTheme="minorEastAsia" w:eastAsiaTheme="minorEastAsia" w:cstheme="minorEastAsia"/>
          <w:b/>
          <w:bCs w:val="0"/>
          <w:color w:val="auto"/>
        </w:rPr>
      </w:pPr>
    </w:p>
    <w:p>
      <w:pPr>
        <w:rPr>
          <w:rFonts w:hint="eastAsia" w:asciiTheme="minorEastAsia" w:hAnsiTheme="minorEastAsia" w:eastAsiaTheme="minorEastAsia" w:cstheme="minorEastAsia"/>
          <w:b/>
          <w:bCs w:val="0"/>
          <w:color w:val="auto"/>
        </w:rPr>
      </w:pPr>
    </w:p>
    <w:tbl>
      <w:tblPr>
        <w:tblStyle w:val="48"/>
        <w:tblW w:w="5895" w:type="dxa"/>
        <w:jc w:val="center"/>
        <w:tblInd w:w="0" w:type="dxa"/>
        <w:tblLayout w:type="fixed"/>
        <w:tblCellMar>
          <w:top w:w="0" w:type="dxa"/>
          <w:left w:w="108" w:type="dxa"/>
          <w:bottom w:w="0" w:type="dxa"/>
          <w:right w:w="108" w:type="dxa"/>
        </w:tblCellMar>
      </w:tblPr>
      <w:tblGrid>
        <w:gridCol w:w="2160"/>
        <w:gridCol w:w="260"/>
        <w:gridCol w:w="3475"/>
      </w:tblGrid>
      <w:tr>
        <w:tblPrEx>
          <w:tblLayout w:type="fixed"/>
          <w:tblCellMar>
            <w:top w:w="0" w:type="dxa"/>
            <w:left w:w="108" w:type="dxa"/>
            <w:bottom w:w="0" w:type="dxa"/>
            <w:right w:w="108" w:type="dxa"/>
          </w:tblCellMar>
        </w:tblPrEx>
        <w:trPr>
          <w:trHeight w:val="680" w:hRule="atLeast"/>
          <w:jc w:val="center"/>
        </w:trPr>
        <w:tc>
          <w:tcPr>
            <w:tcW w:w="2160" w:type="dxa"/>
            <w:noWrap w:val="0"/>
            <w:vAlign w:val="center"/>
          </w:tcPr>
          <w:p>
            <w:pPr>
              <w:snapToGrid w:val="0"/>
              <w:jc w:val="distribute"/>
              <w:rPr>
                <w:rFonts w:hint="eastAsia" w:asciiTheme="minorEastAsia" w:hAnsiTheme="minorEastAsia" w:eastAsiaTheme="minorEastAsia" w:cstheme="minorEastAsia"/>
                <w:b/>
                <w:bCs w:val="0"/>
                <w:color w:val="auto"/>
                <w:sz w:val="30"/>
                <w:szCs w:val="30"/>
              </w:rPr>
            </w:pPr>
            <w:r>
              <w:rPr>
                <w:rFonts w:hint="eastAsia" w:asciiTheme="minorEastAsia" w:hAnsiTheme="minorEastAsia" w:eastAsiaTheme="minorEastAsia" w:cstheme="minorEastAsia"/>
                <w:b/>
                <w:bCs w:val="0"/>
                <w:color w:val="auto"/>
                <w:sz w:val="30"/>
                <w:szCs w:val="30"/>
              </w:rPr>
              <w:t>采购人</w:t>
            </w:r>
          </w:p>
        </w:tc>
        <w:tc>
          <w:tcPr>
            <w:tcW w:w="260" w:type="dxa"/>
            <w:noWrap w:val="0"/>
            <w:vAlign w:val="center"/>
          </w:tcPr>
          <w:p>
            <w:pPr>
              <w:snapToGrid w:val="0"/>
              <w:jc w:val="distribute"/>
              <w:rPr>
                <w:rFonts w:hint="eastAsia" w:asciiTheme="minorEastAsia" w:hAnsiTheme="minorEastAsia" w:eastAsiaTheme="minorEastAsia" w:cstheme="minorEastAsia"/>
                <w:b/>
                <w:bCs w:val="0"/>
                <w:color w:val="auto"/>
                <w:sz w:val="30"/>
                <w:szCs w:val="30"/>
              </w:rPr>
            </w:pPr>
            <w:r>
              <w:rPr>
                <w:rFonts w:hint="eastAsia" w:asciiTheme="minorEastAsia" w:hAnsiTheme="minorEastAsia" w:eastAsiaTheme="minorEastAsia" w:cstheme="minorEastAsia"/>
                <w:b/>
                <w:bCs w:val="0"/>
                <w:color w:val="auto"/>
                <w:sz w:val="30"/>
                <w:szCs w:val="30"/>
              </w:rPr>
              <w:t>：</w:t>
            </w:r>
          </w:p>
        </w:tc>
        <w:tc>
          <w:tcPr>
            <w:tcW w:w="3475" w:type="dxa"/>
            <w:noWrap w:val="0"/>
            <w:vAlign w:val="center"/>
          </w:tcPr>
          <w:p>
            <w:pPr>
              <w:snapToGrid w:val="0"/>
              <w:jc w:val="distribute"/>
              <w:rPr>
                <w:rFonts w:hint="eastAsia" w:asciiTheme="minorEastAsia" w:hAnsiTheme="minorEastAsia" w:eastAsiaTheme="minorEastAsia" w:cstheme="minorEastAsia"/>
                <w:b/>
                <w:bCs w:val="0"/>
                <w:color w:val="auto"/>
                <w:sz w:val="30"/>
                <w:szCs w:val="30"/>
              </w:rPr>
            </w:pPr>
            <w:r>
              <w:rPr>
                <w:rFonts w:hint="eastAsia" w:asciiTheme="minorEastAsia" w:hAnsiTheme="minorEastAsia" w:eastAsiaTheme="minorEastAsia" w:cstheme="minorEastAsia"/>
                <w:b/>
                <w:bCs w:val="0"/>
                <w:color w:val="auto"/>
                <w:sz w:val="30"/>
                <w:szCs w:val="30"/>
              </w:rPr>
              <w:t>浙江省生态环境厅</w:t>
            </w:r>
          </w:p>
        </w:tc>
      </w:tr>
      <w:tr>
        <w:tblPrEx>
          <w:tblLayout w:type="fixed"/>
          <w:tblCellMar>
            <w:top w:w="0" w:type="dxa"/>
            <w:left w:w="108" w:type="dxa"/>
            <w:bottom w:w="0" w:type="dxa"/>
            <w:right w:w="108" w:type="dxa"/>
          </w:tblCellMar>
        </w:tblPrEx>
        <w:trPr>
          <w:trHeight w:val="297" w:hRule="atLeast"/>
          <w:jc w:val="center"/>
        </w:trPr>
        <w:tc>
          <w:tcPr>
            <w:tcW w:w="2160" w:type="dxa"/>
            <w:noWrap w:val="0"/>
            <w:vAlign w:val="center"/>
          </w:tcPr>
          <w:p>
            <w:pPr>
              <w:snapToGrid w:val="0"/>
              <w:jc w:val="distribute"/>
              <w:rPr>
                <w:rFonts w:hint="eastAsia" w:asciiTheme="minorEastAsia" w:hAnsiTheme="minorEastAsia" w:eastAsiaTheme="minorEastAsia" w:cstheme="minorEastAsia"/>
                <w:b/>
                <w:bCs w:val="0"/>
                <w:color w:val="auto"/>
                <w:szCs w:val="21"/>
              </w:rPr>
            </w:pPr>
          </w:p>
        </w:tc>
        <w:tc>
          <w:tcPr>
            <w:tcW w:w="260" w:type="dxa"/>
            <w:noWrap w:val="0"/>
            <w:vAlign w:val="center"/>
          </w:tcPr>
          <w:p>
            <w:pPr>
              <w:snapToGrid w:val="0"/>
              <w:jc w:val="distribute"/>
              <w:rPr>
                <w:rFonts w:hint="eastAsia" w:asciiTheme="minorEastAsia" w:hAnsiTheme="minorEastAsia" w:eastAsiaTheme="minorEastAsia" w:cstheme="minorEastAsia"/>
                <w:b/>
                <w:bCs w:val="0"/>
                <w:color w:val="auto"/>
                <w:szCs w:val="21"/>
              </w:rPr>
            </w:pPr>
          </w:p>
        </w:tc>
        <w:tc>
          <w:tcPr>
            <w:tcW w:w="3475" w:type="dxa"/>
            <w:noWrap w:val="0"/>
            <w:vAlign w:val="center"/>
          </w:tcPr>
          <w:p>
            <w:pPr>
              <w:snapToGrid w:val="0"/>
              <w:jc w:val="distribute"/>
              <w:rPr>
                <w:rFonts w:hint="eastAsia" w:asciiTheme="minorEastAsia" w:hAnsiTheme="minorEastAsia" w:eastAsiaTheme="minorEastAsia" w:cstheme="minorEastAsia"/>
                <w:b/>
                <w:bCs w:val="0"/>
                <w:color w:val="auto"/>
                <w:szCs w:val="21"/>
              </w:rPr>
            </w:pPr>
          </w:p>
        </w:tc>
      </w:tr>
      <w:tr>
        <w:tblPrEx>
          <w:tblLayout w:type="fixed"/>
          <w:tblCellMar>
            <w:top w:w="0" w:type="dxa"/>
            <w:left w:w="108" w:type="dxa"/>
            <w:bottom w:w="0" w:type="dxa"/>
            <w:right w:w="108" w:type="dxa"/>
          </w:tblCellMar>
        </w:tblPrEx>
        <w:trPr>
          <w:trHeight w:val="680" w:hRule="atLeast"/>
          <w:jc w:val="center"/>
        </w:trPr>
        <w:tc>
          <w:tcPr>
            <w:tcW w:w="2160" w:type="dxa"/>
            <w:noWrap w:val="0"/>
            <w:vAlign w:val="center"/>
          </w:tcPr>
          <w:p>
            <w:pPr>
              <w:snapToGrid w:val="0"/>
              <w:jc w:val="distribute"/>
              <w:rPr>
                <w:rFonts w:hint="eastAsia" w:asciiTheme="minorEastAsia" w:hAnsiTheme="minorEastAsia" w:eastAsiaTheme="minorEastAsia" w:cstheme="minorEastAsia"/>
                <w:b/>
                <w:bCs w:val="0"/>
                <w:color w:val="auto"/>
                <w:sz w:val="30"/>
                <w:szCs w:val="30"/>
              </w:rPr>
            </w:pPr>
            <w:r>
              <w:rPr>
                <w:rFonts w:hint="eastAsia" w:asciiTheme="minorEastAsia" w:hAnsiTheme="minorEastAsia" w:eastAsiaTheme="minorEastAsia" w:cstheme="minorEastAsia"/>
                <w:b/>
                <w:bCs w:val="0"/>
                <w:color w:val="auto"/>
                <w:sz w:val="30"/>
                <w:szCs w:val="30"/>
              </w:rPr>
              <w:t>采购代理机构</w:t>
            </w:r>
          </w:p>
        </w:tc>
        <w:tc>
          <w:tcPr>
            <w:tcW w:w="260" w:type="dxa"/>
            <w:noWrap w:val="0"/>
            <w:vAlign w:val="center"/>
          </w:tcPr>
          <w:p>
            <w:pPr>
              <w:snapToGrid w:val="0"/>
              <w:jc w:val="distribute"/>
              <w:rPr>
                <w:rFonts w:hint="eastAsia" w:asciiTheme="minorEastAsia" w:hAnsiTheme="minorEastAsia" w:eastAsiaTheme="minorEastAsia" w:cstheme="minorEastAsia"/>
                <w:b/>
                <w:bCs w:val="0"/>
                <w:color w:val="auto"/>
                <w:sz w:val="30"/>
                <w:szCs w:val="30"/>
              </w:rPr>
            </w:pPr>
            <w:r>
              <w:rPr>
                <w:rFonts w:hint="eastAsia" w:asciiTheme="minorEastAsia" w:hAnsiTheme="minorEastAsia" w:eastAsiaTheme="minorEastAsia" w:cstheme="minorEastAsia"/>
                <w:b/>
                <w:bCs w:val="0"/>
                <w:color w:val="auto"/>
                <w:sz w:val="30"/>
                <w:szCs w:val="30"/>
              </w:rPr>
              <w:t>：</w:t>
            </w:r>
          </w:p>
        </w:tc>
        <w:tc>
          <w:tcPr>
            <w:tcW w:w="3475" w:type="dxa"/>
            <w:noWrap w:val="0"/>
            <w:vAlign w:val="center"/>
          </w:tcPr>
          <w:p>
            <w:pPr>
              <w:snapToGrid w:val="0"/>
              <w:jc w:val="distribute"/>
              <w:rPr>
                <w:rFonts w:hint="eastAsia" w:asciiTheme="minorEastAsia" w:hAnsiTheme="minorEastAsia" w:eastAsiaTheme="minorEastAsia" w:cstheme="minorEastAsia"/>
                <w:b/>
                <w:bCs w:val="0"/>
                <w:color w:val="auto"/>
                <w:sz w:val="30"/>
                <w:szCs w:val="30"/>
              </w:rPr>
            </w:pPr>
            <w:bookmarkStart w:id="0" w:name="_Hlk39649349"/>
            <w:r>
              <w:rPr>
                <w:rFonts w:hint="eastAsia" w:asciiTheme="minorEastAsia" w:hAnsiTheme="minorEastAsia" w:eastAsiaTheme="minorEastAsia" w:cstheme="minorEastAsia"/>
                <w:b/>
                <w:bCs w:val="0"/>
                <w:color w:val="auto"/>
                <w:sz w:val="30"/>
                <w:szCs w:val="30"/>
              </w:rPr>
              <w:t>浙江国际招（投）标公司</w:t>
            </w:r>
            <w:bookmarkEnd w:id="0"/>
          </w:p>
        </w:tc>
      </w:tr>
      <w:tr>
        <w:tblPrEx>
          <w:tblLayout w:type="fixed"/>
          <w:tblCellMar>
            <w:top w:w="0" w:type="dxa"/>
            <w:left w:w="108" w:type="dxa"/>
            <w:bottom w:w="0" w:type="dxa"/>
            <w:right w:w="108" w:type="dxa"/>
          </w:tblCellMar>
        </w:tblPrEx>
        <w:trPr>
          <w:trHeight w:val="680" w:hRule="atLeast"/>
          <w:jc w:val="center"/>
        </w:trPr>
        <w:tc>
          <w:tcPr>
            <w:tcW w:w="5895" w:type="dxa"/>
            <w:gridSpan w:val="3"/>
            <w:noWrap w:val="0"/>
            <w:vAlign w:val="bottom"/>
          </w:tcPr>
          <w:p>
            <w:pPr>
              <w:snapToGrid w:val="0"/>
              <w:jc w:val="center"/>
              <w:rPr>
                <w:rFonts w:hint="eastAsia" w:asciiTheme="minorEastAsia" w:hAnsiTheme="minorEastAsia" w:eastAsiaTheme="minorEastAsia" w:cstheme="minorEastAsia"/>
                <w:b/>
                <w:bCs w:val="0"/>
                <w:color w:val="auto"/>
                <w:sz w:val="30"/>
                <w:szCs w:val="30"/>
              </w:rPr>
            </w:pPr>
            <w:r>
              <w:rPr>
                <w:rFonts w:hint="eastAsia" w:asciiTheme="minorEastAsia" w:hAnsiTheme="minorEastAsia" w:eastAsiaTheme="minorEastAsia" w:cstheme="minorEastAsia"/>
                <w:b/>
                <w:bCs w:val="0"/>
                <w:color w:val="auto"/>
                <w:sz w:val="30"/>
                <w:szCs w:val="30"/>
              </w:rPr>
              <w:t>2020年</w:t>
            </w:r>
            <w:r>
              <w:rPr>
                <w:rFonts w:hint="eastAsia" w:asciiTheme="minorEastAsia" w:hAnsiTheme="minorEastAsia" w:eastAsiaTheme="minorEastAsia" w:cstheme="minorEastAsia"/>
                <w:b/>
                <w:bCs w:val="0"/>
                <w:color w:val="auto"/>
                <w:sz w:val="30"/>
                <w:szCs w:val="30"/>
                <w:lang w:val="en-US" w:eastAsia="zh-CN"/>
              </w:rPr>
              <w:t>5</w:t>
            </w:r>
            <w:r>
              <w:rPr>
                <w:rFonts w:hint="eastAsia" w:asciiTheme="minorEastAsia" w:hAnsiTheme="minorEastAsia" w:eastAsiaTheme="minorEastAsia" w:cstheme="minorEastAsia"/>
                <w:b/>
                <w:bCs w:val="0"/>
                <w:color w:val="auto"/>
                <w:sz w:val="30"/>
                <w:szCs w:val="30"/>
              </w:rPr>
              <w:t>月</w:t>
            </w:r>
          </w:p>
        </w:tc>
      </w:tr>
    </w:tbl>
    <w:p>
      <w:pPr>
        <w:pStyle w:val="25"/>
        <w:spacing w:line="360" w:lineRule="auto"/>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48"/>
          <w:szCs w:val="48"/>
        </w:rPr>
        <w:br w:type="page"/>
      </w:r>
      <w:r>
        <w:rPr>
          <w:rFonts w:hint="eastAsia" w:asciiTheme="minorEastAsia" w:hAnsiTheme="minorEastAsia" w:eastAsiaTheme="minorEastAsia" w:cstheme="minorEastAsia"/>
          <w:b/>
          <w:color w:val="auto"/>
          <w:sz w:val="28"/>
          <w:szCs w:val="28"/>
        </w:rPr>
        <w:t>目    录</w:t>
      </w:r>
    </w:p>
    <w:p>
      <w:pPr>
        <w:pStyle w:val="32"/>
        <w:tabs>
          <w:tab w:val="right" w:leader="dot" w:pos="8306"/>
          <w:tab w:val="clear" w:pos="8720"/>
        </w:tabs>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caps w:val="0"/>
          <w:color w:val="auto"/>
          <w:sz w:val="21"/>
          <w:szCs w:val="21"/>
        </w:rPr>
        <w:fldChar w:fldCharType="begin"/>
      </w:r>
      <w:r>
        <w:rPr>
          <w:rFonts w:hint="eastAsia" w:asciiTheme="minorEastAsia" w:hAnsiTheme="minorEastAsia" w:eastAsiaTheme="minorEastAsia" w:cstheme="minorEastAsia"/>
          <w:b/>
          <w:caps w:val="0"/>
          <w:color w:val="auto"/>
          <w:sz w:val="21"/>
          <w:szCs w:val="21"/>
        </w:rPr>
        <w:instrText xml:space="preserve"> TOC \o "1-2" \u </w:instrText>
      </w:r>
      <w:r>
        <w:rPr>
          <w:rFonts w:hint="eastAsia" w:asciiTheme="minorEastAsia" w:hAnsiTheme="minorEastAsia" w:eastAsiaTheme="minorEastAsia" w:cstheme="minorEastAsia"/>
          <w:b/>
          <w:caps w:val="0"/>
          <w:color w:val="auto"/>
          <w:sz w:val="21"/>
          <w:szCs w:val="21"/>
        </w:rPr>
        <w:fldChar w:fldCharType="separate"/>
      </w:r>
      <w:r>
        <w:rPr>
          <w:rFonts w:hint="eastAsia" w:asciiTheme="minorEastAsia" w:hAnsiTheme="minorEastAsia" w:eastAsiaTheme="minorEastAsia" w:cstheme="minorEastAsia"/>
          <w:color w:val="auto"/>
          <w:szCs w:val="30"/>
        </w:rPr>
        <w:t>第一部分  采购公告</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_Toc25812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w:t>
      </w:r>
      <w:r>
        <w:rPr>
          <w:rFonts w:hint="eastAsia" w:asciiTheme="minorEastAsia" w:hAnsiTheme="minorEastAsia" w:eastAsiaTheme="minorEastAsia" w:cstheme="minorEastAsia"/>
          <w:color w:val="auto"/>
        </w:rPr>
        <w:fldChar w:fldCharType="end"/>
      </w:r>
    </w:p>
    <w:p>
      <w:pPr>
        <w:pStyle w:val="32"/>
        <w:tabs>
          <w:tab w:val="right" w:leader="dot" w:pos="8306"/>
          <w:tab w:val="clear" w:pos="8720"/>
        </w:tabs>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30"/>
        </w:rPr>
        <w:t>第二部分  投标须知</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_Toc30163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12</w:t>
      </w:r>
      <w:r>
        <w:rPr>
          <w:rFonts w:hint="eastAsia" w:asciiTheme="minorEastAsia" w:hAnsiTheme="minorEastAsia" w:eastAsiaTheme="minorEastAsia" w:cstheme="minorEastAsia"/>
          <w:color w:val="auto"/>
        </w:rPr>
        <w:fldChar w:fldCharType="end"/>
      </w:r>
    </w:p>
    <w:p>
      <w:pPr>
        <w:pStyle w:val="37"/>
        <w:tabs>
          <w:tab w:val="right" w:leader="dot" w:pos="8306"/>
          <w:tab w:val="clear" w:pos="8720"/>
        </w:tabs>
        <w:ind w:left="0" w:leftChars="0" w:firstLine="220" w:firstLineChars="11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t>一、总则</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_Toc12176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12</w:t>
      </w:r>
      <w:r>
        <w:rPr>
          <w:rFonts w:hint="eastAsia" w:asciiTheme="minorEastAsia" w:hAnsiTheme="minorEastAsia" w:eastAsiaTheme="minorEastAsia" w:cstheme="minorEastAsia"/>
          <w:color w:val="auto"/>
        </w:rPr>
        <w:fldChar w:fldCharType="end"/>
      </w:r>
    </w:p>
    <w:p>
      <w:pPr>
        <w:pStyle w:val="37"/>
        <w:tabs>
          <w:tab w:val="right" w:leader="dot" w:pos="8306"/>
          <w:tab w:val="clear" w:pos="8720"/>
        </w:tabs>
        <w:ind w:left="0" w:leftChars="0" w:firstLine="220" w:firstLineChars="11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t>二、采购文件</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_Toc27295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13</w:t>
      </w:r>
      <w:r>
        <w:rPr>
          <w:rFonts w:hint="eastAsia" w:asciiTheme="minorEastAsia" w:hAnsiTheme="minorEastAsia" w:eastAsiaTheme="minorEastAsia" w:cstheme="minorEastAsia"/>
          <w:color w:val="auto"/>
        </w:rPr>
        <w:fldChar w:fldCharType="end"/>
      </w:r>
    </w:p>
    <w:p>
      <w:pPr>
        <w:pStyle w:val="37"/>
        <w:tabs>
          <w:tab w:val="right" w:leader="dot" w:pos="8306"/>
          <w:tab w:val="clear" w:pos="8720"/>
        </w:tabs>
        <w:ind w:left="0" w:leftChars="0" w:firstLine="220" w:firstLineChars="11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t>三、投标文件的编制</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_Toc13648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14</w:t>
      </w:r>
      <w:r>
        <w:rPr>
          <w:rFonts w:hint="eastAsia" w:asciiTheme="minorEastAsia" w:hAnsiTheme="minorEastAsia" w:eastAsiaTheme="minorEastAsia" w:cstheme="minorEastAsia"/>
          <w:color w:val="auto"/>
        </w:rPr>
        <w:fldChar w:fldCharType="end"/>
      </w:r>
    </w:p>
    <w:p>
      <w:pPr>
        <w:pStyle w:val="37"/>
        <w:tabs>
          <w:tab w:val="right" w:leader="dot" w:pos="8306"/>
          <w:tab w:val="clear" w:pos="8720"/>
        </w:tabs>
        <w:ind w:left="0" w:leftChars="0" w:firstLine="220" w:firstLineChars="11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t>四、投标文件的递交</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_Toc910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18</w:t>
      </w:r>
      <w:r>
        <w:rPr>
          <w:rFonts w:hint="eastAsia" w:asciiTheme="minorEastAsia" w:hAnsiTheme="minorEastAsia" w:eastAsiaTheme="minorEastAsia" w:cstheme="minorEastAsia"/>
          <w:color w:val="auto"/>
        </w:rPr>
        <w:fldChar w:fldCharType="end"/>
      </w:r>
    </w:p>
    <w:p>
      <w:pPr>
        <w:pStyle w:val="37"/>
        <w:tabs>
          <w:tab w:val="right" w:leader="dot" w:pos="8306"/>
          <w:tab w:val="clear" w:pos="8720"/>
        </w:tabs>
        <w:ind w:left="0" w:leftChars="0" w:firstLine="220" w:firstLineChars="11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t>五、开标与评标</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_Toc26641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19</w:t>
      </w:r>
      <w:r>
        <w:rPr>
          <w:rFonts w:hint="eastAsia" w:asciiTheme="minorEastAsia" w:hAnsiTheme="minorEastAsia" w:eastAsiaTheme="minorEastAsia" w:cstheme="minorEastAsia"/>
          <w:color w:val="auto"/>
        </w:rPr>
        <w:fldChar w:fldCharType="end"/>
      </w:r>
    </w:p>
    <w:p>
      <w:pPr>
        <w:pStyle w:val="37"/>
        <w:tabs>
          <w:tab w:val="right" w:leader="dot" w:pos="8306"/>
          <w:tab w:val="clear" w:pos="8720"/>
        </w:tabs>
        <w:ind w:left="0" w:leftChars="0" w:firstLine="220" w:firstLineChars="11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t>六、确定中标人及授予合同</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_Toc32319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21</w:t>
      </w:r>
      <w:r>
        <w:rPr>
          <w:rFonts w:hint="eastAsia" w:asciiTheme="minorEastAsia" w:hAnsiTheme="minorEastAsia" w:eastAsiaTheme="minorEastAsia" w:cstheme="minorEastAsia"/>
          <w:color w:val="auto"/>
        </w:rPr>
        <w:fldChar w:fldCharType="end"/>
      </w:r>
    </w:p>
    <w:p>
      <w:pPr>
        <w:pStyle w:val="37"/>
        <w:tabs>
          <w:tab w:val="right" w:leader="dot" w:pos="8306"/>
          <w:tab w:val="clear" w:pos="8720"/>
        </w:tabs>
        <w:ind w:left="0" w:leftChars="0" w:firstLine="220" w:firstLineChars="11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t>七、质疑与投诉</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_Toc7233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22</w:t>
      </w:r>
      <w:r>
        <w:rPr>
          <w:rFonts w:hint="eastAsia" w:asciiTheme="minorEastAsia" w:hAnsiTheme="minorEastAsia" w:eastAsiaTheme="minorEastAsia" w:cstheme="minorEastAsia"/>
          <w:color w:val="auto"/>
        </w:rPr>
        <w:fldChar w:fldCharType="end"/>
      </w:r>
    </w:p>
    <w:p>
      <w:pPr>
        <w:pStyle w:val="37"/>
        <w:tabs>
          <w:tab w:val="right" w:leader="dot" w:pos="8306"/>
          <w:tab w:val="clear" w:pos="8720"/>
        </w:tabs>
        <w:ind w:left="0" w:leftChars="0" w:firstLine="220" w:firstLineChars="11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t>八、其他</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_Toc23946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23</w:t>
      </w:r>
      <w:r>
        <w:rPr>
          <w:rFonts w:hint="eastAsia" w:asciiTheme="minorEastAsia" w:hAnsiTheme="minorEastAsia" w:eastAsiaTheme="minorEastAsia" w:cstheme="minorEastAsia"/>
          <w:color w:val="auto"/>
        </w:rPr>
        <w:fldChar w:fldCharType="end"/>
      </w:r>
    </w:p>
    <w:p>
      <w:pPr>
        <w:pStyle w:val="32"/>
        <w:tabs>
          <w:tab w:val="right" w:leader="dot" w:pos="8306"/>
          <w:tab w:val="clear" w:pos="8720"/>
        </w:tabs>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30"/>
        </w:rPr>
        <w:t>第三部分  用户需求书</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_Toc20718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24</w:t>
      </w:r>
      <w:r>
        <w:rPr>
          <w:rFonts w:hint="eastAsia" w:asciiTheme="minorEastAsia" w:hAnsiTheme="minorEastAsia" w:eastAsiaTheme="minorEastAsia" w:cstheme="minorEastAsia"/>
          <w:color w:val="auto"/>
        </w:rPr>
        <w:fldChar w:fldCharType="end"/>
      </w:r>
    </w:p>
    <w:p>
      <w:pPr>
        <w:pStyle w:val="37"/>
        <w:tabs>
          <w:tab w:val="right" w:leader="dot" w:pos="8306"/>
          <w:tab w:val="clear" w:pos="8720"/>
        </w:tabs>
        <w:ind w:left="0" w:leftChars="0" w:firstLine="220" w:firstLineChars="11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一、采购背景</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_Toc30070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24</w:t>
      </w:r>
      <w:r>
        <w:rPr>
          <w:rFonts w:hint="eastAsia" w:asciiTheme="minorEastAsia" w:hAnsiTheme="minorEastAsia" w:eastAsiaTheme="minorEastAsia" w:cstheme="minorEastAsia"/>
          <w:color w:val="auto"/>
          <w:szCs w:val="21"/>
        </w:rPr>
        <w:fldChar w:fldCharType="end"/>
      </w:r>
    </w:p>
    <w:p>
      <w:pPr>
        <w:pStyle w:val="37"/>
        <w:tabs>
          <w:tab w:val="right" w:leader="dot" w:pos="8306"/>
          <w:tab w:val="clear" w:pos="8720"/>
        </w:tabs>
        <w:ind w:left="0" w:leftChars="0" w:firstLine="220" w:firstLineChars="11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二、采购内容</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_Toc24176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24</w:t>
      </w:r>
      <w:r>
        <w:rPr>
          <w:rFonts w:hint="eastAsia" w:asciiTheme="minorEastAsia" w:hAnsiTheme="minorEastAsia" w:eastAsiaTheme="minorEastAsia" w:cstheme="minorEastAsia"/>
          <w:color w:val="auto"/>
          <w:szCs w:val="21"/>
        </w:rPr>
        <w:fldChar w:fldCharType="end"/>
      </w:r>
    </w:p>
    <w:p>
      <w:pPr>
        <w:pStyle w:val="37"/>
        <w:tabs>
          <w:tab w:val="right" w:leader="dot" w:pos="8306"/>
          <w:tab w:val="clear" w:pos="8720"/>
        </w:tabs>
        <w:ind w:left="0" w:leftChars="0" w:firstLine="220" w:firstLineChars="11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三、采购需求</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_Toc26558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25</w:t>
      </w:r>
      <w:r>
        <w:rPr>
          <w:rFonts w:hint="eastAsia" w:asciiTheme="minorEastAsia" w:hAnsiTheme="minorEastAsia" w:eastAsiaTheme="minorEastAsia" w:cstheme="minorEastAsia"/>
          <w:color w:val="auto"/>
          <w:szCs w:val="21"/>
        </w:rPr>
        <w:fldChar w:fldCharType="end"/>
      </w:r>
    </w:p>
    <w:p>
      <w:pPr>
        <w:pStyle w:val="37"/>
        <w:tabs>
          <w:tab w:val="right" w:leader="dot" w:pos="8306"/>
          <w:tab w:val="clear" w:pos="8720"/>
        </w:tabs>
        <w:ind w:left="0" w:leftChars="0" w:firstLine="220" w:firstLineChars="11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四、付款方式</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_Toc26450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25</w:t>
      </w:r>
      <w:r>
        <w:rPr>
          <w:rFonts w:hint="eastAsia" w:asciiTheme="minorEastAsia" w:hAnsiTheme="minorEastAsia" w:eastAsiaTheme="minorEastAsia" w:cstheme="minorEastAsia"/>
          <w:color w:val="auto"/>
          <w:szCs w:val="21"/>
        </w:rPr>
        <w:fldChar w:fldCharType="end"/>
      </w:r>
    </w:p>
    <w:p>
      <w:pPr>
        <w:pStyle w:val="32"/>
        <w:tabs>
          <w:tab w:val="right" w:leader="dot" w:pos="8306"/>
          <w:tab w:val="clear" w:pos="8720"/>
        </w:tabs>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30"/>
        </w:rPr>
        <w:t>第四部分  合同条款</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_Toc7572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26</w:t>
      </w:r>
      <w:r>
        <w:rPr>
          <w:rFonts w:hint="eastAsia" w:asciiTheme="minorEastAsia" w:hAnsiTheme="minorEastAsia" w:eastAsiaTheme="minorEastAsia" w:cstheme="minorEastAsia"/>
          <w:color w:val="auto"/>
        </w:rPr>
        <w:fldChar w:fldCharType="end"/>
      </w:r>
    </w:p>
    <w:p>
      <w:pPr>
        <w:pStyle w:val="32"/>
        <w:tabs>
          <w:tab w:val="right" w:leader="dot" w:pos="8306"/>
          <w:tab w:val="clear" w:pos="8720"/>
        </w:tabs>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30"/>
        </w:rPr>
        <w:t>第五部分  评标办法</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_Toc1408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33</w:t>
      </w:r>
      <w:r>
        <w:rPr>
          <w:rFonts w:hint="eastAsia" w:asciiTheme="minorEastAsia" w:hAnsiTheme="minorEastAsia" w:eastAsiaTheme="minorEastAsia" w:cstheme="minorEastAsia"/>
          <w:color w:val="auto"/>
        </w:rPr>
        <w:fldChar w:fldCharType="end"/>
      </w:r>
    </w:p>
    <w:p>
      <w:pPr>
        <w:pStyle w:val="37"/>
        <w:tabs>
          <w:tab w:val="right" w:leader="dot" w:pos="8306"/>
          <w:tab w:val="clear" w:pos="8720"/>
        </w:tabs>
        <w:ind w:left="0" w:leftChars="0" w:firstLine="220" w:firstLineChars="11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一、评标原则</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_Toc28817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33</w:t>
      </w:r>
      <w:r>
        <w:rPr>
          <w:rFonts w:hint="eastAsia" w:asciiTheme="minorEastAsia" w:hAnsiTheme="minorEastAsia" w:eastAsiaTheme="minorEastAsia" w:cstheme="minorEastAsia"/>
          <w:color w:val="auto"/>
          <w:szCs w:val="21"/>
        </w:rPr>
        <w:fldChar w:fldCharType="end"/>
      </w:r>
    </w:p>
    <w:p>
      <w:pPr>
        <w:pStyle w:val="37"/>
        <w:tabs>
          <w:tab w:val="right" w:leader="dot" w:pos="8306"/>
          <w:tab w:val="clear" w:pos="8720"/>
        </w:tabs>
        <w:ind w:left="0" w:leftChars="0" w:firstLine="220" w:firstLineChars="11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二、组建评标委员会</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_Toc15890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33</w:t>
      </w:r>
      <w:r>
        <w:rPr>
          <w:rFonts w:hint="eastAsia" w:asciiTheme="minorEastAsia" w:hAnsiTheme="minorEastAsia" w:eastAsiaTheme="minorEastAsia" w:cstheme="minorEastAsia"/>
          <w:color w:val="auto"/>
          <w:szCs w:val="21"/>
        </w:rPr>
        <w:fldChar w:fldCharType="end"/>
      </w:r>
    </w:p>
    <w:p>
      <w:pPr>
        <w:pStyle w:val="37"/>
        <w:tabs>
          <w:tab w:val="right" w:leader="dot" w:pos="8306"/>
          <w:tab w:val="clear" w:pos="8720"/>
        </w:tabs>
        <w:ind w:left="0" w:leftChars="0" w:firstLine="220" w:firstLineChars="11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三、评标程序和内容</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_Toc996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33</w:t>
      </w:r>
      <w:r>
        <w:rPr>
          <w:rFonts w:hint="eastAsia" w:asciiTheme="minorEastAsia" w:hAnsiTheme="minorEastAsia" w:eastAsiaTheme="minorEastAsia" w:cstheme="minorEastAsia"/>
          <w:color w:val="auto"/>
          <w:szCs w:val="21"/>
        </w:rPr>
        <w:fldChar w:fldCharType="end"/>
      </w:r>
    </w:p>
    <w:p>
      <w:pPr>
        <w:pStyle w:val="32"/>
        <w:tabs>
          <w:tab w:val="right" w:leader="dot" w:pos="8306"/>
          <w:tab w:val="clear" w:pos="8720"/>
        </w:tabs>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30"/>
        </w:rPr>
        <w:t>第六部分  投标文件格式</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_Toc22561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41</w:t>
      </w:r>
      <w:r>
        <w:rPr>
          <w:rFonts w:hint="eastAsia" w:asciiTheme="minorEastAsia" w:hAnsiTheme="minorEastAsia" w:eastAsiaTheme="minorEastAsia" w:cstheme="minorEastAsia"/>
          <w:color w:val="auto"/>
        </w:rPr>
        <w:fldChar w:fldCharType="end"/>
      </w:r>
    </w:p>
    <w:p>
      <w:pPr>
        <w:pStyle w:val="37"/>
        <w:tabs>
          <w:tab w:val="right" w:leader="dot" w:pos="8306"/>
          <w:tab w:val="clear" w:pos="8720"/>
        </w:tabs>
        <w:ind w:left="0" w:leftChars="0" w:firstLine="220" w:firstLineChars="11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一、投标文件封面（格式供参考）</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_Toc6210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42</w:t>
      </w:r>
      <w:r>
        <w:rPr>
          <w:rFonts w:hint="eastAsia" w:asciiTheme="minorEastAsia" w:hAnsiTheme="minorEastAsia" w:eastAsiaTheme="minorEastAsia" w:cstheme="minorEastAsia"/>
          <w:color w:val="auto"/>
          <w:szCs w:val="21"/>
        </w:rPr>
        <w:fldChar w:fldCharType="end"/>
      </w:r>
    </w:p>
    <w:p>
      <w:pPr>
        <w:pStyle w:val="37"/>
        <w:tabs>
          <w:tab w:val="right" w:leader="dot" w:pos="8306"/>
          <w:tab w:val="clear" w:pos="8720"/>
        </w:tabs>
        <w:ind w:left="0" w:leftChars="0" w:firstLine="220" w:firstLineChars="11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二、资格响应文件</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_Toc22407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44</w:t>
      </w:r>
      <w:r>
        <w:rPr>
          <w:rFonts w:hint="eastAsia" w:asciiTheme="minorEastAsia" w:hAnsiTheme="minorEastAsia" w:eastAsiaTheme="minorEastAsia" w:cstheme="minorEastAsia"/>
          <w:color w:val="auto"/>
          <w:szCs w:val="21"/>
        </w:rPr>
        <w:fldChar w:fldCharType="end"/>
      </w:r>
    </w:p>
    <w:p>
      <w:pPr>
        <w:pStyle w:val="37"/>
        <w:tabs>
          <w:tab w:val="right" w:leader="dot" w:pos="8306"/>
          <w:tab w:val="clear" w:pos="8720"/>
        </w:tabs>
        <w:ind w:left="0" w:leftChars="0" w:firstLine="220" w:firstLineChars="11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三、商务技术响应文件部分格式</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_Toc14382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50</w:t>
      </w:r>
      <w:r>
        <w:rPr>
          <w:rFonts w:hint="eastAsia" w:asciiTheme="minorEastAsia" w:hAnsiTheme="minorEastAsia" w:eastAsiaTheme="minorEastAsia" w:cstheme="minorEastAsia"/>
          <w:color w:val="auto"/>
          <w:szCs w:val="21"/>
        </w:rPr>
        <w:fldChar w:fldCharType="end"/>
      </w:r>
    </w:p>
    <w:p>
      <w:pPr>
        <w:pStyle w:val="37"/>
        <w:tabs>
          <w:tab w:val="right" w:leader="dot" w:pos="8306"/>
          <w:tab w:val="clear" w:pos="8720"/>
        </w:tabs>
        <w:ind w:left="0" w:leftChars="0" w:firstLine="220" w:firstLineChars="11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四、报价响应文件部分格式</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_Toc8838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58</w:t>
      </w:r>
      <w:r>
        <w:rPr>
          <w:rFonts w:hint="eastAsia" w:asciiTheme="minorEastAsia" w:hAnsiTheme="minorEastAsia" w:eastAsiaTheme="minorEastAsia" w:cstheme="minorEastAsia"/>
          <w:color w:val="auto"/>
          <w:szCs w:val="21"/>
        </w:rPr>
        <w:fldChar w:fldCharType="end"/>
      </w:r>
    </w:p>
    <w:p>
      <w:pPr>
        <w:pStyle w:val="32"/>
        <w:tabs>
          <w:tab w:val="right" w:leader="dot" w:pos="8306"/>
          <w:tab w:val="clear" w:pos="8720"/>
        </w:tabs>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30"/>
        </w:rPr>
        <w:t>第七部分   其它</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_Toc18311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65</w:t>
      </w:r>
      <w:r>
        <w:rPr>
          <w:rFonts w:hint="eastAsia" w:asciiTheme="minorEastAsia" w:hAnsiTheme="minorEastAsia" w:eastAsiaTheme="minorEastAsia" w:cstheme="minorEastAsia"/>
          <w:color w:val="auto"/>
        </w:rPr>
        <w:fldChar w:fldCharType="end"/>
      </w:r>
    </w:p>
    <w:p>
      <w:pPr>
        <w:jc w:val="center"/>
        <w:rPr>
          <w:rFonts w:hint="eastAsia" w:asciiTheme="minorEastAsia" w:hAnsiTheme="minorEastAsia" w:eastAsiaTheme="minorEastAsia" w:cstheme="minorEastAsia"/>
          <w:color w:val="auto"/>
          <w:szCs w:val="21"/>
        </w:rPr>
        <w:sectPr>
          <w:headerReference r:id="rId3" w:type="default"/>
          <w:footerReference r:id="rId4" w:type="default"/>
          <w:pgSz w:w="11906" w:h="16838"/>
          <w:pgMar w:top="1440" w:right="1800" w:bottom="1440" w:left="1800" w:header="851" w:footer="992" w:gutter="0"/>
          <w:pgNumType w:start="0"/>
          <w:cols w:space="720" w:num="1"/>
          <w:titlePg/>
          <w:docGrid w:type="lines" w:linePitch="312" w:charSpace="0"/>
        </w:sectPr>
      </w:pPr>
      <w:r>
        <w:rPr>
          <w:rFonts w:hint="eastAsia" w:asciiTheme="minorEastAsia" w:hAnsiTheme="minorEastAsia" w:eastAsiaTheme="minorEastAsia" w:cstheme="minorEastAsia"/>
          <w:color w:val="auto"/>
          <w:szCs w:val="21"/>
        </w:rPr>
        <w:fldChar w:fldCharType="end"/>
      </w:r>
    </w:p>
    <w:p>
      <w:pPr>
        <w:adjustRightInd w:val="0"/>
        <w:snapToGrid w:val="0"/>
        <w:spacing w:before="120" w:beforeLines="50" w:after="120" w:afterLines="50" w:line="360" w:lineRule="auto"/>
        <w:jc w:val="center"/>
        <w:outlineLvl w:val="0"/>
        <w:rPr>
          <w:rFonts w:hint="eastAsia" w:asciiTheme="minorEastAsia" w:hAnsiTheme="minorEastAsia" w:eastAsiaTheme="minorEastAsia" w:cstheme="minorEastAsia"/>
          <w:b/>
          <w:color w:val="auto"/>
          <w:sz w:val="30"/>
          <w:szCs w:val="30"/>
        </w:rPr>
      </w:pPr>
      <w:bookmarkStart w:id="1" w:name="_Toc21665"/>
      <w:bookmarkStart w:id="2" w:name="_Toc25812"/>
      <w:r>
        <w:rPr>
          <w:rFonts w:hint="eastAsia" w:asciiTheme="minorEastAsia" w:hAnsiTheme="minorEastAsia" w:eastAsiaTheme="minorEastAsia" w:cstheme="minorEastAsia"/>
          <w:b/>
          <w:color w:val="auto"/>
          <w:sz w:val="30"/>
          <w:szCs w:val="30"/>
        </w:rPr>
        <w:t>第一部分  采购公告</w:t>
      </w:r>
      <w:bookmarkEnd w:id="1"/>
      <w:bookmarkEnd w:id="2"/>
    </w:p>
    <w:p>
      <w:pPr>
        <w:widowControl/>
        <w:adjustRightInd w:val="0"/>
        <w:snapToGrid w:val="0"/>
        <w:spacing w:line="360" w:lineRule="auto"/>
        <w:ind w:firstLine="420" w:firstLineChars="200"/>
        <w:jc w:val="left"/>
        <w:rPr>
          <w:rFonts w:hint="eastAsia" w:asciiTheme="minorEastAsia" w:hAnsiTheme="minorEastAsia" w:eastAsiaTheme="minorEastAsia" w:cstheme="minorEastAsia"/>
          <w:color w:val="auto"/>
          <w:kern w:val="0"/>
          <w:szCs w:val="21"/>
        </w:rPr>
      </w:pPr>
      <w:bookmarkStart w:id="3" w:name="_Toc251221438"/>
      <w:bookmarkStart w:id="4" w:name="_Toc251189093"/>
      <w:bookmarkStart w:id="5" w:name="_Toc185012671"/>
      <w:r>
        <w:rPr>
          <w:rFonts w:hint="eastAsia" w:asciiTheme="minorEastAsia" w:hAnsiTheme="minorEastAsia" w:eastAsiaTheme="minorEastAsia" w:cstheme="minorEastAsia"/>
          <w:color w:val="auto"/>
          <w:kern w:val="0"/>
          <w:szCs w:val="21"/>
        </w:rPr>
        <w:t>根据《中华人民共和国政府采购法》等有关规定，浙江国际招（投）标公司受浙江省生态环境厅委托，就“</w:t>
      </w:r>
      <w:r>
        <w:rPr>
          <w:rFonts w:hint="eastAsia" w:asciiTheme="minorEastAsia" w:hAnsiTheme="minorEastAsia" w:eastAsiaTheme="minorEastAsia" w:cstheme="minorEastAsia"/>
          <w:color w:val="auto"/>
          <w:kern w:val="0"/>
          <w:szCs w:val="21"/>
          <w:u w:val="single"/>
        </w:rPr>
        <w:t>2020年浙江省碳交易纳入企业温室气体排放报告核查复查项目</w:t>
      </w:r>
      <w:r>
        <w:rPr>
          <w:rFonts w:hint="eastAsia" w:asciiTheme="minorEastAsia" w:hAnsiTheme="minorEastAsia" w:eastAsiaTheme="minorEastAsia" w:cstheme="minorEastAsia"/>
          <w:color w:val="auto"/>
          <w:kern w:val="0"/>
          <w:szCs w:val="21"/>
        </w:rPr>
        <w:t xml:space="preserve">”进行公开招标，欢迎国内合格的投标人前来投标。 </w:t>
      </w:r>
    </w:p>
    <w:p>
      <w:pPr>
        <w:widowControl/>
        <w:adjustRightInd w:val="0"/>
        <w:snapToGrid w:val="0"/>
        <w:spacing w:line="360" w:lineRule="auto"/>
        <w:ind w:firstLine="422" w:firstLineChars="200"/>
        <w:jc w:val="left"/>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 xml:space="preserve">一、采购项目编号：ZJ-204228    </w:t>
      </w:r>
    </w:p>
    <w:p>
      <w:pPr>
        <w:widowControl/>
        <w:adjustRightInd w:val="0"/>
        <w:snapToGrid w:val="0"/>
        <w:spacing w:line="360" w:lineRule="auto"/>
        <w:ind w:firstLine="422" w:firstLineChars="200"/>
        <w:jc w:val="left"/>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二、项目名称：2020年浙江省碳交易纳入企业温室气体排放报告核查复查项目</w:t>
      </w:r>
    </w:p>
    <w:p>
      <w:pPr>
        <w:widowControl/>
        <w:adjustRightInd w:val="0"/>
        <w:snapToGrid w:val="0"/>
        <w:spacing w:line="360" w:lineRule="auto"/>
        <w:ind w:firstLine="422" w:firstLineChars="200"/>
        <w:jc w:val="left"/>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三、采购方式：公开招标</w:t>
      </w:r>
    </w:p>
    <w:p>
      <w:pPr>
        <w:widowControl/>
        <w:adjustRightInd w:val="0"/>
        <w:snapToGrid w:val="0"/>
        <w:spacing w:line="360" w:lineRule="auto"/>
        <w:ind w:firstLine="422" w:firstLineChars="200"/>
        <w:jc w:val="left"/>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四、招标项目概况：</w:t>
      </w:r>
    </w:p>
    <w:tbl>
      <w:tblPr>
        <w:tblStyle w:val="48"/>
        <w:tblW w:w="8711" w:type="dxa"/>
        <w:tblInd w:w="0" w:type="dxa"/>
        <w:tblLayout w:type="fixed"/>
        <w:tblCellMar>
          <w:top w:w="15" w:type="dxa"/>
          <w:left w:w="15" w:type="dxa"/>
          <w:bottom w:w="15" w:type="dxa"/>
          <w:right w:w="15" w:type="dxa"/>
        </w:tblCellMar>
      </w:tblPr>
      <w:tblGrid>
        <w:gridCol w:w="644"/>
        <w:gridCol w:w="2131"/>
        <w:gridCol w:w="671"/>
        <w:gridCol w:w="585"/>
        <w:gridCol w:w="1080"/>
        <w:gridCol w:w="2655"/>
        <w:gridCol w:w="945"/>
      </w:tblGrid>
      <w:tr>
        <w:tblPrEx>
          <w:tblLayout w:type="fixed"/>
          <w:tblCellMar>
            <w:top w:w="15" w:type="dxa"/>
            <w:left w:w="15" w:type="dxa"/>
            <w:bottom w:w="15" w:type="dxa"/>
            <w:right w:w="15" w:type="dxa"/>
          </w:tblCellMar>
        </w:tblPrEx>
        <w:trPr>
          <w:trHeight w:val="510"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序号</w:t>
            </w:r>
          </w:p>
        </w:tc>
        <w:tc>
          <w:tcPr>
            <w:tcW w:w="21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标项名称</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采购</w:t>
            </w:r>
          </w:p>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数量</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单位</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预算总金额(万元)</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采购内容</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备注</w:t>
            </w:r>
          </w:p>
        </w:tc>
      </w:tr>
      <w:tr>
        <w:tblPrEx>
          <w:tblLayout w:type="fixed"/>
          <w:tblCellMar>
            <w:top w:w="15" w:type="dxa"/>
            <w:left w:w="15" w:type="dxa"/>
            <w:bottom w:w="15" w:type="dxa"/>
            <w:right w:w="15" w:type="dxa"/>
          </w:tblCellMar>
        </w:tblPrEx>
        <w:trPr>
          <w:trHeight w:val="1020"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1</w:t>
            </w:r>
          </w:p>
        </w:tc>
        <w:tc>
          <w:tcPr>
            <w:tcW w:w="21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u w:val="single"/>
              </w:rPr>
              <w:t>2020年浙江省碳交易纳入企业温室气体排放报告</w:t>
            </w:r>
            <w:r>
              <w:rPr>
                <w:rFonts w:hint="eastAsia" w:asciiTheme="minorEastAsia" w:hAnsiTheme="minorEastAsia" w:eastAsiaTheme="minorEastAsia" w:cstheme="minorEastAsia"/>
                <w:color w:val="auto"/>
                <w:kern w:val="0"/>
                <w:szCs w:val="21"/>
                <w:lang w:bidi="ar"/>
              </w:rPr>
              <w:t>复查标项1</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1</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项</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rPr>
              <w:t>74</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碳报告复查，</w:t>
            </w:r>
            <w:r>
              <w:rPr>
                <w:rFonts w:hint="eastAsia" w:asciiTheme="minorEastAsia" w:hAnsiTheme="minorEastAsia" w:eastAsiaTheme="minorEastAsia" w:cstheme="minorEastAsia"/>
                <w:snapToGrid w:val="0"/>
                <w:color w:val="auto"/>
                <w:kern w:val="0"/>
                <w:szCs w:val="21"/>
              </w:rPr>
              <w:t>碳交易（74家）：10个地市</w:t>
            </w:r>
          </w:p>
        </w:tc>
        <w:tc>
          <w:tcPr>
            <w:tcW w:w="9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复查</w:t>
            </w:r>
          </w:p>
        </w:tc>
      </w:tr>
      <w:tr>
        <w:tblPrEx>
          <w:tblLayout w:type="fixed"/>
          <w:tblCellMar>
            <w:top w:w="15" w:type="dxa"/>
            <w:left w:w="15" w:type="dxa"/>
            <w:bottom w:w="15" w:type="dxa"/>
            <w:right w:w="15" w:type="dxa"/>
          </w:tblCellMar>
        </w:tblPrEx>
        <w:trPr>
          <w:trHeight w:val="1020"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2</w:t>
            </w:r>
          </w:p>
        </w:tc>
        <w:tc>
          <w:tcPr>
            <w:tcW w:w="21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u w:val="single"/>
              </w:rPr>
              <w:t>2020年浙江省碳交易纳入企业温室气体排放报告</w:t>
            </w:r>
            <w:r>
              <w:rPr>
                <w:rFonts w:hint="eastAsia" w:asciiTheme="minorEastAsia" w:hAnsiTheme="minorEastAsia" w:eastAsiaTheme="minorEastAsia" w:cstheme="minorEastAsia"/>
                <w:color w:val="auto"/>
                <w:kern w:val="0"/>
                <w:szCs w:val="21"/>
                <w:lang w:bidi="ar"/>
              </w:rPr>
              <w:t>复查标项2</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1</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项</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rPr>
              <w:t>73</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碳报告复查，</w:t>
            </w:r>
            <w:r>
              <w:rPr>
                <w:rFonts w:hint="eastAsia" w:asciiTheme="minorEastAsia" w:hAnsiTheme="minorEastAsia" w:eastAsiaTheme="minorEastAsia" w:cstheme="minorEastAsia"/>
                <w:snapToGrid w:val="0"/>
                <w:color w:val="auto"/>
                <w:kern w:val="0"/>
                <w:szCs w:val="21"/>
              </w:rPr>
              <w:t>碳交易（73家）：10个地市</w:t>
            </w: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color w:val="auto"/>
                <w:szCs w:val="21"/>
              </w:rPr>
            </w:pPr>
          </w:p>
        </w:tc>
      </w:tr>
      <w:tr>
        <w:tblPrEx>
          <w:tblLayout w:type="fixed"/>
          <w:tblCellMar>
            <w:top w:w="15" w:type="dxa"/>
            <w:left w:w="15" w:type="dxa"/>
            <w:bottom w:w="15" w:type="dxa"/>
            <w:right w:w="15" w:type="dxa"/>
          </w:tblCellMar>
        </w:tblPrEx>
        <w:trPr>
          <w:trHeight w:val="1020"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3</w:t>
            </w:r>
          </w:p>
        </w:tc>
        <w:tc>
          <w:tcPr>
            <w:tcW w:w="21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u w:val="single"/>
              </w:rPr>
              <w:t>2020年浙江省碳交易纳入企业温室气体排放报告</w:t>
            </w:r>
            <w:r>
              <w:rPr>
                <w:rFonts w:hint="eastAsia" w:asciiTheme="minorEastAsia" w:hAnsiTheme="minorEastAsia" w:eastAsiaTheme="minorEastAsia" w:cstheme="minorEastAsia"/>
                <w:color w:val="auto"/>
                <w:kern w:val="0"/>
                <w:szCs w:val="21"/>
                <w:lang w:bidi="ar"/>
              </w:rPr>
              <w:t>复查标项3</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1</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项</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rPr>
              <w:t>53</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碳报告复查，</w:t>
            </w:r>
            <w:r>
              <w:rPr>
                <w:rFonts w:hint="eastAsia" w:asciiTheme="minorEastAsia" w:hAnsiTheme="minorEastAsia" w:eastAsiaTheme="minorEastAsia" w:cstheme="minorEastAsia"/>
                <w:snapToGrid w:val="0"/>
                <w:color w:val="auto"/>
                <w:kern w:val="0"/>
                <w:szCs w:val="21"/>
              </w:rPr>
              <w:t>碳交易（53家）：10个地市</w:t>
            </w: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color w:val="auto"/>
                <w:szCs w:val="21"/>
              </w:rPr>
            </w:pPr>
          </w:p>
        </w:tc>
      </w:tr>
      <w:tr>
        <w:tblPrEx>
          <w:tblLayout w:type="fixed"/>
          <w:tblCellMar>
            <w:top w:w="15" w:type="dxa"/>
            <w:left w:w="15" w:type="dxa"/>
            <w:bottom w:w="15" w:type="dxa"/>
            <w:right w:w="15" w:type="dxa"/>
          </w:tblCellMar>
        </w:tblPrEx>
        <w:trPr>
          <w:trHeight w:val="1381"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4</w:t>
            </w:r>
          </w:p>
        </w:tc>
        <w:tc>
          <w:tcPr>
            <w:tcW w:w="21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u w:val="single"/>
              </w:rPr>
              <w:t>2020年浙江省碳交易纳入企业温室气体排放报告</w:t>
            </w:r>
            <w:r>
              <w:rPr>
                <w:rFonts w:hint="eastAsia" w:asciiTheme="minorEastAsia" w:hAnsiTheme="minorEastAsia" w:eastAsiaTheme="minorEastAsia" w:cstheme="minorEastAsia"/>
                <w:color w:val="auto"/>
                <w:kern w:val="0"/>
                <w:szCs w:val="21"/>
                <w:lang w:bidi="ar"/>
              </w:rPr>
              <w:t>核查标项4</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1</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项</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82</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碳报告核查，</w:t>
            </w:r>
            <w:r>
              <w:rPr>
                <w:rFonts w:hint="eastAsia" w:asciiTheme="minorEastAsia" w:hAnsiTheme="minorEastAsia" w:eastAsiaTheme="minorEastAsia" w:cstheme="minorEastAsia"/>
                <w:snapToGrid w:val="0"/>
                <w:color w:val="auto"/>
                <w:kern w:val="0"/>
                <w:szCs w:val="21"/>
              </w:rPr>
              <w:t>碳交易（41家）：杭州+温州</w:t>
            </w:r>
          </w:p>
        </w:tc>
        <w:tc>
          <w:tcPr>
            <w:tcW w:w="9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核查</w:t>
            </w:r>
          </w:p>
        </w:tc>
      </w:tr>
      <w:tr>
        <w:tblPrEx>
          <w:tblLayout w:type="fixed"/>
          <w:tblCellMar>
            <w:top w:w="15" w:type="dxa"/>
            <w:left w:w="15" w:type="dxa"/>
            <w:bottom w:w="15" w:type="dxa"/>
            <w:right w:w="15" w:type="dxa"/>
          </w:tblCellMar>
        </w:tblPrEx>
        <w:trPr>
          <w:trHeight w:val="1020"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5</w:t>
            </w:r>
          </w:p>
        </w:tc>
        <w:tc>
          <w:tcPr>
            <w:tcW w:w="21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u w:val="single"/>
              </w:rPr>
              <w:t>2020年浙江省碳交易纳入企业温室气体排放报告</w:t>
            </w:r>
            <w:r>
              <w:rPr>
                <w:rFonts w:hint="eastAsia" w:asciiTheme="minorEastAsia" w:hAnsiTheme="minorEastAsia" w:eastAsiaTheme="minorEastAsia" w:cstheme="minorEastAsia"/>
                <w:color w:val="auto"/>
                <w:kern w:val="0"/>
                <w:szCs w:val="21"/>
                <w:lang w:bidi="ar"/>
              </w:rPr>
              <w:t>核查标项5</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1</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项</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80</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碳报告核查，</w:t>
            </w:r>
            <w:r>
              <w:rPr>
                <w:rFonts w:hint="eastAsia" w:asciiTheme="minorEastAsia" w:hAnsiTheme="minorEastAsia" w:eastAsiaTheme="minorEastAsia" w:cstheme="minorEastAsia"/>
                <w:snapToGrid w:val="0"/>
                <w:color w:val="auto"/>
                <w:kern w:val="0"/>
                <w:szCs w:val="21"/>
              </w:rPr>
              <w:t>碳交易（40家）：杭州+金华</w:t>
            </w: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color w:val="auto"/>
                <w:szCs w:val="21"/>
              </w:rPr>
            </w:pPr>
          </w:p>
        </w:tc>
      </w:tr>
      <w:tr>
        <w:tblPrEx>
          <w:tblLayout w:type="fixed"/>
          <w:tblCellMar>
            <w:top w:w="15" w:type="dxa"/>
            <w:left w:w="15" w:type="dxa"/>
            <w:bottom w:w="15" w:type="dxa"/>
            <w:right w:w="15" w:type="dxa"/>
          </w:tblCellMar>
        </w:tblPrEx>
        <w:trPr>
          <w:trHeight w:val="1020"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6</w:t>
            </w:r>
          </w:p>
        </w:tc>
        <w:tc>
          <w:tcPr>
            <w:tcW w:w="21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u w:val="single"/>
              </w:rPr>
              <w:t>2020年浙江省碳交易纳入企业温室气体排放报告</w:t>
            </w:r>
            <w:r>
              <w:rPr>
                <w:rFonts w:hint="eastAsia" w:asciiTheme="minorEastAsia" w:hAnsiTheme="minorEastAsia" w:eastAsiaTheme="minorEastAsia" w:cstheme="minorEastAsia"/>
                <w:color w:val="auto"/>
                <w:kern w:val="0"/>
                <w:szCs w:val="21"/>
                <w:lang w:bidi="ar"/>
              </w:rPr>
              <w:t>核查标项6</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1</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项</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78</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碳报告核查，</w:t>
            </w:r>
            <w:r>
              <w:rPr>
                <w:rFonts w:hint="eastAsia" w:asciiTheme="minorEastAsia" w:hAnsiTheme="minorEastAsia" w:eastAsiaTheme="minorEastAsia" w:cstheme="minorEastAsia"/>
                <w:snapToGrid w:val="0"/>
                <w:color w:val="auto"/>
                <w:kern w:val="0"/>
                <w:szCs w:val="21"/>
              </w:rPr>
              <w:t>碳交易（39家）：杭州+嘉兴</w:t>
            </w: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color w:val="auto"/>
                <w:szCs w:val="21"/>
              </w:rPr>
            </w:pPr>
          </w:p>
        </w:tc>
      </w:tr>
      <w:tr>
        <w:tblPrEx>
          <w:tblLayout w:type="fixed"/>
          <w:tblCellMar>
            <w:top w:w="15" w:type="dxa"/>
            <w:left w:w="15" w:type="dxa"/>
            <w:bottom w:w="15" w:type="dxa"/>
            <w:right w:w="15" w:type="dxa"/>
          </w:tblCellMar>
        </w:tblPrEx>
        <w:trPr>
          <w:trHeight w:val="1020"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7</w:t>
            </w:r>
          </w:p>
        </w:tc>
        <w:tc>
          <w:tcPr>
            <w:tcW w:w="21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u w:val="single"/>
              </w:rPr>
              <w:t>2020年浙江省碳交易纳入企业温室气体排放报告</w:t>
            </w:r>
            <w:r>
              <w:rPr>
                <w:rFonts w:hint="eastAsia" w:asciiTheme="minorEastAsia" w:hAnsiTheme="minorEastAsia" w:eastAsiaTheme="minorEastAsia" w:cstheme="minorEastAsia"/>
                <w:color w:val="auto"/>
                <w:kern w:val="0"/>
                <w:szCs w:val="21"/>
                <w:lang w:bidi="ar"/>
              </w:rPr>
              <w:t>核查标项7</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1</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项</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76</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碳报告核查，</w:t>
            </w:r>
            <w:r>
              <w:rPr>
                <w:rFonts w:hint="eastAsia" w:asciiTheme="minorEastAsia" w:hAnsiTheme="minorEastAsia" w:eastAsiaTheme="minorEastAsia" w:cstheme="minorEastAsia"/>
                <w:snapToGrid w:val="0"/>
                <w:color w:val="auto"/>
                <w:kern w:val="0"/>
                <w:szCs w:val="21"/>
              </w:rPr>
              <w:t>碳交易（38家）：嘉兴+舟山</w:t>
            </w: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color w:val="auto"/>
                <w:szCs w:val="21"/>
              </w:rPr>
            </w:pPr>
          </w:p>
        </w:tc>
      </w:tr>
      <w:tr>
        <w:tblPrEx>
          <w:tblLayout w:type="fixed"/>
          <w:tblCellMar>
            <w:top w:w="15" w:type="dxa"/>
            <w:left w:w="15" w:type="dxa"/>
            <w:bottom w:w="15" w:type="dxa"/>
            <w:right w:w="15" w:type="dxa"/>
          </w:tblCellMar>
        </w:tblPrEx>
        <w:trPr>
          <w:trHeight w:val="1020"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8</w:t>
            </w:r>
          </w:p>
        </w:tc>
        <w:tc>
          <w:tcPr>
            <w:tcW w:w="21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u w:val="single"/>
              </w:rPr>
              <w:t>2020年浙江省碳交易纳入企业温室气体排放报告</w:t>
            </w:r>
            <w:r>
              <w:rPr>
                <w:rFonts w:hint="eastAsia" w:asciiTheme="minorEastAsia" w:hAnsiTheme="minorEastAsia" w:eastAsiaTheme="minorEastAsia" w:cstheme="minorEastAsia"/>
                <w:color w:val="auto"/>
                <w:kern w:val="0"/>
                <w:szCs w:val="21"/>
                <w:lang w:bidi="ar"/>
              </w:rPr>
              <w:t>核查标项8</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1</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项</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72</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碳报告核查，</w:t>
            </w:r>
            <w:r>
              <w:rPr>
                <w:rFonts w:hint="eastAsia" w:asciiTheme="minorEastAsia" w:hAnsiTheme="minorEastAsia" w:eastAsiaTheme="minorEastAsia" w:cstheme="minorEastAsia"/>
                <w:snapToGrid w:val="0"/>
                <w:color w:val="auto"/>
                <w:kern w:val="0"/>
                <w:szCs w:val="21"/>
              </w:rPr>
              <w:t>碳交易（36家）：嘉兴+湖州</w:t>
            </w: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color w:val="auto"/>
                <w:szCs w:val="21"/>
              </w:rPr>
            </w:pPr>
          </w:p>
        </w:tc>
      </w:tr>
      <w:tr>
        <w:tblPrEx>
          <w:tblLayout w:type="fixed"/>
          <w:tblCellMar>
            <w:top w:w="15" w:type="dxa"/>
            <w:left w:w="15" w:type="dxa"/>
            <w:bottom w:w="15" w:type="dxa"/>
            <w:right w:w="15" w:type="dxa"/>
          </w:tblCellMar>
        </w:tblPrEx>
        <w:trPr>
          <w:trHeight w:val="1275"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9</w:t>
            </w:r>
          </w:p>
        </w:tc>
        <w:tc>
          <w:tcPr>
            <w:tcW w:w="21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u w:val="single"/>
              </w:rPr>
              <w:t>2020年浙江省碳交易纳入企业温室气体排放报告</w:t>
            </w:r>
            <w:r>
              <w:rPr>
                <w:rFonts w:hint="eastAsia" w:asciiTheme="minorEastAsia" w:hAnsiTheme="minorEastAsia" w:eastAsiaTheme="minorEastAsia" w:cstheme="minorEastAsia"/>
                <w:color w:val="auto"/>
                <w:kern w:val="0"/>
                <w:szCs w:val="21"/>
                <w:lang w:bidi="ar"/>
              </w:rPr>
              <w:t>核查标项9</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1</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项</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70</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碳报告核查，</w:t>
            </w:r>
            <w:r>
              <w:rPr>
                <w:rFonts w:hint="eastAsia" w:asciiTheme="minorEastAsia" w:hAnsiTheme="minorEastAsia" w:eastAsiaTheme="minorEastAsia" w:cstheme="minorEastAsia"/>
                <w:snapToGrid w:val="0"/>
                <w:color w:val="auto"/>
                <w:kern w:val="0"/>
                <w:szCs w:val="21"/>
              </w:rPr>
              <w:t>碳交易（35家）：衢州+台州</w:t>
            </w: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color w:val="auto"/>
                <w:szCs w:val="21"/>
              </w:rPr>
            </w:pPr>
          </w:p>
        </w:tc>
      </w:tr>
      <w:tr>
        <w:tblPrEx>
          <w:tblLayout w:type="fixed"/>
          <w:tblCellMar>
            <w:top w:w="15" w:type="dxa"/>
            <w:left w:w="15" w:type="dxa"/>
            <w:bottom w:w="15" w:type="dxa"/>
            <w:right w:w="15" w:type="dxa"/>
          </w:tblCellMar>
        </w:tblPrEx>
        <w:trPr>
          <w:trHeight w:val="1020"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10</w:t>
            </w:r>
          </w:p>
        </w:tc>
        <w:tc>
          <w:tcPr>
            <w:tcW w:w="21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u w:val="single"/>
              </w:rPr>
              <w:t>2020年浙江省碳交易纳入企业温室气体排放报告</w:t>
            </w:r>
            <w:r>
              <w:rPr>
                <w:rFonts w:hint="eastAsia" w:asciiTheme="minorEastAsia" w:hAnsiTheme="minorEastAsia" w:eastAsiaTheme="minorEastAsia" w:cstheme="minorEastAsia"/>
                <w:color w:val="auto"/>
                <w:kern w:val="0"/>
                <w:szCs w:val="21"/>
                <w:lang w:bidi="ar"/>
              </w:rPr>
              <w:t>核查标项10</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1</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项</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68</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碳报告核查，</w:t>
            </w:r>
            <w:r>
              <w:rPr>
                <w:rFonts w:hint="eastAsia" w:asciiTheme="minorEastAsia" w:hAnsiTheme="minorEastAsia" w:eastAsiaTheme="minorEastAsia" w:cstheme="minorEastAsia"/>
                <w:snapToGrid w:val="0"/>
                <w:color w:val="auto"/>
                <w:kern w:val="0"/>
                <w:szCs w:val="21"/>
              </w:rPr>
              <w:t>碳交易（34家）：绍兴+丽水</w:t>
            </w: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color w:val="auto"/>
                <w:szCs w:val="21"/>
              </w:rPr>
            </w:pPr>
          </w:p>
        </w:tc>
      </w:tr>
      <w:tr>
        <w:tblPrEx>
          <w:tblLayout w:type="fixed"/>
          <w:tblCellMar>
            <w:top w:w="15" w:type="dxa"/>
            <w:left w:w="15" w:type="dxa"/>
            <w:bottom w:w="15" w:type="dxa"/>
            <w:right w:w="15" w:type="dxa"/>
          </w:tblCellMar>
        </w:tblPrEx>
        <w:trPr>
          <w:trHeight w:val="1020"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11</w:t>
            </w:r>
          </w:p>
        </w:tc>
        <w:tc>
          <w:tcPr>
            <w:tcW w:w="21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u w:val="single"/>
              </w:rPr>
              <w:t>2020年浙江省碳交易纳入企业温室气体排放报告</w:t>
            </w:r>
            <w:r>
              <w:rPr>
                <w:rFonts w:hint="eastAsia" w:asciiTheme="minorEastAsia" w:hAnsiTheme="minorEastAsia" w:eastAsiaTheme="minorEastAsia" w:cstheme="minorEastAsia"/>
                <w:color w:val="auto"/>
                <w:kern w:val="0"/>
                <w:szCs w:val="21"/>
                <w:lang w:bidi="ar"/>
              </w:rPr>
              <w:t>核查标项11</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1</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项</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66</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碳报告核查，</w:t>
            </w:r>
            <w:r>
              <w:rPr>
                <w:rFonts w:hint="eastAsia" w:asciiTheme="minorEastAsia" w:hAnsiTheme="minorEastAsia" w:eastAsiaTheme="minorEastAsia" w:cstheme="minorEastAsia"/>
                <w:snapToGrid w:val="0"/>
                <w:color w:val="auto"/>
                <w:kern w:val="0"/>
                <w:szCs w:val="21"/>
              </w:rPr>
              <w:t>碳交易（33家）：绍兴+衢州</w:t>
            </w: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color w:val="auto"/>
                <w:szCs w:val="21"/>
              </w:rPr>
            </w:pPr>
          </w:p>
        </w:tc>
      </w:tr>
      <w:tr>
        <w:tblPrEx>
          <w:tblLayout w:type="fixed"/>
          <w:tblCellMar>
            <w:top w:w="15" w:type="dxa"/>
            <w:left w:w="15" w:type="dxa"/>
            <w:bottom w:w="15" w:type="dxa"/>
            <w:right w:w="15" w:type="dxa"/>
          </w:tblCellMar>
        </w:tblPrEx>
        <w:trPr>
          <w:trHeight w:val="1020"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12</w:t>
            </w:r>
          </w:p>
        </w:tc>
        <w:tc>
          <w:tcPr>
            <w:tcW w:w="21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u w:val="single"/>
              </w:rPr>
              <w:t>2020年浙江省碳交易纳入企业温室气体排放报告</w:t>
            </w:r>
            <w:r>
              <w:rPr>
                <w:rFonts w:hint="eastAsia" w:asciiTheme="minorEastAsia" w:hAnsiTheme="minorEastAsia" w:eastAsiaTheme="minorEastAsia" w:cstheme="minorEastAsia"/>
                <w:color w:val="auto"/>
                <w:kern w:val="0"/>
                <w:szCs w:val="21"/>
                <w:lang w:bidi="ar"/>
              </w:rPr>
              <w:t>核查标项12</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1</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项</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66</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碳报告核查，</w:t>
            </w:r>
            <w:r>
              <w:rPr>
                <w:rFonts w:hint="eastAsia" w:asciiTheme="minorEastAsia" w:hAnsiTheme="minorEastAsia" w:eastAsiaTheme="minorEastAsia" w:cstheme="minorEastAsia"/>
                <w:snapToGrid w:val="0"/>
                <w:color w:val="auto"/>
                <w:kern w:val="0"/>
                <w:szCs w:val="21"/>
              </w:rPr>
              <w:t>碳交易（33家）：湖州+绍兴</w:t>
            </w: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color w:val="auto"/>
                <w:szCs w:val="21"/>
              </w:rPr>
            </w:pPr>
          </w:p>
        </w:tc>
      </w:tr>
    </w:tbl>
    <w:p>
      <w:pPr>
        <w:widowControl/>
        <w:adjustRightInd w:val="0"/>
        <w:snapToGrid w:val="0"/>
        <w:spacing w:line="360" w:lineRule="auto"/>
        <w:ind w:firstLine="422" w:firstLineChars="200"/>
        <w:jc w:val="left"/>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五、投标人资格要求：</w:t>
      </w:r>
    </w:p>
    <w:p>
      <w:pPr>
        <w:widowControl/>
        <w:adjustRightInd w:val="0"/>
        <w:snapToGri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 基本资格条件：（1）符合《中华人民共和国政府采购法》第二十二条的规定；（2）未被“信用中国”（www.creditchina.gov.cn）、中国政府采购网（www.ccgp.gov.cn）列入失信被执行人、重大税收违法案件当事人名单、政府采购严重违法失信行为记录名单；</w:t>
      </w:r>
    </w:p>
    <w:p>
      <w:pPr>
        <w:widowControl/>
        <w:adjustRightInd w:val="0"/>
        <w:snapToGri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2. 特定资格条件：无。</w:t>
      </w:r>
    </w:p>
    <w:p>
      <w:pPr>
        <w:widowControl/>
        <w:adjustRightInd w:val="0"/>
        <w:snapToGri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eastAsia="zh-CN"/>
        </w:rPr>
        <w:t>是否允许联合体投标：</w:t>
      </w:r>
      <w:r>
        <w:rPr>
          <w:rFonts w:hint="eastAsia" w:asciiTheme="minorEastAsia" w:hAnsiTheme="minorEastAsia" w:eastAsiaTheme="minorEastAsia" w:cstheme="minorEastAsia"/>
          <w:color w:val="auto"/>
          <w:kern w:val="0"/>
          <w:szCs w:val="21"/>
          <w:lang w:val="en-US" w:eastAsia="zh-CN"/>
        </w:rPr>
        <w:t>不允许</w:t>
      </w:r>
      <w:r>
        <w:rPr>
          <w:rFonts w:hint="eastAsia" w:asciiTheme="minorEastAsia" w:hAnsiTheme="minorEastAsia" w:eastAsiaTheme="minorEastAsia" w:cstheme="minorEastAsia"/>
          <w:color w:val="auto"/>
          <w:kern w:val="0"/>
          <w:szCs w:val="21"/>
        </w:rPr>
        <w:t>。</w:t>
      </w:r>
    </w:p>
    <w:p>
      <w:pPr>
        <w:pStyle w:val="83"/>
        <w:widowControl/>
        <w:adjustRightInd w:val="0"/>
        <w:snapToGrid w:val="0"/>
        <w:spacing w:before="0" w:line="360" w:lineRule="auto"/>
        <w:ind w:firstLine="422"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六、投标人获取采购文件的方式：</w:t>
      </w:r>
    </w:p>
    <w:p>
      <w:pPr>
        <w:widowControl/>
        <w:adjustRightInd w:val="0"/>
        <w:snapToGri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 获取时间：公告发布时间至投标截止时间</w:t>
      </w:r>
    </w:p>
    <w:p>
      <w:pPr>
        <w:widowControl/>
        <w:adjustRightInd w:val="0"/>
        <w:snapToGri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2. 获取地址：政府采购云平台（www.zcygov.cn）</w:t>
      </w:r>
    </w:p>
    <w:p>
      <w:pPr>
        <w:widowControl/>
        <w:adjustRightInd w:val="0"/>
        <w:snapToGri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3. 获取采购文件方式：在线获取</w:t>
      </w:r>
    </w:p>
    <w:p>
      <w:pPr>
        <w:widowControl/>
        <w:adjustRightInd w:val="0"/>
        <w:snapToGri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项目不提供纸质版采购文件，潜在供应商可通过“政府采购云平台”在线获取；供应商只有在“政府采购云平台”完成获取采购文件申请并下载了采购文件后才视作依法获取采购文件（法律法规所指的供应商获取采购文件时间，以供应商完成获取采购文件申请后下载采购文件的时间为准）。</w:t>
      </w:r>
    </w:p>
    <w:p>
      <w:pPr>
        <w:widowControl/>
        <w:adjustRightInd w:val="0"/>
        <w:snapToGri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通过本公告下方“游客，浏览采购文件”下载的采购文件仅供浏览。</w:t>
      </w:r>
    </w:p>
    <w:p>
      <w:pPr>
        <w:widowControl/>
        <w:adjustRightInd w:val="0"/>
        <w:snapToGri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4.标书售价：免费</w:t>
      </w:r>
    </w:p>
    <w:p>
      <w:pPr>
        <w:widowControl/>
        <w:adjustRightInd w:val="0"/>
        <w:snapToGri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注：请供应商按上述要求获取招标文件，如未在“政采云”系统内完成相关流程，引起的投标无效责任自负。</w:t>
      </w:r>
    </w:p>
    <w:p>
      <w:pPr>
        <w:pStyle w:val="83"/>
        <w:widowControl/>
        <w:adjustRightInd w:val="0"/>
        <w:snapToGrid w:val="0"/>
        <w:spacing w:before="0" w:line="360" w:lineRule="auto"/>
        <w:ind w:firstLine="422"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七、投标截止时间：</w:t>
      </w:r>
      <w:r>
        <w:rPr>
          <w:rFonts w:hint="eastAsia" w:asciiTheme="minorEastAsia" w:hAnsiTheme="minorEastAsia" w:eastAsiaTheme="minorEastAsia" w:cstheme="minorEastAsia"/>
          <w:color w:val="FF0000"/>
        </w:rPr>
        <w:t>2020-</w:t>
      </w:r>
      <w:r>
        <w:rPr>
          <w:rFonts w:hint="eastAsia" w:asciiTheme="minorEastAsia" w:hAnsiTheme="minorEastAsia" w:eastAsiaTheme="minorEastAsia" w:cstheme="minorEastAsia"/>
          <w:color w:val="FF0000"/>
          <w:lang w:eastAsia="zh-CN"/>
        </w:rPr>
        <w:t>0</w:t>
      </w:r>
      <w:r>
        <w:rPr>
          <w:rFonts w:hint="eastAsia" w:asciiTheme="minorEastAsia" w:hAnsiTheme="minorEastAsia" w:eastAsiaTheme="minorEastAsia" w:cstheme="minorEastAsia"/>
          <w:color w:val="FF0000"/>
          <w:lang w:val="en-US" w:eastAsia="zh-CN"/>
        </w:rPr>
        <w:t>6</w:t>
      </w:r>
      <w:r>
        <w:rPr>
          <w:rFonts w:hint="eastAsia" w:asciiTheme="minorEastAsia" w:hAnsiTheme="minorEastAsia" w:eastAsiaTheme="minorEastAsia" w:cstheme="minorEastAsia"/>
          <w:color w:val="FF0000"/>
        </w:rPr>
        <w:t>-</w:t>
      </w:r>
      <w:r>
        <w:rPr>
          <w:rFonts w:hint="eastAsia" w:asciiTheme="minorEastAsia" w:hAnsiTheme="minorEastAsia" w:eastAsiaTheme="minorEastAsia" w:cstheme="minorEastAsia"/>
          <w:color w:val="FF0000"/>
          <w:lang w:val="en-US" w:eastAsia="zh-CN"/>
        </w:rPr>
        <w:t>03</w:t>
      </w:r>
      <w:r>
        <w:rPr>
          <w:rFonts w:hint="eastAsia" w:asciiTheme="minorEastAsia" w:hAnsiTheme="minorEastAsia" w:eastAsiaTheme="minorEastAsia" w:cstheme="minorEastAsia"/>
          <w:color w:val="FF0000"/>
        </w:rPr>
        <w:t xml:space="preserve">    </w:t>
      </w:r>
      <w:r>
        <w:rPr>
          <w:rFonts w:hint="eastAsia" w:asciiTheme="minorEastAsia" w:hAnsiTheme="minorEastAsia" w:eastAsiaTheme="minorEastAsia" w:cstheme="minorEastAsia"/>
          <w:color w:val="FF0000"/>
          <w:lang w:eastAsia="zh-CN"/>
        </w:rPr>
        <w:t>0</w:t>
      </w:r>
      <w:r>
        <w:rPr>
          <w:rFonts w:hint="eastAsia" w:asciiTheme="minorEastAsia" w:hAnsiTheme="minorEastAsia" w:eastAsiaTheme="minorEastAsia" w:cstheme="minorEastAsia"/>
          <w:color w:val="FF0000"/>
          <w:lang w:val="en-US" w:eastAsia="zh-CN"/>
        </w:rPr>
        <w:t>9</w:t>
      </w:r>
      <w:r>
        <w:rPr>
          <w:rFonts w:hint="eastAsia" w:asciiTheme="minorEastAsia" w:hAnsiTheme="minorEastAsia" w:eastAsiaTheme="minorEastAsia" w:cstheme="minorEastAsia"/>
          <w:color w:val="FF0000"/>
        </w:rPr>
        <w:t>:00:00</w:t>
      </w:r>
      <w:r>
        <w:rPr>
          <w:rFonts w:hint="eastAsia" w:asciiTheme="minorEastAsia" w:hAnsiTheme="minorEastAsia" w:eastAsiaTheme="minorEastAsia" w:cstheme="minorEastAsia"/>
          <w:color w:val="auto"/>
        </w:rPr>
        <w:t xml:space="preserve"> </w:t>
      </w:r>
    </w:p>
    <w:p>
      <w:pPr>
        <w:pStyle w:val="83"/>
        <w:widowControl/>
        <w:adjustRightInd w:val="0"/>
        <w:snapToGrid w:val="0"/>
        <w:spacing w:before="0" w:line="360" w:lineRule="auto"/>
        <w:ind w:firstLine="422"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八、投标地点：</w:t>
      </w:r>
      <w:r>
        <w:rPr>
          <w:rFonts w:hint="eastAsia" w:asciiTheme="minorEastAsia" w:hAnsiTheme="minorEastAsia" w:eastAsiaTheme="minorEastAsia" w:cstheme="minorEastAsia"/>
          <w:color w:val="auto"/>
          <w:lang w:val="en-US" w:eastAsia="zh-CN"/>
        </w:rPr>
        <w:t>杭州市文三路90号东部软件园二号楼六楼601会议室</w:t>
      </w:r>
    </w:p>
    <w:p>
      <w:pPr>
        <w:pStyle w:val="83"/>
        <w:widowControl/>
        <w:adjustRightInd w:val="0"/>
        <w:snapToGrid w:val="0"/>
        <w:spacing w:before="0" w:line="360" w:lineRule="auto"/>
        <w:ind w:firstLine="422"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投标人应于2020-</w:t>
      </w:r>
      <w:r>
        <w:rPr>
          <w:rFonts w:hint="eastAsia" w:asciiTheme="minorEastAsia" w:hAnsiTheme="minorEastAsia" w:eastAsiaTheme="minorEastAsia" w:cstheme="minorEastAsia"/>
          <w:color w:val="auto"/>
          <w:lang w:eastAsia="zh-CN"/>
        </w:rPr>
        <w:t>0</w:t>
      </w:r>
      <w:r>
        <w:rPr>
          <w:rFonts w:hint="eastAsia" w:asciiTheme="minorEastAsia" w:hAnsiTheme="minorEastAsia" w:eastAsiaTheme="minorEastAsia" w:cstheme="minorEastAsia"/>
          <w:color w:val="auto"/>
          <w:lang w:val="en-US" w:eastAsia="zh-CN"/>
        </w:rPr>
        <w:t>6</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03</w:t>
      </w:r>
      <w:r>
        <w:rPr>
          <w:rFonts w:hint="eastAsia" w:asciiTheme="minorEastAsia" w:hAnsiTheme="minorEastAsia" w:eastAsiaTheme="minorEastAsia" w:cstheme="minorEastAsia"/>
          <w:color w:val="auto"/>
        </w:rPr>
        <w:t xml:space="preserve">    </w:t>
      </w:r>
      <w:r>
        <w:rPr>
          <w:rFonts w:hint="eastAsia" w:asciiTheme="minorEastAsia" w:hAnsiTheme="minorEastAsia" w:eastAsiaTheme="minorEastAsia" w:cstheme="minorEastAsia"/>
          <w:color w:val="auto"/>
          <w:lang w:eastAsia="zh-CN"/>
        </w:rPr>
        <w:t>0</w:t>
      </w:r>
      <w:r>
        <w:rPr>
          <w:rFonts w:hint="eastAsia" w:asciiTheme="minorEastAsia" w:hAnsiTheme="minorEastAsia" w:eastAsiaTheme="minorEastAsia" w:cstheme="minorEastAsia"/>
          <w:color w:val="auto"/>
          <w:lang w:val="en-US" w:eastAsia="zh-CN"/>
        </w:rPr>
        <w:t>9</w:t>
      </w:r>
      <w:r>
        <w:rPr>
          <w:rFonts w:hint="eastAsia" w:asciiTheme="minorEastAsia" w:hAnsiTheme="minorEastAsia" w:eastAsiaTheme="minorEastAsia" w:cstheme="minorEastAsia"/>
          <w:color w:val="auto"/>
        </w:rPr>
        <w:t>:00:00之前将电子投标文件上传到“政采云”平台。</w:t>
      </w:r>
    </w:p>
    <w:p>
      <w:pPr>
        <w:pStyle w:val="83"/>
        <w:widowControl/>
        <w:adjustRightInd w:val="0"/>
        <w:snapToGrid w:val="0"/>
        <w:spacing w:before="0" w:line="360" w:lineRule="auto"/>
        <w:ind w:firstLine="422"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九、开标时间：2020-</w:t>
      </w:r>
      <w:r>
        <w:rPr>
          <w:rFonts w:hint="eastAsia" w:asciiTheme="minorEastAsia" w:hAnsiTheme="minorEastAsia" w:eastAsiaTheme="minorEastAsia" w:cstheme="minorEastAsia"/>
          <w:color w:val="auto"/>
          <w:lang w:eastAsia="zh-CN"/>
        </w:rPr>
        <w:t>0</w:t>
      </w:r>
      <w:r>
        <w:rPr>
          <w:rFonts w:hint="eastAsia" w:asciiTheme="minorEastAsia" w:hAnsiTheme="minorEastAsia" w:eastAsiaTheme="minorEastAsia" w:cstheme="minorEastAsia"/>
          <w:color w:val="auto"/>
          <w:lang w:val="en-US" w:eastAsia="zh-CN"/>
        </w:rPr>
        <w:t>6</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03</w:t>
      </w:r>
      <w:r>
        <w:rPr>
          <w:rFonts w:hint="eastAsia" w:asciiTheme="minorEastAsia" w:hAnsiTheme="minorEastAsia" w:eastAsiaTheme="minorEastAsia" w:cstheme="minorEastAsia"/>
          <w:color w:val="auto"/>
        </w:rPr>
        <w:t xml:space="preserve">    </w:t>
      </w:r>
      <w:r>
        <w:rPr>
          <w:rFonts w:hint="eastAsia" w:asciiTheme="minorEastAsia" w:hAnsiTheme="minorEastAsia" w:eastAsiaTheme="minorEastAsia" w:cstheme="minorEastAsia"/>
          <w:color w:val="auto"/>
          <w:lang w:eastAsia="zh-CN"/>
        </w:rPr>
        <w:t>0</w:t>
      </w:r>
      <w:r>
        <w:rPr>
          <w:rFonts w:hint="eastAsia" w:asciiTheme="minorEastAsia" w:hAnsiTheme="minorEastAsia" w:eastAsiaTheme="minorEastAsia" w:cstheme="minorEastAsia"/>
          <w:color w:val="auto"/>
          <w:lang w:val="en-US" w:eastAsia="zh-CN"/>
        </w:rPr>
        <w:t>9</w:t>
      </w:r>
      <w:r>
        <w:rPr>
          <w:rFonts w:hint="eastAsia" w:asciiTheme="minorEastAsia" w:hAnsiTheme="minorEastAsia" w:eastAsiaTheme="minorEastAsia" w:cstheme="minorEastAsia"/>
          <w:color w:val="auto"/>
        </w:rPr>
        <w:t xml:space="preserve">:00:00 </w:t>
      </w:r>
    </w:p>
    <w:p>
      <w:pPr>
        <w:pStyle w:val="83"/>
        <w:widowControl/>
        <w:adjustRightInd w:val="0"/>
        <w:snapToGrid w:val="0"/>
        <w:spacing w:before="0" w:line="360" w:lineRule="auto"/>
        <w:ind w:firstLine="422"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十、开标地点：</w:t>
      </w:r>
      <w:r>
        <w:rPr>
          <w:rFonts w:hint="eastAsia" w:asciiTheme="minorEastAsia" w:hAnsiTheme="minorEastAsia" w:eastAsiaTheme="minorEastAsia" w:cstheme="minorEastAsia"/>
          <w:color w:val="auto"/>
          <w:lang w:val="en-US" w:eastAsia="zh-CN"/>
        </w:rPr>
        <w:t>杭州市文三路90号东部软件园二号楼六楼601会议室</w:t>
      </w:r>
    </w:p>
    <w:p>
      <w:pPr>
        <w:pStyle w:val="83"/>
        <w:widowControl/>
        <w:adjustRightInd w:val="0"/>
        <w:snapToGrid w:val="0"/>
        <w:spacing w:before="0" w:line="360" w:lineRule="auto"/>
        <w:ind w:firstLine="422"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开标时间后30分钟内，供应商须登录“政采云”平台，用“项目采购-开标评标”功能解密投标文件。</w:t>
      </w:r>
    </w:p>
    <w:p>
      <w:pPr>
        <w:pStyle w:val="83"/>
        <w:widowControl/>
        <w:adjustRightInd w:val="0"/>
        <w:snapToGrid w:val="0"/>
        <w:spacing w:before="0" w:line="360" w:lineRule="auto"/>
        <w:ind w:firstLine="422"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十一、质疑和投诉：</w:t>
      </w:r>
    </w:p>
    <w:p>
      <w:pPr>
        <w:widowControl/>
        <w:adjustRightInd w:val="0"/>
        <w:snapToGri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供应商认为采购文件使自己的权益受到损害的，可以自收到采购文件之日（采购文件公告期限届满之前收到采购文件的，以完成获取采购文件申请后下载采购文件的时间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83"/>
        <w:widowControl/>
        <w:adjustRightInd w:val="0"/>
        <w:snapToGrid w:val="0"/>
        <w:spacing w:before="0" w:line="360" w:lineRule="auto"/>
        <w:ind w:firstLine="422"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十二、公告期限：5个工作日。</w:t>
      </w:r>
    </w:p>
    <w:p>
      <w:pPr>
        <w:pStyle w:val="83"/>
        <w:widowControl/>
        <w:adjustRightInd w:val="0"/>
        <w:snapToGrid w:val="0"/>
        <w:spacing w:before="0" w:line="360" w:lineRule="auto"/>
        <w:ind w:firstLine="422"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十三、质疑和投诉：</w:t>
      </w:r>
    </w:p>
    <w:p>
      <w:pPr>
        <w:widowControl/>
        <w:adjustRightInd w:val="0"/>
        <w:snapToGri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供应商认为采购文件使自己的权益受到损害的，可以自收到采购文件之日（采购文件公告期限届满之前收到采购文件的，以完成获取采购文件申请后下载采购文件的时间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83"/>
        <w:widowControl/>
        <w:adjustRightInd w:val="0"/>
        <w:snapToGrid w:val="0"/>
        <w:spacing w:before="0" w:line="360" w:lineRule="auto"/>
        <w:ind w:firstLine="422"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十四、其他事项：</w:t>
      </w:r>
    </w:p>
    <w:p>
      <w:pPr>
        <w:widowControl/>
        <w:adjustRightInd w:val="0"/>
        <w:snapToGri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 采购项目需要落实的政府采购政策：《政府采购促进中小企业发展暂行办法》、《关于促进残疾人就业政府采购政策的通知》（财库〔2017〕141号）、《关于政府采购支持监狱企业发展有关问题的通知》（财库〔2014〕68号）、《关于调整优化节能产品 环境标志产品 政府采购执行机制的通知》（财库〔2019〕9号）、《关于印发浙江省政府采购支持中小企业信用融资试点办法的通知》（浙财采监〔2012〕13号）。</w:t>
      </w:r>
    </w:p>
    <w:p>
      <w:pPr>
        <w:widowControl/>
        <w:adjustRightInd w:val="0"/>
        <w:snapToGri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2. 供应商注册：投标人应为浙江政府采购注册供应商；如尚未注册，务必在投标截止时间前登陆浙江政府采购网进行注册。</w:t>
      </w:r>
    </w:p>
    <w:p>
      <w:pPr>
        <w:widowControl/>
        <w:adjustRightInd w:val="0"/>
        <w:snapToGri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3. 本项目采取电子招投标，电子招投标有关事项说明如下：</w:t>
      </w:r>
    </w:p>
    <w:p>
      <w:pPr>
        <w:widowControl/>
        <w:adjustRightInd w:val="0"/>
        <w:snapToGri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本项目通过“政府采购云平台（www.zcygov.cn）”实行电子投标，供应商须安装客户端软件，并按照采购文件和电子交易平台的要求编制并加密投标、响应文件。供应商未按规定加密的投标、响应文件，电子交易平台将拒收并提示。</w:t>
      </w:r>
    </w:p>
    <w:p>
      <w:pPr>
        <w:widowControl/>
        <w:adjustRightInd w:val="0"/>
        <w:snapToGri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客户端软件下载方式：供应商可通过“浙江政府采购网-下载专区-电子交易客户端”进行下载。</w:t>
      </w:r>
    </w:p>
    <w:p>
      <w:pPr>
        <w:widowControl/>
        <w:adjustRightInd w:val="0"/>
        <w:snapToGri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（2）供应商须申领CA，并在政采云平台完成绑定方可进行投标文件的编制，CA相关操作可参考“浙江政府采购网-下载专区-电子交易客户端-CA驱动和申领流程”。</w:t>
      </w:r>
    </w:p>
    <w:p>
      <w:pPr>
        <w:widowControl/>
        <w:adjustRightInd w:val="0"/>
        <w:snapToGri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（3）若对项目采购电子交易系统操作有疑问，可登录政采云（https://www.zcygov.cn/），点击右侧咨询小采，获取采小蜜智能服务管家帮助，或拨打政采云服务热线400-881-7190获取热线服务帮助。</w:t>
      </w:r>
    </w:p>
    <w:p>
      <w:pPr>
        <w:widowControl/>
        <w:adjustRightInd w:val="0"/>
        <w:snapToGrid w:val="0"/>
        <w:spacing w:line="360" w:lineRule="auto"/>
        <w:ind w:firstLine="420" w:firstLineChars="200"/>
        <w:jc w:val="left"/>
        <w:rPr>
          <w:rFonts w:hint="eastAsia" w:asciiTheme="minorEastAsia" w:hAnsiTheme="minorEastAsia" w:eastAsiaTheme="minorEastAsia" w:cstheme="minorEastAsia"/>
          <w:color w:val="FF0000"/>
          <w:kern w:val="0"/>
          <w:szCs w:val="21"/>
          <w:lang w:val="en-US" w:eastAsia="zh-CN"/>
        </w:rPr>
      </w:pPr>
      <w:r>
        <w:rPr>
          <w:rFonts w:hint="eastAsia" w:asciiTheme="minorEastAsia" w:hAnsiTheme="minorEastAsia" w:eastAsiaTheme="minorEastAsia" w:cstheme="minorEastAsia"/>
          <w:color w:val="FF0000"/>
          <w:kern w:val="0"/>
          <w:szCs w:val="21"/>
          <w:lang w:val="en-US" w:eastAsia="zh-CN"/>
        </w:rPr>
        <w:t>4. 投标人可以同时参加所有复查类标项的投标，或者同时参加所有核查类标项的投标。但是投标人不能既参加复查类标项投标，又参加核查类标项投标。（同时参加复查以及核查标项投标的视为无效）</w:t>
      </w:r>
    </w:p>
    <w:p>
      <w:pPr>
        <w:widowControl/>
        <w:adjustRightInd w:val="0"/>
        <w:snapToGrid w:val="0"/>
        <w:spacing w:line="360" w:lineRule="auto"/>
        <w:ind w:firstLine="420" w:firstLineChars="200"/>
        <w:jc w:val="left"/>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FF0000"/>
          <w:kern w:val="0"/>
          <w:szCs w:val="21"/>
          <w:lang w:val="en-US" w:eastAsia="zh-CN"/>
        </w:rPr>
        <w:t>投标人无论参与多少标项，最多只能中其中一个标项。</w:t>
      </w:r>
    </w:p>
    <w:p>
      <w:pPr>
        <w:pStyle w:val="83"/>
        <w:widowControl/>
        <w:adjustRightInd w:val="0"/>
        <w:snapToGrid w:val="0"/>
        <w:spacing w:before="0" w:line="360" w:lineRule="auto"/>
        <w:ind w:firstLine="422"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十五、采购文件：</w:t>
      </w:r>
    </w:p>
    <w:p>
      <w:pPr>
        <w:widowControl/>
        <w:adjustRightInd w:val="0"/>
        <w:snapToGri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详见附件。</w:t>
      </w:r>
    </w:p>
    <w:p>
      <w:pPr>
        <w:pStyle w:val="83"/>
        <w:widowControl/>
        <w:adjustRightInd w:val="0"/>
        <w:snapToGrid w:val="0"/>
        <w:spacing w:before="0" w:line="360" w:lineRule="auto"/>
        <w:ind w:firstLine="422"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十六、公告发布范围： </w:t>
      </w:r>
    </w:p>
    <w:p>
      <w:pPr>
        <w:widowControl/>
        <w:adjustRightInd w:val="0"/>
        <w:snapToGri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xml:space="preserve">浙江政府采购网。 </w:t>
      </w:r>
    </w:p>
    <w:p>
      <w:pPr>
        <w:pStyle w:val="83"/>
        <w:widowControl/>
        <w:adjustRightInd w:val="0"/>
        <w:snapToGrid w:val="0"/>
        <w:spacing w:before="0" w:line="360" w:lineRule="auto"/>
        <w:ind w:firstLine="422"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十七、联系方式：</w:t>
      </w:r>
    </w:p>
    <w:p>
      <w:pPr>
        <w:widowControl/>
        <w:adjustRightInd w:val="0"/>
        <w:snapToGrid w:val="0"/>
        <w:spacing w:line="360" w:lineRule="auto"/>
        <w:ind w:firstLine="422" w:firstLineChars="200"/>
        <w:jc w:val="left"/>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1. 采购人名称: 浙江省生态环境厅</w:t>
      </w:r>
    </w:p>
    <w:p>
      <w:pPr>
        <w:widowControl/>
        <w:adjustRightInd w:val="0"/>
        <w:snapToGri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地址: 杭州市学院路117号</w:t>
      </w:r>
    </w:p>
    <w:p>
      <w:pPr>
        <w:widowControl/>
        <w:adjustRightInd w:val="0"/>
        <w:snapToGri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联系人：张莉</w:t>
      </w:r>
    </w:p>
    <w:p>
      <w:pPr>
        <w:widowControl/>
        <w:adjustRightInd w:val="0"/>
        <w:snapToGri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联系电话：</w:t>
      </w:r>
      <w:r>
        <w:rPr>
          <w:rFonts w:hint="eastAsia" w:asciiTheme="minorEastAsia" w:hAnsiTheme="minorEastAsia" w:eastAsiaTheme="minorEastAsia" w:cstheme="minorEastAsia"/>
          <w:color w:val="auto"/>
          <w:szCs w:val="21"/>
        </w:rPr>
        <w:t>0571-28992117</w:t>
      </w:r>
    </w:p>
    <w:p>
      <w:pPr>
        <w:widowControl/>
        <w:adjustRightInd w:val="0"/>
        <w:snapToGrid w:val="0"/>
        <w:spacing w:line="360" w:lineRule="auto"/>
        <w:ind w:firstLine="422" w:firstLineChars="200"/>
        <w:jc w:val="left"/>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2. 采购</w:t>
      </w:r>
      <w:r>
        <w:rPr>
          <w:rFonts w:hint="eastAsia" w:asciiTheme="minorEastAsia" w:hAnsiTheme="minorEastAsia" w:eastAsiaTheme="minorEastAsia" w:cstheme="minorEastAsia"/>
          <w:b/>
          <w:bCs/>
          <w:color w:val="auto"/>
          <w:kern w:val="0"/>
          <w:szCs w:val="21"/>
          <w:lang w:val="en-US" w:eastAsia="zh-CN"/>
        </w:rPr>
        <w:t>代理</w:t>
      </w:r>
      <w:r>
        <w:rPr>
          <w:rFonts w:hint="eastAsia" w:asciiTheme="minorEastAsia" w:hAnsiTheme="minorEastAsia" w:eastAsiaTheme="minorEastAsia" w:cstheme="minorEastAsia"/>
          <w:b/>
          <w:bCs/>
          <w:color w:val="auto"/>
          <w:kern w:val="0"/>
          <w:szCs w:val="21"/>
        </w:rPr>
        <w:t>机构名称：浙江国际招（投）标公司</w:t>
      </w:r>
    </w:p>
    <w:p>
      <w:pPr>
        <w:widowControl/>
        <w:adjustRightInd w:val="0"/>
        <w:snapToGri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地点：杭州市西湖区文三路90号东部软件园2号楼6楼</w:t>
      </w:r>
    </w:p>
    <w:p>
      <w:pPr>
        <w:widowControl/>
        <w:adjustRightInd w:val="0"/>
        <w:snapToGri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联系人：唐稳、张彦波</w:t>
      </w:r>
    </w:p>
    <w:p>
      <w:pPr>
        <w:widowControl/>
        <w:adjustRightInd w:val="0"/>
        <w:snapToGri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联系电话：0571-81061825</w:t>
      </w:r>
      <w:bookmarkStart w:id="102" w:name="_GoBack"/>
      <w:bookmarkEnd w:id="102"/>
    </w:p>
    <w:p>
      <w:pPr>
        <w:widowControl/>
        <w:adjustRightInd w:val="0"/>
        <w:snapToGri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传真：0571-88473411</w:t>
      </w:r>
    </w:p>
    <w:p>
      <w:pPr>
        <w:widowControl/>
        <w:adjustRightInd w:val="0"/>
        <w:snapToGri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质疑接收人：赵娟    （仅负责质疑事项，招标</w:t>
      </w:r>
      <w:r>
        <w:rPr>
          <w:rFonts w:hint="eastAsia" w:asciiTheme="minorEastAsia" w:hAnsiTheme="minorEastAsia" w:eastAsiaTheme="minorEastAsia" w:cstheme="minorEastAsia"/>
          <w:color w:val="auto"/>
          <w:kern w:val="0"/>
          <w:szCs w:val="21"/>
          <w:lang w:val="en-US" w:eastAsia="zh-CN"/>
        </w:rPr>
        <w:t>答疑</w:t>
      </w:r>
      <w:r>
        <w:rPr>
          <w:rFonts w:hint="eastAsia" w:asciiTheme="minorEastAsia" w:hAnsiTheme="minorEastAsia" w:eastAsiaTheme="minorEastAsia" w:cstheme="minorEastAsia"/>
          <w:color w:val="auto"/>
          <w:kern w:val="0"/>
          <w:szCs w:val="21"/>
        </w:rPr>
        <w:t>有关事宜请联系上述代理机构</w:t>
      </w:r>
      <w:r>
        <w:rPr>
          <w:rFonts w:hint="eastAsia" w:asciiTheme="minorEastAsia" w:hAnsiTheme="minorEastAsia" w:eastAsiaTheme="minorEastAsia" w:cstheme="minorEastAsia"/>
          <w:color w:val="auto"/>
          <w:kern w:val="0"/>
          <w:szCs w:val="21"/>
          <w:lang w:val="en-US" w:eastAsia="zh-CN"/>
        </w:rPr>
        <w:t>联系</w:t>
      </w:r>
      <w:r>
        <w:rPr>
          <w:rFonts w:hint="eastAsia" w:asciiTheme="minorEastAsia" w:hAnsiTheme="minorEastAsia" w:eastAsiaTheme="minorEastAsia" w:cstheme="minorEastAsia"/>
          <w:color w:val="auto"/>
          <w:kern w:val="0"/>
          <w:szCs w:val="21"/>
        </w:rPr>
        <w:t>人）</w:t>
      </w:r>
    </w:p>
    <w:p>
      <w:pPr>
        <w:widowControl/>
        <w:adjustRightInd w:val="0"/>
        <w:snapToGri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联系方式：0571-81061819</w:t>
      </w:r>
    </w:p>
    <w:p>
      <w:pPr>
        <w:widowControl/>
        <w:adjustRightInd w:val="0"/>
        <w:snapToGrid w:val="0"/>
        <w:spacing w:line="360" w:lineRule="auto"/>
        <w:ind w:firstLine="422" w:firstLineChars="200"/>
        <w:jc w:val="left"/>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 xml:space="preserve">3. 同级政府采购监督管理部门：浙江省财政厅政府采购监管处                            </w:t>
      </w:r>
    </w:p>
    <w:p>
      <w:pPr>
        <w:widowControl/>
        <w:adjustRightInd w:val="0"/>
        <w:snapToGri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xml:space="preserve">联系人：倪文良 </w:t>
      </w:r>
    </w:p>
    <w:p>
      <w:pPr>
        <w:widowControl/>
        <w:adjustRightInd w:val="0"/>
        <w:snapToGri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xml:space="preserve">监督投诉电话：0571-87057615 </w:t>
      </w:r>
    </w:p>
    <w:p>
      <w:pPr>
        <w:widowControl/>
        <w:adjustRightInd w:val="0"/>
        <w:snapToGri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xml:space="preserve">传真：/                             </w:t>
      </w:r>
    </w:p>
    <w:p>
      <w:pPr>
        <w:widowControl/>
        <w:adjustRightInd w:val="0"/>
        <w:snapToGri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地址：杭州市环城西路37号</w:t>
      </w:r>
      <w:bookmarkEnd w:id="3"/>
      <w:bookmarkEnd w:id="4"/>
      <w:bookmarkEnd w:id="5"/>
    </w:p>
    <w:p>
      <w:pPr>
        <w:widowControl/>
        <w:tabs>
          <w:tab w:val="left" w:pos="8647"/>
        </w:tabs>
        <w:adjustRightInd w:val="0"/>
        <w:snapToGrid w:val="0"/>
        <w:spacing w:line="360" w:lineRule="auto"/>
        <w:ind w:right="-59" w:firstLine="420" w:firstLineChars="200"/>
        <w:jc w:val="right"/>
        <w:rPr>
          <w:rFonts w:hint="eastAsia" w:asciiTheme="minorEastAsia" w:hAnsiTheme="minorEastAsia" w:eastAsiaTheme="minorEastAsia" w:cstheme="minorEastAsia"/>
          <w:color w:val="auto"/>
          <w:kern w:val="0"/>
          <w:szCs w:val="21"/>
        </w:rPr>
      </w:pPr>
    </w:p>
    <w:p>
      <w:pPr>
        <w:widowControl/>
        <w:tabs>
          <w:tab w:val="left" w:pos="8647"/>
        </w:tabs>
        <w:adjustRightInd w:val="0"/>
        <w:snapToGrid w:val="0"/>
        <w:spacing w:line="360" w:lineRule="auto"/>
        <w:ind w:right="-59" w:firstLine="420" w:firstLineChars="200"/>
        <w:jc w:val="right"/>
        <w:rPr>
          <w:rFonts w:hint="eastAsia" w:asciiTheme="minorEastAsia" w:hAnsiTheme="minorEastAsia" w:eastAsiaTheme="minorEastAsia" w:cstheme="minorEastAsia"/>
          <w:color w:val="auto"/>
          <w:kern w:val="0"/>
          <w:szCs w:val="21"/>
        </w:rPr>
      </w:pPr>
    </w:p>
    <w:p>
      <w:pPr>
        <w:widowControl/>
        <w:tabs>
          <w:tab w:val="left" w:pos="8647"/>
        </w:tabs>
        <w:adjustRightInd w:val="0"/>
        <w:snapToGrid w:val="0"/>
        <w:spacing w:line="360" w:lineRule="auto"/>
        <w:ind w:right="-59"/>
        <w:jc w:val="center"/>
        <w:rPr>
          <w:rFonts w:hint="eastAsia" w:asciiTheme="minorEastAsia" w:hAnsiTheme="minorEastAsia" w:eastAsiaTheme="minorEastAsia" w:cstheme="minorEastAsia"/>
          <w:b/>
          <w:color w:val="auto"/>
          <w:sz w:val="30"/>
          <w:szCs w:val="30"/>
        </w:rPr>
      </w:pPr>
      <w:r>
        <w:rPr>
          <w:rFonts w:hint="eastAsia" w:asciiTheme="minorEastAsia" w:hAnsiTheme="minorEastAsia" w:eastAsiaTheme="minorEastAsia" w:cstheme="minorEastAsia"/>
          <w:b/>
          <w:bCs/>
          <w:color w:val="auto"/>
          <w:sz w:val="28"/>
          <w:szCs w:val="21"/>
        </w:rPr>
        <w:br w:type="page"/>
      </w:r>
      <w:r>
        <w:rPr>
          <w:rFonts w:hint="eastAsia" w:asciiTheme="minorEastAsia" w:hAnsiTheme="minorEastAsia" w:eastAsiaTheme="minorEastAsia" w:cstheme="minorEastAsia"/>
          <w:b/>
          <w:color w:val="auto"/>
          <w:sz w:val="30"/>
          <w:szCs w:val="30"/>
        </w:rPr>
        <w:t>前 附 表</w:t>
      </w:r>
    </w:p>
    <w:tbl>
      <w:tblPr>
        <w:tblStyle w:val="48"/>
        <w:tblW w:w="8831"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800"/>
        <w:gridCol w:w="638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27" w:hRule="atLeast"/>
          <w:tblHeader/>
          <w:jc w:val="center"/>
        </w:trPr>
        <w:tc>
          <w:tcPr>
            <w:tcW w:w="648" w:type="dxa"/>
            <w:noWrap w:val="0"/>
            <w:vAlign w:val="center"/>
          </w:tcPr>
          <w:p>
            <w:pPr>
              <w:adjustRightInd w:val="0"/>
              <w:snapToGrid w:val="0"/>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序号</w:t>
            </w:r>
          </w:p>
        </w:tc>
        <w:tc>
          <w:tcPr>
            <w:tcW w:w="1800" w:type="dxa"/>
            <w:noWrap w:val="0"/>
            <w:vAlign w:val="center"/>
          </w:tcPr>
          <w:p>
            <w:pPr>
              <w:adjustRightInd w:val="0"/>
              <w:snapToGrid w:val="0"/>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项   目</w:t>
            </w:r>
          </w:p>
        </w:tc>
        <w:tc>
          <w:tcPr>
            <w:tcW w:w="6383" w:type="dxa"/>
            <w:noWrap w:val="0"/>
            <w:vAlign w:val="center"/>
          </w:tcPr>
          <w:p>
            <w:pPr>
              <w:adjustRightInd w:val="0"/>
              <w:snapToGrid w:val="0"/>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内       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648"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1800"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项目名称</w:t>
            </w:r>
          </w:p>
        </w:tc>
        <w:tc>
          <w:tcPr>
            <w:tcW w:w="6383" w:type="dxa"/>
            <w:noWrap w:val="0"/>
            <w:vAlign w:val="center"/>
          </w:tcPr>
          <w:p>
            <w:pPr>
              <w:adjustRightInd w:val="0"/>
              <w:snapToGrid w:val="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 xml:space="preserve">2020年浙江省碳交易纳入企业温室气体排放报告核查复查项目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3" w:hRule="atLeast"/>
          <w:jc w:val="center"/>
        </w:trPr>
        <w:tc>
          <w:tcPr>
            <w:tcW w:w="648"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1800" w:type="dxa"/>
            <w:noWrap w:val="0"/>
            <w:vAlign w:val="center"/>
          </w:tcPr>
          <w:p>
            <w:pPr>
              <w:adjustRightInd w:val="0"/>
              <w:snapToGrid w:val="0"/>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项目地点</w:t>
            </w:r>
          </w:p>
        </w:tc>
        <w:tc>
          <w:tcPr>
            <w:tcW w:w="6383" w:type="dxa"/>
            <w:noWrap w:val="0"/>
            <w:vAlign w:val="center"/>
          </w:tcPr>
          <w:p>
            <w:pPr>
              <w:adjustRightInd w:val="0"/>
              <w:snapToGrid w:val="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按具体中标标项及招标人安排</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48"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1800"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采购编号</w:t>
            </w:r>
          </w:p>
        </w:tc>
        <w:tc>
          <w:tcPr>
            <w:tcW w:w="6383" w:type="dxa"/>
            <w:noWrap w:val="0"/>
            <w:vAlign w:val="center"/>
          </w:tcPr>
          <w:p>
            <w:pPr>
              <w:adjustRightInd w:val="0"/>
              <w:snapToGrid w:val="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 xml:space="preserve">ZJ-204228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4" w:hRule="atLeast"/>
          <w:jc w:val="center"/>
        </w:trPr>
        <w:tc>
          <w:tcPr>
            <w:tcW w:w="648"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c>
          <w:tcPr>
            <w:tcW w:w="1800"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采购方式</w:t>
            </w:r>
          </w:p>
        </w:tc>
        <w:tc>
          <w:tcPr>
            <w:tcW w:w="6383" w:type="dxa"/>
            <w:noWrap w:val="0"/>
            <w:vAlign w:val="center"/>
          </w:tcPr>
          <w:p>
            <w:pPr>
              <w:adjustRightInd w:val="0"/>
              <w:snapToGrid w:val="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公开招标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19" w:hRule="atLeast"/>
          <w:jc w:val="center"/>
        </w:trPr>
        <w:tc>
          <w:tcPr>
            <w:tcW w:w="648"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c>
          <w:tcPr>
            <w:tcW w:w="1800"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采购内容</w:t>
            </w:r>
          </w:p>
        </w:tc>
        <w:tc>
          <w:tcPr>
            <w:tcW w:w="6383" w:type="dxa"/>
            <w:noWrap w:val="0"/>
            <w:vAlign w:val="center"/>
          </w:tcPr>
          <w:p>
            <w:pPr>
              <w:adjustRightInd w:val="0"/>
              <w:snapToGrid w:val="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snapToGrid w:val="0"/>
                <w:color w:val="auto"/>
                <w:kern w:val="0"/>
                <w:szCs w:val="21"/>
              </w:rPr>
              <w:t>2020年浙江省碳交易纳入企业温室气体排放报告的</w:t>
            </w:r>
            <w:r>
              <w:rPr>
                <w:rFonts w:hint="eastAsia" w:asciiTheme="minorEastAsia" w:hAnsiTheme="minorEastAsia" w:eastAsiaTheme="minorEastAsia" w:cstheme="minorEastAsia"/>
                <w:bCs/>
                <w:color w:val="auto"/>
                <w:szCs w:val="21"/>
              </w:rPr>
              <w:t>核查、复查工作。详细内容见招标文件第三部分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4" w:hRule="atLeast"/>
          <w:jc w:val="center"/>
        </w:trPr>
        <w:tc>
          <w:tcPr>
            <w:tcW w:w="648"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w:t>
            </w:r>
          </w:p>
        </w:tc>
        <w:tc>
          <w:tcPr>
            <w:tcW w:w="1800" w:type="dxa"/>
            <w:noWrap w:val="0"/>
            <w:vAlign w:val="center"/>
          </w:tcPr>
          <w:p>
            <w:pPr>
              <w:adjustRightInd w:val="0"/>
              <w:snapToGrid w:val="0"/>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服务期</w:t>
            </w:r>
          </w:p>
        </w:tc>
        <w:tc>
          <w:tcPr>
            <w:tcW w:w="6383" w:type="dxa"/>
            <w:noWrap w:val="0"/>
            <w:vAlign w:val="center"/>
          </w:tcPr>
          <w:p>
            <w:pPr>
              <w:widowControl/>
              <w:adjustRightInd w:val="0"/>
              <w:snapToGrid w:val="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服务期为一年，在此期间，中标人按招标人要求开展具体的核查、复查工作。</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jc w:val="center"/>
        </w:trPr>
        <w:tc>
          <w:tcPr>
            <w:tcW w:w="648"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w:t>
            </w:r>
          </w:p>
        </w:tc>
        <w:tc>
          <w:tcPr>
            <w:tcW w:w="1800"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资金来源</w:t>
            </w:r>
          </w:p>
        </w:tc>
        <w:tc>
          <w:tcPr>
            <w:tcW w:w="6383" w:type="dxa"/>
            <w:noWrap w:val="0"/>
            <w:vAlign w:val="center"/>
          </w:tcPr>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财政资金。</w:t>
            </w:r>
          </w:p>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采购计划文号：[2020]16592号。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65" w:hRule="atLeast"/>
          <w:jc w:val="center"/>
        </w:trPr>
        <w:tc>
          <w:tcPr>
            <w:tcW w:w="648"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w:t>
            </w:r>
          </w:p>
        </w:tc>
        <w:tc>
          <w:tcPr>
            <w:tcW w:w="1800" w:type="dxa"/>
            <w:noWrap w:val="0"/>
            <w:vAlign w:val="center"/>
          </w:tcPr>
          <w:p>
            <w:pPr>
              <w:adjustRightInd w:val="0"/>
              <w:snapToGrid w:val="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color w:val="auto"/>
                <w:szCs w:val="21"/>
              </w:rPr>
              <w:t>采购预算</w:t>
            </w:r>
          </w:p>
        </w:tc>
        <w:tc>
          <w:tcPr>
            <w:tcW w:w="6383" w:type="dxa"/>
            <w:noWrap w:val="0"/>
            <w:vAlign w:val="center"/>
          </w:tcPr>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预算总金额为858万元，每个标项预算金额见采购公告第四项。</w:t>
            </w:r>
          </w:p>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各</w:t>
            </w:r>
            <w:r>
              <w:rPr>
                <w:rFonts w:hint="eastAsia" w:asciiTheme="minorEastAsia" w:hAnsiTheme="minorEastAsia" w:eastAsiaTheme="minorEastAsia" w:cstheme="minorEastAsia"/>
                <w:color w:val="auto"/>
                <w:szCs w:val="21"/>
              </w:rPr>
              <w:t>标项投标报价超过该标项预算金额的投标视为无效。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15" w:hRule="atLeast"/>
          <w:jc w:val="center"/>
        </w:trPr>
        <w:tc>
          <w:tcPr>
            <w:tcW w:w="648"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w:t>
            </w:r>
          </w:p>
        </w:tc>
        <w:tc>
          <w:tcPr>
            <w:tcW w:w="1800"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资格审查方式</w:t>
            </w:r>
          </w:p>
        </w:tc>
        <w:tc>
          <w:tcPr>
            <w:tcW w:w="6383" w:type="dxa"/>
            <w:noWrap w:val="0"/>
            <w:vAlign w:val="center"/>
          </w:tcPr>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资格后审。</w:t>
            </w:r>
          </w:p>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资格后审是指在开标后由采购人或采购代理机构代表根据采购文件的规定对投标人进行的资格审查，资格后审不合格的投标人，其投标作无效标处理。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45" w:hRule="atLeast"/>
          <w:jc w:val="center"/>
        </w:trPr>
        <w:tc>
          <w:tcPr>
            <w:tcW w:w="648"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10</w:t>
            </w:r>
          </w:p>
        </w:tc>
        <w:tc>
          <w:tcPr>
            <w:tcW w:w="1800"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投标保证金</w:t>
            </w:r>
          </w:p>
        </w:tc>
        <w:tc>
          <w:tcPr>
            <w:tcW w:w="6383" w:type="dxa"/>
            <w:noWrap w:val="0"/>
            <w:vAlign w:val="center"/>
          </w:tcPr>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本项目不收取投标保证金。但违反政府采购相关规定给采购人造成损失的投标人应当承担赔偿责任。赔偿金额为项目预算金额的2%，如实际损失超过前述金额的，投标人需赔偿超过前述金额部分的实际损失。</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7" w:hRule="atLeast"/>
          <w:jc w:val="center"/>
        </w:trPr>
        <w:tc>
          <w:tcPr>
            <w:tcW w:w="648"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11</w:t>
            </w:r>
          </w:p>
        </w:tc>
        <w:tc>
          <w:tcPr>
            <w:tcW w:w="1800"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踏勘现场</w:t>
            </w:r>
          </w:p>
        </w:tc>
        <w:tc>
          <w:tcPr>
            <w:tcW w:w="6383" w:type="dxa"/>
            <w:noWrap w:val="0"/>
            <w:vAlign w:val="center"/>
          </w:tcPr>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采购人不组织现场踏勘。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42" w:hRule="atLeast"/>
          <w:jc w:val="center"/>
        </w:trPr>
        <w:tc>
          <w:tcPr>
            <w:tcW w:w="648"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12</w:t>
            </w:r>
          </w:p>
        </w:tc>
        <w:tc>
          <w:tcPr>
            <w:tcW w:w="1800" w:type="dxa"/>
            <w:noWrap w:val="0"/>
            <w:vAlign w:val="center"/>
          </w:tcPr>
          <w:p>
            <w:pPr>
              <w:adjustRightInd w:val="0"/>
              <w:snapToGrid w:val="0"/>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招标答疑</w:t>
            </w:r>
          </w:p>
        </w:tc>
        <w:tc>
          <w:tcPr>
            <w:tcW w:w="6383" w:type="dxa"/>
            <w:noWrap w:val="0"/>
            <w:vAlign w:val="center"/>
          </w:tcPr>
          <w:p>
            <w:pPr>
              <w:adjustRightInd w:val="0"/>
              <w:snapToGrid w:val="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color w:val="auto"/>
                <w:szCs w:val="21"/>
              </w:rPr>
              <w:t>投标人如认为采购文件表述不清晰、存在歧视性或者倾向性或者其他违法内容的，必须在2020年</w:t>
            </w:r>
            <w:r>
              <w:rPr>
                <w:rFonts w:hint="eastAsia" w:asciiTheme="minorEastAsia" w:hAnsiTheme="minorEastAsia" w:eastAsiaTheme="minorEastAsia" w:cstheme="minorEastAsia"/>
                <w:color w:val="auto"/>
                <w:szCs w:val="21"/>
                <w:lang w:val="en-US" w:eastAsia="zh-CN"/>
              </w:rPr>
              <w:t>5</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lang w:val="en-US" w:eastAsia="zh-CN"/>
              </w:rPr>
              <w:t>18</w:t>
            </w:r>
            <w:r>
              <w:rPr>
                <w:rFonts w:hint="eastAsia" w:asciiTheme="minorEastAsia" w:hAnsiTheme="minorEastAsia" w:eastAsiaTheme="minorEastAsia" w:cstheme="minorEastAsia"/>
                <w:color w:val="auto"/>
                <w:szCs w:val="21"/>
              </w:rPr>
              <w:t>日</w:t>
            </w:r>
            <w:r>
              <w:rPr>
                <w:rFonts w:hint="eastAsia" w:asciiTheme="minorEastAsia" w:hAnsiTheme="minorEastAsia" w:eastAsiaTheme="minorEastAsia" w:cstheme="minorEastAsia"/>
                <w:snapToGrid w:val="0"/>
                <w:color w:val="auto"/>
                <w:kern w:val="0"/>
                <w:szCs w:val="21"/>
              </w:rPr>
              <w:t>17时之前、将要求答疑的问题传真</w:t>
            </w:r>
            <w:r>
              <w:rPr>
                <w:rFonts w:hint="eastAsia" w:asciiTheme="minorEastAsia" w:hAnsiTheme="minorEastAsia" w:eastAsiaTheme="minorEastAsia" w:cstheme="minorEastAsia"/>
                <w:bCs/>
                <w:snapToGrid w:val="0"/>
                <w:color w:val="auto"/>
                <w:kern w:val="0"/>
                <w:szCs w:val="21"/>
              </w:rPr>
              <w:t>0571－88473411</w:t>
            </w:r>
            <w:r>
              <w:rPr>
                <w:rFonts w:hint="eastAsia" w:asciiTheme="minorEastAsia" w:hAnsiTheme="minorEastAsia" w:eastAsiaTheme="minorEastAsia" w:cstheme="minorEastAsia"/>
                <w:b/>
                <w:bCs/>
                <w:snapToGrid w:val="0"/>
                <w:color w:val="auto"/>
                <w:kern w:val="0"/>
                <w:szCs w:val="21"/>
              </w:rPr>
              <w:t>,</w:t>
            </w:r>
            <w:r>
              <w:rPr>
                <w:rFonts w:hint="eastAsia" w:asciiTheme="minorEastAsia" w:hAnsiTheme="minorEastAsia" w:eastAsiaTheme="minorEastAsia" w:cstheme="minorEastAsia"/>
                <w:snapToGrid w:val="0"/>
                <w:color w:val="auto"/>
                <w:kern w:val="0"/>
                <w:szCs w:val="21"/>
              </w:rPr>
              <w:t>并发电子邮件至41033764@qq.com</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lang w:val="zh-CN"/>
              </w:rPr>
              <w:t>电子邮件与书面文件有不一致的</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lang w:val="zh-CN"/>
              </w:rPr>
              <w:t>一律以书面文件为准</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lang w:val="zh-CN"/>
              </w:rPr>
              <w:t>。截止期后的疑问将不予受理、答复。</w:t>
            </w:r>
            <w:r>
              <w:rPr>
                <w:rFonts w:hint="eastAsia" w:asciiTheme="minorEastAsia" w:hAnsiTheme="minorEastAsia" w:eastAsiaTheme="minorEastAsia" w:cstheme="minorEastAsia"/>
                <w:color w:val="auto"/>
                <w:szCs w:val="21"/>
              </w:rPr>
              <w:t>答疑回复内容是采购文件的组成部份，并将以书面形式送达所有已购买采购文件的投标人。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70" w:hRule="atLeast"/>
          <w:jc w:val="center"/>
        </w:trPr>
        <w:tc>
          <w:tcPr>
            <w:tcW w:w="648"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13</w:t>
            </w:r>
          </w:p>
        </w:tc>
        <w:tc>
          <w:tcPr>
            <w:tcW w:w="1800"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采购文件的澄清与修改</w:t>
            </w:r>
          </w:p>
        </w:tc>
        <w:tc>
          <w:tcPr>
            <w:tcW w:w="6383" w:type="dxa"/>
            <w:noWrap w:val="0"/>
            <w:vAlign w:val="center"/>
          </w:tcPr>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rPr>
              <w:t>在投标截止时间15天前，采购人有权澄清和修改采购文件，并以更正（澄清）公告形式通知所有已购买采购文件的投标人。修改和澄清（答疑）答复的内容作为采购文件的补充和组成部分，对所有投标人均有约束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180" w:hRule="atLeast"/>
          <w:jc w:val="center"/>
        </w:trPr>
        <w:tc>
          <w:tcPr>
            <w:tcW w:w="648"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14</w:t>
            </w:r>
          </w:p>
        </w:tc>
        <w:tc>
          <w:tcPr>
            <w:tcW w:w="1800"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投标文件形式</w:t>
            </w:r>
          </w:p>
        </w:tc>
        <w:tc>
          <w:tcPr>
            <w:tcW w:w="6383" w:type="dxa"/>
            <w:noWrap w:val="0"/>
            <w:vAlign w:val="center"/>
          </w:tcPr>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电子投标</w:t>
            </w:r>
            <w:r>
              <w:rPr>
                <w:rFonts w:hint="eastAsia" w:asciiTheme="minorEastAsia" w:hAnsiTheme="minorEastAsia" w:eastAsiaTheme="minorEastAsia" w:cstheme="minorEastAsia"/>
                <w:color w:val="auto"/>
                <w:szCs w:val="21"/>
                <w:lang w:val="en-US" w:eastAsia="zh-CN"/>
              </w:rPr>
              <w:t>文件</w:t>
            </w:r>
            <w:r>
              <w:rPr>
                <w:rFonts w:hint="eastAsia" w:asciiTheme="minorEastAsia" w:hAnsiTheme="minorEastAsia" w:eastAsiaTheme="minorEastAsia" w:cstheme="minorEastAsia"/>
                <w:color w:val="auto"/>
                <w:szCs w:val="21"/>
              </w:rPr>
              <w:t>包括“电子加密投标文件”和“备份投标文件”，在投标文件编制完成后同时生成。</w:t>
            </w:r>
          </w:p>
          <w:p>
            <w:pPr>
              <w:numPr>
                <w:ilvl w:val="0"/>
                <w:numId w:val="1"/>
              </w:num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“电子加密投标文件”是指通过“政采云电子交易客户端”完成投标文件编制后生成并加密的数据电文形式的投标文件。</w:t>
            </w:r>
          </w:p>
          <w:p>
            <w:pPr>
              <w:numPr>
                <w:ilvl w:val="0"/>
                <w:numId w:val="1"/>
              </w:num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“备份投标文件”是指与“电子加密投标文件”同时生成的数据电文形式的电子文件（备份标书，用于供应商标书解密异常时应急使用），其他方式编制的备份投标文件视为无效备份投标文件。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346" w:hRule="atLeast"/>
          <w:jc w:val="center"/>
        </w:trPr>
        <w:tc>
          <w:tcPr>
            <w:tcW w:w="648"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15</w:t>
            </w:r>
          </w:p>
        </w:tc>
        <w:tc>
          <w:tcPr>
            <w:tcW w:w="1800" w:type="dxa"/>
            <w:noWrap w:val="0"/>
            <w:vAlign w:val="center"/>
          </w:tcPr>
          <w:p>
            <w:pPr>
              <w:adjustRightInd w:val="0"/>
              <w:snapToGrid w:val="0"/>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投标文件份数</w:t>
            </w:r>
          </w:p>
        </w:tc>
        <w:tc>
          <w:tcPr>
            <w:tcW w:w="6383" w:type="dxa"/>
            <w:noWrap w:val="0"/>
            <w:vAlign w:val="center"/>
          </w:tcPr>
          <w:p>
            <w:pPr>
              <w:numPr>
                <w:ilvl w:val="0"/>
                <w:numId w:val="2"/>
              </w:numPr>
              <w:adjustRightInd w:val="0"/>
              <w:snapToGrid w:val="0"/>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一份电子加密标书（后缀格式为.jmbs），一份备份标书文件（后缀格式为.bfbs）。</w:t>
            </w:r>
          </w:p>
          <w:p>
            <w:pPr>
              <w:adjustRightInd w:val="0"/>
              <w:snapToGrid w:val="0"/>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每份电子投标文件应包括资格响应文件、商务技术响应文件及报价响应文件三部分内容。</w:t>
            </w:r>
          </w:p>
          <w:p>
            <w:pPr>
              <w:numPr>
                <w:ilvl w:val="0"/>
                <w:numId w:val="2"/>
              </w:numPr>
              <w:adjustRightInd w:val="0"/>
              <w:snapToGrid w:val="0"/>
              <w:rPr>
                <w:rFonts w:hint="eastAsia" w:asciiTheme="minorEastAsia" w:hAnsiTheme="minorEastAsia" w:eastAsiaTheme="minorEastAsia" w:cstheme="minorEastAsia"/>
                <w:b/>
                <w:bCs/>
                <w:color w:val="FF0000"/>
                <w:szCs w:val="21"/>
              </w:rPr>
            </w:pPr>
            <w:r>
              <w:rPr>
                <w:rFonts w:hint="eastAsia" w:asciiTheme="minorEastAsia" w:hAnsiTheme="minorEastAsia" w:eastAsiaTheme="minorEastAsia" w:cstheme="minorEastAsia"/>
                <w:b/>
                <w:bCs/>
                <w:color w:val="FF0000"/>
                <w:szCs w:val="21"/>
                <w:lang w:val="en-US" w:eastAsia="zh-CN"/>
              </w:rPr>
              <w:t>本项目采用电子招投标方式。</w:t>
            </w:r>
            <w:r>
              <w:rPr>
                <w:rFonts w:hint="eastAsia" w:asciiTheme="minorEastAsia" w:hAnsiTheme="minorEastAsia" w:eastAsiaTheme="minorEastAsia" w:cstheme="minorEastAsia"/>
                <w:b/>
                <w:bCs/>
                <w:color w:val="FF0000"/>
                <w:szCs w:val="21"/>
              </w:rPr>
              <w:t>投标人参加多个标项的，</w:t>
            </w:r>
            <w:r>
              <w:rPr>
                <w:rFonts w:hint="eastAsia" w:asciiTheme="minorEastAsia" w:hAnsiTheme="minorEastAsia" w:eastAsiaTheme="minorEastAsia" w:cstheme="minorEastAsia"/>
                <w:b/>
                <w:bCs/>
                <w:color w:val="FF0000"/>
                <w:szCs w:val="21"/>
                <w:lang w:val="en-US" w:eastAsia="zh-CN"/>
              </w:rPr>
              <w:t>请按不同标项分别编制、上传投标文件。其中</w:t>
            </w:r>
            <w:r>
              <w:rPr>
                <w:rFonts w:hint="eastAsia" w:asciiTheme="minorEastAsia" w:hAnsiTheme="minorEastAsia" w:eastAsiaTheme="minorEastAsia" w:cstheme="minorEastAsia"/>
                <w:b/>
                <w:bCs/>
                <w:color w:val="FF0000"/>
                <w:szCs w:val="21"/>
              </w:rPr>
              <w:t>，</w:t>
            </w:r>
            <w:r>
              <w:rPr>
                <w:rFonts w:hint="eastAsia" w:asciiTheme="minorEastAsia" w:hAnsiTheme="minorEastAsia" w:eastAsiaTheme="minorEastAsia" w:cstheme="minorEastAsia"/>
                <w:b/>
                <w:bCs/>
                <w:color w:val="FF0000"/>
                <w:szCs w:val="21"/>
                <w:lang w:val="en-US" w:eastAsia="zh-CN"/>
              </w:rPr>
              <w:t>各标项资格证明文件、商务技术响应文件内容可以重复使用的，允许重复使用；但对于投标报价等必须区分的内容，投标人务必</w:t>
            </w:r>
            <w:r>
              <w:rPr>
                <w:rFonts w:hint="eastAsia" w:asciiTheme="minorEastAsia" w:hAnsiTheme="minorEastAsia" w:eastAsiaTheme="minorEastAsia" w:cstheme="minorEastAsia"/>
                <w:b/>
                <w:bCs/>
                <w:color w:val="FF0000"/>
                <w:szCs w:val="21"/>
              </w:rPr>
              <w:t>在</w:t>
            </w:r>
            <w:r>
              <w:rPr>
                <w:rFonts w:hint="eastAsia" w:asciiTheme="minorEastAsia" w:hAnsiTheme="minorEastAsia" w:eastAsiaTheme="minorEastAsia" w:cstheme="minorEastAsia"/>
                <w:b/>
                <w:bCs/>
                <w:color w:val="FF0000"/>
                <w:szCs w:val="21"/>
                <w:lang w:val="en-US" w:eastAsia="zh-CN"/>
              </w:rPr>
              <w:t>投标</w:t>
            </w:r>
            <w:r>
              <w:rPr>
                <w:rFonts w:hint="eastAsia" w:asciiTheme="minorEastAsia" w:hAnsiTheme="minorEastAsia" w:eastAsiaTheme="minorEastAsia" w:cstheme="minorEastAsia"/>
                <w:b/>
                <w:bCs/>
                <w:color w:val="FF0000"/>
                <w:szCs w:val="21"/>
              </w:rPr>
              <w:t>文件规定位置清楚标明所投标项号（见第六部分格式）</w:t>
            </w:r>
            <w:r>
              <w:rPr>
                <w:rFonts w:hint="eastAsia" w:asciiTheme="minorEastAsia" w:hAnsiTheme="minorEastAsia" w:eastAsiaTheme="minorEastAsia" w:cstheme="minorEastAsia"/>
                <w:b/>
                <w:bCs/>
                <w:color w:val="FF0000"/>
                <w:szCs w:val="21"/>
                <w:lang w:eastAsia="zh-CN"/>
              </w:rPr>
              <w:t>。</w:t>
            </w:r>
          </w:p>
          <w:p>
            <w:pPr>
              <w:numPr>
                <w:ilvl w:val="0"/>
                <w:numId w:val="2"/>
              </w:numPr>
              <w:adjustRightInd w:val="0"/>
              <w:snapToGrid w:val="0"/>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如中标，中标人需根据招标人要求提供纸质投标文件至少一份。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240" w:hRule="atLeast"/>
          <w:jc w:val="center"/>
        </w:trPr>
        <w:tc>
          <w:tcPr>
            <w:tcW w:w="648" w:type="dxa"/>
            <w:vMerge w:val="restart"/>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16</w:t>
            </w:r>
          </w:p>
        </w:tc>
        <w:tc>
          <w:tcPr>
            <w:tcW w:w="1800" w:type="dxa"/>
            <w:vMerge w:val="restart"/>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投标文件的上传和递交</w:t>
            </w:r>
          </w:p>
        </w:tc>
        <w:tc>
          <w:tcPr>
            <w:tcW w:w="6383" w:type="dxa"/>
            <w:noWrap w:val="0"/>
            <w:vAlign w:val="center"/>
          </w:tcPr>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1.电子加密投标文件：投标文件制作完成并生成加密标书，在投标截止时间前，供应商需将加密的投标文件上传至政采云平台，在开标时间开始后30分钟内，解密投标文件。</w:t>
            </w:r>
          </w:p>
          <w:p>
            <w:pPr>
              <w:adjustRightInd w:val="0"/>
              <w:snapToGrid w:val="0"/>
              <w:rPr>
                <w:rFonts w:hint="eastAsia" w:asciiTheme="minorEastAsia" w:hAnsiTheme="minorEastAsia" w:eastAsiaTheme="minorEastAsia" w:cstheme="minorEastAsia"/>
                <w:b/>
                <w:bCs/>
                <w:color w:val="FF0000"/>
                <w:szCs w:val="21"/>
              </w:rPr>
            </w:pPr>
            <w:r>
              <w:rPr>
                <w:rFonts w:hint="eastAsia" w:asciiTheme="minorEastAsia" w:hAnsiTheme="minorEastAsia" w:eastAsiaTheme="minorEastAsia" w:cstheme="minorEastAsia"/>
                <w:b/>
                <w:bCs/>
                <w:color w:val="FF0000"/>
                <w:szCs w:val="21"/>
              </w:rPr>
              <w:t>a.供应商应未能投标截止时间前成功上传电子加密投标文件的投标无效。</w:t>
            </w:r>
          </w:p>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b.</w:t>
            </w:r>
            <w:r>
              <w:rPr>
                <w:rFonts w:hint="eastAsia" w:asciiTheme="minorEastAsia" w:hAnsiTheme="minorEastAsia" w:eastAsiaTheme="minorEastAsia" w:cstheme="minorEastAsia"/>
                <w:color w:val="auto"/>
                <w:szCs w:val="21"/>
                <w:lang w:val="en-US" w:eastAsia="zh-CN"/>
              </w:rPr>
              <w:t>投标人</w:t>
            </w:r>
            <w:r>
              <w:rPr>
                <w:rFonts w:hint="eastAsia" w:asciiTheme="minorEastAsia" w:hAnsiTheme="minorEastAsia" w:eastAsiaTheme="minorEastAsia" w:cstheme="minorEastAsia"/>
                <w:color w:val="auto"/>
                <w:szCs w:val="21"/>
              </w:rPr>
              <w:t>成功上传电子加密投标文件后，可自行打印投标文件接收回执。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17" w:hRule="atLeast"/>
          <w:jc w:val="center"/>
        </w:trPr>
        <w:tc>
          <w:tcPr>
            <w:tcW w:w="648" w:type="dxa"/>
            <w:vMerge w:val="continue"/>
            <w:noWrap w:val="0"/>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00" w:type="dxa"/>
            <w:vMerge w:val="continue"/>
            <w:noWrap w:val="0"/>
            <w:vAlign w:val="center"/>
          </w:tcPr>
          <w:p>
            <w:pPr>
              <w:adjustRightInd w:val="0"/>
              <w:snapToGrid w:val="0"/>
              <w:jc w:val="center"/>
              <w:rPr>
                <w:rFonts w:hint="eastAsia" w:asciiTheme="minorEastAsia" w:hAnsiTheme="minorEastAsia" w:eastAsiaTheme="minorEastAsia" w:cstheme="minorEastAsia"/>
                <w:color w:val="auto"/>
                <w:szCs w:val="21"/>
              </w:rPr>
            </w:pPr>
          </w:p>
        </w:tc>
        <w:tc>
          <w:tcPr>
            <w:tcW w:w="6383" w:type="dxa"/>
            <w:noWrap w:val="0"/>
            <w:vAlign w:val="center"/>
          </w:tcPr>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2.备份投标文件：</w:t>
            </w:r>
            <w:r>
              <w:rPr>
                <w:rFonts w:hint="eastAsia" w:asciiTheme="minorEastAsia" w:hAnsiTheme="minorEastAsia" w:eastAsiaTheme="minorEastAsia" w:cstheme="minorEastAsia"/>
                <w:color w:val="auto"/>
                <w:szCs w:val="21"/>
                <w:lang w:val="en-US" w:eastAsia="zh-CN"/>
              </w:rPr>
              <w:t>投标人</w:t>
            </w:r>
            <w:r>
              <w:rPr>
                <w:rFonts w:hint="eastAsia" w:asciiTheme="minorEastAsia" w:hAnsiTheme="minorEastAsia" w:eastAsiaTheme="minorEastAsia" w:cstheme="minorEastAsia"/>
                <w:color w:val="auto"/>
                <w:szCs w:val="21"/>
              </w:rPr>
              <w:t>确保在投标截止时间前，将备份投标文件通过快递</w:t>
            </w:r>
            <w:r>
              <w:rPr>
                <w:rFonts w:hint="eastAsia" w:asciiTheme="minorEastAsia" w:hAnsiTheme="minorEastAsia" w:eastAsiaTheme="minorEastAsia" w:cstheme="minorEastAsia"/>
                <w:color w:val="auto"/>
                <w:szCs w:val="21"/>
                <w:lang w:val="en-US" w:eastAsia="zh-CN"/>
              </w:rPr>
              <w:t>或直接送达的方式递交至</w:t>
            </w:r>
            <w:r>
              <w:rPr>
                <w:rFonts w:hint="eastAsia" w:asciiTheme="minorEastAsia" w:hAnsiTheme="minorEastAsia" w:eastAsiaTheme="minorEastAsia" w:cstheme="minorEastAsia"/>
                <w:color w:val="auto"/>
                <w:szCs w:val="21"/>
              </w:rPr>
              <w:t>采购代理机构处，以便标书解密异常时应急使用（邮寄地址：杭州市文三路90号东部软件园二号楼613室， 接收人： 唐稳，电话：0571-81061825 ）。</w:t>
            </w:r>
          </w:p>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a.备份投标文件递交要求：</w:t>
            </w:r>
            <w:r>
              <w:rPr>
                <w:rFonts w:hint="eastAsia" w:asciiTheme="minorEastAsia" w:hAnsiTheme="minorEastAsia" w:eastAsiaTheme="minorEastAsia" w:cstheme="minorEastAsia"/>
                <w:color w:val="auto"/>
                <w:szCs w:val="21"/>
                <w:lang w:val="en-US" w:eastAsia="zh-CN"/>
              </w:rPr>
              <w:t>投标人</w:t>
            </w:r>
            <w:r>
              <w:rPr>
                <w:rFonts w:hint="eastAsia" w:asciiTheme="minorEastAsia" w:hAnsiTheme="minorEastAsia" w:eastAsiaTheme="minorEastAsia" w:cstheme="minorEastAsia"/>
                <w:color w:val="auto"/>
                <w:szCs w:val="21"/>
              </w:rPr>
              <w:t>须将备份投标文件以U盘形式放在密封袋中，密封后并在密封袋上注明投标项目名称、投标单位名称并加盖公章。逾期送达的“备份投标文件”将不予接收。</w:t>
            </w:r>
          </w:p>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b.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adjustRightInd w:val="0"/>
              <w:snapToGrid w:val="0"/>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C.为便于评标，投标人可将一套纸质商务技术响应文件，随同备份文件一同递交。（纸质投标文件请保持与电子加密投标文件一致；有不一致的，一律以电子加密投标文件为准。各标项商务技术响应文件为相同内容的，提供一份即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50" w:hRule="atLeast"/>
          <w:jc w:val="center"/>
        </w:trPr>
        <w:tc>
          <w:tcPr>
            <w:tcW w:w="648" w:type="dxa"/>
            <w:vMerge w:val="continue"/>
            <w:noWrap w:val="0"/>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00" w:type="dxa"/>
            <w:vMerge w:val="continue"/>
            <w:noWrap w:val="0"/>
            <w:vAlign w:val="center"/>
          </w:tcPr>
          <w:p>
            <w:pPr>
              <w:adjustRightInd w:val="0"/>
              <w:snapToGrid w:val="0"/>
              <w:jc w:val="center"/>
              <w:rPr>
                <w:rFonts w:hint="eastAsia" w:asciiTheme="minorEastAsia" w:hAnsiTheme="minorEastAsia" w:eastAsiaTheme="minorEastAsia" w:cstheme="minorEastAsia"/>
                <w:color w:val="auto"/>
                <w:szCs w:val="21"/>
              </w:rPr>
            </w:pPr>
          </w:p>
        </w:tc>
        <w:tc>
          <w:tcPr>
            <w:tcW w:w="6383" w:type="dxa"/>
            <w:noWrap w:val="0"/>
            <w:vAlign w:val="center"/>
          </w:tcPr>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3.电子加密投标文件的解密和异常情况处理：</w:t>
            </w:r>
          </w:p>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a.开标后，</w:t>
            </w:r>
            <w:r>
              <w:rPr>
                <w:rFonts w:hint="eastAsia" w:asciiTheme="minorEastAsia" w:hAnsiTheme="minorEastAsia" w:eastAsiaTheme="minorEastAsia" w:cstheme="minorEastAsia"/>
                <w:color w:val="auto"/>
                <w:szCs w:val="21"/>
                <w:lang w:val="en-US" w:eastAsia="zh-CN"/>
              </w:rPr>
              <w:t>投标人</w:t>
            </w:r>
            <w:r>
              <w:rPr>
                <w:rFonts w:hint="eastAsia" w:asciiTheme="minorEastAsia" w:hAnsiTheme="minorEastAsia" w:eastAsiaTheme="minorEastAsia" w:cstheme="minorEastAsia"/>
                <w:color w:val="auto"/>
                <w:szCs w:val="21"/>
              </w:rPr>
              <w:t>代表应当在限定时间内自行完成“电子加密投标文件”的在线解密。</w:t>
            </w:r>
          </w:p>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b.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c.投标截止时间前，投标供应商仅递交了“备份投标文件”而未将电子加密投标文件上传至“政府采购云平台”的，投标无效。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54" w:hRule="atLeast"/>
          <w:jc w:val="center"/>
        </w:trPr>
        <w:tc>
          <w:tcPr>
            <w:tcW w:w="648"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17</w:t>
            </w:r>
          </w:p>
        </w:tc>
        <w:tc>
          <w:tcPr>
            <w:tcW w:w="1800"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投标文件、流程文件签章</w:t>
            </w:r>
          </w:p>
        </w:tc>
        <w:tc>
          <w:tcPr>
            <w:tcW w:w="6383" w:type="dxa"/>
            <w:noWrap w:val="0"/>
            <w:vAlign w:val="center"/>
          </w:tcPr>
          <w:p>
            <w:pPr>
              <w:numPr>
                <w:ilvl w:val="0"/>
                <w:numId w:val="3"/>
              </w:num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电子投标文件必须有电子签章；</w:t>
            </w:r>
          </w:p>
          <w:p>
            <w:pPr>
              <w:numPr>
                <w:ilvl w:val="0"/>
                <w:numId w:val="3"/>
              </w:num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开标后，相关信息记录确认、澄清说明、回复等内容，电子签章、或者签章后上传相关文件，均认可；</w:t>
            </w:r>
          </w:p>
          <w:p>
            <w:pPr>
              <w:pStyle w:val="20"/>
              <w:numPr>
                <w:ilvl w:val="0"/>
                <w:numId w:val="3"/>
              </w:numPr>
              <w:snapToGrid w:val="0"/>
              <w:spacing w:line="240" w:lineRule="auto"/>
              <w:ind w:firstLine="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政采云系统平台有新的操作流程的，按其规定。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9" w:hRule="atLeast"/>
          <w:jc w:val="center"/>
        </w:trPr>
        <w:tc>
          <w:tcPr>
            <w:tcW w:w="648"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18</w:t>
            </w:r>
          </w:p>
        </w:tc>
        <w:tc>
          <w:tcPr>
            <w:tcW w:w="1800"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评标办法</w:t>
            </w:r>
          </w:p>
        </w:tc>
        <w:tc>
          <w:tcPr>
            <w:tcW w:w="6383" w:type="dxa"/>
            <w:noWrap w:val="0"/>
            <w:vAlign w:val="center"/>
          </w:tcPr>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3" w:hRule="atLeast"/>
          <w:jc w:val="center"/>
        </w:trPr>
        <w:tc>
          <w:tcPr>
            <w:tcW w:w="648"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19</w:t>
            </w:r>
          </w:p>
        </w:tc>
        <w:tc>
          <w:tcPr>
            <w:tcW w:w="1800"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投标截止时间及</w:t>
            </w:r>
            <w:r>
              <w:rPr>
                <w:rFonts w:hint="eastAsia" w:asciiTheme="minorEastAsia" w:hAnsiTheme="minorEastAsia" w:eastAsiaTheme="minorEastAsia" w:cstheme="minorEastAsia"/>
                <w:color w:val="auto"/>
                <w:szCs w:val="21"/>
              </w:rPr>
              <w:t>开标时间</w:t>
            </w:r>
          </w:p>
        </w:tc>
        <w:tc>
          <w:tcPr>
            <w:tcW w:w="6383" w:type="dxa"/>
            <w:noWrap w:val="0"/>
            <w:vAlign w:val="center"/>
          </w:tcPr>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2020年</w:t>
            </w:r>
            <w:r>
              <w:rPr>
                <w:rFonts w:hint="eastAsia" w:asciiTheme="minorEastAsia" w:hAnsiTheme="minorEastAsia" w:eastAsiaTheme="minorEastAsia" w:cstheme="minorEastAsia"/>
                <w:color w:val="auto"/>
                <w:kern w:val="0"/>
                <w:szCs w:val="21"/>
                <w:lang w:eastAsia="zh-CN"/>
              </w:rPr>
              <w:t>6</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lang w:eastAsia="zh-CN"/>
              </w:rPr>
              <w:t>3</w:t>
            </w:r>
            <w:r>
              <w:rPr>
                <w:rFonts w:hint="eastAsia" w:asciiTheme="minorEastAsia" w:hAnsiTheme="minorEastAsia" w:eastAsiaTheme="minorEastAsia" w:cstheme="minorEastAsia"/>
                <w:color w:val="auto"/>
                <w:kern w:val="0"/>
                <w:szCs w:val="21"/>
              </w:rPr>
              <w:t xml:space="preserve">日   </w:t>
            </w:r>
            <w:r>
              <w:rPr>
                <w:rFonts w:hint="eastAsia" w:asciiTheme="minorEastAsia" w:hAnsiTheme="minorEastAsia" w:eastAsiaTheme="minorEastAsia" w:cstheme="minorEastAsia"/>
                <w:color w:val="auto"/>
                <w:kern w:val="0"/>
                <w:szCs w:val="21"/>
                <w:lang w:eastAsia="zh-CN"/>
              </w:rPr>
              <w:t>9:</w:t>
            </w:r>
            <w:r>
              <w:rPr>
                <w:rFonts w:hint="eastAsia" w:asciiTheme="minorEastAsia" w:hAnsiTheme="minorEastAsia" w:eastAsiaTheme="minorEastAsia" w:cstheme="minorEastAsia"/>
                <w:color w:val="auto"/>
                <w:kern w:val="0"/>
                <w:szCs w:val="21"/>
              </w:rPr>
              <w:t>00</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007" w:hRule="atLeast"/>
          <w:jc w:val="center"/>
        </w:trPr>
        <w:tc>
          <w:tcPr>
            <w:tcW w:w="648"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20</w:t>
            </w:r>
          </w:p>
        </w:tc>
        <w:tc>
          <w:tcPr>
            <w:tcW w:w="1800"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开标程序</w:t>
            </w:r>
          </w:p>
        </w:tc>
        <w:tc>
          <w:tcPr>
            <w:tcW w:w="6383" w:type="dxa"/>
            <w:noWrap w:val="0"/>
            <w:vAlign w:val="center"/>
          </w:tcPr>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1.开标后，采购代理机构点击【开始解密】，</w:t>
            </w:r>
            <w:r>
              <w:rPr>
                <w:rFonts w:hint="eastAsia" w:asciiTheme="minorEastAsia" w:hAnsiTheme="minorEastAsia" w:eastAsiaTheme="minorEastAsia" w:cstheme="minorEastAsia"/>
                <w:color w:val="auto"/>
                <w:szCs w:val="21"/>
                <w:lang w:val="en-US" w:eastAsia="zh-CN"/>
              </w:rPr>
              <w:t>投标人</w:t>
            </w:r>
            <w:r>
              <w:rPr>
                <w:rFonts w:hint="eastAsia" w:asciiTheme="minorEastAsia" w:hAnsiTheme="minorEastAsia" w:eastAsiaTheme="minorEastAsia" w:cstheme="minorEastAsia"/>
                <w:color w:val="auto"/>
                <w:szCs w:val="21"/>
              </w:rPr>
              <w:t>应在30分钟内完成解密。</w:t>
            </w:r>
            <w:r>
              <w:rPr>
                <w:rFonts w:hint="eastAsia" w:asciiTheme="minorEastAsia" w:hAnsiTheme="minorEastAsia" w:eastAsiaTheme="minorEastAsia" w:cstheme="minorEastAsia"/>
                <w:color w:val="auto"/>
                <w:szCs w:val="21"/>
                <w:lang w:val="en-US" w:eastAsia="zh-CN"/>
              </w:rPr>
              <w:t>投标人</w:t>
            </w:r>
            <w:r>
              <w:rPr>
                <w:rFonts w:hint="eastAsia" w:asciiTheme="minorEastAsia" w:hAnsiTheme="minorEastAsia" w:eastAsiaTheme="minorEastAsia" w:cstheme="minorEastAsia"/>
                <w:color w:val="auto"/>
                <w:szCs w:val="21"/>
              </w:rPr>
              <w:t>在规定的时间内都已完成解密，则系统自动结束解密；供应商超过解密时限，默认自动放弃；</w:t>
            </w:r>
          </w:p>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2.解密不成功时，如</w:t>
            </w:r>
            <w:r>
              <w:rPr>
                <w:rFonts w:hint="eastAsia" w:asciiTheme="minorEastAsia" w:hAnsiTheme="minorEastAsia" w:eastAsiaTheme="minorEastAsia" w:cstheme="minorEastAsia"/>
                <w:color w:val="auto"/>
                <w:szCs w:val="21"/>
                <w:lang w:val="en-US" w:eastAsia="zh-CN"/>
              </w:rPr>
              <w:t>投标人</w:t>
            </w:r>
            <w:r>
              <w:rPr>
                <w:rFonts w:hint="eastAsia" w:asciiTheme="minorEastAsia" w:hAnsiTheme="minorEastAsia" w:eastAsiaTheme="minorEastAsia" w:cstheme="minorEastAsia"/>
                <w:color w:val="auto"/>
                <w:szCs w:val="21"/>
              </w:rPr>
              <w:t>已按规定递交了“备份投标文件”的，采购代理机构通过【异常处理】端口对备份投标文件上传、解密；</w:t>
            </w:r>
          </w:p>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3.结束解密后，</w:t>
            </w:r>
            <w:r>
              <w:rPr>
                <w:rFonts w:hint="eastAsia" w:asciiTheme="minorEastAsia" w:hAnsiTheme="minorEastAsia" w:eastAsiaTheme="minorEastAsia" w:cstheme="minorEastAsia"/>
                <w:color w:val="auto"/>
                <w:szCs w:val="21"/>
                <w:lang w:val="en-US" w:eastAsia="zh-CN"/>
              </w:rPr>
              <w:t>投标人</w:t>
            </w:r>
            <w:r>
              <w:rPr>
                <w:rFonts w:hint="eastAsia" w:asciiTheme="minorEastAsia" w:hAnsiTheme="minorEastAsia" w:eastAsiaTheme="minorEastAsia" w:cstheme="minorEastAsia"/>
                <w:color w:val="auto"/>
                <w:szCs w:val="21"/>
              </w:rPr>
              <w:t>通过邮件形式将经授权代表签署的《政府采购活动现场确认声明书》（格式见采购文件第七部分，采购文件最后一页内容）扫描件发至代理机构经办人邮箱（邮箱地址：41033764@qq.com ， 联系人：唐稳 ， 电话：0571-81061825 ）；；不填写或未按规定发出邮件的，视同默认不存在确认声明书中的相关违规情形；</w:t>
            </w:r>
          </w:p>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4.采购组织机构点击【开启标书信息】，开启标书成功后进入开标流程。</w:t>
            </w:r>
          </w:p>
          <w:p>
            <w:pPr>
              <w:pStyle w:val="20"/>
              <w:snapToGrid w:val="0"/>
              <w:spacing w:line="240" w:lineRule="auto"/>
              <w:ind w:firstLine="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5.政采云系统平台有新的操作流程的，按其规定。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58" w:hRule="atLeast"/>
          <w:jc w:val="center"/>
        </w:trPr>
        <w:tc>
          <w:tcPr>
            <w:tcW w:w="648"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21</w:t>
            </w:r>
          </w:p>
        </w:tc>
        <w:tc>
          <w:tcPr>
            <w:tcW w:w="1800"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评标程序</w:t>
            </w:r>
          </w:p>
        </w:tc>
        <w:tc>
          <w:tcPr>
            <w:tcW w:w="6383" w:type="dxa"/>
            <w:noWrap w:val="0"/>
            <w:vAlign w:val="center"/>
          </w:tcPr>
          <w:p>
            <w:pPr>
              <w:pStyle w:val="25"/>
              <w:numPr>
                <w:ilvl w:val="0"/>
                <w:numId w:val="4"/>
              </w:numPr>
              <w:adjustRightInd w:val="0"/>
              <w:snapToGrid w:val="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资格审查：由采购人或采购代理机构代表根据采购文件的规定对投标人进行资格审查，资格审查不合格的投标人，其投标作无效标处理。</w:t>
            </w:r>
          </w:p>
          <w:p>
            <w:pPr>
              <w:pStyle w:val="25"/>
              <w:numPr>
                <w:ilvl w:val="0"/>
                <w:numId w:val="4"/>
              </w:numPr>
              <w:adjustRightInd w:val="0"/>
              <w:snapToGrid w:val="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符合性评审：依据采购文件的规定，从投标文件的有效性、完整性和对采购文件的响应程度进行审查，以确定是否对采购文件的实质性要求作出响应。具体审查内容见第五部分“评标办法”。</w:t>
            </w:r>
          </w:p>
          <w:p>
            <w:pPr>
              <w:pStyle w:val="25"/>
              <w:numPr>
                <w:ilvl w:val="0"/>
                <w:numId w:val="4"/>
              </w:numPr>
              <w:adjustRightInd w:val="0"/>
              <w:snapToGrid w:val="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商务技术评分：由评标委员会对各投标人的技术商务充分审核、讨论及评议后，独立评分。</w:t>
            </w:r>
          </w:p>
          <w:p>
            <w:pPr>
              <w:pStyle w:val="25"/>
              <w:numPr>
                <w:ilvl w:val="0"/>
                <w:numId w:val="4"/>
              </w:numPr>
              <w:adjustRightInd w:val="0"/>
              <w:snapToGrid w:val="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商务技术评分汇总</w:t>
            </w:r>
          </w:p>
          <w:p>
            <w:pPr>
              <w:pStyle w:val="25"/>
              <w:numPr>
                <w:ilvl w:val="0"/>
                <w:numId w:val="4"/>
              </w:numPr>
              <w:adjustRightInd w:val="0"/>
              <w:snapToGrid w:val="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商务技术结果公布；代理机构在线公布符合性审查、商务技术评审无效</w:t>
            </w:r>
            <w:r>
              <w:rPr>
                <w:rFonts w:hint="eastAsia" w:asciiTheme="minorEastAsia" w:hAnsiTheme="minorEastAsia" w:eastAsiaTheme="minorEastAsia" w:cstheme="minorEastAsia"/>
                <w:color w:val="auto"/>
                <w:lang w:val="en-US" w:eastAsia="zh-CN"/>
              </w:rPr>
              <w:t>投标人</w:t>
            </w:r>
            <w:r>
              <w:rPr>
                <w:rFonts w:hint="eastAsia" w:asciiTheme="minorEastAsia" w:hAnsiTheme="minorEastAsia" w:eastAsiaTheme="minorEastAsia" w:cstheme="minorEastAsia"/>
                <w:color w:val="auto"/>
              </w:rPr>
              <w:t>名称及理由（如有）；公布经商务技术评审后有效投标</w:t>
            </w:r>
            <w:r>
              <w:rPr>
                <w:rFonts w:hint="eastAsia" w:asciiTheme="minorEastAsia" w:hAnsiTheme="minorEastAsia" w:eastAsiaTheme="minorEastAsia" w:cstheme="minorEastAsia"/>
                <w:color w:val="auto"/>
                <w:lang w:val="en-US" w:eastAsia="zh-CN"/>
              </w:rPr>
              <w:t>人</w:t>
            </w:r>
            <w:r>
              <w:rPr>
                <w:rFonts w:hint="eastAsia" w:asciiTheme="minorEastAsia" w:hAnsiTheme="minorEastAsia" w:eastAsiaTheme="minorEastAsia" w:cstheme="minorEastAsia"/>
                <w:color w:val="auto"/>
              </w:rPr>
              <w:t>的名单，及其商务技术部分得分情况。</w:t>
            </w:r>
          </w:p>
          <w:p>
            <w:pPr>
              <w:pStyle w:val="25"/>
              <w:numPr>
                <w:ilvl w:val="0"/>
                <w:numId w:val="4"/>
              </w:numPr>
              <w:adjustRightInd w:val="0"/>
              <w:snapToGrid w:val="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开启报价响应文件：采购代理机构成功开启报价响应文件后，方可查看各供应商报价情况。</w:t>
            </w:r>
          </w:p>
          <w:p>
            <w:pPr>
              <w:pStyle w:val="25"/>
              <w:numPr>
                <w:ilvl w:val="0"/>
                <w:numId w:val="4"/>
              </w:numPr>
              <w:adjustRightInd w:val="0"/>
              <w:snapToGrid w:val="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代理机构点击“开启签字时段”，投标人对开标纪录进行在线签字确认（不予确认的应说明理由，否则视为无异议）</w:t>
            </w:r>
          </w:p>
          <w:p>
            <w:pPr>
              <w:pStyle w:val="25"/>
              <w:numPr>
                <w:ilvl w:val="0"/>
                <w:numId w:val="4"/>
              </w:numPr>
              <w:adjustRightInd w:val="0"/>
              <w:snapToGrid w:val="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报价评审：由评标委员会对报价的合理性、准确性等进行审查核实。</w:t>
            </w:r>
          </w:p>
          <w:p>
            <w:pPr>
              <w:pStyle w:val="25"/>
              <w:numPr>
                <w:ilvl w:val="0"/>
                <w:numId w:val="4"/>
              </w:numPr>
              <w:adjustRightInd w:val="0"/>
              <w:snapToGrid w:val="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得分汇总</w:t>
            </w:r>
          </w:p>
          <w:p>
            <w:pPr>
              <w:pStyle w:val="25"/>
              <w:numPr>
                <w:ilvl w:val="0"/>
                <w:numId w:val="4"/>
              </w:numPr>
              <w:adjustRightInd w:val="0"/>
              <w:snapToGrid w:val="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结果公布：</w:t>
            </w:r>
            <w:r>
              <w:rPr>
                <w:rFonts w:hint="eastAsia" w:asciiTheme="minorEastAsia" w:hAnsiTheme="minorEastAsia" w:eastAsiaTheme="minorEastAsia" w:cstheme="minorEastAsia"/>
                <w:color w:val="auto"/>
                <w:lang w:val="en-US" w:eastAsia="zh-CN"/>
              </w:rPr>
              <w:t>投标人</w:t>
            </w:r>
            <w:r>
              <w:rPr>
                <w:rFonts w:hint="eastAsia" w:asciiTheme="minorEastAsia" w:hAnsiTheme="minorEastAsia" w:eastAsiaTheme="minorEastAsia" w:cstheme="minorEastAsia"/>
                <w:color w:val="auto"/>
              </w:rPr>
              <w:t>可通过在线平台查看评审结果。</w:t>
            </w:r>
          </w:p>
          <w:p>
            <w:pPr>
              <w:pStyle w:val="25"/>
              <w:adjustRightInd w:val="0"/>
              <w:snapToGrid w:val="0"/>
              <w:rPr>
                <w:rFonts w:hint="eastAsia" w:asciiTheme="minorEastAsia" w:hAnsiTheme="minorEastAsia" w:eastAsiaTheme="minorEastAsia" w:cstheme="minorEastAsia"/>
                <w:snapToGrid w:val="0"/>
                <w:color w:val="auto"/>
                <w:kern w:val="0"/>
              </w:rPr>
            </w:pPr>
            <w:r>
              <w:rPr>
                <w:rFonts w:hint="eastAsia" w:asciiTheme="minorEastAsia" w:hAnsiTheme="minorEastAsia" w:eastAsiaTheme="minorEastAsia" w:cstheme="minorEastAsia"/>
                <w:color w:val="auto"/>
              </w:rPr>
              <w:t>注：除邮件交互外，如政采云平台提供信息发布、澄清说明、数据交换等操作方式的，或者政采云系统平台有新的操作流程的，按其规定。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5" w:hRule="atLeast"/>
          <w:jc w:val="center"/>
        </w:trPr>
        <w:tc>
          <w:tcPr>
            <w:tcW w:w="648"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22</w:t>
            </w:r>
          </w:p>
        </w:tc>
        <w:tc>
          <w:tcPr>
            <w:tcW w:w="1800"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投标有效期</w:t>
            </w:r>
          </w:p>
        </w:tc>
        <w:tc>
          <w:tcPr>
            <w:tcW w:w="6383" w:type="dxa"/>
            <w:noWrap w:val="0"/>
            <w:vAlign w:val="center"/>
          </w:tcPr>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投标截止日后</w:t>
            </w:r>
            <w:r>
              <w:rPr>
                <w:rFonts w:hint="eastAsia" w:asciiTheme="minorEastAsia" w:hAnsiTheme="minorEastAsia" w:eastAsiaTheme="minorEastAsia" w:cstheme="minorEastAsia"/>
                <w:b/>
                <w:bCs/>
                <w:color w:val="auto"/>
                <w:szCs w:val="21"/>
              </w:rPr>
              <w:t>90天</w:t>
            </w:r>
            <w:r>
              <w:rPr>
                <w:rFonts w:hint="eastAsia" w:asciiTheme="minorEastAsia" w:hAnsiTheme="minorEastAsia" w:eastAsiaTheme="minorEastAsia" w:cstheme="minorEastAsia"/>
                <w:color w:val="auto"/>
                <w:szCs w:val="21"/>
              </w:rPr>
              <w:t>内有效，不足有效期的，其投标视为无效标。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9" w:hRule="atLeast"/>
          <w:jc w:val="center"/>
        </w:trPr>
        <w:tc>
          <w:tcPr>
            <w:tcW w:w="648"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23</w:t>
            </w:r>
          </w:p>
        </w:tc>
        <w:tc>
          <w:tcPr>
            <w:tcW w:w="1800"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履约保证金</w:t>
            </w:r>
          </w:p>
        </w:tc>
        <w:tc>
          <w:tcPr>
            <w:tcW w:w="6383" w:type="dxa"/>
            <w:noWrap w:val="0"/>
            <w:vAlign w:val="center"/>
          </w:tcPr>
          <w:p>
            <w:pPr>
              <w:pStyle w:val="25"/>
              <w:adjustRightInd w:val="0"/>
              <w:snapToGrid w:val="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本项目不适用。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86" w:hRule="atLeast"/>
          <w:jc w:val="center"/>
        </w:trPr>
        <w:tc>
          <w:tcPr>
            <w:tcW w:w="648"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24</w:t>
            </w:r>
          </w:p>
        </w:tc>
        <w:tc>
          <w:tcPr>
            <w:tcW w:w="1800"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rPr>
              <w:t>询标澄清</w:t>
            </w:r>
          </w:p>
        </w:tc>
        <w:tc>
          <w:tcPr>
            <w:tcW w:w="6383" w:type="dxa"/>
            <w:noWrap w:val="0"/>
            <w:vAlign w:val="center"/>
          </w:tcPr>
          <w:p>
            <w:pPr>
              <w:pStyle w:val="25"/>
              <w:adjustRightInd w:val="0"/>
              <w:snapToGrid w:val="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在评标过程中，如评审小组对投标文件有疑问，由评审组长将问题汇总后发起询标澄清函，供应商应在规定截止时间前回复相关内容并经签章后提交。逾期答复的，投标人自行承担由此可能导致的对其不利的评审结果，评标委员会按少数服从多数原则对相关内容进行评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9" w:hRule="atLeast"/>
          <w:jc w:val="center"/>
        </w:trPr>
        <w:tc>
          <w:tcPr>
            <w:tcW w:w="648"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25</w:t>
            </w:r>
          </w:p>
        </w:tc>
        <w:tc>
          <w:tcPr>
            <w:tcW w:w="1800" w:type="dxa"/>
            <w:noWrap w:val="0"/>
            <w:vAlign w:val="center"/>
          </w:tcPr>
          <w:p>
            <w:pPr>
              <w:adjustRightInd w:val="0"/>
              <w:snapToGrid w:val="0"/>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公告发布媒体</w:t>
            </w:r>
          </w:p>
        </w:tc>
        <w:tc>
          <w:tcPr>
            <w:tcW w:w="6383" w:type="dxa"/>
            <w:noWrap w:val="0"/>
            <w:vAlign w:val="center"/>
          </w:tcPr>
          <w:p>
            <w:pPr>
              <w:pStyle w:val="25"/>
              <w:adjustRightInd w:val="0"/>
              <w:snapToGrid w:val="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rPr>
              <w:t>浙江政府采购网。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373" w:hRule="atLeast"/>
          <w:jc w:val="center"/>
        </w:trPr>
        <w:tc>
          <w:tcPr>
            <w:tcW w:w="648" w:type="dxa"/>
            <w:noWrap w:val="0"/>
            <w:vAlign w:val="center"/>
          </w:tcPr>
          <w:p>
            <w:pPr>
              <w:adjustRightInd w:val="0"/>
              <w:snapToGrid w:val="0"/>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26</w:t>
            </w:r>
          </w:p>
        </w:tc>
        <w:tc>
          <w:tcPr>
            <w:tcW w:w="1800"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质疑</w:t>
            </w:r>
          </w:p>
        </w:tc>
        <w:tc>
          <w:tcPr>
            <w:tcW w:w="6383" w:type="dxa"/>
            <w:noWrap w:val="0"/>
            <w:vAlign w:val="center"/>
          </w:tcPr>
          <w:p>
            <w:pPr>
              <w:adjustRightInd w:val="0"/>
              <w:snapToGrid w:val="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根据《中华人民共和国政府采购法》第五十二条、《中华人民共和国政府采购法实施条例》第五十三条、《政府采购质疑和投诉办法》的规定：</w:t>
            </w:r>
          </w:p>
          <w:p>
            <w:pPr>
              <w:adjustRightInd w:val="0"/>
              <w:snapToGrid w:val="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投标人认为采购（招标）文件、采购过程、中标或者成交结果使自己的权益受到损害的，可以在知道或者应知其权益受到损害之日起7个工作日内，以书面形式向采购人、采购代理机构提出质疑。</w:t>
            </w:r>
          </w:p>
          <w:p>
            <w:pPr>
              <w:adjustRightInd w:val="0"/>
              <w:snapToGrid w:val="0"/>
              <w:rPr>
                <w:rFonts w:hint="eastAsia" w:asciiTheme="minorEastAsia" w:hAnsiTheme="minorEastAsia" w:eastAsiaTheme="minorEastAsia" w:cstheme="minorEastAsia"/>
                <w:b/>
                <w:bCs/>
                <w:snapToGrid w:val="0"/>
                <w:color w:val="auto"/>
                <w:kern w:val="0"/>
                <w:szCs w:val="21"/>
              </w:rPr>
            </w:pPr>
            <w:r>
              <w:rPr>
                <w:rFonts w:hint="eastAsia" w:asciiTheme="minorEastAsia" w:hAnsiTheme="minorEastAsia" w:eastAsiaTheme="minorEastAsia" w:cstheme="minorEastAsia"/>
                <w:snapToGrid w:val="0"/>
                <w:color w:val="auto"/>
                <w:kern w:val="0"/>
                <w:szCs w:val="21"/>
              </w:rPr>
              <w:t>本项目要求投标人在法定质疑期内一次性提出针对同一采购程序环节的质疑。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69" w:hRule="atLeast"/>
          <w:jc w:val="center"/>
        </w:trPr>
        <w:tc>
          <w:tcPr>
            <w:tcW w:w="648"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27</w:t>
            </w:r>
          </w:p>
        </w:tc>
        <w:tc>
          <w:tcPr>
            <w:tcW w:w="1800"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投诉</w:t>
            </w:r>
          </w:p>
        </w:tc>
        <w:tc>
          <w:tcPr>
            <w:tcW w:w="6383" w:type="dxa"/>
            <w:noWrap w:val="0"/>
            <w:vAlign w:val="center"/>
          </w:tcPr>
          <w:p>
            <w:pPr>
              <w:adjustRightInd w:val="0"/>
              <w:snapToGrid w:val="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根据《政府采购法》第五十五条的规定，质疑供应商对采购人、采购代理机构的答复不满意或者采购人、采购代理机构未在规定的时间内作出答复的，可以在答复期满后十五个工作日内向同级政府采购监督管理部门投诉。</w:t>
            </w:r>
          </w:p>
          <w:p>
            <w:pPr>
              <w:adjustRightInd w:val="0"/>
              <w:snapToGrid w:val="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以联合体形式参加政府采购活动的，其投诉应当由组成联合体的所有供应商共同提出。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90" w:hRule="atLeast"/>
          <w:jc w:val="center"/>
        </w:trPr>
        <w:tc>
          <w:tcPr>
            <w:tcW w:w="648"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28</w:t>
            </w:r>
          </w:p>
        </w:tc>
        <w:tc>
          <w:tcPr>
            <w:tcW w:w="1800" w:type="dxa"/>
            <w:noWrap w:val="0"/>
            <w:vAlign w:val="center"/>
          </w:tcPr>
          <w:p>
            <w:pPr>
              <w:adjustRightInd w:val="0"/>
              <w:snapToGrid w:val="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特别说明</w:t>
            </w:r>
          </w:p>
        </w:tc>
        <w:tc>
          <w:tcPr>
            <w:tcW w:w="6383" w:type="dxa"/>
            <w:noWrap w:val="0"/>
            <w:vAlign w:val="center"/>
          </w:tcPr>
          <w:p>
            <w:pPr>
              <w:pStyle w:val="25"/>
              <w:adjustRightInd w:val="0"/>
              <w:snapToGrid w:val="0"/>
              <w:rPr>
                <w:rFonts w:hint="eastAsia" w:asciiTheme="minorEastAsia" w:hAnsiTheme="minorEastAsia" w:eastAsiaTheme="minorEastAsia" w:cstheme="minorEastAsia"/>
                <w:snapToGrid w:val="0"/>
                <w:color w:val="auto"/>
                <w:kern w:val="0"/>
              </w:rPr>
            </w:pPr>
            <w:r>
              <w:rPr>
                <w:rFonts w:hint="eastAsia" w:asciiTheme="minorEastAsia" w:hAnsiTheme="minorEastAsia" w:eastAsiaTheme="minorEastAsia" w:cstheme="minorEastAsia"/>
                <w:snapToGrid w:val="0"/>
                <w:color w:val="auto"/>
                <w:kern w:val="0"/>
              </w:rPr>
              <w:t>1.投标人应无条件的、认真仔细的、不厌其烦的阅读本采购文件及其澄清答疑、修改答复的补充文件，严格按照采购文件及补充文件的规定和要求编制投标文件。在编制投标文件过程中，应严格遵循实事求是、诚信投标的原则，针对采购文件中第三部分用户需求、第四部分合同条款等各项内容进行确认，如有偏离，应如实填写响应偏离表。</w:t>
            </w:r>
          </w:p>
          <w:p>
            <w:pPr>
              <w:pStyle w:val="25"/>
              <w:adjustRightInd w:val="0"/>
              <w:snapToGrid w:val="0"/>
              <w:rPr>
                <w:rFonts w:hint="eastAsia" w:asciiTheme="minorEastAsia" w:hAnsiTheme="minorEastAsia" w:eastAsiaTheme="minorEastAsia" w:cstheme="minorEastAsia"/>
                <w:snapToGrid w:val="0"/>
                <w:color w:val="auto"/>
                <w:kern w:val="0"/>
              </w:rPr>
            </w:pPr>
            <w:r>
              <w:rPr>
                <w:rFonts w:hint="eastAsia" w:asciiTheme="minorEastAsia" w:hAnsiTheme="minorEastAsia" w:eastAsiaTheme="minorEastAsia" w:cstheme="minorEastAsia"/>
                <w:snapToGrid w:val="0"/>
                <w:color w:val="auto"/>
                <w:kern w:val="0"/>
              </w:rPr>
              <w:t>2.本项目中标公示期间，投标人不得通过非正当途径、更不得通过非正当手段获取法律法规规定评标委员会（包括其他相关人员）应当保密的相关内容。即便由此获得资料并作为向采购人或采购代理机构或监督管理部门提出异（质）疑或投诉或法院起诉的理由，均属于非法索取的依据。</w:t>
            </w:r>
          </w:p>
          <w:p>
            <w:pPr>
              <w:pStyle w:val="25"/>
              <w:adjustRightInd w:val="0"/>
              <w:snapToGrid w:val="0"/>
              <w:rPr>
                <w:rFonts w:hint="eastAsia" w:asciiTheme="minorEastAsia" w:hAnsiTheme="minorEastAsia" w:eastAsiaTheme="minorEastAsia" w:cstheme="minorEastAsia"/>
                <w:snapToGrid w:val="0"/>
                <w:color w:val="auto"/>
                <w:kern w:val="0"/>
              </w:rPr>
            </w:pPr>
            <w:r>
              <w:rPr>
                <w:rFonts w:hint="eastAsia" w:asciiTheme="minorEastAsia" w:hAnsiTheme="minorEastAsia" w:eastAsiaTheme="minorEastAsia" w:cstheme="minorEastAsia"/>
                <w:snapToGrid w:val="0"/>
                <w:color w:val="auto"/>
                <w:kern w:val="0"/>
              </w:rPr>
              <w:t>3.质疑、投诉人未按前列序号第26、27条规定进行质疑、投诉（申诉）、举报等，均属于扰乱政府采购市场不良行为。</w:t>
            </w:r>
          </w:p>
          <w:p>
            <w:pPr>
              <w:pStyle w:val="25"/>
              <w:adjustRightInd w:val="0"/>
              <w:snapToGrid w:val="0"/>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b/>
                <w:bCs/>
                <w:snapToGrid w:val="0"/>
                <w:color w:val="auto"/>
                <w:kern w:val="0"/>
              </w:rPr>
              <w:t>4.采购文件中凡标注“▲”的条款均为实质性要求，不响应的投标文件将作无效标处理。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44" w:hRule="atLeast"/>
          <w:jc w:val="center"/>
        </w:trPr>
        <w:tc>
          <w:tcPr>
            <w:tcW w:w="648" w:type="dxa"/>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29</w:t>
            </w:r>
          </w:p>
        </w:tc>
        <w:tc>
          <w:tcPr>
            <w:tcW w:w="1800" w:type="dxa"/>
            <w:noWrap w:val="0"/>
            <w:vAlign w:val="center"/>
          </w:tcPr>
          <w:p>
            <w:pPr>
              <w:adjustRightInd w:val="0"/>
              <w:snapToGrid w:val="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color w:val="auto"/>
                <w:szCs w:val="21"/>
              </w:rPr>
              <w:t>采购代理服务费</w:t>
            </w:r>
          </w:p>
        </w:tc>
        <w:tc>
          <w:tcPr>
            <w:tcW w:w="6383" w:type="dxa"/>
            <w:noWrap w:val="0"/>
            <w:vAlign w:val="center"/>
          </w:tcPr>
          <w:p>
            <w:pPr>
              <w:adjustRightInd w:val="0"/>
              <w:snapToGrid w:val="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本项目的采购代理费由每个标项的中标人支付；以相应标项中标报价为计费基准，计费标准按中标金额的</w:t>
            </w:r>
            <w:r>
              <w:rPr>
                <w:rFonts w:hint="eastAsia" w:asciiTheme="minorEastAsia" w:hAnsiTheme="minorEastAsia" w:eastAsiaTheme="minorEastAsia" w:cstheme="minorEastAsia"/>
                <w:snapToGrid w:val="0"/>
                <w:color w:val="auto"/>
                <w:kern w:val="0"/>
                <w:szCs w:val="21"/>
                <w:u w:val="single"/>
              </w:rPr>
              <w:t xml:space="preserve">0.45% </w:t>
            </w:r>
            <w:r>
              <w:rPr>
                <w:rFonts w:hint="eastAsia" w:asciiTheme="minorEastAsia" w:hAnsiTheme="minorEastAsia" w:eastAsiaTheme="minorEastAsia" w:cstheme="minorEastAsia"/>
                <w:snapToGrid w:val="0"/>
                <w:color w:val="auto"/>
                <w:kern w:val="0"/>
                <w:szCs w:val="21"/>
              </w:rPr>
              <w:t>计算。</w:t>
            </w:r>
          </w:p>
          <w:p>
            <w:pPr>
              <w:adjustRightInd w:val="0"/>
              <w:snapToGrid w:val="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结算方式及时间为：</w:t>
            </w:r>
            <w:r>
              <w:rPr>
                <w:rFonts w:hint="eastAsia" w:asciiTheme="minorEastAsia" w:hAnsiTheme="minorEastAsia" w:eastAsiaTheme="minorEastAsia" w:cstheme="minorEastAsia"/>
                <w:snapToGrid w:val="0"/>
                <w:color w:val="auto"/>
                <w:kern w:val="0"/>
                <w:szCs w:val="21"/>
                <w:lang w:val="en-US" w:eastAsia="zh-CN"/>
              </w:rPr>
              <w:t>中标结果发布后，</w:t>
            </w:r>
            <w:r>
              <w:rPr>
                <w:rFonts w:hint="eastAsia" w:asciiTheme="minorEastAsia" w:hAnsiTheme="minorEastAsia" w:eastAsiaTheme="minorEastAsia" w:cstheme="minorEastAsia"/>
                <w:snapToGrid w:val="0"/>
                <w:color w:val="auto"/>
                <w:kern w:val="0"/>
                <w:szCs w:val="21"/>
              </w:rPr>
              <w:t>中标人按代理机构要求一次性向采购代理机构付清。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648" w:type="dxa"/>
            <w:noWrap w:val="0"/>
            <w:vAlign w:val="center"/>
          </w:tcPr>
          <w:p>
            <w:pPr>
              <w:adjustRightInd w:val="0"/>
              <w:snapToGrid w:val="0"/>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30</w:t>
            </w:r>
          </w:p>
        </w:tc>
        <w:tc>
          <w:tcPr>
            <w:tcW w:w="1800" w:type="dxa"/>
            <w:noWrap w:val="0"/>
            <w:vAlign w:val="center"/>
          </w:tcPr>
          <w:p>
            <w:pPr>
              <w:adjustRightInd w:val="0"/>
              <w:snapToGrid w:val="0"/>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节能环保要求</w:t>
            </w:r>
          </w:p>
        </w:tc>
        <w:tc>
          <w:tcPr>
            <w:tcW w:w="6383" w:type="dxa"/>
            <w:noWrap w:val="0"/>
            <w:vAlign w:val="center"/>
          </w:tcPr>
          <w:p>
            <w:pPr>
              <w:adjustRightInd w:val="0"/>
              <w:snapToGrid w:val="0"/>
              <w:spacing w:line="320" w:lineRule="exact"/>
              <w:rPr>
                <w:rFonts w:hint="eastAsia" w:asciiTheme="minorEastAsia" w:hAnsiTheme="minorEastAsia" w:eastAsiaTheme="minorEastAsia" w:cstheme="minorEastAsia"/>
                <w:snapToGrid w:val="0"/>
                <w:color w:val="auto"/>
                <w:kern w:val="0"/>
              </w:rPr>
            </w:pPr>
            <w:r>
              <w:rPr>
                <w:rFonts w:hint="eastAsia" w:asciiTheme="minorEastAsia" w:hAnsiTheme="minorEastAsia" w:eastAsiaTheme="minorEastAsia" w:cstheme="minorEastAsia"/>
                <w:snapToGrid w:val="0"/>
                <w:color w:val="auto"/>
                <w:kern w:val="0"/>
              </w:rPr>
              <w:t>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adjustRightInd w:val="0"/>
              <w:snapToGrid w:val="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rPr>
              <w:t>2.采购人拟采购的产品属于政府强制采购的节能产品品目清单范围的，投标人未按招标文件要求提供国家确定的认证机构出具的、处于有效期之内的节能产品认证证书，投标无效。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91" w:hRule="atLeast"/>
          <w:jc w:val="center"/>
        </w:trPr>
        <w:tc>
          <w:tcPr>
            <w:tcW w:w="648" w:type="dxa"/>
            <w:vMerge w:val="restart"/>
            <w:noWrap w:val="0"/>
            <w:vAlign w:val="center"/>
          </w:tcPr>
          <w:p>
            <w:pPr>
              <w:adjustRightInd w:val="0"/>
              <w:snapToGrid w:val="0"/>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31</w:t>
            </w:r>
          </w:p>
        </w:tc>
        <w:tc>
          <w:tcPr>
            <w:tcW w:w="1800" w:type="dxa"/>
            <w:vMerge w:val="restart"/>
            <w:noWrap w:val="0"/>
            <w:vAlign w:val="center"/>
          </w:tcPr>
          <w:p>
            <w:pPr>
              <w:adjustRightInd w:val="0"/>
              <w:snapToGrid w:val="0"/>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支持中小企业</w:t>
            </w:r>
          </w:p>
        </w:tc>
        <w:tc>
          <w:tcPr>
            <w:tcW w:w="6383" w:type="dxa"/>
            <w:noWrap w:val="0"/>
            <w:vAlign w:val="center"/>
          </w:tcPr>
          <w:p>
            <w:pPr>
              <w:adjustRightInd w:val="0"/>
              <w:snapToGrid w:val="0"/>
              <w:rPr>
                <w:rFonts w:hint="eastAsia" w:asciiTheme="minorEastAsia" w:hAnsiTheme="minorEastAsia" w:eastAsiaTheme="minorEastAsia" w:cstheme="minorEastAsia"/>
                <w:b/>
                <w:bCs/>
                <w:snapToGrid w:val="0"/>
                <w:color w:val="auto"/>
                <w:kern w:val="0"/>
                <w:szCs w:val="21"/>
              </w:rPr>
            </w:pPr>
            <w:r>
              <w:rPr>
                <w:rFonts w:hint="eastAsia" w:asciiTheme="minorEastAsia" w:hAnsiTheme="minorEastAsia" w:eastAsiaTheme="minorEastAsia" w:cstheme="minorEastAsia"/>
                <w:b/>
                <w:bCs/>
                <w:snapToGrid w:val="0"/>
                <w:color w:val="auto"/>
                <w:kern w:val="0"/>
                <w:szCs w:val="21"/>
              </w:rPr>
              <w:t>价格扣除：</w:t>
            </w:r>
          </w:p>
          <w:p>
            <w:pPr>
              <w:adjustRightInd w:val="0"/>
              <w:snapToGrid w:val="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根据工信部等部委发布的《关于印发中小企业划型标准规定的通知》（工信部联企业〔2011〕300号），根据具体品目确定相应标准。</w:t>
            </w:r>
          </w:p>
          <w:p>
            <w:pPr>
              <w:adjustRightInd w:val="0"/>
              <w:snapToGrid w:val="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符合上述条件的中小微型企业应按照招标文件所附格式要求提供《中小企业声明函》。</w:t>
            </w:r>
          </w:p>
          <w:p>
            <w:pPr>
              <w:adjustRightInd w:val="0"/>
              <w:snapToGrid w:val="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符合《关于促进残疾人就业政府采购政策的通知》（财库〔2017〕141号）规定的条件并提供提供《残疾人福利性单位声明函》的残疾人福利性单位视同小型、微型企业；</w:t>
            </w:r>
          </w:p>
          <w:p>
            <w:pPr>
              <w:adjustRightInd w:val="0"/>
              <w:snapToGrid w:val="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根据《关于政府采购支持监狱企业发展有关问题的通知》（财库[2014]68号）的规定，投标人提供由省级以上监狱管理局、戒毒管理局（含新疆生产建设兵团）出具的属于监狱企业证明文件的，视同为小型和微型企业。</w:t>
            </w:r>
          </w:p>
          <w:p>
            <w:pPr>
              <w:adjustRightInd w:val="0"/>
              <w:snapToGrid w:val="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根据财政部发布的《政府采购促进中小企业发展暂行办法》规定，对于非专门面向此类企业的项目，对小型和微型企业产品的投标价格给予6 %的扣除，用扣除后的价格参与评审。</w:t>
            </w:r>
          </w:p>
          <w:p>
            <w:pPr>
              <w:adjustRightInd w:val="0"/>
              <w:snapToGrid w:val="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w:t>
            </w:r>
          </w:p>
          <w:p>
            <w:pPr>
              <w:adjustRightInd w:val="0"/>
              <w:snapToGrid w:val="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联合体各方均为小型、微型企业的，联合体视同为小型、微型企业。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46" w:hRule="atLeast"/>
          <w:jc w:val="center"/>
        </w:trPr>
        <w:tc>
          <w:tcPr>
            <w:tcW w:w="648" w:type="dxa"/>
            <w:vMerge w:val="continue"/>
            <w:noWrap w:val="0"/>
            <w:vAlign w:val="center"/>
          </w:tcPr>
          <w:p>
            <w:pPr>
              <w:adjustRightInd w:val="0"/>
              <w:snapToGrid w:val="0"/>
              <w:jc w:val="center"/>
              <w:rPr>
                <w:rFonts w:hint="eastAsia" w:asciiTheme="minorEastAsia" w:hAnsiTheme="minorEastAsia" w:eastAsiaTheme="minorEastAsia" w:cstheme="minorEastAsia"/>
                <w:snapToGrid w:val="0"/>
                <w:color w:val="auto"/>
                <w:kern w:val="0"/>
                <w:szCs w:val="21"/>
              </w:rPr>
            </w:pPr>
          </w:p>
        </w:tc>
        <w:tc>
          <w:tcPr>
            <w:tcW w:w="1800" w:type="dxa"/>
            <w:vMerge w:val="continue"/>
            <w:noWrap w:val="0"/>
            <w:vAlign w:val="center"/>
          </w:tcPr>
          <w:p>
            <w:pPr>
              <w:adjustRightInd w:val="0"/>
              <w:snapToGrid w:val="0"/>
              <w:jc w:val="center"/>
              <w:rPr>
                <w:rFonts w:hint="eastAsia" w:asciiTheme="minorEastAsia" w:hAnsiTheme="minorEastAsia" w:eastAsiaTheme="minorEastAsia" w:cstheme="minorEastAsia"/>
                <w:snapToGrid w:val="0"/>
                <w:color w:val="auto"/>
                <w:kern w:val="0"/>
                <w:szCs w:val="21"/>
              </w:rPr>
            </w:pPr>
          </w:p>
        </w:tc>
        <w:tc>
          <w:tcPr>
            <w:tcW w:w="6383" w:type="dxa"/>
            <w:noWrap w:val="0"/>
            <w:vAlign w:val="center"/>
          </w:tcPr>
          <w:p>
            <w:pPr>
              <w:adjustRightInd w:val="0"/>
              <w:snapToGrid w:val="0"/>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snapToGrid w:val="0"/>
                <w:color w:val="auto"/>
                <w:kern w:val="0"/>
                <w:szCs w:val="21"/>
              </w:rPr>
              <w:t>企业信用融资：</w:t>
            </w:r>
          </w:p>
          <w:p>
            <w:pPr>
              <w:adjustRightInd w:val="0"/>
              <w:snapToGrid w:val="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color w:val="auto"/>
                <w:szCs w:val="21"/>
              </w:rPr>
              <w:t>浙江省本级政府采购项目，可参阅</w:t>
            </w:r>
            <w:r>
              <w:rPr>
                <w:rFonts w:hint="eastAsia" w:asciiTheme="minorEastAsia" w:hAnsiTheme="minorEastAsia" w:eastAsiaTheme="minorEastAsia" w:cstheme="minorEastAsia"/>
                <w:color w:val="auto"/>
                <w:kern w:val="0"/>
                <w:szCs w:val="21"/>
              </w:rPr>
              <w:t>《关于印发浙江省政府采购支持中小企业信用融资试点办法的通知》（浙财采监〔2012〕13号）</w:t>
            </w:r>
            <w:r>
              <w:rPr>
                <w:rFonts w:hint="eastAsia" w:asciiTheme="minorEastAsia" w:hAnsiTheme="minorEastAsia" w:eastAsiaTheme="minorEastAsia" w:cstheme="minorEastAsia"/>
                <w:color w:val="auto"/>
                <w:szCs w:val="21"/>
              </w:rPr>
              <w:t>，或登录浙江政府采购网查看信用融资政策文件及各相关银行服务方案</w:t>
            </w:r>
            <w:r>
              <w:rPr>
                <w:rFonts w:hint="eastAsia" w:asciiTheme="minorEastAsia" w:hAnsiTheme="minorEastAsia" w:eastAsiaTheme="minorEastAsia" w:cstheme="minorEastAsia"/>
                <w:bCs/>
                <w:snapToGrid w:val="0"/>
                <w:color w:val="auto"/>
                <w:kern w:val="0"/>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12" w:hRule="atLeast"/>
          <w:jc w:val="center"/>
        </w:trPr>
        <w:tc>
          <w:tcPr>
            <w:tcW w:w="648" w:type="dxa"/>
            <w:vMerge w:val="restart"/>
            <w:noWrap w:val="0"/>
            <w:vAlign w:val="center"/>
          </w:tcPr>
          <w:p>
            <w:pPr>
              <w:adjustRightInd w:val="0"/>
              <w:snapToGrid w:val="0"/>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32</w:t>
            </w:r>
          </w:p>
        </w:tc>
        <w:tc>
          <w:tcPr>
            <w:tcW w:w="1800" w:type="dxa"/>
            <w:vMerge w:val="restart"/>
            <w:noWrap w:val="0"/>
            <w:vAlign w:val="center"/>
          </w:tcPr>
          <w:p>
            <w:pPr>
              <w:adjustRightInd w:val="0"/>
              <w:snapToGrid w:val="0"/>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投标人信用信息事项</w:t>
            </w:r>
          </w:p>
        </w:tc>
        <w:tc>
          <w:tcPr>
            <w:tcW w:w="6383" w:type="dxa"/>
            <w:noWrap w:val="0"/>
            <w:vAlign w:val="center"/>
          </w:tcPr>
          <w:p>
            <w:pPr>
              <w:adjustRightInd w:val="0"/>
              <w:snapToGrid w:val="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信用信息查询渠道及截止时间：项目评审组织人员将通过“信用中国”网站(www.creditchina.gov.cn)、中国政府采购网(www.ccgp.gov.cn)渠道查询投标人投标截止时间前的信用记录。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28" w:hRule="atLeast"/>
          <w:jc w:val="center"/>
        </w:trPr>
        <w:tc>
          <w:tcPr>
            <w:tcW w:w="648" w:type="dxa"/>
            <w:vMerge w:val="continue"/>
            <w:noWrap w:val="0"/>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00" w:type="dxa"/>
            <w:vMerge w:val="continue"/>
            <w:noWrap w:val="0"/>
            <w:vAlign w:val="center"/>
          </w:tcPr>
          <w:p>
            <w:pPr>
              <w:adjustRightInd w:val="0"/>
              <w:snapToGrid w:val="0"/>
              <w:rPr>
                <w:rFonts w:hint="eastAsia" w:asciiTheme="minorEastAsia" w:hAnsiTheme="minorEastAsia" w:eastAsiaTheme="minorEastAsia" w:cstheme="minorEastAsia"/>
                <w:b/>
                <w:color w:val="auto"/>
                <w:szCs w:val="21"/>
              </w:rPr>
            </w:pPr>
          </w:p>
        </w:tc>
        <w:tc>
          <w:tcPr>
            <w:tcW w:w="6383" w:type="dxa"/>
            <w:noWrap w:val="0"/>
            <w:vAlign w:val="center"/>
          </w:tcPr>
          <w:p>
            <w:pPr>
              <w:adjustRightInd w:val="0"/>
              <w:snapToGrid w:val="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信用信息的使用规则：经查询列入失信被执行人名单、重大税收违法案件当事人名单、政府采购严重违法失信行为记录名单的投标人的投标文件将被拒绝。</w:t>
            </w:r>
          </w:p>
        </w:tc>
      </w:tr>
    </w:tbl>
    <w:p>
      <w:pPr>
        <w:rPr>
          <w:rFonts w:hint="eastAsia" w:asciiTheme="minorEastAsia" w:hAnsiTheme="minorEastAsia" w:eastAsiaTheme="minorEastAsia" w:cstheme="minorEastAsia"/>
          <w:color w:val="auto"/>
          <w:szCs w:val="21"/>
        </w:rPr>
      </w:pPr>
    </w:p>
    <w:p>
      <w:pPr>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注：以上内容如有变化将另行书面通知。如通知其中某一内容发生变化，其余未提及的将不作变动。</w:t>
      </w:r>
      <w:bookmarkStart w:id="6" w:name="_Toc240450076"/>
      <w:bookmarkStart w:id="7" w:name="_Toc251566649"/>
    </w:p>
    <w:p>
      <w:pPr>
        <w:adjustRightInd w:val="0"/>
        <w:snapToGrid w:val="0"/>
        <w:spacing w:before="120" w:beforeLines="50" w:after="120" w:afterLines="50" w:line="360" w:lineRule="auto"/>
        <w:jc w:val="center"/>
        <w:outlineLvl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br w:type="page"/>
      </w:r>
      <w:bookmarkStart w:id="8" w:name="_Toc30163"/>
      <w:bookmarkStart w:id="9" w:name="_Toc2187"/>
      <w:r>
        <w:rPr>
          <w:rFonts w:hint="eastAsia" w:asciiTheme="minorEastAsia" w:hAnsiTheme="minorEastAsia" w:eastAsiaTheme="minorEastAsia" w:cstheme="minorEastAsia"/>
          <w:b/>
          <w:color w:val="auto"/>
          <w:sz w:val="30"/>
          <w:szCs w:val="30"/>
        </w:rPr>
        <w:t>第二部分  投标须知</w:t>
      </w:r>
      <w:bookmarkEnd w:id="6"/>
      <w:bookmarkEnd w:id="7"/>
      <w:bookmarkEnd w:id="8"/>
      <w:bookmarkEnd w:id="9"/>
    </w:p>
    <w:p>
      <w:pPr>
        <w:pStyle w:val="3"/>
        <w:snapToGrid w:val="0"/>
        <w:spacing w:before="120" w:beforeLines="50" w:after="120" w:afterLines="50" w:line="360" w:lineRule="auto"/>
        <w:rPr>
          <w:rFonts w:hint="eastAsia" w:asciiTheme="minorEastAsia" w:hAnsiTheme="minorEastAsia" w:eastAsiaTheme="minorEastAsia" w:cstheme="minorEastAsia"/>
          <w:color w:val="auto"/>
          <w:sz w:val="21"/>
          <w:szCs w:val="21"/>
        </w:rPr>
      </w:pPr>
      <w:bookmarkStart w:id="10" w:name="_Toc240450077"/>
      <w:bookmarkStart w:id="11" w:name="_Toc12176"/>
      <w:bookmarkStart w:id="12" w:name="_Toc251566650"/>
      <w:bookmarkStart w:id="13" w:name="_Toc12000"/>
      <w:r>
        <w:rPr>
          <w:rFonts w:hint="eastAsia" w:asciiTheme="minorEastAsia" w:hAnsiTheme="minorEastAsia" w:eastAsiaTheme="minorEastAsia" w:cstheme="minorEastAsia"/>
          <w:color w:val="auto"/>
          <w:sz w:val="21"/>
          <w:szCs w:val="21"/>
        </w:rPr>
        <w:t>一、总则</w:t>
      </w:r>
      <w:bookmarkEnd w:id="10"/>
      <w:bookmarkEnd w:id="11"/>
      <w:bookmarkEnd w:id="12"/>
      <w:bookmarkEnd w:id="13"/>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本次招标工作是按照《中华人民共和国政府采购法》、《中华人民共和国政府采购法实施条例》、《政府采购货物和服务招标投标管理办法》等相关法律法规组织和实施。</w:t>
      </w:r>
    </w:p>
    <w:p>
      <w:pPr>
        <w:adjustRightInd w:val="0"/>
        <w:snapToGrid w:val="0"/>
        <w:spacing w:before="120" w:beforeLines="50" w:line="360" w:lineRule="auto"/>
        <w:ind w:firstLine="422" w:firstLineChars="200"/>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snapToGrid w:val="0"/>
          <w:color w:val="auto"/>
          <w:kern w:val="0"/>
          <w:szCs w:val="21"/>
        </w:rPr>
        <w:t>1．适用范围</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1.1 本采购文件仅适用于本次招标项目。</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1.2 本项目采购方式为公开招标。</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1.3 投标须知为招标文件的通用条款，如通用条款与前附表、用户需求、合同条款等特定条款不一致的，请按特定条款执行。</w:t>
      </w:r>
    </w:p>
    <w:p>
      <w:pPr>
        <w:adjustRightInd w:val="0"/>
        <w:snapToGrid w:val="0"/>
        <w:spacing w:before="120" w:beforeLines="50" w:line="360" w:lineRule="auto"/>
        <w:ind w:firstLine="422" w:firstLineChars="200"/>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snapToGrid w:val="0"/>
          <w:color w:val="auto"/>
          <w:kern w:val="0"/>
          <w:szCs w:val="21"/>
        </w:rPr>
        <w:t>2．定义</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2.1“采购人”系指浙江省生态环境厅</w:t>
      </w:r>
      <w:r>
        <w:rPr>
          <w:rFonts w:hint="eastAsia" w:asciiTheme="minorEastAsia" w:hAnsiTheme="minorEastAsia" w:eastAsiaTheme="minorEastAsia" w:cstheme="minorEastAsia"/>
          <w:color w:val="auto"/>
          <w:szCs w:val="21"/>
        </w:rPr>
        <w:t>（合同中的甲方）</w:t>
      </w:r>
      <w:r>
        <w:rPr>
          <w:rFonts w:hint="eastAsia" w:asciiTheme="minorEastAsia" w:hAnsiTheme="minorEastAsia" w:eastAsiaTheme="minorEastAsia" w:cstheme="minorEastAsia"/>
          <w:snapToGrid w:val="0"/>
          <w:color w:val="auto"/>
          <w:kern w:val="0"/>
          <w:szCs w:val="21"/>
        </w:rPr>
        <w:t>。</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2.2“采购代理机构”系指浙江国际招（投）标公司</w:t>
      </w:r>
      <w:r>
        <w:rPr>
          <w:rFonts w:hint="eastAsia" w:asciiTheme="minorEastAsia" w:hAnsiTheme="minorEastAsia" w:eastAsiaTheme="minorEastAsia" w:cstheme="minorEastAsia"/>
          <w:color w:val="auto"/>
          <w:szCs w:val="21"/>
        </w:rPr>
        <w:t>（合同中的鉴证方）</w:t>
      </w:r>
      <w:r>
        <w:rPr>
          <w:rFonts w:hint="eastAsia" w:asciiTheme="minorEastAsia" w:hAnsiTheme="minorEastAsia" w:eastAsiaTheme="minorEastAsia" w:cstheme="minorEastAsia"/>
          <w:snapToGrid w:val="0"/>
          <w:color w:val="auto"/>
          <w:kern w:val="0"/>
          <w:szCs w:val="21"/>
        </w:rPr>
        <w:t>。</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2.3“投标人”系指响应本次招标，参加本次投标的独立法人</w:t>
      </w:r>
      <w:r>
        <w:rPr>
          <w:rFonts w:hint="eastAsia" w:asciiTheme="minorEastAsia" w:hAnsiTheme="minorEastAsia" w:eastAsiaTheme="minorEastAsia" w:cstheme="minorEastAsia"/>
          <w:color w:val="auto"/>
          <w:szCs w:val="21"/>
        </w:rPr>
        <w:t>（合同中的乙方）</w:t>
      </w:r>
      <w:r>
        <w:rPr>
          <w:rFonts w:hint="eastAsia" w:asciiTheme="minorEastAsia" w:hAnsiTheme="minorEastAsia" w:eastAsiaTheme="minorEastAsia" w:cstheme="minorEastAsia"/>
          <w:snapToGrid w:val="0"/>
          <w:color w:val="auto"/>
          <w:kern w:val="0"/>
          <w:szCs w:val="21"/>
        </w:rPr>
        <w:t>。</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2.4“监督管理部门”系指浙江省财政厅政府采购监管处。</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2.5“服务”系指采购文件或合同规定投标人须承担的服务以及其他类似的义务。</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2.6“实质性条款”系指采购文件条款前标注“▲”标识的条款。</w:t>
      </w:r>
    </w:p>
    <w:p>
      <w:pPr>
        <w:adjustRightInd w:val="0"/>
        <w:snapToGrid w:val="0"/>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snapToGrid w:val="0"/>
          <w:color w:val="auto"/>
          <w:kern w:val="0"/>
          <w:szCs w:val="21"/>
        </w:rPr>
        <w:t>2.7官方指定网站公示的内容视为书面告知。</w:t>
      </w:r>
    </w:p>
    <w:p>
      <w:pPr>
        <w:adjustRightInd w:val="0"/>
        <w:snapToGrid w:val="0"/>
        <w:spacing w:before="120" w:beforeLines="50" w:line="360" w:lineRule="auto"/>
        <w:ind w:firstLine="422" w:firstLineChars="200"/>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snapToGrid w:val="0"/>
          <w:color w:val="auto"/>
          <w:kern w:val="0"/>
          <w:szCs w:val="21"/>
        </w:rPr>
        <w:t>3．合格的投标人及合格的投标货物和服务</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rPr>
      </w:pPr>
      <w:r>
        <w:rPr>
          <w:rFonts w:hint="eastAsia" w:asciiTheme="minorEastAsia" w:hAnsiTheme="minorEastAsia" w:eastAsiaTheme="minorEastAsia" w:cstheme="minorEastAsia"/>
          <w:snapToGrid w:val="0"/>
          <w:color w:val="auto"/>
          <w:kern w:val="0"/>
        </w:rPr>
        <w:t>3.1合格的投标人，详见采购公告第五条规定的投标人必须具备的资格条件并经采购人或采购代理机构审查通过的。</w:t>
      </w:r>
    </w:p>
    <w:p>
      <w:pPr>
        <w:adjustRightInd w:val="0"/>
        <w:snapToGrid w:val="0"/>
        <w:spacing w:line="360" w:lineRule="auto"/>
        <w:ind w:firstLine="422" w:firstLineChars="200"/>
        <w:rPr>
          <w:rFonts w:hint="eastAsia" w:asciiTheme="minorEastAsia" w:hAnsiTheme="minorEastAsia" w:eastAsiaTheme="minorEastAsia" w:cstheme="minorEastAsia"/>
          <w:b/>
          <w:bCs/>
          <w:snapToGrid w:val="0"/>
          <w:color w:val="auto"/>
          <w:kern w:val="0"/>
        </w:rPr>
      </w:pPr>
      <w:r>
        <w:rPr>
          <w:rFonts w:hint="eastAsia" w:asciiTheme="minorEastAsia" w:hAnsiTheme="minorEastAsia" w:eastAsiaTheme="minorEastAsia" w:cstheme="minorEastAsia"/>
          <w:b/>
          <w:bCs/>
          <w:snapToGrid w:val="0"/>
          <w:color w:val="auto"/>
          <w:kern w:val="0"/>
        </w:rPr>
        <w:t>3.2对投标人的限制</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rPr>
      </w:pPr>
      <w:r>
        <w:rPr>
          <w:rFonts w:hint="eastAsia" w:asciiTheme="minorEastAsia" w:hAnsiTheme="minorEastAsia" w:eastAsiaTheme="minorEastAsia" w:cstheme="minorEastAsia"/>
          <w:snapToGrid w:val="0"/>
          <w:color w:val="auto"/>
          <w:kern w:val="0"/>
        </w:rPr>
        <w:t>3.2.1单位负责人（指法定代表人或者法律、行政法规规定代表单位行使职权的主要负责人）为同一人或者存在直接控股、管理关系的不同供应商不得分别参加同一合同项下的采购活动。违反本条规定的，相关投标均无效；</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rPr>
      </w:pPr>
      <w:r>
        <w:rPr>
          <w:rFonts w:hint="eastAsia" w:asciiTheme="minorEastAsia" w:hAnsiTheme="minorEastAsia" w:eastAsiaTheme="minorEastAsia" w:cstheme="minorEastAsia"/>
          <w:snapToGrid w:val="0"/>
          <w:color w:val="auto"/>
          <w:kern w:val="0"/>
        </w:rPr>
        <w:t>3.2.2为本项目提供过整体设计、规范编制或者项目管理、监理、检测等服务的供应商，不得再参加该采购项目的其他采购活动（不包括为该项目提供整体设计、规范编制或者项目管理、监理、检测等服务）；</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rPr>
      </w:pPr>
      <w:r>
        <w:rPr>
          <w:rFonts w:hint="eastAsia" w:asciiTheme="minorEastAsia" w:hAnsiTheme="minorEastAsia" w:eastAsiaTheme="minorEastAsia" w:cstheme="minorEastAsia"/>
          <w:snapToGrid w:val="0"/>
          <w:color w:val="auto"/>
          <w:kern w:val="0"/>
        </w:rPr>
        <w:t>3.2.3以联合体形式参加政府采购活动的，联合体各方不得再单独参加或者与其他投标人另外组成联合体参加同一合同项下的政府采购活动；</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rPr>
      </w:pPr>
      <w:r>
        <w:rPr>
          <w:rFonts w:hint="eastAsia" w:asciiTheme="minorEastAsia" w:hAnsiTheme="minorEastAsia" w:eastAsiaTheme="minorEastAsia" w:cstheme="minorEastAsia"/>
          <w:snapToGrid w:val="0"/>
          <w:color w:val="auto"/>
          <w:kern w:val="0"/>
        </w:rPr>
        <w:t>3.2.4为证明投标人拥有的业绩、荣誉、知识产权、项目案例等而在投标文件中提供的证明材料必须为投标人自身所有。不同法人、其他组织的资料与投标人无关。</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rPr>
      </w:pPr>
      <w:r>
        <w:rPr>
          <w:rFonts w:hint="eastAsia" w:asciiTheme="minorEastAsia" w:hAnsiTheme="minorEastAsia" w:eastAsiaTheme="minorEastAsia" w:cstheme="minorEastAsia"/>
          <w:snapToGrid w:val="0"/>
          <w:color w:val="auto"/>
          <w:kern w:val="0"/>
        </w:rPr>
        <w:t>3.2.5在政府采购活动中，采购人员及相关人员与供应商有下列利害关系之一的，应当回避：</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rPr>
      </w:pPr>
      <w:r>
        <w:rPr>
          <w:rFonts w:hint="eastAsia" w:asciiTheme="minorEastAsia" w:hAnsiTheme="minorEastAsia" w:eastAsiaTheme="minorEastAsia" w:cstheme="minorEastAsia"/>
          <w:snapToGrid w:val="0"/>
          <w:color w:val="auto"/>
          <w:kern w:val="0"/>
        </w:rPr>
        <w:t>（一）参加采购活动前3年内与供应商存在劳动关系；</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rPr>
      </w:pPr>
      <w:r>
        <w:rPr>
          <w:rFonts w:hint="eastAsia" w:asciiTheme="minorEastAsia" w:hAnsiTheme="minorEastAsia" w:eastAsiaTheme="minorEastAsia" w:cstheme="minorEastAsia"/>
          <w:snapToGrid w:val="0"/>
          <w:color w:val="auto"/>
          <w:kern w:val="0"/>
        </w:rPr>
        <w:t>（二）参加采购活动前3年内担任供应商的董事、监事；</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rPr>
      </w:pPr>
      <w:r>
        <w:rPr>
          <w:rFonts w:hint="eastAsia" w:asciiTheme="minorEastAsia" w:hAnsiTheme="minorEastAsia" w:eastAsiaTheme="minorEastAsia" w:cstheme="minorEastAsia"/>
          <w:snapToGrid w:val="0"/>
          <w:color w:val="auto"/>
          <w:kern w:val="0"/>
        </w:rPr>
        <w:t>（三）参加采购活动前3年内是供应商的控股股东或者实际控制人；</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rPr>
      </w:pPr>
      <w:r>
        <w:rPr>
          <w:rFonts w:hint="eastAsia" w:asciiTheme="minorEastAsia" w:hAnsiTheme="minorEastAsia" w:eastAsiaTheme="minorEastAsia" w:cstheme="minorEastAsia"/>
          <w:snapToGrid w:val="0"/>
          <w:color w:val="auto"/>
          <w:kern w:val="0"/>
        </w:rPr>
        <w:t>（四）与供应商的法定代表人或者负责人有夫妻、直系血亲、三代以内旁系血亲或者近姻亲关系；</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rPr>
      </w:pPr>
      <w:r>
        <w:rPr>
          <w:rFonts w:hint="eastAsia" w:asciiTheme="minorEastAsia" w:hAnsiTheme="minorEastAsia" w:eastAsiaTheme="minorEastAsia" w:cstheme="minorEastAsia"/>
          <w:snapToGrid w:val="0"/>
          <w:color w:val="auto"/>
          <w:kern w:val="0"/>
        </w:rPr>
        <w:t>（五）与供应商有其他可能影响政府采购活动公平、公正进行的关系。</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rPr>
      </w:pPr>
      <w:r>
        <w:rPr>
          <w:rFonts w:hint="eastAsia" w:asciiTheme="minorEastAsia" w:hAnsiTheme="minorEastAsia" w:eastAsiaTheme="minorEastAsia" w:cstheme="minorEastAsia"/>
          <w:snapToGrid w:val="0"/>
          <w:color w:val="auto"/>
          <w:kern w:val="0"/>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adjustRightInd w:val="0"/>
        <w:snapToGrid w:val="0"/>
        <w:spacing w:before="120" w:beforeLines="50" w:line="360" w:lineRule="auto"/>
        <w:ind w:firstLine="422" w:firstLineChars="200"/>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snapToGrid w:val="0"/>
          <w:color w:val="auto"/>
          <w:kern w:val="0"/>
          <w:szCs w:val="21"/>
        </w:rPr>
        <w:t>4．相关说明</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4.1 投标费用</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投标人应承担其参加投标所涉及的一切费用，不管投标结果如何，采购人对这些费用不负任何责任。</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4.2 投标人应仔细阅读采购文件的所有内容，按照采购文件的要求提交投标文件。投标文件应对采购文件的要求作出实质性响应，并对所提供的全部资料的真实性承担法律责任。</w:t>
      </w:r>
    </w:p>
    <w:p>
      <w:pPr>
        <w:adjustRightInd w:val="0"/>
        <w:snapToGrid w:val="0"/>
        <w:spacing w:line="360" w:lineRule="auto"/>
        <w:ind w:firstLine="422" w:firstLineChars="200"/>
        <w:rPr>
          <w:rFonts w:hint="eastAsia" w:asciiTheme="minorEastAsia" w:hAnsiTheme="minorEastAsia" w:eastAsiaTheme="minorEastAsia" w:cstheme="minorEastAsia"/>
          <w:b/>
          <w:bCs/>
          <w:snapToGrid w:val="0"/>
          <w:color w:val="auto"/>
          <w:kern w:val="0"/>
          <w:szCs w:val="21"/>
        </w:rPr>
      </w:pPr>
      <w:r>
        <w:rPr>
          <w:rFonts w:hint="eastAsia" w:asciiTheme="minorEastAsia" w:hAnsiTheme="minorEastAsia" w:eastAsiaTheme="minorEastAsia" w:cstheme="minorEastAsia"/>
          <w:b/>
          <w:bCs/>
          <w:snapToGrid w:val="0"/>
          <w:color w:val="auto"/>
          <w:kern w:val="0"/>
          <w:szCs w:val="21"/>
        </w:rPr>
        <w:t>4.3投标人投标所使用的资格、信誉、荣誉、业绩与企业认证必须为本法人所拥有。投标人投标拟派项目实施人员必须为本法人员工。</w:t>
      </w:r>
    </w:p>
    <w:p>
      <w:pPr>
        <w:adjustRightInd w:val="0"/>
        <w:snapToGrid w:val="0"/>
        <w:spacing w:line="360" w:lineRule="auto"/>
        <w:ind w:firstLine="422" w:firstLineChars="200"/>
        <w:rPr>
          <w:rFonts w:hint="eastAsia" w:asciiTheme="minorEastAsia" w:hAnsiTheme="minorEastAsia" w:eastAsiaTheme="minorEastAsia" w:cstheme="minorEastAsia"/>
          <w:b/>
          <w:bCs/>
          <w:snapToGrid w:val="0"/>
          <w:color w:val="auto"/>
          <w:kern w:val="0"/>
          <w:szCs w:val="21"/>
        </w:rPr>
      </w:pPr>
      <w:r>
        <w:rPr>
          <w:rFonts w:hint="eastAsia" w:asciiTheme="minorEastAsia" w:hAnsiTheme="minorEastAsia" w:eastAsiaTheme="minorEastAsia" w:cstheme="minorEastAsia"/>
          <w:b/>
          <w:bCs/>
          <w:snapToGrid w:val="0"/>
          <w:color w:val="auto"/>
          <w:kern w:val="0"/>
          <w:szCs w:val="21"/>
        </w:rPr>
        <w:t>4.4投标人应仔细阅读采购文件的所有内容，按照采购文件的要求提交投标文件，并对所提供的全部资料的真实性承担法律责任。</w:t>
      </w:r>
    </w:p>
    <w:p>
      <w:pPr>
        <w:adjustRightInd w:val="0"/>
        <w:snapToGrid w:val="0"/>
        <w:spacing w:line="360" w:lineRule="auto"/>
        <w:ind w:firstLine="422"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b/>
          <w:bCs/>
          <w:snapToGrid w:val="0"/>
          <w:color w:val="auto"/>
          <w:kern w:val="0"/>
          <w:szCs w:val="21"/>
        </w:rPr>
        <w:t>4.5投标人在投标活动中提供任何虚假材料,其投标无效，并报监管部门查处；中标后发现的,按《政府采购货物和服务招标投标管理办法》（财政部令第87号）相关规定承担相应的法律责任。</w:t>
      </w:r>
    </w:p>
    <w:p>
      <w:pPr>
        <w:pStyle w:val="3"/>
        <w:snapToGrid w:val="0"/>
        <w:spacing w:before="120" w:beforeLines="50" w:after="120" w:afterLines="50" w:line="360" w:lineRule="auto"/>
        <w:rPr>
          <w:rFonts w:hint="eastAsia" w:asciiTheme="minorEastAsia" w:hAnsiTheme="minorEastAsia" w:eastAsiaTheme="minorEastAsia" w:cstheme="minorEastAsia"/>
          <w:color w:val="auto"/>
          <w:sz w:val="21"/>
          <w:szCs w:val="21"/>
        </w:rPr>
      </w:pPr>
      <w:bookmarkStart w:id="14" w:name="_Toc240450078"/>
      <w:bookmarkStart w:id="15" w:name="_Toc251566651"/>
      <w:bookmarkStart w:id="16" w:name="_Toc27295"/>
      <w:bookmarkStart w:id="17" w:name="_Toc27862"/>
      <w:r>
        <w:rPr>
          <w:rFonts w:hint="eastAsia" w:asciiTheme="minorEastAsia" w:hAnsiTheme="minorEastAsia" w:eastAsiaTheme="minorEastAsia" w:cstheme="minorEastAsia"/>
          <w:color w:val="auto"/>
          <w:sz w:val="21"/>
          <w:szCs w:val="21"/>
        </w:rPr>
        <w:t>二、</w:t>
      </w:r>
      <w:bookmarkEnd w:id="14"/>
      <w:bookmarkEnd w:id="15"/>
      <w:r>
        <w:rPr>
          <w:rFonts w:hint="eastAsia" w:asciiTheme="minorEastAsia" w:hAnsiTheme="minorEastAsia" w:eastAsiaTheme="minorEastAsia" w:cstheme="minorEastAsia"/>
          <w:color w:val="auto"/>
          <w:sz w:val="21"/>
          <w:szCs w:val="21"/>
        </w:rPr>
        <w:t>采购文件</w:t>
      </w:r>
      <w:bookmarkEnd w:id="16"/>
      <w:bookmarkEnd w:id="17"/>
    </w:p>
    <w:p>
      <w:pPr>
        <w:adjustRightInd w:val="0"/>
        <w:snapToGrid w:val="0"/>
        <w:spacing w:before="120" w:beforeLines="50" w:line="360" w:lineRule="auto"/>
        <w:ind w:firstLine="422" w:firstLineChars="200"/>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snapToGrid w:val="0"/>
          <w:color w:val="auto"/>
          <w:kern w:val="0"/>
          <w:szCs w:val="21"/>
        </w:rPr>
        <w:t>5．采购文件构成</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5.1 本采购文件包括目录所示内容及所有按本须知第6、7条发出的补充资料。</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5.2 除上述所列内容外，采购人和采购代理机构的任何工作人员对投标人所作的任何口头解释、介绍、答复，只能供投标人参考，对采购人、采购代理机构和投标人无任何约束力。</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5.3 采购文件是招标过程进行的有效依据，也是成交后签订合同的依据，对双方均具有约束力，凡不遵守采购文件规定或对采购文件的实质性内容不响应的，将可能被拒绝或以无效标处理。</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5.4 本采购文件由采购人或采购代理机构依据相关法律、法规、规章、省市规定及采购文件进行解释。</w:t>
      </w:r>
    </w:p>
    <w:p>
      <w:pPr>
        <w:adjustRightInd w:val="0"/>
        <w:snapToGrid w:val="0"/>
        <w:spacing w:before="120" w:beforeLines="50" w:line="360" w:lineRule="auto"/>
        <w:ind w:firstLine="422" w:firstLineChars="200"/>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snapToGrid w:val="0"/>
          <w:color w:val="auto"/>
          <w:kern w:val="0"/>
          <w:szCs w:val="21"/>
        </w:rPr>
        <w:t>6．采购文件的澄清</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6.1 投标人在获取采购文件后，若有问题需要澄清或认为有必要与采购人进行技术交流，应于前附表规定的时间前，将问题传真至0571-88473411，同时将问题发电子邮件至41033764@qq.com（电子邮件与书面文件有不一致的，以书面文件为准）。截止期后的疑问将不予受理、答复。</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6.2 投标人要求解释或澄清的问题应以书面形式送达，并加盖公章、写明日期。</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6.3 所有要求解释或澄清的问题都予以解答，答疑内容与补充内容以更正（澄清）公告形式告知所有购买采购文件的投标人。</w:t>
      </w:r>
    </w:p>
    <w:p>
      <w:pPr>
        <w:adjustRightInd w:val="0"/>
        <w:snapToGrid w:val="0"/>
        <w:spacing w:before="120" w:beforeLines="50" w:line="360" w:lineRule="auto"/>
        <w:ind w:firstLine="422" w:firstLineChars="200"/>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snapToGrid w:val="0"/>
          <w:color w:val="auto"/>
          <w:kern w:val="0"/>
          <w:szCs w:val="21"/>
        </w:rPr>
        <w:t>7．采购文件的修改</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7.1 采购人或者采购代理机构可以对已发出的采购文件进行必要的澄清或者修改。澄清或者修改的内容可能影响投标文件编制的，采购人或者采购代理机构应当在投标截止时间至少15日前，以更正（澄清）公告形式通知所有获取采购文件的潜在投标人；不足15日的，采购人或者采购代理机构应当顺延提交投标文件的截止时间。</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7.2 采购文件的修改将以更正（澄清）公告通知所有购买采购文件的投标人，并对其具有约束力。</w:t>
      </w:r>
      <w:r>
        <w:rPr>
          <w:rFonts w:hint="eastAsia" w:asciiTheme="minorEastAsia" w:hAnsiTheme="minorEastAsia" w:eastAsiaTheme="minorEastAsia" w:cstheme="minorEastAsia"/>
          <w:color w:val="auto"/>
        </w:rPr>
        <w:t>投标人应及时关注浙江政府采购网上该项目的公告信息</w:t>
      </w:r>
      <w:r>
        <w:rPr>
          <w:rFonts w:hint="eastAsia" w:asciiTheme="minorEastAsia" w:hAnsiTheme="minorEastAsia" w:eastAsiaTheme="minorEastAsia" w:cstheme="minorEastAsia"/>
          <w:snapToGrid w:val="0"/>
          <w:color w:val="auto"/>
          <w:kern w:val="0"/>
          <w:szCs w:val="21"/>
        </w:rPr>
        <w:t>。</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7.3 在更正（澄清）公告发布后，如果投标人认为编制投标文件的时间不充分的，必须在公告发布之日的24小时内通知采购人和采购代理机构。否则，视同投标人有充足时间编制投标文件。</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7.4采购文件澄清、答复、修改、补充的内容为采购文件的组成部分。当采购文件与采购文件的答复、澄清、修改、补充通知就同一内容的表述不一致时，以最后发出的更正（澄清）公告为准。</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7.6 采购文件的澄清、答复、修改或补充都应该通过本代理机构以法定形式发布，除此以外的发布不属于采购文件的组成部分。</w:t>
      </w:r>
    </w:p>
    <w:p>
      <w:pPr>
        <w:pStyle w:val="3"/>
        <w:snapToGrid w:val="0"/>
        <w:spacing w:before="120" w:beforeLines="50" w:after="120" w:afterLines="50" w:line="360" w:lineRule="auto"/>
        <w:rPr>
          <w:rFonts w:hint="eastAsia" w:asciiTheme="minorEastAsia" w:hAnsiTheme="minorEastAsia" w:eastAsiaTheme="minorEastAsia" w:cstheme="minorEastAsia"/>
          <w:color w:val="auto"/>
          <w:sz w:val="21"/>
          <w:szCs w:val="21"/>
        </w:rPr>
      </w:pPr>
      <w:bookmarkStart w:id="18" w:name="_Toc31368"/>
      <w:bookmarkStart w:id="19" w:name="_Toc251566652"/>
      <w:bookmarkStart w:id="20" w:name="_Toc240450079"/>
      <w:bookmarkStart w:id="21" w:name="_Toc13648"/>
      <w:r>
        <w:rPr>
          <w:rFonts w:hint="eastAsia" w:asciiTheme="minorEastAsia" w:hAnsiTheme="minorEastAsia" w:eastAsiaTheme="minorEastAsia" w:cstheme="minorEastAsia"/>
          <w:color w:val="auto"/>
          <w:sz w:val="21"/>
          <w:szCs w:val="21"/>
        </w:rPr>
        <w:t>三、投标文件的编制</w:t>
      </w:r>
      <w:bookmarkEnd w:id="18"/>
      <w:bookmarkEnd w:id="19"/>
      <w:bookmarkEnd w:id="20"/>
      <w:bookmarkEnd w:id="21"/>
    </w:p>
    <w:p>
      <w:pPr>
        <w:adjustRightInd w:val="0"/>
        <w:snapToGrid w:val="0"/>
        <w:spacing w:line="360" w:lineRule="auto"/>
        <w:ind w:firstLine="422" w:firstLineChars="200"/>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snapToGrid w:val="0"/>
          <w:color w:val="auto"/>
          <w:kern w:val="0"/>
          <w:szCs w:val="21"/>
        </w:rPr>
        <w:t>投标人应认真阅读采购文件中所有的事项、格式、条款和技术要求等。如果投标人没有按照采购文件要求和规定编制投标文件及提交全部资料，或者投标没有对采购文件中各方面作出实质性响应，其风险应由投标人承担。</w:t>
      </w:r>
    </w:p>
    <w:p>
      <w:pPr>
        <w:adjustRightInd w:val="0"/>
        <w:snapToGrid w:val="0"/>
        <w:spacing w:before="120" w:beforeLines="50" w:line="360" w:lineRule="auto"/>
        <w:ind w:firstLine="422" w:firstLineChars="200"/>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snapToGrid w:val="0"/>
          <w:color w:val="auto"/>
          <w:kern w:val="0"/>
          <w:szCs w:val="21"/>
        </w:rPr>
        <w:t>8．投标文件的语言、计量单位、形式及效力</w:t>
      </w:r>
    </w:p>
    <w:p>
      <w:pPr>
        <w:adjustRightInd w:val="0"/>
        <w:snapToGrid w:val="0"/>
        <w:spacing w:before="120" w:beforeLines="50" w:line="360" w:lineRule="auto"/>
        <w:ind w:firstLine="422" w:firstLineChars="200"/>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snapToGrid w:val="0"/>
          <w:color w:val="auto"/>
          <w:kern w:val="0"/>
          <w:szCs w:val="21"/>
        </w:rPr>
        <w:t>8.1语言及计量单位</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8.1.1 投标文件及投标人与采购人之间与投标有关的来往通知、函件和文件均应使用简体中文。除签名、盖章、专用名称等特殊情形外，以中文汉语以外的文字表述的投标文件视同未提供。投标人提交的支持文件和印刷的文献可以用另一种语言，但相应内容应附有中文翻译文本，在解释投标文件时以中文翻译文本为准。</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8.1.2 除采购文件另有规定外，投标文件所使用的计量单位，均须采用中华人民共和国法定计量单位，否则视同未响应。</w:t>
      </w:r>
    </w:p>
    <w:p>
      <w:pPr>
        <w:adjustRightInd w:val="0"/>
        <w:snapToGrid w:val="0"/>
        <w:spacing w:before="120" w:beforeLines="50" w:line="360" w:lineRule="auto"/>
        <w:ind w:firstLine="422" w:firstLineChars="200"/>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snapToGrid w:val="0"/>
          <w:color w:val="auto"/>
          <w:kern w:val="0"/>
          <w:szCs w:val="21"/>
        </w:rPr>
        <w:t>8.2投标文件的形式和效力</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8.2.1投标文件为电子投标文件，电子投标文件按“政采云供应商项目采购-电子招投标操作指南”及本招标文件要求制作、加密传输。</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8.2.2投标文件未在投标截止时间前完成传输的，视为未按时递交投标文件；投标文件未按时解密，视为投标文件撤回。</w:t>
      </w:r>
    </w:p>
    <w:p>
      <w:pPr>
        <w:adjustRightInd w:val="0"/>
        <w:snapToGrid w:val="0"/>
        <w:spacing w:before="120" w:beforeLines="50" w:line="360" w:lineRule="auto"/>
        <w:ind w:firstLine="422" w:firstLineChars="200"/>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snapToGrid w:val="0"/>
          <w:color w:val="auto"/>
          <w:kern w:val="0"/>
          <w:szCs w:val="21"/>
        </w:rPr>
        <w:t>9．投标文件构成</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投标人向采购人递交的投标文件均由</w:t>
      </w:r>
      <w:r>
        <w:rPr>
          <w:rFonts w:hint="eastAsia" w:asciiTheme="minorEastAsia" w:hAnsiTheme="minorEastAsia" w:eastAsiaTheme="minorEastAsia" w:cstheme="minorEastAsia"/>
          <w:b/>
          <w:bCs/>
          <w:snapToGrid w:val="0"/>
          <w:color w:val="auto"/>
          <w:kern w:val="0"/>
          <w:szCs w:val="21"/>
        </w:rPr>
        <w:t>资格响应文件、商务技术响应文件、报价响应文件</w:t>
      </w:r>
      <w:r>
        <w:rPr>
          <w:rFonts w:hint="eastAsia" w:asciiTheme="minorEastAsia" w:hAnsiTheme="minorEastAsia" w:eastAsiaTheme="minorEastAsia" w:cstheme="minorEastAsia"/>
          <w:snapToGrid w:val="0"/>
          <w:color w:val="auto"/>
          <w:kern w:val="0"/>
          <w:szCs w:val="21"/>
        </w:rPr>
        <w:t>组成，具体内容如下：</w:t>
      </w:r>
    </w:p>
    <w:p>
      <w:pPr>
        <w:autoSpaceDE w:val="0"/>
        <w:autoSpaceDN w:val="0"/>
        <w:adjustRightInd w:val="0"/>
        <w:snapToGrid w:val="0"/>
        <w:spacing w:line="360" w:lineRule="auto"/>
        <w:ind w:firstLine="422" w:firstLineChars="200"/>
        <w:textAlignment w:val="bottom"/>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9.1资格响应文件</w:t>
      </w:r>
    </w:p>
    <w:p>
      <w:pPr>
        <w:tabs>
          <w:tab w:val="left" w:pos="720"/>
        </w:tabs>
        <w:adjustRightInd w:val="0"/>
        <w:snapToGrid w:val="0"/>
        <w:spacing w:line="360" w:lineRule="auto"/>
        <w:ind w:left="420"/>
        <w:jc w:val="left"/>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snapToGrid w:val="0"/>
          <w:color w:val="auto"/>
          <w:kern w:val="0"/>
          <w:szCs w:val="21"/>
        </w:rPr>
        <w:t>（1）基本资格条件：符合《中华人民共和国政府采购法》第二十二条的规定；</w:t>
      </w:r>
    </w:p>
    <w:p>
      <w:pPr>
        <w:tabs>
          <w:tab w:val="left" w:pos="720"/>
        </w:tabs>
        <w:adjustRightInd w:val="0"/>
        <w:snapToGrid w:val="0"/>
        <w:spacing w:line="360" w:lineRule="auto"/>
        <w:ind w:firstLine="422" w:firstLineChars="200"/>
        <w:jc w:val="left"/>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snapToGrid w:val="0"/>
          <w:color w:val="auto"/>
          <w:kern w:val="0"/>
          <w:szCs w:val="21"/>
        </w:rPr>
        <w:t>以下a~e项是第二十二条要求及对应证明材料的具体内容，各投标人须在投标文件中出具对应证明材料。</w:t>
      </w:r>
    </w:p>
    <w:p>
      <w:pPr>
        <w:pStyle w:val="40"/>
        <w:numPr>
          <w:ilvl w:val="0"/>
          <w:numId w:val="5"/>
        </w:numPr>
        <w:tabs>
          <w:tab w:val="left" w:pos="630"/>
          <w:tab w:val="left" w:pos="840"/>
          <w:tab w:val="left" w:pos="1050"/>
        </w:tabs>
        <w:adjustRightInd w:val="0"/>
        <w:snapToGrid w:val="0"/>
        <w:spacing w:before="0" w:beforeAutospacing="0" w:after="0" w:afterAutospacing="0" w:line="360" w:lineRule="auto"/>
        <w:ind w:hanging="5"/>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具有独立承担民事责任的能力：</w:t>
      </w:r>
    </w:p>
    <w:p>
      <w:pPr>
        <w:pStyle w:val="40"/>
        <w:tabs>
          <w:tab w:val="left" w:pos="630"/>
          <w:tab w:val="left" w:pos="840"/>
          <w:tab w:val="left" w:pos="1050"/>
        </w:tabs>
        <w:adjustRightInd w:val="0"/>
        <w:snapToGrid w:val="0"/>
        <w:spacing w:before="0" w:beforeAutospacing="0" w:after="0" w:afterAutospacing="0" w:line="360" w:lineRule="auto"/>
        <w:ind w:left="42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投标人须在投标文件中出具符合以下情况的证明材料复印件（五选一）：</w:t>
      </w:r>
    </w:p>
    <w:p>
      <w:pPr>
        <w:pStyle w:val="40"/>
        <w:numPr>
          <w:ilvl w:val="0"/>
          <w:numId w:val="6"/>
        </w:numPr>
        <w:tabs>
          <w:tab w:val="left" w:pos="312"/>
        </w:tabs>
        <w:adjustRightInd w:val="0"/>
        <w:snapToGrid w:val="0"/>
        <w:spacing w:before="0" w:beforeAutospacing="0" w:after="0" w:afterAutospacing="0" w:line="360" w:lineRule="auto"/>
        <w:ind w:firstLine="422" w:firstLineChars="20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如投标人是企业（包括合伙企业），提供在工商部门注册的有效“企业法人营业执照”或“营业执照”；</w:t>
      </w:r>
    </w:p>
    <w:p>
      <w:pPr>
        <w:pStyle w:val="40"/>
        <w:numPr>
          <w:ilvl w:val="0"/>
          <w:numId w:val="6"/>
        </w:numPr>
        <w:tabs>
          <w:tab w:val="left" w:pos="312"/>
        </w:tabs>
        <w:adjustRightInd w:val="0"/>
        <w:snapToGrid w:val="0"/>
        <w:spacing w:before="0" w:beforeAutospacing="0" w:after="0" w:afterAutospacing="0" w:line="360" w:lineRule="auto"/>
        <w:ind w:firstLine="422" w:firstLineChars="20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如投标人是事业单位，提供有效的“事业单位法人证书”；</w:t>
      </w:r>
    </w:p>
    <w:p>
      <w:pPr>
        <w:pStyle w:val="40"/>
        <w:numPr>
          <w:ilvl w:val="0"/>
          <w:numId w:val="6"/>
        </w:numPr>
        <w:tabs>
          <w:tab w:val="left" w:pos="312"/>
        </w:tabs>
        <w:adjustRightInd w:val="0"/>
        <w:snapToGrid w:val="0"/>
        <w:spacing w:before="0" w:beforeAutospacing="0" w:after="0" w:afterAutospacing="0" w:line="360" w:lineRule="auto"/>
        <w:ind w:firstLine="422" w:firstLineChars="20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如投标人是非企业专业服务机构的，提供执业许可证等证明文件；</w:t>
      </w:r>
    </w:p>
    <w:p>
      <w:pPr>
        <w:pStyle w:val="40"/>
        <w:numPr>
          <w:ilvl w:val="0"/>
          <w:numId w:val="6"/>
        </w:numPr>
        <w:tabs>
          <w:tab w:val="left" w:pos="312"/>
        </w:tabs>
        <w:adjustRightInd w:val="0"/>
        <w:snapToGrid w:val="0"/>
        <w:spacing w:before="0" w:beforeAutospacing="0" w:after="0" w:afterAutospacing="0" w:line="360" w:lineRule="auto"/>
        <w:ind w:firstLine="422" w:firstLineChars="20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如投标人是个体工商户，提供有效的“个体工商户营业执照”；</w:t>
      </w:r>
    </w:p>
    <w:p>
      <w:pPr>
        <w:pStyle w:val="40"/>
        <w:numPr>
          <w:ilvl w:val="0"/>
          <w:numId w:val="6"/>
        </w:numPr>
        <w:tabs>
          <w:tab w:val="left" w:pos="312"/>
        </w:tabs>
        <w:adjustRightInd w:val="0"/>
        <w:snapToGrid w:val="0"/>
        <w:spacing w:before="0" w:beforeAutospacing="0" w:after="0" w:afterAutospacing="0" w:line="360" w:lineRule="auto"/>
        <w:ind w:firstLine="422" w:firstLineChars="20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如投标人是自然人，提供有效的自然人身份证明（居民身份证正反面或公安机关出具的临时居民身份证正反面或港澳台胞证或护照）。</w:t>
      </w:r>
    </w:p>
    <w:p>
      <w:pPr>
        <w:pStyle w:val="40"/>
        <w:numPr>
          <w:ilvl w:val="0"/>
          <w:numId w:val="5"/>
        </w:numPr>
        <w:tabs>
          <w:tab w:val="left" w:pos="630"/>
          <w:tab w:val="left" w:pos="840"/>
          <w:tab w:val="left" w:pos="1050"/>
        </w:tabs>
        <w:adjustRightInd w:val="0"/>
        <w:snapToGrid w:val="0"/>
        <w:spacing w:before="0" w:beforeAutospacing="0" w:after="0" w:afterAutospacing="0" w:line="360" w:lineRule="auto"/>
        <w:ind w:hanging="5"/>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具有良好的商业信誉和健全的财务会计制度的证明材料：</w:t>
      </w:r>
    </w:p>
    <w:p>
      <w:pPr>
        <w:pStyle w:val="40"/>
        <w:numPr>
          <w:ilvl w:val="0"/>
          <w:numId w:val="7"/>
        </w:numPr>
        <w:tabs>
          <w:tab w:val="left" w:pos="312"/>
        </w:tabs>
        <w:adjustRightInd w:val="0"/>
        <w:snapToGrid w:val="0"/>
        <w:spacing w:before="0" w:beforeAutospacing="0" w:after="0" w:afterAutospacing="0" w:line="360" w:lineRule="auto"/>
        <w:ind w:firstLine="422" w:firstLineChars="20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良好的商业信誉：</w:t>
      </w:r>
    </w:p>
    <w:p>
      <w:pPr>
        <w:pStyle w:val="40"/>
        <w:adjustRightInd w:val="0"/>
        <w:snapToGrid w:val="0"/>
        <w:spacing w:before="0" w:beforeAutospacing="0" w:after="0" w:afterAutospacing="0" w:line="360" w:lineRule="auto"/>
        <w:ind w:firstLine="416" w:firstLineChars="209"/>
        <w:rPr>
          <w:rFonts w:hint="eastAsia" w:asciiTheme="minorEastAsia" w:hAnsiTheme="minorEastAsia" w:eastAsiaTheme="minorEastAsia" w:cstheme="minorEastAsia"/>
          <w:b/>
          <w:color w:val="auto"/>
          <w:spacing w:val="-6"/>
          <w:sz w:val="21"/>
          <w:szCs w:val="21"/>
        </w:rPr>
      </w:pPr>
      <w:r>
        <w:rPr>
          <w:rFonts w:hint="eastAsia" w:asciiTheme="minorEastAsia" w:hAnsiTheme="minorEastAsia" w:eastAsiaTheme="minorEastAsia" w:cstheme="minorEastAsia"/>
          <w:b/>
          <w:color w:val="auto"/>
          <w:spacing w:val="-6"/>
          <w:sz w:val="21"/>
          <w:szCs w:val="21"/>
        </w:rPr>
        <w:t>至本项目投标截止时间止未列入失信被执行人、重大税收违法案件当事人名单、政府采购严重违法失信行为记录名单。（代理机构以开标当日在“信用中国”网站（www.creditchina.gov.cn）、中国政府采购网（www.ccgp.gov.cn）网页查询记录为准）</w:t>
      </w:r>
    </w:p>
    <w:p>
      <w:pPr>
        <w:pStyle w:val="40"/>
        <w:adjustRightInd w:val="0"/>
        <w:snapToGrid w:val="0"/>
        <w:spacing w:before="0" w:beforeAutospacing="0" w:after="0" w:afterAutospacing="0" w:line="360" w:lineRule="auto"/>
        <w:ind w:firstLine="416" w:firstLineChars="209"/>
        <w:rPr>
          <w:rFonts w:hint="eastAsia" w:asciiTheme="minorEastAsia" w:hAnsiTheme="minorEastAsia" w:eastAsiaTheme="minorEastAsia" w:cstheme="minorEastAsia"/>
          <w:b/>
          <w:color w:val="auto"/>
          <w:spacing w:val="-6"/>
          <w:sz w:val="21"/>
          <w:szCs w:val="21"/>
        </w:rPr>
      </w:pPr>
      <w:r>
        <w:rPr>
          <w:rFonts w:hint="eastAsia" w:asciiTheme="minorEastAsia" w:hAnsiTheme="minorEastAsia" w:eastAsiaTheme="minorEastAsia" w:cstheme="minorEastAsia"/>
          <w:b/>
          <w:color w:val="auto"/>
          <w:spacing w:val="-6"/>
          <w:sz w:val="21"/>
          <w:szCs w:val="21"/>
        </w:rPr>
        <w:t>对列入失信被执行人、重大税收违法案件当事人名单、政府采购严重违法失信行为记录名单的投标人，其投标将作无效标处理。</w:t>
      </w:r>
    </w:p>
    <w:p>
      <w:pPr>
        <w:pStyle w:val="40"/>
        <w:numPr>
          <w:ilvl w:val="0"/>
          <w:numId w:val="7"/>
        </w:numPr>
        <w:tabs>
          <w:tab w:val="left" w:pos="312"/>
        </w:tabs>
        <w:adjustRightInd w:val="0"/>
        <w:snapToGrid w:val="0"/>
        <w:spacing w:before="0" w:beforeAutospacing="0" w:after="0" w:afterAutospacing="0" w:line="360" w:lineRule="auto"/>
        <w:ind w:firstLine="422" w:firstLineChars="20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健全的财务会计制度：</w:t>
      </w:r>
    </w:p>
    <w:p>
      <w:pPr>
        <w:pStyle w:val="40"/>
        <w:adjustRightInd w:val="0"/>
        <w:snapToGrid w:val="0"/>
        <w:spacing w:before="0" w:beforeAutospacing="0" w:after="0" w:afterAutospacing="0" w:line="360" w:lineRule="auto"/>
        <w:ind w:left="420" w:leftChars="200"/>
        <w:rPr>
          <w:rFonts w:hint="eastAsia" w:asciiTheme="minorEastAsia" w:hAnsiTheme="minorEastAsia" w:eastAsiaTheme="minorEastAsia" w:cstheme="minorEastAsia"/>
          <w:b/>
          <w:color w:val="auto"/>
          <w:spacing w:val="-6"/>
          <w:sz w:val="21"/>
          <w:szCs w:val="21"/>
        </w:rPr>
      </w:pPr>
      <w:r>
        <w:rPr>
          <w:rFonts w:hint="eastAsia" w:asciiTheme="minorEastAsia" w:hAnsiTheme="minorEastAsia" w:eastAsiaTheme="minorEastAsia" w:cstheme="minorEastAsia"/>
          <w:b/>
          <w:color w:val="auto"/>
          <w:spacing w:val="-6"/>
          <w:sz w:val="21"/>
          <w:szCs w:val="21"/>
        </w:rPr>
        <w:t>投标人须在投标文件中出具符合以下情况的证明材料复印件（三选一）：</w:t>
      </w:r>
    </w:p>
    <w:p>
      <w:pPr>
        <w:pStyle w:val="40"/>
        <w:numPr>
          <w:ilvl w:val="0"/>
          <w:numId w:val="8"/>
        </w:numPr>
        <w:adjustRightInd w:val="0"/>
        <w:snapToGrid w:val="0"/>
        <w:spacing w:before="0" w:beforeAutospacing="0" w:after="0" w:afterAutospacing="0" w:line="360" w:lineRule="auto"/>
        <w:ind w:left="5" w:firstLine="415"/>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投标人是法人的，应提供最近一个年度经审计的财务报告，包括资产负债表、利润表或损益表(执行《小企业会计准则》的提供资产负债表和利润表两张基本报表），未经审计的，提供资产负债表、利润表或损益表。</w:t>
      </w:r>
    </w:p>
    <w:p>
      <w:pPr>
        <w:pStyle w:val="40"/>
        <w:numPr>
          <w:ilvl w:val="0"/>
          <w:numId w:val="8"/>
        </w:numPr>
        <w:adjustRightInd w:val="0"/>
        <w:snapToGrid w:val="0"/>
        <w:spacing w:before="0" w:beforeAutospacing="0" w:after="0" w:afterAutospacing="0" w:line="360" w:lineRule="auto"/>
        <w:ind w:left="5" w:firstLine="415"/>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其他组织和自然人如没有经审计的财务报告的，可以提供资产负债表、利润表或损益表。</w:t>
      </w:r>
    </w:p>
    <w:p>
      <w:pPr>
        <w:pStyle w:val="40"/>
        <w:numPr>
          <w:ilvl w:val="0"/>
          <w:numId w:val="8"/>
        </w:numPr>
        <w:adjustRightInd w:val="0"/>
        <w:snapToGrid w:val="0"/>
        <w:spacing w:before="0" w:beforeAutospacing="0" w:after="0" w:afterAutospacing="0" w:line="360" w:lineRule="auto"/>
        <w:ind w:left="5" w:firstLine="415"/>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新成立不足一年的公司须出具情况说明。</w:t>
      </w:r>
    </w:p>
    <w:p>
      <w:pPr>
        <w:pStyle w:val="40"/>
        <w:numPr>
          <w:ilvl w:val="0"/>
          <w:numId w:val="5"/>
        </w:numPr>
        <w:tabs>
          <w:tab w:val="left" w:pos="630"/>
          <w:tab w:val="left" w:pos="840"/>
          <w:tab w:val="left" w:pos="1050"/>
        </w:tabs>
        <w:adjustRightInd w:val="0"/>
        <w:snapToGrid w:val="0"/>
        <w:spacing w:before="0" w:beforeAutospacing="0" w:after="0" w:afterAutospacing="0" w:line="360" w:lineRule="auto"/>
        <w:ind w:hanging="5"/>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具有履行合同所必需的设备和专业技术能力：</w:t>
      </w:r>
    </w:p>
    <w:p>
      <w:pPr>
        <w:pStyle w:val="40"/>
        <w:adjustRightInd w:val="0"/>
        <w:snapToGrid w:val="0"/>
        <w:spacing w:before="0" w:beforeAutospacing="0" w:after="0" w:afterAutospacing="0" w:line="360" w:lineRule="auto"/>
        <w:ind w:firstLine="422" w:firstLineChars="20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投标人须在投标文件中出具具有履行合同所必需的设备和专业技术能力的《承诺函》；（由投标人根据本项目情况自行拟定承诺函）</w:t>
      </w:r>
    </w:p>
    <w:p>
      <w:pPr>
        <w:pStyle w:val="40"/>
        <w:numPr>
          <w:ilvl w:val="0"/>
          <w:numId w:val="5"/>
        </w:numPr>
        <w:tabs>
          <w:tab w:val="left" w:pos="630"/>
          <w:tab w:val="left" w:pos="840"/>
          <w:tab w:val="left" w:pos="1050"/>
        </w:tabs>
        <w:adjustRightInd w:val="0"/>
        <w:snapToGrid w:val="0"/>
        <w:spacing w:before="0" w:beforeAutospacing="0" w:after="0" w:afterAutospacing="0" w:line="360" w:lineRule="auto"/>
        <w:ind w:hanging="5"/>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有依法缴纳税收和社会保障资金的良好记录：</w:t>
      </w:r>
    </w:p>
    <w:p>
      <w:pPr>
        <w:pStyle w:val="40"/>
        <w:adjustRightInd w:val="0"/>
        <w:snapToGrid w:val="0"/>
        <w:spacing w:before="0" w:beforeAutospacing="0" w:after="0" w:afterAutospacing="0" w:line="360" w:lineRule="auto"/>
        <w:ind w:left="420" w:leftChars="20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投标人须在投标文件中同时出具满足以下要求的证明材料复印件：</w:t>
      </w:r>
    </w:p>
    <w:p>
      <w:pPr>
        <w:pStyle w:val="40"/>
        <w:numPr>
          <w:ilvl w:val="0"/>
          <w:numId w:val="9"/>
        </w:numPr>
        <w:adjustRightInd w:val="0"/>
        <w:snapToGrid w:val="0"/>
        <w:spacing w:before="0" w:beforeAutospacing="0" w:after="0" w:afterAutospacing="0" w:line="360" w:lineRule="auto"/>
        <w:ind w:firstLine="422" w:firstLineChars="20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投标人须提供最近三个月内任一时间的纳税证明。</w:t>
      </w:r>
    </w:p>
    <w:p>
      <w:pPr>
        <w:pStyle w:val="40"/>
        <w:numPr>
          <w:ilvl w:val="0"/>
          <w:numId w:val="9"/>
        </w:numPr>
        <w:adjustRightInd w:val="0"/>
        <w:snapToGrid w:val="0"/>
        <w:spacing w:before="0" w:beforeAutospacing="0" w:after="0" w:afterAutospacing="0" w:line="360" w:lineRule="auto"/>
        <w:ind w:firstLine="422" w:firstLineChars="20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投标人须提供最近三个月内任一时间缴纳社会保险的凭据（缴税付款凭证或社会保险缴纳证明）。依法免税或不需要缴纳社会保障资金的供应商，应提供相应文件证明其依法免税或不需要缴纳社会保障资金。</w:t>
      </w:r>
    </w:p>
    <w:p>
      <w:pPr>
        <w:pStyle w:val="40"/>
        <w:numPr>
          <w:ilvl w:val="0"/>
          <w:numId w:val="5"/>
        </w:numPr>
        <w:tabs>
          <w:tab w:val="left" w:pos="630"/>
          <w:tab w:val="left" w:pos="840"/>
          <w:tab w:val="left" w:pos="1050"/>
        </w:tabs>
        <w:adjustRightInd w:val="0"/>
        <w:snapToGrid w:val="0"/>
        <w:spacing w:before="0" w:beforeAutospacing="0" w:after="0" w:afterAutospacing="0" w:line="360" w:lineRule="auto"/>
        <w:ind w:hanging="5"/>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参加政府采购活动前三年内，在经营活动中没有重大违法记录：</w:t>
      </w:r>
    </w:p>
    <w:p>
      <w:pPr>
        <w:pStyle w:val="40"/>
        <w:adjustRightInd w:val="0"/>
        <w:snapToGrid w:val="0"/>
        <w:spacing w:before="0" w:beforeAutospacing="0" w:after="0" w:afterAutospacing="0" w:line="360" w:lineRule="auto"/>
        <w:ind w:firstLine="422" w:firstLineChars="20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投标人须在投标文件中出具《声明函》。（参考格式见本文件第六部分）</w:t>
      </w:r>
    </w:p>
    <w:p>
      <w:pPr>
        <w:tabs>
          <w:tab w:val="left" w:pos="720"/>
        </w:tabs>
        <w:adjustRightInd w:val="0"/>
        <w:snapToGrid w:val="0"/>
        <w:spacing w:line="360" w:lineRule="auto"/>
        <w:ind w:firstLine="422" w:firstLineChars="200"/>
        <w:jc w:val="left"/>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snapToGrid w:val="0"/>
          <w:color w:val="auto"/>
          <w:kern w:val="0"/>
          <w:szCs w:val="21"/>
        </w:rPr>
        <w:t>（2）特定资格条件：</w:t>
      </w:r>
      <w:r>
        <w:rPr>
          <w:rFonts w:hint="eastAsia" w:asciiTheme="minorEastAsia" w:hAnsiTheme="minorEastAsia" w:eastAsiaTheme="minorEastAsia" w:cstheme="minorEastAsia"/>
          <w:b/>
          <w:snapToGrid w:val="0"/>
          <w:color w:val="auto"/>
          <w:kern w:val="0"/>
          <w:szCs w:val="21"/>
          <w:lang w:val="en-US" w:eastAsia="zh-CN"/>
        </w:rPr>
        <w:t>无</w:t>
      </w:r>
      <w:r>
        <w:rPr>
          <w:rFonts w:hint="eastAsia" w:asciiTheme="minorEastAsia" w:hAnsiTheme="minorEastAsia" w:eastAsiaTheme="minorEastAsia" w:cstheme="minorEastAsia"/>
          <w:b/>
          <w:bCs/>
          <w:snapToGrid w:val="0"/>
          <w:color w:val="auto"/>
          <w:kern w:val="0"/>
          <w:szCs w:val="21"/>
        </w:rPr>
        <w:t>。</w:t>
      </w:r>
    </w:p>
    <w:p>
      <w:pPr>
        <w:autoSpaceDE w:val="0"/>
        <w:autoSpaceDN w:val="0"/>
        <w:adjustRightInd w:val="0"/>
        <w:snapToGrid w:val="0"/>
        <w:spacing w:line="360" w:lineRule="auto"/>
        <w:ind w:firstLine="422" w:firstLineChars="200"/>
        <w:textAlignment w:val="bottom"/>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9.2 商务技术响应文件</w:t>
      </w:r>
    </w:p>
    <w:p>
      <w:pPr>
        <w:numPr>
          <w:ilvl w:val="0"/>
          <w:numId w:val="10"/>
        </w:numPr>
        <w:tabs>
          <w:tab w:val="left" w:pos="851"/>
          <w:tab w:val="left" w:pos="900"/>
          <w:tab w:val="left" w:pos="1080"/>
        </w:tabs>
        <w:adjustRightInd w:val="0"/>
        <w:snapToGrid w:val="0"/>
        <w:spacing w:line="360" w:lineRule="auto"/>
        <w:ind w:left="0" w:firstLine="340"/>
        <w:jc w:val="left"/>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评分索引表；</w:t>
      </w:r>
    </w:p>
    <w:p>
      <w:pPr>
        <w:numPr>
          <w:ilvl w:val="0"/>
          <w:numId w:val="10"/>
        </w:numPr>
        <w:tabs>
          <w:tab w:val="left" w:pos="851"/>
          <w:tab w:val="left" w:pos="900"/>
          <w:tab w:val="left" w:pos="1080"/>
        </w:tabs>
        <w:adjustRightInd w:val="0"/>
        <w:snapToGrid w:val="0"/>
        <w:spacing w:line="360" w:lineRule="auto"/>
        <w:ind w:left="0" w:firstLine="340"/>
        <w:jc w:val="left"/>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投标响应一览表；</w:t>
      </w:r>
    </w:p>
    <w:p>
      <w:pPr>
        <w:numPr>
          <w:ilvl w:val="0"/>
          <w:numId w:val="10"/>
        </w:numPr>
        <w:tabs>
          <w:tab w:val="left" w:pos="851"/>
          <w:tab w:val="left" w:pos="900"/>
          <w:tab w:val="left" w:pos="1080"/>
        </w:tabs>
        <w:adjustRightInd w:val="0"/>
        <w:snapToGrid w:val="0"/>
        <w:spacing w:line="360" w:lineRule="auto"/>
        <w:ind w:left="0" w:firstLine="34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投标人基本情况表；</w:t>
      </w:r>
    </w:p>
    <w:p>
      <w:pPr>
        <w:numPr>
          <w:ilvl w:val="0"/>
          <w:numId w:val="10"/>
        </w:numPr>
        <w:tabs>
          <w:tab w:val="left" w:pos="851"/>
          <w:tab w:val="left" w:pos="900"/>
          <w:tab w:val="left" w:pos="1080"/>
        </w:tabs>
        <w:adjustRightInd w:val="0"/>
        <w:snapToGrid w:val="0"/>
        <w:spacing w:line="360" w:lineRule="auto"/>
        <w:ind w:left="0" w:firstLine="34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法定代表人资格证明书及法定代表人授权书，同时须附法定代表人和授权委托代表的有效身份证复印件（法定代表人直接参加投标并对相应文件签字的，只需提供前者）</w:t>
      </w:r>
    </w:p>
    <w:p>
      <w:pPr>
        <w:numPr>
          <w:ilvl w:val="0"/>
          <w:numId w:val="10"/>
        </w:numPr>
        <w:tabs>
          <w:tab w:val="left" w:pos="851"/>
          <w:tab w:val="left" w:pos="900"/>
          <w:tab w:val="left" w:pos="1080"/>
        </w:tabs>
        <w:adjustRightInd w:val="0"/>
        <w:snapToGrid w:val="0"/>
        <w:spacing w:line="360" w:lineRule="auto"/>
        <w:ind w:left="0" w:firstLine="340"/>
        <w:jc w:val="left"/>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snapToGrid w:val="0"/>
          <w:color w:val="auto"/>
          <w:kern w:val="0"/>
          <w:szCs w:val="21"/>
        </w:rPr>
        <w:t>廉政承诺书；</w:t>
      </w:r>
    </w:p>
    <w:p>
      <w:pPr>
        <w:numPr>
          <w:ilvl w:val="0"/>
          <w:numId w:val="10"/>
        </w:numPr>
        <w:tabs>
          <w:tab w:val="left" w:pos="851"/>
          <w:tab w:val="left" w:pos="900"/>
          <w:tab w:val="left" w:pos="1080"/>
        </w:tabs>
        <w:adjustRightInd w:val="0"/>
        <w:snapToGrid w:val="0"/>
        <w:spacing w:line="360" w:lineRule="auto"/>
        <w:ind w:left="0" w:firstLine="340"/>
        <w:jc w:val="left"/>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投标人拥有的其它资质、荣誉证书；（如有，出具复印件加盖公章）</w:t>
      </w:r>
    </w:p>
    <w:p>
      <w:pPr>
        <w:numPr>
          <w:ilvl w:val="0"/>
          <w:numId w:val="10"/>
        </w:numPr>
        <w:tabs>
          <w:tab w:val="left" w:pos="851"/>
          <w:tab w:val="left" w:pos="900"/>
          <w:tab w:val="left" w:pos="1080"/>
        </w:tabs>
        <w:adjustRightInd w:val="0"/>
        <w:snapToGrid w:val="0"/>
        <w:spacing w:line="360" w:lineRule="auto"/>
        <w:ind w:left="0" w:firstLine="340"/>
        <w:jc w:val="left"/>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投标人曾承担过的类似项目业绩情况（如有，须附清晰可辨的合同复印件。涉及评分项的，证明材料需满足评分细则的相关要求）；</w:t>
      </w:r>
    </w:p>
    <w:p>
      <w:pPr>
        <w:numPr>
          <w:ilvl w:val="0"/>
          <w:numId w:val="10"/>
        </w:numPr>
        <w:tabs>
          <w:tab w:val="left" w:pos="851"/>
          <w:tab w:val="left" w:pos="900"/>
          <w:tab w:val="left" w:pos="1080"/>
        </w:tabs>
        <w:adjustRightInd w:val="0"/>
        <w:snapToGrid w:val="0"/>
        <w:spacing w:line="360" w:lineRule="auto"/>
        <w:ind w:left="0" w:firstLine="340"/>
        <w:jc w:val="left"/>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合同条款偏离表/商务条款偏离表；</w:t>
      </w:r>
    </w:p>
    <w:p>
      <w:pPr>
        <w:numPr>
          <w:ilvl w:val="0"/>
          <w:numId w:val="10"/>
        </w:numPr>
        <w:tabs>
          <w:tab w:val="left" w:pos="851"/>
          <w:tab w:val="left" w:pos="900"/>
          <w:tab w:val="left" w:pos="1080"/>
        </w:tabs>
        <w:adjustRightInd w:val="0"/>
        <w:snapToGrid w:val="0"/>
        <w:spacing w:line="360" w:lineRule="auto"/>
        <w:ind w:left="0" w:firstLine="340"/>
        <w:jc w:val="left"/>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与商务资信标评分有关的其他材料；</w:t>
      </w:r>
    </w:p>
    <w:p>
      <w:pPr>
        <w:numPr>
          <w:ilvl w:val="0"/>
          <w:numId w:val="10"/>
        </w:numPr>
        <w:tabs>
          <w:tab w:val="left" w:pos="851"/>
          <w:tab w:val="left" w:pos="900"/>
          <w:tab w:val="left" w:pos="1080"/>
        </w:tabs>
        <w:adjustRightInd w:val="0"/>
        <w:snapToGrid w:val="0"/>
        <w:spacing w:line="360" w:lineRule="auto"/>
        <w:ind w:left="0" w:firstLine="340"/>
        <w:jc w:val="left"/>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服务方案；</w:t>
      </w:r>
    </w:p>
    <w:p>
      <w:pPr>
        <w:numPr>
          <w:ilvl w:val="0"/>
          <w:numId w:val="10"/>
        </w:numPr>
        <w:tabs>
          <w:tab w:val="left" w:pos="851"/>
          <w:tab w:val="left" w:pos="900"/>
          <w:tab w:val="left" w:pos="1080"/>
        </w:tabs>
        <w:adjustRightInd w:val="0"/>
        <w:snapToGrid w:val="0"/>
        <w:spacing w:line="360" w:lineRule="auto"/>
        <w:ind w:left="0" w:firstLine="340"/>
        <w:jc w:val="left"/>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针对本项目的详细实施计划，及组织实施方案；</w:t>
      </w:r>
    </w:p>
    <w:p>
      <w:pPr>
        <w:numPr>
          <w:ilvl w:val="0"/>
          <w:numId w:val="10"/>
        </w:numPr>
        <w:tabs>
          <w:tab w:val="left" w:pos="851"/>
          <w:tab w:val="left" w:pos="900"/>
          <w:tab w:val="left" w:pos="1080"/>
        </w:tabs>
        <w:adjustRightInd w:val="0"/>
        <w:snapToGrid w:val="0"/>
        <w:spacing w:line="360" w:lineRule="auto"/>
        <w:ind w:left="0" w:firstLine="340"/>
        <w:jc w:val="left"/>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项目班子配备情况；</w:t>
      </w:r>
    </w:p>
    <w:p>
      <w:pPr>
        <w:numPr>
          <w:ilvl w:val="0"/>
          <w:numId w:val="10"/>
        </w:numPr>
        <w:tabs>
          <w:tab w:val="left" w:pos="851"/>
          <w:tab w:val="left" w:pos="900"/>
          <w:tab w:val="left" w:pos="1080"/>
        </w:tabs>
        <w:adjustRightInd w:val="0"/>
        <w:snapToGrid w:val="0"/>
        <w:spacing w:line="360" w:lineRule="auto"/>
        <w:ind w:left="0" w:firstLine="340"/>
        <w:jc w:val="left"/>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服务承诺；</w:t>
      </w:r>
    </w:p>
    <w:p>
      <w:pPr>
        <w:numPr>
          <w:ilvl w:val="0"/>
          <w:numId w:val="10"/>
        </w:numPr>
        <w:tabs>
          <w:tab w:val="left" w:pos="851"/>
          <w:tab w:val="left" w:pos="900"/>
          <w:tab w:val="left" w:pos="1080"/>
        </w:tabs>
        <w:adjustRightInd w:val="0"/>
        <w:snapToGrid w:val="0"/>
        <w:spacing w:line="360" w:lineRule="auto"/>
        <w:ind w:left="0" w:firstLine="340"/>
        <w:jc w:val="left"/>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包括但不限于有关进度、质量、人员到位等方面的服务承诺；（如有）</w:t>
      </w:r>
    </w:p>
    <w:p>
      <w:pPr>
        <w:numPr>
          <w:ilvl w:val="0"/>
          <w:numId w:val="10"/>
        </w:numPr>
        <w:tabs>
          <w:tab w:val="left" w:pos="851"/>
          <w:tab w:val="left" w:pos="900"/>
          <w:tab w:val="left" w:pos="1080"/>
        </w:tabs>
        <w:adjustRightInd w:val="0"/>
        <w:snapToGrid w:val="0"/>
        <w:spacing w:line="360" w:lineRule="auto"/>
        <w:ind w:left="0" w:firstLine="340"/>
        <w:jc w:val="left"/>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针对本项目能提供的特色服务、增值服务说明；（如有）</w:t>
      </w:r>
    </w:p>
    <w:p>
      <w:pPr>
        <w:numPr>
          <w:ilvl w:val="0"/>
          <w:numId w:val="10"/>
        </w:numPr>
        <w:tabs>
          <w:tab w:val="left" w:pos="851"/>
          <w:tab w:val="left" w:pos="900"/>
          <w:tab w:val="left" w:pos="1080"/>
        </w:tabs>
        <w:adjustRightInd w:val="0"/>
        <w:snapToGrid w:val="0"/>
        <w:spacing w:line="360" w:lineRule="auto"/>
        <w:ind w:left="0" w:firstLine="340"/>
        <w:jc w:val="left"/>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投标人认为需要提供的其它文件及资料。（如有）</w:t>
      </w:r>
    </w:p>
    <w:p>
      <w:pPr>
        <w:adjustRightInd w:val="0"/>
        <w:snapToGrid w:val="0"/>
        <w:spacing w:line="360" w:lineRule="auto"/>
        <w:ind w:firstLine="422"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b/>
          <w:snapToGrid w:val="0"/>
          <w:color w:val="auto"/>
          <w:kern w:val="0"/>
          <w:szCs w:val="21"/>
        </w:rPr>
        <w:t>9.3报价响应文件</w:t>
      </w:r>
    </w:p>
    <w:p>
      <w:pPr>
        <w:numPr>
          <w:ilvl w:val="0"/>
          <w:numId w:val="11"/>
        </w:numPr>
        <w:adjustRightInd w:val="0"/>
        <w:snapToGrid w:val="0"/>
        <w:spacing w:line="360" w:lineRule="auto"/>
        <w:ind w:left="993" w:hanging="571"/>
        <w:jc w:val="left"/>
        <w:rPr>
          <w:rFonts w:hint="eastAsia" w:asciiTheme="minorEastAsia" w:hAnsiTheme="minorEastAsia" w:eastAsiaTheme="minorEastAsia" w:cstheme="minorEastAsia"/>
          <w:bCs/>
          <w:snapToGrid w:val="0"/>
          <w:color w:val="auto"/>
          <w:kern w:val="0"/>
          <w:szCs w:val="21"/>
        </w:rPr>
      </w:pPr>
      <w:r>
        <w:rPr>
          <w:rFonts w:hint="eastAsia" w:asciiTheme="minorEastAsia" w:hAnsiTheme="minorEastAsia" w:eastAsiaTheme="minorEastAsia" w:cstheme="minorEastAsia"/>
          <w:bCs/>
          <w:snapToGrid w:val="0"/>
          <w:color w:val="auto"/>
          <w:kern w:val="0"/>
          <w:szCs w:val="21"/>
        </w:rPr>
        <w:t>投标函；</w:t>
      </w:r>
    </w:p>
    <w:p>
      <w:pPr>
        <w:numPr>
          <w:ilvl w:val="0"/>
          <w:numId w:val="11"/>
        </w:numPr>
        <w:adjustRightInd w:val="0"/>
        <w:snapToGrid w:val="0"/>
        <w:spacing w:line="360" w:lineRule="auto"/>
        <w:ind w:left="993" w:hanging="571"/>
        <w:jc w:val="left"/>
        <w:rPr>
          <w:rFonts w:hint="eastAsia" w:asciiTheme="minorEastAsia" w:hAnsiTheme="minorEastAsia" w:eastAsiaTheme="minorEastAsia" w:cstheme="minorEastAsia"/>
          <w:bCs/>
          <w:snapToGrid w:val="0"/>
          <w:color w:val="auto"/>
          <w:kern w:val="0"/>
          <w:szCs w:val="21"/>
        </w:rPr>
      </w:pPr>
      <w:r>
        <w:rPr>
          <w:rFonts w:hint="eastAsia" w:asciiTheme="minorEastAsia" w:hAnsiTheme="minorEastAsia" w:eastAsiaTheme="minorEastAsia" w:cstheme="minorEastAsia"/>
          <w:bCs/>
          <w:snapToGrid w:val="0"/>
          <w:color w:val="auto"/>
          <w:kern w:val="0"/>
          <w:szCs w:val="21"/>
        </w:rPr>
        <w:t>开标一览表；</w:t>
      </w:r>
    </w:p>
    <w:p>
      <w:pPr>
        <w:numPr>
          <w:ilvl w:val="0"/>
          <w:numId w:val="11"/>
        </w:numPr>
        <w:adjustRightInd w:val="0"/>
        <w:snapToGrid w:val="0"/>
        <w:spacing w:line="360" w:lineRule="auto"/>
        <w:ind w:left="993" w:hanging="571"/>
        <w:jc w:val="left"/>
        <w:rPr>
          <w:rFonts w:hint="eastAsia" w:asciiTheme="minorEastAsia" w:hAnsiTheme="minorEastAsia" w:eastAsiaTheme="minorEastAsia" w:cstheme="minorEastAsia"/>
          <w:bCs/>
          <w:snapToGrid w:val="0"/>
          <w:color w:val="auto"/>
          <w:kern w:val="0"/>
          <w:szCs w:val="21"/>
        </w:rPr>
      </w:pPr>
      <w:r>
        <w:rPr>
          <w:rFonts w:hint="eastAsia" w:asciiTheme="minorEastAsia" w:hAnsiTheme="minorEastAsia" w:eastAsiaTheme="minorEastAsia" w:cstheme="minorEastAsia"/>
          <w:bCs/>
          <w:snapToGrid w:val="0"/>
          <w:color w:val="auto"/>
          <w:kern w:val="0"/>
          <w:szCs w:val="21"/>
        </w:rPr>
        <w:t>投标报价明细表；</w:t>
      </w:r>
    </w:p>
    <w:p>
      <w:pPr>
        <w:numPr>
          <w:ilvl w:val="0"/>
          <w:numId w:val="11"/>
        </w:numPr>
        <w:adjustRightInd w:val="0"/>
        <w:snapToGrid w:val="0"/>
        <w:spacing w:line="360" w:lineRule="auto"/>
        <w:ind w:left="993" w:hanging="571"/>
        <w:jc w:val="left"/>
        <w:rPr>
          <w:rFonts w:hint="eastAsia" w:asciiTheme="minorEastAsia" w:hAnsiTheme="minorEastAsia" w:eastAsiaTheme="minorEastAsia" w:cstheme="minorEastAsia"/>
          <w:bCs/>
          <w:snapToGrid w:val="0"/>
          <w:color w:val="auto"/>
          <w:kern w:val="0"/>
          <w:szCs w:val="21"/>
        </w:rPr>
      </w:pPr>
      <w:r>
        <w:rPr>
          <w:rFonts w:hint="eastAsia" w:asciiTheme="minorEastAsia" w:hAnsiTheme="minorEastAsia" w:eastAsiaTheme="minorEastAsia" w:cstheme="minorEastAsia"/>
          <w:bCs/>
          <w:snapToGrid w:val="0"/>
          <w:color w:val="auto"/>
          <w:kern w:val="0"/>
          <w:szCs w:val="21"/>
        </w:rPr>
        <w:t>成本测算依据；</w:t>
      </w:r>
    </w:p>
    <w:p>
      <w:pPr>
        <w:numPr>
          <w:ilvl w:val="0"/>
          <w:numId w:val="11"/>
        </w:numPr>
        <w:tabs>
          <w:tab w:val="left" w:pos="840"/>
          <w:tab w:val="left" w:pos="1050"/>
        </w:tabs>
        <w:adjustRightInd w:val="0"/>
        <w:snapToGrid w:val="0"/>
        <w:spacing w:line="360" w:lineRule="auto"/>
        <w:ind w:left="13" w:firstLine="409"/>
        <w:jc w:val="left"/>
        <w:rPr>
          <w:rFonts w:hint="eastAsia" w:asciiTheme="minorEastAsia" w:hAnsiTheme="minorEastAsia" w:eastAsiaTheme="minorEastAsia" w:cstheme="minorEastAsia"/>
          <w:bCs/>
          <w:snapToGrid w:val="0"/>
          <w:color w:val="auto"/>
          <w:kern w:val="0"/>
          <w:szCs w:val="21"/>
        </w:rPr>
      </w:pPr>
      <w:r>
        <w:rPr>
          <w:rFonts w:hint="eastAsia" w:asciiTheme="minorEastAsia" w:hAnsiTheme="minorEastAsia" w:eastAsiaTheme="minorEastAsia" w:cstheme="minorEastAsia"/>
          <w:bCs/>
          <w:snapToGrid w:val="0"/>
          <w:color w:val="auto"/>
          <w:kern w:val="0"/>
          <w:szCs w:val="21"/>
        </w:rPr>
        <w:t>中小企业声明函； 投标文件中须提供投标人、投标产品制造商（货物类项目）的小微企业声明函（投标人在填写该声明函前，须先自查本企业及投标产品制造商是否满足小微企业认定标准，可通过“国家企业信用信息公示系统——小微企业名录”页面查询），未按要求出具声明函的，投标报价不予扣减；（如有）</w:t>
      </w:r>
    </w:p>
    <w:p>
      <w:pPr>
        <w:numPr>
          <w:ilvl w:val="0"/>
          <w:numId w:val="11"/>
        </w:numPr>
        <w:tabs>
          <w:tab w:val="left" w:pos="840"/>
          <w:tab w:val="left" w:pos="1050"/>
        </w:tabs>
        <w:adjustRightInd w:val="0"/>
        <w:snapToGrid w:val="0"/>
        <w:spacing w:line="360" w:lineRule="auto"/>
        <w:ind w:left="13" w:firstLine="409"/>
        <w:jc w:val="left"/>
        <w:rPr>
          <w:rFonts w:hint="eastAsia" w:asciiTheme="minorEastAsia" w:hAnsiTheme="minorEastAsia" w:eastAsiaTheme="minorEastAsia" w:cstheme="minorEastAsia"/>
          <w:bCs/>
          <w:snapToGrid w:val="0"/>
          <w:color w:val="auto"/>
          <w:kern w:val="0"/>
          <w:szCs w:val="21"/>
        </w:rPr>
      </w:pPr>
      <w:r>
        <w:rPr>
          <w:rFonts w:hint="eastAsia" w:asciiTheme="minorEastAsia" w:hAnsiTheme="minorEastAsia" w:eastAsiaTheme="minorEastAsia" w:cstheme="minorEastAsia"/>
          <w:bCs/>
          <w:snapToGrid w:val="0"/>
          <w:color w:val="auto"/>
          <w:kern w:val="0"/>
          <w:szCs w:val="21"/>
        </w:rPr>
        <w:t>投标人为监狱企业的证明文件：省级以上监狱管理局、戒毒管理局（含新疆生产建设兵团）出具；（如有）</w:t>
      </w:r>
    </w:p>
    <w:p>
      <w:pPr>
        <w:numPr>
          <w:ilvl w:val="0"/>
          <w:numId w:val="11"/>
        </w:numPr>
        <w:tabs>
          <w:tab w:val="left" w:pos="840"/>
          <w:tab w:val="left" w:pos="1050"/>
        </w:tabs>
        <w:adjustRightInd w:val="0"/>
        <w:snapToGrid w:val="0"/>
        <w:spacing w:line="360" w:lineRule="auto"/>
        <w:ind w:left="13" w:firstLine="409"/>
        <w:jc w:val="left"/>
        <w:rPr>
          <w:rFonts w:hint="eastAsia" w:asciiTheme="minorEastAsia" w:hAnsiTheme="minorEastAsia" w:eastAsiaTheme="minorEastAsia" w:cstheme="minorEastAsia"/>
          <w:bCs/>
          <w:snapToGrid w:val="0"/>
          <w:color w:val="auto"/>
          <w:kern w:val="0"/>
          <w:szCs w:val="21"/>
        </w:rPr>
      </w:pPr>
      <w:r>
        <w:rPr>
          <w:rFonts w:hint="eastAsia" w:asciiTheme="minorEastAsia" w:hAnsiTheme="minorEastAsia" w:eastAsiaTheme="minorEastAsia" w:cstheme="minorEastAsia"/>
          <w:bCs/>
          <w:snapToGrid w:val="0"/>
          <w:color w:val="auto"/>
          <w:kern w:val="0"/>
          <w:szCs w:val="21"/>
        </w:rPr>
        <w:t xml:space="preserve">投标人如符合《财政部、民政部、中国残疾人联合会关于促进残疾人就业政府采购政策的通知》（财库〔2017〕141号）政策规定的，须提供《残疾人福利性单位声明函》；（如有）  </w:t>
      </w:r>
    </w:p>
    <w:p>
      <w:pPr>
        <w:numPr>
          <w:ilvl w:val="0"/>
          <w:numId w:val="11"/>
        </w:numPr>
        <w:tabs>
          <w:tab w:val="left" w:pos="840"/>
          <w:tab w:val="left" w:pos="1050"/>
        </w:tabs>
        <w:adjustRightInd w:val="0"/>
        <w:snapToGrid w:val="0"/>
        <w:spacing w:line="360" w:lineRule="auto"/>
        <w:ind w:left="13" w:firstLine="409"/>
        <w:jc w:val="left"/>
        <w:rPr>
          <w:rFonts w:hint="eastAsia" w:asciiTheme="minorEastAsia" w:hAnsiTheme="minorEastAsia" w:eastAsiaTheme="minorEastAsia" w:cstheme="minorEastAsia"/>
          <w:bCs/>
          <w:snapToGrid w:val="0"/>
          <w:color w:val="auto"/>
          <w:kern w:val="0"/>
          <w:szCs w:val="21"/>
        </w:rPr>
      </w:pPr>
      <w:r>
        <w:rPr>
          <w:rFonts w:hint="eastAsia" w:asciiTheme="minorEastAsia" w:hAnsiTheme="minorEastAsia" w:eastAsiaTheme="minorEastAsia" w:cstheme="minorEastAsia"/>
          <w:bCs/>
          <w:snapToGrid w:val="0"/>
          <w:color w:val="auto"/>
          <w:kern w:val="0"/>
          <w:szCs w:val="21"/>
        </w:rPr>
        <w:t>投标人认为针对报价需要说明的其他文件及资料。</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9.5可以通过互联网或者相关信息系统查询的信息，如供应商提供明确证明材料且证实无误的，视为有效。</w:t>
      </w:r>
    </w:p>
    <w:p>
      <w:pPr>
        <w:adjustRightInd w:val="0"/>
        <w:snapToGrid w:val="0"/>
        <w:spacing w:before="120" w:beforeLines="50" w:line="360" w:lineRule="auto"/>
        <w:ind w:firstLine="422" w:firstLineChars="200"/>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snapToGrid w:val="0"/>
          <w:color w:val="auto"/>
          <w:kern w:val="0"/>
          <w:szCs w:val="21"/>
        </w:rPr>
        <w:t>10．投标函</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10.1 投标人应完整地填写采购文件中提供的投标函和投标相关附件。</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10.2 投标文件应当对采购文件中有关投标有效期、采购需求等实质性内容作出响应。投标人在满足采购文件实质性要求的基础上，可以提出比采购文件要求更有利于采购人的承诺。</w:t>
      </w:r>
    </w:p>
    <w:p>
      <w:pPr>
        <w:pStyle w:val="20"/>
        <w:snapToGrid w:val="0"/>
        <w:spacing w:before="120" w:beforeLines="50"/>
        <w:ind w:firstLine="422" w:firstLineChars="200"/>
        <w:rPr>
          <w:rFonts w:hint="eastAsia" w:asciiTheme="minorEastAsia" w:hAnsiTheme="minorEastAsia" w:eastAsiaTheme="minorEastAsia" w:cstheme="minorEastAsia"/>
          <w:b/>
          <w:bCs/>
          <w:snapToGrid w:val="0"/>
          <w:color w:val="auto"/>
          <w:kern w:val="0"/>
          <w:sz w:val="21"/>
          <w:szCs w:val="21"/>
        </w:rPr>
      </w:pPr>
      <w:r>
        <w:rPr>
          <w:rFonts w:hint="eastAsia" w:asciiTheme="minorEastAsia" w:hAnsiTheme="minorEastAsia" w:eastAsiaTheme="minorEastAsia" w:cstheme="minorEastAsia"/>
          <w:b/>
          <w:bCs/>
          <w:snapToGrid w:val="0"/>
          <w:color w:val="auto"/>
          <w:kern w:val="0"/>
          <w:sz w:val="21"/>
          <w:szCs w:val="21"/>
        </w:rPr>
        <w:t>11．投标报价</w:t>
      </w:r>
    </w:p>
    <w:p>
      <w:pPr>
        <w:pStyle w:val="20"/>
        <w:snapToGrid w:val="0"/>
        <w:ind w:firstLine="420" w:firstLineChars="200"/>
        <w:rPr>
          <w:rFonts w:hint="eastAsia" w:asciiTheme="minorEastAsia" w:hAnsiTheme="minorEastAsia" w:eastAsiaTheme="minorEastAsia" w:cstheme="minorEastAsia"/>
          <w:snapToGrid w:val="0"/>
          <w:color w:val="auto"/>
          <w:kern w:val="0"/>
          <w:sz w:val="21"/>
          <w:szCs w:val="21"/>
        </w:rPr>
      </w:pPr>
      <w:r>
        <w:rPr>
          <w:rFonts w:hint="eastAsia" w:asciiTheme="minorEastAsia" w:hAnsiTheme="minorEastAsia" w:eastAsiaTheme="minorEastAsia" w:cstheme="minorEastAsia"/>
          <w:snapToGrid w:val="0"/>
          <w:color w:val="auto"/>
          <w:kern w:val="0"/>
          <w:sz w:val="21"/>
          <w:szCs w:val="21"/>
        </w:rPr>
        <w:t>11.1投标人应按采购文件中规定填写报价相关表单。</w:t>
      </w:r>
    </w:p>
    <w:p>
      <w:pPr>
        <w:adjustRightInd w:val="0"/>
        <w:snapToGrid w:val="0"/>
        <w:spacing w:line="360" w:lineRule="auto"/>
        <w:ind w:firstLine="422" w:firstLineChars="200"/>
        <w:jc w:val="left"/>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snapToGrid w:val="0"/>
          <w:color w:val="auto"/>
          <w:kern w:val="0"/>
          <w:szCs w:val="21"/>
        </w:rPr>
        <w:t>11.2本次报价方式为综合单价包干</w:t>
      </w:r>
      <w:r>
        <w:rPr>
          <w:rFonts w:hint="eastAsia" w:asciiTheme="minorEastAsia" w:hAnsiTheme="minorEastAsia" w:eastAsiaTheme="minorEastAsia" w:cstheme="minorEastAsia"/>
          <w:b/>
          <w:bCs/>
          <w:color w:val="auto"/>
          <w:szCs w:val="21"/>
        </w:rPr>
        <w:t>。</w:t>
      </w:r>
    </w:p>
    <w:p>
      <w:pPr>
        <w:adjustRightInd w:val="0"/>
        <w:snapToGrid w:val="0"/>
        <w:spacing w:line="360" w:lineRule="auto"/>
        <w:ind w:firstLine="422"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b/>
          <w:bCs/>
          <w:color w:val="auto"/>
          <w:szCs w:val="21"/>
        </w:rPr>
        <w:t>此报价应包含完成本项目合同服务可能发生的全部费用（包括按服务期限计算的服务总费用和招标代理服务费）。</w:t>
      </w:r>
    </w:p>
    <w:p>
      <w:pPr>
        <w:widowControl/>
        <w:adjustRightInd w:val="0"/>
        <w:snapToGrid w:val="0"/>
        <w:spacing w:line="360" w:lineRule="auto"/>
        <w:ind w:firstLine="422"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b/>
          <w:snapToGrid w:val="0"/>
          <w:color w:val="auto"/>
          <w:kern w:val="0"/>
          <w:szCs w:val="21"/>
        </w:rPr>
        <w:t>11.3本项目采购代理服务费由中标人向采购代理机构支付，相关成本支出由投标人自行考虑。采购代理服务费计取标准见前附表。</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11.4本项目只允许一次报价，不允许以开标后调整的报价作为评标的依据（但按本采购文件投标须知投标文件错误的修正并经评标委员会认定或经投标人确认同意的除外）。</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11.5其它需在报价中考虑的因素：</w:t>
      </w:r>
    </w:p>
    <w:p>
      <w:pPr>
        <w:numPr>
          <w:ilvl w:val="0"/>
          <w:numId w:val="12"/>
        </w:numPr>
        <w:tabs>
          <w:tab w:val="left" w:pos="993"/>
        </w:tabs>
        <w:adjustRightInd w:val="0"/>
        <w:snapToGrid w:val="0"/>
        <w:spacing w:line="360" w:lineRule="auto"/>
        <w:ind w:left="0" w:firstLine="422" w:firstLineChars="200"/>
        <w:jc w:val="left"/>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snapToGrid w:val="0"/>
          <w:color w:val="auto"/>
          <w:kern w:val="0"/>
          <w:szCs w:val="21"/>
        </w:rPr>
        <w:t>用户需求中明确的需供应商承担的费用均应含在投标总价中；</w:t>
      </w:r>
    </w:p>
    <w:p>
      <w:pPr>
        <w:numPr>
          <w:ilvl w:val="0"/>
          <w:numId w:val="12"/>
        </w:numPr>
        <w:tabs>
          <w:tab w:val="left" w:pos="993"/>
        </w:tabs>
        <w:adjustRightInd w:val="0"/>
        <w:snapToGrid w:val="0"/>
        <w:spacing w:line="360" w:lineRule="auto"/>
        <w:ind w:left="0" w:firstLine="422" w:firstLineChars="200"/>
        <w:jc w:val="left"/>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color w:val="auto"/>
          <w:szCs w:val="21"/>
        </w:rPr>
        <w:t>采购文件未明示但投标人认为可能产生的潜在费用支出均需自行考虑并计入投标总价中；</w:t>
      </w:r>
    </w:p>
    <w:p>
      <w:pPr>
        <w:numPr>
          <w:ilvl w:val="0"/>
          <w:numId w:val="12"/>
        </w:numPr>
        <w:tabs>
          <w:tab w:val="left" w:pos="993"/>
        </w:tabs>
        <w:adjustRightInd w:val="0"/>
        <w:snapToGrid w:val="0"/>
        <w:spacing w:line="360" w:lineRule="auto"/>
        <w:ind w:left="0" w:firstLine="422" w:firstLineChars="200"/>
        <w:jc w:val="left"/>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snapToGrid w:val="0"/>
          <w:color w:val="auto"/>
          <w:kern w:val="0"/>
          <w:szCs w:val="21"/>
        </w:rPr>
        <w:t>对于没有填报的项目，采购人将不再支付，并均认为已包含在报价内。</w:t>
      </w:r>
    </w:p>
    <w:p>
      <w:pPr>
        <w:pStyle w:val="20"/>
        <w:snapToGrid w:val="0"/>
        <w:spacing w:before="120" w:beforeLines="50"/>
        <w:ind w:firstLine="422" w:firstLineChars="200"/>
        <w:rPr>
          <w:rFonts w:hint="eastAsia" w:asciiTheme="minorEastAsia" w:hAnsiTheme="minorEastAsia" w:eastAsiaTheme="minorEastAsia" w:cstheme="minorEastAsia"/>
          <w:b/>
          <w:bCs/>
          <w:snapToGrid w:val="0"/>
          <w:color w:val="auto"/>
          <w:kern w:val="0"/>
          <w:sz w:val="21"/>
          <w:szCs w:val="21"/>
        </w:rPr>
      </w:pPr>
      <w:r>
        <w:rPr>
          <w:rFonts w:hint="eastAsia" w:asciiTheme="minorEastAsia" w:hAnsiTheme="minorEastAsia" w:eastAsiaTheme="minorEastAsia" w:cstheme="minorEastAsia"/>
          <w:b/>
          <w:bCs/>
          <w:snapToGrid w:val="0"/>
          <w:color w:val="auto"/>
          <w:kern w:val="0"/>
          <w:sz w:val="21"/>
          <w:szCs w:val="21"/>
        </w:rPr>
        <w:t>12．投标货币</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以人民币报价并结算。</w:t>
      </w:r>
    </w:p>
    <w:p>
      <w:pPr>
        <w:pStyle w:val="20"/>
        <w:numPr>
          <w:ilvl w:val="0"/>
          <w:numId w:val="13"/>
        </w:numPr>
        <w:snapToGrid w:val="0"/>
        <w:spacing w:before="120" w:beforeLines="50"/>
        <w:ind w:firstLine="422" w:firstLineChars="200"/>
        <w:rPr>
          <w:rFonts w:hint="eastAsia" w:asciiTheme="minorEastAsia" w:hAnsiTheme="minorEastAsia" w:eastAsiaTheme="minorEastAsia" w:cstheme="minorEastAsia"/>
          <w:b/>
          <w:bCs/>
          <w:snapToGrid w:val="0"/>
          <w:color w:val="auto"/>
          <w:kern w:val="0"/>
          <w:sz w:val="21"/>
          <w:szCs w:val="21"/>
        </w:rPr>
      </w:pPr>
      <w:r>
        <w:rPr>
          <w:rFonts w:hint="eastAsia" w:asciiTheme="minorEastAsia" w:hAnsiTheme="minorEastAsia" w:eastAsiaTheme="minorEastAsia" w:cstheme="minorEastAsia"/>
          <w:b/>
          <w:bCs/>
          <w:snapToGrid w:val="0"/>
          <w:color w:val="auto"/>
          <w:kern w:val="0"/>
          <w:sz w:val="21"/>
          <w:szCs w:val="21"/>
        </w:rPr>
        <w:t>投标保证金</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13.1 本项目不收取投标保证金。但违反政府采购相关规定给采购人造成损失的，投标人应当承担赔偿责任。</w:t>
      </w:r>
    </w:p>
    <w:p>
      <w:pPr>
        <w:pStyle w:val="20"/>
        <w:snapToGrid w:val="0"/>
        <w:spacing w:before="120" w:beforeLines="50"/>
        <w:ind w:firstLine="422" w:firstLineChars="200"/>
        <w:rPr>
          <w:rFonts w:hint="eastAsia" w:asciiTheme="minorEastAsia" w:hAnsiTheme="minorEastAsia" w:eastAsiaTheme="minorEastAsia" w:cstheme="minorEastAsia"/>
          <w:b/>
          <w:bCs/>
          <w:snapToGrid w:val="0"/>
          <w:color w:val="auto"/>
          <w:kern w:val="0"/>
          <w:sz w:val="21"/>
          <w:szCs w:val="21"/>
        </w:rPr>
      </w:pPr>
      <w:r>
        <w:rPr>
          <w:rFonts w:hint="eastAsia" w:asciiTheme="minorEastAsia" w:hAnsiTheme="minorEastAsia" w:eastAsiaTheme="minorEastAsia" w:cstheme="minorEastAsia"/>
          <w:b/>
          <w:bCs/>
          <w:snapToGrid w:val="0"/>
          <w:color w:val="auto"/>
          <w:kern w:val="0"/>
          <w:sz w:val="21"/>
          <w:szCs w:val="21"/>
        </w:rPr>
        <w:t>14．投标有效期</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14.1 投标文件在开标之日起90个日历天内有效。</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14.2 在原定投标有效期满之前，如果出现特殊情况，采购人可以以书面形式向投标人提出延长投标有效期的要求。这种要求与答复均应采用书面形式如传真或信件等。投标人可以拒绝接受采购人的这种要求而放弃投标。接受延长投标有效期的投标人将不会被要求和允许修正其投标。</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14.3 中标人的投标文件自开标之日起至合同履行完毕止均应保持有效。</w:t>
      </w:r>
    </w:p>
    <w:p>
      <w:pPr>
        <w:pStyle w:val="20"/>
        <w:snapToGrid w:val="0"/>
        <w:spacing w:before="120" w:beforeLines="50"/>
        <w:ind w:firstLine="422" w:firstLineChars="200"/>
        <w:rPr>
          <w:rFonts w:hint="eastAsia" w:asciiTheme="minorEastAsia" w:hAnsiTheme="minorEastAsia" w:eastAsiaTheme="minorEastAsia" w:cstheme="minorEastAsia"/>
          <w:b/>
          <w:bCs/>
          <w:snapToGrid w:val="0"/>
          <w:color w:val="auto"/>
          <w:kern w:val="0"/>
          <w:sz w:val="21"/>
          <w:szCs w:val="21"/>
        </w:rPr>
      </w:pPr>
      <w:r>
        <w:rPr>
          <w:rFonts w:hint="eastAsia" w:asciiTheme="minorEastAsia" w:hAnsiTheme="minorEastAsia" w:eastAsiaTheme="minorEastAsia" w:cstheme="minorEastAsia"/>
          <w:b/>
          <w:bCs/>
          <w:snapToGrid w:val="0"/>
          <w:color w:val="auto"/>
          <w:kern w:val="0"/>
          <w:sz w:val="21"/>
          <w:szCs w:val="21"/>
        </w:rPr>
        <w:t>15．投标文件的式样</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15.1 投标人通过“政采云”平台制作电子投标文件，投标文件制作详见“供应商-政府采购项目电子交易操作指南”。</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15.2 投标文件是电子投标文件，包括“电子加密投标文件”和“备份投标文件”，在投标文件编制完成后同时生成。</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（1）“电子加密投标文件”是指通过“政采云电子交易客户端”完成投标文件编制后生成并加密的数据电文形式的投标文件。</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（2）“备份投标文件”是指与“电子加密投标文件”同时生成的数据电文形式的电子文件（备份标书，用于供应商标书解密异常时应急使用），其他方式编制的备份投标文件视为无效备份投标文件。</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（3）一份电子加密标书（后缀格式为.jmbs），一份备份标书文件（后缀格式为.bfbs）</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（4）每份电子投标文件应包括资格响应文件、商务技术响应文件、报价响应文件三部分内容。</w:t>
      </w:r>
    </w:p>
    <w:p>
      <w:pPr>
        <w:adjustRightInd w:val="0"/>
        <w:snapToGrid w:val="0"/>
        <w:spacing w:line="360" w:lineRule="auto"/>
        <w:ind w:firstLine="422" w:firstLineChars="200"/>
        <w:jc w:val="left"/>
        <w:rPr>
          <w:rFonts w:hint="eastAsia" w:asciiTheme="minorEastAsia" w:hAnsiTheme="minorEastAsia" w:eastAsiaTheme="minorEastAsia" w:cstheme="minorEastAsia"/>
          <w:b/>
          <w:bCs/>
          <w:snapToGrid w:val="0"/>
          <w:color w:val="auto"/>
          <w:kern w:val="0"/>
          <w:szCs w:val="21"/>
        </w:rPr>
      </w:pPr>
      <w:r>
        <w:rPr>
          <w:rFonts w:hint="eastAsia" w:asciiTheme="minorEastAsia" w:hAnsiTheme="minorEastAsia" w:eastAsiaTheme="minorEastAsia" w:cstheme="minorEastAsia"/>
          <w:b/>
          <w:bCs/>
          <w:snapToGrid w:val="0"/>
          <w:color w:val="auto"/>
          <w:kern w:val="0"/>
          <w:szCs w:val="21"/>
        </w:rPr>
        <w:t>15.3 投标文件中投标函、法定代表人资格证明书及授权委托函的格式、签字、盖章及内容均应符合采购文件格式要求，否则投标文件无效。</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15.4投标人应根据“政采云供应商项目采购-电子招投标操作指南”及本招标文件规定编制电子投标文件并进行关联定位，以便评标委员会在评标时，点击评分项，可直接定位到该评分项内容。</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如对招标文件的某项要求，投标人的投标响应文件未能提供相应的内容与其对应，则评标委员会在评审时会提示投标人未对此项招标要求提供相应内容。由此产生的评分影响由投标人自行承担。</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投标文件内容不完整、编排混乱导致投标文件被误读、漏读，或者在按采购文件规定的部分查找不到相关内容的，是投标人的责任。</w:t>
      </w:r>
    </w:p>
    <w:p>
      <w:pPr>
        <w:pStyle w:val="3"/>
        <w:snapToGrid w:val="0"/>
        <w:spacing w:before="120" w:beforeLines="50" w:after="120" w:afterLines="50" w:line="360" w:lineRule="auto"/>
        <w:rPr>
          <w:rFonts w:hint="eastAsia" w:asciiTheme="minorEastAsia" w:hAnsiTheme="minorEastAsia" w:eastAsiaTheme="minorEastAsia" w:cstheme="minorEastAsia"/>
          <w:color w:val="auto"/>
          <w:sz w:val="21"/>
          <w:szCs w:val="21"/>
        </w:rPr>
      </w:pPr>
      <w:bookmarkStart w:id="22" w:name="_Toc910"/>
      <w:bookmarkStart w:id="23" w:name="_Toc11108"/>
      <w:bookmarkStart w:id="24" w:name="_Toc1575"/>
      <w:bookmarkStart w:id="25" w:name="_Toc251566653"/>
      <w:bookmarkStart w:id="26" w:name="_Toc240450080"/>
      <w:r>
        <w:rPr>
          <w:rFonts w:hint="eastAsia" w:asciiTheme="minorEastAsia" w:hAnsiTheme="minorEastAsia" w:eastAsiaTheme="minorEastAsia" w:cstheme="minorEastAsia"/>
          <w:color w:val="auto"/>
          <w:sz w:val="21"/>
          <w:szCs w:val="21"/>
        </w:rPr>
        <w:t>四、投标文件的递交</w:t>
      </w:r>
      <w:bookmarkEnd w:id="22"/>
      <w:bookmarkEnd w:id="23"/>
      <w:bookmarkEnd w:id="24"/>
      <w:bookmarkEnd w:id="25"/>
      <w:bookmarkEnd w:id="26"/>
    </w:p>
    <w:p>
      <w:pPr>
        <w:adjustRightInd w:val="0"/>
        <w:snapToGrid w:val="0"/>
        <w:spacing w:before="120" w:beforeLines="50" w:line="360" w:lineRule="auto"/>
        <w:ind w:firstLine="422" w:firstLineChars="200"/>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16．投标文件的递交</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16.1 电子加密投标文件：投标文件制作完成并生成加密标书，在投标截止时间前，投标人需将加密的投标文件上传至政采云平台，到达开标时间后，解密投标文件。</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a.投标人未能在投标截止时间前成功上传电子加密投标文件的投标无效。</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b.投标人成功上传电子加密投标文件后，可自行打印投标文件接收回执。</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16.2备份投标文件：</w:t>
      </w:r>
      <w:r>
        <w:rPr>
          <w:rFonts w:hint="eastAsia" w:asciiTheme="minorEastAsia" w:hAnsiTheme="minorEastAsia" w:eastAsiaTheme="minorEastAsia" w:cstheme="minorEastAsia"/>
          <w:snapToGrid w:val="0"/>
          <w:color w:val="auto"/>
          <w:kern w:val="0"/>
          <w:szCs w:val="21"/>
          <w:lang w:val="en-US" w:eastAsia="zh-CN"/>
        </w:rPr>
        <w:t>投标人</w:t>
      </w:r>
      <w:r>
        <w:rPr>
          <w:rFonts w:hint="eastAsia" w:asciiTheme="minorEastAsia" w:hAnsiTheme="minorEastAsia" w:eastAsiaTheme="minorEastAsia" w:cstheme="minorEastAsia"/>
          <w:snapToGrid w:val="0"/>
          <w:color w:val="auto"/>
          <w:kern w:val="0"/>
          <w:szCs w:val="21"/>
        </w:rPr>
        <w:t>确保在投标截止时间前，将备份投标文件通过快递形式寄达采购代理机构处，以便标书解密异常时应急使用。</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a.备份投标文件递交要求：投标人须将备份投标文件以光盘或U盘形式放在密封袋中，密封后并在密封袋上注明投标项目名称、投标单位名称并加盖公章。逾期邮寄送达的“备份投标文件”将不予接收。</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b.投标人仅提交备份投标文件的，投标无效。</w:t>
      </w:r>
    </w:p>
    <w:p>
      <w:pPr>
        <w:adjustRightInd w:val="0"/>
        <w:snapToGrid w:val="0"/>
        <w:spacing w:before="120" w:beforeLines="50" w:line="360" w:lineRule="auto"/>
        <w:ind w:firstLine="422" w:firstLineChars="200"/>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17．投标截止期</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17.1 投标人应按前附表规定的日期、时间和方式上传、递交投标文件。</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17.2 采购人可以按本须知第7条规定，通过修改采购文件适当延长投标截止日期。在此情况下，采购人与投标人受投标截止期制约的所有权利和义务均应延长至新的截止期。</w:t>
      </w:r>
    </w:p>
    <w:p>
      <w:pPr>
        <w:adjustRightInd w:val="0"/>
        <w:snapToGrid w:val="0"/>
        <w:spacing w:before="120" w:beforeLines="50" w:line="360" w:lineRule="auto"/>
        <w:ind w:firstLine="422" w:firstLineChars="200"/>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18．迟交的投标文件</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在本须知第17条规定的截止期后收到的任何投标文件，采购人将不予接收。</w:t>
      </w:r>
    </w:p>
    <w:p>
      <w:pPr>
        <w:adjustRightInd w:val="0"/>
        <w:snapToGrid w:val="0"/>
        <w:spacing w:before="120" w:beforeLines="50" w:line="360" w:lineRule="auto"/>
        <w:ind w:firstLine="422" w:firstLineChars="200"/>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19．投标文件的修改与撤回</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19.1 投标人在递交投标文件后，在规定的投标截止时间前，可以补充、修改或者撤回电子交易文件。补充或者修改电子交易文件的，应当先行撤回原文件，补充、修改后重新传输递交。投标截止时间前未完成传输的，视为投标文件撤回，投标无效。</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19.2 在投标截止期之后，投标人不得对其投标作任何修改。</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19.3 从投标截止期至投标人在投标函格式中确定的投标有效期期满这段时间内，投标人不得撤回其投标。</w:t>
      </w:r>
    </w:p>
    <w:p>
      <w:pPr>
        <w:pStyle w:val="3"/>
        <w:snapToGrid w:val="0"/>
        <w:spacing w:before="120" w:beforeLines="50" w:after="120" w:afterLines="50" w:line="360" w:lineRule="auto"/>
        <w:rPr>
          <w:rFonts w:hint="eastAsia" w:asciiTheme="minorEastAsia" w:hAnsiTheme="minorEastAsia" w:eastAsiaTheme="minorEastAsia" w:cstheme="minorEastAsia"/>
          <w:color w:val="auto"/>
          <w:sz w:val="21"/>
          <w:szCs w:val="21"/>
        </w:rPr>
      </w:pPr>
      <w:bookmarkStart w:id="27" w:name="_Toc240450081"/>
      <w:bookmarkStart w:id="28" w:name="_Toc26641"/>
      <w:bookmarkStart w:id="29" w:name="_Toc251566654"/>
      <w:bookmarkStart w:id="30" w:name="_Toc13578"/>
      <w:bookmarkStart w:id="31" w:name="_Toc14566"/>
      <w:r>
        <w:rPr>
          <w:rFonts w:hint="eastAsia" w:asciiTheme="minorEastAsia" w:hAnsiTheme="minorEastAsia" w:eastAsiaTheme="minorEastAsia" w:cstheme="minorEastAsia"/>
          <w:color w:val="auto"/>
          <w:sz w:val="21"/>
          <w:szCs w:val="21"/>
        </w:rPr>
        <w:t>五、开标与评标</w:t>
      </w:r>
      <w:bookmarkEnd w:id="27"/>
      <w:bookmarkEnd w:id="28"/>
      <w:bookmarkEnd w:id="29"/>
      <w:bookmarkEnd w:id="30"/>
      <w:bookmarkEnd w:id="31"/>
    </w:p>
    <w:p>
      <w:pPr>
        <w:adjustRightInd w:val="0"/>
        <w:snapToGrid w:val="0"/>
        <w:spacing w:before="120" w:beforeLines="50" w:line="360" w:lineRule="auto"/>
        <w:ind w:firstLine="422" w:firstLineChars="200"/>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20．开标</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20.1 采购人将于前附表规定的时间和地点公开开标。若采购人按本须知第7条规定，通过修改采购文件更改了开标时间和地点的，以后者为准。</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20.2开评标期间，投标人代表应在线操作，并关注政采云有关信息公布、澄清等情况。投标人代表不参加开标程序的，事后不得对采购相关人员、开标过程和开标结果提出异议。</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20.3 开标程序</w:t>
      </w:r>
    </w:p>
    <w:p>
      <w:pPr>
        <w:adjustRightInd w:val="0"/>
        <w:snapToGrid w:val="0"/>
        <w:spacing w:line="360" w:lineRule="auto"/>
        <w:ind w:firstLine="422" w:firstLineChars="200"/>
        <w:jc w:val="left"/>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20.3.1开标第一阶段</w:t>
      </w:r>
    </w:p>
    <w:p>
      <w:pPr>
        <w:adjustRightInd w:val="0"/>
        <w:snapToGrid w:val="0"/>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向各投标人发出电子加密投标文件【开始解密】通知，由投标人按招标文件规定的时间内自行进行投标文件解密。投标人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adjustRightInd w:val="0"/>
        <w:snapToGrid w:val="0"/>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（2）投标文件解密结束，通过邮件形式发回各投标人签署的《政府采购活动现场确认声明书》；</w:t>
      </w:r>
    </w:p>
    <w:p>
      <w:pPr>
        <w:adjustRightInd w:val="0"/>
        <w:snapToGrid w:val="0"/>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（3）开启投标文件，进入资格审查；</w:t>
      </w:r>
    </w:p>
    <w:p>
      <w:pPr>
        <w:adjustRightInd w:val="0"/>
        <w:snapToGrid w:val="0"/>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（4）开启资格审查通过的投标供应商的商务技术文件进入符合性审查、商务技术评审；</w:t>
      </w:r>
    </w:p>
    <w:p>
      <w:pPr>
        <w:adjustRightInd w:val="0"/>
        <w:snapToGrid w:val="0"/>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（5）第一阶段开标结束。</w:t>
      </w:r>
    </w:p>
    <w:p>
      <w:pPr>
        <w:adjustRightInd w:val="0"/>
        <w:snapToGrid w:val="0"/>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备注：开标程序的第一阶段结束后，采购人或采购代理机构将对依法对投标供应商的资格进行审查，资格审查结束后进入符合性审查和商务技术的评审工作。</w:t>
      </w:r>
    </w:p>
    <w:p>
      <w:pPr>
        <w:adjustRightInd w:val="0"/>
        <w:snapToGrid w:val="0"/>
        <w:spacing w:line="360" w:lineRule="auto"/>
        <w:ind w:firstLine="422" w:firstLineChars="2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
          <w:bCs/>
          <w:color w:val="auto"/>
          <w:szCs w:val="21"/>
        </w:rPr>
        <w:t>20.3.2开标第二阶段</w:t>
      </w:r>
    </w:p>
    <w:p>
      <w:pPr>
        <w:adjustRightInd w:val="0"/>
        <w:snapToGrid w:val="0"/>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符合性审查、商务技术评审结束后，举行开标程序第二阶段会议。首先在线公布符合性审查、商务技术评审无效供应商名称及理由；公布经商务技术评审后有效投标人的名单，同时公布其商务技术部分得分情况。</w:t>
      </w:r>
    </w:p>
    <w:p>
      <w:pPr>
        <w:adjustRightInd w:val="0"/>
        <w:snapToGrid w:val="0"/>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（2）开启符合性审查、商务技术评审有效投标人的《报价响应文件》</w:t>
      </w:r>
      <w:r>
        <w:rPr>
          <w:rFonts w:hint="eastAsia" w:asciiTheme="minorEastAsia" w:hAnsiTheme="minorEastAsia" w:eastAsiaTheme="minorEastAsia" w:cstheme="minorEastAsia"/>
          <w:color w:val="auto"/>
          <w:szCs w:val="21"/>
          <w:lang w:eastAsia="zh-CN"/>
        </w:rPr>
        <w:t>。代理机构点击“开启签字时段”，供应商对开标纪录进行在线签字确认</w:t>
      </w:r>
      <w:r>
        <w:rPr>
          <w:rFonts w:hint="eastAsia" w:asciiTheme="minorEastAsia" w:hAnsiTheme="minorEastAsia" w:eastAsiaTheme="minorEastAsia" w:cstheme="minorEastAsia"/>
          <w:color w:val="auto"/>
          <w:szCs w:val="21"/>
        </w:rPr>
        <w:t>（不予确认的应说明理由，否则视为无异议）。报价响应文件开标结束后，由评标委员会对报价的合理性、准确性等进行审查核实。</w:t>
      </w:r>
    </w:p>
    <w:p>
      <w:pPr>
        <w:adjustRightInd w:val="0"/>
        <w:snapToGrid w:val="0"/>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（3）评审结束后，在线公布中标（成交）候选供应商名单，另行告知采购人最终确定中标或成交供应商名单的时间和公告方式等。</w:t>
      </w:r>
    </w:p>
    <w:p>
      <w:pPr>
        <w:adjustRightInd w:val="0"/>
        <w:snapToGrid w:val="0"/>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20.4如遇“政府采购云平台”电子化开标或评审程序调整的，或者政采云系统提供数据电文交互功能的，按其规定执行。</w:t>
      </w:r>
    </w:p>
    <w:p>
      <w:pPr>
        <w:adjustRightInd w:val="0"/>
        <w:snapToGrid w:val="0"/>
        <w:spacing w:before="120" w:beforeLines="50" w:line="360" w:lineRule="auto"/>
        <w:ind w:firstLine="422" w:firstLineChars="200"/>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21．评标</w:t>
      </w:r>
    </w:p>
    <w:p>
      <w:pPr>
        <w:adjustRightInd w:val="0"/>
        <w:snapToGrid w:val="0"/>
        <w:spacing w:line="360" w:lineRule="auto"/>
        <w:ind w:firstLine="422" w:firstLineChars="200"/>
        <w:jc w:val="left"/>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snapToGrid w:val="0"/>
          <w:color w:val="auto"/>
          <w:kern w:val="0"/>
          <w:szCs w:val="21"/>
        </w:rPr>
        <w:t>21.1 评标组织</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评标工作由招标采购单位负责组织，依法组建由奇数的人员组成的评标委员会，负责对投标文件进行审查、质询、评审等。评标委员会由政府采购相关专家等组成，其中政府采购专家不得少于成员总数的三分之二。</w:t>
      </w:r>
    </w:p>
    <w:p>
      <w:pPr>
        <w:adjustRightInd w:val="0"/>
        <w:snapToGrid w:val="0"/>
        <w:spacing w:line="360" w:lineRule="auto"/>
        <w:ind w:firstLine="422" w:firstLineChars="200"/>
        <w:jc w:val="left"/>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snapToGrid w:val="0"/>
          <w:color w:val="auto"/>
          <w:kern w:val="0"/>
          <w:szCs w:val="21"/>
        </w:rPr>
        <w:t>21.2评标纪律</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本次评标工作将在严格保密的情况下进行，评标委员会成员名单在定标前将保密。</w:t>
      </w:r>
    </w:p>
    <w:p>
      <w:pPr>
        <w:adjustRightInd w:val="0"/>
        <w:snapToGrid w:val="0"/>
        <w:spacing w:line="360" w:lineRule="auto"/>
        <w:ind w:firstLine="422" w:firstLineChars="200"/>
        <w:jc w:val="left"/>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snapToGrid w:val="0"/>
          <w:color w:val="auto"/>
          <w:kern w:val="0"/>
          <w:szCs w:val="21"/>
        </w:rPr>
        <w:t>21.3评标办法</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详见招标文件第五部分“评标办法”。</w:t>
      </w:r>
    </w:p>
    <w:p>
      <w:pPr>
        <w:adjustRightInd w:val="0"/>
        <w:snapToGrid w:val="0"/>
        <w:spacing w:line="360" w:lineRule="auto"/>
        <w:ind w:firstLine="422" w:firstLineChars="200"/>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snapToGrid w:val="0"/>
          <w:color w:val="auto"/>
          <w:kern w:val="0"/>
          <w:szCs w:val="21"/>
        </w:rPr>
        <w:t>22．废标</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22.1根据《中华人民共和国政府采购法》第三十六条，出现下列情形之一的，应予以废标：</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 xml:space="preserve">（1）符合专业条件的供应商或者对招标文件作实质响应的供应商不足三家的； </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 xml:space="preserve">（2）出现影响采购公正的违法、违规行为的； </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 xml:space="preserve">（3）投标人的报价均超过了采购预算，采购人不能支付的； </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（4）因重大变故，采购任务取消的。</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废标后，采购人应当将废标理由通知所有投标人并重新组织招标；或者经主管部门批准，采取其他方式组织采购。</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22.2采购过程中出现以下情形，导致电子交易平台无法正常运行，或者无法保证电子交易的公平、公正和安全时，采购组织机构可中止电子交易活动：</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 xml:space="preserve">（1）电子交易平台发生故障而无法登录访问的； </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（2）电子交易平台应用或数据库出现错误，不能进行正常操作的；</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（3）电子交易平台发现严重安全漏洞，有潜在泄密危险的；</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 xml:space="preserve">（4）病毒发作导致不能进行正常操作的； </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（5）其他无法保证电子交易的公平、公正和安全的情况。</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出现前款规定情形，不影响采购公平、公正性的，采购组织机构可以待上述情形消除后继续组织电子交易活动，也可以决定某些环节以纸质形式进行；影响或可能影响采购公平、公正性的，应当重新采购。</w:t>
      </w:r>
    </w:p>
    <w:p>
      <w:pPr>
        <w:pStyle w:val="3"/>
        <w:snapToGrid w:val="0"/>
        <w:spacing w:before="120" w:beforeLines="50" w:after="120" w:afterLines="50" w:line="360" w:lineRule="auto"/>
        <w:rPr>
          <w:rFonts w:hint="eastAsia" w:asciiTheme="minorEastAsia" w:hAnsiTheme="minorEastAsia" w:eastAsiaTheme="minorEastAsia" w:cstheme="minorEastAsia"/>
          <w:color w:val="auto"/>
          <w:sz w:val="21"/>
          <w:szCs w:val="21"/>
        </w:rPr>
      </w:pPr>
      <w:bookmarkStart w:id="32" w:name="_Toc19848"/>
      <w:bookmarkStart w:id="33" w:name="_Toc32319"/>
      <w:bookmarkStart w:id="34" w:name="_Toc367274982"/>
      <w:bookmarkStart w:id="35" w:name="_Toc13467"/>
      <w:bookmarkStart w:id="36" w:name="_Toc415814130"/>
      <w:bookmarkStart w:id="37" w:name="_Toc294777236"/>
      <w:bookmarkStart w:id="38" w:name="_Toc4803"/>
      <w:r>
        <w:rPr>
          <w:rFonts w:hint="eastAsia" w:asciiTheme="minorEastAsia" w:hAnsiTheme="minorEastAsia" w:eastAsiaTheme="minorEastAsia" w:cstheme="minorEastAsia"/>
          <w:color w:val="auto"/>
          <w:sz w:val="21"/>
          <w:szCs w:val="21"/>
        </w:rPr>
        <w:t>六、确定中标人及授予合同</w:t>
      </w:r>
      <w:bookmarkEnd w:id="32"/>
      <w:bookmarkEnd w:id="33"/>
      <w:bookmarkEnd w:id="34"/>
      <w:bookmarkEnd w:id="35"/>
      <w:bookmarkEnd w:id="36"/>
      <w:bookmarkEnd w:id="37"/>
      <w:bookmarkEnd w:id="38"/>
    </w:p>
    <w:p>
      <w:pPr>
        <w:adjustRightInd w:val="0"/>
        <w:snapToGrid w:val="0"/>
        <w:spacing w:line="360" w:lineRule="auto"/>
        <w:ind w:firstLine="422" w:firstLineChars="200"/>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snapToGrid w:val="0"/>
          <w:color w:val="auto"/>
          <w:kern w:val="0"/>
          <w:szCs w:val="21"/>
        </w:rPr>
        <w:t>23．中标人的确定</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23.1采购代理机构自评审结束之日起2个工作日内将评审报告送交采购人。采购人自收到评审报告之日起5个工作日内在评审报告推荐的中标候选人中按顺序确定中标人。</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23.2采购代理机构自中标人确定之日起2个工作日内，发出中标通知书，并将在发布招标公告的同一网站公告中标结果。公告期限为1个工作日。</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23.3在采购机构发出中标通知书前，预中标人有违反有关法律法规和本用户需求行为的，则取消其预中标资格。</w:t>
      </w:r>
      <w:r>
        <w:rPr>
          <w:rFonts w:hint="eastAsia" w:asciiTheme="minorEastAsia" w:hAnsiTheme="minorEastAsia" w:eastAsiaTheme="minorEastAsia" w:cstheme="minorEastAsia"/>
          <w:color w:val="auto"/>
          <w:szCs w:val="21"/>
        </w:rPr>
        <w:t>如果中标候选人放弃中标资格的，则招标人重新组织采购</w:t>
      </w:r>
      <w:r>
        <w:rPr>
          <w:rFonts w:hint="eastAsia" w:asciiTheme="minorEastAsia" w:hAnsiTheme="minorEastAsia" w:eastAsiaTheme="minorEastAsia" w:cstheme="minorEastAsia"/>
          <w:snapToGrid w:val="0"/>
          <w:color w:val="auto"/>
          <w:kern w:val="0"/>
          <w:szCs w:val="21"/>
        </w:rPr>
        <w:t>。</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color w:val="auto"/>
          <w:szCs w:val="21"/>
        </w:rPr>
        <w:t>投标人有违反政府采购相关规定，给采购组织机构造成损失的，应当承担赔偿责任。赔偿金额为项目预算金额的2%。</w:t>
      </w:r>
    </w:p>
    <w:p>
      <w:pPr>
        <w:adjustRightInd w:val="0"/>
        <w:snapToGrid w:val="0"/>
        <w:spacing w:line="360" w:lineRule="auto"/>
        <w:ind w:firstLine="422" w:firstLineChars="200"/>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snapToGrid w:val="0"/>
          <w:color w:val="auto"/>
          <w:kern w:val="0"/>
          <w:szCs w:val="21"/>
        </w:rPr>
        <w:t>24．合同授予</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24.1 本项目的合同将授予按本须知第23.1款所确定的中标人。</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24.2 中标人因不可抗力或者自身原因不能履行合同的，</w:t>
      </w:r>
      <w:r>
        <w:rPr>
          <w:rFonts w:hint="eastAsia" w:asciiTheme="minorEastAsia" w:hAnsiTheme="minorEastAsia" w:eastAsiaTheme="minorEastAsia" w:cstheme="minorEastAsia"/>
          <w:color w:val="auto"/>
          <w:szCs w:val="21"/>
        </w:rPr>
        <w:t>则招标人重新组织采购。</w:t>
      </w:r>
    </w:p>
    <w:p>
      <w:pPr>
        <w:adjustRightInd w:val="0"/>
        <w:snapToGrid w:val="0"/>
        <w:spacing w:line="360" w:lineRule="auto"/>
        <w:ind w:firstLine="422" w:firstLineChars="200"/>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snapToGrid w:val="0"/>
          <w:color w:val="auto"/>
          <w:kern w:val="0"/>
          <w:szCs w:val="21"/>
        </w:rPr>
        <w:t>25．签订合同</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25.1 中标人应按中标通知书规定的时间与招标人签订合同。中标人在领取中标通知书时须向招标人提供一份关于本项目在实施过程中的相关人员的通讯录作为合同附件。</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25.2</w:t>
      </w:r>
      <w:r>
        <w:rPr>
          <w:rFonts w:hint="eastAsia" w:asciiTheme="minorEastAsia" w:hAnsiTheme="minorEastAsia" w:eastAsiaTheme="minorEastAsia" w:cstheme="minorEastAsia"/>
          <w:color w:val="auto"/>
          <w:szCs w:val="21"/>
        </w:rPr>
        <w:t>参与浙江省政府采购活动的供应商，必须注册并登记加入政府采购供应商库，接受采购代理机构（集中采购机构和社会中介采购代理机构，下同）、采购单位的诚信管理和评价，并接受财政部门的监督管理。供应商可通过浙江政府采购网（www.zjzfcg.gov.cn/）进行注册申请，按规定审核后，登记加入“浙江省政府采购供应商库”。具体规定详见《浙江省政府采购供应商注册及诚信管理实施办法》。</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25.3 中标人如不遵守招标文件或投标文件各项条款的邀约与要约，或在接到中标通知书后借故拖延，或提出采购机构不能接受的条件，致使合同无法签订，采购机构将取消其中标资格。</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发出中标通知书后，如招标人违约拒签合同的，应支付给中标人投标费用相当的招标违约金。</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执行国家政策或不可抗力原因不导致的上述情形不在此列。</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25.4 招标文件、中标人的投标文件及投标修改文件、评标过程中有关澄清文件及经投标人法定代表人或授权代表签字确认的询标回复和承诺及中标通知书均作为合同组成部分。</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25.5在中标人签订合同并生效后，采购机构及时将未中标的结果通知其他投标人</w:t>
      </w:r>
      <w:r>
        <w:rPr>
          <w:rFonts w:hint="eastAsia" w:asciiTheme="minorEastAsia" w:hAnsiTheme="minorEastAsia" w:eastAsiaTheme="minorEastAsia" w:cstheme="minorEastAsia"/>
          <w:color w:val="auto"/>
          <w:szCs w:val="21"/>
        </w:rPr>
        <w:t>。</w:t>
      </w:r>
    </w:p>
    <w:p>
      <w:pPr>
        <w:adjustRightInd w:val="0"/>
        <w:snapToGrid w:val="0"/>
        <w:spacing w:line="360" w:lineRule="auto"/>
        <w:ind w:firstLine="422" w:firstLineChars="200"/>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snapToGrid w:val="0"/>
          <w:color w:val="auto"/>
          <w:kern w:val="0"/>
          <w:szCs w:val="21"/>
        </w:rPr>
        <w:t>26．履约保证</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26.1 履约保证金支付金额及标准见投标须知前附表。</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26.2 如果中标人没有按照上述第25或26.1条相关规定执行，招标人将有充分理由取消该中标决定。</w:t>
      </w:r>
      <w:r>
        <w:rPr>
          <w:rFonts w:hint="eastAsia" w:asciiTheme="minorEastAsia" w:hAnsiTheme="minorEastAsia" w:eastAsiaTheme="minorEastAsia" w:cstheme="minorEastAsia"/>
          <w:color w:val="auto"/>
          <w:szCs w:val="21"/>
        </w:rPr>
        <w:t>投标人有违反政府采购相关规定，给采购组织机构造成损失的，应当承担赔偿责任。赔偿金额为项目预算金额的2%。</w:t>
      </w:r>
    </w:p>
    <w:p>
      <w:pPr>
        <w:adjustRightInd w:val="0"/>
        <w:snapToGrid w:val="0"/>
        <w:spacing w:line="360" w:lineRule="auto"/>
        <w:ind w:firstLine="422" w:firstLineChars="200"/>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snapToGrid w:val="0"/>
          <w:color w:val="auto"/>
          <w:kern w:val="0"/>
          <w:szCs w:val="21"/>
        </w:rPr>
        <w:t>27.采购代理服务费</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27.1本项目的采购代理费支付标准及金额见投标须知前附表。</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27.2 招标文件为要约邀请，参与投标、按规定递交投标文件即视为发出要约。如中标，中标人不按规定缴纳代理服务费的，将承担相关法律责任。</w:t>
      </w:r>
    </w:p>
    <w:p>
      <w:pPr>
        <w:adjustRightInd w:val="0"/>
        <w:snapToGrid w:val="0"/>
        <w:spacing w:line="360" w:lineRule="auto"/>
        <w:ind w:firstLine="422" w:firstLineChars="200"/>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snapToGrid w:val="0"/>
          <w:color w:val="auto"/>
          <w:kern w:val="0"/>
          <w:szCs w:val="21"/>
        </w:rPr>
        <w:t>28．采购结束</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28.1 中标人与采购人签订合同生效后即为采购结束。</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28.2 本项目的投标文件不予退回。</w:t>
      </w:r>
    </w:p>
    <w:p>
      <w:pPr>
        <w:pStyle w:val="16"/>
        <w:rPr>
          <w:rFonts w:hint="eastAsia" w:asciiTheme="minorEastAsia" w:hAnsiTheme="minorEastAsia" w:eastAsiaTheme="minorEastAsia" w:cstheme="minorEastAsia"/>
          <w:color w:val="auto"/>
        </w:rPr>
      </w:pPr>
    </w:p>
    <w:p>
      <w:pPr>
        <w:pStyle w:val="3"/>
        <w:snapToGrid w:val="0"/>
        <w:spacing w:before="120" w:beforeLines="50" w:after="120" w:afterLines="50" w:line="360" w:lineRule="auto"/>
        <w:rPr>
          <w:rFonts w:hint="eastAsia" w:asciiTheme="minorEastAsia" w:hAnsiTheme="minorEastAsia" w:eastAsiaTheme="minorEastAsia" w:cstheme="minorEastAsia"/>
          <w:color w:val="auto"/>
          <w:sz w:val="21"/>
          <w:szCs w:val="21"/>
        </w:rPr>
      </w:pPr>
      <w:bookmarkStart w:id="39" w:name="_Toc7233"/>
      <w:bookmarkStart w:id="40" w:name="_Toc24055"/>
      <w:bookmarkStart w:id="41" w:name="_Toc415578066"/>
      <w:bookmarkStart w:id="42" w:name="_Toc8541"/>
      <w:bookmarkStart w:id="43" w:name="_Toc32038"/>
      <w:bookmarkStart w:id="44" w:name="_Toc415814131"/>
      <w:r>
        <w:rPr>
          <w:rFonts w:hint="eastAsia" w:asciiTheme="minorEastAsia" w:hAnsiTheme="minorEastAsia" w:eastAsiaTheme="minorEastAsia" w:cstheme="minorEastAsia"/>
          <w:color w:val="auto"/>
          <w:sz w:val="21"/>
          <w:szCs w:val="21"/>
        </w:rPr>
        <w:t>七、质疑与投诉</w:t>
      </w:r>
      <w:bookmarkEnd w:id="39"/>
      <w:bookmarkEnd w:id="40"/>
      <w:bookmarkEnd w:id="41"/>
      <w:bookmarkEnd w:id="42"/>
      <w:bookmarkEnd w:id="43"/>
      <w:bookmarkEnd w:id="44"/>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根据《中华人民共和国政府采购法》、《财政部关于加强政府采购供应商投诉受理审查工作的通知》(财库〔2007〕1号)和《政府采购质疑和投诉办法》（财政部令第94号）的规定，政府采购供应商（投标人，下同）可以依法提起质疑和投诉。</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质疑函范本、投诉书范本请到浙江政府采购网下载专区下载。</w:t>
      </w:r>
    </w:p>
    <w:p>
      <w:pPr>
        <w:adjustRightInd w:val="0"/>
        <w:snapToGrid w:val="0"/>
        <w:spacing w:line="360" w:lineRule="auto"/>
        <w:ind w:firstLine="422" w:firstLineChars="200"/>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snapToGrid w:val="0"/>
          <w:color w:val="auto"/>
          <w:kern w:val="0"/>
          <w:szCs w:val="21"/>
        </w:rPr>
        <w:t>29.投标人询问</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供应商对政府采购活动事项有疑问的，可以向采购机构提出询问，采购人或者采购代理机构应当在3个工作日内对供应商依法提出的询问作出答复，但答复的内容不得涉及商业秘密。</w:t>
      </w:r>
    </w:p>
    <w:p>
      <w:pPr>
        <w:adjustRightInd w:val="0"/>
        <w:snapToGrid w:val="0"/>
        <w:spacing w:line="360" w:lineRule="auto"/>
        <w:ind w:firstLine="422" w:firstLineChars="200"/>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snapToGrid w:val="0"/>
          <w:color w:val="auto"/>
          <w:kern w:val="0"/>
          <w:szCs w:val="21"/>
        </w:rPr>
        <w:t>30.投标人质疑</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30.1供应商认为采购文件、采购过程、中标或者成交结果使自己的权益受到损害的，可以在知道或者应知其权益受到损害之日起7个工作日内，以书面形式向采购人、采购代理机构提出质疑。</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本项目要求供应商在法定质疑期内一次性提出针对同一采购程序环节的质疑。</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30.2提出质疑的供应商（以下简称质疑供应商）应当是参与所质疑项目采购活动的供应商。</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潜在供应商已依法获取其可质疑的采购文件的，可以对该文件提出质疑。对采购文件提出质疑的，应当在获取采购文件或者采购文件公告期限届满之日起7个工作日内提出。</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30.3供应商提出质疑应当提交质疑函和必要的证明材料。质疑函应当包括下列内容：</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（一）供应商的姓名或者名称、地址、邮编、联系人及联系电话；</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（二）质疑项目的名称、编号；</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（三）具体、明确的质疑事项和与质疑事项相关的请求；</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（四）事实依据；</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（五）必要的法律依据；</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（六）提出质疑的日期。</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供应商为自然人的，应当由本人签字；供应商为法人或者其他组织的，应当由法定代表人、主要负责人，或者其授权代表签字或者盖章，并加盖公章。</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30.4采购人、采购代理机构在收到法定质疑期内发出的质疑函后7个工作日内作出答复，并以书面形式通知质疑供应商和其他有关供应商。质疑答复的内容不得涉及商业秘密。</w:t>
      </w:r>
    </w:p>
    <w:p>
      <w:pPr>
        <w:adjustRightInd w:val="0"/>
        <w:snapToGrid w:val="0"/>
        <w:spacing w:line="360" w:lineRule="auto"/>
        <w:ind w:firstLine="422" w:firstLineChars="200"/>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snapToGrid w:val="0"/>
          <w:color w:val="auto"/>
          <w:kern w:val="0"/>
          <w:szCs w:val="21"/>
        </w:rPr>
        <w:t>31.投标人投诉</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质疑投标人对采购机构的答复不满意或者采购机构未在规定的时间内作出答复的，可以在答复期满后十五个工作日内向同级政府采购监督管理部门提出投诉。</w:t>
      </w:r>
    </w:p>
    <w:p>
      <w:pPr>
        <w:pStyle w:val="16"/>
        <w:rPr>
          <w:rFonts w:hint="eastAsia" w:asciiTheme="minorEastAsia" w:hAnsiTheme="minorEastAsia" w:eastAsiaTheme="minorEastAsia" w:cstheme="minorEastAsia"/>
          <w:color w:val="auto"/>
        </w:rPr>
      </w:pPr>
    </w:p>
    <w:p>
      <w:pPr>
        <w:pStyle w:val="3"/>
        <w:snapToGrid w:val="0"/>
        <w:spacing w:before="120" w:beforeLines="50" w:after="120" w:afterLines="50" w:line="360" w:lineRule="auto"/>
        <w:rPr>
          <w:rFonts w:hint="eastAsia" w:asciiTheme="minorEastAsia" w:hAnsiTheme="minorEastAsia" w:eastAsiaTheme="minorEastAsia" w:cstheme="minorEastAsia"/>
          <w:color w:val="auto"/>
          <w:sz w:val="21"/>
          <w:szCs w:val="21"/>
        </w:rPr>
      </w:pPr>
      <w:bookmarkStart w:id="45" w:name="_Toc415578067"/>
      <w:bookmarkStart w:id="46" w:name="_Toc415814132"/>
      <w:bookmarkStart w:id="47" w:name="_Toc27563"/>
      <w:bookmarkStart w:id="48" w:name="_Toc23946"/>
      <w:bookmarkStart w:id="49" w:name="_Toc9200"/>
      <w:bookmarkStart w:id="50" w:name="_Toc7133"/>
      <w:r>
        <w:rPr>
          <w:rFonts w:hint="eastAsia" w:asciiTheme="minorEastAsia" w:hAnsiTheme="minorEastAsia" w:eastAsiaTheme="minorEastAsia" w:cstheme="minorEastAsia"/>
          <w:color w:val="auto"/>
          <w:sz w:val="21"/>
          <w:szCs w:val="21"/>
        </w:rPr>
        <w:t>八、</w:t>
      </w:r>
      <w:bookmarkEnd w:id="45"/>
      <w:bookmarkEnd w:id="46"/>
      <w:r>
        <w:rPr>
          <w:rFonts w:hint="eastAsia" w:asciiTheme="minorEastAsia" w:hAnsiTheme="minorEastAsia" w:eastAsiaTheme="minorEastAsia" w:cstheme="minorEastAsia"/>
          <w:color w:val="auto"/>
          <w:sz w:val="21"/>
          <w:szCs w:val="21"/>
        </w:rPr>
        <w:t>其他</w:t>
      </w:r>
      <w:bookmarkEnd w:id="47"/>
      <w:bookmarkEnd w:id="48"/>
      <w:bookmarkEnd w:id="49"/>
      <w:bookmarkEnd w:id="50"/>
    </w:p>
    <w:p>
      <w:pPr>
        <w:adjustRightInd w:val="0"/>
        <w:snapToGrid w:val="0"/>
        <w:spacing w:line="360" w:lineRule="auto"/>
        <w:ind w:firstLine="422" w:firstLineChars="200"/>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snapToGrid w:val="0"/>
          <w:color w:val="auto"/>
          <w:kern w:val="0"/>
          <w:szCs w:val="21"/>
        </w:rPr>
        <w:t>32.解释权</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在法律许可的前提下，凡涉及本次招标文件的解释权均属于浙江国际招（投）标公司。</w:t>
      </w:r>
    </w:p>
    <w:p>
      <w:pPr>
        <w:adjustRightInd w:val="0"/>
        <w:snapToGrid w:val="0"/>
        <w:spacing w:line="360" w:lineRule="auto"/>
        <w:ind w:firstLine="422" w:firstLineChars="200"/>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snapToGrid w:val="0"/>
          <w:color w:val="auto"/>
          <w:kern w:val="0"/>
          <w:szCs w:val="21"/>
        </w:rPr>
        <w:t>33. 售后服务考核</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采购人将不定期对合同的履约情况进行检查。发现弄虚作假，偷工减料，以次充好，达不到国家、行业有关标准和技术文件规定的，一经查实，采购人将视情况提请罚没履约保证金，终止合同，并给予网上通报，禁止其在一至三年内参与同级政府采购活动。给采购人造成损失的，供应商须承担赔偿责任。</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p>
    <w:p>
      <w:pPr>
        <w:adjustRightInd w:val="0"/>
        <w:snapToGrid w:val="0"/>
        <w:spacing w:before="120" w:beforeLines="50" w:after="120" w:afterLines="50" w:line="360" w:lineRule="auto"/>
        <w:jc w:val="center"/>
        <w:outlineLvl w:val="0"/>
        <w:rPr>
          <w:rFonts w:hint="eastAsia" w:asciiTheme="minorEastAsia" w:hAnsiTheme="minorEastAsia" w:eastAsiaTheme="minorEastAsia" w:cstheme="minorEastAsia"/>
          <w:color w:val="auto"/>
          <w:sz w:val="36"/>
        </w:rPr>
      </w:pPr>
      <w:r>
        <w:rPr>
          <w:rFonts w:hint="eastAsia" w:asciiTheme="minorEastAsia" w:hAnsiTheme="minorEastAsia" w:eastAsiaTheme="minorEastAsia" w:cstheme="minorEastAsia"/>
          <w:b/>
          <w:bCs/>
          <w:color w:val="auto"/>
          <w:sz w:val="28"/>
          <w:szCs w:val="21"/>
        </w:rPr>
        <w:br w:type="page"/>
      </w:r>
      <w:bookmarkStart w:id="51" w:name="_Toc83616202"/>
      <w:bookmarkStart w:id="52" w:name="_Toc31190"/>
      <w:bookmarkStart w:id="53" w:name="_Toc242012796"/>
      <w:bookmarkStart w:id="54" w:name="_Toc20718"/>
      <w:r>
        <w:rPr>
          <w:rFonts w:hint="eastAsia" w:asciiTheme="minorEastAsia" w:hAnsiTheme="minorEastAsia" w:eastAsiaTheme="minorEastAsia" w:cstheme="minorEastAsia"/>
          <w:b/>
          <w:color w:val="auto"/>
          <w:sz w:val="30"/>
          <w:szCs w:val="30"/>
        </w:rPr>
        <w:t>第三部分</w:t>
      </w:r>
      <w:bookmarkEnd w:id="51"/>
      <w:r>
        <w:rPr>
          <w:rFonts w:hint="eastAsia" w:asciiTheme="minorEastAsia" w:hAnsiTheme="minorEastAsia" w:eastAsiaTheme="minorEastAsia" w:cstheme="minorEastAsia"/>
          <w:b/>
          <w:color w:val="auto"/>
          <w:sz w:val="30"/>
          <w:szCs w:val="30"/>
        </w:rPr>
        <w:t xml:space="preserve">  用户需求书</w:t>
      </w:r>
      <w:bookmarkEnd w:id="52"/>
      <w:bookmarkEnd w:id="53"/>
      <w:bookmarkEnd w:id="54"/>
    </w:p>
    <w:p>
      <w:pPr>
        <w:pStyle w:val="3"/>
        <w:snapToGrid w:val="0"/>
        <w:spacing w:before="120" w:beforeLines="50" w:after="120" w:afterLines="50" w:line="360" w:lineRule="auto"/>
        <w:rPr>
          <w:rFonts w:hint="eastAsia" w:asciiTheme="minorEastAsia" w:hAnsiTheme="minorEastAsia" w:eastAsiaTheme="minorEastAsia" w:cstheme="minorEastAsia"/>
          <w:color w:val="auto"/>
          <w:sz w:val="21"/>
          <w:szCs w:val="21"/>
        </w:rPr>
      </w:pPr>
      <w:bookmarkStart w:id="55" w:name="_Toc30070"/>
      <w:bookmarkStart w:id="56" w:name="_Toc342633574"/>
      <w:r>
        <w:rPr>
          <w:rFonts w:hint="eastAsia" w:asciiTheme="minorEastAsia" w:hAnsiTheme="minorEastAsia" w:eastAsiaTheme="minorEastAsia" w:cstheme="minorEastAsia"/>
          <w:color w:val="auto"/>
          <w:sz w:val="21"/>
          <w:szCs w:val="21"/>
        </w:rPr>
        <w:t>一、采购背景</w:t>
      </w:r>
      <w:bookmarkEnd w:id="55"/>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根据《碳排放权交易管理暂行办法》（国家发改委第17号令）、《国家发展改革委关于组织开展重点企（事）业单位温室气体排放报告工作的通知》（发改气候〔2014〕63号）、《国家发改委办公厅印发关于切实做好全国碳排放权交易市场启动重点工作的通知》（发改办气候〔2016〕57号）、《关于做好2019年度碳排放报告与核查及发电行业重点排放单位名单报送相关工作的通知》（环办气候函〔2019〕943号）等文件要求，结合全国碳交易市场建设的工作部署，我省积极稳妥推进2020年碳交易纳入企业温室气体排放报告工作。</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2020年碳交易纳入企业329家（宁波除外），核查率100%，复查率60%。核查复查内容为：碳交易纳入企业2019年度碳排放报告和2020年度排放监测计划。目前，碳交易纳入企业碳报告和排放监测计划正在组织报送，下一步将组织碳交易纳入企业碳报告和排放监测计划第三方核查复查工作，全面系统准确核实碳交易纳入企业碳报告和排放监测计划信息，为顺利推进碳排放权交易提供数据支撑。</w:t>
      </w:r>
    </w:p>
    <w:p>
      <w:pPr>
        <w:pStyle w:val="3"/>
        <w:snapToGrid w:val="0"/>
        <w:spacing w:before="120" w:beforeLines="50" w:after="120" w:afterLines="50" w:line="360" w:lineRule="auto"/>
        <w:rPr>
          <w:rFonts w:hint="eastAsia" w:asciiTheme="minorEastAsia" w:hAnsiTheme="minorEastAsia" w:eastAsiaTheme="minorEastAsia" w:cstheme="minorEastAsia"/>
          <w:color w:val="auto"/>
          <w:sz w:val="21"/>
          <w:szCs w:val="21"/>
        </w:rPr>
      </w:pPr>
      <w:bookmarkStart w:id="57" w:name="_Toc24176"/>
      <w:r>
        <w:rPr>
          <w:rFonts w:hint="eastAsia" w:asciiTheme="minorEastAsia" w:hAnsiTheme="minorEastAsia" w:eastAsiaTheme="minorEastAsia" w:cstheme="minorEastAsia"/>
          <w:color w:val="auto"/>
          <w:sz w:val="21"/>
          <w:szCs w:val="21"/>
        </w:rPr>
        <w:t>二、采购内容</w:t>
      </w:r>
      <w:bookmarkEnd w:id="57"/>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1、根据国家和浙江省的有关规定和要求，通过公开招投标确定承担2020年浙江省碳交易纳入企业碳排放报告与排放监测计划核查复查任务的服务机构。通过文本核查复查、数据核查复查和实地核查复查，依据规范性技术文件要求，对碳交易纳入企业2019年度碳排放报告和2020年度排放监测计划进行核查和复查，提交核查和复查报告。共12个标项，其中核查9个标项、复查3个标项，每个标项确定一家服务机构。</w:t>
      </w:r>
    </w:p>
    <w:tbl>
      <w:tblPr>
        <w:tblStyle w:val="48"/>
        <w:tblW w:w="8915" w:type="dxa"/>
        <w:tblInd w:w="0" w:type="dxa"/>
        <w:tblLayout w:type="fixed"/>
        <w:tblCellMar>
          <w:top w:w="0" w:type="dxa"/>
          <w:left w:w="108" w:type="dxa"/>
          <w:bottom w:w="0" w:type="dxa"/>
          <w:right w:w="108" w:type="dxa"/>
        </w:tblCellMar>
      </w:tblPr>
      <w:tblGrid>
        <w:gridCol w:w="1138"/>
        <w:gridCol w:w="1545"/>
        <w:gridCol w:w="3110"/>
        <w:gridCol w:w="1561"/>
        <w:gridCol w:w="1561"/>
      </w:tblGrid>
      <w:tr>
        <w:tblPrEx>
          <w:tblLayout w:type="fixed"/>
          <w:tblCellMar>
            <w:top w:w="0" w:type="dxa"/>
            <w:left w:w="108" w:type="dxa"/>
            <w:bottom w:w="0" w:type="dxa"/>
            <w:right w:w="108" w:type="dxa"/>
          </w:tblCellMar>
        </w:tblPrEx>
        <w:trPr>
          <w:trHeight w:val="392" w:hRule="atLeast"/>
        </w:trPr>
        <w:tc>
          <w:tcPr>
            <w:tcW w:w="11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bookmarkStart w:id="58" w:name="_Hlk39650223"/>
            <w:r>
              <w:rPr>
                <w:rFonts w:hint="eastAsia" w:asciiTheme="minorEastAsia" w:hAnsiTheme="minorEastAsia" w:eastAsiaTheme="minorEastAsia" w:cstheme="minorEastAsia"/>
                <w:snapToGrid w:val="0"/>
                <w:color w:val="auto"/>
                <w:kern w:val="0"/>
                <w:szCs w:val="21"/>
              </w:rPr>
              <w:t>标项</w:t>
            </w:r>
          </w:p>
        </w:tc>
        <w:tc>
          <w:tcPr>
            <w:tcW w:w="1545"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企业数量（家）</w:t>
            </w:r>
          </w:p>
        </w:tc>
        <w:tc>
          <w:tcPr>
            <w:tcW w:w="3110"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企业分布</w:t>
            </w:r>
          </w:p>
        </w:tc>
        <w:tc>
          <w:tcPr>
            <w:tcW w:w="1561"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lang w:val="en-US" w:eastAsia="zh-CN"/>
              </w:rPr>
              <w:t>预算</w:t>
            </w:r>
            <w:r>
              <w:rPr>
                <w:rFonts w:hint="eastAsia" w:asciiTheme="minorEastAsia" w:hAnsiTheme="minorEastAsia" w:eastAsiaTheme="minorEastAsia" w:cstheme="minorEastAsia"/>
                <w:snapToGrid w:val="0"/>
                <w:color w:val="auto"/>
                <w:kern w:val="0"/>
                <w:szCs w:val="21"/>
              </w:rPr>
              <w:t>费用</w:t>
            </w:r>
          </w:p>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（万元）</w:t>
            </w:r>
          </w:p>
        </w:tc>
        <w:tc>
          <w:tcPr>
            <w:tcW w:w="1561"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备注</w:t>
            </w:r>
          </w:p>
        </w:tc>
      </w:tr>
      <w:tr>
        <w:tblPrEx>
          <w:tblLayout w:type="fixed"/>
          <w:tblCellMar>
            <w:top w:w="0" w:type="dxa"/>
            <w:left w:w="108" w:type="dxa"/>
            <w:bottom w:w="0" w:type="dxa"/>
            <w:right w:w="108" w:type="dxa"/>
          </w:tblCellMar>
        </w:tblPrEx>
        <w:trPr>
          <w:trHeight w:val="300" w:hRule="atLeast"/>
        </w:trPr>
        <w:tc>
          <w:tcPr>
            <w:tcW w:w="11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1</w:t>
            </w:r>
          </w:p>
        </w:tc>
        <w:tc>
          <w:tcPr>
            <w:tcW w:w="1545"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74</w:t>
            </w:r>
          </w:p>
        </w:tc>
        <w:tc>
          <w:tcPr>
            <w:tcW w:w="3110" w:type="dxa"/>
            <w:tcBorders>
              <w:top w:val="single" w:color="000000" w:sz="4" w:space="0"/>
              <w:left w:val="nil"/>
              <w:bottom w:val="single" w:color="000000" w:sz="4" w:space="0"/>
              <w:right w:val="single" w:color="000000" w:sz="4" w:space="0"/>
            </w:tcBorders>
            <w:noWrap w:val="0"/>
            <w:vAlign w:val="center"/>
          </w:tcPr>
          <w:p>
            <w:pPr>
              <w:widowControl/>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碳交易（74家）：10个地市</w:t>
            </w:r>
          </w:p>
        </w:tc>
        <w:tc>
          <w:tcPr>
            <w:tcW w:w="1561"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74</w:t>
            </w:r>
          </w:p>
        </w:tc>
        <w:tc>
          <w:tcPr>
            <w:tcW w:w="1561" w:type="dxa"/>
            <w:vMerge w:val="restart"/>
            <w:tcBorders>
              <w:top w:val="single" w:color="000000" w:sz="4" w:space="0"/>
              <w:left w:val="nil"/>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复查</w:t>
            </w:r>
          </w:p>
        </w:tc>
      </w:tr>
      <w:tr>
        <w:tblPrEx>
          <w:tblLayout w:type="fixed"/>
          <w:tblCellMar>
            <w:top w:w="0" w:type="dxa"/>
            <w:left w:w="108" w:type="dxa"/>
            <w:bottom w:w="0" w:type="dxa"/>
            <w:right w:w="108" w:type="dxa"/>
          </w:tblCellMar>
        </w:tblPrEx>
        <w:trPr>
          <w:trHeight w:val="300" w:hRule="atLeast"/>
        </w:trPr>
        <w:tc>
          <w:tcPr>
            <w:tcW w:w="11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2</w:t>
            </w:r>
          </w:p>
        </w:tc>
        <w:tc>
          <w:tcPr>
            <w:tcW w:w="1545"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73</w:t>
            </w:r>
          </w:p>
        </w:tc>
        <w:tc>
          <w:tcPr>
            <w:tcW w:w="3110" w:type="dxa"/>
            <w:tcBorders>
              <w:top w:val="single" w:color="000000" w:sz="4" w:space="0"/>
              <w:left w:val="nil"/>
              <w:bottom w:val="single" w:color="000000" w:sz="4" w:space="0"/>
              <w:right w:val="single" w:color="000000" w:sz="4" w:space="0"/>
            </w:tcBorders>
            <w:noWrap w:val="0"/>
            <w:vAlign w:val="center"/>
          </w:tcPr>
          <w:p>
            <w:pPr>
              <w:widowControl/>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碳交易（73家）：10个地市</w:t>
            </w:r>
          </w:p>
        </w:tc>
        <w:tc>
          <w:tcPr>
            <w:tcW w:w="1561"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73</w:t>
            </w:r>
          </w:p>
        </w:tc>
        <w:tc>
          <w:tcPr>
            <w:tcW w:w="1561" w:type="dxa"/>
            <w:vMerge w:val="continue"/>
            <w:tcBorders>
              <w:left w:val="nil"/>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p>
        </w:tc>
      </w:tr>
      <w:tr>
        <w:tblPrEx>
          <w:tblLayout w:type="fixed"/>
          <w:tblCellMar>
            <w:top w:w="0" w:type="dxa"/>
            <w:left w:w="108" w:type="dxa"/>
            <w:bottom w:w="0" w:type="dxa"/>
            <w:right w:w="108" w:type="dxa"/>
          </w:tblCellMar>
        </w:tblPrEx>
        <w:trPr>
          <w:trHeight w:val="300" w:hRule="atLeast"/>
        </w:trPr>
        <w:tc>
          <w:tcPr>
            <w:tcW w:w="11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w:t>
            </w:r>
          </w:p>
        </w:tc>
        <w:tc>
          <w:tcPr>
            <w:tcW w:w="1545"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53</w:t>
            </w:r>
          </w:p>
        </w:tc>
        <w:tc>
          <w:tcPr>
            <w:tcW w:w="3110" w:type="dxa"/>
            <w:tcBorders>
              <w:top w:val="single" w:color="000000" w:sz="4" w:space="0"/>
              <w:left w:val="nil"/>
              <w:bottom w:val="single" w:color="000000" w:sz="4" w:space="0"/>
              <w:right w:val="single" w:color="000000" w:sz="4" w:space="0"/>
            </w:tcBorders>
            <w:noWrap w:val="0"/>
            <w:vAlign w:val="center"/>
          </w:tcPr>
          <w:p>
            <w:pPr>
              <w:widowControl/>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碳交易（53家）：10个地市</w:t>
            </w:r>
          </w:p>
        </w:tc>
        <w:tc>
          <w:tcPr>
            <w:tcW w:w="1561"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53</w:t>
            </w:r>
          </w:p>
        </w:tc>
        <w:tc>
          <w:tcPr>
            <w:tcW w:w="1561" w:type="dxa"/>
            <w:vMerge w:val="continue"/>
            <w:tcBorders>
              <w:left w:val="nil"/>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p>
        </w:tc>
      </w:tr>
      <w:tr>
        <w:tblPrEx>
          <w:tblLayout w:type="fixed"/>
          <w:tblCellMar>
            <w:top w:w="0" w:type="dxa"/>
            <w:left w:w="108" w:type="dxa"/>
            <w:bottom w:w="0" w:type="dxa"/>
            <w:right w:w="108" w:type="dxa"/>
          </w:tblCellMar>
        </w:tblPrEx>
        <w:trPr>
          <w:trHeight w:val="300" w:hRule="atLeast"/>
        </w:trPr>
        <w:tc>
          <w:tcPr>
            <w:tcW w:w="11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4</w:t>
            </w:r>
          </w:p>
        </w:tc>
        <w:tc>
          <w:tcPr>
            <w:tcW w:w="1545"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41</w:t>
            </w:r>
          </w:p>
        </w:tc>
        <w:tc>
          <w:tcPr>
            <w:tcW w:w="3110" w:type="dxa"/>
            <w:tcBorders>
              <w:top w:val="single" w:color="000000" w:sz="4" w:space="0"/>
              <w:left w:val="nil"/>
              <w:bottom w:val="single" w:color="000000" w:sz="4" w:space="0"/>
              <w:right w:val="single" w:color="000000" w:sz="4" w:space="0"/>
            </w:tcBorders>
            <w:noWrap w:val="0"/>
            <w:vAlign w:val="center"/>
          </w:tcPr>
          <w:p>
            <w:pPr>
              <w:widowControl/>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碳交易（41家）：杭州+温州</w:t>
            </w:r>
          </w:p>
        </w:tc>
        <w:tc>
          <w:tcPr>
            <w:tcW w:w="1561"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82</w:t>
            </w:r>
          </w:p>
        </w:tc>
        <w:tc>
          <w:tcPr>
            <w:tcW w:w="1561" w:type="dxa"/>
            <w:vMerge w:val="restart"/>
            <w:tcBorders>
              <w:top w:val="single" w:color="000000" w:sz="4" w:space="0"/>
              <w:left w:val="nil"/>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核查</w:t>
            </w:r>
          </w:p>
        </w:tc>
      </w:tr>
      <w:tr>
        <w:tblPrEx>
          <w:tblLayout w:type="fixed"/>
          <w:tblCellMar>
            <w:top w:w="0" w:type="dxa"/>
            <w:left w:w="108" w:type="dxa"/>
            <w:bottom w:w="0" w:type="dxa"/>
            <w:right w:w="108" w:type="dxa"/>
          </w:tblCellMar>
        </w:tblPrEx>
        <w:trPr>
          <w:trHeight w:val="300" w:hRule="atLeast"/>
        </w:trPr>
        <w:tc>
          <w:tcPr>
            <w:tcW w:w="11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5</w:t>
            </w:r>
          </w:p>
        </w:tc>
        <w:tc>
          <w:tcPr>
            <w:tcW w:w="1545"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40</w:t>
            </w:r>
          </w:p>
        </w:tc>
        <w:tc>
          <w:tcPr>
            <w:tcW w:w="3110" w:type="dxa"/>
            <w:tcBorders>
              <w:top w:val="single" w:color="000000" w:sz="4" w:space="0"/>
              <w:left w:val="nil"/>
              <w:bottom w:val="single" w:color="000000" w:sz="4" w:space="0"/>
              <w:right w:val="single" w:color="000000" w:sz="4" w:space="0"/>
            </w:tcBorders>
            <w:noWrap w:val="0"/>
            <w:vAlign w:val="center"/>
          </w:tcPr>
          <w:p>
            <w:pPr>
              <w:widowControl/>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碳交易（40家）：杭州+金华</w:t>
            </w:r>
          </w:p>
        </w:tc>
        <w:tc>
          <w:tcPr>
            <w:tcW w:w="1561"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80</w:t>
            </w:r>
          </w:p>
        </w:tc>
        <w:tc>
          <w:tcPr>
            <w:tcW w:w="1561" w:type="dxa"/>
            <w:vMerge w:val="continue"/>
            <w:tcBorders>
              <w:left w:val="nil"/>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p>
        </w:tc>
      </w:tr>
      <w:tr>
        <w:tblPrEx>
          <w:tblLayout w:type="fixed"/>
          <w:tblCellMar>
            <w:top w:w="0" w:type="dxa"/>
            <w:left w:w="108" w:type="dxa"/>
            <w:bottom w:w="0" w:type="dxa"/>
            <w:right w:w="108" w:type="dxa"/>
          </w:tblCellMar>
        </w:tblPrEx>
        <w:trPr>
          <w:trHeight w:val="300" w:hRule="atLeast"/>
        </w:trPr>
        <w:tc>
          <w:tcPr>
            <w:tcW w:w="11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6</w:t>
            </w:r>
          </w:p>
        </w:tc>
        <w:tc>
          <w:tcPr>
            <w:tcW w:w="1545"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39</w:t>
            </w:r>
          </w:p>
        </w:tc>
        <w:tc>
          <w:tcPr>
            <w:tcW w:w="3110" w:type="dxa"/>
            <w:tcBorders>
              <w:top w:val="single" w:color="000000" w:sz="4" w:space="0"/>
              <w:left w:val="nil"/>
              <w:bottom w:val="single" w:color="000000" w:sz="4" w:space="0"/>
              <w:right w:val="single" w:color="000000" w:sz="4" w:space="0"/>
            </w:tcBorders>
            <w:noWrap w:val="0"/>
            <w:vAlign w:val="center"/>
          </w:tcPr>
          <w:p>
            <w:pPr>
              <w:widowControl/>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碳交易（39家）：杭州+嘉兴</w:t>
            </w:r>
          </w:p>
        </w:tc>
        <w:tc>
          <w:tcPr>
            <w:tcW w:w="1561"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78</w:t>
            </w:r>
          </w:p>
        </w:tc>
        <w:tc>
          <w:tcPr>
            <w:tcW w:w="1561" w:type="dxa"/>
            <w:vMerge w:val="continue"/>
            <w:tcBorders>
              <w:left w:val="nil"/>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p>
        </w:tc>
      </w:tr>
      <w:tr>
        <w:tblPrEx>
          <w:tblLayout w:type="fixed"/>
          <w:tblCellMar>
            <w:top w:w="0" w:type="dxa"/>
            <w:left w:w="108" w:type="dxa"/>
            <w:bottom w:w="0" w:type="dxa"/>
            <w:right w:w="108" w:type="dxa"/>
          </w:tblCellMar>
        </w:tblPrEx>
        <w:trPr>
          <w:trHeight w:val="300" w:hRule="atLeast"/>
        </w:trPr>
        <w:tc>
          <w:tcPr>
            <w:tcW w:w="11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7</w:t>
            </w:r>
          </w:p>
        </w:tc>
        <w:tc>
          <w:tcPr>
            <w:tcW w:w="1545"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38</w:t>
            </w:r>
          </w:p>
        </w:tc>
        <w:tc>
          <w:tcPr>
            <w:tcW w:w="3110" w:type="dxa"/>
            <w:tcBorders>
              <w:top w:val="single" w:color="000000" w:sz="4" w:space="0"/>
              <w:left w:val="nil"/>
              <w:bottom w:val="single" w:color="000000" w:sz="4" w:space="0"/>
              <w:right w:val="single" w:color="000000" w:sz="4" w:space="0"/>
            </w:tcBorders>
            <w:noWrap w:val="0"/>
            <w:vAlign w:val="center"/>
          </w:tcPr>
          <w:p>
            <w:pPr>
              <w:widowControl/>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碳交易（38家）：嘉兴+舟山</w:t>
            </w:r>
          </w:p>
        </w:tc>
        <w:tc>
          <w:tcPr>
            <w:tcW w:w="1561"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76</w:t>
            </w:r>
          </w:p>
        </w:tc>
        <w:tc>
          <w:tcPr>
            <w:tcW w:w="1561" w:type="dxa"/>
            <w:vMerge w:val="continue"/>
            <w:tcBorders>
              <w:left w:val="nil"/>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p>
        </w:tc>
      </w:tr>
      <w:tr>
        <w:tblPrEx>
          <w:tblLayout w:type="fixed"/>
          <w:tblCellMar>
            <w:top w:w="0" w:type="dxa"/>
            <w:left w:w="108" w:type="dxa"/>
            <w:bottom w:w="0" w:type="dxa"/>
            <w:right w:w="108" w:type="dxa"/>
          </w:tblCellMar>
        </w:tblPrEx>
        <w:trPr>
          <w:trHeight w:val="300" w:hRule="atLeast"/>
        </w:trPr>
        <w:tc>
          <w:tcPr>
            <w:tcW w:w="11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8</w:t>
            </w:r>
          </w:p>
        </w:tc>
        <w:tc>
          <w:tcPr>
            <w:tcW w:w="1545"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36</w:t>
            </w:r>
          </w:p>
        </w:tc>
        <w:tc>
          <w:tcPr>
            <w:tcW w:w="3110" w:type="dxa"/>
            <w:tcBorders>
              <w:top w:val="single" w:color="000000" w:sz="4" w:space="0"/>
              <w:left w:val="nil"/>
              <w:bottom w:val="single" w:color="000000" w:sz="4" w:space="0"/>
              <w:right w:val="single" w:color="000000" w:sz="4" w:space="0"/>
            </w:tcBorders>
            <w:noWrap w:val="0"/>
            <w:vAlign w:val="center"/>
          </w:tcPr>
          <w:p>
            <w:pPr>
              <w:widowControl/>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碳交易（36家）：嘉兴+湖州</w:t>
            </w:r>
          </w:p>
        </w:tc>
        <w:tc>
          <w:tcPr>
            <w:tcW w:w="1561"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72</w:t>
            </w:r>
          </w:p>
        </w:tc>
        <w:tc>
          <w:tcPr>
            <w:tcW w:w="1561" w:type="dxa"/>
            <w:vMerge w:val="continue"/>
            <w:tcBorders>
              <w:left w:val="nil"/>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p>
        </w:tc>
      </w:tr>
      <w:tr>
        <w:tblPrEx>
          <w:tblLayout w:type="fixed"/>
          <w:tblCellMar>
            <w:top w:w="0" w:type="dxa"/>
            <w:left w:w="108" w:type="dxa"/>
            <w:bottom w:w="0" w:type="dxa"/>
            <w:right w:w="108" w:type="dxa"/>
          </w:tblCellMar>
        </w:tblPrEx>
        <w:trPr>
          <w:trHeight w:val="300" w:hRule="atLeast"/>
        </w:trPr>
        <w:tc>
          <w:tcPr>
            <w:tcW w:w="11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9</w:t>
            </w:r>
          </w:p>
        </w:tc>
        <w:tc>
          <w:tcPr>
            <w:tcW w:w="1545"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35</w:t>
            </w:r>
          </w:p>
        </w:tc>
        <w:tc>
          <w:tcPr>
            <w:tcW w:w="3110" w:type="dxa"/>
            <w:tcBorders>
              <w:top w:val="single" w:color="000000" w:sz="4" w:space="0"/>
              <w:left w:val="nil"/>
              <w:bottom w:val="single" w:color="000000" w:sz="4" w:space="0"/>
              <w:right w:val="single" w:color="000000" w:sz="4" w:space="0"/>
            </w:tcBorders>
            <w:noWrap w:val="0"/>
            <w:vAlign w:val="center"/>
          </w:tcPr>
          <w:p>
            <w:pPr>
              <w:widowControl/>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碳交易（35家）：衢州+台州</w:t>
            </w:r>
          </w:p>
        </w:tc>
        <w:tc>
          <w:tcPr>
            <w:tcW w:w="1561"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70</w:t>
            </w:r>
          </w:p>
        </w:tc>
        <w:tc>
          <w:tcPr>
            <w:tcW w:w="1561" w:type="dxa"/>
            <w:vMerge w:val="continue"/>
            <w:tcBorders>
              <w:left w:val="nil"/>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p>
        </w:tc>
      </w:tr>
      <w:tr>
        <w:tblPrEx>
          <w:tblLayout w:type="fixed"/>
          <w:tblCellMar>
            <w:top w:w="0" w:type="dxa"/>
            <w:left w:w="108" w:type="dxa"/>
            <w:bottom w:w="0" w:type="dxa"/>
            <w:right w:w="108" w:type="dxa"/>
          </w:tblCellMar>
        </w:tblPrEx>
        <w:trPr>
          <w:trHeight w:val="300" w:hRule="atLeast"/>
        </w:trPr>
        <w:tc>
          <w:tcPr>
            <w:tcW w:w="11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10</w:t>
            </w:r>
          </w:p>
        </w:tc>
        <w:tc>
          <w:tcPr>
            <w:tcW w:w="1545"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34</w:t>
            </w:r>
          </w:p>
        </w:tc>
        <w:tc>
          <w:tcPr>
            <w:tcW w:w="3110" w:type="dxa"/>
            <w:tcBorders>
              <w:top w:val="single" w:color="000000" w:sz="4" w:space="0"/>
              <w:left w:val="nil"/>
              <w:bottom w:val="single" w:color="000000" w:sz="4" w:space="0"/>
              <w:right w:val="single" w:color="000000" w:sz="4" w:space="0"/>
            </w:tcBorders>
            <w:noWrap w:val="0"/>
            <w:vAlign w:val="center"/>
          </w:tcPr>
          <w:p>
            <w:pPr>
              <w:widowControl/>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碳交易（34家）：绍兴+丽水</w:t>
            </w:r>
          </w:p>
        </w:tc>
        <w:tc>
          <w:tcPr>
            <w:tcW w:w="1561"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68</w:t>
            </w:r>
          </w:p>
        </w:tc>
        <w:tc>
          <w:tcPr>
            <w:tcW w:w="1561" w:type="dxa"/>
            <w:vMerge w:val="continue"/>
            <w:tcBorders>
              <w:left w:val="nil"/>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p>
        </w:tc>
      </w:tr>
      <w:tr>
        <w:tblPrEx>
          <w:tblLayout w:type="fixed"/>
          <w:tblCellMar>
            <w:top w:w="0" w:type="dxa"/>
            <w:left w:w="108" w:type="dxa"/>
            <w:bottom w:w="0" w:type="dxa"/>
            <w:right w:w="108" w:type="dxa"/>
          </w:tblCellMar>
        </w:tblPrEx>
        <w:trPr>
          <w:trHeight w:val="300" w:hRule="atLeast"/>
        </w:trPr>
        <w:tc>
          <w:tcPr>
            <w:tcW w:w="11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11</w:t>
            </w:r>
          </w:p>
        </w:tc>
        <w:tc>
          <w:tcPr>
            <w:tcW w:w="1545"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33</w:t>
            </w:r>
          </w:p>
        </w:tc>
        <w:tc>
          <w:tcPr>
            <w:tcW w:w="3110" w:type="dxa"/>
            <w:tcBorders>
              <w:top w:val="single" w:color="000000" w:sz="4" w:space="0"/>
              <w:left w:val="nil"/>
              <w:bottom w:val="single" w:color="000000" w:sz="4" w:space="0"/>
              <w:right w:val="single" w:color="000000" w:sz="4" w:space="0"/>
            </w:tcBorders>
            <w:noWrap w:val="0"/>
            <w:vAlign w:val="center"/>
          </w:tcPr>
          <w:p>
            <w:pPr>
              <w:widowControl/>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碳交易（33家）：绍兴+衢州</w:t>
            </w:r>
          </w:p>
        </w:tc>
        <w:tc>
          <w:tcPr>
            <w:tcW w:w="1561"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66</w:t>
            </w:r>
          </w:p>
        </w:tc>
        <w:tc>
          <w:tcPr>
            <w:tcW w:w="1561" w:type="dxa"/>
            <w:vMerge w:val="continue"/>
            <w:tcBorders>
              <w:left w:val="nil"/>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p>
        </w:tc>
      </w:tr>
      <w:tr>
        <w:tblPrEx>
          <w:tblLayout w:type="fixed"/>
          <w:tblCellMar>
            <w:top w:w="0" w:type="dxa"/>
            <w:left w:w="108" w:type="dxa"/>
            <w:bottom w:w="0" w:type="dxa"/>
            <w:right w:w="108" w:type="dxa"/>
          </w:tblCellMar>
        </w:tblPrEx>
        <w:trPr>
          <w:trHeight w:val="300" w:hRule="atLeast"/>
        </w:trPr>
        <w:tc>
          <w:tcPr>
            <w:tcW w:w="11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12</w:t>
            </w:r>
          </w:p>
        </w:tc>
        <w:tc>
          <w:tcPr>
            <w:tcW w:w="1545"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33</w:t>
            </w:r>
          </w:p>
        </w:tc>
        <w:tc>
          <w:tcPr>
            <w:tcW w:w="3110" w:type="dxa"/>
            <w:tcBorders>
              <w:top w:val="single" w:color="000000" w:sz="4" w:space="0"/>
              <w:left w:val="nil"/>
              <w:bottom w:val="single" w:color="000000" w:sz="4" w:space="0"/>
              <w:right w:val="single" w:color="000000" w:sz="4" w:space="0"/>
            </w:tcBorders>
            <w:noWrap w:val="0"/>
            <w:vAlign w:val="center"/>
          </w:tcPr>
          <w:p>
            <w:pPr>
              <w:widowControl/>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碳交易（33家）：湖州+绍兴</w:t>
            </w:r>
          </w:p>
        </w:tc>
        <w:tc>
          <w:tcPr>
            <w:tcW w:w="1561"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66</w:t>
            </w:r>
          </w:p>
        </w:tc>
        <w:tc>
          <w:tcPr>
            <w:tcW w:w="1561" w:type="dxa"/>
            <w:vMerge w:val="continue"/>
            <w:tcBorders>
              <w:left w:val="nil"/>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p>
        </w:tc>
      </w:tr>
      <w:tr>
        <w:tblPrEx>
          <w:tblLayout w:type="fixed"/>
          <w:tblCellMar>
            <w:top w:w="0" w:type="dxa"/>
            <w:left w:w="108" w:type="dxa"/>
            <w:bottom w:w="0" w:type="dxa"/>
            <w:right w:w="108" w:type="dxa"/>
          </w:tblCellMar>
        </w:tblPrEx>
        <w:trPr>
          <w:trHeight w:val="300" w:hRule="atLeast"/>
        </w:trPr>
        <w:tc>
          <w:tcPr>
            <w:tcW w:w="579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合计</w:t>
            </w:r>
          </w:p>
        </w:tc>
        <w:tc>
          <w:tcPr>
            <w:tcW w:w="1561"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858</w:t>
            </w:r>
          </w:p>
        </w:tc>
        <w:tc>
          <w:tcPr>
            <w:tcW w:w="1561"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snapToGrid w:val="0"/>
                <w:color w:val="auto"/>
                <w:kern w:val="0"/>
                <w:szCs w:val="21"/>
              </w:rPr>
            </w:pPr>
          </w:p>
        </w:tc>
      </w:tr>
      <w:bookmarkEnd w:id="58"/>
    </w:tbl>
    <w:p>
      <w:pPr>
        <w:snapToGrid w:val="0"/>
        <w:spacing w:line="360" w:lineRule="auto"/>
        <w:ind w:firstLine="411" w:firstLineChars="196"/>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备注：“企业数量”为预计数量。</w:t>
      </w:r>
    </w:p>
    <w:p>
      <w:pPr>
        <w:snapToGrid w:val="0"/>
        <w:spacing w:line="360" w:lineRule="auto"/>
        <w:ind w:firstLine="472" w:firstLineChars="225"/>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2、核查、复查服务机构应符合“（环办气候函〔2019〕943号）”文件规定的核查机构相关条件。</w:t>
      </w:r>
    </w:p>
    <w:p>
      <w:pPr>
        <w:pStyle w:val="3"/>
        <w:snapToGrid w:val="0"/>
        <w:spacing w:before="120" w:beforeLines="50" w:after="120" w:afterLines="50" w:line="360" w:lineRule="auto"/>
        <w:rPr>
          <w:rFonts w:hint="eastAsia" w:asciiTheme="minorEastAsia" w:hAnsiTheme="minorEastAsia" w:eastAsiaTheme="minorEastAsia" w:cstheme="minorEastAsia"/>
          <w:color w:val="auto"/>
          <w:sz w:val="21"/>
          <w:szCs w:val="21"/>
        </w:rPr>
      </w:pPr>
      <w:bookmarkStart w:id="59" w:name="_Toc26558"/>
      <w:r>
        <w:rPr>
          <w:rFonts w:hint="eastAsia" w:asciiTheme="minorEastAsia" w:hAnsiTheme="minorEastAsia" w:eastAsiaTheme="minorEastAsia" w:cstheme="minorEastAsia"/>
          <w:color w:val="auto"/>
          <w:sz w:val="21"/>
          <w:szCs w:val="21"/>
        </w:rPr>
        <w:t>三、采购需求</w:t>
      </w:r>
      <w:bookmarkEnd w:id="59"/>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（一）机构要求。核复查机构应具有固定的办公场所和必要的设施，能够在当地独立开展核查工作。核复查机构应信用良好，无违法违规记录。</w:t>
      </w:r>
    </w:p>
    <w:p>
      <w:pPr>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二）工作范围和具体内容。根据国家建设全国碳市场要求，核查机构对省内企业提交的年度碳排放报告和补充数据表进行核查并对排放监测计划进行审核，出具核查报告和监测计划审核报告。复查机构按照采购人安排，对第三方核查机构出具的碳核查报告和监测计划审核报告开展复核工作。</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三）工作要求。核复查机构须秉承“客观独立、诚实守信、公平公正、专业严谨”的原则，按照国家和我省相关文件和技术指南的规定和要求，遵循“客观独立、公平公正、诚实守信”的原则开展核查工作，保证核复查资料采集完整、工作过程标准规范、结果真实准确、工作按时完成。在工作前期、中期、后期阶段，分别做好核复查的准备、实施和报告编制工作，细化工作内容，加强质量管理。核查、复查机构在完成年度工作后，根据采购方要求，</w:t>
      </w:r>
      <w:r>
        <w:rPr>
          <w:rFonts w:hint="eastAsia" w:asciiTheme="minorEastAsia" w:hAnsiTheme="minorEastAsia" w:eastAsiaTheme="minorEastAsia" w:cstheme="minorEastAsia"/>
          <w:snapToGrid w:val="0"/>
          <w:color w:val="auto"/>
          <w:kern w:val="0"/>
          <w:szCs w:val="21"/>
          <w:lang w:val="en-US" w:eastAsia="zh-CN"/>
        </w:rPr>
        <w:t>需</w:t>
      </w:r>
      <w:r>
        <w:rPr>
          <w:rFonts w:hint="eastAsia" w:asciiTheme="minorEastAsia" w:hAnsiTheme="minorEastAsia" w:eastAsiaTheme="minorEastAsia" w:cstheme="minorEastAsia"/>
          <w:snapToGrid w:val="0"/>
          <w:color w:val="auto"/>
          <w:kern w:val="0"/>
          <w:szCs w:val="21"/>
        </w:rPr>
        <w:t>提交工作总结报告</w:t>
      </w:r>
      <w:r>
        <w:rPr>
          <w:rFonts w:hint="eastAsia" w:asciiTheme="minorEastAsia" w:hAnsiTheme="minorEastAsia" w:eastAsiaTheme="minorEastAsia" w:cstheme="minorEastAsia"/>
          <w:snapToGrid w:val="0"/>
          <w:color w:val="auto"/>
          <w:kern w:val="0"/>
          <w:szCs w:val="21"/>
          <w:lang w:eastAsia="zh-CN"/>
        </w:rPr>
        <w:t>。</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（四）人员要求。核复查机构在接到采购方委托任务通知后，须及时安排具有相应能力的人员开展工作，所有人员应具备与核复查项目相关的专业知识和业务能力。</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（五）报告要求。核复查报告应当真实、客观、逻辑清晰，核复查机构应按照采购方规定的时间提交报告，初始报告需要修改的，应在规定时间内完成。</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（六）保密要求。核复查机构应建立并实施完善的保密管理制度，确保其相关部门和人员对工作过程中获得的相关信息予以严格保密。</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七）进度要求。核复查机构应根据国家和浙江省工作要求，在规定时间内完成核复查各项工作并通过采购人验收。根据上述要求制定科学工作计划和合理时间进度安排。计划及进度主要节点安排得当，保障措施有力。</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（八）其他要求。核复查机构在开展工作时，不得与相关单位存在利益关系。</w:t>
      </w:r>
    </w:p>
    <w:p>
      <w:pPr>
        <w:pStyle w:val="3"/>
        <w:snapToGrid w:val="0"/>
        <w:spacing w:before="120" w:beforeLines="50" w:after="120" w:afterLines="50" w:line="360" w:lineRule="auto"/>
        <w:rPr>
          <w:rFonts w:hint="eastAsia" w:asciiTheme="minorEastAsia" w:hAnsiTheme="minorEastAsia" w:eastAsiaTheme="minorEastAsia" w:cstheme="minorEastAsia"/>
          <w:color w:val="auto"/>
          <w:sz w:val="21"/>
          <w:szCs w:val="21"/>
        </w:rPr>
      </w:pPr>
      <w:bookmarkStart w:id="60" w:name="联合投标"/>
      <w:bookmarkEnd w:id="60"/>
      <w:bookmarkStart w:id="61" w:name="_Toc26450"/>
      <w:r>
        <w:rPr>
          <w:rFonts w:hint="eastAsia" w:asciiTheme="minorEastAsia" w:hAnsiTheme="minorEastAsia" w:eastAsiaTheme="minorEastAsia" w:cstheme="minorEastAsia"/>
          <w:color w:val="auto"/>
          <w:sz w:val="21"/>
          <w:szCs w:val="21"/>
        </w:rPr>
        <w:t>四、付款方式</w:t>
      </w:r>
      <w:bookmarkEnd w:id="61"/>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1、合同签订生效后，甲方支付乙方合同总价金额的30%作为预付款。</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2、乙方按要求提交核查（复查）报告，经甲方审核通过后，结算价格由乙方实际完成的核查（复查）企业数量和合同单价确定，即结算价格=乙方实际完成的核查（复查）企业数量×合同单价；合同单价不予调整。乙方开具正式发票，甲方自收到乙方发票后10个工作日内一次性将尾款支付给乙方。</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3、以上价款用人民币结算。</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4、因乙方原因导致核查（复查）结果有严重错误，并造成甲方和企业经济损失的，乙方应承担相应的经济责任。</w:t>
      </w:r>
    </w:p>
    <w:p>
      <w:pPr>
        <w:rPr>
          <w:rFonts w:hint="eastAsia" w:asciiTheme="minorEastAsia" w:hAnsiTheme="minorEastAsia" w:eastAsiaTheme="minorEastAsia" w:cstheme="minorEastAsia"/>
          <w:color w:val="auto"/>
          <w:szCs w:val="20"/>
        </w:rPr>
      </w:pP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lang w:val="en-US" w:eastAsia="zh-CN"/>
        </w:rPr>
      </w:pPr>
    </w:p>
    <w:bookmarkEnd w:id="56"/>
    <w:p>
      <w:pPr>
        <w:adjustRightInd w:val="0"/>
        <w:snapToGrid w:val="0"/>
        <w:spacing w:before="120" w:beforeLines="50" w:after="120" w:afterLines="50" w:line="360" w:lineRule="auto"/>
        <w:jc w:val="center"/>
        <w:outlineLvl w:val="0"/>
        <w:rPr>
          <w:rFonts w:hint="eastAsia" w:asciiTheme="minorEastAsia" w:hAnsiTheme="minorEastAsia" w:eastAsiaTheme="minorEastAsia" w:cstheme="minorEastAsia"/>
          <w:color w:val="auto"/>
          <w:sz w:val="36"/>
        </w:rPr>
      </w:pPr>
      <w:r>
        <w:rPr>
          <w:rFonts w:hint="eastAsia" w:asciiTheme="minorEastAsia" w:hAnsiTheme="minorEastAsia" w:eastAsiaTheme="minorEastAsia" w:cstheme="minorEastAsia"/>
          <w:color w:val="auto"/>
          <w:szCs w:val="21"/>
        </w:rPr>
        <w:br w:type="page"/>
      </w:r>
      <w:bookmarkStart w:id="62" w:name="_Toc242012824"/>
      <w:bookmarkStart w:id="63" w:name="_Toc19650"/>
      <w:bookmarkStart w:id="64" w:name="_Toc7572"/>
      <w:r>
        <w:rPr>
          <w:rFonts w:hint="eastAsia" w:asciiTheme="minorEastAsia" w:hAnsiTheme="minorEastAsia" w:eastAsiaTheme="minorEastAsia" w:cstheme="minorEastAsia"/>
          <w:b/>
          <w:color w:val="auto"/>
          <w:sz w:val="30"/>
          <w:szCs w:val="30"/>
        </w:rPr>
        <w:t>第四部分  合同条款</w:t>
      </w:r>
      <w:bookmarkEnd w:id="62"/>
      <w:bookmarkEnd w:id="63"/>
      <w:bookmarkEnd w:id="64"/>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bookmarkStart w:id="65" w:name="_Hlk534720381"/>
      <w:bookmarkStart w:id="66" w:name="_Toc251566661"/>
      <w:bookmarkStart w:id="67" w:name="_Toc249760790"/>
      <w:r>
        <w:rPr>
          <w:rFonts w:hint="eastAsia" w:asciiTheme="minorEastAsia" w:hAnsiTheme="minorEastAsia" w:eastAsiaTheme="minorEastAsia" w:cstheme="minorEastAsia"/>
          <w:snapToGrid w:val="0"/>
          <w:color w:val="auto"/>
          <w:kern w:val="0"/>
          <w:szCs w:val="21"/>
        </w:rPr>
        <w:t>合同将由浙江省生态环境厅（以下简称甲方）与经评审最终确定的标项中标人（以下简称乙方）结合本项目具体情况协商后签订。以下为采购人提出涉及乙方的主要条款，投标人在投标文件中应对其进行确认或拒绝。如投标人在其投标文件中未做拒绝或提出修改要求的，采购人将视作认同。</w:t>
      </w:r>
    </w:p>
    <w:p>
      <w:pPr>
        <w:snapToGrid w:val="0"/>
        <w:spacing w:before="120" w:beforeLines="50" w:after="120" w:afterLines="50"/>
        <w:jc w:val="center"/>
        <w:rPr>
          <w:rFonts w:hint="eastAsia" w:asciiTheme="minorEastAsia" w:hAnsiTheme="minorEastAsia" w:eastAsiaTheme="minorEastAsia" w:cstheme="minorEastAsia"/>
          <w:b/>
          <w:color w:val="auto"/>
          <w:sz w:val="30"/>
        </w:rPr>
      </w:pPr>
    </w:p>
    <w:p>
      <w:pPr>
        <w:snapToGrid w:val="0"/>
        <w:spacing w:before="120" w:beforeLines="50" w:after="120" w:afterLines="50"/>
        <w:jc w:val="center"/>
        <w:rPr>
          <w:rFonts w:hint="eastAsia" w:asciiTheme="minorEastAsia" w:hAnsiTheme="minorEastAsia" w:eastAsiaTheme="minorEastAsia" w:cstheme="minorEastAsia"/>
          <w:b/>
          <w:color w:val="auto"/>
          <w:sz w:val="30"/>
        </w:rPr>
      </w:pPr>
    </w:p>
    <w:p>
      <w:pPr>
        <w:adjustRightInd w:val="0"/>
        <w:snapToGrid w:val="0"/>
        <w:spacing w:before="120" w:beforeLines="50" w:after="120" w:afterLines="50" w:line="360" w:lineRule="auto"/>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浙江省政府采购合同（复查标项参考）</w:t>
      </w:r>
    </w:p>
    <w:p>
      <w:pPr>
        <w:adjustRightInd w:val="0"/>
        <w:snapToGrid w:val="0"/>
        <w:spacing w:line="360" w:lineRule="auto"/>
        <w:ind w:firstLine="422" w:firstLineChars="200"/>
        <w:rPr>
          <w:rFonts w:hint="eastAsia" w:asciiTheme="minorEastAsia" w:hAnsiTheme="minorEastAsia" w:eastAsiaTheme="minorEastAsia" w:cstheme="minorEastAsia"/>
          <w:b/>
          <w:color w:val="auto"/>
          <w:szCs w:val="21"/>
        </w:rPr>
      </w:pPr>
    </w:p>
    <w:p>
      <w:pPr>
        <w:adjustRightInd w:val="0"/>
        <w:snapToGrid w:val="0"/>
        <w:spacing w:line="360" w:lineRule="auto"/>
        <w:ind w:firstLine="422" w:firstLineChars="200"/>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 xml:space="preserve">甲方： </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（委托方）</w:t>
      </w:r>
    </w:p>
    <w:p>
      <w:pPr>
        <w:adjustRightInd w:val="0"/>
        <w:snapToGrid w:val="0"/>
        <w:spacing w:line="360" w:lineRule="auto"/>
        <w:ind w:firstLine="422"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szCs w:val="21"/>
        </w:rPr>
        <w:t xml:space="preserve">乙方： </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（受托方）</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根据浙江省生态环境厅关于“</w:t>
      </w:r>
      <w:r>
        <w:rPr>
          <w:rFonts w:hint="eastAsia" w:asciiTheme="minorEastAsia" w:hAnsiTheme="minorEastAsia" w:eastAsiaTheme="minorEastAsia" w:cstheme="minorEastAsia"/>
          <w:snapToGrid w:val="0"/>
          <w:color w:val="auto"/>
          <w:kern w:val="0"/>
          <w:szCs w:val="21"/>
        </w:rPr>
        <w:t>2020年浙江省碳交易纳入企业温室气体排放报告核查复查项目</w:t>
      </w:r>
      <w:r>
        <w:rPr>
          <w:rFonts w:hint="eastAsia" w:asciiTheme="minorEastAsia" w:hAnsiTheme="minorEastAsia" w:eastAsiaTheme="minorEastAsia" w:cstheme="minorEastAsia"/>
          <w:color w:val="auto"/>
          <w:szCs w:val="21"/>
        </w:rPr>
        <w:t>”公开招标的采购结果，为明确双方的权利义务，经协商，一致同意订立本协议，双方共同遵守执行。本协议仅代表乙方承接甲方服务期内（</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r>
        <w:rPr>
          <w:rFonts w:hint="eastAsia" w:asciiTheme="minorEastAsia" w:hAnsiTheme="minorEastAsia" w:eastAsiaTheme="minorEastAsia" w:cstheme="minorEastAsia"/>
          <w:color w:val="auto"/>
          <w:szCs w:val="21"/>
          <w:u w:val="single"/>
        </w:rPr>
        <w:t>复查服务</w:t>
      </w:r>
      <w:r>
        <w:rPr>
          <w:rFonts w:hint="eastAsia" w:asciiTheme="minorEastAsia" w:hAnsiTheme="minorEastAsia" w:eastAsiaTheme="minorEastAsia" w:cstheme="minorEastAsia"/>
          <w:color w:val="auto"/>
          <w:szCs w:val="21"/>
        </w:rPr>
        <w:t>，具体内容根据甲方具体要求确定。</w:t>
      </w:r>
    </w:p>
    <w:p>
      <w:pPr>
        <w:adjustRightInd w:val="0"/>
        <w:snapToGrid w:val="0"/>
        <w:spacing w:before="120" w:after="120" w:line="360" w:lineRule="auto"/>
        <w:ind w:firstLine="422" w:firstLineChars="200"/>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一、合同内容（详见标项内容）</w:t>
      </w:r>
    </w:p>
    <w:p>
      <w:pPr>
        <w:adjustRightInd w:val="0"/>
        <w:snapToGrid w:val="0"/>
        <w:spacing w:before="120" w:after="120" w:line="360" w:lineRule="auto"/>
        <w:ind w:firstLine="422" w:firstLineChars="200"/>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二、甲方的权利和义务</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1、甲方负责将资料交给乙方，并做好组织协调工作。</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2、甲方有权要求乙方更换不称职或应回避的人员。</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3、甲方负责对乙方的第三方复查服务进行监督管理及考核。</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4、对不合格的复查报告，甲方有权责令乙方按时整改。</w:t>
      </w:r>
    </w:p>
    <w:p>
      <w:pPr>
        <w:adjustRightInd w:val="0"/>
        <w:snapToGrid w:val="0"/>
        <w:spacing w:before="120" w:after="120" w:line="360" w:lineRule="auto"/>
        <w:ind w:firstLine="422" w:firstLineChars="200"/>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三、乙方的权利和义务</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严格按照甲方的要求，及时组织开展复查工作，接受甲方的业务指导和监督。接到复查任务后15天内，乙方提出完整的书面复查结果，并通知甲方进行审定。现场复查比例不低于10%。若乙方为联合体，则应注明牵头方和成员方，并由联合体各方共同完成项目的实施工作。</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乙方应在人员安排上给予及时保障，在接到甲方的第三方核查服务通知后及时接受资料及安排相关核查人员。复查人员应具备与核查事项相关的专业知识和业务能力，完全胜任所承担的复查任务，乙方项目组成员在合同期内的人员变更须经甲方同意，替换人员资质能力不得低于被替换人员。</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3、乙方不得将甲方组织的复查服务分包或转包给其他单位或个人。因故不能接受委托任务安排的，向甲方报告并经同意，否则视作该乙方自动放弃核查服务资格。</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4、乙方复查人员在办理复查事项时，应当客观公正、实事求是、廉洁奉公，并保持严谨、稳健、负责的职业态度。在执行复查任务时，应真实反映复查结果，客观评价核查事项。</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5、乙方不得泄露与复查服务有关的保密数据资料，复查报告只向甲方提供，不得自行提供给其他单位。复查过程取得的核查资料、企业信息应按档案管理要求进行保密管理，不得泄露。</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6、乙方在完成年度工作后，根据甲方要求，需提交工作总结报告。</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7</w:t>
      </w:r>
      <w:r>
        <w:rPr>
          <w:rFonts w:hint="eastAsia" w:asciiTheme="minorEastAsia" w:hAnsiTheme="minorEastAsia" w:eastAsiaTheme="minorEastAsia" w:cstheme="minorEastAsia"/>
          <w:color w:val="auto"/>
          <w:szCs w:val="21"/>
        </w:rPr>
        <w:t>、因乙方原因导致复查结果有严重错误，并造成甲方经济损失的，乙方应承担相应的经济责任。</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8</w:t>
      </w:r>
      <w:r>
        <w:rPr>
          <w:rFonts w:hint="eastAsia" w:asciiTheme="minorEastAsia" w:hAnsiTheme="minorEastAsia" w:eastAsiaTheme="minorEastAsia" w:cstheme="minorEastAsia"/>
          <w:color w:val="auto"/>
          <w:szCs w:val="21"/>
        </w:rPr>
        <w:t>、乙方如因其他原因被中止参与复查，仍应协助甲方完成已核查项目的后续工作。</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9</w:t>
      </w:r>
      <w:r>
        <w:rPr>
          <w:rFonts w:hint="eastAsia" w:asciiTheme="minorEastAsia" w:hAnsiTheme="minorEastAsia" w:eastAsiaTheme="minorEastAsia" w:cstheme="minorEastAsia"/>
          <w:color w:val="auto"/>
          <w:szCs w:val="21"/>
        </w:rPr>
        <w:t>、乙方未能按合同约定时间提交复查报告且无正当理由的，视为违约。因主观原因，复查报告提交超过约定的复查时限的，自逾期之日起，每日扣减该单项工程5%的复查费，以该单项复查费用总额为上限。由于第三方的原因使复查工作延期，则乙方应当将此情况及可能产生的影响以书面形式及时通知甲方，经甲方同意后可相应延长复查时限。</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10</w:t>
      </w:r>
      <w:r>
        <w:rPr>
          <w:rFonts w:hint="eastAsia" w:asciiTheme="minorEastAsia" w:hAnsiTheme="minorEastAsia" w:eastAsiaTheme="minorEastAsia" w:cstheme="minorEastAsia"/>
          <w:color w:val="auto"/>
          <w:szCs w:val="21"/>
        </w:rPr>
        <w:t>、乙方应确保项目复查工作质量，按甲方要求按时完成复查工作。</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11</w:t>
      </w:r>
      <w:r>
        <w:rPr>
          <w:rFonts w:hint="eastAsia" w:asciiTheme="minorEastAsia" w:hAnsiTheme="minorEastAsia" w:eastAsiaTheme="minorEastAsia" w:cstheme="minorEastAsia"/>
          <w:color w:val="auto"/>
          <w:szCs w:val="21"/>
        </w:rPr>
        <w:t>、乙方应自觉遵守有关规定，严格执行核查、廉政纪律和职业道德。甲方在服务期间发现复查服务单位存在廉政问题，有权取消乙方复查服务资格。</w:t>
      </w:r>
    </w:p>
    <w:p>
      <w:pPr>
        <w:adjustRightInd w:val="0"/>
        <w:snapToGrid w:val="0"/>
        <w:spacing w:before="120" w:after="120" w:line="360" w:lineRule="auto"/>
        <w:ind w:firstLine="422" w:firstLineChars="200"/>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四、付款方式</w:t>
      </w:r>
    </w:p>
    <w:p>
      <w:pPr>
        <w:adjustRightInd w:val="0"/>
        <w:snapToGrid w:val="0"/>
        <w:spacing w:before="120" w:after="120"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合同金额：</w:t>
      </w:r>
      <w:r>
        <w:rPr>
          <w:rFonts w:hint="eastAsia" w:asciiTheme="minorEastAsia" w:hAnsiTheme="minorEastAsia" w:eastAsiaTheme="minorEastAsia" w:cstheme="minorEastAsia"/>
          <w:b/>
          <w:color w:val="auto"/>
          <w:szCs w:val="21"/>
        </w:rPr>
        <w:t>总价</w:t>
      </w:r>
      <w:r>
        <w:rPr>
          <w:rFonts w:hint="eastAsia" w:asciiTheme="minorEastAsia" w:hAnsiTheme="minorEastAsia" w:eastAsiaTheme="minorEastAsia" w:cstheme="minorEastAsia"/>
          <w:b/>
          <w:color w:val="auto"/>
          <w:szCs w:val="21"/>
          <w:u w:val="single"/>
        </w:rPr>
        <w:t xml:space="preserve">            </w:t>
      </w:r>
      <w:r>
        <w:rPr>
          <w:rFonts w:hint="eastAsia" w:asciiTheme="minorEastAsia" w:hAnsiTheme="minorEastAsia" w:eastAsiaTheme="minorEastAsia" w:cstheme="minorEastAsia"/>
          <w:b/>
          <w:color w:val="auto"/>
          <w:szCs w:val="21"/>
        </w:rPr>
        <w:t>元，单价</w:t>
      </w:r>
      <w:r>
        <w:rPr>
          <w:rFonts w:hint="eastAsia" w:asciiTheme="minorEastAsia" w:hAnsiTheme="minorEastAsia" w:eastAsiaTheme="minorEastAsia" w:cstheme="minorEastAsia"/>
          <w:b/>
          <w:color w:val="auto"/>
          <w:szCs w:val="21"/>
          <w:u w:val="single"/>
        </w:rPr>
        <w:t xml:space="preserve">       </w:t>
      </w:r>
      <w:r>
        <w:rPr>
          <w:rFonts w:hint="eastAsia" w:asciiTheme="minorEastAsia" w:hAnsiTheme="minorEastAsia" w:eastAsiaTheme="minorEastAsia" w:cstheme="minorEastAsia"/>
          <w:b/>
          <w:color w:val="auto"/>
          <w:szCs w:val="21"/>
        </w:rPr>
        <w:t>元；</w:t>
      </w:r>
      <w:r>
        <w:rPr>
          <w:rFonts w:hint="eastAsia" w:asciiTheme="minorEastAsia" w:hAnsiTheme="minorEastAsia" w:eastAsiaTheme="minorEastAsia" w:cstheme="minorEastAsia"/>
          <w:color w:val="auto"/>
          <w:szCs w:val="21"/>
        </w:rPr>
        <w:t xml:space="preserve"> </w:t>
      </w:r>
      <w:r>
        <w:rPr>
          <w:rFonts w:hint="eastAsia" w:asciiTheme="minorEastAsia" w:hAnsiTheme="minorEastAsia" w:eastAsiaTheme="minorEastAsia" w:cstheme="minorEastAsia"/>
          <w:b/>
          <w:color w:val="auto"/>
          <w:szCs w:val="21"/>
        </w:rPr>
        <w:t>数量：</w:t>
      </w:r>
      <w:r>
        <w:rPr>
          <w:rFonts w:hint="eastAsia" w:asciiTheme="minorEastAsia" w:hAnsiTheme="minorEastAsia" w:eastAsiaTheme="minorEastAsia" w:cstheme="minorEastAsia"/>
          <w:b/>
          <w:color w:val="auto"/>
          <w:szCs w:val="21"/>
          <w:u w:val="single"/>
        </w:rPr>
        <w:t>详见“合同内容”。</w:t>
      </w:r>
    </w:p>
    <w:p>
      <w:pPr>
        <w:pStyle w:val="25"/>
        <w:adjustRightInd w:val="0"/>
        <w:snapToGrid w:val="0"/>
        <w:spacing w:before="120" w:after="120"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支付方式：</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1、合同金额：</w:t>
      </w:r>
      <w:r>
        <w:rPr>
          <w:rFonts w:hint="eastAsia" w:asciiTheme="minorEastAsia" w:hAnsiTheme="minorEastAsia" w:eastAsiaTheme="minorEastAsia" w:cstheme="minorEastAsia"/>
          <w:b/>
          <w:color w:val="auto"/>
          <w:szCs w:val="21"/>
        </w:rPr>
        <w:t>总价</w:t>
      </w:r>
      <w:r>
        <w:rPr>
          <w:rFonts w:hint="eastAsia" w:asciiTheme="minorEastAsia" w:hAnsiTheme="minorEastAsia" w:eastAsiaTheme="minorEastAsia" w:cstheme="minorEastAsia"/>
          <w:b/>
          <w:color w:val="auto"/>
          <w:szCs w:val="21"/>
          <w:u w:val="single"/>
        </w:rPr>
        <w:t xml:space="preserve">            </w:t>
      </w:r>
      <w:r>
        <w:rPr>
          <w:rFonts w:hint="eastAsia" w:asciiTheme="minorEastAsia" w:hAnsiTheme="minorEastAsia" w:eastAsiaTheme="minorEastAsia" w:cstheme="minorEastAsia"/>
          <w:b/>
          <w:color w:val="auto"/>
          <w:szCs w:val="21"/>
        </w:rPr>
        <w:t>元，单价</w:t>
      </w:r>
      <w:r>
        <w:rPr>
          <w:rFonts w:hint="eastAsia" w:asciiTheme="minorEastAsia" w:hAnsiTheme="minorEastAsia" w:eastAsiaTheme="minorEastAsia" w:cstheme="minorEastAsia"/>
          <w:b/>
          <w:color w:val="auto"/>
          <w:szCs w:val="21"/>
          <w:u w:val="single"/>
        </w:rPr>
        <w:t xml:space="preserve">       </w:t>
      </w:r>
      <w:r>
        <w:rPr>
          <w:rFonts w:hint="eastAsia" w:asciiTheme="minorEastAsia" w:hAnsiTheme="minorEastAsia" w:eastAsiaTheme="minorEastAsia" w:cstheme="minorEastAsia"/>
          <w:b/>
          <w:color w:val="auto"/>
          <w:szCs w:val="21"/>
        </w:rPr>
        <w:t>元；</w:t>
      </w:r>
      <w:r>
        <w:rPr>
          <w:rFonts w:hint="eastAsia" w:asciiTheme="minorEastAsia" w:hAnsiTheme="minorEastAsia" w:eastAsiaTheme="minorEastAsia" w:cstheme="minorEastAsia"/>
          <w:color w:val="auto"/>
          <w:szCs w:val="21"/>
        </w:rPr>
        <w:t xml:space="preserve"> </w:t>
      </w:r>
      <w:r>
        <w:rPr>
          <w:rFonts w:hint="eastAsia" w:asciiTheme="minorEastAsia" w:hAnsiTheme="minorEastAsia" w:eastAsiaTheme="minorEastAsia" w:cstheme="minorEastAsia"/>
          <w:b/>
          <w:color w:val="auto"/>
          <w:szCs w:val="21"/>
        </w:rPr>
        <w:t>数量：</w:t>
      </w:r>
      <w:r>
        <w:rPr>
          <w:rFonts w:hint="eastAsia" w:asciiTheme="minorEastAsia" w:hAnsiTheme="minorEastAsia" w:eastAsiaTheme="minorEastAsia" w:cstheme="minorEastAsia"/>
          <w:b/>
          <w:color w:val="auto"/>
          <w:szCs w:val="21"/>
          <w:u w:val="single"/>
        </w:rPr>
        <w:t>详见“合同内容”。</w:t>
      </w:r>
    </w:p>
    <w:p>
      <w:pPr>
        <w:pStyle w:val="25"/>
        <w:adjustRightInd w:val="0"/>
        <w:snapToGrid w:val="0"/>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2、支付方式：</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（1）合同签订生效后，甲方支付乙方合同总价金额的30%作为预付款。</w:t>
      </w:r>
    </w:p>
    <w:p>
      <w:pPr>
        <w:pStyle w:val="25"/>
        <w:adjustRightInd w:val="0"/>
        <w:snapToGrid w:val="0"/>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乙方按要求提交复查报告，经甲方审核通过后，结算价格由乙方实际完成的复查企业数量和合同单价确定，即结算价格=乙方实际完成的复查企业数量×合同单价；合同单价不予调整。乙方开具正式发票，甲方自收到乙方发票后10个工作日内一次性支付给乙方；</w:t>
      </w:r>
    </w:p>
    <w:p>
      <w:pPr>
        <w:pStyle w:val="25"/>
        <w:adjustRightInd w:val="0"/>
        <w:snapToGrid w:val="0"/>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（3）以上价款用人民币结算。</w:t>
      </w:r>
    </w:p>
    <w:p>
      <w:pPr>
        <w:pStyle w:val="25"/>
        <w:adjustRightInd w:val="0"/>
        <w:snapToGrid w:val="0"/>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（4）因乙方原因导致复查结果有严重错误，并造成甲方经济损失的，乙方应承担相应的经济责任。</w:t>
      </w:r>
    </w:p>
    <w:p>
      <w:pPr>
        <w:adjustRightInd w:val="0"/>
        <w:snapToGrid w:val="0"/>
        <w:spacing w:before="120" w:after="120" w:line="360" w:lineRule="auto"/>
        <w:ind w:firstLine="422" w:firstLineChars="200"/>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五、违约责任</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项目委托方应当履行合同约定的义务，如有违反，须承担相应的违约责任。项目委托方未能按合同约定支付合同价款或付款延误的，乙方有权暂停履行合同；项目委托方无法继续履行或明确表示不履行或实质上已停止履行合同的，乙方向甲方提出要求项目委托方支付复查费用，如甲方不予配合，乙方可以提出中止合同，项目委托方赔偿相应损失。</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2、乙方无法继续履行或明确表示不履行或实质上已停止履行合同的，甲方将视情况取消复查业务资格及追究其他经济责任等处罚措施。</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乙方或其派遣的复查人员有下列情形之一的，由甲方调查处理，情节严重的将予以清退。甲方在本次服务期内不再安排相关业务给被清退的第三方复查服务单位、被清退第三方复查服务单位直接责任人员今后不得在甲方业务范围内从事复查工作，造成经济损失的，应承担相应赔偿责任：</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3.1没有按照复查程序和步骤开展工作，导致复查结果产生负面影响的，或重大违纪违规问题应当披露而未披露的；</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3.2将其受聘的第三方复查服务再委托或转让给其他单位承担；</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3.3参审过程中，甲方发现乙方原投标申报主要复查人员不满足项目要求，已不具备第三方复查服务条件的；</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3.4在一个年度内同一家企业累计两次以上复查报告被甲方或项目委托方退回的，或没有在规定时间内完成复查工作的；</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3.5乙方在甲方组织的年度考核不合格；</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乙方在复查过程中应严格执行甲方的单位工作纪律，若发现因弄虚作假、徇私舞弊或滥用职权造成复查结果严重失实以及发生其他重大过失、违约等情况的，甲方及项目委托方将不支付复查费用，并依法追究其相关责任，涉嫌犯罪的移送司法部门处理。</w:t>
      </w:r>
    </w:p>
    <w:p>
      <w:pPr>
        <w:adjustRightInd w:val="0"/>
        <w:snapToGrid w:val="0"/>
        <w:spacing w:before="120" w:after="120" w:line="360" w:lineRule="auto"/>
        <w:ind w:firstLine="422" w:firstLineChars="200"/>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六、协议的有效期限和终止</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1、本协议自初次委托之日起生效，至</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日之前承接的项目完成时终止。</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2、协议的终止并不影响双方应有的权利和应当承担的责任。</w:t>
      </w:r>
    </w:p>
    <w:p>
      <w:pPr>
        <w:adjustRightInd w:val="0"/>
        <w:snapToGrid w:val="0"/>
        <w:spacing w:before="120" w:after="120" w:line="360" w:lineRule="auto"/>
        <w:ind w:firstLine="422" w:firstLineChars="200"/>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七、协议的文本及生效。</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1、本协议一式五份，甲乙双方各执二份，鉴证方一份。</w:t>
      </w:r>
    </w:p>
    <w:p>
      <w:pPr>
        <w:autoSpaceDE w:val="0"/>
        <w:autoSpaceDN w:val="0"/>
        <w:adjustRightInd w:val="0"/>
        <w:snapToGrid w:val="0"/>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2、本协议需由双方法定代表人或授权代理人签字并加盖公章。</w:t>
      </w:r>
    </w:p>
    <w:p>
      <w:pPr>
        <w:autoSpaceDE w:val="0"/>
        <w:autoSpaceDN w:val="0"/>
        <w:adjustRightInd w:val="0"/>
        <w:snapToGrid w:val="0"/>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3、本协议未涉及的部分以“</w:t>
      </w:r>
      <w:r>
        <w:rPr>
          <w:rFonts w:hint="eastAsia" w:asciiTheme="minorEastAsia" w:hAnsiTheme="minorEastAsia" w:eastAsiaTheme="minorEastAsia" w:cstheme="minorEastAsia"/>
          <w:snapToGrid w:val="0"/>
          <w:color w:val="auto"/>
          <w:kern w:val="0"/>
          <w:szCs w:val="21"/>
        </w:rPr>
        <w:t>2020年浙江省碳交易纳入企业温室气体排放报告核查复查项目</w:t>
      </w:r>
      <w:r>
        <w:rPr>
          <w:rFonts w:hint="eastAsia" w:asciiTheme="minorEastAsia" w:hAnsiTheme="minorEastAsia" w:eastAsiaTheme="minorEastAsia" w:cstheme="minorEastAsia"/>
          <w:color w:val="auto"/>
          <w:szCs w:val="21"/>
        </w:rPr>
        <w:t>”采购文件及其补充文件（如有）为准，上述文件和乙方针对本项目的响应文件及承诺是本协议的附件，与本协议具有同等法律效力。</w:t>
      </w:r>
    </w:p>
    <w:p>
      <w:pPr>
        <w:adjustRightInd w:val="0"/>
        <w:snapToGrid w:val="0"/>
        <w:spacing w:line="360" w:lineRule="auto"/>
        <w:ind w:firstLine="420" w:firstLineChars="200"/>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szCs w:val="21"/>
        </w:rPr>
        <w:t>4、本协议未尽事宜，经双方商议可续签补充协议。</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甲方（盖章）：                       乙方（盖章）：</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法定代表人或授权代表                 法定代表人或授权代表</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（签字）                             （签字）</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地址：                               地址： </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邮编：                               邮编：</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电话：                               电话：</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传真：                               传真：</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开户银行：                           开户银行：</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帐号：                               帐号：</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合同鉴证方（盖章）:</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法定代表人或主要负责人:</w:t>
      </w:r>
    </w:p>
    <w:p>
      <w:pPr>
        <w:adjustRightInd w:val="0"/>
        <w:snapToGrid w:val="0"/>
        <w:spacing w:line="360" w:lineRule="auto"/>
        <w:ind w:firstLine="42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Cs w:val="21"/>
        </w:rPr>
        <w:t xml:space="preserve">鉴证日期:      年  月  日  </w:t>
      </w:r>
      <w:r>
        <w:rPr>
          <w:rFonts w:hint="eastAsia" w:asciiTheme="minorEastAsia" w:hAnsiTheme="minorEastAsia" w:eastAsiaTheme="minorEastAsia" w:cstheme="minorEastAsia"/>
          <w:color w:val="auto"/>
          <w:sz w:val="24"/>
        </w:rPr>
        <w:t xml:space="preserve">                        </w:t>
      </w:r>
    </w:p>
    <w:p>
      <w:pPr>
        <w:adjustRightInd w:val="0"/>
        <w:snapToGrid w:val="0"/>
        <w:spacing w:before="120" w:after="120" w:line="360" w:lineRule="auto"/>
        <w:ind w:firstLine="482" w:firstLineChars="200"/>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 w:val="24"/>
        </w:rPr>
        <w:br w:type="page"/>
      </w:r>
      <w:r>
        <w:rPr>
          <w:rFonts w:hint="eastAsia" w:asciiTheme="minorEastAsia" w:hAnsiTheme="minorEastAsia" w:eastAsiaTheme="minorEastAsia" w:cstheme="minorEastAsia"/>
          <w:b/>
          <w:color w:val="auto"/>
          <w:szCs w:val="21"/>
        </w:rPr>
        <w:t>浙江省政府采购合同（核查标项参考）</w:t>
      </w:r>
    </w:p>
    <w:p>
      <w:pPr>
        <w:adjustRightInd w:val="0"/>
        <w:snapToGrid w:val="0"/>
        <w:spacing w:line="360" w:lineRule="auto"/>
        <w:ind w:firstLine="422" w:firstLineChars="200"/>
        <w:rPr>
          <w:rFonts w:hint="eastAsia" w:asciiTheme="minorEastAsia" w:hAnsiTheme="minorEastAsia" w:eastAsiaTheme="minorEastAsia" w:cstheme="minorEastAsia"/>
          <w:b/>
          <w:color w:val="auto"/>
          <w:szCs w:val="21"/>
        </w:rPr>
      </w:pPr>
    </w:p>
    <w:p>
      <w:pPr>
        <w:adjustRightInd w:val="0"/>
        <w:snapToGrid w:val="0"/>
        <w:spacing w:line="360" w:lineRule="auto"/>
        <w:ind w:firstLine="422" w:firstLineChars="200"/>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 xml:space="preserve">甲方： </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（委托方）</w:t>
      </w:r>
    </w:p>
    <w:p>
      <w:pPr>
        <w:adjustRightInd w:val="0"/>
        <w:snapToGrid w:val="0"/>
        <w:spacing w:line="360" w:lineRule="auto"/>
        <w:ind w:firstLine="422"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szCs w:val="21"/>
        </w:rPr>
        <w:t>乙方：</w:t>
      </w:r>
      <w:r>
        <w:rPr>
          <w:rFonts w:hint="eastAsia" w:asciiTheme="minorEastAsia" w:hAnsiTheme="minorEastAsia" w:eastAsiaTheme="minorEastAsia" w:cstheme="minorEastAsia"/>
          <w:color w:val="auto"/>
          <w:szCs w:val="21"/>
        </w:rPr>
        <w:t xml:space="preserve"> </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（受托方）</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根据浙江省生态环境厅关于“</w:t>
      </w:r>
      <w:r>
        <w:rPr>
          <w:rFonts w:hint="eastAsia" w:asciiTheme="minorEastAsia" w:hAnsiTheme="minorEastAsia" w:eastAsiaTheme="minorEastAsia" w:cstheme="minorEastAsia"/>
          <w:snapToGrid w:val="0"/>
          <w:color w:val="auto"/>
          <w:kern w:val="0"/>
          <w:szCs w:val="21"/>
        </w:rPr>
        <w:t>2020年浙江省碳交易纳入企业温室气体排放报告核查复查项目</w:t>
      </w:r>
      <w:r>
        <w:rPr>
          <w:rFonts w:hint="eastAsia" w:asciiTheme="minorEastAsia" w:hAnsiTheme="minorEastAsia" w:eastAsiaTheme="minorEastAsia" w:cstheme="minorEastAsia"/>
          <w:color w:val="auto"/>
          <w:szCs w:val="21"/>
        </w:rPr>
        <w:t>”公开招标的采购结果，为明确双方的权利义务，经协商，一致同意订立本合同，双方共同遵守执行。本合同仅代表乙方承接甲方服务期内（</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r>
        <w:rPr>
          <w:rFonts w:hint="eastAsia" w:asciiTheme="minorEastAsia" w:hAnsiTheme="minorEastAsia" w:eastAsiaTheme="minorEastAsia" w:cstheme="minorEastAsia"/>
          <w:color w:val="auto"/>
          <w:szCs w:val="21"/>
          <w:u w:val="single"/>
        </w:rPr>
        <w:t>核查服务</w:t>
      </w:r>
      <w:r>
        <w:rPr>
          <w:rFonts w:hint="eastAsia" w:asciiTheme="minorEastAsia" w:hAnsiTheme="minorEastAsia" w:eastAsiaTheme="minorEastAsia" w:cstheme="minorEastAsia"/>
          <w:color w:val="auto"/>
          <w:szCs w:val="21"/>
        </w:rPr>
        <w:t>，具体内容根据甲方具体要求确定。</w:t>
      </w:r>
    </w:p>
    <w:p>
      <w:pPr>
        <w:adjustRightInd w:val="0"/>
        <w:snapToGrid w:val="0"/>
        <w:spacing w:before="120" w:after="120" w:line="360" w:lineRule="auto"/>
        <w:ind w:firstLine="422" w:firstLineChars="200"/>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一、合同内容（详见标项内容）</w:t>
      </w:r>
    </w:p>
    <w:p>
      <w:pPr>
        <w:adjustRightInd w:val="0"/>
        <w:snapToGrid w:val="0"/>
        <w:spacing w:before="120" w:after="120" w:line="360" w:lineRule="auto"/>
        <w:ind w:firstLine="422" w:firstLineChars="200"/>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二、甲方的权利和义务</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1、甲方负责提交企业碳报告资料给乙方，并组好组织协调工作。</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2、甲方将对乙方的核查工作的进度、质量等进行监督管理和考核，考核结果将作为乙方下一年度是否继续参与核查服务的重要参考，考核办法另行制定。</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3、甲方有权要求乙方更换不称职或应回避的人员。</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4、对不合格的核查报告，甲方有权责令乙方按时整改。</w:t>
      </w:r>
    </w:p>
    <w:p>
      <w:pPr>
        <w:adjustRightInd w:val="0"/>
        <w:snapToGrid w:val="0"/>
        <w:spacing w:before="120" w:after="120" w:line="360" w:lineRule="auto"/>
        <w:ind w:firstLine="422" w:firstLineChars="200"/>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三、乙方的权利和义务</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严格按照甲方的要求，及时组织开展核查工作，接受甲方的业务指导和监督。核查报告分为碳交易纳入企业和非碳交易纳入企业两个批次，乙方须在甲方下达相应批次核查任务后1个月内通过省气候变化交流平台提交核查报告。经复查后如果核查报告需要修改，乙方应按要求及时修改并提交修改后的报告。如有现场复查工作安排，乙方应配合做好现场复查工作。若乙方为联合体，则应注明牵头方和成员方，并由联合体各方共同完成项目的实施工作。</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乙方应在人员安排上给予及时保障，在接到甲方的第三方核查服务通知后及时接受资料及安排相关核查人员。核查人员应具备与核查事项相关的专业知识和业务能力，完全胜任所承担的核查任务。每个企业核查小组成员不少于2人，赴现场不少于2人。乙方项目组成员在合同期内的人员变更须经甲方同意，替换人员资质能力不得低于被替换人员。</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3、乙方不得将甲方组织的第三方核查服务分包或转包给其他单位或个人。因故不能接受委托任务安排的，向甲方报告并经同意，否则视作该乙方自动放弃核查服务资格。</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4、乙方核查人员在办理核查事项时，应当客观公正、实事求是、廉洁奉公，并保持严谨、稳健、负责的职业态度。在执行核查任务时，应真实反映核查结果，客观评价核查事项。</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5、乙方不得泄露与第三方核查服务有关的保密数据资料，核查报告只向甲方提供，不得自行提供给其他单位。核查过程取得的核查资料、企业信息应按档案管理要求进行保密管理，不得泄露。</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6、乙方在完成年度工作后，根据甲方要求，需提交工作总结报告。</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7</w:t>
      </w:r>
      <w:r>
        <w:rPr>
          <w:rFonts w:hint="eastAsia" w:asciiTheme="minorEastAsia" w:hAnsiTheme="minorEastAsia" w:eastAsiaTheme="minorEastAsia" w:cstheme="minorEastAsia"/>
          <w:color w:val="auto"/>
          <w:szCs w:val="21"/>
        </w:rPr>
        <w:t>、因乙方原因导致核查结果有严重错误，并造成甲方经济损失的，乙方应承担相应的经济责任。</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8</w:t>
      </w:r>
      <w:r>
        <w:rPr>
          <w:rFonts w:hint="eastAsia" w:asciiTheme="minorEastAsia" w:hAnsiTheme="minorEastAsia" w:eastAsiaTheme="minorEastAsia" w:cstheme="minorEastAsia"/>
          <w:color w:val="auto"/>
          <w:szCs w:val="21"/>
        </w:rPr>
        <w:t>、乙方如因其他原因被中止参与核查，仍应协助甲方完成已核查项目的后续工作。</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9</w:t>
      </w:r>
      <w:r>
        <w:rPr>
          <w:rFonts w:hint="eastAsia" w:asciiTheme="minorEastAsia" w:hAnsiTheme="minorEastAsia" w:eastAsiaTheme="minorEastAsia" w:cstheme="minorEastAsia"/>
          <w:color w:val="auto"/>
          <w:szCs w:val="21"/>
        </w:rPr>
        <w:t>、乙方未能按合同约定时间提交核查报告且无正当理由的，视为违约。因主观原因，核查报告提交超过约定的核查时限的，自逾期之日起，每日扣减该单项工程5%的核查费，以该单项核查费用总额为上限。由于第三方的原因使核查工作延期，则乙方应当将此情况及可能产生的影响以书面形式及时通知甲方，核查时限经甲方同意后可相应延长。</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10</w:t>
      </w:r>
      <w:r>
        <w:rPr>
          <w:rFonts w:hint="eastAsia" w:asciiTheme="minorEastAsia" w:hAnsiTheme="minorEastAsia" w:eastAsiaTheme="minorEastAsia" w:cstheme="minorEastAsia"/>
          <w:color w:val="auto"/>
          <w:szCs w:val="21"/>
        </w:rPr>
        <w:t>、乙方应确保项目核查工作质量，按甲方要求按时完成核查工作。</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11</w:t>
      </w:r>
      <w:r>
        <w:rPr>
          <w:rFonts w:hint="eastAsia" w:asciiTheme="minorEastAsia" w:hAnsiTheme="minorEastAsia" w:eastAsiaTheme="minorEastAsia" w:cstheme="minorEastAsia"/>
          <w:color w:val="auto"/>
          <w:szCs w:val="21"/>
        </w:rPr>
        <w:t>、乙方应自觉遵守有关规定，严格执行核查、廉政纪律和职业道德。甲方在服务期间发现第三方核查服务单位存在廉政问题，有权取消乙方第三方核查服务资格。</w:t>
      </w:r>
    </w:p>
    <w:p>
      <w:pPr>
        <w:adjustRightInd w:val="0"/>
        <w:snapToGrid w:val="0"/>
        <w:spacing w:before="120" w:after="120" w:line="360" w:lineRule="auto"/>
        <w:ind w:firstLine="422" w:firstLineChars="200"/>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四、合同金额和付款方式</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1、合同金额：</w:t>
      </w:r>
      <w:r>
        <w:rPr>
          <w:rFonts w:hint="eastAsia" w:asciiTheme="minorEastAsia" w:hAnsiTheme="minorEastAsia" w:eastAsiaTheme="minorEastAsia" w:cstheme="minorEastAsia"/>
          <w:b/>
          <w:color w:val="auto"/>
          <w:szCs w:val="21"/>
        </w:rPr>
        <w:t>总价</w:t>
      </w:r>
      <w:r>
        <w:rPr>
          <w:rFonts w:hint="eastAsia" w:asciiTheme="minorEastAsia" w:hAnsiTheme="minorEastAsia" w:eastAsiaTheme="minorEastAsia" w:cstheme="minorEastAsia"/>
          <w:b/>
          <w:color w:val="auto"/>
          <w:szCs w:val="21"/>
          <w:u w:val="single"/>
        </w:rPr>
        <w:t xml:space="preserve">            </w:t>
      </w:r>
      <w:r>
        <w:rPr>
          <w:rFonts w:hint="eastAsia" w:asciiTheme="minorEastAsia" w:hAnsiTheme="minorEastAsia" w:eastAsiaTheme="minorEastAsia" w:cstheme="minorEastAsia"/>
          <w:b/>
          <w:color w:val="auto"/>
          <w:szCs w:val="21"/>
        </w:rPr>
        <w:t>元，单价</w:t>
      </w:r>
      <w:r>
        <w:rPr>
          <w:rFonts w:hint="eastAsia" w:asciiTheme="minorEastAsia" w:hAnsiTheme="minorEastAsia" w:eastAsiaTheme="minorEastAsia" w:cstheme="minorEastAsia"/>
          <w:b/>
          <w:color w:val="auto"/>
          <w:szCs w:val="21"/>
          <w:u w:val="single"/>
        </w:rPr>
        <w:t xml:space="preserve">       </w:t>
      </w:r>
      <w:r>
        <w:rPr>
          <w:rFonts w:hint="eastAsia" w:asciiTheme="minorEastAsia" w:hAnsiTheme="minorEastAsia" w:eastAsiaTheme="minorEastAsia" w:cstheme="minorEastAsia"/>
          <w:b/>
          <w:color w:val="auto"/>
          <w:szCs w:val="21"/>
        </w:rPr>
        <w:t>元；</w:t>
      </w:r>
      <w:r>
        <w:rPr>
          <w:rFonts w:hint="eastAsia" w:asciiTheme="minorEastAsia" w:hAnsiTheme="minorEastAsia" w:eastAsiaTheme="minorEastAsia" w:cstheme="minorEastAsia"/>
          <w:color w:val="auto"/>
          <w:szCs w:val="21"/>
        </w:rPr>
        <w:t xml:space="preserve"> </w:t>
      </w:r>
      <w:r>
        <w:rPr>
          <w:rFonts w:hint="eastAsia" w:asciiTheme="minorEastAsia" w:hAnsiTheme="minorEastAsia" w:eastAsiaTheme="minorEastAsia" w:cstheme="minorEastAsia"/>
          <w:b/>
          <w:color w:val="auto"/>
          <w:szCs w:val="21"/>
        </w:rPr>
        <w:t>数量：</w:t>
      </w:r>
      <w:r>
        <w:rPr>
          <w:rFonts w:hint="eastAsia" w:asciiTheme="minorEastAsia" w:hAnsiTheme="minorEastAsia" w:eastAsiaTheme="minorEastAsia" w:cstheme="minorEastAsia"/>
          <w:b/>
          <w:color w:val="auto"/>
          <w:szCs w:val="21"/>
          <w:u w:val="single"/>
        </w:rPr>
        <w:t>详见“合同内容”。</w:t>
      </w:r>
    </w:p>
    <w:p>
      <w:pPr>
        <w:pStyle w:val="25"/>
        <w:adjustRightInd w:val="0"/>
        <w:snapToGrid w:val="0"/>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2、支付方式：</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（1）合同签订生效后，甲方支付乙方合同总价金额的30%作为预付款。</w:t>
      </w:r>
    </w:p>
    <w:p>
      <w:pPr>
        <w:pStyle w:val="25"/>
        <w:adjustRightInd w:val="0"/>
        <w:snapToGrid w:val="0"/>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乙方按要求提交核查报告，经甲方审核通过后，结算价格由乙方实际完成的核查企业数量和合同单价确定，即结算价格=乙方实际完成的核查企业数量×合同单价；合同单价不予调整。乙方开具正式发票，甲方自收到乙方发票后10个工作日内一次性支付给乙方；</w:t>
      </w:r>
    </w:p>
    <w:p>
      <w:pPr>
        <w:pStyle w:val="25"/>
        <w:adjustRightInd w:val="0"/>
        <w:snapToGrid w:val="0"/>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（3）以上价款用人民币结算。</w:t>
      </w:r>
    </w:p>
    <w:p>
      <w:pPr>
        <w:pStyle w:val="25"/>
        <w:adjustRightInd w:val="0"/>
        <w:snapToGrid w:val="0"/>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t>（4）因乙方原因导致核查结果有严重错误，并造成甲方经济损失的，乙方应承担相应的经济责任。</w:t>
      </w:r>
    </w:p>
    <w:p>
      <w:pPr>
        <w:adjustRightInd w:val="0"/>
        <w:snapToGrid w:val="0"/>
        <w:spacing w:before="120" w:after="120" w:line="360" w:lineRule="auto"/>
        <w:ind w:firstLine="422" w:firstLineChars="200"/>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五、违约责任</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甲方应当履行合同约定的义务，如有违反，须承担相应的违约责任。甲方未能按合同约定支付合同价款或付款延误的，乙方有权暂停履行合同；甲方无法继续履行或明确表示不履行或实质上已停止履行合同的，乙方向甲方要求支付核查费用，如甲方不予配合，乙方可以提出中止合同。</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2、乙方无法继续履行或明确表示不履行或实质上已停止履行合同的，甲方将视情况取消核查业务资格及追究其他经济责任等处罚措施。</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乙方或其派遣的核查人员有下列情形之一的，由甲方调查处理，情节严重的将予以清退。甲方在本次服务期内不再安排相关业务给被清退的第三方核查服务单位、被清退第三方核查服务单位直接责任人员今后不得在甲方业务范围内从事核查工作，造成经济损失的，应承担相应赔偿责任：</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3.1没有按照核查程序和步骤开展工作，导致核查结果产生负面影响的，或重大违纪违规问题应当披露而未披露的；</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3.2将其受聘的第三方核查服务再委托或转让给其他单位承担；</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3.3参审过程中，甲方发现乙方原投标申报主要核查人员不满足项目要求，已不具备第三方核查服务条件的；</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3.4在一个年度内同一家企业累计两次以上核查报告被甲方或项目委托方退回的，或没有在规定时间内完成核查工作的；</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3.5乙方在甲方组织的年度考核不合格；</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乙方在核查过程中应严格执行甲方的单位工作纪律，若发现因弄虚作假、徇私舞弊或滥用职权造成核查结果严重失实以及发生其他重大过失、违约等情况的，甲方将不支付核查费用，并依法追究其相关责任，涉嫌犯罪的移送司法部门处理。</w:t>
      </w:r>
    </w:p>
    <w:p>
      <w:pPr>
        <w:adjustRightInd w:val="0"/>
        <w:snapToGrid w:val="0"/>
        <w:spacing w:before="120" w:after="120" w:line="360" w:lineRule="auto"/>
        <w:ind w:firstLine="422" w:firstLineChars="200"/>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六、协议的有效期限和终止</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1、本协议自初次委托之日起生效，至    年   月   日之前承接的项目完成时终止。</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2、协议的终止并不影响双方应有的权利和应当承担的责任。</w:t>
      </w:r>
    </w:p>
    <w:p>
      <w:pPr>
        <w:adjustRightInd w:val="0"/>
        <w:snapToGrid w:val="0"/>
        <w:spacing w:before="120" w:after="120" w:line="360" w:lineRule="auto"/>
        <w:ind w:firstLine="422" w:firstLineChars="200"/>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七、协议的文本及生效。</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1、本协议一式五份，甲乙双方各执二份，鉴证方一份。</w:t>
      </w:r>
    </w:p>
    <w:p>
      <w:pPr>
        <w:autoSpaceDE w:val="0"/>
        <w:autoSpaceDN w:val="0"/>
        <w:adjustRightInd w:val="0"/>
        <w:snapToGrid w:val="0"/>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2、本协议需由双方法定代表人或授权代理人签字并加盖公章。</w:t>
      </w:r>
    </w:p>
    <w:p>
      <w:pPr>
        <w:autoSpaceDE w:val="0"/>
        <w:autoSpaceDN w:val="0"/>
        <w:adjustRightInd w:val="0"/>
        <w:snapToGrid w:val="0"/>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3、本协议未涉及的部分“</w:t>
      </w:r>
      <w:r>
        <w:rPr>
          <w:rFonts w:hint="eastAsia" w:asciiTheme="minorEastAsia" w:hAnsiTheme="minorEastAsia" w:eastAsiaTheme="minorEastAsia" w:cstheme="minorEastAsia"/>
          <w:snapToGrid w:val="0"/>
          <w:color w:val="auto"/>
          <w:kern w:val="0"/>
          <w:szCs w:val="21"/>
        </w:rPr>
        <w:t>2020年浙江省碳交易纳入企业温室气体排放报告核查复查项目</w:t>
      </w:r>
      <w:r>
        <w:rPr>
          <w:rFonts w:hint="eastAsia" w:asciiTheme="minorEastAsia" w:hAnsiTheme="minorEastAsia" w:eastAsiaTheme="minorEastAsia" w:cstheme="minorEastAsia"/>
          <w:color w:val="auto"/>
          <w:szCs w:val="21"/>
        </w:rPr>
        <w:t>”采购文件及其补充文件（如有）为准，上述文件和乙方针对本项目的响应文件及承诺是本协议的附件，与本协议具有同等法律效力。</w:t>
      </w:r>
    </w:p>
    <w:p>
      <w:pPr>
        <w:pStyle w:val="50"/>
        <w:ind w:right="0" w:firstLine="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4、本协议未尽事宜，经双方商议可续签补充协议。</w:t>
      </w:r>
    </w:p>
    <w:p>
      <w:pPr>
        <w:pStyle w:val="25"/>
        <w:adjustRightInd w:val="0"/>
        <w:snapToGrid w:val="0"/>
        <w:spacing w:line="360" w:lineRule="auto"/>
        <w:ind w:firstLine="420" w:firstLineChars="200"/>
        <w:rPr>
          <w:rFonts w:hint="eastAsia" w:asciiTheme="minorEastAsia" w:hAnsiTheme="minorEastAsia" w:eastAsiaTheme="minorEastAsia" w:cstheme="minorEastAsia"/>
          <w:bCs/>
          <w:color w:val="auto"/>
        </w:rPr>
      </w:pPr>
    </w:p>
    <w:p>
      <w:pPr>
        <w:pStyle w:val="25"/>
        <w:adjustRightInd w:val="0"/>
        <w:snapToGrid w:val="0"/>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Cs/>
          <w:color w:val="auto"/>
        </w:rPr>
        <w:t>甲方（盖章）：                       乙方（盖章）：</w:t>
      </w:r>
    </w:p>
    <w:p>
      <w:pPr>
        <w:pStyle w:val="25"/>
        <w:adjustRightInd w:val="0"/>
        <w:snapToGrid w:val="0"/>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法定代表人或授权代表                 法定代表人或授权代表</w:t>
      </w:r>
    </w:p>
    <w:p>
      <w:pPr>
        <w:pStyle w:val="25"/>
        <w:adjustRightInd w:val="0"/>
        <w:snapToGrid w:val="0"/>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（签字）                             （签字）</w:t>
      </w:r>
    </w:p>
    <w:p>
      <w:pPr>
        <w:pStyle w:val="25"/>
        <w:adjustRightInd w:val="0"/>
        <w:snapToGrid w:val="0"/>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地址：                               地址： </w:t>
      </w:r>
    </w:p>
    <w:p>
      <w:pPr>
        <w:pStyle w:val="25"/>
        <w:adjustRightInd w:val="0"/>
        <w:snapToGrid w:val="0"/>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邮编：                               邮编：</w:t>
      </w:r>
    </w:p>
    <w:p>
      <w:pPr>
        <w:pStyle w:val="25"/>
        <w:adjustRightInd w:val="0"/>
        <w:snapToGrid w:val="0"/>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电话：                               电话：</w:t>
      </w:r>
    </w:p>
    <w:p>
      <w:pPr>
        <w:pStyle w:val="25"/>
        <w:adjustRightInd w:val="0"/>
        <w:snapToGrid w:val="0"/>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传真：                               传真：</w:t>
      </w:r>
    </w:p>
    <w:p>
      <w:pPr>
        <w:pStyle w:val="25"/>
        <w:adjustRightInd w:val="0"/>
        <w:snapToGrid w:val="0"/>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开户银行：                           开户银行：</w:t>
      </w:r>
    </w:p>
    <w:p>
      <w:pPr>
        <w:pStyle w:val="25"/>
        <w:adjustRightInd w:val="0"/>
        <w:snapToGrid w:val="0"/>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帐号：                               帐号：</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szCs w:val="21"/>
        </w:rPr>
      </w:pP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szCs w:val="21"/>
        </w:rPr>
        <w:t>合同鉴证方（盖章）:</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szCs w:val="21"/>
        </w:rPr>
        <w:t>法定代表人或主要负责人:</w:t>
      </w:r>
    </w:p>
    <w:p>
      <w:pPr>
        <w:pStyle w:val="25"/>
        <w:adjustRightInd w:val="0"/>
        <w:snapToGrid w:val="0"/>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鉴证日期:      年  月  日  </w:t>
      </w:r>
    </w:p>
    <w:p>
      <w:pPr>
        <w:spacing w:line="360" w:lineRule="auto"/>
        <w:ind w:firstLine="420" w:firstLineChars="200"/>
        <w:rPr>
          <w:rFonts w:hint="eastAsia" w:asciiTheme="minorEastAsia" w:hAnsiTheme="minorEastAsia" w:eastAsiaTheme="minorEastAsia" w:cstheme="minorEastAsia"/>
          <w:color w:val="auto"/>
          <w:szCs w:val="21"/>
        </w:rPr>
      </w:pPr>
    </w:p>
    <w:bookmarkEnd w:id="65"/>
    <w:p>
      <w:pPr>
        <w:adjustRightInd w:val="0"/>
        <w:snapToGrid w:val="0"/>
        <w:spacing w:before="120" w:beforeLines="50" w:after="120" w:afterLines="50" w:line="360" w:lineRule="auto"/>
        <w:jc w:val="center"/>
        <w:outlineLvl w:val="0"/>
        <w:rPr>
          <w:rFonts w:hint="eastAsia" w:asciiTheme="minorEastAsia" w:hAnsiTheme="minorEastAsia" w:eastAsiaTheme="minorEastAsia" w:cstheme="minorEastAsia"/>
          <w:b/>
          <w:color w:val="auto"/>
          <w:sz w:val="30"/>
          <w:szCs w:val="30"/>
        </w:rPr>
      </w:pPr>
      <w:r>
        <w:rPr>
          <w:rFonts w:hint="eastAsia" w:asciiTheme="minorEastAsia" w:hAnsiTheme="minorEastAsia" w:eastAsiaTheme="minorEastAsia" w:cstheme="minorEastAsia"/>
          <w:b/>
          <w:color w:val="auto"/>
          <w:sz w:val="30"/>
          <w:szCs w:val="30"/>
        </w:rPr>
        <w:br w:type="page"/>
      </w:r>
      <w:bookmarkStart w:id="68" w:name="_Toc14349"/>
      <w:bookmarkStart w:id="69" w:name="_Toc1408"/>
      <w:r>
        <w:rPr>
          <w:rFonts w:hint="eastAsia" w:asciiTheme="minorEastAsia" w:hAnsiTheme="minorEastAsia" w:eastAsiaTheme="minorEastAsia" w:cstheme="minorEastAsia"/>
          <w:b/>
          <w:color w:val="auto"/>
          <w:sz w:val="30"/>
          <w:szCs w:val="30"/>
        </w:rPr>
        <w:t>第五部分  评标办法</w:t>
      </w:r>
      <w:bookmarkEnd w:id="66"/>
      <w:bookmarkEnd w:id="67"/>
      <w:bookmarkEnd w:id="68"/>
      <w:bookmarkEnd w:id="69"/>
    </w:p>
    <w:p>
      <w:pPr>
        <w:adjustRightInd w:val="0"/>
        <w:snapToGrid w:val="0"/>
        <w:spacing w:line="360" w:lineRule="auto"/>
        <w:ind w:firstLine="420" w:firstLineChars="200"/>
        <w:rPr>
          <w:rFonts w:hint="eastAsia" w:asciiTheme="minorEastAsia" w:hAnsiTheme="minorEastAsia" w:eastAsiaTheme="minorEastAsia" w:cstheme="minorEastAsia"/>
          <w:color w:val="auto"/>
          <w:szCs w:val="21"/>
        </w:rPr>
      </w:pPr>
      <w:bookmarkStart w:id="70" w:name="_Toc415814139"/>
      <w:bookmarkStart w:id="71" w:name="_Toc367274988"/>
      <w:bookmarkStart w:id="72" w:name="_Toc295465366"/>
      <w:bookmarkStart w:id="73" w:name="_Toc249760791"/>
      <w:bookmarkStart w:id="74" w:name="_Toc251566662"/>
      <w:r>
        <w:rPr>
          <w:rFonts w:hint="eastAsia" w:asciiTheme="minorEastAsia" w:hAnsiTheme="minorEastAsia" w:eastAsiaTheme="minorEastAsia" w:cstheme="minorEastAsia"/>
          <w:color w:val="auto"/>
          <w:szCs w:val="21"/>
        </w:rPr>
        <w:t>根据《中华人民共和国政府采购法》、《政府采购货物和服务招标投标管理办法》等有关法律法规，结合本项目的实际，按照公正、公平、科学、择优的原则选择中标人，特制定本办法。</w:t>
      </w:r>
    </w:p>
    <w:p>
      <w:pPr>
        <w:pStyle w:val="25"/>
        <w:adjustRightInd w:val="0"/>
        <w:snapToGrid w:val="0"/>
        <w:spacing w:line="360" w:lineRule="auto"/>
        <w:rPr>
          <w:rFonts w:hint="eastAsia" w:asciiTheme="minorEastAsia" w:hAnsiTheme="minorEastAsia" w:eastAsiaTheme="minorEastAsia" w:cstheme="minorEastAsia"/>
          <w:b/>
          <w:bCs/>
          <w:color w:val="auto"/>
        </w:rPr>
      </w:pPr>
    </w:p>
    <w:p>
      <w:pPr>
        <w:pStyle w:val="3"/>
        <w:snapToGrid w:val="0"/>
        <w:spacing w:before="120" w:beforeLines="50" w:after="120" w:afterLines="50" w:line="360" w:lineRule="auto"/>
        <w:rPr>
          <w:rFonts w:hint="eastAsia" w:asciiTheme="minorEastAsia" w:hAnsiTheme="minorEastAsia" w:eastAsiaTheme="minorEastAsia" w:cstheme="minorEastAsia"/>
          <w:color w:val="auto"/>
          <w:sz w:val="21"/>
          <w:szCs w:val="21"/>
        </w:rPr>
      </w:pPr>
      <w:bookmarkStart w:id="75" w:name="_Toc28817"/>
      <w:bookmarkStart w:id="76" w:name="_Toc19609"/>
      <w:r>
        <w:rPr>
          <w:rFonts w:hint="eastAsia" w:asciiTheme="minorEastAsia" w:hAnsiTheme="minorEastAsia" w:eastAsiaTheme="minorEastAsia" w:cstheme="minorEastAsia"/>
          <w:color w:val="auto"/>
          <w:sz w:val="21"/>
          <w:szCs w:val="21"/>
        </w:rPr>
        <w:t>一、评标原则</w:t>
      </w:r>
      <w:bookmarkEnd w:id="75"/>
      <w:bookmarkEnd w:id="76"/>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1.1本项目评标采用</w:t>
      </w:r>
      <w:r>
        <w:rPr>
          <w:rFonts w:hint="eastAsia" w:asciiTheme="minorEastAsia" w:hAnsiTheme="minorEastAsia" w:eastAsiaTheme="minorEastAsia" w:cstheme="minorEastAsia"/>
          <w:snapToGrid w:val="0"/>
          <w:color w:val="auto"/>
          <w:kern w:val="0"/>
          <w:szCs w:val="21"/>
          <w:u w:val="single"/>
        </w:rPr>
        <w:t>综合评分法</w:t>
      </w:r>
      <w:r>
        <w:rPr>
          <w:rFonts w:hint="eastAsia" w:asciiTheme="minorEastAsia" w:hAnsiTheme="minorEastAsia" w:eastAsiaTheme="minorEastAsia" w:cstheme="minorEastAsia"/>
          <w:snapToGrid w:val="0"/>
          <w:color w:val="auto"/>
          <w:kern w:val="0"/>
          <w:szCs w:val="21"/>
        </w:rPr>
        <w:t>，即投标文件满足招标文件全部实质性要求，且按照评审因素的量化指标评审得分最高的投标人为中标候选人。</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1.2 评标工作由采购代理机构负责组织，具体评标事务由招标人依法组建的评标委员会负责，并独立履行下列职责：</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1.2.1审查投标文件是否符合招标文件要求，并作出评价；</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1.2.2 要求投标供应商对投标文件有关事项作出解释或者澄清；</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1.2.3 推荐中标候选供应商名单，或者受采购人委托按照事先确定的办法直接确定中标供应商；</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1.2.4 向招标采购单位或者有关部门报告非法干预评标工作的行为。</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1.3 评审专家不得参加与自己有利害关系的政府采购项目的评审活动。评标委员会成员有下列情形之一的，应当回避：</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1.3.1 参加采购活动前3年内与供应商存在劳动关系；</w:t>
      </w:r>
      <w:r>
        <w:rPr>
          <w:rFonts w:hint="eastAsia" w:asciiTheme="minorEastAsia" w:hAnsiTheme="minorEastAsia" w:eastAsiaTheme="minorEastAsia" w:cstheme="minorEastAsia"/>
          <w:snapToGrid w:val="0"/>
          <w:color w:val="auto"/>
          <w:kern w:val="0"/>
          <w:szCs w:val="21"/>
        </w:rPr>
        <w:br w:type="textWrapping"/>
      </w:r>
      <w:r>
        <w:rPr>
          <w:rFonts w:hint="eastAsia" w:asciiTheme="minorEastAsia" w:hAnsiTheme="minorEastAsia" w:eastAsiaTheme="minorEastAsia" w:cstheme="minorEastAsia"/>
          <w:snapToGrid w:val="0"/>
          <w:color w:val="auto"/>
          <w:kern w:val="0"/>
          <w:szCs w:val="21"/>
        </w:rPr>
        <w:t>　　1.3.2 参加采购活动前3年内担任供应商的董事、监事；</w:t>
      </w:r>
      <w:r>
        <w:rPr>
          <w:rFonts w:hint="eastAsia" w:asciiTheme="minorEastAsia" w:hAnsiTheme="minorEastAsia" w:eastAsiaTheme="minorEastAsia" w:cstheme="minorEastAsia"/>
          <w:snapToGrid w:val="0"/>
          <w:color w:val="auto"/>
          <w:kern w:val="0"/>
          <w:szCs w:val="21"/>
        </w:rPr>
        <w:br w:type="textWrapping"/>
      </w:r>
      <w:r>
        <w:rPr>
          <w:rFonts w:hint="eastAsia" w:asciiTheme="minorEastAsia" w:hAnsiTheme="minorEastAsia" w:eastAsiaTheme="minorEastAsia" w:cstheme="minorEastAsia"/>
          <w:snapToGrid w:val="0"/>
          <w:color w:val="auto"/>
          <w:kern w:val="0"/>
          <w:szCs w:val="21"/>
        </w:rPr>
        <w:t>　　1.3.3 参加采购活动前3年内是供应商的控股股东或者实际控制人；</w:t>
      </w:r>
      <w:r>
        <w:rPr>
          <w:rFonts w:hint="eastAsia" w:asciiTheme="minorEastAsia" w:hAnsiTheme="minorEastAsia" w:eastAsiaTheme="minorEastAsia" w:cstheme="minorEastAsia"/>
          <w:snapToGrid w:val="0"/>
          <w:color w:val="auto"/>
          <w:kern w:val="0"/>
          <w:szCs w:val="21"/>
        </w:rPr>
        <w:br w:type="textWrapping"/>
      </w:r>
      <w:r>
        <w:rPr>
          <w:rFonts w:hint="eastAsia" w:asciiTheme="minorEastAsia" w:hAnsiTheme="minorEastAsia" w:eastAsiaTheme="minorEastAsia" w:cstheme="minorEastAsia"/>
          <w:snapToGrid w:val="0"/>
          <w:color w:val="auto"/>
          <w:kern w:val="0"/>
          <w:szCs w:val="21"/>
        </w:rPr>
        <w:t>　　1.3.4 与供应商的法定代表人或者负责人有夫妻、直系血亲、三代以内旁系血亲或者近姻亲关系；</w:t>
      </w:r>
      <w:r>
        <w:rPr>
          <w:rFonts w:hint="eastAsia" w:asciiTheme="minorEastAsia" w:hAnsiTheme="minorEastAsia" w:eastAsiaTheme="minorEastAsia" w:cstheme="minorEastAsia"/>
          <w:snapToGrid w:val="0"/>
          <w:color w:val="auto"/>
          <w:kern w:val="0"/>
          <w:szCs w:val="21"/>
        </w:rPr>
        <w:br w:type="textWrapping"/>
      </w:r>
      <w:r>
        <w:rPr>
          <w:rFonts w:hint="eastAsia" w:asciiTheme="minorEastAsia" w:hAnsiTheme="minorEastAsia" w:eastAsiaTheme="minorEastAsia" w:cstheme="minorEastAsia"/>
          <w:snapToGrid w:val="0"/>
          <w:color w:val="auto"/>
          <w:kern w:val="0"/>
          <w:szCs w:val="21"/>
        </w:rPr>
        <w:t>　　1.3.5 与供应商有其他可能影响政府采购活动公平、公正进行的关系。</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1.4 评标委员会必须公平、公正、客观，不带任何倾向性和启发性；不得向外界透露任何与评标有关的内容；任何单位和个人不得干扰、影响评标的正常进行；评标委员会及有关工作人员不得私下与投标人接触。</w:t>
      </w:r>
    </w:p>
    <w:p>
      <w:pPr>
        <w:adjustRightInd w:val="0"/>
        <w:snapToGrid w:val="0"/>
        <w:spacing w:line="360" w:lineRule="auto"/>
        <w:ind w:firstLine="420" w:firstLineChars="200"/>
        <w:rPr>
          <w:rFonts w:hint="eastAsia" w:asciiTheme="minorEastAsia" w:hAnsiTheme="minorEastAsia" w:eastAsiaTheme="minorEastAsia" w:cstheme="minorEastAsia"/>
          <w:b/>
          <w:color w:val="auto"/>
          <w:spacing w:val="-6"/>
          <w:szCs w:val="21"/>
        </w:rPr>
      </w:pPr>
      <w:r>
        <w:rPr>
          <w:rFonts w:hint="eastAsia" w:asciiTheme="minorEastAsia" w:hAnsiTheme="minorEastAsia" w:eastAsiaTheme="minorEastAsia" w:cstheme="minorEastAsia"/>
          <w:snapToGrid w:val="0"/>
          <w:color w:val="auto"/>
          <w:kern w:val="0"/>
          <w:szCs w:val="21"/>
        </w:rPr>
        <w:t>1.5 评标委员会的评审工作应遵循政府采购的有关规定进行，对投标文件作出的评审结论，应当符合有关法律、法规、规章和招标文件的规定。</w:t>
      </w:r>
    </w:p>
    <w:p>
      <w:pPr>
        <w:pStyle w:val="3"/>
        <w:snapToGrid w:val="0"/>
        <w:spacing w:before="120" w:beforeLines="50" w:after="120" w:afterLines="50" w:line="360" w:lineRule="auto"/>
        <w:rPr>
          <w:rFonts w:hint="eastAsia" w:asciiTheme="minorEastAsia" w:hAnsiTheme="minorEastAsia" w:eastAsiaTheme="minorEastAsia" w:cstheme="minorEastAsia"/>
          <w:color w:val="auto"/>
          <w:sz w:val="21"/>
          <w:szCs w:val="21"/>
        </w:rPr>
      </w:pPr>
      <w:bookmarkStart w:id="77" w:name="_Toc29597"/>
      <w:bookmarkStart w:id="78" w:name="_Toc15890"/>
      <w:r>
        <w:rPr>
          <w:rFonts w:hint="eastAsia" w:asciiTheme="minorEastAsia" w:hAnsiTheme="minorEastAsia" w:eastAsiaTheme="minorEastAsia" w:cstheme="minorEastAsia"/>
          <w:color w:val="auto"/>
          <w:sz w:val="21"/>
          <w:szCs w:val="21"/>
        </w:rPr>
        <w:t>二、组建评标委员会</w:t>
      </w:r>
      <w:bookmarkEnd w:id="77"/>
      <w:bookmarkEnd w:id="78"/>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评标工作由招标人依法组建的评标委员会（评标专家组）负责。</w:t>
      </w:r>
    </w:p>
    <w:p>
      <w:pPr>
        <w:pStyle w:val="20"/>
        <w:snapToGrid w:val="0"/>
        <w:ind w:firstLine="388" w:firstLineChars="196"/>
        <w:rPr>
          <w:rFonts w:hint="eastAsia" w:asciiTheme="minorEastAsia" w:hAnsiTheme="minorEastAsia" w:eastAsiaTheme="minorEastAsia" w:cstheme="minorEastAsia"/>
          <w:color w:val="auto"/>
          <w:spacing w:val="-6"/>
          <w:sz w:val="21"/>
          <w:szCs w:val="21"/>
        </w:rPr>
      </w:pPr>
    </w:p>
    <w:p>
      <w:pPr>
        <w:pStyle w:val="3"/>
        <w:snapToGrid w:val="0"/>
        <w:spacing w:before="120" w:beforeLines="50" w:after="120" w:afterLines="50" w:line="360" w:lineRule="auto"/>
        <w:rPr>
          <w:rFonts w:hint="eastAsia" w:asciiTheme="minorEastAsia" w:hAnsiTheme="minorEastAsia" w:eastAsiaTheme="minorEastAsia" w:cstheme="minorEastAsia"/>
          <w:color w:val="auto"/>
          <w:sz w:val="21"/>
          <w:szCs w:val="21"/>
        </w:rPr>
      </w:pPr>
      <w:bookmarkStart w:id="79" w:name="_Toc21082"/>
      <w:bookmarkStart w:id="80" w:name="_Toc996"/>
      <w:r>
        <w:rPr>
          <w:rFonts w:hint="eastAsia" w:asciiTheme="minorEastAsia" w:hAnsiTheme="minorEastAsia" w:eastAsiaTheme="minorEastAsia" w:cstheme="minorEastAsia"/>
          <w:color w:val="auto"/>
          <w:sz w:val="21"/>
          <w:szCs w:val="21"/>
        </w:rPr>
        <w:t>三、评标程序和内容</w:t>
      </w:r>
      <w:bookmarkEnd w:id="79"/>
      <w:bookmarkEnd w:id="80"/>
    </w:p>
    <w:p>
      <w:pPr>
        <w:adjustRightInd w:val="0"/>
        <w:snapToGrid w:val="0"/>
        <w:spacing w:line="360" w:lineRule="auto"/>
        <w:ind w:firstLine="422"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b/>
          <w:bCs/>
          <w:snapToGrid w:val="0"/>
          <w:color w:val="auto"/>
          <w:kern w:val="0"/>
          <w:szCs w:val="21"/>
        </w:rPr>
        <w:t>3.1评标的一般程序</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3.1.1推荐评标委员会组长；</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3.1.2熟悉招标文件和评标办法；</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3.1.3投标文件的初步评审；</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3.1.4投标文件的详细评审；</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3.1.5必要时对投标文件中的问题进行澄清；</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3.1.6根据评标办法对投标文件进行评分；</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3.1.7完成评标报告，推荐中标候选人。</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p>
    <w:p>
      <w:pPr>
        <w:adjustRightInd w:val="0"/>
        <w:snapToGrid w:val="0"/>
        <w:spacing w:line="360" w:lineRule="auto"/>
        <w:ind w:firstLine="422"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b/>
          <w:bCs/>
          <w:snapToGrid w:val="0"/>
          <w:color w:val="auto"/>
          <w:kern w:val="0"/>
          <w:szCs w:val="21"/>
        </w:rPr>
        <w:t>3.2投标文件的资格、符合性评审</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3.2.1开标结束后，采购人或者采购代理机构应当依法对投标人的资格进行审查。</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投标人未按照采购文件投标须知9.1条要求提供与基本资格条件、特定资格条件相应的有效资格证明材料的，视为投标人不具备采购文件中规定的资格要求，其资格审查不通过。</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3.2.2投标人不得通过补充、修改或撤销投标文件中的内容使其成为实质性响应的投标。投标人在投标截止以后不得提交任何资料作为评标依据。</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3.2.3在符合性审查和商务评审时，如发现下列情形之一的，投标文件将被视为无效，不再进入技术评审：</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3.2.3.</w:t>
      </w:r>
      <w:r>
        <w:rPr>
          <w:rFonts w:hint="eastAsia" w:asciiTheme="minorEastAsia" w:hAnsiTheme="minorEastAsia" w:eastAsiaTheme="minorEastAsia" w:cstheme="minorEastAsia"/>
          <w:snapToGrid w:val="0"/>
          <w:color w:val="auto"/>
          <w:kern w:val="0"/>
          <w:szCs w:val="21"/>
          <w:lang w:val="en-US" w:eastAsia="zh-CN"/>
        </w:rPr>
        <w:t>1</w:t>
      </w:r>
      <w:r>
        <w:rPr>
          <w:rFonts w:hint="eastAsia" w:asciiTheme="minorEastAsia" w:hAnsiTheme="minorEastAsia" w:eastAsiaTheme="minorEastAsia" w:cstheme="minorEastAsia"/>
          <w:snapToGrid w:val="0"/>
          <w:color w:val="auto"/>
          <w:kern w:val="0"/>
          <w:szCs w:val="21"/>
        </w:rPr>
        <w:t xml:space="preserve"> 投标文件无法定代表人或其授权体表签字或盖章，或未提供法定代表人授权委托书或者填写项目不齐全的；（针对投标函及授权委托书）</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3.2.3.</w:t>
      </w:r>
      <w:r>
        <w:rPr>
          <w:rFonts w:hint="eastAsia" w:asciiTheme="minorEastAsia" w:hAnsiTheme="minorEastAsia" w:eastAsiaTheme="minorEastAsia" w:cstheme="minorEastAsia"/>
          <w:snapToGrid w:val="0"/>
          <w:color w:val="auto"/>
          <w:kern w:val="0"/>
          <w:szCs w:val="21"/>
          <w:lang w:val="en-US" w:eastAsia="zh-CN"/>
        </w:rPr>
        <w:t>2</w:t>
      </w:r>
      <w:r>
        <w:rPr>
          <w:rFonts w:hint="eastAsia" w:asciiTheme="minorEastAsia" w:hAnsiTheme="minorEastAsia" w:eastAsiaTheme="minorEastAsia" w:cstheme="minorEastAsia"/>
          <w:snapToGrid w:val="0"/>
          <w:color w:val="auto"/>
          <w:kern w:val="0"/>
          <w:szCs w:val="21"/>
        </w:rPr>
        <w:t xml:space="preserve"> 投标文件内容虚假的；</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3.2.3.</w:t>
      </w:r>
      <w:r>
        <w:rPr>
          <w:rFonts w:hint="eastAsia" w:asciiTheme="minorEastAsia" w:hAnsiTheme="minorEastAsia" w:eastAsiaTheme="minorEastAsia" w:cstheme="minorEastAsia"/>
          <w:snapToGrid w:val="0"/>
          <w:color w:val="auto"/>
          <w:kern w:val="0"/>
          <w:szCs w:val="21"/>
          <w:lang w:val="en-US" w:eastAsia="zh-CN"/>
        </w:rPr>
        <w:t>3</w:t>
      </w:r>
      <w:r>
        <w:rPr>
          <w:rFonts w:hint="eastAsia" w:asciiTheme="minorEastAsia" w:hAnsiTheme="minorEastAsia" w:eastAsiaTheme="minorEastAsia" w:cstheme="minorEastAsia"/>
          <w:snapToGrid w:val="0"/>
          <w:color w:val="auto"/>
          <w:kern w:val="0"/>
          <w:szCs w:val="21"/>
        </w:rPr>
        <w:t xml:space="preserve"> 投标有效期不能满足招标文件要求的；</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3.2.3.</w:t>
      </w:r>
      <w:r>
        <w:rPr>
          <w:rFonts w:hint="eastAsia" w:asciiTheme="minorEastAsia" w:hAnsiTheme="minorEastAsia" w:eastAsiaTheme="minorEastAsia" w:cstheme="minorEastAsia"/>
          <w:snapToGrid w:val="0"/>
          <w:color w:val="auto"/>
          <w:kern w:val="0"/>
          <w:szCs w:val="21"/>
          <w:lang w:val="en-US" w:eastAsia="zh-CN"/>
        </w:rPr>
        <w:t>4</w:t>
      </w:r>
      <w:r>
        <w:rPr>
          <w:rFonts w:hint="eastAsia" w:asciiTheme="minorEastAsia" w:hAnsiTheme="minorEastAsia" w:eastAsiaTheme="minorEastAsia" w:cstheme="minorEastAsia"/>
          <w:snapToGrid w:val="0"/>
          <w:color w:val="auto"/>
          <w:kern w:val="0"/>
          <w:szCs w:val="21"/>
        </w:rPr>
        <w:t xml:space="preserve"> 未实质性响应招标文件标“▲”的要求或者投标文件有招标人不能接受的附加条件的；</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3.2.3.</w:t>
      </w:r>
      <w:r>
        <w:rPr>
          <w:rFonts w:hint="eastAsia" w:asciiTheme="minorEastAsia" w:hAnsiTheme="minorEastAsia" w:eastAsiaTheme="minorEastAsia" w:cstheme="minorEastAsia"/>
          <w:snapToGrid w:val="0"/>
          <w:color w:val="auto"/>
          <w:kern w:val="0"/>
          <w:szCs w:val="21"/>
          <w:lang w:val="en-US" w:eastAsia="zh-CN"/>
        </w:rPr>
        <w:t>5</w:t>
      </w:r>
      <w:r>
        <w:rPr>
          <w:rFonts w:hint="eastAsia" w:asciiTheme="minorEastAsia" w:hAnsiTheme="minorEastAsia" w:eastAsiaTheme="minorEastAsia" w:cstheme="minorEastAsia"/>
          <w:snapToGrid w:val="0"/>
          <w:color w:val="auto"/>
          <w:kern w:val="0"/>
          <w:szCs w:val="21"/>
        </w:rPr>
        <w:t xml:space="preserve"> 存在法律、法规、规章规定的其它无效投标情况的。</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3.2.4在技术评审时，如发现下列情形之一的，投标文件将被视为无效，不再进入报价评审：</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3.2.4.1 未提供或未如实提供技术方案，或者投标文件标明的响应或偏离与事实不符或虚假投标的；</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3.2.4.2 明显不符合招标文件要求的投标内容、质量标准，或者与招标文件中标“▲”的技术指标、主要服务项目发生实质性偏离的；</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3.2.4.3 投标方案不明确的；</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3.2.5在报价评审时，如发现下列情形之一的，投标文件将被视为无效，不再进入评标排序：</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3.2.5.1 投标报价具有选择性的；</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3.2.5.2 投标报价超过</w:t>
      </w:r>
      <w:r>
        <w:rPr>
          <w:rFonts w:hint="eastAsia" w:asciiTheme="minorEastAsia" w:hAnsiTheme="minorEastAsia" w:eastAsiaTheme="minorEastAsia" w:cstheme="minorEastAsia"/>
          <w:snapToGrid w:val="0"/>
          <w:color w:val="auto"/>
          <w:kern w:val="0"/>
          <w:szCs w:val="21"/>
          <w:lang w:val="en-US" w:eastAsia="zh-CN"/>
        </w:rPr>
        <w:t>所投标项</w:t>
      </w:r>
      <w:r>
        <w:rPr>
          <w:rFonts w:hint="eastAsia" w:asciiTheme="minorEastAsia" w:hAnsiTheme="minorEastAsia" w:eastAsiaTheme="minorEastAsia" w:cstheme="minorEastAsia"/>
          <w:snapToGrid w:val="0"/>
          <w:color w:val="auto"/>
          <w:kern w:val="0"/>
          <w:szCs w:val="21"/>
        </w:rPr>
        <w:t>预算的；</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3.2.5.3开标一览表投标报价为零的（包括投标文件中标明：免费或赠予）或其报价（大写）无法按正常书写方式进行报价唱标的或无投标报价的。</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lang w:val="en-US" w:eastAsia="zh-CN"/>
        </w:rPr>
        <w:t>3.2.5.4</w:t>
      </w:r>
      <w:r>
        <w:rPr>
          <w:rFonts w:hint="eastAsia" w:asciiTheme="minorEastAsia" w:hAnsiTheme="minorEastAsia" w:eastAsiaTheme="minorEastAsia" w:cstheme="minorEastAsia"/>
          <w:snapToGrid w:val="0"/>
          <w:color w:val="auto"/>
          <w:kern w:val="0"/>
          <w:szCs w:val="21"/>
        </w:rPr>
        <w:t>政采云平台填报的开标一览表中的价格与上传的报价响应文件中开标一览表的报价不一致的</w:t>
      </w:r>
      <w:r>
        <w:rPr>
          <w:rFonts w:hint="eastAsia" w:asciiTheme="minorEastAsia" w:hAnsiTheme="minorEastAsia" w:eastAsiaTheme="minorEastAsia" w:cstheme="minorEastAsia"/>
          <w:snapToGrid w:val="0"/>
          <w:color w:val="auto"/>
          <w:kern w:val="0"/>
          <w:szCs w:val="21"/>
          <w:lang w:eastAsia="zh-CN"/>
        </w:rPr>
        <w:t>。</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3.3 评标委员会负责对通过符合性审查的投标人的投标文件进行详细评审，评审内容分以下三部分：</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3.3.1资信部分：由</w:t>
      </w:r>
      <w:r>
        <w:rPr>
          <w:rFonts w:hint="eastAsia" w:asciiTheme="minorEastAsia" w:hAnsiTheme="minorEastAsia" w:eastAsiaTheme="minorEastAsia" w:cstheme="minorEastAsia"/>
          <w:snapToGrid w:val="0"/>
          <w:color w:val="auto"/>
          <w:kern w:val="0"/>
          <w:szCs w:val="21"/>
          <w:lang w:val="en-US" w:eastAsia="zh-CN"/>
        </w:rPr>
        <w:t>评标委员会</w:t>
      </w:r>
      <w:r>
        <w:rPr>
          <w:rFonts w:hint="eastAsia" w:asciiTheme="minorEastAsia" w:hAnsiTheme="minorEastAsia" w:eastAsiaTheme="minorEastAsia" w:cstheme="minorEastAsia"/>
          <w:snapToGrid w:val="0"/>
          <w:color w:val="auto"/>
          <w:kern w:val="0"/>
          <w:szCs w:val="21"/>
        </w:rPr>
        <w:t>集体讨论后，按少数服从多数的原则，统一评分分值。</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3.3.2技术部分：由</w:t>
      </w:r>
      <w:r>
        <w:rPr>
          <w:rFonts w:hint="eastAsia" w:asciiTheme="minorEastAsia" w:hAnsiTheme="minorEastAsia" w:eastAsiaTheme="minorEastAsia" w:cstheme="minorEastAsia"/>
          <w:snapToGrid w:val="0"/>
          <w:color w:val="auto"/>
          <w:kern w:val="0"/>
          <w:szCs w:val="21"/>
          <w:lang w:val="en-US" w:eastAsia="zh-CN"/>
        </w:rPr>
        <w:t>评标委员会</w:t>
      </w:r>
      <w:r>
        <w:rPr>
          <w:rFonts w:hint="eastAsia" w:asciiTheme="minorEastAsia" w:hAnsiTheme="minorEastAsia" w:eastAsiaTheme="minorEastAsia" w:cstheme="minorEastAsia"/>
          <w:snapToGrid w:val="0"/>
          <w:color w:val="auto"/>
          <w:kern w:val="0"/>
          <w:szCs w:val="21"/>
        </w:rPr>
        <w:t>采用记名方式各自评分，此项评分为全部有效评分的算术平均值。如某一份评分表中某一项评分，超过评标细则所规定的分值范围，则该张打分表无效。</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3.3.3价格部分：</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价格部分由评标委员会统一计算统一评分。</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价格部分评分应在报价范围口径一致的评标价基础上进行。评标价应在最终报价的基础上，按照招标文件约定的因素和方法进行计算。凡属招标文件原因造成项目范围或报价口径不一致的，应予以扣除。但因投标人自身失误造成多算、少算或漏算，不得调整。评分由评标委员会对投标文件的商务报价进行仔细查阅、分析与计算，并指定专人进行检查复核。</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3.3.4以上评分保留小数2位。</w:t>
      </w:r>
    </w:p>
    <w:p>
      <w:pPr>
        <w:adjustRightInd w:val="0"/>
        <w:snapToGrid w:val="0"/>
        <w:spacing w:line="360" w:lineRule="auto"/>
        <w:ind w:firstLine="422"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b/>
          <w:bCs/>
          <w:snapToGrid w:val="0"/>
          <w:color w:val="auto"/>
          <w:kern w:val="0"/>
          <w:szCs w:val="21"/>
        </w:rPr>
        <w:t>3.4必要时对投标文件中的问题进行澄清</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3.4.1投标文件的澄清</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对投标文件中含义不明确、同类问题表述不一致或者有明显文字和计算错误的内容，评标委员会可要求投标人作出必要的澄清、说明或者纠正。投标人的澄清、说明或者补正应当采用书面形式，由其全权代表签字或盖章确认，并不得超出投标文件的范围或者改变投标文件的实质性内容。</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3.4.2错误修正</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投标文件报价出现前后不一致的，按照下列规定修正：</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(1)投标文件中开标一览表(报价表)内容与投标文件中相应内容不一致的，以开标一览表(报价表)为准；</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(2)大写金额和小写金额不一致的，以大写金额为准；</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(3)单价金额小数点或者百分比有明显错位的，以开标一览表的总价为准，并修改单价；</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(4)总价金额与按单价汇总金额不一致的，以单价金额计算结果为准。</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同时出现两种以上不一致的，按照前款规定的顺序修正。修正后的报价按照令 《政府采购货物和服务招标投标管理办法》</w:t>
      </w:r>
      <w:r>
        <w:rPr>
          <w:rFonts w:hint="eastAsia" w:asciiTheme="minorEastAsia" w:hAnsiTheme="minorEastAsia" w:eastAsiaTheme="minorEastAsia" w:cstheme="minorEastAsia"/>
          <w:snapToGrid w:val="0"/>
          <w:color w:val="auto"/>
          <w:kern w:val="0"/>
          <w:szCs w:val="21"/>
          <w:lang w:eastAsia="zh-CN"/>
        </w:rPr>
        <w:t>（</w:t>
      </w:r>
      <w:r>
        <w:rPr>
          <w:rFonts w:hint="eastAsia" w:asciiTheme="minorEastAsia" w:hAnsiTheme="minorEastAsia" w:eastAsiaTheme="minorEastAsia" w:cstheme="minorEastAsia"/>
          <w:snapToGrid w:val="0"/>
          <w:color w:val="auto"/>
          <w:kern w:val="0"/>
          <w:szCs w:val="21"/>
        </w:rPr>
        <w:t>财政部第87号</w:t>
      </w:r>
      <w:r>
        <w:rPr>
          <w:rFonts w:hint="eastAsia" w:asciiTheme="minorEastAsia" w:hAnsiTheme="minorEastAsia" w:eastAsiaTheme="minorEastAsia" w:cstheme="minorEastAsia"/>
          <w:snapToGrid w:val="0"/>
          <w:color w:val="auto"/>
          <w:kern w:val="0"/>
          <w:szCs w:val="21"/>
          <w:lang w:eastAsia="zh-CN"/>
        </w:rPr>
        <w:t>）</w:t>
      </w:r>
      <w:r>
        <w:rPr>
          <w:rFonts w:hint="eastAsia" w:asciiTheme="minorEastAsia" w:hAnsiTheme="minorEastAsia" w:eastAsiaTheme="minorEastAsia" w:cstheme="minorEastAsia"/>
          <w:snapToGrid w:val="0"/>
          <w:color w:val="auto"/>
          <w:kern w:val="0"/>
          <w:szCs w:val="21"/>
        </w:rPr>
        <w:t>第五十一条第二款的规定经投标人确认后产生约束力，投标人不确认的，其投标无效。</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3.4.3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napToGrid w:val="0"/>
        <w:spacing w:line="360" w:lineRule="auto"/>
        <w:ind w:firstLine="420" w:firstLineChars="200"/>
        <w:rPr>
          <w:rFonts w:hint="eastAsia"/>
        </w:rPr>
      </w:pPr>
    </w:p>
    <w:p>
      <w:pPr>
        <w:adjustRightInd w:val="0"/>
        <w:snapToGrid w:val="0"/>
        <w:spacing w:line="360" w:lineRule="auto"/>
        <w:ind w:firstLine="422" w:firstLineChars="200"/>
        <w:rPr>
          <w:rFonts w:hint="eastAsia" w:asciiTheme="minorEastAsia" w:hAnsiTheme="minorEastAsia" w:eastAsiaTheme="minorEastAsia" w:cstheme="minorEastAsia"/>
          <w:b/>
          <w:bCs/>
          <w:snapToGrid w:val="0"/>
          <w:color w:val="auto"/>
          <w:kern w:val="0"/>
          <w:szCs w:val="21"/>
        </w:rPr>
      </w:pPr>
      <w:r>
        <w:rPr>
          <w:rFonts w:hint="eastAsia" w:asciiTheme="minorEastAsia" w:hAnsiTheme="minorEastAsia" w:eastAsiaTheme="minorEastAsia" w:cstheme="minorEastAsia"/>
          <w:b/>
          <w:bCs/>
          <w:snapToGrid w:val="0"/>
          <w:color w:val="auto"/>
          <w:kern w:val="0"/>
          <w:szCs w:val="21"/>
        </w:rPr>
        <w:t>3.5评分细则</w:t>
      </w:r>
    </w:p>
    <w:p>
      <w:pPr>
        <w:adjustRightInd w:val="0"/>
        <w:snapToGrid w:val="0"/>
        <w:spacing w:line="360" w:lineRule="auto"/>
        <w:ind w:firstLine="422" w:firstLineChars="200"/>
        <w:rPr>
          <w:rFonts w:hint="eastAsia" w:asciiTheme="minorEastAsia" w:hAnsiTheme="minorEastAsia" w:eastAsiaTheme="minorEastAsia" w:cstheme="minorEastAsia"/>
          <w:b/>
          <w:bCs/>
          <w:snapToGrid w:val="0"/>
          <w:color w:val="auto"/>
          <w:kern w:val="0"/>
          <w:szCs w:val="21"/>
          <w:lang w:val="en-US" w:eastAsia="zh-CN"/>
        </w:rPr>
      </w:pPr>
      <w:r>
        <w:rPr>
          <w:rFonts w:hint="eastAsia" w:asciiTheme="minorEastAsia" w:hAnsiTheme="minorEastAsia" w:eastAsiaTheme="minorEastAsia" w:cstheme="minorEastAsia"/>
          <w:b/>
          <w:bCs/>
          <w:snapToGrid w:val="0"/>
          <w:color w:val="auto"/>
          <w:kern w:val="0"/>
          <w:szCs w:val="21"/>
          <w:lang w:val="en-US" w:eastAsia="zh-CN"/>
        </w:rPr>
        <w:t>3.5.1资信技术得分</w:t>
      </w:r>
    </w:p>
    <w:p>
      <w:pPr>
        <w:adjustRightInd w:val="0"/>
        <w:snapToGrid w:val="0"/>
        <w:spacing w:line="360" w:lineRule="auto"/>
        <w:ind w:firstLine="422" w:firstLineChars="200"/>
        <w:rPr>
          <w:rFonts w:hint="eastAsia" w:asciiTheme="minorEastAsia" w:hAnsiTheme="minorEastAsia" w:eastAsiaTheme="minorEastAsia" w:cstheme="minorEastAsia"/>
          <w:b/>
          <w:bCs/>
          <w:snapToGrid w:val="0"/>
          <w:color w:val="auto"/>
          <w:kern w:val="0"/>
          <w:szCs w:val="21"/>
        </w:rPr>
      </w:pPr>
      <w:r>
        <w:rPr>
          <w:rFonts w:hint="eastAsia" w:asciiTheme="minorEastAsia" w:hAnsiTheme="minorEastAsia" w:eastAsiaTheme="minorEastAsia" w:cstheme="minorEastAsia"/>
          <w:b/>
          <w:bCs/>
          <w:snapToGrid w:val="0"/>
          <w:color w:val="auto"/>
          <w:kern w:val="0"/>
          <w:szCs w:val="21"/>
        </w:rPr>
        <w:t>（一）</w:t>
      </w:r>
      <w:r>
        <w:rPr>
          <w:rFonts w:hint="eastAsia" w:asciiTheme="minorEastAsia" w:hAnsiTheme="minorEastAsia" w:eastAsiaTheme="minorEastAsia" w:cstheme="minorEastAsia"/>
          <w:b/>
          <w:bCs/>
          <w:snapToGrid w:val="0"/>
          <w:color w:val="auto"/>
          <w:kern w:val="0"/>
          <w:szCs w:val="21"/>
          <w:lang w:val="en-US" w:eastAsia="zh-CN"/>
        </w:rPr>
        <w:t>复查</w:t>
      </w:r>
      <w:r>
        <w:rPr>
          <w:rFonts w:hint="eastAsia" w:asciiTheme="minorEastAsia" w:hAnsiTheme="minorEastAsia" w:eastAsiaTheme="minorEastAsia" w:cstheme="minorEastAsia"/>
          <w:b/>
          <w:bCs/>
          <w:snapToGrid w:val="0"/>
          <w:color w:val="auto"/>
          <w:kern w:val="0"/>
          <w:szCs w:val="21"/>
        </w:rPr>
        <w:t>项目</w:t>
      </w:r>
      <w:r>
        <w:rPr>
          <w:rFonts w:hint="eastAsia" w:asciiTheme="minorEastAsia" w:hAnsiTheme="minorEastAsia" w:eastAsiaTheme="minorEastAsia" w:cstheme="minorEastAsia"/>
          <w:b/>
          <w:bCs/>
          <w:snapToGrid w:val="0"/>
          <w:color w:val="auto"/>
          <w:kern w:val="0"/>
          <w:szCs w:val="21"/>
          <w:lang w:eastAsia="zh-CN"/>
        </w:rPr>
        <w:t>（标项</w:t>
      </w:r>
      <w:r>
        <w:rPr>
          <w:rFonts w:hint="eastAsia" w:asciiTheme="minorEastAsia" w:hAnsiTheme="minorEastAsia" w:eastAsiaTheme="minorEastAsia" w:cstheme="minorEastAsia"/>
          <w:b/>
          <w:bCs/>
          <w:snapToGrid w:val="0"/>
          <w:color w:val="auto"/>
          <w:kern w:val="0"/>
          <w:szCs w:val="21"/>
          <w:lang w:val="en-US" w:eastAsia="zh-CN"/>
        </w:rPr>
        <w:t>1-标项3）资信技术</w:t>
      </w:r>
      <w:r>
        <w:rPr>
          <w:rFonts w:hint="eastAsia" w:asciiTheme="minorEastAsia" w:hAnsiTheme="minorEastAsia" w:eastAsiaTheme="minorEastAsia" w:cstheme="minorEastAsia"/>
          <w:b/>
          <w:bCs/>
          <w:snapToGrid w:val="0"/>
          <w:color w:val="auto"/>
          <w:kern w:val="0"/>
          <w:szCs w:val="21"/>
        </w:rPr>
        <w:t>评分细则</w:t>
      </w:r>
    </w:p>
    <w:p>
      <w:pPr>
        <w:snapToGrid w:val="0"/>
        <w:spacing w:line="360" w:lineRule="auto"/>
        <w:rPr>
          <w:rFonts w:hint="eastAsia"/>
        </w:rPr>
      </w:pPr>
      <w:r>
        <w:rPr>
          <w:rFonts w:hint="eastAsia" w:asciiTheme="minorEastAsia" w:hAnsiTheme="minorEastAsia" w:eastAsiaTheme="minorEastAsia" w:cstheme="minorEastAsia"/>
          <w:color w:val="auto"/>
          <w:szCs w:val="21"/>
        </w:rPr>
        <w:t>资信及商务技术部分得分（满分90分）：</w:t>
      </w:r>
    </w:p>
    <w:tbl>
      <w:tblPr>
        <w:tblStyle w:val="48"/>
        <w:tblW w:w="8579"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16"/>
        <w:gridCol w:w="6973"/>
        <w:gridCol w:w="79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2" w:hRule="atLeast"/>
          <w:tblHeader/>
          <w:jc w:val="center"/>
        </w:trPr>
        <w:tc>
          <w:tcPr>
            <w:tcW w:w="816" w:type="dxa"/>
            <w:tcBorders>
              <w:top w:val="double" w:color="auto" w:sz="4"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6973" w:type="dxa"/>
            <w:tcBorders>
              <w:top w:val="double" w:color="auto" w:sz="4"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复查评分细则</w:t>
            </w:r>
          </w:p>
        </w:tc>
        <w:tc>
          <w:tcPr>
            <w:tcW w:w="790" w:type="dxa"/>
            <w:tcBorders>
              <w:top w:val="double" w:color="auto" w:sz="4"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满分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2" w:hRule="atLeast"/>
          <w:jc w:val="center"/>
        </w:trPr>
        <w:tc>
          <w:tcPr>
            <w:tcW w:w="816"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697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投标人资信</w:t>
            </w:r>
          </w:p>
        </w:tc>
        <w:tc>
          <w:tcPr>
            <w:tcW w:w="79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2" w:hRule="atLeast"/>
          <w:jc w:val="center"/>
        </w:trPr>
        <w:tc>
          <w:tcPr>
            <w:tcW w:w="816"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1.1</w:t>
            </w:r>
          </w:p>
        </w:tc>
        <w:tc>
          <w:tcPr>
            <w:tcW w:w="697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投标人具有上一年度省级及以上主管部门委托的碳复查服务项目业绩的，得5分，其他不得分。（包括联合体投标项目）</w:t>
            </w:r>
          </w:p>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有效证明材料：合同或委托核查服务协议复印件（或扫描件，后同）。复查业绩在各标项间通用。</w:t>
            </w:r>
          </w:p>
        </w:tc>
        <w:tc>
          <w:tcPr>
            <w:tcW w:w="79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2" w:hRule="atLeast"/>
          <w:jc w:val="center"/>
        </w:trPr>
        <w:tc>
          <w:tcPr>
            <w:tcW w:w="816"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1.2</w:t>
            </w:r>
          </w:p>
        </w:tc>
        <w:tc>
          <w:tcPr>
            <w:tcW w:w="697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投标人曾承担的上一年度省级及以上主管部门委托的碳复查服务项目服务满意度评价情况，优秀或90分及以上的得5分，良好或85分及以上的得3分，其他不得分。（包括联合体投标项目）</w:t>
            </w:r>
          </w:p>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有效证明材料：主管部门盖章确认的满意度评价、或者公开发文的文件、或者政府部门认可的信息平台公开的信息截屏，提供证明材料的复印件或扫描件，原件备查。</w:t>
            </w:r>
          </w:p>
        </w:tc>
        <w:tc>
          <w:tcPr>
            <w:tcW w:w="79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2" w:hRule="atLeast"/>
          <w:jc w:val="center"/>
        </w:trPr>
        <w:tc>
          <w:tcPr>
            <w:tcW w:w="816"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697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技术支撑。投标人承揽过省级及以上单位委托的绿色低碳或环保课题的，每项得1分，最高得4分。（不包括碳核查和复查服务项目）</w:t>
            </w:r>
          </w:p>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有效证明材料：合同或委托协议复印件，加盖公章，原件备查。</w:t>
            </w:r>
          </w:p>
        </w:tc>
        <w:tc>
          <w:tcPr>
            <w:tcW w:w="79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38" w:hRule="atLeast"/>
          <w:jc w:val="center"/>
        </w:trPr>
        <w:tc>
          <w:tcPr>
            <w:tcW w:w="816"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697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复查工作方案。投标人需用自身的工作方案进行阐述，有针对性、可行性、完整性，不建议复制招标文件内容。</w:t>
            </w:r>
          </w:p>
        </w:tc>
        <w:tc>
          <w:tcPr>
            <w:tcW w:w="79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16"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3.1</w:t>
            </w:r>
          </w:p>
        </w:tc>
        <w:tc>
          <w:tcPr>
            <w:tcW w:w="697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rPr>
              <w:t>对项目的理解和认识</w:t>
            </w:r>
            <w:r>
              <w:rPr>
                <w:rFonts w:hint="eastAsia" w:asciiTheme="minorEastAsia" w:hAnsiTheme="minorEastAsia" w:eastAsiaTheme="minorEastAsia" w:cstheme="minorEastAsia"/>
                <w:color w:val="auto"/>
                <w:szCs w:val="21"/>
                <w:lang w:eastAsia="zh-CN"/>
              </w:rPr>
              <w:t>。</w:t>
            </w:r>
          </w:p>
        </w:tc>
        <w:tc>
          <w:tcPr>
            <w:tcW w:w="79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16"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3.2</w:t>
            </w:r>
          </w:p>
        </w:tc>
        <w:tc>
          <w:tcPr>
            <w:tcW w:w="697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rPr>
              <w:t>项目重难点分析及解决措施</w:t>
            </w:r>
            <w:r>
              <w:rPr>
                <w:rFonts w:hint="eastAsia" w:asciiTheme="minorEastAsia" w:hAnsiTheme="minorEastAsia" w:eastAsiaTheme="minorEastAsia" w:cstheme="minorEastAsia"/>
                <w:color w:val="auto"/>
                <w:szCs w:val="21"/>
                <w:lang w:eastAsia="zh-CN"/>
              </w:rPr>
              <w:t>。</w:t>
            </w:r>
          </w:p>
        </w:tc>
        <w:tc>
          <w:tcPr>
            <w:tcW w:w="79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16"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3.3</w:t>
            </w:r>
          </w:p>
        </w:tc>
        <w:tc>
          <w:tcPr>
            <w:tcW w:w="697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rPr>
              <w:t>需结合项目实际，针对3个及以上重点排放企业行业的特色和工作重点进行阐述</w:t>
            </w:r>
            <w:r>
              <w:rPr>
                <w:rFonts w:hint="eastAsia" w:asciiTheme="minorEastAsia" w:hAnsiTheme="minorEastAsia" w:eastAsiaTheme="minorEastAsia" w:cstheme="minorEastAsia"/>
                <w:color w:val="auto"/>
                <w:szCs w:val="21"/>
                <w:lang w:eastAsia="zh-CN"/>
              </w:rPr>
              <w:t>。</w:t>
            </w:r>
          </w:p>
        </w:tc>
        <w:tc>
          <w:tcPr>
            <w:tcW w:w="79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16"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3.4</w:t>
            </w:r>
          </w:p>
        </w:tc>
        <w:tc>
          <w:tcPr>
            <w:tcW w:w="697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针对所投内容的</w:t>
            </w:r>
            <w:r>
              <w:rPr>
                <w:rFonts w:hint="eastAsia" w:asciiTheme="minorEastAsia" w:hAnsiTheme="minorEastAsia" w:eastAsiaTheme="minorEastAsia" w:cstheme="minorEastAsia"/>
                <w:color w:val="auto"/>
                <w:szCs w:val="21"/>
              </w:rPr>
              <w:t>前期工作方案</w:t>
            </w:r>
            <w:r>
              <w:rPr>
                <w:rFonts w:hint="eastAsia" w:asciiTheme="minorEastAsia" w:hAnsiTheme="minorEastAsia" w:eastAsiaTheme="minorEastAsia" w:cstheme="minorEastAsia"/>
                <w:color w:val="auto"/>
                <w:szCs w:val="21"/>
                <w:lang w:eastAsia="zh-CN"/>
              </w:rPr>
              <w:t>。</w:t>
            </w:r>
          </w:p>
        </w:tc>
        <w:tc>
          <w:tcPr>
            <w:tcW w:w="79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16"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3.5</w:t>
            </w:r>
          </w:p>
        </w:tc>
        <w:tc>
          <w:tcPr>
            <w:tcW w:w="697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针对所投内容的</w:t>
            </w:r>
            <w:r>
              <w:rPr>
                <w:rFonts w:hint="eastAsia" w:asciiTheme="minorEastAsia" w:hAnsiTheme="minorEastAsia" w:eastAsiaTheme="minorEastAsia" w:cstheme="minorEastAsia"/>
                <w:color w:val="auto"/>
                <w:szCs w:val="21"/>
              </w:rPr>
              <w:t>中期工作方案</w:t>
            </w:r>
            <w:r>
              <w:rPr>
                <w:rFonts w:hint="eastAsia" w:asciiTheme="minorEastAsia" w:hAnsiTheme="minorEastAsia" w:eastAsiaTheme="minorEastAsia" w:cstheme="minorEastAsia"/>
                <w:color w:val="auto"/>
                <w:szCs w:val="21"/>
                <w:lang w:eastAsia="zh-CN"/>
              </w:rPr>
              <w:t>。</w:t>
            </w:r>
          </w:p>
        </w:tc>
        <w:tc>
          <w:tcPr>
            <w:tcW w:w="79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16"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3.6</w:t>
            </w:r>
          </w:p>
        </w:tc>
        <w:tc>
          <w:tcPr>
            <w:tcW w:w="697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针对所投内容的</w:t>
            </w:r>
            <w:r>
              <w:rPr>
                <w:rFonts w:hint="eastAsia" w:asciiTheme="minorEastAsia" w:hAnsiTheme="minorEastAsia" w:eastAsiaTheme="minorEastAsia" w:cstheme="minorEastAsia"/>
                <w:color w:val="auto"/>
                <w:szCs w:val="21"/>
              </w:rPr>
              <w:t>后期工作方案</w:t>
            </w:r>
            <w:r>
              <w:rPr>
                <w:rFonts w:hint="eastAsia" w:asciiTheme="minorEastAsia" w:hAnsiTheme="minorEastAsia" w:eastAsiaTheme="minorEastAsia" w:cstheme="minorEastAsia"/>
                <w:color w:val="auto"/>
                <w:szCs w:val="21"/>
                <w:lang w:eastAsia="zh-CN"/>
              </w:rPr>
              <w:t>。</w:t>
            </w:r>
          </w:p>
        </w:tc>
        <w:tc>
          <w:tcPr>
            <w:tcW w:w="79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7" w:hRule="atLeast"/>
          <w:jc w:val="center"/>
        </w:trPr>
        <w:tc>
          <w:tcPr>
            <w:tcW w:w="816"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c>
          <w:tcPr>
            <w:tcW w:w="697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质量保障及措施。依据投标文件所阐述的相关内容进行评分，需有针对性、可行性、实操性，不建议复制招标文件内容。</w:t>
            </w:r>
          </w:p>
        </w:tc>
        <w:tc>
          <w:tcPr>
            <w:tcW w:w="79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7" w:hRule="atLeast"/>
          <w:jc w:val="center"/>
        </w:trPr>
        <w:tc>
          <w:tcPr>
            <w:tcW w:w="816"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4.1</w:t>
            </w:r>
          </w:p>
        </w:tc>
        <w:tc>
          <w:tcPr>
            <w:tcW w:w="697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工作制度保障。应提供内部服务质量控制体系、内部技术培训体系等说明和证明。</w:t>
            </w:r>
          </w:p>
        </w:tc>
        <w:tc>
          <w:tcPr>
            <w:tcW w:w="79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16"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4.2</w:t>
            </w:r>
          </w:p>
        </w:tc>
        <w:tc>
          <w:tcPr>
            <w:tcW w:w="697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工作时间安排的合理性、可行性。</w:t>
            </w:r>
          </w:p>
        </w:tc>
        <w:tc>
          <w:tcPr>
            <w:tcW w:w="79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2" w:hRule="atLeast"/>
          <w:jc w:val="center"/>
        </w:trPr>
        <w:tc>
          <w:tcPr>
            <w:tcW w:w="816"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4.3</w:t>
            </w:r>
          </w:p>
        </w:tc>
        <w:tc>
          <w:tcPr>
            <w:tcW w:w="697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技术力量投入（含固定办公场所等硬件设施）的合理性、科学性。</w:t>
            </w:r>
          </w:p>
        </w:tc>
        <w:tc>
          <w:tcPr>
            <w:tcW w:w="79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2" w:hRule="atLeast"/>
          <w:jc w:val="center"/>
        </w:trPr>
        <w:tc>
          <w:tcPr>
            <w:tcW w:w="816"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c>
          <w:tcPr>
            <w:tcW w:w="697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服务团队</w:t>
            </w:r>
          </w:p>
        </w:tc>
        <w:tc>
          <w:tcPr>
            <w:tcW w:w="79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2" w:hRule="atLeast"/>
          <w:jc w:val="center"/>
        </w:trPr>
        <w:tc>
          <w:tcPr>
            <w:tcW w:w="816"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5.1</w:t>
            </w:r>
          </w:p>
        </w:tc>
        <w:tc>
          <w:tcPr>
            <w:tcW w:w="697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供应商针对本项目拟派项目负责人具备副高级及以上职称的，得5分，其他不得分。</w:t>
            </w:r>
          </w:p>
          <w:p>
            <w:pPr>
              <w:pStyle w:val="50"/>
              <w:spacing w:line="240" w:lineRule="exact"/>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有效证明材料：职称证书复印件，加盖公章，原件备查。</w:t>
            </w:r>
          </w:p>
        </w:tc>
        <w:tc>
          <w:tcPr>
            <w:tcW w:w="79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2" w:hRule="atLeast"/>
          <w:jc w:val="center"/>
        </w:trPr>
        <w:tc>
          <w:tcPr>
            <w:tcW w:w="816"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5.2</w:t>
            </w:r>
          </w:p>
        </w:tc>
        <w:tc>
          <w:tcPr>
            <w:tcW w:w="697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拟派项目负责人具有主持省级及以上单位委托的绿色低碳或环保相关课题的（以项目负责人身份主持），得5分，其他不得分。</w:t>
            </w:r>
          </w:p>
          <w:p>
            <w:pPr>
              <w:pStyle w:val="50"/>
              <w:spacing w:line="240" w:lineRule="exact"/>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有效证明材料：合同或报告相关页面复印件，应能体现人员岗位职责，例如第一作者、项目负责人等等。加盖公章，原件备查。</w:t>
            </w:r>
          </w:p>
        </w:tc>
        <w:tc>
          <w:tcPr>
            <w:tcW w:w="79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2" w:hRule="atLeast"/>
          <w:jc w:val="center"/>
        </w:trPr>
        <w:tc>
          <w:tcPr>
            <w:tcW w:w="816"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5.3</w:t>
            </w:r>
          </w:p>
        </w:tc>
        <w:tc>
          <w:tcPr>
            <w:tcW w:w="697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供应商针对本项目拟派项目成员（不含项目负责人）中具备博士学位或副高级及以上职称人员数量5名及以上的，得5分，4名的，得4分，以此类推，直至零分。</w:t>
            </w:r>
          </w:p>
          <w:p>
            <w:pPr>
              <w:pStyle w:val="50"/>
              <w:spacing w:line="240" w:lineRule="exact"/>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有效证明材料：职称证书或学位证书复印件，加盖公章，原件备查。</w:t>
            </w:r>
          </w:p>
        </w:tc>
        <w:tc>
          <w:tcPr>
            <w:tcW w:w="79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2" w:hRule="atLeast"/>
          <w:jc w:val="center"/>
        </w:trPr>
        <w:tc>
          <w:tcPr>
            <w:tcW w:w="816"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w:t>
            </w:r>
          </w:p>
        </w:tc>
        <w:tc>
          <w:tcPr>
            <w:tcW w:w="697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相关承诺</w:t>
            </w:r>
          </w:p>
        </w:tc>
        <w:tc>
          <w:tcPr>
            <w:tcW w:w="79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jc w:val="center"/>
        </w:trPr>
        <w:tc>
          <w:tcPr>
            <w:tcW w:w="816"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6.1</w:t>
            </w:r>
          </w:p>
        </w:tc>
        <w:tc>
          <w:tcPr>
            <w:tcW w:w="697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rPr>
              <w:t>内部工作保密性保证承诺及措施</w:t>
            </w:r>
            <w:r>
              <w:rPr>
                <w:rFonts w:hint="eastAsia" w:asciiTheme="minorEastAsia" w:hAnsiTheme="minorEastAsia" w:eastAsiaTheme="minorEastAsia" w:cstheme="minorEastAsia"/>
                <w:color w:val="auto"/>
                <w:szCs w:val="21"/>
                <w:lang w:eastAsia="zh-CN"/>
              </w:rPr>
              <w:t>。</w:t>
            </w:r>
          </w:p>
        </w:tc>
        <w:tc>
          <w:tcPr>
            <w:tcW w:w="79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7" w:hRule="atLeast"/>
          <w:jc w:val="center"/>
        </w:trPr>
        <w:tc>
          <w:tcPr>
            <w:tcW w:w="816"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6.2</w:t>
            </w:r>
          </w:p>
        </w:tc>
        <w:tc>
          <w:tcPr>
            <w:tcW w:w="697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rPr>
              <w:t>确保从业人员廉政建设相关承诺及措施</w:t>
            </w:r>
            <w:r>
              <w:rPr>
                <w:rFonts w:hint="eastAsia" w:asciiTheme="minorEastAsia" w:hAnsiTheme="minorEastAsia" w:eastAsiaTheme="minorEastAsia" w:cstheme="minorEastAsia"/>
                <w:color w:val="auto"/>
                <w:szCs w:val="21"/>
                <w:lang w:eastAsia="zh-CN"/>
              </w:rPr>
              <w:t>。</w:t>
            </w:r>
          </w:p>
        </w:tc>
        <w:tc>
          <w:tcPr>
            <w:tcW w:w="79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16"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6.3</w:t>
            </w:r>
          </w:p>
        </w:tc>
        <w:tc>
          <w:tcPr>
            <w:tcW w:w="697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rPr>
              <w:t>确保按时完成工作的保证承诺及措施</w:t>
            </w:r>
            <w:r>
              <w:rPr>
                <w:rFonts w:hint="eastAsia" w:asciiTheme="minorEastAsia" w:hAnsiTheme="minorEastAsia" w:eastAsiaTheme="minorEastAsia" w:cstheme="minorEastAsia"/>
                <w:color w:val="auto"/>
                <w:szCs w:val="21"/>
                <w:lang w:eastAsia="zh-CN"/>
              </w:rPr>
              <w:t>。</w:t>
            </w:r>
          </w:p>
        </w:tc>
        <w:tc>
          <w:tcPr>
            <w:tcW w:w="79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16"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w:t>
            </w:r>
          </w:p>
        </w:tc>
        <w:tc>
          <w:tcPr>
            <w:tcW w:w="697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rPr>
              <w:t>投标人提供的增值服务及其他特色服务，经评标委员会认可的，每项得1分，最多得5分</w:t>
            </w:r>
            <w:r>
              <w:rPr>
                <w:rFonts w:hint="eastAsia" w:asciiTheme="minorEastAsia" w:hAnsiTheme="minorEastAsia" w:eastAsiaTheme="minorEastAsia" w:cstheme="minorEastAsia"/>
                <w:color w:val="auto"/>
                <w:szCs w:val="21"/>
                <w:lang w:eastAsia="zh-CN"/>
              </w:rPr>
              <w:t>。</w:t>
            </w:r>
          </w:p>
        </w:tc>
        <w:tc>
          <w:tcPr>
            <w:tcW w:w="79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16"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w:t>
            </w:r>
          </w:p>
        </w:tc>
        <w:tc>
          <w:tcPr>
            <w:tcW w:w="6973" w:type="dxa"/>
            <w:tcBorders>
              <w:top w:val="single" w:color="auto" w:sz="6" w:space="0"/>
              <w:left w:val="single" w:color="auto" w:sz="6" w:space="0"/>
              <w:bottom w:val="single" w:color="auto" w:sz="6" w:space="0"/>
              <w:right w:val="single" w:color="auto" w:sz="6" w:space="0"/>
            </w:tcBorders>
            <w:noWrap w:val="0"/>
            <w:vAlign w:val="center"/>
          </w:tcPr>
          <w:p>
            <w:pP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rPr>
              <w:t xml:space="preserve">投标文件质量，要求内在条理清晰 </w:t>
            </w:r>
            <w:r>
              <w:rPr>
                <w:rFonts w:hint="eastAsia" w:asciiTheme="minorEastAsia" w:hAnsiTheme="minorEastAsia" w:eastAsiaTheme="minorEastAsia" w:cstheme="minorEastAsia"/>
                <w:color w:val="auto"/>
                <w:szCs w:val="21"/>
                <w:lang w:eastAsia="zh-CN"/>
              </w:rPr>
              <w:t>。</w:t>
            </w:r>
          </w:p>
        </w:tc>
        <w:tc>
          <w:tcPr>
            <w:tcW w:w="79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16" w:type="dxa"/>
            <w:tcBorders>
              <w:top w:val="single" w:color="auto" w:sz="6" w:space="0"/>
              <w:left w:val="double" w:color="auto" w:sz="4" w:space="0"/>
              <w:bottom w:val="double" w:color="auto" w:sz="4"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合计</w:t>
            </w:r>
          </w:p>
        </w:tc>
        <w:tc>
          <w:tcPr>
            <w:tcW w:w="6973" w:type="dxa"/>
            <w:tcBorders>
              <w:top w:val="single" w:color="auto" w:sz="6" w:space="0"/>
              <w:left w:val="single" w:color="auto" w:sz="6" w:space="0"/>
              <w:bottom w:val="double" w:color="auto" w:sz="4" w:space="0"/>
              <w:right w:val="single" w:color="auto" w:sz="6" w:space="0"/>
            </w:tcBorders>
            <w:noWrap w:val="0"/>
            <w:vAlign w:val="center"/>
          </w:tcPr>
          <w:p>
            <w:pPr>
              <w:rPr>
                <w:rFonts w:hint="eastAsia" w:asciiTheme="minorEastAsia" w:hAnsiTheme="minorEastAsia" w:eastAsiaTheme="minorEastAsia" w:cstheme="minorEastAsia"/>
                <w:color w:val="auto"/>
                <w:szCs w:val="21"/>
              </w:rPr>
            </w:pPr>
          </w:p>
        </w:tc>
        <w:tc>
          <w:tcPr>
            <w:tcW w:w="790" w:type="dxa"/>
            <w:tcBorders>
              <w:top w:val="single" w:color="auto" w:sz="6" w:space="0"/>
              <w:left w:val="single" w:color="auto" w:sz="6" w:space="0"/>
              <w:bottom w:val="double" w:color="auto" w:sz="4"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90</w:t>
            </w:r>
          </w:p>
        </w:tc>
      </w:tr>
    </w:tbl>
    <w:p>
      <w:pPr>
        <w:snapToGrid w:val="0"/>
        <w:spacing w:line="360" w:lineRule="auto"/>
        <w:ind w:firstLine="420" w:firstLineChars="200"/>
        <w:rPr>
          <w:rFonts w:hint="eastAsia" w:asciiTheme="minorEastAsia" w:hAnsiTheme="minorEastAsia" w:eastAsiaTheme="minorEastAsia" w:cstheme="minorEastAsia"/>
          <w:color w:val="auto"/>
          <w:szCs w:val="21"/>
        </w:rPr>
      </w:pPr>
    </w:p>
    <w:p>
      <w:pPr>
        <w:snapToGrid w:val="0"/>
        <w:spacing w:line="360" w:lineRule="auto"/>
        <w:ind w:left="420" w:leftChars="200"/>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（二）</w:t>
      </w:r>
      <w:r>
        <w:rPr>
          <w:rFonts w:hint="eastAsia" w:asciiTheme="minorEastAsia" w:hAnsiTheme="minorEastAsia" w:eastAsiaTheme="minorEastAsia" w:cstheme="minorEastAsia"/>
          <w:b/>
          <w:bCs/>
          <w:color w:val="auto"/>
          <w:szCs w:val="21"/>
          <w:lang w:val="en-US" w:eastAsia="zh-CN"/>
        </w:rPr>
        <w:t>核查</w:t>
      </w:r>
      <w:r>
        <w:rPr>
          <w:rFonts w:hint="eastAsia" w:asciiTheme="minorEastAsia" w:hAnsiTheme="minorEastAsia" w:eastAsiaTheme="minorEastAsia" w:cstheme="minorEastAsia"/>
          <w:b/>
          <w:bCs/>
          <w:color w:val="auto"/>
          <w:szCs w:val="21"/>
        </w:rPr>
        <w:t>项目</w:t>
      </w:r>
      <w:r>
        <w:rPr>
          <w:rFonts w:hint="eastAsia" w:asciiTheme="minorEastAsia" w:hAnsiTheme="minorEastAsia" w:eastAsiaTheme="minorEastAsia" w:cstheme="minorEastAsia"/>
          <w:b/>
          <w:bCs/>
          <w:color w:val="auto"/>
          <w:szCs w:val="21"/>
          <w:lang w:eastAsia="zh-CN"/>
        </w:rPr>
        <w:t>（标项</w:t>
      </w:r>
      <w:r>
        <w:rPr>
          <w:rFonts w:hint="eastAsia" w:asciiTheme="minorEastAsia" w:hAnsiTheme="minorEastAsia" w:eastAsiaTheme="minorEastAsia" w:cstheme="minorEastAsia"/>
          <w:b/>
          <w:bCs/>
          <w:color w:val="auto"/>
          <w:szCs w:val="21"/>
          <w:lang w:val="en-US" w:eastAsia="zh-CN"/>
        </w:rPr>
        <w:t>4-标项12）</w:t>
      </w:r>
      <w:r>
        <w:rPr>
          <w:rFonts w:hint="eastAsia" w:asciiTheme="minorEastAsia" w:hAnsiTheme="minorEastAsia" w:eastAsiaTheme="minorEastAsia" w:cstheme="minorEastAsia"/>
          <w:b/>
          <w:bCs/>
          <w:color w:val="auto"/>
          <w:szCs w:val="21"/>
        </w:rPr>
        <w:t>评分细则</w:t>
      </w:r>
    </w:p>
    <w:p>
      <w:pPr>
        <w:numPr>
          <w:ilvl w:val="0"/>
          <w:numId w:val="0"/>
        </w:numPr>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资信及商务技术部分得分（满分90分）：</w:t>
      </w:r>
    </w:p>
    <w:tbl>
      <w:tblPr>
        <w:tblStyle w:val="48"/>
        <w:tblW w:w="8946"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2"/>
        <w:gridCol w:w="7244"/>
        <w:gridCol w:w="85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blHeader/>
          <w:jc w:val="center"/>
        </w:trPr>
        <w:tc>
          <w:tcPr>
            <w:tcW w:w="852" w:type="dxa"/>
            <w:tcBorders>
              <w:top w:val="double" w:color="auto" w:sz="4"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7244" w:type="dxa"/>
            <w:tcBorders>
              <w:top w:val="double" w:color="auto" w:sz="4"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核查评分细则</w:t>
            </w:r>
          </w:p>
        </w:tc>
        <w:tc>
          <w:tcPr>
            <w:tcW w:w="850" w:type="dxa"/>
            <w:tcBorders>
              <w:top w:val="double" w:color="auto" w:sz="4"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满分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2"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724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投标人资信</w:t>
            </w:r>
          </w:p>
        </w:tc>
        <w:tc>
          <w:tcPr>
            <w:tcW w:w="85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2"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1.1</w:t>
            </w:r>
          </w:p>
        </w:tc>
        <w:tc>
          <w:tcPr>
            <w:tcW w:w="724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投标人具有上一年度省级及以上主管部门委托的碳核查服务项目业绩的，得5分，其他不得分。（包括联合体投标项目）</w:t>
            </w:r>
          </w:p>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有效证明材料：合同或委托核查服务协议复印件（或扫描件，后同）。核查业绩在各标项间通用。</w:t>
            </w:r>
          </w:p>
        </w:tc>
        <w:tc>
          <w:tcPr>
            <w:tcW w:w="85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2"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1.2</w:t>
            </w:r>
          </w:p>
        </w:tc>
        <w:tc>
          <w:tcPr>
            <w:tcW w:w="724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投标人曾承担的上一年度省级及以上主管部门委托的碳核查服务项目服务满意度评价情况，优秀或85分及以上的得5分，良好或80分及以上的得3分，其他不得分。（包括联合体投标项目）</w:t>
            </w:r>
          </w:p>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有效证明材料：主管部门盖章确认的满意度评价、或者公开发文的文件、或者政府部门认可的信息平台公开的信息截屏，提供证明材料的复印件或扫描件，原件备查。</w:t>
            </w:r>
          </w:p>
        </w:tc>
        <w:tc>
          <w:tcPr>
            <w:tcW w:w="85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2"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724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技术支撑。投标人承揽过省级及以上单位委托的绿色低碳或环保业务的，每项得1分，最高得4分。（不包括碳核查和复查服务项目）</w:t>
            </w:r>
          </w:p>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有效证明材料：合同或业务委托协议复印件，加盖公章，原件备查。</w:t>
            </w:r>
          </w:p>
        </w:tc>
        <w:tc>
          <w:tcPr>
            <w:tcW w:w="85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2"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724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核查工作方案。投标人需用自身的工作方案进行阐述，有针对性、可行性、完整性，不建议复制招标文件内容。</w:t>
            </w:r>
          </w:p>
        </w:tc>
        <w:tc>
          <w:tcPr>
            <w:tcW w:w="85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2"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3.1</w:t>
            </w:r>
          </w:p>
        </w:tc>
        <w:tc>
          <w:tcPr>
            <w:tcW w:w="724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rPr>
              <w:t>对项目的理解和认识</w:t>
            </w:r>
            <w:r>
              <w:rPr>
                <w:rFonts w:hint="eastAsia" w:asciiTheme="minorEastAsia" w:hAnsiTheme="minorEastAsia" w:eastAsiaTheme="minorEastAsia" w:cstheme="minorEastAsia"/>
                <w:color w:val="auto"/>
                <w:szCs w:val="21"/>
                <w:lang w:eastAsia="zh-CN"/>
              </w:rPr>
              <w:t>。</w:t>
            </w:r>
          </w:p>
        </w:tc>
        <w:tc>
          <w:tcPr>
            <w:tcW w:w="85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2"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3.2</w:t>
            </w:r>
          </w:p>
        </w:tc>
        <w:tc>
          <w:tcPr>
            <w:tcW w:w="724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rPr>
              <w:t>项目重难点分析及解决措施</w:t>
            </w:r>
            <w:r>
              <w:rPr>
                <w:rFonts w:hint="eastAsia" w:asciiTheme="minorEastAsia" w:hAnsiTheme="minorEastAsia" w:eastAsiaTheme="minorEastAsia" w:cstheme="minorEastAsia"/>
                <w:color w:val="auto"/>
                <w:szCs w:val="21"/>
                <w:lang w:eastAsia="zh-CN"/>
              </w:rPr>
              <w:t>。</w:t>
            </w:r>
          </w:p>
        </w:tc>
        <w:tc>
          <w:tcPr>
            <w:tcW w:w="85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2"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3.3</w:t>
            </w:r>
          </w:p>
        </w:tc>
        <w:tc>
          <w:tcPr>
            <w:tcW w:w="724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需结合项目实际，针对3个及以上重点排放企业行业的特色和工作重点进行阐述。</w:t>
            </w:r>
          </w:p>
        </w:tc>
        <w:tc>
          <w:tcPr>
            <w:tcW w:w="85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2"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3.4</w:t>
            </w:r>
          </w:p>
        </w:tc>
        <w:tc>
          <w:tcPr>
            <w:tcW w:w="724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针对所投内容的</w:t>
            </w:r>
            <w:r>
              <w:rPr>
                <w:rFonts w:hint="eastAsia" w:asciiTheme="minorEastAsia" w:hAnsiTheme="minorEastAsia" w:eastAsiaTheme="minorEastAsia" w:cstheme="minorEastAsia"/>
                <w:color w:val="auto"/>
                <w:szCs w:val="21"/>
              </w:rPr>
              <w:t>前期工作方案</w:t>
            </w:r>
            <w:r>
              <w:rPr>
                <w:rFonts w:hint="eastAsia" w:asciiTheme="minorEastAsia" w:hAnsiTheme="minorEastAsia" w:eastAsiaTheme="minorEastAsia" w:cstheme="minorEastAsia"/>
                <w:color w:val="auto"/>
                <w:szCs w:val="21"/>
                <w:lang w:eastAsia="zh-CN"/>
              </w:rPr>
              <w:t>。</w:t>
            </w:r>
          </w:p>
        </w:tc>
        <w:tc>
          <w:tcPr>
            <w:tcW w:w="85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2"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3.5</w:t>
            </w:r>
          </w:p>
        </w:tc>
        <w:tc>
          <w:tcPr>
            <w:tcW w:w="724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针对所投内容的</w:t>
            </w:r>
            <w:r>
              <w:rPr>
                <w:rFonts w:hint="eastAsia" w:asciiTheme="minorEastAsia" w:hAnsiTheme="minorEastAsia" w:eastAsiaTheme="minorEastAsia" w:cstheme="minorEastAsia"/>
                <w:color w:val="auto"/>
                <w:szCs w:val="21"/>
              </w:rPr>
              <w:t>中期工作方案</w:t>
            </w:r>
            <w:r>
              <w:rPr>
                <w:rFonts w:hint="eastAsia" w:asciiTheme="minorEastAsia" w:hAnsiTheme="minorEastAsia" w:eastAsiaTheme="minorEastAsia" w:cstheme="minorEastAsia"/>
                <w:color w:val="auto"/>
                <w:szCs w:val="21"/>
                <w:lang w:eastAsia="zh-CN"/>
              </w:rPr>
              <w:t>。</w:t>
            </w:r>
          </w:p>
        </w:tc>
        <w:tc>
          <w:tcPr>
            <w:tcW w:w="85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2"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3.6</w:t>
            </w:r>
          </w:p>
        </w:tc>
        <w:tc>
          <w:tcPr>
            <w:tcW w:w="724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针对所投内容的</w:t>
            </w:r>
            <w:r>
              <w:rPr>
                <w:rFonts w:hint="eastAsia" w:asciiTheme="minorEastAsia" w:hAnsiTheme="minorEastAsia" w:eastAsiaTheme="minorEastAsia" w:cstheme="minorEastAsia"/>
                <w:color w:val="auto"/>
                <w:szCs w:val="21"/>
              </w:rPr>
              <w:t>后期工作方案</w:t>
            </w:r>
            <w:r>
              <w:rPr>
                <w:rFonts w:hint="eastAsia" w:asciiTheme="minorEastAsia" w:hAnsiTheme="minorEastAsia" w:eastAsiaTheme="minorEastAsia" w:cstheme="minorEastAsia"/>
                <w:color w:val="auto"/>
                <w:szCs w:val="21"/>
                <w:lang w:eastAsia="zh-CN"/>
              </w:rPr>
              <w:t>。</w:t>
            </w:r>
          </w:p>
        </w:tc>
        <w:tc>
          <w:tcPr>
            <w:tcW w:w="85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2"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c>
          <w:tcPr>
            <w:tcW w:w="724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质量保障及措施。依据投标文件所阐述的相关内容进行评分，需有针对性、可行性、实操性，不建议复制招标文件内容。</w:t>
            </w:r>
          </w:p>
        </w:tc>
        <w:tc>
          <w:tcPr>
            <w:tcW w:w="85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2"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4.1</w:t>
            </w:r>
          </w:p>
        </w:tc>
        <w:tc>
          <w:tcPr>
            <w:tcW w:w="724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工作制度保障。应提供内部服务质量控制体系、内部技术培训体系等说明和证明。</w:t>
            </w:r>
          </w:p>
        </w:tc>
        <w:tc>
          <w:tcPr>
            <w:tcW w:w="85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2"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4.2</w:t>
            </w:r>
          </w:p>
        </w:tc>
        <w:tc>
          <w:tcPr>
            <w:tcW w:w="724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工作时间安排的合理性、可行性。</w:t>
            </w:r>
          </w:p>
        </w:tc>
        <w:tc>
          <w:tcPr>
            <w:tcW w:w="85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2"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4.3</w:t>
            </w:r>
          </w:p>
        </w:tc>
        <w:tc>
          <w:tcPr>
            <w:tcW w:w="724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技术力量投入（含固定办公场所等硬件设施）的合理性、科学性。</w:t>
            </w:r>
          </w:p>
        </w:tc>
        <w:tc>
          <w:tcPr>
            <w:tcW w:w="85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2"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4.4</w:t>
            </w:r>
          </w:p>
        </w:tc>
        <w:tc>
          <w:tcPr>
            <w:tcW w:w="724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rPr>
              <w:t>投入车辆的合理性、科学性</w:t>
            </w:r>
            <w:r>
              <w:rPr>
                <w:rFonts w:hint="eastAsia" w:asciiTheme="minorEastAsia" w:hAnsiTheme="minorEastAsia" w:eastAsiaTheme="minorEastAsia" w:cstheme="minorEastAsia"/>
                <w:color w:val="auto"/>
                <w:szCs w:val="21"/>
                <w:lang w:eastAsia="zh-CN"/>
              </w:rPr>
              <w:t>。</w:t>
            </w:r>
          </w:p>
        </w:tc>
        <w:tc>
          <w:tcPr>
            <w:tcW w:w="85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2"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c>
          <w:tcPr>
            <w:tcW w:w="724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服务团队，需同时提供团队人员的社保证明材料</w:t>
            </w:r>
          </w:p>
        </w:tc>
        <w:tc>
          <w:tcPr>
            <w:tcW w:w="85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2"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5.1</w:t>
            </w:r>
          </w:p>
        </w:tc>
        <w:tc>
          <w:tcPr>
            <w:tcW w:w="724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供应商针对本项目拟派项目负责人具备副高级及以上职称或硕士研究生及以上学位的，得5分，其他不得分。</w:t>
            </w:r>
          </w:p>
          <w:p>
            <w:pPr>
              <w:pStyle w:val="50"/>
              <w:spacing w:line="240" w:lineRule="exact"/>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有效证明材料：职称证书、学位证书复印件，加盖公章，原件备查。</w:t>
            </w:r>
          </w:p>
        </w:tc>
        <w:tc>
          <w:tcPr>
            <w:tcW w:w="85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2"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5.2</w:t>
            </w:r>
          </w:p>
        </w:tc>
        <w:tc>
          <w:tcPr>
            <w:tcW w:w="724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拟派项目负责人具有主持省级及以上单位委托的绿色低碳或环保相关课题或项目经验的（以项目负责人身份主持），得5分，其他不得分。</w:t>
            </w:r>
          </w:p>
          <w:p>
            <w:pPr>
              <w:pStyle w:val="50"/>
              <w:spacing w:line="240" w:lineRule="exact"/>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有效证明材料：合同或报告相关页面复印件，应能体现人员岗位职责，例如第一作者、项目负责人等等。加盖公章，原件备查。</w:t>
            </w:r>
          </w:p>
        </w:tc>
        <w:tc>
          <w:tcPr>
            <w:tcW w:w="85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2"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5.3</w:t>
            </w:r>
          </w:p>
        </w:tc>
        <w:tc>
          <w:tcPr>
            <w:tcW w:w="724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供应商针对本项目拟派项目成员（不含项目负责人）中具备硕士学位或中级及以上职称人员数量7名及以上的，得5分；6名的，得4分；以此类推，直至零分。</w:t>
            </w:r>
          </w:p>
          <w:p>
            <w:pPr>
              <w:pStyle w:val="50"/>
              <w:spacing w:line="240" w:lineRule="exact"/>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有效证明材料：职称证书或学位证书复印件，加盖公章，原件备查。</w:t>
            </w:r>
          </w:p>
        </w:tc>
        <w:tc>
          <w:tcPr>
            <w:tcW w:w="85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2"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w:t>
            </w:r>
          </w:p>
        </w:tc>
        <w:tc>
          <w:tcPr>
            <w:tcW w:w="724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相关承诺</w:t>
            </w:r>
          </w:p>
        </w:tc>
        <w:tc>
          <w:tcPr>
            <w:tcW w:w="85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2"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6.1</w:t>
            </w:r>
          </w:p>
        </w:tc>
        <w:tc>
          <w:tcPr>
            <w:tcW w:w="724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rPr>
              <w:t>内部工作保密性保证承诺及措施</w:t>
            </w:r>
            <w:r>
              <w:rPr>
                <w:rFonts w:hint="eastAsia" w:asciiTheme="minorEastAsia" w:hAnsiTheme="minorEastAsia" w:eastAsiaTheme="minorEastAsia" w:cstheme="minorEastAsia"/>
                <w:color w:val="auto"/>
                <w:szCs w:val="21"/>
                <w:lang w:eastAsia="zh-CN"/>
              </w:rPr>
              <w:t>。</w:t>
            </w:r>
          </w:p>
        </w:tc>
        <w:tc>
          <w:tcPr>
            <w:tcW w:w="85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2"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6.2</w:t>
            </w:r>
          </w:p>
        </w:tc>
        <w:tc>
          <w:tcPr>
            <w:tcW w:w="724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rPr>
              <w:t>确保从业人员廉政建设相关承诺及措施</w:t>
            </w:r>
            <w:r>
              <w:rPr>
                <w:rFonts w:hint="eastAsia" w:asciiTheme="minorEastAsia" w:hAnsiTheme="minorEastAsia" w:eastAsiaTheme="minorEastAsia" w:cstheme="minorEastAsia"/>
                <w:color w:val="auto"/>
                <w:szCs w:val="21"/>
                <w:lang w:eastAsia="zh-CN"/>
              </w:rPr>
              <w:t>。</w:t>
            </w:r>
          </w:p>
        </w:tc>
        <w:tc>
          <w:tcPr>
            <w:tcW w:w="85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2"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6.3</w:t>
            </w:r>
          </w:p>
        </w:tc>
        <w:tc>
          <w:tcPr>
            <w:tcW w:w="724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rPr>
              <w:t>确保按时完成工作的保证承诺及措施</w:t>
            </w:r>
            <w:r>
              <w:rPr>
                <w:rFonts w:hint="eastAsia" w:asciiTheme="minorEastAsia" w:hAnsiTheme="minorEastAsia" w:eastAsiaTheme="minorEastAsia" w:cstheme="minorEastAsia"/>
                <w:color w:val="auto"/>
                <w:szCs w:val="21"/>
                <w:lang w:eastAsia="zh-CN"/>
              </w:rPr>
              <w:t>。</w:t>
            </w:r>
          </w:p>
        </w:tc>
        <w:tc>
          <w:tcPr>
            <w:tcW w:w="85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2"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w:t>
            </w:r>
          </w:p>
        </w:tc>
        <w:tc>
          <w:tcPr>
            <w:tcW w:w="724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投标人提供的增值服务及其他特色服务，经评标委员会认可的，每项得1分，最多得5分</w:t>
            </w:r>
          </w:p>
        </w:tc>
        <w:tc>
          <w:tcPr>
            <w:tcW w:w="85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2"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w:t>
            </w:r>
          </w:p>
        </w:tc>
        <w:tc>
          <w:tcPr>
            <w:tcW w:w="7244" w:type="dxa"/>
            <w:tcBorders>
              <w:top w:val="single" w:color="auto" w:sz="6" w:space="0"/>
              <w:left w:val="single" w:color="auto" w:sz="6" w:space="0"/>
              <w:bottom w:val="single" w:color="auto" w:sz="6" w:space="0"/>
              <w:right w:val="single" w:color="auto" w:sz="6" w:space="0"/>
            </w:tcBorders>
            <w:noWrap w:val="0"/>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投标文件质量，要求内在条理清晰 </w:t>
            </w:r>
          </w:p>
        </w:tc>
        <w:tc>
          <w:tcPr>
            <w:tcW w:w="85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2" w:type="dxa"/>
            <w:tcBorders>
              <w:top w:val="single" w:color="auto" w:sz="6" w:space="0"/>
              <w:left w:val="double" w:color="auto" w:sz="4" w:space="0"/>
              <w:bottom w:val="double" w:color="auto" w:sz="4"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合计</w:t>
            </w:r>
          </w:p>
        </w:tc>
        <w:tc>
          <w:tcPr>
            <w:tcW w:w="7244" w:type="dxa"/>
            <w:tcBorders>
              <w:top w:val="single" w:color="auto" w:sz="6" w:space="0"/>
              <w:left w:val="single" w:color="auto" w:sz="6" w:space="0"/>
              <w:bottom w:val="double" w:color="auto" w:sz="4" w:space="0"/>
              <w:right w:val="single" w:color="auto" w:sz="6" w:space="0"/>
            </w:tcBorders>
            <w:noWrap w:val="0"/>
            <w:vAlign w:val="center"/>
          </w:tcPr>
          <w:p>
            <w:pPr>
              <w:rPr>
                <w:rFonts w:hint="eastAsia" w:asciiTheme="minorEastAsia" w:hAnsiTheme="minorEastAsia" w:eastAsiaTheme="minorEastAsia" w:cstheme="minorEastAsia"/>
                <w:color w:val="auto"/>
                <w:szCs w:val="21"/>
              </w:rPr>
            </w:pPr>
          </w:p>
        </w:tc>
        <w:tc>
          <w:tcPr>
            <w:tcW w:w="850" w:type="dxa"/>
            <w:tcBorders>
              <w:top w:val="single" w:color="auto" w:sz="6" w:space="0"/>
              <w:left w:val="single" w:color="auto" w:sz="6" w:space="0"/>
              <w:bottom w:val="double" w:color="auto" w:sz="4" w:space="0"/>
              <w:right w:val="double" w:color="auto" w:sz="4" w:space="0"/>
            </w:tcBorders>
            <w:noWrap w:val="0"/>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90</w:t>
            </w:r>
          </w:p>
        </w:tc>
      </w:tr>
    </w:tbl>
    <w:p>
      <w:pPr>
        <w:snapToGrid w:val="0"/>
        <w:spacing w:line="360" w:lineRule="auto"/>
        <w:ind w:firstLine="420" w:firstLineChars="200"/>
        <w:rPr>
          <w:rFonts w:hint="eastAsia" w:asciiTheme="minorEastAsia" w:hAnsiTheme="minorEastAsia" w:eastAsiaTheme="minorEastAsia" w:cstheme="minorEastAsia"/>
          <w:color w:val="auto"/>
          <w:szCs w:val="21"/>
        </w:rPr>
      </w:pPr>
    </w:p>
    <w:p>
      <w:pPr>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宋体" w:hAnsi="宋体" w:eastAsia="宋体" w:cs="宋体"/>
          <w:snapToGrid w:val="0"/>
          <w:color w:val="auto"/>
          <w:kern w:val="0"/>
          <w:szCs w:val="21"/>
          <w:highlight w:val="none"/>
        </w:rPr>
        <w:t>评标委员会对各投标人的资信技术充分审核、讨论及评议后，每人一份评分表，进行独自打分并签名。在统计得分时，如发现某一单项评分超过评分细则规定的分值范围，则该张评分表无效。投标人技术部分的得分为评标委员会各成员的有效评分的算术平均值。</w:t>
      </w:r>
    </w:p>
    <w:p>
      <w:pPr>
        <w:snapToGrid w:val="0"/>
        <w:spacing w:line="360" w:lineRule="auto"/>
        <w:ind w:firstLine="420" w:firstLineChars="200"/>
        <w:rPr>
          <w:rFonts w:hint="eastAsia" w:asciiTheme="minorEastAsia" w:hAnsiTheme="minorEastAsia" w:eastAsiaTheme="minorEastAsia" w:cstheme="minorEastAsia"/>
          <w:color w:val="auto"/>
          <w:szCs w:val="21"/>
        </w:rPr>
      </w:pPr>
    </w:p>
    <w:p>
      <w:pPr>
        <w:snapToGrid w:val="0"/>
        <w:spacing w:line="360" w:lineRule="auto"/>
        <w:ind w:firstLine="422"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
          <w:bCs/>
          <w:color w:val="auto"/>
          <w:szCs w:val="21"/>
          <w:lang w:val="en-US" w:eastAsia="zh-CN"/>
        </w:rPr>
        <w:t>3.5.2</w:t>
      </w:r>
      <w:r>
        <w:rPr>
          <w:rFonts w:hint="eastAsia" w:asciiTheme="minorEastAsia" w:hAnsiTheme="minorEastAsia" w:eastAsiaTheme="minorEastAsia" w:cstheme="minorEastAsia"/>
          <w:b/>
          <w:bCs/>
          <w:color w:val="auto"/>
          <w:szCs w:val="21"/>
        </w:rPr>
        <w:t>报价得分</w:t>
      </w:r>
    </w:p>
    <w:p>
      <w:pPr>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综合评分法中的价格分统一采用低价优先法计算，即满足采购文件要求且评标价最低的供应商的价格为基准价，其价格分为满分，满分为10分。其他供应商的价格分统一按照下列公式计算：</w:t>
      </w:r>
    </w:p>
    <w:p>
      <w:pPr>
        <w:snapToGrid w:val="0"/>
        <w:spacing w:line="360" w:lineRule="auto"/>
        <w:ind w:left="420" w:left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投标报价得分=（基准价/评标价）×10%×100</w:t>
      </w:r>
    </w:p>
    <w:p>
      <w:pPr>
        <w:adjustRightInd w:val="0"/>
        <w:snapToGrid w:val="0"/>
        <w:spacing w:line="360" w:lineRule="auto"/>
        <w:ind w:firstLine="420" w:firstLineChars="200"/>
        <w:rPr>
          <w:rFonts w:hint="eastAsia" w:ascii="宋体" w:hAnsi="宋体" w:eastAsia="宋体" w:cs="宋体"/>
          <w:color w:val="auto"/>
          <w:szCs w:val="21"/>
          <w:highlight w:val="none"/>
          <w:lang w:val="zh-CN"/>
        </w:rPr>
      </w:pPr>
    </w:p>
    <w:p>
      <w:pPr>
        <w:adjustRightInd w:val="0"/>
        <w:snapToGrid w:val="0"/>
        <w:spacing w:line="360" w:lineRule="auto"/>
        <w:ind w:firstLine="420" w:firstLineChars="200"/>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en-US" w:eastAsia="zh-CN"/>
        </w:rPr>
        <w:t>注：</w:t>
      </w:r>
      <w:r>
        <w:rPr>
          <w:rFonts w:hint="eastAsia" w:ascii="宋体" w:hAnsi="宋体" w:eastAsia="宋体" w:cs="宋体"/>
          <w:color w:val="auto"/>
          <w:szCs w:val="21"/>
          <w:highlight w:val="none"/>
          <w:lang w:val="zh-CN"/>
        </w:rPr>
        <w:t>关于价格分计算的说明：</w:t>
      </w:r>
    </w:p>
    <w:p>
      <w:pPr>
        <w:adjustRightInd w:val="0"/>
        <w:snapToGrid w:val="0"/>
        <w:spacing w:line="360" w:lineRule="auto"/>
        <w:ind w:firstLine="420" w:firstLineChars="200"/>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①根据《政府采购促进中小企业发展暂行办法》（财库[2011]181号）的规定，投标人为小型或微型企业且所投产品为小型或微型企业生产的，其投标报价扣除6%后参与评审。</w:t>
      </w:r>
    </w:p>
    <w:p>
      <w:pPr>
        <w:adjustRightInd w:val="0"/>
        <w:snapToGrid w:val="0"/>
        <w:spacing w:line="360" w:lineRule="auto"/>
        <w:ind w:firstLine="420" w:firstLineChars="200"/>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w:t>
      </w:r>
    </w:p>
    <w:p>
      <w:pPr>
        <w:adjustRightInd w:val="0"/>
        <w:snapToGrid w:val="0"/>
        <w:spacing w:line="360" w:lineRule="auto"/>
        <w:ind w:firstLine="420" w:firstLineChars="200"/>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联合体各方均为小型、微型企业的，联合体视同为小型、微型企业。</w:t>
      </w:r>
    </w:p>
    <w:p>
      <w:pPr>
        <w:adjustRightInd w:val="0"/>
        <w:snapToGrid w:val="0"/>
        <w:spacing w:line="360" w:lineRule="auto"/>
        <w:ind w:firstLine="420" w:firstLineChars="200"/>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投标文件中须提供投标人的小微企业声明函（投标人在填写该声明函前，须先自查本企业是否满足小微企业认定标准，可通过“国家企业信用信息公示系统——小微企业名录”页面查询），未按要求出具声明函的，投标报价不予扣减。</w:t>
      </w:r>
    </w:p>
    <w:p>
      <w:pPr>
        <w:adjustRightInd w:val="0"/>
        <w:snapToGrid w:val="0"/>
        <w:spacing w:line="360" w:lineRule="auto"/>
        <w:ind w:firstLine="420" w:firstLineChars="200"/>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②根据《关于政府采购支持监狱企业发展有关问题的通知》（财库[2014]68号）的规定，投标人如为监狱企业且所投产品为小型或微型企业生产的，其投标报价扣除6%后参与评审。</w:t>
      </w:r>
    </w:p>
    <w:p>
      <w:pPr>
        <w:adjustRightInd w:val="0"/>
        <w:snapToGrid w:val="0"/>
        <w:spacing w:line="360" w:lineRule="auto"/>
        <w:ind w:firstLine="420" w:firstLineChars="200"/>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投标文件中须同时提供：投标人的省级以上监狱管理局、戒毒管理局(含新疆生产建设兵团)出具的属于监狱企业的证明文件，投标产品制造商的小微企业声明，未按要求提供材料的，投标报价不予扣减。</w:t>
      </w:r>
    </w:p>
    <w:p>
      <w:pPr>
        <w:adjustRightInd w:val="0"/>
        <w:snapToGrid w:val="0"/>
        <w:spacing w:line="360" w:lineRule="auto"/>
        <w:ind w:firstLine="420" w:firstLineChars="200"/>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③残疾人福利性单位视同小型、微型企业，享受预留份额、评审中价格扣除等促进中小企业发展的政府采购政策。符合条件的残疾人福利性单位在参加政府采购活动时，应当提供本通知规定的《残疾人福利性单位声明函》（见附件），并对声明的真实性负责。</w:t>
      </w:r>
    </w:p>
    <w:p>
      <w:pPr>
        <w:adjustRightInd w:val="0"/>
        <w:snapToGrid w:val="0"/>
        <w:spacing w:line="360" w:lineRule="auto"/>
        <w:ind w:firstLine="420" w:firstLineChars="200"/>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享受政府采购支持政策的残疾人福利性单位应当同时满足以下条件：</w:t>
      </w:r>
    </w:p>
    <w:p>
      <w:pPr>
        <w:adjustRightInd w:val="0"/>
        <w:snapToGrid w:val="0"/>
        <w:spacing w:line="360" w:lineRule="auto"/>
        <w:ind w:firstLine="420" w:firstLineChars="200"/>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（一）安置的残疾人占本单位在职职工人数的比例不低于25%（含25%），并且安置的残疾人人数不少于10人（含10人）；</w:t>
      </w:r>
    </w:p>
    <w:p>
      <w:pPr>
        <w:adjustRightInd w:val="0"/>
        <w:snapToGrid w:val="0"/>
        <w:spacing w:line="360" w:lineRule="auto"/>
        <w:ind w:firstLine="420" w:firstLineChars="200"/>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（二）依法与安置的每位残疾人签订了一年以上（含一年）的劳动合同或服务协议；</w:t>
      </w:r>
    </w:p>
    <w:p>
      <w:pPr>
        <w:adjustRightInd w:val="0"/>
        <w:snapToGrid w:val="0"/>
        <w:spacing w:line="360" w:lineRule="auto"/>
        <w:ind w:firstLine="420" w:firstLineChars="200"/>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（三）为安置的每位残疾人按月足额缴纳了基本养老保险、基本医疗保险、失业保险、工伤保险和生育保险等社会保险费；</w:t>
      </w:r>
    </w:p>
    <w:p>
      <w:pPr>
        <w:adjustRightInd w:val="0"/>
        <w:snapToGrid w:val="0"/>
        <w:spacing w:line="360" w:lineRule="auto"/>
        <w:ind w:firstLine="420" w:firstLineChars="200"/>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（四）通过银行等金融机构向安置的每位残疾人，按月支付了不低于单位所在区县适用的经省级人民政府批准的月最低工资标准的工资；</w:t>
      </w:r>
    </w:p>
    <w:p>
      <w:pPr>
        <w:adjustRightInd w:val="0"/>
        <w:snapToGrid w:val="0"/>
        <w:spacing w:line="360" w:lineRule="auto"/>
        <w:ind w:firstLine="420" w:firstLineChars="200"/>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（五）提供本单位制造的货物、承担的工程或者服务（以下简称产品），或者提供其他残疾人福利性单位制造的货物（不包括使用非残疾人福利性单位注册商标的货物）。</w:t>
      </w:r>
    </w:p>
    <w:p>
      <w:pPr>
        <w:adjustRightInd w:val="0"/>
        <w:snapToGrid w:val="0"/>
        <w:spacing w:line="360" w:lineRule="auto"/>
        <w:ind w:firstLine="420" w:firstLineChars="200"/>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napToGrid w:val="0"/>
        <w:spacing w:line="360" w:lineRule="auto"/>
        <w:ind w:left="420" w:leftChars="200"/>
        <w:rPr>
          <w:rFonts w:hint="eastAsia" w:asciiTheme="minorEastAsia" w:hAnsiTheme="minorEastAsia" w:eastAsiaTheme="minorEastAsia" w:cstheme="minorEastAsia"/>
          <w:color w:val="auto"/>
          <w:szCs w:val="21"/>
        </w:rPr>
      </w:pPr>
    </w:p>
    <w:p>
      <w:pPr>
        <w:adjustRightInd w:val="0"/>
        <w:snapToGrid w:val="0"/>
        <w:spacing w:line="360" w:lineRule="auto"/>
        <w:ind w:firstLine="422" w:firstLineChars="200"/>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lang w:val="en-US" w:eastAsia="zh-CN"/>
        </w:rPr>
        <w:t>3.5.3</w:t>
      </w:r>
      <w:r>
        <w:rPr>
          <w:rFonts w:hint="eastAsia" w:asciiTheme="minorEastAsia" w:hAnsiTheme="minorEastAsia" w:eastAsiaTheme="minorEastAsia" w:cstheme="minorEastAsia"/>
          <w:b/>
          <w:color w:val="auto"/>
          <w:szCs w:val="21"/>
        </w:rPr>
        <w:t>最终得分</w:t>
      </w:r>
    </w:p>
    <w:p>
      <w:pPr>
        <w:adjustRightInd w:val="0"/>
        <w:snapToGrid w:val="0"/>
        <w:spacing w:line="360" w:lineRule="auto"/>
        <w:ind w:firstLine="420" w:firstLineChars="200"/>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snapToGrid w:val="0"/>
          <w:color w:val="auto"/>
          <w:kern w:val="0"/>
          <w:szCs w:val="21"/>
        </w:rPr>
        <w:t>评分时保留小数点后1位小数，计算评分值时保留小数点后2位小数，由评标委员会当场统一计算。</w:t>
      </w:r>
    </w:p>
    <w:p>
      <w:pPr>
        <w:adjustRightInd w:val="0"/>
        <w:snapToGrid w:val="0"/>
        <w:spacing w:line="360" w:lineRule="auto"/>
        <w:ind w:firstLine="422" w:firstLineChars="200"/>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snapToGrid w:val="0"/>
          <w:color w:val="auto"/>
          <w:kern w:val="0"/>
          <w:szCs w:val="21"/>
        </w:rPr>
        <w:t>投标人的最终总得分为资信、技术、报价各部分得分的总和。</w:t>
      </w:r>
    </w:p>
    <w:p>
      <w:pPr>
        <w:tabs>
          <w:tab w:val="left" w:pos="735"/>
        </w:tabs>
        <w:adjustRightInd w:val="0"/>
        <w:snapToGrid w:val="0"/>
        <w:spacing w:line="360" w:lineRule="auto"/>
        <w:ind w:firstLine="422" w:firstLineChars="200"/>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snapToGrid w:val="0"/>
          <w:color w:val="auto"/>
          <w:kern w:val="0"/>
          <w:szCs w:val="21"/>
        </w:rPr>
        <w:t>报价是中标的一个重要因素，但最低报价不是中标的唯一依据。</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p>
    <w:bookmarkEnd w:id="70"/>
    <w:bookmarkEnd w:id="71"/>
    <w:bookmarkEnd w:id="72"/>
    <w:bookmarkEnd w:id="73"/>
    <w:bookmarkEnd w:id="74"/>
    <w:p>
      <w:pPr>
        <w:adjustRightInd w:val="0"/>
        <w:snapToGrid w:val="0"/>
        <w:spacing w:line="360" w:lineRule="auto"/>
        <w:ind w:firstLine="398" w:firstLineChars="200"/>
        <w:rPr>
          <w:rFonts w:hint="eastAsia" w:asciiTheme="minorEastAsia" w:hAnsiTheme="minorEastAsia" w:eastAsiaTheme="minorEastAsia" w:cstheme="minorEastAsia"/>
          <w:b/>
          <w:color w:val="auto"/>
          <w:spacing w:val="-6"/>
          <w:szCs w:val="21"/>
        </w:rPr>
      </w:pPr>
      <w:r>
        <w:rPr>
          <w:rFonts w:hint="eastAsia" w:asciiTheme="minorEastAsia" w:hAnsiTheme="minorEastAsia" w:eastAsiaTheme="minorEastAsia" w:cstheme="minorEastAsia"/>
          <w:b/>
          <w:color w:val="auto"/>
          <w:spacing w:val="-6"/>
          <w:szCs w:val="21"/>
        </w:rPr>
        <w:t>3.6 完成评标报告，推荐中标候选人</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3.6.1评标委员会应根据评标情况和结果，向招标人提交评标报告。评标报告由评标委员会成员起草，经评标委员会三分之二以上的成员同意通过。评标委员会全体成员应在评标报告上签字确认，评标专家如有保留意见可以在评标报告中阐明。</w:t>
      </w:r>
    </w:p>
    <w:p>
      <w:pPr>
        <w:adjustRightInd w:val="0"/>
        <w:snapToGrid w:val="0"/>
        <w:spacing w:line="36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3.6.2评标委员会根据综合评分对进入评分范围的投标文件综合评分由高到低进行排序，依次按招标文件规定的数量推荐中标候选人。评分相同时，报价低者优先。评分、报价均相同时，技术</w:t>
      </w:r>
      <w:r>
        <w:rPr>
          <w:rFonts w:hint="eastAsia" w:asciiTheme="minorEastAsia" w:hAnsiTheme="minorEastAsia" w:eastAsiaTheme="minorEastAsia" w:cstheme="minorEastAsia"/>
          <w:snapToGrid w:val="0"/>
          <w:color w:val="auto"/>
          <w:kern w:val="0"/>
          <w:szCs w:val="21"/>
          <w:lang w:val="en-US" w:eastAsia="zh-CN"/>
        </w:rPr>
        <w:t>得分</w:t>
      </w:r>
      <w:r>
        <w:rPr>
          <w:rFonts w:hint="eastAsia" w:asciiTheme="minorEastAsia" w:hAnsiTheme="minorEastAsia" w:eastAsiaTheme="minorEastAsia" w:cstheme="minorEastAsia"/>
          <w:snapToGrid w:val="0"/>
          <w:color w:val="auto"/>
          <w:kern w:val="0"/>
          <w:szCs w:val="21"/>
        </w:rPr>
        <w:t>高者优先。评分、报价、技术</w:t>
      </w:r>
      <w:r>
        <w:rPr>
          <w:rFonts w:hint="eastAsia" w:asciiTheme="minorEastAsia" w:hAnsiTheme="minorEastAsia" w:eastAsiaTheme="minorEastAsia" w:cstheme="minorEastAsia"/>
          <w:snapToGrid w:val="0"/>
          <w:color w:val="auto"/>
          <w:kern w:val="0"/>
          <w:szCs w:val="21"/>
          <w:lang w:val="en-US" w:eastAsia="zh-CN"/>
        </w:rPr>
        <w:t>得分</w:t>
      </w:r>
      <w:r>
        <w:rPr>
          <w:rFonts w:hint="eastAsia" w:asciiTheme="minorEastAsia" w:hAnsiTheme="minorEastAsia" w:eastAsiaTheme="minorEastAsia" w:cstheme="minorEastAsia"/>
          <w:snapToGrid w:val="0"/>
          <w:color w:val="auto"/>
          <w:kern w:val="0"/>
          <w:szCs w:val="21"/>
        </w:rPr>
        <w:t>均相同时，由评标委员会全体成员记名投票（不得弃权）决定排序。</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3.6.3本项目中标候选人推荐原则：</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lang w:val="en-US" w:eastAsia="zh-CN"/>
        </w:rPr>
        <w:t>A.</w:t>
      </w:r>
      <w:r>
        <w:rPr>
          <w:rFonts w:hint="eastAsia" w:asciiTheme="minorEastAsia" w:hAnsiTheme="minorEastAsia" w:eastAsiaTheme="minorEastAsia" w:cstheme="minorEastAsia"/>
          <w:snapToGrid w:val="0"/>
          <w:color w:val="auto"/>
          <w:kern w:val="0"/>
          <w:szCs w:val="21"/>
          <w:lang w:eastAsia="zh-CN"/>
        </w:rPr>
        <w:t>各标项</w:t>
      </w:r>
      <w:r>
        <w:rPr>
          <w:rFonts w:hint="eastAsia" w:asciiTheme="minorEastAsia" w:hAnsiTheme="minorEastAsia" w:eastAsiaTheme="minorEastAsia" w:cstheme="minorEastAsia"/>
          <w:snapToGrid w:val="0"/>
          <w:color w:val="auto"/>
          <w:kern w:val="0"/>
          <w:szCs w:val="21"/>
        </w:rPr>
        <w:t>确定</w:t>
      </w:r>
      <w:r>
        <w:rPr>
          <w:rFonts w:hint="eastAsia" w:asciiTheme="minorEastAsia" w:hAnsiTheme="minorEastAsia" w:eastAsiaTheme="minorEastAsia" w:cstheme="minorEastAsia"/>
          <w:snapToGrid w:val="0"/>
          <w:color w:val="auto"/>
          <w:kern w:val="0"/>
          <w:szCs w:val="21"/>
          <w:lang w:eastAsia="zh-CN"/>
        </w:rPr>
        <w:t>中标候选人的</w:t>
      </w:r>
      <w:r>
        <w:rPr>
          <w:rFonts w:hint="eastAsia" w:asciiTheme="minorEastAsia" w:hAnsiTheme="minorEastAsia" w:eastAsiaTheme="minorEastAsia" w:cstheme="minorEastAsia"/>
          <w:snapToGrid w:val="0"/>
          <w:color w:val="auto"/>
          <w:kern w:val="0"/>
          <w:szCs w:val="21"/>
        </w:rPr>
        <w:t>原则如下：</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a.按复查、核查</w:t>
      </w:r>
      <w:r>
        <w:rPr>
          <w:rFonts w:hint="eastAsia" w:asciiTheme="minorEastAsia" w:hAnsiTheme="minorEastAsia" w:eastAsiaTheme="minorEastAsia" w:cstheme="minorEastAsia"/>
          <w:snapToGrid w:val="0"/>
          <w:color w:val="auto"/>
          <w:kern w:val="0"/>
          <w:szCs w:val="21"/>
          <w:lang w:val="en-US" w:eastAsia="zh-CN"/>
        </w:rPr>
        <w:t>不同标项分别推荐，</w:t>
      </w:r>
      <w:r>
        <w:rPr>
          <w:rFonts w:hint="eastAsia" w:asciiTheme="minorEastAsia" w:hAnsiTheme="minorEastAsia" w:eastAsiaTheme="minorEastAsia" w:cstheme="minorEastAsia"/>
          <w:snapToGrid w:val="0"/>
          <w:color w:val="auto"/>
          <w:kern w:val="0"/>
          <w:szCs w:val="21"/>
        </w:rPr>
        <w:t>同一投标人只能中</w:t>
      </w:r>
      <w:r>
        <w:rPr>
          <w:rFonts w:hint="eastAsia" w:asciiTheme="minorEastAsia" w:hAnsiTheme="minorEastAsia" w:eastAsiaTheme="minorEastAsia" w:cstheme="minorEastAsia"/>
          <w:snapToGrid w:val="0"/>
          <w:color w:val="auto"/>
          <w:kern w:val="0"/>
          <w:szCs w:val="21"/>
          <w:lang w:eastAsia="zh-CN"/>
        </w:rPr>
        <w:t>其中</w:t>
      </w:r>
      <w:r>
        <w:rPr>
          <w:rFonts w:hint="eastAsia" w:asciiTheme="minorEastAsia" w:hAnsiTheme="minorEastAsia" w:eastAsiaTheme="minorEastAsia" w:cstheme="minorEastAsia"/>
          <w:snapToGrid w:val="0"/>
          <w:color w:val="auto"/>
          <w:kern w:val="0"/>
          <w:szCs w:val="21"/>
        </w:rPr>
        <w:t>1个标项。</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b.如各标项综合得分最高的为不同投标人的，则按综合得分由高到低排序作为该标项推荐中标候选人的依据；</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c.如同一投标人在多个标项中综合得分均为最高分时，评标委员会将</w:t>
      </w:r>
      <w:r>
        <w:rPr>
          <w:rFonts w:hint="eastAsia" w:asciiTheme="minorEastAsia" w:hAnsiTheme="minorEastAsia" w:eastAsiaTheme="minorEastAsia" w:cstheme="minorEastAsia"/>
          <w:snapToGrid w:val="0"/>
          <w:color w:val="auto"/>
          <w:kern w:val="0"/>
          <w:szCs w:val="21"/>
          <w:lang w:eastAsia="zh-CN"/>
        </w:rPr>
        <w:t>按照</w:t>
      </w:r>
      <w:r>
        <w:rPr>
          <w:rFonts w:hint="eastAsia" w:asciiTheme="minorEastAsia" w:hAnsiTheme="minorEastAsia" w:eastAsiaTheme="minorEastAsia" w:cstheme="minorEastAsia"/>
          <w:snapToGrid w:val="0"/>
          <w:color w:val="auto"/>
          <w:kern w:val="0"/>
          <w:szCs w:val="21"/>
        </w:rPr>
        <w:t>标项序列号顺序依次确定中标候选人排序，即：标项1被推荐为第一中标候</w:t>
      </w:r>
      <w:r>
        <w:rPr>
          <w:rFonts w:hint="eastAsia" w:asciiTheme="minorEastAsia" w:hAnsiTheme="minorEastAsia" w:eastAsiaTheme="minorEastAsia" w:cstheme="minorEastAsia"/>
          <w:snapToGrid w:val="0"/>
          <w:color w:val="auto"/>
          <w:kern w:val="0"/>
          <w:szCs w:val="21"/>
          <w:lang w:eastAsia="zh-CN"/>
        </w:rPr>
        <w:t>选</w:t>
      </w:r>
      <w:r>
        <w:rPr>
          <w:rFonts w:hint="eastAsia" w:asciiTheme="minorEastAsia" w:hAnsiTheme="minorEastAsia" w:eastAsiaTheme="minorEastAsia" w:cstheme="minorEastAsia"/>
          <w:snapToGrid w:val="0"/>
          <w:color w:val="auto"/>
          <w:kern w:val="0"/>
          <w:szCs w:val="21"/>
        </w:rPr>
        <w:t>人的，其余标项视为自动放弃中标权并由排序在</w:t>
      </w:r>
      <w:r>
        <w:rPr>
          <w:rFonts w:hint="eastAsia" w:asciiTheme="minorEastAsia" w:hAnsiTheme="minorEastAsia" w:eastAsiaTheme="minorEastAsia" w:cstheme="minorEastAsia"/>
          <w:snapToGrid w:val="0"/>
          <w:color w:val="auto"/>
          <w:kern w:val="0"/>
          <w:szCs w:val="21"/>
          <w:lang w:eastAsia="zh-CN"/>
        </w:rPr>
        <w:t>其</w:t>
      </w:r>
      <w:r>
        <w:rPr>
          <w:rFonts w:hint="eastAsia" w:asciiTheme="minorEastAsia" w:hAnsiTheme="minorEastAsia" w:eastAsiaTheme="minorEastAsia" w:cstheme="minorEastAsia"/>
          <w:snapToGrid w:val="0"/>
          <w:color w:val="auto"/>
          <w:kern w:val="0"/>
          <w:szCs w:val="21"/>
        </w:rPr>
        <w:t>后的第二中标候选人为中标人，以此类推。</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lang w:val="en-US" w:eastAsia="zh-CN"/>
        </w:rPr>
        <w:t>B.</w:t>
      </w:r>
      <w:r>
        <w:rPr>
          <w:rFonts w:hint="eastAsia" w:asciiTheme="minorEastAsia" w:hAnsiTheme="minorEastAsia" w:eastAsiaTheme="minorEastAsia" w:cstheme="minorEastAsia"/>
          <w:snapToGrid w:val="0"/>
          <w:color w:val="auto"/>
          <w:kern w:val="0"/>
          <w:szCs w:val="21"/>
        </w:rPr>
        <w:t>评标委员会根据各标项评审后的得分由高至低顺序排列推荐中标候选人。得分相同的，按</w:t>
      </w:r>
      <w:r>
        <w:rPr>
          <w:rFonts w:hint="eastAsia" w:asciiTheme="minorEastAsia" w:hAnsiTheme="minorEastAsia" w:eastAsiaTheme="minorEastAsia" w:cstheme="minorEastAsia"/>
          <w:snapToGrid w:val="0"/>
          <w:color w:val="auto"/>
          <w:kern w:val="0"/>
          <w:szCs w:val="21"/>
          <w:lang w:eastAsia="zh-CN"/>
        </w:rPr>
        <w:t>投标报价由</w:t>
      </w:r>
      <w:r>
        <w:rPr>
          <w:rFonts w:hint="eastAsia" w:asciiTheme="minorEastAsia" w:hAnsiTheme="minorEastAsia" w:eastAsiaTheme="minorEastAsia" w:cstheme="minorEastAsia"/>
          <w:snapToGrid w:val="0"/>
          <w:color w:val="auto"/>
          <w:kern w:val="0"/>
          <w:szCs w:val="21"/>
        </w:rPr>
        <w:t>低到高顺序排列，得分且</w:t>
      </w:r>
      <w:r>
        <w:rPr>
          <w:rFonts w:hint="eastAsia" w:asciiTheme="minorEastAsia" w:hAnsiTheme="minorEastAsia" w:eastAsiaTheme="minorEastAsia" w:cstheme="minorEastAsia"/>
          <w:snapToGrid w:val="0"/>
          <w:color w:val="auto"/>
          <w:kern w:val="0"/>
          <w:szCs w:val="21"/>
          <w:lang w:eastAsia="zh-CN"/>
        </w:rPr>
        <w:t>报价均</w:t>
      </w:r>
      <w:r>
        <w:rPr>
          <w:rFonts w:hint="eastAsia" w:asciiTheme="minorEastAsia" w:hAnsiTheme="minorEastAsia" w:eastAsiaTheme="minorEastAsia" w:cstheme="minorEastAsia"/>
          <w:snapToGrid w:val="0"/>
          <w:color w:val="auto"/>
          <w:kern w:val="0"/>
          <w:szCs w:val="21"/>
        </w:rPr>
        <w:t>相同的，按技术标得分由高到低排列。如出现同一投标人在多个标项中得分均排在第一名时，参照本条</w:t>
      </w:r>
      <w:r>
        <w:rPr>
          <w:rFonts w:hint="eastAsia" w:asciiTheme="minorEastAsia" w:hAnsiTheme="minorEastAsia" w:eastAsiaTheme="minorEastAsia" w:cstheme="minorEastAsia"/>
          <w:snapToGrid w:val="0"/>
          <w:color w:val="auto"/>
          <w:kern w:val="0"/>
          <w:szCs w:val="21"/>
          <w:lang w:val="en-US" w:eastAsia="zh-CN"/>
        </w:rPr>
        <w:t>A点</w:t>
      </w:r>
      <w:r>
        <w:rPr>
          <w:rFonts w:hint="eastAsia" w:asciiTheme="minorEastAsia" w:hAnsiTheme="minorEastAsia" w:eastAsiaTheme="minorEastAsia" w:cstheme="minorEastAsia"/>
          <w:snapToGrid w:val="0"/>
          <w:color w:val="auto"/>
          <w:kern w:val="0"/>
          <w:szCs w:val="21"/>
        </w:rPr>
        <w:t>的确认原则确定推荐中标候选人。</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C.部分标项无足够中标候选人推荐的，相应标项予以废标。</w:t>
      </w:r>
    </w:p>
    <w:p>
      <w:pPr>
        <w:adjustRightInd w:val="0"/>
        <w:snapToGrid w:val="0"/>
        <w:spacing w:line="360" w:lineRule="auto"/>
        <w:ind w:firstLine="420" w:firstLineChars="200"/>
        <w:jc w:val="left"/>
        <w:rPr>
          <w:rFonts w:hint="eastAsia" w:asciiTheme="minorEastAsia" w:hAnsiTheme="minorEastAsia" w:eastAsiaTheme="minorEastAsia" w:cstheme="minorEastAsia"/>
          <w:color w:val="auto"/>
        </w:rPr>
      </w:pPr>
    </w:p>
    <w:p>
      <w:pPr>
        <w:adjustRightInd w:val="0"/>
        <w:snapToGrid w:val="0"/>
        <w:spacing w:before="120" w:beforeLines="50" w:after="120" w:afterLines="50" w:line="360" w:lineRule="auto"/>
        <w:jc w:val="center"/>
        <w:outlineLvl w:val="0"/>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color w:val="auto"/>
          <w:szCs w:val="21"/>
        </w:rPr>
        <w:br w:type="page"/>
      </w:r>
      <w:bookmarkStart w:id="81" w:name="_Toc1306"/>
      <w:bookmarkStart w:id="82" w:name="_Toc234764855"/>
      <w:bookmarkStart w:id="83" w:name="_Toc22561"/>
      <w:bookmarkStart w:id="84" w:name="_Toc249760797"/>
      <w:bookmarkStart w:id="85" w:name="_Toc251566668"/>
      <w:r>
        <w:rPr>
          <w:rFonts w:hint="eastAsia" w:asciiTheme="minorEastAsia" w:hAnsiTheme="minorEastAsia" w:eastAsiaTheme="minorEastAsia" w:cstheme="minorEastAsia"/>
          <w:b/>
          <w:color w:val="auto"/>
          <w:sz w:val="30"/>
          <w:szCs w:val="30"/>
        </w:rPr>
        <w:t>第六部分  投标文件格式</w:t>
      </w:r>
      <w:bookmarkEnd w:id="81"/>
      <w:bookmarkEnd w:id="82"/>
      <w:bookmarkEnd w:id="83"/>
      <w:bookmarkEnd w:id="84"/>
      <w:bookmarkEnd w:id="85"/>
    </w:p>
    <w:p>
      <w:pPr>
        <w:autoSpaceDE w:val="0"/>
        <w:autoSpaceDN w:val="0"/>
        <w:adjustRightInd w:val="0"/>
        <w:spacing w:line="360" w:lineRule="auto"/>
        <w:ind w:firstLine="480"/>
        <w:rPr>
          <w:rFonts w:hint="eastAsia" w:asciiTheme="minorEastAsia" w:hAnsiTheme="minorEastAsia" w:eastAsiaTheme="minorEastAsia" w:cstheme="minorEastAsia"/>
          <w:color w:val="auto"/>
          <w:sz w:val="24"/>
        </w:rPr>
      </w:pPr>
    </w:p>
    <w:p>
      <w:pPr>
        <w:pStyle w:val="25"/>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说明：</w:t>
      </w:r>
    </w:p>
    <w:p>
      <w:pPr>
        <w:pStyle w:val="25"/>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1．投标文件由投标人根据采购文件要求参照附件格式编制。</w:t>
      </w:r>
    </w:p>
    <w:p>
      <w:pPr>
        <w:pStyle w:val="25"/>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2．投标人根据实际情况填写。</w:t>
      </w:r>
    </w:p>
    <w:p>
      <w:pPr>
        <w:pStyle w:val="25"/>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3．采购文件中没有参考格式的，投标人自行编制。</w:t>
      </w:r>
    </w:p>
    <w:p>
      <w:pPr>
        <w:autoSpaceDE w:val="0"/>
        <w:autoSpaceDN w:val="0"/>
        <w:adjustRightInd w:val="0"/>
        <w:snapToGrid w:val="0"/>
        <w:spacing w:line="360" w:lineRule="auto"/>
        <w:outlineLvl w:val="1"/>
        <w:rPr>
          <w:rFonts w:hint="eastAsia" w:asciiTheme="minorEastAsia" w:hAnsiTheme="minorEastAsia" w:eastAsiaTheme="minorEastAsia" w:cstheme="minorEastAsia"/>
          <w:bCs/>
          <w:snapToGrid w:val="0"/>
          <w:color w:val="auto"/>
          <w:kern w:val="0"/>
          <w:szCs w:val="21"/>
        </w:rPr>
      </w:pPr>
      <w:r>
        <w:rPr>
          <w:rFonts w:hint="eastAsia" w:asciiTheme="minorEastAsia" w:hAnsiTheme="minorEastAsia" w:eastAsiaTheme="minorEastAsia" w:cstheme="minorEastAsia"/>
          <w:b/>
          <w:bCs/>
          <w:color w:val="auto"/>
          <w:sz w:val="32"/>
          <w:szCs w:val="32"/>
        </w:rPr>
        <w:br w:type="page"/>
      </w:r>
      <w:bookmarkStart w:id="86" w:name="_Toc27220"/>
      <w:bookmarkStart w:id="87" w:name="_Toc1647"/>
      <w:bookmarkStart w:id="88" w:name="_Toc6210"/>
      <w:r>
        <w:rPr>
          <w:rFonts w:hint="eastAsia" w:asciiTheme="minorEastAsia" w:hAnsiTheme="minorEastAsia" w:eastAsiaTheme="minorEastAsia" w:cstheme="minorEastAsia"/>
          <w:b/>
          <w:bCs/>
          <w:snapToGrid/>
          <w:color w:val="auto"/>
          <w:kern w:val="2"/>
          <w:szCs w:val="21"/>
        </w:rPr>
        <w:t>一、</w:t>
      </w:r>
      <w:bookmarkEnd w:id="86"/>
      <w:bookmarkEnd w:id="87"/>
      <w:bookmarkStart w:id="89" w:name="_Toc32101"/>
      <w:bookmarkStart w:id="90" w:name="_Toc27346"/>
      <w:r>
        <w:rPr>
          <w:rFonts w:hint="eastAsia" w:asciiTheme="minorEastAsia" w:hAnsiTheme="minorEastAsia" w:eastAsiaTheme="minorEastAsia" w:cstheme="minorEastAsia"/>
          <w:b/>
          <w:bCs/>
          <w:snapToGrid/>
          <w:color w:val="auto"/>
          <w:kern w:val="2"/>
          <w:szCs w:val="21"/>
        </w:rPr>
        <w:t>投标文件封面（格式供参考）</w:t>
      </w:r>
      <w:bookmarkEnd w:id="88"/>
      <w:bookmarkEnd w:id="89"/>
      <w:bookmarkEnd w:id="90"/>
    </w:p>
    <w:p>
      <w:pPr>
        <w:autoSpaceDE w:val="0"/>
        <w:autoSpaceDN w:val="0"/>
        <w:adjustRightInd w:val="0"/>
        <w:rPr>
          <w:rFonts w:hint="eastAsia" w:asciiTheme="minorEastAsia" w:hAnsiTheme="minorEastAsia" w:eastAsiaTheme="minorEastAsia" w:cstheme="minorEastAsia"/>
          <w:bCs/>
          <w:color w:val="auto"/>
        </w:rPr>
      </w:pPr>
    </w:p>
    <w:p>
      <w:pPr>
        <w:autoSpaceDE w:val="0"/>
        <w:autoSpaceDN w:val="0"/>
        <w:adjustRightInd w:val="0"/>
        <w:rPr>
          <w:rFonts w:hint="eastAsia" w:asciiTheme="minorEastAsia" w:hAnsiTheme="minorEastAsia" w:eastAsiaTheme="minorEastAsia" w:cstheme="minorEastAsia"/>
          <w:bCs/>
          <w:color w:val="auto"/>
        </w:rPr>
      </w:pPr>
      <w:r>
        <w:rPr>
          <w:rFonts w:hint="eastAsia" w:asciiTheme="minorEastAsia" w:hAnsiTheme="minorEastAsia" w:eastAsiaTheme="minorEastAsia" w:cstheme="minorEastAsia"/>
          <w:bCs/>
          <w:color w:val="auto"/>
        </w:rPr>
        <w:t>1.1报价响应文件封面格式</w:t>
      </w:r>
    </w:p>
    <w:p>
      <w:pPr>
        <w:autoSpaceDE w:val="0"/>
        <w:autoSpaceDN w:val="0"/>
        <w:adjustRightInd w:val="0"/>
        <w:spacing w:line="360" w:lineRule="auto"/>
        <w:jc w:val="right"/>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32"/>
          <w:szCs w:val="32"/>
        </w:rPr>
        <w:t xml:space="preserve">                </w:t>
      </w:r>
    </w:p>
    <w:p>
      <w:pPr>
        <w:autoSpaceDE w:val="0"/>
        <w:autoSpaceDN w:val="0"/>
        <w:adjustRightInd w:val="0"/>
        <w:spacing w:line="360" w:lineRule="auto"/>
        <w:jc w:val="center"/>
        <w:rPr>
          <w:rFonts w:hint="eastAsia" w:asciiTheme="minorEastAsia" w:hAnsiTheme="minorEastAsia" w:eastAsiaTheme="minorEastAsia" w:cstheme="minorEastAsia"/>
          <w:b/>
          <w:color w:val="auto"/>
          <w:sz w:val="32"/>
          <w:szCs w:val="32"/>
        </w:rPr>
      </w:pPr>
    </w:p>
    <w:p>
      <w:pPr>
        <w:autoSpaceDE w:val="0"/>
        <w:autoSpaceDN w:val="0"/>
        <w:adjustRightInd w:val="0"/>
        <w:spacing w:line="360" w:lineRule="auto"/>
        <w:jc w:val="center"/>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2020年浙江省碳交易纳入企业温室气体排放报告核查复查项目</w:t>
      </w:r>
    </w:p>
    <w:p>
      <w:pPr>
        <w:autoSpaceDE w:val="0"/>
        <w:autoSpaceDN w:val="0"/>
        <w:adjustRightInd w:val="0"/>
        <w:spacing w:line="360" w:lineRule="auto"/>
        <w:jc w:val="center"/>
        <w:rPr>
          <w:rFonts w:hint="eastAsia" w:asciiTheme="minorEastAsia" w:hAnsiTheme="minorEastAsia" w:eastAsiaTheme="minorEastAsia" w:cstheme="minorEastAsia"/>
          <w:color w:val="auto"/>
          <w:sz w:val="32"/>
          <w:szCs w:val="32"/>
          <w:u w:val="single"/>
        </w:rPr>
      </w:pPr>
    </w:p>
    <w:p>
      <w:pPr>
        <w:autoSpaceDE w:val="0"/>
        <w:autoSpaceDN w:val="0"/>
        <w:adjustRightInd w:val="0"/>
        <w:spacing w:line="360" w:lineRule="auto"/>
        <w:jc w:val="center"/>
        <w:rPr>
          <w:rFonts w:hint="eastAsia" w:asciiTheme="minorEastAsia" w:hAnsiTheme="minorEastAsia" w:eastAsiaTheme="minorEastAsia" w:cstheme="minorEastAsia"/>
          <w:b/>
          <w:color w:val="auto"/>
          <w:sz w:val="32"/>
          <w:szCs w:val="32"/>
        </w:rPr>
      </w:pPr>
    </w:p>
    <w:p>
      <w:pPr>
        <w:spacing w:line="360" w:lineRule="auto"/>
        <w:jc w:val="center"/>
        <w:rPr>
          <w:rFonts w:hint="eastAsia" w:asciiTheme="minorEastAsia" w:hAnsiTheme="minorEastAsia" w:eastAsiaTheme="minorEastAsia" w:cstheme="minorEastAsia"/>
          <w:color w:val="auto"/>
          <w:spacing w:val="40"/>
          <w:w w:val="90"/>
          <w:sz w:val="96"/>
          <w:szCs w:val="96"/>
          <w:lang w:bidi="th-TH"/>
        </w:rPr>
      </w:pPr>
      <w:r>
        <w:rPr>
          <w:rFonts w:hint="eastAsia" w:asciiTheme="minorEastAsia" w:hAnsiTheme="minorEastAsia" w:eastAsiaTheme="minorEastAsia" w:cstheme="minorEastAsia"/>
          <w:color w:val="auto"/>
          <w:spacing w:val="40"/>
          <w:w w:val="90"/>
          <w:sz w:val="96"/>
          <w:szCs w:val="96"/>
          <w:lang w:bidi="th-TH"/>
        </w:rPr>
        <w:t>投 标 文 件</w:t>
      </w:r>
    </w:p>
    <w:p>
      <w:pPr>
        <w:autoSpaceDE w:val="0"/>
        <w:autoSpaceDN w:val="0"/>
        <w:adjustRightInd w:val="0"/>
        <w:spacing w:line="360" w:lineRule="auto"/>
        <w:jc w:val="center"/>
        <w:rPr>
          <w:rFonts w:hint="eastAsia" w:asciiTheme="minorEastAsia" w:hAnsiTheme="minorEastAsia" w:eastAsiaTheme="minorEastAsia" w:cstheme="minorEastAsia"/>
          <w:b/>
          <w:color w:val="auto"/>
          <w:sz w:val="44"/>
          <w:szCs w:val="44"/>
        </w:rPr>
      </w:pPr>
      <w:r>
        <w:rPr>
          <w:rFonts w:hint="eastAsia" w:asciiTheme="minorEastAsia" w:hAnsiTheme="minorEastAsia" w:eastAsiaTheme="minorEastAsia" w:cstheme="minorEastAsia"/>
          <w:b/>
          <w:color w:val="auto"/>
          <w:sz w:val="44"/>
          <w:szCs w:val="44"/>
        </w:rPr>
        <w:t>（报价响应文件）</w:t>
      </w:r>
    </w:p>
    <w:p>
      <w:pPr>
        <w:autoSpaceDE w:val="0"/>
        <w:autoSpaceDN w:val="0"/>
        <w:adjustRightInd w:val="0"/>
        <w:spacing w:line="360" w:lineRule="auto"/>
        <w:jc w:val="center"/>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 xml:space="preserve">采购编号：ZJ-204228    </w:t>
      </w:r>
    </w:p>
    <w:p>
      <w:pPr>
        <w:autoSpaceDE w:val="0"/>
        <w:autoSpaceDN w:val="0"/>
        <w:adjustRightInd w:val="0"/>
        <w:spacing w:line="360" w:lineRule="auto"/>
        <w:rPr>
          <w:rFonts w:hint="eastAsia" w:asciiTheme="minorEastAsia" w:hAnsiTheme="minorEastAsia" w:eastAsiaTheme="minorEastAsia" w:cstheme="minorEastAsia"/>
          <w:b/>
          <w:color w:val="auto"/>
          <w:sz w:val="32"/>
          <w:szCs w:val="32"/>
        </w:rPr>
      </w:pPr>
    </w:p>
    <w:p>
      <w:pPr>
        <w:autoSpaceDE w:val="0"/>
        <w:autoSpaceDN w:val="0"/>
        <w:adjustRightInd w:val="0"/>
        <w:spacing w:line="360" w:lineRule="auto"/>
        <w:rPr>
          <w:rFonts w:hint="eastAsia" w:asciiTheme="minorEastAsia" w:hAnsiTheme="minorEastAsia" w:eastAsiaTheme="minorEastAsia" w:cstheme="minorEastAsia"/>
          <w:b/>
          <w:color w:val="auto"/>
          <w:sz w:val="32"/>
          <w:szCs w:val="32"/>
        </w:rPr>
      </w:pPr>
    </w:p>
    <w:p>
      <w:pPr>
        <w:autoSpaceDE w:val="0"/>
        <w:autoSpaceDN w:val="0"/>
        <w:adjustRightInd w:val="0"/>
        <w:spacing w:line="360" w:lineRule="auto"/>
        <w:rPr>
          <w:rFonts w:hint="eastAsia" w:asciiTheme="minorEastAsia" w:hAnsiTheme="minorEastAsia" w:eastAsiaTheme="minorEastAsia" w:cstheme="minorEastAsia"/>
          <w:b/>
          <w:color w:val="auto"/>
          <w:sz w:val="32"/>
          <w:szCs w:val="32"/>
        </w:rPr>
      </w:pPr>
    </w:p>
    <w:p>
      <w:pPr>
        <w:autoSpaceDE w:val="0"/>
        <w:autoSpaceDN w:val="0"/>
        <w:adjustRightInd w:val="0"/>
        <w:spacing w:line="360" w:lineRule="auto"/>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投标人名称（盖章）：</w:t>
      </w:r>
      <w:r>
        <w:rPr>
          <w:rFonts w:hint="eastAsia" w:asciiTheme="minorEastAsia" w:hAnsiTheme="minorEastAsia" w:eastAsiaTheme="minorEastAsia" w:cstheme="minorEastAsia"/>
          <w:b/>
          <w:color w:val="auto"/>
          <w:sz w:val="32"/>
          <w:szCs w:val="32"/>
          <w:u w:val="single"/>
        </w:rPr>
        <w:t xml:space="preserve">                           </w:t>
      </w:r>
    </w:p>
    <w:p>
      <w:pPr>
        <w:autoSpaceDE w:val="0"/>
        <w:autoSpaceDN w:val="0"/>
        <w:adjustRightInd w:val="0"/>
        <w:spacing w:line="360" w:lineRule="auto"/>
        <w:rPr>
          <w:rFonts w:hint="eastAsia" w:asciiTheme="minorEastAsia" w:hAnsiTheme="minorEastAsia" w:eastAsiaTheme="minorEastAsia" w:cstheme="minorEastAsia"/>
          <w:b/>
          <w:color w:val="auto"/>
          <w:sz w:val="32"/>
          <w:szCs w:val="32"/>
        </w:rPr>
      </w:pPr>
    </w:p>
    <w:p>
      <w:pPr>
        <w:autoSpaceDE w:val="0"/>
        <w:autoSpaceDN w:val="0"/>
        <w:adjustRightInd w:val="0"/>
        <w:spacing w:line="360" w:lineRule="auto"/>
        <w:rPr>
          <w:rFonts w:hint="eastAsia" w:asciiTheme="minorEastAsia" w:hAnsiTheme="minorEastAsia" w:eastAsiaTheme="minorEastAsia" w:cstheme="minorEastAsia"/>
          <w:b/>
          <w:color w:val="auto"/>
          <w:sz w:val="32"/>
          <w:szCs w:val="32"/>
          <w:u w:val="single"/>
        </w:rPr>
      </w:pPr>
      <w:r>
        <w:rPr>
          <w:rFonts w:hint="eastAsia" w:asciiTheme="minorEastAsia" w:hAnsiTheme="minorEastAsia" w:eastAsiaTheme="minorEastAsia" w:cstheme="minorEastAsia"/>
          <w:b/>
          <w:color w:val="auto"/>
          <w:sz w:val="32"/>
          <w:szCs w:val="32"/>
        </w:rPr>
        <w:t xml:space="preserve">法定代表人或授权代表(签字或盖章)： </w:t>
      </w:r>
      <w:r>
        <w:rPr>
          <w:rFonts w:hint="eastAsia" w:asciiTheme="minorEastAsia" w:hAnsiTheme="minorEastAsia" w:eastAsiaTheme="minorEastAsia" w:cstheme="minorEastAsia"/>
          <w:b/>
          <w:color w:val="auto"/>
          <w:sz w:val="32"/>
          <w:szCs w:val="32"/>
          <w:u w:val="single"/>
        </w:rPr>
        <w:t xml:space="preserve">                  </w:t>
      </w:r>
    </w:p>
    <w:p>
      <w:pPr>
        <w:pStyle w:val="50"/>
        <w:ind w:firstLine="640"/>
        <w:rPr>
          <w:rFonts w:hint="eastAsia" w:asciiTheme="minorEastAsia" w:hAnsiTheme="minorEastAsia" w:eastAsiaTheme="minorEastAsia" w:cstheme="minorEastAsia"/>
          <w:b/>
          <w:color w:val="auto"/>
          <w:sz w:val="32"/>
          <w:szCs w:val="32"/>
          <w:u w:val="single"/>
        </w:rPr>
      </w:pPr>
    </w:p>
    <w:p>
      <w:pPr>
        <w:autoSpaceDE w:val="0"/>
        <w:autoSpaceDN w:val="0"/>
        <w:adjustRightInd w:val="0"/>
        <w:spacing w:line="360" w:lineRule="auto"/>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参与标项：</w:t>
      </w:r>
      <w:r>
        <w:rPr>
          <w:rFonts w:hint="eastAsia" w:asciiTheme="minorEastAsia" w:hAnsiTheme="minorEastAsia" w:eastAsiaTheme="minorEastAsia" w:cstheme="minorEastAsia"/>
          <w:b/>
          <w:color w:val="auto"/>
          <w:sz w:val="32"/>
          <w:szCs w:val="32"/>
          <w:u w:val="single"/>
        </w:rPr>
        <w:t xml:space="preserve">                       （填具体的标项数字）    </w:t>
      </w:r>
      <w:r>
        <w:rPr>
          <w:rFonts w:hint="eastAsia" w:asciiTheme="minorEastAsia" w:hAnsiTheme="minorEastAsia" w:eastAsiaTheme="minorEastAsia" w:cstheme="minorEastAsia"/>
          <w:b/>
          <w:color w:val="auto"/>
          <w:sz w:val="32"/>
          <w:szCs w:val="32"/>
        </w:rPr>
        <w:t xml:space="preserve">                                 </w:t>
      </w:r>
    </w:p>
    <w:p>
      <w:pPr>
        <w:autoSpaceDE w:val="0"/>
        <w:autoSpaceDN w:val="0"/>
        <w:adjustRightInd w:val="0"/>
        <w:spacing w:line="360" w:lineRule="auto"/>
        <w:rPr>
          <w:rFonts w:hint="eastAsia" w:asciiTheme="minorEastAsia" w:hAnsiTheme="minorEastAsia" w:eastAsiaTheme="minorEastAsia" w:cstheme="minorEastAsia"/>
          <w:b/>
          <w:color w:val="auto"/>
          <w:sz w:val="32"/>
          <w:szCs w:val="32"/>
        </w:rPr>
      </w:pPr>
    </w:p>
    <w:p>
      <w:pPr>
        <w:autoSpaceDE w:val="0"/>
        <w:autoSpaceDN w:val="0"/>
        <w:adjustRightInd w:val="0"/>
        <w:spacing w:line="360" w:lineRule="auto"/>
        <w:jc w:val="center"/>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时间：    年   月   日</w:t>
      </w:r>
    </w:p>
    <w:p>
      <w:pPr>
        <w:autoSpaceDE w:val="0"/>
        <w:autoSpaceDN w:val="0"/>
        <w:adjustRightInd w:val="0"/>
        <w:rPr>
          <w:rFonts w:hint="eastAsia" w:asciiTheme="minorEastAsia" w:hAnsiTheme="minorEastAsia" w:eastAsiaTheme="minorEastAsia" w:cstheme="minorEastAsia"/>
          <w:bCs/>
          <w:color w:val="auto"/>
        </w:rPr>
      </w:pPr>
      <w:r>
        <w:rPr>
          <w:rFonts w:hint="eastAsia" w:asciiTheme="minorEastAsia" w:hAnsiTheme="minorEastAsia" w:eastAsiaTheme="minorEastAsia" w:cstheme="minorEastAsia"/>
          <w:color w:val="auto"/>
        </w:rPr>
        <w:br w:type="page"/>
      </w:r>
      <w:r>
        <w:rPr>
          <w:rFonts w:hint="eastAsia" w:asciiTheme="minorEastAsia" w:hAnsiTheme="minorEastAsia" w:eastAsiaTheme="minorEastAsia" w:cstheme="minorEastAsia"/>
          <w:bCs/>
          <w:color w:val="auto"/>
        </w:rPr>
        <w:t>1.2资格响应文件/商务技术响应文件封面格式</w:t>
      </w:r>
    </w:p>
    <w:p>
      <w:pPr>
        <w:autoSpaceDE w:val="0"/>
        <w:autoSpaceDN w:val="0"/>
        <w:adjustRightInd w:val="0"/>
        <w:rPr>
          <w:rFonts w:hint="eastAsia" w:asciiTheme="minorEastAsia" w:hAnsiTheme="minorEastAsia" w:eastAsiaTheme="minorEastAsia" w:cstheme="minorEastAsia"/>
          <w:b/>
          <w:bCs/>
          <w:color w:val="auto"/>
        </w:rPr>
      </w:pPr>
    </w:p>
    <w:p>
      <w:pPr>
        <w:autoSpaceDE w:val="0"/>
        <w:autoSpaceDN w:val="0"/>
        <w:adjustRightInd w:val="0"/>
        <w:spacing w:line="360" w:lineRule="auto"/>
        <w:jc w:val="right"/>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32"/>
          <w:szCs w:val="32"/>
        </w:rPr>
        <w:t xml:space="preserve">               </w:t>
      </w:r>
    </w:p>
    <w:p>
      <w:pPr>
        <w:autoSpaceDE w:val="0"/>
        <w:autoSpaceDN w:val="0"/>
        <w:adjustRightInd w:val="0"/>
        <w:spacing w:line="360" w:lineRule="auto"/>
        <w:jc w:val="center"/>
        <w:rPr>
          <w:rFonts w:hint="eastAsia" w:asciiTheme="minorEastAsia" w:hAnsiTheme="minorEastAsia" w:eastAsiaTheme="minorEastAsia" w:cstheme="minorEastAsia"/>
          <w:b/>
          <w:color w:val="auto"/>
          <w:sz w:val="32"/>
          <w:szCs w:val="32"/>
        </w:rPr>
      </w:pPr>
    </w:p>
    <w:p>
      <w:pPr>
        <w:autoSpaceDE w:val="0"/>
        <w:autoSpaceDN w:val="0"/>
        <w:adjustRightInd w:val="0"/>
        <w:spacing w:line="360" w:lineRule="auto"/>
        <w:jc w:val="center"/>
        <w:rPr>
          <w:rFonts w:hint="eastAsia" w:asciiTheme="minorEastAsia" w:hAnsiTheme="minorEastAsia" w:eastAsiaTheme="minorEastAsia" w:cstheme="minorEastAsia"/>
          <w:b/>
          <w:color w:val="auto"/>
          <w:sz w:val="36"/>
          <w:szCs w:val="36"/>
        </w:rPr>
      </w:pPr>
      <w:r>
        <w:rPr>
          <w:rFonts w:hint="eastAsia" w:asciiTheme="minorEastAsia" w:hAnsiTheme="minorEastAsia" w:eastAsiaTheme="minorEastAsia" w:cstheme="minorEastAsia"/>
          <w:b/>
          <w:color w:val="auto"/>
          <w:sz w:val="32"/>
          <w:szCs w:val="32"/>
        </w:rPr>
        <w:t>2020年浙江省碳交易纳入企业温室气体排放报告核查复查项目</w:t>
      </w:r>
    </w:p>
    <w:p>
      <w:pPr>
        <w:autoSpaceDE w:val="0"/>
        <w:autoSpaceDN w:val="0"/>
        <w:adjustRightInd w:val="0"/>
        <w:spacing w:line="360" w:lineRule="auto"/>
        <w:jc w:val="center"/>
        <w:rPr>
          <w:rFonts w:hint="eastAsia" w:asciiTheme="minorEastAsia" w:hAnsiTheme="minorEastAsia" w:eastAsiaTheme="minorEastAsia" w:cstheme="minorEastAsia"/>
          <w:color w:val="auto"/>
          <w:sz w:val="32"/>
          <w:szCs w:val="32"/>
          <w:u w:val="single"/>
        </w:rPr>
      </w:pPr>
    </w:p>
    <w:p>
      <w:pPr>
        <w:autoSpaceDE w:val="0"/>
        <w:autoSpaceDN w:val="0"/>
        <w:adjustRightInd w:val="0"/>
        <w:spacing w:line="360" w:lineRule="auto"/>
        <w:jc w:val="center"/>
        <w:rPr>
          <w:rFonts w:hint="eastAsia" w:asciiTheme="minorEastAsia" w:hAnsiTheme="minorEastAsia" w:eastAsiaTheme="minorEastAsia" w:cstheme="minorEastAsia"/>
          <w:b/>
          <w:color w:val="auto"/>
          <w:sz w:val="32"/>
          <w:szCs w:val="32"/>
        </w:rPr>
      </w:pPr>
    </w:p>
    <w:p>
      <w:pPr>
        <w:spacing w:line="360" w:lineRule="auto"/>
        <w:jc w:val="center"/>
        <w:rPr>
          <w:rFonts w:hint="eastAsia" w:asciiTheme="minorEastAsia" w:hAnsiTheme="minorEastAsia" w:eastAsiaTheme="minorEastAsia" w:cstheme="minorEastAsia"/>
          <w:color w:val="auto"/>
          <w:spacing w:val="40"/>
          <w:w w:val="90"/>
          <w:sz w:val="96"/>
          <w:szCs w:val="96"/>
          <w:lang w:bidi="th-TH"/>
        </w:rPr>
      </w:pPr>
      <w:r>
        <w:rPr>
          <w:rFonts w:hint="eastAsia" w:asciiTheme="minorEastAsia" w:hAnsiTheme="minorEastAsia" w:eastAsiaTheme="minorEastAsia" w:cstheme="minorEastAsia"/>
          <w:color w:val="auto"/>
          <w:spacing w:val="40"/>
          <w:w w:val="90"/>
          <w:sz w:val="96"/>
          <w:szCs w:val="96"/>
          <w:lang w:bidi="th-TH"/>
        </w:rPr>
        <w:t>投 标 文 件</w:t>
      </w:r>
    </w:p>
    <w:p>
      <w:pPr>
        <w:autoSpaceDE w:val="0"/>
        <w:autoSpaceDN w:val="0"/>
        <w:adjustRightInd w:val="0"/>
        <w:spacing w:line="360" w:lineRule="auto"/>
        <w:jc w:val="center"/>
        <w:rPr>
          <w:rFonts w:hint="eastAsia" w:asciiTheme="minorEastAsia" w:hAnsiTheme="minorEastAsia" w:eastAsiaTheme="minorEastAsia" w:cstheme="minorEastAsia"/>
          <w:b/>
          <w:color w:val="auto"/>
          <w:sz w:val="44"/>
          <w:szCs w:val="44"/>
        </w:rPr>
      </w:pPr>
      <w:r>
        <w:rPr>
          <w:rFonts w:hint="eastAsia" w:asciiTheme="minorEastAsia" w:hAnsiTheme="minorEastAsia" w:eastAsiaTheme="minorEastAsia" w:cstheme="minorEastAsia"/>
          <w:b/>
          <w:color w:val="auto"/>
          <w:sz w:val="44"/>
          <w:szCs w:val="44"/>
        </w:rPr>
        <w:t>（资格响应文件/商务技术响应文件）</w:t>
      </w:r>
    </w:p>
    <w:p>
      <w:pPr>
        <w:autoSpaceDE w:val="0"/>
        <w:autoSpaceDN w:val="0"/>
        <w:adjustRightInd w:val="0"/>
        <w:spacing w:line="360" w:lineRule="auto"/>
        <w:jc w:val="center"/>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 xml:space="preserve">采购编号：ZJ-204228    </w:t>
      </w:r>
    </w:p>
    <w:p>
      <w:pPr>
        <w:autoSpaceDE w:val="0"/>
        <w:autoSpaceDN w:val="0"/>
        <w:adjustRightInd w:val="0"/>
        <w:spacing w:line="360" w:lineRule="auto"/>
        <w:rPr>
          <w:rFonts w:hint="eastAsia" w:asciiTheme="minorEastAsia" w:hAnsiTheme="minorEastAsia" w:eastAsiaTheme="minorEastAsia" w:cstheme="minorEastAsia"/>
          <w:b/>
          <w:color w:val="auto"/>
          <w:sz w:val="32"/>
          <w:szCs w:val="32"/>
        </w:rPr>
      </w:pPr>
    </w:p>
    <w:p>
      <w:pPr>
        <w:autoSpaceDE w:val="0"/>
        <w:autoSpaceDN w:val="0"/>
        <w:adjustRightInd w:val="0"/>
        <w:spacing w:line="360" w:lineRule="auto"/>
        <w:rPr>
          <w:rFonts w:hint="eastAsia" w:asciiTheme="minorEastAsia" w:hAnsiTheme="minorEastAsia" w:eastAsiaTheme="minorEastAsia" w:cstheme="minorEastAsia"/>
          <w:b/>
          <w:color w:val="auto"/>
          <w:sz w:val="32"/>
          <w:szCs w:val="32"/>
        </w:rPr>
      </w:pPr>
    </w:p>
    <w:p>
      <w:pPr>
        <w:autoSpaceDE w:val="0"/>
        <w:autoSpaceDN w:val="0"/>
        <w:adjustRightInd w:val="0"/>
        <w:spacing w:line="360" w:lineRule="auto"/>
        <w:rPr>
          <w:rFonts w:hint="eastAsia" w:asciiTheme="minorEastAsia" w:hAnsiTheme="minorEastAsia" w:eastAsiaTheme="minorEastAsia" w:cstheme="minorEastAsia"/>
          <w:b/>
          <w:color w:val="auto"/>
          <w:sz w:val="32"/>
          <w:szCs w:val="32"/>
        </w:rPr>
      </w:pPr>
    </w:p>
    <w:p>
      <w:pPr>
        <w:autoSpaceDE w:val="0"/>
        <w:autoSpaceDN w:val="0"/>
        <w:adjustRightInd w:val="0"/>
        <w:spacing w:line="360" w:lineRule="auto"/>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投标人名称（盖章）：</w:t>
      </w:r>
      <w:r>
        <w:rPr>
          <w:rFonts w:hint="eastAsia" w:asciiTheme="minorEastAsia" w:hAnsiTheme="minorEastAsia" w:eastAsiaTheme="minorEastAsia" w:cstheme="minorEastAsia"/>
          <w:b/>
          <w:color w:val="auto"/>
          <w:sz w:val="32"/>
          <w:szCs w:val="32"/>
          <w:u w:val="single"/>
        </w:rPr>
        <w:t xml:space="preserve">                           </w:t>
      </w:r>
    </w:p>
    <w:p>
      <w:pPr>
        <w:autoSpaceDE w:val="0"/>
        <w:autoSpaceDN w:val="0"/>
        <w:adjustRightInd w:val="0"/>
        <w:spacing w:line="360" w:lineRule="auto"/>
        <w:rPr>
          <w:rFonts w:hint="eastAsia" w:asciiTheme="minorEastAsia" w:hAnsiTheme="minorEastAsia" w:eastAsiaTheme="minorEastAsia" w:cstheme="minorEastAsia"/>
          <w:b/>
          <w:color w:val="auto"/>
          <w:sz w:val="32"/>
          <w:szCs w:val="32"/>
        </w:rPr>
      </w:pPr>
    </w:p>
    <w:p>
      <w:pPr>
        <w:autoSpaceDE w:val="0"/>
        <w:autoSpaceDN w:val="0"/>
        <w:adjustRightInd w:val="0"/>
        <w:spacing w:line="360" w:lineRule="auto"/>
        <w:rPr>
          <w:rFonts w:hint="eastAsia" w:asciiTheme="minorEastAsia" w:hAnsiTheme="minorEastAsia" w:eastAsiaTheme="minorEastAsia" w:cstheme="minorEastAsia"/>
          <w:b/>
          <w:color w:val="auto"/>
          <w:sz w:val="32"/>
          <w:szCs w:val="32"/>
          <w:u w:val="single"/>
        </w:rPr>
      </w:pPr>
      <w:r>
        <w:rPr>
          <w:rFonts w:hint="eastAsia" w:asciiTheme="minorEastAsia" w:hAnsiTheme="minorEastAsia" w:eastAsiaTheme="minorEastAsia" w:cstheme="minorEastAsia"/>
          <w:b/>
          <w:color w:val="auto"/>
          <w:sz w:val="32"/>
          <w:szCs w:val="32"/>
        </w:rPr>
        <w:t xml:space="preserve">法定代表人或授权代表(签字或盖章)： </w:t>
      </w:r>
      <w:r>
        <w:rPr>
          <w:rFonts w:hint="eastAsia" w:asciiTheme="minorEastAsia" w:hAnsiTheme="minorEastAsia" w:eastAsiaTheme="minorEastAsia" w:cstheme="minorEastAsia"/>
          <w:b/>
          <w:color w:val="auto"/>
          <w:sz w:val="32"/>
          <w:szCs w:val="32"/>
          <w:u w:val="single"/>
        </w:rPr>
        <w:t xml:space="preserve">                  </w:t>
      </w:r>
    </w:p>
    <w:p>
      <w:pPr>
        <w:pStyle w:val="50"/>
        <w:ind w:firstLine="640"/>
        <w:rPr>
          <w:rFonts w:hint="eastAsia" w:asciiTheme="minorEastAsia" w:hAnsiTheme="minorEastAsia" w:eastAsiaTheme="minorEastAsia" w:cstheme="minorEastAsia"/>
          <w:b/>
          <w:color w:val="auto"/>
          <w:sz w:val="32"/>
          <w:szCs w:val="32"/>
          <w:u w:val="single"/>
        </w:rPr>
      </w:pPr>
    </w:p>
    <w:p>
      <w:pPr>
        <w:autoSpaceDE w:val="0"/>
        <w:autoSpaceDN w:val="0"/>
        <w:adjustRightInd w:val="0"/>
        <w:spacing w:line="360" w:lineRule="auto"/>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参与标项：</w:t>
      </w:r>
      <w:r>
        <w:rPr>
          <w:rFonts w:hint="eastAsia" w:asciiTheme="minorEastAsia" w:hAnsiTheme="minorEastAsia" w:eastAsiaTheme="minorEastAsia" w:cstheme="minorEastAsia"/>
          <w:b/>
          <w:color w:val="auto"/>
          <w:sz w:val="32"/>
          <w:szCs w:val="32"/>
          <w:u w:val="single"/>
        </w:rPr>
        <w:t xml:space="preserve">                       （填具体的标项数字） </w:t>
      </w:r>
    </w:p>
    <w:p>
      <w:pPr>
        <w:autoSpaceDE w:val="0"/>
        <w:autoSpaceDN w:val="0"/>
        <w:adjustRightInd w:val="0"/>
        <w:spacing w:line="360" w:lineRule="auto"/>
        <w:rPr>
          <w:rFonts w:hint="eastAsia" w:asciiTheme="minorEastAsia" w:hAnsiTheme="minorEastAsia" w:eastAsiaTheme="minorEastAsia" w:cstheme="minorEastAsia"/>
          <w:b/>
          <w:color w:val="auto"/>
          <w:sz w:val="32"/>
          <w:szCs w:val="32"/>
        </w:rPr>
      </w:pPr>
    </w:p>
    <w:p>
      <w:pPr>
        <w:autoSpaceDE w:val="0"/>
        <w:autoSpaceDN w:val="0"/>
        <w:adjustRightInd w:val="0"/>
        <w:spacing w:line="360" w:lineRule="auto"/>
        <w:jc w:val="center"/>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时间：    年   月   日</w:t>
      </w:r>
    </w:p>
    <w:p>
      <w:pPr>
        <w:autoSpaceDE w:val="0"/>
        <w:autoSpaceDN w:val="0"/>
        <w:adjustRightInd w:val="0"/>
        <w:spacing w:line="360" w:lineRule="auto"/>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snapToGrid w:val="0"/>
          <w:color w:val="auto"/>
          <w:kern w:val="0"/>
        </w:rPr>
        <w:br w:type="page"/>
      </w:r>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1"/>
          <w:szCs w:val="21"/>
        </w:rPr>
      </w:pPr>
      <w:bookmarkStart w:id="91" w:name="_Toc31523"/>
      <w:bookmarkStart w:id="92" w:name="_Toc15653"/>
      <w:bookmarkStart w:id="93" w:name="_Toc22407"/>
      <w:r>
        <w:rPr>
          <w:rFonts w:hint="eastAsia" w:asciiTheme="minorEastAsia" w:hAnsiTheme="minorEastAsia" w:eastAsiaTheme="minorEastAsia" w:cstheme="minorEastAsia"/>
          <w:b/>
          <w:bCs/>
          <w:color w:val="auto"/>
          <w:sz w:val="21"/>
          <w:szCs w:val="21"/>
        </w:rPr>
        <w:t>二、</w:t>
      </w:r>
      <w:bookmarkEnd w:id="91"/>
      <w:bookmarkEnd w:id="92"/>
      <w:r>
        <w:rPr>
          <w:rFonts w:hint="eastAsia" w:asciiTheme="minorEastAsia" w:hAnsiTheme="minorEastAsia" w:eastAsiaTheme="minorEastAsia" w:cstheme="minorEastAsia"/>
          <w:b/>
          <w:bCs/>
          <w:color w:val="auto"/>
          <w:sz w:val="21"/>
          <w:szCs w:val="21"/>
        </w:rPr>
        <w:t>资格响应文件</w:t>
      </w:r>
      <w:bookmarkEnd w:id="93"/>
    </w:p>
    <w:p>
      <w:pPr>
        <w:autoSpaceDE w:val="0"/>
        <w:autoSpaceDN w:val="0"/>
        <w:adjustRightInd w:val="0"/>
        <w:snapToGrid w:val="0"/>
        <w:spacing w:line="360" w:lineRule="auto"/>
        <w:ind w:right="420"/>
        <w:rPr>
          <w:rFonts w:hint="eastAsia" w:asciiTheme="minorEastAsia" w:hAnsiTheme="minorEastAsia" w:eastAsiaTheme="minorEastAsia" w:cstheme="minorEastAsia"/>
          <w:b/>
          <w:snapToGrid w:val="0"/>
          <w:color w:val="auto"/>
          <w:kern w:val="0"/>
        </w:rPr>
      </w:pPr>
      <w:r>
        <w:rPr>
          <w:rFonts w:hint="eastAsia" w:asciiTheme="minorEastAsia" w:hAnsiTheme="minorEastAsia" w:eastAsiaTheme="minorEastAsia" w:cstheme="minorEastAsia"/>
          <w:b/>
          <w:snapToGrid w:val="0"/>
          <w:color w:val="auto"/>
          <w:kern w:val="0"/>
        </w:rPr>
        <w:t>2.1资格审查需要的资料</w:t>
      </w:r>
    </w:p>
    <w:tbl>
      <w:tblPr>
        <w:tblStyle w:val="48"/>
        <w:tblW w:w="879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335"/>
        <w:gridCol w:w="4338"/>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648" w:type="dxa"/>
            <w:noWrap w:val="0"/>
            <w:vAlign w:val="center"/>
          </w:tcPr>
          <w:p>
            <w:pPr>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2335" w:type="dxa"/>
            <w:noWrap w:val="0"/>
            <w:vAlign w:val="center"/>
          </w:tcPr>
          <w:p>
            <w:pPr>
              <w:ind w:left="344" w:leftChars="114" w:hanging="105" w:hangingChars="5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评审因素</w:t>
            </w:r>
          </w:p>
        </w:tc>
        <w:tc>
          <w:tcPr>
            <w:tcW w:w="4338" w:type="dxa"/>
            <w:noWrap w:val="0"/>
            <w:vAlign w:val="center"/>
          </w:tcPr>
          <w:p>
            <w:pPr>
              <w:ind w:left="2"/>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相关证明文件</w:t>
            </w:r>
          </w:p>
        </w:tc>
        <w:tc>
          <w:tcPr>
            <w:tcW w:w="1474" w:type="dxa"/>
            <w:noWrap w:val="0"/>
            <w:vAlign w:val="center"/>
          </w:tcPr>
          <w:p>
            <w:pPr>
              <w:ind w:left="2"/>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申请人达到程度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648" w:type="dxa"/>
            <w:noWrap w:val="0"/>
            <w:vAlign w:val="center"/>
          </w:tcPr>
          <w:p>
            <w:pPr>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335" w:type="dxa"/>
            <w:noWrap w:val="0"/>
            <w:vAlign w:val="center"/>
          </w:tcPr>
          <w:p>
            <w:pPr>
              <w:widowControl/>
              <w:adjustRightInd w:val="0"/>
              <w:snapToGrid w:val="0"/>
              <w:jc w:val="left"/>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snapToGrid w:val="0"/>
                <w:color w:val="auto"/>
                <w:kern w:val="0"/>
                <w:szCs w:val="21"/>
              </w:rPr>
              <w:t>采购公告第五条要求</w:t>
            </w:r>
          </w:p>
        </w:tc>
        <w:tc>
          <w:tcPr>
            <w:tcW w:w="4338" w:type="dxa"/>
            <w:noWrap w:val="0"/>
            <w:vAlign w:val="center"/>
          </w:tcPr>
          <w:p>
            <w:pPr>
              <w:tabs>
                <w:tab w:val="left" w:pos="720"/>
              </w:tabs>
              <w:adjustRightInd w:val="0"/>
              <w:snapToGrid w:val="0"/>
              <w:jc w:val="left"/>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snapToGrid w:val="0"/>
                <w:color w:val="auto"/>
                <w:kern w:val="0"/>
                <w:szCs w:val="21"/>
              </w:rPr>
              <w:t>采购文件投标须知9.1条规定的相关资料</w:t>
            </w:r>
          </w:p>
        </w:tc>
        <w:tc>
          <w:tcPr>
            <w:tcW w:w="1474" w:type="dxa"/>
            <w:noWrap w:val="0"/>
            <w:vAlign w:val="center"/>
          </w:tcPr>
          <w:p>
            <w:pPr>
              <w:adjustRightInd w:val="0"/>
              <w:snapToGrid w:val="0"/>
              <w:jc w:val="left"/>
              <w:rPr>
                <w:rFonts w:hint="eastAsia" w:asciiTheme="minorEastAsia" w:hAnsiTheme="minorEastAsia" w:eastAsiaTheme="minorEastAsia" w:cstheme="minorEastAsia"/>
                <w:color w:val="auto"/>
                <w:szCs w:val="21"/>
              </w:rPr>
            </w:pPr>
          </w:p>
        </w:tc>
      </w:tr>
    </w:tbl>
    <w:p>
      <w:pPr>
        <w:tabs>
          <w:tab w:val="left" w:pos="735"/>
        </w:tabs>
        <w:adjustRightInd w:val="0"/>
        <w:snapToGrid w:val="0"/>
        <w:spacing w:line="360" w:lineRule="auto"/>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snapToGrid w:val="0"/>
          <w:color w:val="auto"/>
          <w:kern w:val="0"/>
          <w:szCs w:val="21"/>
        </w:rPr>
        <w:t>注：证明材料附后。</w:t>
      </w:r>
    </w:p>
    <w:p>
      <w:pPr>
        <w:pStyle w:val="40"/>
        <w:tabs>
          <w:tab w:val="left" w:pos="630"/>
          <w:tab w:val="left" w:pos="840"/>
          <w:tab w:val="left" w:pos="1050"/>
        </w:tabs>
        <w:adjustRightInd w:val="0"/>
        <w:snapToGrid w:val="0"/>
        <w:spacing w:before="0" w:beforeAutospacing="0" w:after="0" w:afterAutospacing="0" w:line="360" w:lineRule="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color w:val="auto"/>
        </w:rPr>
        <w:br w:type="page"/>
      </w:r>
      <w:r>
        <w:rPr>
          <w:rFonts w:hint="eastAsia" w:asciiTheme="minorEastAsia" w:hAnsiTheme="minorEastAsia" w:eastAsiaTheme="minorEastAsia" w:cstheme="minorEastAsia"/>
          <w:b/>
          <w:color w:val="auto"/>
          <w:sz w:val="21"/>
          <w:szCs w:val="21"/>
        </w:rPr>
        <w:t>2.2基本资格条件相关证明材料</w:t>
      </w:r>
    </w:p>
    <w:p>
      <w:pPr>
        <w:pStyle w:val="40"/>
        <w:numPr>
          <w:ilvl w:val="0"/>
          <w:numId w:val="14"/>
        </w:numPr>
        <w:tabs>
          <w:tab w:val="left" w:pos="630"/>
          <w:tab w:val="left" w:pos="840"/>
          <w:tab w:val="left" w:pos="1050"/>
        </w:tabs>
        <w:adjustRightInd w:val="0"/>
        <w:snapToGrid w:val="0"/>
        <w:spacing w:before="0" w:beforeAutospacing="0" w:after="0" w:afterAutospacing="0" w:line="360" w:lineRule="auto"/>
        <w:ind w:hanging="5"/>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具有独立承担民事责任的能力：</w:t>
      </w:r>
    </w:p>
    <w:p>
      <w:pPr>
        <w:pStyle w:val="40"/>
        <w:tabs>
          <w:tab w:val="left" w:pos="630"/>
          <w:tab w:val="left" w:pos="840"/>
          <w:tab w:val="left" w:pos="1050"/>
        </w:tabs>
        <w:adjustRightInd w:val="0"/>
        <w:snapToGrid w:val="0"/>
        <w:spacing w:before="0" w:beforeAutospacing="0" w:after="0" w:afterAutospacing="0" w:line="360" w:lineRule="auto"/>
        <w:ind w:left="42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投标人须在投标文件中出具符合以下情况的证明材料复印件（五选一）：</w:t>
      </w:r>
    </w:p>
    <w:p>
      <w:pPr>
        <w:pStyle w:val="40"/>
        <w:numPr>
          <w:ilvl w:val="0"/>
          <w:numId w:val="15"/>
        </w:numPr>
        <w:tabs>
          <w:tab w:val="left" w:pos="312"/>
        </w:tabs>
        <w:adjustRightInd w:val="0"/>
        <w:snapToGrid w:val="0"/>
        <w:spacing w:before="0" w:beforeAutospacing="0" w:after="0" w:afterAutospacing="0" w:line="360" w:lineRule="auto"/>
        <w:ind w:firstLine="422" w:firstLineChars="20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如投标人是企业（包括合伙企业），提供在工商部门注册的有效“企业法人营业执照”或“营业执照”；</w:t>
      </w:r>
    </w:p>
    <w:p>
      <w:pPr>
        <w:pStyle w:val="40"/>
        <w:numPr>
          <w:ilvl w:val="0"/>
          <w:numId w:val="15"/>
        </w:numPr>
        <w:tabs>
          <w:tab w:val="left" w:pos="312"/>
        </w:tabs>
        <w:adjustRightInd w:val="0"/>
        <w:snapToGrid w:val="0"/>
        <w:spacing w:before="0" w:beforeAutospacing="0" w:after="0" w:afterAutospacing="0" w:line="360" w:lineRule="auto"/>
        <w:ind w:firstLine="422" w:firstLineChars="20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如投标人是事业单位，提供有效的“事业单位法人证书”；</w:t>
      </w:r>
    </w:p>
    <w:p>
      <w:pPr>
        <w:pStyle w:val="40"/>
        <w:numPr>
          <w:ilvl w:val="0"/>
          <w:numId w:val="15"/>
        </w:numPr>
        <w:tabs>
          <w:tab w:val="left" w:pos="312"/>
        </w:tabs>
        <w:adjustRightInd w:val="0"/>
        <w:snapToGrid w:val="0"/>
        <w:spacing w:before="0" w:beforeAutospacing="0" w:after="0" w:afterAutospacing="0" w:line="360" w:lineRule="auto"/>
        <w:ind w:firstLine="422" w:firstLineChars="20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如投标人是非企业专业服务机构的，提供执业许可证等证明文件；</w:t>
      </w:r>
    </w:p>
    <w:p>
      <w:pPr>
        <w:pStyle w:val="40"/>
        <w:numPr>
          <w:ilvl w:val="0"/>
          <w:numId w:val="15"/>
        </w:numPr>
        <w:tabs>
          <w:tab w:val="left" w:pos="312"/>
        </w:tabs>
        <w:adjustRightInd w:val="0"/>
        <w:snapToGrid w:val="0"/>
        <w:spacing w:before="0" w:beforeAutospacing="0" w:after="0" w:afterAutospacing="0" w:line="360" w:lineRule="auto"/>
        <w:ind w:firstLine="422" w:firstLineChars="20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如投标人是个体工商户，提供有效的“个体工商户营业执照”；</w:t>
      </w:r>
    </w:p>
    <w:p>
      <w:pPr>
        <w:pStyle w:val="40"/>
        <w:numPr>
          <w:ilvl w:val="0"/>
          <w:numId w:val="15"/>
        </w:numPr>
        <w:tabs>
          <w:tab w:val="left" w:pos="312"/>
        </w:tabs>
        <w:adjustRightInd w:val="0"/>
        <w:snapToGrid w:val="0"/>
        <w:spacing w:before="0" w:beforeAutospacing="0" w:after="0" w:afterAutospacing="0" w:line="360" w:lineRule="auto"/>
        <w:ind w:firstLine="422" w:firstLineChars="20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如投标人是自然人，提供有效的自然人身份证明（居民身份证正反面或公安机关出具的临时居民身份证正反面或港澳台胞证或护照）。</w:t>
      </w:r>
    </w:p>
    <w:p>
      <w:pPr>
        <w:pStyle w:val="40"/>
        <w:tabs>
          <w:tab w:val="left" w:pos="312"/>
        </w:tabs>
        <w:adjustRightInd w:val="0"/>
        <w:snapToGrid w:val="0"/>
        <w:spacing w:before="0" w:beforeAutospacing="0" w:after="0" w:afterAutospacing="0" w:line="360" w:lineRule="auto"/>
        <w:ind w:left="420" w:leftChars="20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br w:type="page"/>
      </w:r>
    </w:p>
    <w:p>
      <w:pPr>
        <w:pStyle w:val="40"/>
        <w:numPr>
          <w:ilvl w:val="0"/>
          <w:numId w:val="14"/>
        </w:numPr>
        <w:tabs>
          <w:tab w:val="left" w:pos="630"/>
          <w:tab w:val="left" w:pos="840"/>
          <w:tab w:val="left" w:pos="1050"/>
        </w:tabs>
        <w:adjustRightInd w:val="0"/>
        <w:snapToGrid w:val="0"/>
        <w:spacing w:before="0" w:beforeAutospacing="0" w:after="0" w:afterAutospacing="0" w:line="360" w:lineRule="auto"/>
        <w:ind w:hanging="5"/>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具有良好的商业信誉和健全的财务会计制度的证明材料：</w:t>
      </w:r>
    </w:p>
    <w:p>
      <w:pPr>
        <w:pStyle w:val="40"/>
        <w:adjustRightInd w:val="0"/>
        <w:snapToGrid w:val="0"/>
        <w:spacing w:before="0" w:beforeAutospacing="0" w:after="0" w:afterAutospacing="0" w:line="360" w:lineRule="auto"/>
        <w:ind w:left="420" w:leftChars="200"/>
        <w:rPr>
          <w:rFonts w:hint="eastAsia" w:asciiTheme="minorEastAsia" w:hAnsiTheme="minorEastAsia" w:eastAsiaTheme="minorEastAsia" w:cstheme="minorEastAsia"/>
          <w:b/>
          <w:color w:val="auto"/>
          <w:spacing w:val="-6"/>
          <w:sz w:val="21"/>
          <w:szCs w:val="21"/>
        </w:rPr>
      </w:pPr>
      <w:r>
        <w:rPr>
          <w:rFonts w:hint="eastAsia" w:asciiTheme="minorEastAsia" w:hAnsiTheme="minorEastAsia" w:eastAsiaTheme="minorEastAsia" w:cstheme="minorEastAsia"/>
          <w:b/>
          <w:color w:val="auto"/>
          <w:spacing w:val="-6"/>
          <w:sz w:val="21"/>
          <w:szCs w:val="21"/>
        </w:rPr>
        <w:t>投标人须在投标文件中出具符合以下情况的证明材料复印件（三选一）：</w:t>
      </w:r>
    </w:p>
    <w:p>
      <w:pPr>
        <w:pStyle w:val="40"/>
        <w:numPr>
          <w:ilvl w:val="0"/>
          <w:numId w:val="16"/>
        </w:numPr>
        <w:adjustRightInd w:val="0"/>
        <w:snapToGrid w:val="0"/>
        <w:spacing w:before="0" w:beforeAutospacing="0" w:after="0" w:afterAutospacing="0" w:line="360" w:lineRule="auto"/>
        <w:ind w:firstLine="422" w:firstLineChars="20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投标人是法人的，应提供最近一个年度经审计的财务报告，包括资产负债表、利润表或损益表(执行《小企业会计准则》的提供资产负债表和利润表两张基本报表），未经审计的，提供资产负债表、利润表或损益表。</w:t>
      </w:r>
    </w:p>
    <w:p>
      <w:pPr>
        <w:pStyle w:val="40"/>
        <w:numPr>
          <w:ilvl w:val="0"/>
          <w:numId w:val="16"/>
        </w:numPr>
        <w:adjustRightInd w:val="0"/>
        <w:snapToGrid w:val="0"/>
        <w:spacing w:before="0" w:beforeAutospacing="0" w:after="0" w:afterAutospacing="0" w:line="360" w:lineRule="auto"/>
        <w:ind w:firstLine="422" w:firstLineChars="20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其他组织和自然人如没有经审计的财务报告的，可以提供资产负债表、利润表或损益表。</w:t>
      </w:r>
    </w:p>
    <w:p>
      <w:pPr>
        <w:pStyle w:val="40"/>
        <w:numPr>
          <w:ilvl w:val="0"/>
          <w:numId w:val="16"/>
        </w:numPr>
        <w:adjustRightInd w:val="0"/>
        <w:snapToGrid w:val="0"/>
        <w:spacing w:before="0" w:beforeAutospacing="0" w:after="0" w:afterAutospacing="0" w:line="360" w:lineRule="auto"/>
        <w:ind w:firstLine="422" w:firstLineChars="20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新成立不足一年的公司须出具情况说明。</w:t>
      </w:r>
    </w:p>
    <w:p>
      <w:pPr>
        <w:pStyle w:val="40"/>
        <w:adjustRightInd w:val="0"/>
        <w:snapToGrid w:val="0"/>
        <w:spacing w:before="0" w:beforeAutospacing="0" w:after="0" w:afterAutospacing="0" w:line="360" w:lineRule="auto"/>
        <w:ind w:left="42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br w:type="page"/>
      </w:r>
    </w:p>
    <w:p>
      <w:pPr>
        <w:pStyle w:val="40"/>
        <w:numPr>
          <w:ilvl w:val="0"/>
          <w:numId w:val="14"/>
        </w:numPr>
        <w:tabs>
          <w:tab w:val="left" w:pos="630"/>
          <w:tab w:val="left" w:pos="840"/>
          <w:tab w:val="left" w:pos="1050"/>
        </w:tabs>
        <w:adjustRightInd w:val="0"/>
        <w:snapToGrid w:val="0"/>
        <w:spacing w:before="0" w:beforeAutospacing="0" w:after="0" w:afterAutospacing="0" w:line="360" w:lineRule="auto"/>
        <w:ind w:hanging="5"/>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具有履行合同所必需的设备和专业技术能力：</w:t>
      </w:r>
    </w:p>
    <w:p>
      <w:pPr>
        <w:pStyle w:val="40"/>
        <w:adjustRightInd w:val="0"/>
        <w:snapToGrid w:val="0"/>
        <w:spacing w:before="0" w:beforeAutospacing="0" w:after="0" w:afterAutospacing="0" w:line="360" w:lineRule="auto"/>
        <w:ind w:firstLine="422" w:firstLineChars="20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投标人须在投标文件中出具具有履行合同所必需的设备和专业技术能力的《承诺函》；（由投标人根据本项目情况自定）</w:t>
      </w:r>
    </w:p>
    <w:p>
      <w:pPr>
        <w:pStyle w:val="40"/>
        <w:adjustRightInd w:val="0"/>
        <w:snapToGrid w:val="0"/>
        <w:spacing w:before="0" w:beforeAutospacing="0" w:after="0" w:afterAutospacing="0" w:line="360" w:lineRule="auto"/>
        <w:ind w:firstLine="422" w:firstLineChars="20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br w:type="page"/>
      </w:r>
    </w:p>
    <w:p>
      <w:pPr>
        <w:pStyle w:val="40"/>
        <w:numPr>
          <w:ilvl w:val="0"/>
          <w:numId w:val="14"/>
        </w:numPr>
        <w:tabs>
          <w:tab w:val="left" w:pos="630"/>
          <w:tab w:val="left" w:pos="840"/>
          <w:tab w:val="left" w:pos="1050"/>
        </w:tabs>
        <w:adjustRightInd w:val="0"/>
        <w:snapToGrid w:val="0"/>
        <w:spacing w:before="0" w:beforeAutospacing="0" w:after="0" w:afterAutospacing="0" w:line="360" w:lineRule="auto"/>
        <w:ind w:hanging="5"/>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有依法缴纳税收和社会保障资金的良好记录：</w:t>
      </w:r>
    </w:p>
    <w:p>
      <w:pPr>
        <w:pStyle w:val="40"/>
        <w:adjustRightInd w:val="0"/>
        <w:snapToGrid w:val="0"/>
        <w:spacing w:before="0" w:beforeAutospacing="0" w:after="0" w:afterAutospacing="0" w:line="360" w:lineRule="auto"/>
        <w:ind w:left="420" w:leftChars="20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投标人须在投标文件中同时出具满足以下要求的证明材料复印件：</w:t>
      </w:r>
    </w:p>
    <w:p>
      <w:pPr>
        <w:pStyle w:val="40"/>
        <w:numPr>
          <w:ilvl w:val="0"/>
          <w:numId w:val="17"/>
        </w:numPr>
        <w:adjustRightInd w:val="0"/>
        <w:snapToGrid w:val="0"/>
        <w:spacing w:before="0" w:beforeAutospacing="0" w:after="0" w:afterAutospacing="0" w:line="360" w:lineRule="auto"/>
        <w:ind w:firstLine="422" w:firstLineChars="20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投标人须提供最近三个月内任一时间点的纳税证明。</w:t>
      </w:r>
    </w:p>
    <w:p>
      <w:pPr>
        <w:pStyle w:val="40"/>
        <w:adjustRightInd w:val="0"/>
        <w:snapToGrid w:val="0"/>
        <w:spacing w:before="0" w:beforeAutospacing="0" w:after="0" w:afterAutospacing="0" w:line="360" w:lineRule="auto"/>
        <w:ind w:left="420" w:leftChars="200"/>
        <w:rPr>
          <w:rFonts w:hint="eastAsia" w:asciiTheme="minorEastAsia" w:hAnsiTheme="minorEastAsia" w:eastAsiaTheme="minorEastAsia" w:cstheme="minorEastAsia"/>
          <w:b/>
          <w:bCs/>
          <w:color w:val="auto"/>
          <w:sz w:val="21"/>
          <w:szCs w:val="21"/>
        </w:rPr>
      </w:pPr>
    </w:p>
    <w:p>
      <w:pPr>
        <w:pStyle w:val="40"/>
        <w:adjustRightInd w:val="0"/>
        <w:snapToGrid w:val="0"/>
        <w:spacing w:before="0" w:beforeAutospacing="0" w:after="0" w:afterAutospacing="0" w:line="360" w:lineRule="auto"/>
        <w:ind w:left="420" w:leftChars="200"/>
        <w:rPr>
          <w:rFonts w:hint="eastAsia" w:asciiTheme="minorEastAsia" w:hAnsiTheme="minorEastAsia" w:eastAsiaTheme="minorEastAsia" w:cstheme="minorEastAsia"/>
          <w:b/>
          <w:bCs/>
          <w:color w:val="auto"/>
          <w:sz w:val="21"/>
          <w:szCs w:val="21"/>
        </w:rPr>
      </w:pPr>
    </w:p>
    <w:p>
      <w:pPr>
        <w:pStyle w:val="40"/>
        <w:adjustRightInd w:val="0"/>
        <w:snapToGrid w:val="0"/>
        <w:spacing w:before="0" w:beforeAutospacing="0" w:after="0" w:afterAutospacing="0" w:line="360" w:lineRule="auto"/>
        <w:ind w:left="420" w:leftChars="200"/>
        <w:rPr>
          <w:rFonts w:hint="eastAsia" w:asciiTheme="minorEastAsia" w:hAnsiTheme="minorEastAsia" w:eastAsiaTheme="minorEastAsia" w:cstheme="minorEastAsia"/>
          <w:b/>
          <w:bCs/>
          <w:color w:val="auto"/>
          <w:sz w:val="21"/>
          <w:szCs w:val="21"/>
        </w:rPr>
      </w:pPr>
    </w:p>
    <w:p>
      <w:pPr>
        <w:pStyle w:val="40"/>
        <w:numPr>
          <w:ilvl w:val="0"/>
          <w:numId w:val="17"/>
        </w:numPr>
        <w:adjustRightInd w:val="0"/>
        <w:snapToGrid w:val="0"/>
        <w:spacing w:before="0" w:beforeAutospacing="0" w:after="0" w:afterAutospacing="0" w:line="360" w:lineRule="auto"/>
        <w:ind w:firstLine="422" w:firstLineChars="20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投标人须提供最近三个月内任一时间点缴纳社会保险的凭据（缴税付款凭证或社会保险缴纳证明）</w:t>
      </w:r>
    </w:p>
    <w:p>
      <w:pPr>
        <w:pStyle w:val="40"/>
        <w:adjustRightInd w:val="0"/>
        <w:snapToGrid w:val="0"/>
        <w:spacing w:before="0" w:beforeAutospacing="0" w:after="0" w:afterAutospacing="0" w:line="360" w:lineRule="auto"/>
        <w:ind w:firstLine="422" w:firstLineChars="20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依法免税或不需要缴纳社会保障资金的投标人，应提供相应文件证明其依法免税或不需要缴纳社会保障资金。</w:t>
      </w:r>
    </w:p>
    <w:p>
      <w:pPr>
        <w:pStyle w:val="40"/>
        <w:adjustRightInd w:val="0"/>
        <w:snapToGrid w:val="0"/>
        <w:spacing w:before="0" w:beforeAutospacing="0" w:after="0" w:afterAutospacing="0" w:line="360" w:lineRule="auto"/>
        <w:ind w:firstLine="422" w:firstLineChars="20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br w:type="page"/>
      </w:r>
    </w:p>
    <w:p>
      <w:pPr>
        <w:pStyle w:val="40"/>
        <w:numPr>
          <w:ilvl w:val="0"/>
          <w:numId w:val="14"/>
        </w:numPr>
        <w:tabs>
          <w:tab w:val="left" w:pos="630"/>
          <w:tab w:val="left" w:pos="840"/>
          <w:tab w:val="left" w:pos="1050"/>
        </w:tabs>
        <w:adjustRightInd w:val="0"/>
        <w:snapToGrid w:val="0"/>
        <w:spacing w:before="0" w:beforeAutospacing="0" w:after="0" w:afterAutospacing="0" w:line="360" w:lineRule="auto"/>
        <w:ind w:hanging="5"/>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参加政府采购活动前三年内，在经营活动中没有重大违法记录：</w:t>
      </w:r>
    </w:p>
    <w:p>
      <w:pPr>
        <w:pStyle w:val="40"/>
        <w:adjustRightInd w:val="0"/>
        <w:snapToGrid w:val="0"/>
        <w:spacing w:before="0" w:beforeAutospacing="0" w:after="0" w:afterAutospacing="0" w:line="360" w:lineRule="auto"/>
        <w:ind w:firstLine="422" w:firstLineChars="20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投标人须在投标文件中出具《声明函》。（参考格式如下）</w:t>
      </w:r>
    </w:p>
    <w:p>
      <w:pPr>
        <w:pStyle w:val="40"/>
        <w:adjustRightInd w:val="0"/>
        <w:snapToGrid w:val="0"/>
        <w:spacing w:before="0" w:beforeAutospacing="0" w:after="0" w:afterAutospacing="0" w:line="360" w:lineRule="auto"/>
        <w:rPr>
          <w:rFonts w:hint="eastAsia" w:asciiTheme="minorEastAsia" w:hAnsiTheme="minorEastAsia" w:eastAsiaTheme="minorEastAsia" w:cstheme="minorEastAsia"/>
          <w:b/>
          <w:bCs/>
          <w:color w:val="auto"/>
          <w:sz w:val="21"/>
          <w:szCs w:val="21"/>
        </w:rPr>
      </w:pPr>
    </w:p>
    <w:p>
      <w:pPr>
        <w:snapToGrid w:val="0"/>
        <w:spacing w:line="360" w:lineRule="auto"/>
        <w:jc w:val="center"/>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t>声明函</w:t>
      </w:r>
    </w:p>
    <w:p>
      <w:pPr>
        <w:snapToGrid w:val="0"/>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u w:val="single"/>
        </w:rPr>
        <w:t>（采购人）：</w:t>
      </w:r>
    </w:p>
    <w:p>
      <w:pPr>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我方</w:t>
      </w:r>
      <w:r>
        <w:rPr>
          <w:rFonts w:hint="eastAsia" w:asciiTheme="minorEastAsia" w:hAnsiTheme="minorEastAsia" w:eastAsiaTheme="minorEastAsia" w:cstheme="minorEastAsia"/>
          <w:color w:val="auto"/>
          <w:szCs w:val="21"/>
          <w:u w:val="single"/>
        </w:rPr>
        <w:t>（投标人）</w:t>
      </w:r>
      <w:r>
        <w:rPr>
          <w:rFonts w:hint="eastAsia" w:asciiTheme="minorEastAsia" w:hAnsiTheme="minorEastAsia" w:eastAsiaTheme="minorEastAsia" w:cstheme="minorEastAsia"/>
          <w:color w:val="auto"/>
          <w:szCs w:val="21"/>
        </w:rPr>
        <w:t>在参加政府采购活动前三年内，具有良好的商业信誉，依法缴纳税收和社会保障资金，</w:t>
      </w:r>
      <w:r>
        <w:rPr>
          <w:rFonts w:hint="eastAsia" w:asciiTheme="minorEastAsia" w:hAnsiTheme="minorEastAsia" w:eastAsiaTheme="minorEastAsia" w:cstheme="minorEastAsia"/>
          <w:color w:val="auto"/>
          <w:kern w:val="0"/>
          <w:szCs w:val="21"/>
        </w:rPr>
        <w:t>未被列入失信被执行人名单、重大税收违法案件当事人名单、政府采购严重违法失信行为记录名单，</w:t>
      </w:r>
      <w:r>
        <w:rPr>
          <w:rFonts w:hint="eastAsia" w:asciiTheme="minorEastAsia" w:hAnsiTheme="minorEastAsia" w:eastAsiaTheme="minorEastAsia" w:cstheme="minorEastAsia"/>
          <w:color w:val="auto"/>
          <w:szCs w:val="21"/>
        </w:rPr>
        <w:t>在经营活动中没有重大违法记录（没有因违法经营受到刑事处罚，没有被责令停产停业、被吊销许可证或者执照、被处以较大数额罚款等行政处罚，没有因违法经营被禁止参加政府采购活动的期限未满情形）</w:t>
      </w:r>
      <w:r>
        <w:rPr>
          <w:rFonts w:hint="eastAsia" w:asciiTheme="minorEastAsia" w:hAnsiTheme="minorEastAsia" w:eastAsiaTheme="minorEastAsia" w:cstheme="minorEastAsia"/>
          <w:color w:val="auto"/>
          <w:kern w:val="0"/>
          <w:szCs w:val="21"/>
        </w:rPr>
        <w:t>。如有虚假，采购人可取消我方任何资格（投标/中标/签订合同），我方对此无任何异议。</w:t>
      </w:r>
    </w:p>
    <w:p>
      <w:pPr>
        <w:snapToGri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特此声明！</w:t>
      </w:r>
    </w:p>
    <w:p>
      <w:pPr>
        <w:snapToGrid w:val="0"/>
        <w:spacing w:line="360" w:lineRule="auto"/>
        <w:rPr>
          <w:rFonts w:hint="eastAsia" w:asciiTheme="minorEastAsia" w:hAnsiTheme="minorEastAsia" w:eastAsiaTheme="minorEastAsia" w:cstheme="minorEastAsia"/>
          <w:color w:val="auto"/>
        </w:rPr>
      </w:pPr>
    </w:p>
    <w:p>
      <w:pPr>
        <w:snapToGrid w:val="0"/>
        <w:spacing w:line="360" w:lineRule="auto"/>
        <w:rPr>
          <w:rFonts w:hint="eastAsia" w:asciiTheme="minorEastAsia" w:hAnsiTheme="minorEastAsia" w:eastAsiaTheme="minorEastAsia" w:cstheme="minorEastAsia"/>
          <w:color w:val="auto"/>
          <w:spacing w:val="20"/>
          <w:u w:val="single"/>
        </w:rPr>
      </w:pPr>
      <w:r>
        <w:rPr>
          <w:rFonts w:hint="eastAsia" w:asciiTheme="minorEastAsia" w:hAnsiTheme="minorEastAsia" w:eastAsiaTheme="minorEastAsia" w:cstheme="minorEastAsia"/>
          <w:color w:val="auto"/>
        </w:rPr>
        <w:t>投标人全称（盖单位公章）：</w:t>
      </w:r>
    </w:p>
    <w:p>
      <w:pPr>
        <w:snapToGrid w:val="0"/>
        <w:spacing w:line="360" w:lineRule="auto"/>
        <w:rPr>
          <w:rFonts w:hint="eastAsia" w:asciiTheme="minorEastAsia" w:hAnsiTheme="minorEastAsia" w:eastAsiaTheme="minorEastAsia" w:cstheme="minorEastAsia"/>
          <w:color w:val="auto"/>
          <w:spacing w:val="20"/>
          <w:u w:val="single"/>
        </w:rPr>
      </w:pPr>
      <w:r>
        <w:rPr>
          <w:rFonts w:hint="eastAsia" w:asciiTheme="minorEastAsia" w:hAnsiTheme="minorEastAsia" w:eastAsiaTheme="minorEastAsia" w:cstheme="minorEastAsia"/>
          <w:color w:val="auto"/>
        </w:rPr>
        <w:t>法定代表人或授权代表（签字或盖章）：</w:t>
      </w:r>
    </w:p>
    <w:p>
      <w:pPr>
        <w:snapToGrid w:val="0"/>
        <w:spacing w:line="360" w:lineRule="auto"/>
        <w:rPr>
          <w:rFonts w:hint="eastAsia" w:asciiTheme="minorEastAsia" w:hAnsiTheme="minorEastAsia" w:eastAsiaTheme="minorEastAsia" w:cstheme="minorEastAsia"/>
          <w:color w:val="auto"/>
          <w:spacing w:val="20"/>
        </w:rPr>
      </w:pPr>
      <w:r>
        <w:rPr>
          <w:rFonts w:hint="eastAsia" w:asciiTheme="minorEastAsia" w:hAnsiTheme="minorEastAsia" w:eastAsiaTheme="minorEastAsia" w:cstheme="minorEastAsia"/>
          <w:color w:val="auto"/>
          <w:spacing w:val="20"/>
        </w:rPr>
        <w:t xml:space="preserve">日期：  </w:t>
      </w:r>
      <w:r>
        <w:rPr>
          <w:rFonts w:hint="eastAsia" w:asciiTheme="minorEastAsia" w:hAnsiTheme="minorEastAsia" w:eastAsiaTheme="minorEastAsia" w:cstheme="minorEastAsia"/>
          <w:color w:val="auto"/>
        </w:rPr>
        <w:t>年  月  日</w:t>
      </w:r>
    </w:p>
    <w:p>
      <w:pPr>
        <w:autoSpaceDE w:val="0"/>
        <w:autoSpaceDN w:val="0"/>
        <w:adjustRightInd w:val="0"/>
        <w:spacing w:line="360" w:lineRule="auto"/>
        <w:outlineLvl w:val="1"/>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rPr>
        <w:br w:type="page"/>
      </w:r>
      <w:bookmarkStart w:id="94" w:name="_Toc3961"/>
      <w:bookmarkStart w:id="95" w:name="_Toc14382"/>
      <w:r>
        <w:rPr>
          <w:rFonts w:hint="eastAsia" w:asciiTheme="minorEastAsia" w:hAnsiTheme="minorEastAsia" w:eastAsiaTheme="minorEastAsia" w:cstheme="minorEastAsia"/>
          <w:b/>
          <w:bCs/>
          <w:color w:val="auto"/>
          <w:szCs w:val="21"/>
        </w:rPr>
        <w:t>三</w:t>
      </w:r>
      <w:r>
        <w:rPr>
          <w:rFonts w:hint="eastAsia" w:asciiTheme="minorEastAsia" w:hAnsiTheme="minorEastAsia" w:eastAsiaTheme="minorEastAsia" w:cstheme="minorEastAsia"/>
          <w:b/>
          <w:bCs/>
          <w:color w:val="auto"/>
          <w:sz w:val="21"/>
          <w:szCs w:val="21"/>
        </w:rPr>
        <w:t>、商务技术响应文件部分格式</w:t>
      </w:r>
      <w:bookmarkEnd w:id="94"/>
      <w:bookmarkEnd w:id="95"/>
    </w:p>
    <w:p>
      <w:pPr>
        <w:autoSpaceDE w:val="0"/>
        <w:autoSpaceDN w:val="0"/>
        <w:adjustRightInd w:val="0"/>
        <w:spacing w:line="360" w:lineRule="auto"/>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（顺序不做强制；未提供</w:t>
      </w:r>
      <w:r>
        <w:rPr>
          <w:rFonts w:hint="eastAsia" w:asciiTheme="minorEastAsia" w:hAnsiTheme="minorEastAsia" w:eastAsiaTheme="minorEastAsia" w:cstheme="minorEastAsia"/>
          <w:b/>
          <w:color w:val="auto"/>
          <w:szCs w:val="21"/>
          <w:lang w:val="en-US" w:eastAsia="zh-CN"/>
        </w:rPr>
        <w:t>格式</w:t>
      </w:r>
      <w:r>
        <w:rPr>
          <w:rFonts w:hint="eastAsia" w:asciiTheme="minorEastAsia" w:hAnsiTheme="minorEastAsia" w:eastAsiaTheme="minorEastAsia" w:cstheme="minorEastAsia"/>
          <w:b/>
          <w:color w:val="auto"/>
          <w:szCs w:val="21"/>
        </w:rPr>
        <w:t>的，可自行提供）</w:t>
      </w:r>
    </w:p>
    <w:p>
      <w:pPr>
        <w:autoSpaceDE w:val="0"/>
        <w:autoSpaceDN w:val="0"/>
        <w:adjustRightInd w:val="0"/>
        <w:spacing w:line="360" w:lineRule="auto"/>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3.1评分索引表；</w:t>
      </w:r>
    </w:p>
    <w:p>
      <w:pPr>
        <w:pStyle w:val="25"/>
        <w:snapToGrid w:val="0"/>
        <w:spacing w:line="360" w:lineRule="auto"/>
        <w:jc w:val="center"/>
        <w:rPr>
          <w:rFonts w:hint="eastAsia" w:asciiTheme="minorEastAsia" w:hAnsiTheme="minorEastAsia" w:eastAsiaTheme="minorEastAsia" w:cstheme="minorEastAsia"/>
          <w:b/>
          <w:snapToGrid w:val="0"/>
          <w:color w:val="auto"/>
          <w:kern w:val="0"/>
          <w:sz w:val="28"/>
          <w:szCs w:val="28"/>
        </w:rPr>
      </w:pPr>
      <w:r>
        <w:rPr>
          <w:rFonts w:hint="eastAsia" w:asciiTheme="minorEastAsia" w:hAnsiTheme="minorEastAsia" w:eastAsiaTheme="minorEastAsia" w:cstheme="minorEastAsia"/>
          <w:b/>
          <w:snapToGrid w:val="0"/>
          <w:color w:val="auto"/>
          <w:kern w:val="0"/>
          <w:sz w:val="28"/>
          <w:szCs w:val="28"/>
        </w:rPr>
        <w:t>评分索引表</w:t>
      </w:r>
    </w:p>
    <w:tbl>
      <w:tblPr>
        <w:tblStyle w:val="48"/>
        <w:tblW w:w="90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5"/>
        <w:gridCol w:w="5033"/>
        <w:gridCol w:w="2216"/>
        <w:gridCol w:w="10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6" w:hRule="atLeast"/>
        </w:trPr>
        <w:tc>
          <w:tcPr>
            <w:tcW w:w="745" w:type="dxa"/>
            <w:noWrap w:val="0"/>
            <w:vAlign w:val="center"/>
          </w:tcPr>
          <w:p>
            <w:pPr>
              <w:adjustRightInd w:val="0"/>
              <w:snapToGrid w:val="0"/>
              <w:jc w:val="center"/>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snapToGrid w:val="0"/>
                <w:color w:val="auto"/>
                <w:kern w:val="0"/>
                <w:szCs w:val="21"/>
              </w:rPr>
              <w:t>序号</w:t>
            </w:r>
          </w:p>
        </w:tc>
        <w:tc>
          <w:tcPr>
            <w:tcW w:w="5033" w:type="dxa"/>
            <w:noWrap w:val="0"/>
            <w:vAlign w:val="center"/>
          </w:tcPr>
          <w:p>
            <w:pPr>
              <w:adjustRightInd w:val="0"/>
              <w:snapToGrid w:val="0"/>
              <w:jc w:val="center"/>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snapToGrid w:val="0"/>
                <w:color w:val="auto"/>
                <w:kern w:val="0"/>
                <w:szCs w:val="21"/>
              </w:rPr>
              <w:t>评分细则内容</w:t>
            </w:r>
          </w:p>
        </w:tc>
        <w:tc>
          <w:tcPr>
            <w:tcW w:w="2216" w:type="dxa"/>
            <w:noWrap w:val="0"/>
            <w:vAlign w:val="center"/>
          </w:tcPr>
          <w:p>
            <w:pPr>
              <w:adjustRightInd w:val="0"/>
              <w:snapToGrid w:val="0"/>
              <w:jc w:val="center"/>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snapToGrid w:val="0"/>
                <w:color w:val="auto"/>
                <w:kern w:val="0"/>
                <w:szCs w:val="21"/>
              </w:rPr>
              <w:t>投标</w:t>
            </w:r>
            <w:r>
              <w:rPr>
                <w:rFonts w:hint="eastAsia" w:asciiTheme="minorEastAsia" w:hAnsiTheme="minorEastAsia" w:eastAsiaTheme="minorEastAsia" w:cstheme="minorEastAsia"/>
                <w:b/>
                <w:snapToGrid w:val="0"/>
                <w:color w:val="auto"/>
                <w:kern w:val="0"/>
                <w:szCs w:val="21"/>
                <w:lang w:val="en-US" w:eastAsia="zh-CN"/>
              </w:rPr>
              <w:t>文件相应内容</w:t>
            </w:r>
          </w:p>
          <w:p>
            <w:pPr>
              <w:adjustRightInd w:val="0"/>
              <w:snapToGrid w:val="0"/>
              <w:jc w:val="center"/>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snapToGrid w:val="0"/>
                <w:color w:val="auto"/>
                <w:kern w:val="0"/>
                <w:szCs w:val="21"/>
              </w:rPr>
              <w:t>所在页码</w:t>
            </w:r>
          </w:p>
        </w:tc>
        <w:tc>
          <w:tcPr>
            <w:tcW w:w="1044" w:type="dxa"/>
            <w:noWrap w:val="0"/>
            <w:vAlign w:val="center"/>
          </w:tcPr>
          <w:p>
            <w:pPr>
              <w:adjustRightInd w:val="0"/>
              <w:snapToGrid w:val="0"/>
              <w:jc w:val="center"/>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snapToGrid w:val="0"/>
                <w:color w:val="auto"/>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6" w:hRule="atLeast"/>
        </w:trPr>
        <w:tc>
          <w:tcPr>
            <w:tcW w:w="745" w:type="dxa"/>
            <w:noWrap w:val="0"/>
            <w:vAlign w:val="center"/>
          </w:tcPr>
          <w:p>
            <w:pPr>
              <w:adjustRightInd w:val="0"/>
              <w:snapToGrid w:val="0"/>
              <w:jc w:val="center"/>
              <w:rPr>
                <w:rFonts w:hint="eastAsia" w:asciiTheme="minorEastAsia" w:hAnsiTheme="minorEastAsia" w:eastAsiaTheme="minorEastAsia" w:cstheme="minorEastAsia"/>
                <w:snapToGrid w:val="0"/>
                <w:color w:val="auto"/>
                <w:kern w:val="0"/>
                <w:szCs w:val="21"/>
              </w:rPr>
            </w:pPr>
          </w:p>
        </w:tc>
        <w:tc>
          <w:tcPr>
            <w:tcW w:w="5033" w:type="dxa"/>
            <w:noWrap w:val="0"/>
            <w:vAlign w:val="center"/>
          </w:tcPr>
          <w:p>
            <w:pPr>
              <w:adjustRightInd w:val="0"/>
              <w:snapToGrid w:val="0"/>
              <w:rPr>
                <w:rFonts w:hint="eastAsia" w:asciiTheme="minorEastAsia" w:hAnsiTheme="minorEastAsia" w:eastAsiaTheme="minorEastAsia" w:cstheme="minorEastAsia"/>
                <w:snapToGrid w:val="0"/>
                <w:color w:val="auto"/>
                <w:kern w:val="0"/>
                <w:szCs w:val="21"/>
              </w:rPr>
            </w:pPr>
          </w:p>
        </w:tc>
        <w:tc>
          <w:tcPr>
            <w:tcW w:w="2216" w:type="dxa"/>
            <w:noWrap w:val="0"/>
            <w:vAlign w:val="center"/>
          </w:tcPr>
          <w:p>
            <w:pPr>
              <w:adjustRightInd w:val="0"/>
              <w:snapToGrid w:val="0"/>
              <w:jc w:val="center"/>
              <w:rPr>
                <w:rFonts w:hint="eastAsia" w:asciiTheme="minorEastAsia" w:hAnsiTheme="minorEastAsia" w:eastAsiaTheme="minorEastAsia" w:cstheme="minorEastAsia"/>
                <w:b/>
                <w:snapToGrid w:val="0"/>
                <w:color w:val="auto"/>
                <w:kern w:val="0"/>
                <w:szCs w:val="21"/>
              </w:rPr>
            </w:pPr>
          </w:p>
        </w:tc>
        <w:tc>
          <w:tcPr>
            <w:tcW w:w="1044" w:type="dxa"/>
            <w:noWrap w:val="0"/>
            <w:vAlign w:val="center"/>
          </w:tcPr>
          <w:p>
            <w:pPr>
              <w:adjustRightInd w:val="0"/>
              <w:snapToGrid w:val="0"/>
              <w:jc w:val="center"/>
              <w:rPr>
                <w:rFonts w:hint="eastAsia" w:asciiTheme="minorEastAsia" w:hAnsiTheme="minorEastAsia" w:eastAsiaTheme="minorEastAsia" w:cstheme="minorEastAsia"/>
                <w:b/>
                <w:snapToGrid w:val="0"/>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6" w:hRule="atLeast"/>
        </w:trPr>
        <w:tc>
          <w:tcPr>
            <w:tcW w:w="745" w:type="dxa"/>
            <w:noWrap w:val="0"/>
            <w:vAlign w:val="center"/>
          </w:tcPr>
          <w:p>
            <w:pPr>
              <w:adjustRightInd w:val="0"/>
              <w:snapToGrid w:val="0"/>
              <w:jc w:val="center"/>
              <w:rPr>
                <w:rFonts w:hint="eastAsia" w:asciiTheme="minorEastAsia" w:hAnsiTheme="minorEastAsia" w:eastAsiaTheme="minorEastAsia" w:cstheme="minorEastAsia"/>
                <w:snapToGrid w:val="0"/>
                <w:color w:val="auto"/>
                <w:kern w:val="0"/>
                <w:szCs w:val="21"/>
              </w:rPr>
            </w:pPr>
          </w:p>
        </w:tc>
        <w:tc>
          <w:tcPr>
            <w:tcW w:w="5033" w:type="dxa"/>
            <w:noWrap w:val="0"/>
            <w:vAlign w:val="center"/>
          </w:tcPr>
          <w:p>
            <w:pPr>
              <w:adjustRightInd w:val="0"/>
              <w:snapToGrid w:val="0"/>
              <w:rPr>
                <w:rFonts w:hint="eastAsia" w:asciiTheme="minorEastAsia" w:hAnsiTheme="minorEastAsia" w:eastAsiaTheme="minorEastAsia" w:cstheme="minorEastAsia"/>
                <w:color w:val="auto"/>
                <w:szCs w:val="21"/>
              </w:rPr>
            </w:pPr>
          </w:p>
        </w:tc>
        <w:tc>
          <w:tcPr>
            <w:tcW w:w="2216" w:type="dxa"/>
            <w:noWrap w:val="0"/>
            <w:vAlign w:val="center"/>
          </w:tcPr>
          <w:p>
            <w:pPr>
              <w:adjustRightInd w:val="0"/>
              <w:snapToGrid w:val="0"/>
              <w:jc w:val="center"/>
              <w:rPr>
                <w:rFonts w:hint="eastAsia" w:asciiTheme="minorEastAsia" w:hAnsiTheme="minorEastAsia" w:eastAsiaTheme="minorEastAsia" w:cstheme="minorEastAsia"/>
                <w:b/>
                <w:snapToGrid w:val="0"/>
                <w:color w:val="auto"/>
                <w:kern w:val="0"/>
                <w:szCs w:val="21"/>
              </w:rPr>
            </w:pPr>
          </w:p>
        </w:tc>
        <w:tc>
          <w:tcPr>
            <w:tcW w:w="1044" w:type="dxa"/>
            <w:noWrap w:val="0"/>
            <w:vAlign w:val="center"/>
          </w:tcPr>
          <w:p>
            <w:pPr>
              <w:adjustRightInd w:val="0"/>
              <w:snapToGrid w:val="0"/>
              <w:jc w:val="center"/>
              <w:rPr>
                <w:rFonts w:hint="eastAsia" w:asciiTheme="minorEastAsia" w:hAnsiTheme="minorEastAsia" w:eastAsiaTheme="minorEastAsia" w:cstheme="minorEastAsia"/>
                <w:b/>
                <w:snapToGrid w:val="0"/>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6" w:hRule="atLeast"/>
        </w:trPr>
        <w:tc>
          <w:tcPr>
            <w:tcW w:w="745" w:type="dxa"/>
            <w:noWrap w:val="0"/>
            <w:vAlign w:val="center"/>
          </w:tcPr>
          <w:p>
            <w:pPr>
              <w:adjustRightInd w:val="0"/>
              <w:snapToGrid w:val="0"/>
              <w:jc w:val="center"/>
              <w:rPr>
                <w:rFonts w:hint="eastAsia" w:asciiTheme="minorEastAsia" w:hAnsiTheme="minorEastAsia" w:eastAsiaTheme="minorEastAsia" w:cstheme="minorEastAsia"/>
                <w:snapToGrid w:val="0"/>
                <w:color w:val="auto"/>
                <w:kern w:val="0"/>
                <w:szCs w:val="21"/>
              </w:rPr>
            </w:pPr>
          </w:p>
        </w:tc>
        <w:tc>
          <w:tcPr>
            <w:tcW w:w="5033" w:type="dxa"/>
            <w:noWrap w:val="0"/>
            <w:vAlign w:val="center"/>
          </w:tcPr>
          <w:p>
            <w:pPr>
              <w:adjustRightInd w:val="0"/>
              <w:snapToGrid w:val="0"/>
              <w:rPr>
                <w:rFonts w:hint="eastAsia" w:asciiTheme="minorEastAsia" w:hAnsiTheme="minorEastAsia" w:eastAsiaTheme="minorEastAsia" w:cstheme="minorEastAsia"/>
                <w:color w:val="auto"/>
                <w:szCs w:val="21"/>
              </w:rPr>
            </w:pPr>
          </w:p>
        </w:tc>
        <w:tc>
          <w:tcPr>
            <w:tcW w:w="2216" w:type="dxa"/>
            <w:noWrap w:val="0"/>
            <w:vAlign w:val="center"/>
          </w:tcPr>
          <w:p>
            <w:pPr>
              <w:adjustRightInd w:val="0"/>
              <w:snapToGrid w:val="0"/>
              <w:jc w:val="center"/>
              <w:rPr>
                <w:rFonts w:hint="eastAsia" w:asciiTheme="minorEastAsia" w:hAnsiTheme="minorEastAsia" w:eastAsiaTheme="minorEastAsia" w:cstheme="minorEastAsia"/>
                <w:b/>
                <w:snapToGrid w:val="0"/>
                <w:color w:val="auto"/>
                <w:kern w:val="0"/>
                <w:szCs w:val="21"/>
              </w:rPr>
            </w:pPr>
          </w:p>
        </w:tc>
        <w:tc>
          <w:tcPr>
            <w:tcW w:w="1044" w:type="dxa"/>
            <w:noWrap w:val="0"/>
            <w:vAlign w:val="center"/>
          </w:tcPr>
          <w:p>
            <w:pPr>
              <w:adjustRightInd w:val="0"/>
              <w:snapToGrid w:val="0"/>
              <w:jc w:val="center"/>
              <w:rPr>
                <w:rFonts w:hint="eastAsia" w:asciiTheme="minorEastAsia" w:hAnsiTheme="minorEastAsia" w:eastAsiaTheme="minorEastAsia" w:cstheme="minorEastAsia"/>
                <w:b/>
                <w:snapToGrid w:val="0"/>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6" w:hRule="atLeast"/>
        </w:trPr>
        <w:tc>
          <w:tcPr>
            <w:tcW w:w="745" w:type="dxa"/>
            <w:noWrap w:val="0"/>
            <w:vAlign w:val="center"/>
          </w:tcPr>
          <w:p>
            <w:pPr>
              <w:adjustRightInd w:val="0"/>
              <w:snapToGrid w:val="0"/>
              <w:jc w:val="center"/>
              <w:rPr>
                <w:rFonts w:hint="eastAsia" w:asciiTheme="minorEastAsia" w:hAnsiTheme="minorEastAsia" w:eastAsiaTheme="minorEastAsia" w:cstheme="minorEastAsia"/>
                <w:snapToGrid w:val="0"/>
                <w:color w:val="auto"/>
                <w:kern w:val="0"/>
                <w:szCs w:val="21"/>
              </w:rPr>
            </w:pPr>
          </w:p>
        </w:tc>
        <w:tc>
          <w:tcPr>
            <w:tcW w:w="5033" w:type="dxa"/>
            <w:noWrap w:val="0"/>
            <w:vAlign w:val="center"/>
          </w:tcPr>
          <w:p>
            <w:pPr>
              <w:adjustRightInd w:val="0"/>
              <w:snapToGrid w:val="0"/>
              <w:rPr>
                <w:rFonts w:hint="eastAsia" w:asciiTheme="minorEastAsia" w:hAnsiTheme="minorEastAsia" w:eastAsiaTheme="minorEastAsia" w:cstheme="minorEastAsia"/>
                <w:color w:val="auto"/>
                <w:szCs w:val="21"/>
              </w:rPr>
            </w:pPr>
          </w:p>
        </w:tc>
        <w:tc>
          <w:tcPr>
            <w:tcW w:w="2216" w:type="dxa"/>
            <w:noWrap w:val="0"/>
            <w:vAlign w:val="center"/>
          </w:tcPr>
          <w:p>
            <w:pPr>
              <w:adjustRightInd w:val="0"/>
              <w:snapToGrid w:val="0"/>
              <w:jc w:val="center"/>
              <w:rPr>
                <w:rFonts w:hint="eastAsia" w:asciiTheme="minorEastAsia" w:hAnsiTheme="minorEastAsia" w:eastAsiaTheme="minorEastAsia" w:cstheme="minorEastAsia"/>
                <w:b/>
                <w:snapToGrid w:val="0"/>
                <w:color w:val="auto"/>
                <w:kern w:val="0"/>
                <w:szCs w:val="21"/>
              </w:rPr>
            </w:pPr>
          </w:p>
        </w:tc>
        <w:tc>
          <w:tcPr>
            <w:tcW w:w="1044" w:type="dxa"/>
            <w:noWrap w:val="0"/>
            <w:vAlign w:val="center"/>
          </w:tcPr>
          <w:p>
            <w:pPr>
              <w:adjustRightInd w:val="0"/>
              <w:snapToGrid w:val="0"/>
              <w:jc w:val="center"/>
              <w:rPr>
                <w:rFonts w:hint="eastAsia" w:asciiTheme="minorEastAsia" w:hAnsiTheme="minorEastAsia" w:eastAsiaTheme="minorEastAsia" w:cstheme="minorEastAsia"/>
                <w:b/>
                <w:snapToGrid w:val="0"/>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6" w:hRule="atLeast"/>
        </w:trPr>
        <w:tc>
          <w:tcPr>
            <w:tcW w:w="745" w:type="dxa"/>
            <w:noWrap w:val="0"/>
            <w:vAlign w:val="center"/>
          </w:tcPr>
          <w:p>
            <w:pPr>
              <w:adjustRightInd w:val="0"/>
              <w:snapToGrid w:val="0"/>
              <w:jc w:val="center"/>
              <w:rPr>
                <w:rFonts w:hint="eastAsia" w:asciiTheme="minorEastAsia" w:hAnsiTheme="minorEastAsia" w:eastAsiaTheme="minorEastAsia" w:cstheme="minorEastAsia"/>
                <w:snapToGrid w:val="0"/>
                <w:color w:val="auto"/>
                <w:kern w:val="0"/>
                <w:szCs w:val="21"/>
              </w:rPr>
            </w:pPr>
          </w:p>
        </w:tc>
        <w:tc>
          <w:tcPr>
            <w:tcW w:w="5033" w:type="dxa"/>
            <w:noWrap w:val="0"/>
            <w:vAlign w:val="center"/>
          </w:tcPr>
          <w:p>
            <w:pPr>
              <w:adjustRightInd w:val="0"/>
              <w:snapToGrid w:val="0"/>
              <w:rPr>
                <w:rFonts w:hint="eastAsia" w:asciiTheme="minorEastAsia" w:hAnsiTheme="minorEastAsia" w:eastAsiaTheme="minorEastAsia" w:cstheme="minorEastAsia"/>
                <w:color w:val="auto"/>
                <w:szCs w:val="21"/>
              </w:rPr>
            </w:pPr>
          </w:p>
        </w:tc>
        <w:tc>
          <w:tcPr>
            <w:tcW w:w="2216" w:type="dxa"/>
            <w:noWrap w:val="0"/>
            <w:vAlign w:val="center"/>
          </w:tcPr>
          <w:p>
            <w:pPr>
              <w:adjustRightInd w:val="0"/>
              <w:snapToGrid w:val="0"/>
              <w:jc w:val="center"/>
              <w:rPr>
                <w:rFonts w:hint="eastAsia" w:asciiTheme="minorEastAsia" w:hAnsiTheme="minorEastAsia" w:eastAsiaTheme="minorEastAsia" w:cstheme="minorEastAsia"/>
                <w:b/>
                <w:snapToGrid w:val="0"/>
                <w:color w:val="auto"/>
                <w:kern w:val="0"/>
                <w:szCs w:val="21"/>
              </w:rPr>
            </w:pPr>
          </w:p>
        </w:tc>
        <w:tc>
          <w:tcPr>
            <w:tcW w:w="1044" w:type="dxa"/>
            <w:noWrap w:val="0"/>
            <w:vAlign w:val="center"/>
          </w:tcPr>
          <w:p>
            <w:pPr>
              <w:adjustRightInd w:val="0"/>
              <w:snapToGrid w:val="0"/>
              <w:jc w:val="center"/>
              <w:rPr>
                <w:rFonts w:hint="eastAsia" w:asciiTheme="minorEastAsia" w:hAnsiTheme="minorEastAsia" w:eastAsiaTheme="minorEastAsia" w:cstheme="minorEastAsia"/>
                <w:b/>
                <w:snapToGrid w:val="0"/>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6" w:hRule="atLeast"/>
        </w:trPr>
        <w:tc>
          <w:tcPr>
            <w:tcW w:w="745" w:type="dxa"/>
            <w:noWrap w:val="0"/>
            <w:vAlign w:val="center"/>
          </w:tcPr>
          <w:p>
            <w:pPr>
              <w:adjustRightInd w:val="0"/>
              <w:snapToGrid w:val="0"/>
              <w:jc w:val="center"/>
              <w:rPr>
                <w:rFonts w:hint="eastAsia" w:asciiTheme="minorEastAsia" w:hAnsiTheme="minorEastAsia" w:eastAsiaTheme="minorEastAsia" w:cstheme="minorEastAsia"/>
                <w:snapToGrid w:val="0"/>
                <w:color w:val="auto"/>
                <w:kern w:val="0"/>
                <w:szCs w:val="21"/>
              </w:rPr>
            </w:pPr>
          </w:p>
        </w:tc>
        <w:tc>
          <w:tcPr>
            <w:tcW w:w="5033" w:type="dxa"/>
            <w:noWrap w:val="0"/>
            <w:vAlign w:val="center"/>
          </w:tcPr>
          <w:p>
            <w:pPr>
              <w:adjustRightInd w:val="0"/>
              <w:snapToGrid w:val="0"/>
              <w:rPr>
                <w:rFonts w:hint="eastAsia" w:asciiTheme="minorEastAsia" w:hAnsiTheme="minorEastAsia" w:eastAsiaTheme="minorEastAsia" w:cstheme="minorEastAsia"/>
                <w:color w:val="auto"/>
                <w:szCs w:val="21"/>
              </w:rPr>
            </w:pPr>
          </w:p>
        </w:tc>
        <w:tc>
          <w:tcPr>
            <w:tcW w:w="2216" w:type="dxa"/>
            <w:noWrap w:val="0"/>
            <w:vAlign w:val="center"/>
          </w:tcPr>
          <w:p>
            <w:pPr>
              <w:adjustRightInd w:val="0"/>
              <w:snapToGrid w:val="0"/>
              <w:jc w:val="center"/>
              <w:rPr>
                <w:rFonts w:hint="eastAsia" w:asciiTheme="minorEastAsia" w:hAnsiTheme="minorEastAsia" w:eastAsiaTheme="minorEastAsia" w:cstheme="minorEastAsia"/>
                <w:b/>
                <w:snapToGrid w:val="0"/>
                <w:color w:val="auto"/>
                <w:kern w:val="0"/>
                <w:szCs w:val="21"/>
              </w:rPr>
            </w:pPr>
          </w:p>
        </w:tc>
        <w:tc>
          <w:tcPr>
            <w:tcW w:w="1044" w:type="dxa"/>
            <w:noWrap w:val="0"/>
            <w:vAlign w:val="center"/>
          </w:tcPr>
          <w:p>
            <w:pPr>
              <w:adjustRightInd w:val="0"/>
              <w:snapToGrid w:val="0"/>
              <w:jc w:val="center"/>
              <w:rPr>
                <w:rFonts w:hint="eastAsia" w:asciiTheme="minorEastAsia" w:hAnsiTheme="minorEastAsia" w:eastAsiaTheme="minorEastAsia" w:cstheme="minorEastAsia"/>
                <w:b/>
                <w:snapToGrid w:val="0"/>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6" w:hRule="atLeast"/>
        </w:trPr>
        <w:tc>
          <w:tcPr>
            <w:tcW w:w="745" w:type="dxa"/>
            <w:noWrap w:val="0"/>
            <w:vAlign w:val="center"/>
          </w:tcPr>
          <w:p>
            <w:pPr>
              <w:adjustRightInd w:val="0"/>
              <w:snapToGrid w:val="0"/>
              <w:jc w:val="center"/>
              <w:rPr>
                <w:rFonts w:hint="eastAsia" w:asciiTheme="minorEastAsia" w:hAnsiTheme="minorEastAsia" w:eastAsiaTheme="minorEastAsia" w:cstheme="minorEastAsia"/>
                <w:snapToGrid w:val="0"/>
                <w:color w:val="auto"/>
                <w:kern w:val="0"/>
                <w:szCs w:val="21"/>
              </w:rPr>
            </w:pPr>
          </w:p>
        </w:tc>
        <w:tc>
          <w:tcPr>
            <w:tcW w:w="5033" w:type="dxa"/>
            <w:noWrap w:val="0"/>
            <w:vAlign w:val="center"/>
          </w:tcPr>
          <w:p>
            <w:pPr>
              <w:adjustRightInd w:val="0"/>
              <w:snapToGrid w:val="0"/>
              <w:rPr>
                <w:rFonts w:hint="eastAsia" w:asciiTheme="minorEastAsia" w:hAnsiTheme="minorEastAsia" w:eastAsiaTheme="minorEastAsia" w:cstheme="minorEastAsia"/>
                <w:color w:val="auto"/>
                <w:szCs w:val="21"/>
              </w:rPr>
            </w:pPr>
          </w:p>
        </w:tc>
        <w:tc>
          <w:tcPr>
            <w:tcW w:w="2216" w:type="dxa"/>
            <w:noWrap w:val="0"/>
            <w:vAlign w:val="center"/>
          </w:tcPr>
          <w:p>
            <w:pPr>
              <w:adjustRightInd w:val="0"/>
              <w:snapToGrid w:val="0"/>
              <w:jc w:val="center"/>
              <w:rPr>
                <w:rFonts w:hint="eastAsia" w:asciiTheme="minorEastAsia" w:hAnsiTheme="minorEastAsia" w:eastAsiaTheme="minorEastAsia" w:cstheme="minorEastAsia"/>
                <w:b/>
                <w:snapToGrid w:val="0"/>
                <w:color w:val="auto"/>
                <w:kern w:val="0"/>
                <w:szCs w:val="21"/>
              </w:rPr>
            </w:pPr>
          </w:p>
        </w:tc>
        <w:tc>
          <w:tcPr>
            <w:tcW w:w="1044" w:type="dxa"/>
            <w:noWrap w:val="0"/>
            <w:vAlign w:val="center"/>
          </w:tcPr>
          <w:p>
            <w:pPr>
              <w:adjustRightInd w:val="0"/>
              <w:snapToGrid w:val="0"/>
              <w:jc w:val="center"/>
              <w:rPr>
                <w:rFonts w:hint="eastAsia" w:asciiTheme="minorEastAsia" w:hAnsiTheme="minorEastAsia" w:eastAsiaTheme="minorEastAsia" w:cstheme="minorEastAsia"/>
                <w:b/>
                <w:snapToGrid w:val="0"/>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6" w:hRule="atLeast"/>
        </w:trPr>
        <w:tc>
          <w:tcPr>
            <w:tcW w:w="745" w:type="dxa"/>
            <w:noWrap w:val="0"/>
            <w:vAlign w:val="center"/>
          </w:tcPr>
          <w:p>
            <w:pPr>
              <w:adjustRightInd w:val="0"/>
              <w:snapToGrid w:val="0"/>
              <w:jc w:val="center"/>
              <w:rPr>
                <w:rFonts w:hint="eastAsia" w:asciiTheme="minorEastAsia" w:hAnsiTheme="minorEastAsia" w:eastAsiaTheme="minorEastAsia" w:cstheme="minorEastAsia"/>
                <w:snapToGrid w:val="0"/>
                <w:color w:val="auto"/>
                <w:kern w:val="0"/>
                <w:szCs w:val="21"/>
              </w:rPr>
            </w:pPr>
          </w:p>
        </w:tc>
        <w:tc>
          <w:tcPr>
            <w:tcW w:w="5033" w:type="dxa"/>
            <w:noWrap w:val="0"/>
            <w:vAlign w:val="center"/>
          </w:tcPr>
          <w:p>
            <w:pPr>
              <w:adjustRightInd w:val="0"/>
              <w:snapToGrid w:val="0"/>
              <w:rPr>
                <w:rFonts w:hint="eastAsia" w:asciiTheme="minorEastAsia" w:hAnsiTheme="minorEastAsia" w:eastAsiaTheme="minorEastAsia" w:cstheme="minorEastAsia"/>
                <w:color w:val="auto"/>
                <w:szCs w:val="21"/>
              </w:rPr>
            </w:pPr>
          </w:p>
        </w:tc>
        <w:tc>
          <w:tcPr>
            <w:tcW w:w="2216" w:type="dxa"/>
            <w:noWrap w:val="0"/>
            <w:vAlign w:val="center"/>
          </w:tcPr>
          <w:p>
            <w:pPr>
              <w:adjustRightInd w:val="0"/>
              <w:snapToGrid w:val="0"/>
              <w:jc w:val="center"/>
              <w:rPr>
                <w:rFonts w:hint="eastAsia" w:asciiTheme="minorEastAsia" w:hAnsiTheme="minorEastAsia" w:eastAsiaTheme="minorEastAsia" w:cstheme="minorEastAsia"/>
                <w:b/>
                <w:snapToGrid w:val="0"/>
                <w:color w:val="auto"/>
                <w:kern w:val="0"/>
                <w:szCs w:val="21"/>
              </w:rPr>
            </w:pPr>
          </w:p>
        </w:tc>
        <w:tc>
          <w:tcPr>
            <w:tcW w:w="1044" w:type="dxa"/>
            <w:noWrap w:val="0"/>
            <w:vAlign w:val="center"/>
          </w:tcPr>
          <w:p>
            <w:pPr>
              <w:adjustRightInd w:val="0"/>
              <w:snapToGrid w:val="0"/>
              <w:jc w:val="center"/>
              <w:rPr>
                <w:rFonts w:hint="eastAsia" w:asciiTheme="minorEastAsia" w:hAnsiTheme="minorEastAsia" w:eastAsiaTheme="minorEastAsia" w:cstheme="minorEastAsia"/>
                <w:b/>
                <w:snapToGrid w:val="0"/>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6" w:hRule="atLeast"/>
        </w:trPr>
        <w:tc>
          <w:tcPr>
            <w:tcW w:w="745" w:type="dxa"/>
            <w:noWrap w:val="0"/>
            <w:vAlign w:val="center"/>
          </w:tcPr>
          <w:p>
            <w:pPr>
              <w:adjustRightInd w:val="0"/>
              <w:snapToGrid w:val="0"/>
              <w:jc w:val="center"/>
              <w:rPr>
                <w:rFonts w:hint="eastAsia" w:asciiTheme="minorEastAsia" w:hAnsiTheme="minorEastAsia" w:eastAsiaTheme="minorEastAsia" w:cstheme="minorEastAsia"/>
                <w:snapToGrid w:val="0"/>
                <w:color w:val="auto"/>
                <w:kern w:val="0"/>
                <w:szCs w:val="21"/>
              </w:rPr>
            </w:pPr>
          </w:p>
        </w:tc>
        <w:tc>
          <w:tcPr>
            <w:tcW w:w="5033" w:type="dxa"/>
            <w:noWrap w:val="0"/>
            <w:vAlign w:val="center"/>
          </w:tcPr>
          <w:p>
            <w:pPr>
              <w:adjustRightInd w:val="0"/>
              <w:snapToGrid w:val="0"/>
              <w:rPr>
                <w:rFonts w:hint="eastAsia" w:asciiTheme="minorEastAsia" w:hAnsiTheme="minorEastAsia" w:eastAsiaTheme="minorEastAsia" w:cstheme="minorEastAsia"/>
                <w:color w:val="auto"/>
                <w:szCs w:val="21"/>
              </w:rPr>
            </w:pPr>
          </w:p>
        </w:tc>
        <w:tc>
          <w:tcPr>
            <w:tcW w:w="2216" w:type="dxa"/>
            <w:noWrap w:val="0"/>
            <w:vAlign w:val="center"/>
          </w:tcPr>
          <w:p>
            <w:pPr>
              <w:adjustRightInd w:val="0"/>
              <w:snapToGrid w:val="0"/>
              <w:jc w:val="center"/>
              <w:rPr>
                <w:rFonts w:hint="eastAsia" w:asciiTheme="minorEastAsia" w:hAnsiTheme="minorEastAsia" w:eastAsiaTheme="minorEastAsia" w:cstheme="minorEastAsia"/>
                <w:b/>
                <w:snapToGrid w:val="0"/>
                <w:color w:val="auto"/>
                <w:kern w:val="0"/>
                <w:szCs w:val="21"/>
              </w:rPr>
            </w:pPr>
          </w:p>
        </w:tc>
        <w:tc>
          <w:tcPr>
            <w:tcW w:w="1044" w:type="dxa"/>
            <w:noWrap w:val="0"/>
            <w:vAlign w:val="center"/>
          </w:tcPr>
          <w:p>
            <w:pPr>
              <w:adjustRightInd w:val="0"/>
              <w:snapToGrid w:val="0"/>
              <w:jc w:val="center"/>
              <w:rPr>
                <w:rFonts w:hint="eastAsia" w:asciiTheme="minorEastAsia" w:hAnsiTheme="minorEastAsia" w:eastAsiaTheme="minorEastAsia" w:cstheme="minorEastAsia"/>
                <w:b/>
                <w:snapToGrid w:val="0"/>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6" w:hRule="atLeast"/>
        </w:trPr>
        <w:tc>
          <w:tcPr>
            <w:tcW w:w="745" w:type="dxa"/>
            <w:noWrap w:val="0"/>
            <w:vAlign w:val="center"/>
          </w:tcPr>
          <w:p>
            <w:pPr>
              <w:adjustRightInd w:val="0"/>
              <w:snapToGrid w:val="0"/>
              <w:jc w:val="center"/>
              <w:rPr>
                <w:rFonts w:hint="eastAsia" w:asciiTheme="minorEastAsia" w:hAnsiTheme="minorEastAsia" w:eastAsiaTheme="minorEastAsia" w:cstheme="minorEastAsia"/>
                <w:snapToGrid w:val="0"/>
                <w:color w:val="auto"/>
                <w:kern w:val="0"/>
                <w:szCs w:val="21"/>
              </w:rPr>
            </w:pPr>
          </w:p>
        </w:tc>
        <w:tc>
          <w:tcPr>
            <w:tcW w:w="5033" w:type="dxa"/>
            <w:noWrap w:val="0"/>
            <w:vAlign w:val="center"/>
          </w:tcPr>
          <w:p>
            <w:pPr>
              <w:adjustRightInd w:val="0"/>
              <w:snapToGrid w:val="0"/>
              <w:rPr>
                <w:rFonts w:hint="eastAsia" w:asciiTheme="minorEastAsia" w:hAnsiTheme="minorEastAsia" w:eastAsiaTheme="minorEastAsia" w:cstheme="minorEastAsia"/>
                <w:color w:val="auto"/>
                <w:szCs w:val="21"/>
              </w:rPr>
            </w:pPr>
          </w:p>
        </w:tc>
        <w:tc>
          <w:tcPr>
            <w:tcW w:w="2216" w:type="dxa"/>
            <w:noWrap w:val="0"/>
            <w:vAlign w:val="center"/>
          </w:tcPr>
          <w:p>
            <w:pPr>
              <w:adjustRightInd w:val="0"/>
              <w:snapToGrid w:val="0"/>
              <w:jc w:val="center"/>
              <w:rPr>
                <w:rFonts w:hint="eastAsia" w:asciiTheme="minorEastAsia" w:hAnsiTheme="minorEastAsia" w:eastAsiaTheme="minorEastAsia" w:cstheme="minorEastAsia"/>
                <w:b/>
                <w:snapToGrid w:val="0"/>
                <w:color w:val="auto"/>
                <w:kern w:val="0"/>
                <w:szCs w:val="21"/>
              </w:rPr>
            </w:pPr>
          </w:p>
        </w:tc>
        <w:tc>
          <w:tcPr>
            <w:tcW w:w="1044" w:type="dxa"/>
            <w:noWrap w:val="0"/>
            <w:vAlign w:val="center"/>
          </w:tcPr>
          <w:p>
            <w:pPr>
              <w:adjustRightInd w:val="0"/>
              <w:snapToGrid w:val="0"/>
              <w:jc w:val="center"/>
              <w:rPr>
                <w:rFonts w:hint="eastAsia" w:asciiTheme="minorEastAsia" w:hAnsiTheme="minorEastAsia" w:eastAsiaTheme="minorEastAsia" w:cstheme="minorEastAsia"/>
                <w:b/>
                <w:snapToGrid w:val="0"/>
                <w:color w:val="auto"/>
                <w:kern w:val="0"/>
                <w:szCs w:val="21"/>
              </w:rPr>
            </w:pPr>
          </w:p>
        </w:tc>
      </w:tr>
    </w:tbl>
    <w:p>
      <w:pPr>
        <w:adjustRightInd w:val="0"/>
        <w:snapToGrid w:val="0"/>
        <w:spacing w:line="360" w:lineRule="auto"/>
        <w:ind w:firstLine="4515" w:firstLineChars="2150"/>
        <w:rPr>
          <w:rFonts w:hint="eastAsia" w:asciiTheme="minorEastAsia" w:hAnsiTheme="minorEastAsia" w:eastAsiaTheme="minorEastAsia" w:cstheme="minorEastAsia"/>
          <w:snapToGrid w:val="0"/>
          <w:color w:val="auto"/>
          <w:kern w:val="0"/>
          <w:szCs w:val="21"/>
        </w:rPr>
      </w:pPr>
    </w:p>
    <w:p>
      <w:pPr>
        <w:pStyle w:val="16"/>
        <w:rPr>
          <w:rFonts w:hint="eastAsia" w:asciiTheme="minorEastAsia" w:hAnsiTheme="minorEastAsia" w:eastAsiaTheme="minorEastAsia" w:cstheme="minorEastAsia"/>
          <w:color w:val="auto"/>
        </w:rPr>
      </w:pPr>
    </w:p>
    <w:p>
      <w:pPr>
        <w:pStyle w:val="16"/>
        <w:rPr>
          <w:rFonts w:hint="eastAsia" w:asciiTheme="minorEastAsia" w:hAnsiTheme="minorEastAsia" w:eastAsiaTheme="minorEastAsia" w:cstheme="minorEastAsia"/>
          <w:color w:val="auto"/>
        </w:rPr>
      </w:pPr>
    </w:p>
    <w:p>
      <w:pPr>
        <w:autoSpaceDE w:val="0"/>
        <w:autoSpaceDN w:val="0"/>
        <w:adjustRightInd w:val="0"/>
        <w:spacing w:line="360" w:lineRule="auto"/>
        <w:rPr>
          <w:rFonts w:hint="eastAsia" w:asciiTheme="minorEastAsia" w:hAnsiTheme="minorEastAsia" w:eastAsiaTheme="minorEastAsia" w:cstheme="minorEastAsia"/>
          <w:b/>
          <w:color w:val="auto"/>
          <w:szCs w:val="21"/>
        </w:rPr>
        <w:sectPr>
          <w:footerReference r:id="rId5" w:type="default"/>
          <w:pgSz w:w="11906" w:h="16838"/>
          <w:pgMar w:top="1247" w:right="1588" w:bottom="1089" w:left="1588" w:header="851" w:footer="992" w:gutter="0"/>
          <w:cols w:space="720" w:num="1"/>
          <w:docGrid w:linePitch="312" w:charSpace="0"/>
        </w:sectPr>
      </w:pPr>
    </w:p>
    <w:p>
      <w:pPr>
        <w:autoSpaceDE w:val="0"/>
        <w:autoSpaceDN w:val="0"/>
        <w:adjustRightInd w:val="0"/>
        <w:spacing w:line="360" w:lineRule="auto"/>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3.</w:t>
      </w:r>
      <w:r>
        <w:rPr>
          <w:rFonts w:hint="eastAsia" w:asciiTheme="minorEastAsia" w:hAnsiTheme="minorEastAsia" w:eastAsiaTheme="minorEastAsia" w:cstheme="minorEastAsia"/>
          <w:b/>
          <w:color w:val="auto"/>
          <w:szCs w:val="21"/>
          <w:lang w:val="en-US" w:eastAsia="zh-CN"/>
        </w:rPr>
        <w:t>2</w:t>
      </w:r>
      <w:r>
        <w:rPr>
          <w:rFonts w:hint="eastAsia" w:asciiTheme="minorEastAsia" w:hAnsiTheme="minorEastAsia" w:eastAsiaTheme="minorEastAsia" w:cstheme="minorEastAsia"/>
          <w:b/>
          <w:color w:val="auto"/>
          <w:szCs w:val="21"/>
        </w:rPr>
        <w:t>标人基本情况</w:t>
      </w:r>
    </w:p>
    <w:p>
      <w:pPr>
        <w:spacing w:line="240" w:lineRule="atLeast"/>
        <w:jc w:val="center"/>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投标人基本情况表</w:t>
      </w:r>
    </w:p>
    <w:p>
      <w:pPr>
        <w:spacing w:line="240" w:lineRule="atLeast"/>
        <w:ind w:firstLine="2233" w:firstLineChars="695"/>
        <w:rPr>
          <w:rFonts w:hint="eastAsia" w:asciiTheme="minorEastAsia" w:hAnsiTheme="minorEastAsia" w:eastAsiaTheme="minorEastAsia" w:cstheme="minorEastAsia"/>
          <w:b/>
          <w:color w:val="auto"/>
          <w:sz w:val="32"/>
          <w:szCs w:val="32"/>
        </w:rPr>
      </w:pPr>
    </w:p>
    <w:tbl>
      <w:tblPr>
        <w:tblStyle w:val="48"/>
        <w:tblW w:w="8848" w:type="dxa"/>
        <w:tblInd w:w="28" w:type="dxa"/>
        <w:tblLayout w:type="fixed"/>
        <w:tblCellMar>
          <w:top w:w="0" w:type="dxa"/>
          <w:left w:w="28" w:type="dxa"/>
          <w:bottom w:w="0" w:type="dxa"/>
          <w:right w:w="28" w:type="dxa"/>
        </w:tblCellMar>
      </w:tblPr>
      <w:tblGrid>
        <w:gridCol w:w="2368"/>
        <w:gridCol w:w="2490"/>
        <w:gridCol w:w="1575"/>
        <w:gridCol w:w="2415"/>
      </w:tblGrid>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ind w:left="105"/>
              <w:jc w:val="center"/>
              <w:textAlignment w:val="bottom"/>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投标人全称</w:t>
            </w:r>
          </w:p>
        </w:tc>
        <w:tc>
          <w:tcPr>
            <w:tcW w:w="6480" w:type="dxa"/>
            <w:gridSpan w:val="3"/>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textAlignment w:val="bottom"/>
              <w:rPr>
                <w:rFonts w:hint="eastAsia" w:asciiTheme="minorEastAsia" w:hAnsiTheme="minorEastAsia" w:eastAsiaTheme="minorEastAsia" w:cstheme="minorEastAsia"/>
                <w:color w:val="auto"/>
              </w:rPr>
            </w:pPr>
          </w:p>
        </w:tc>
      </w:tr>
      <w:tr>
        <w:tblPrEx>
          <w:tblLayout w:type="fixed"/>
        </w:tblPrEx>
        <w:trPr>
          <w:cantSplit/>
        </w:trPr>
        <w:tc>
          <w:tcPr>
            <w:tcW w:w="2368"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ind w:left="105"/>
              <w:jc w:val="center"/>
              <w:textAlignment w:val="bottom"/>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企业资质</w:t>
            </w:r>
          </w:p>
        </w:tc>
        <w:tc>
          <w:tcPr>
            <w:tcW w:w="6480" w:type="dxa"/>
            <w:gridSpan w:val="3"/>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textAlignment w:val="bottom"/>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1.等级:            2.证书号:       3.发证单位: </w:t>
            </w:r>
          </w:p>
        </w:tc>
      </w:tr>
      <w:tr>
        <w:tblPrEx>
          <w:tblLayout w:type="fixed"/>
        </w:tblPrEx>
        <w:trPr>
          <w:cantSplit/>
        </w:trPr>
        <w:tc>
          <w:tcPr>
            <w:tcW w:w="2368"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ind w:left="105"/>
              <w:jc w:val="center"/>
              <w:textAlignment w:val="bottom"/>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营业执照</w:t>
            </w:r>
          </w:p>
        </w:tc>
        <w:tc>
          <w:tcPr>
            <w:tcW w:w="6480" w:type="dxa"/>
            <w:gridSpan w:val="3"/>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textAlignment w:val="bottom"/>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1.编号:            2.营业范围:     3.发照单位: </w:t>
            </w: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ind w:left="105"/>
              <w:jc w:val="center"/>
              <w:textAlignment w:val="bottom"/>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建立日期</w:t>
            </w:r>
          </w:p>
        </w:tc>
        <w:tc>
          <w:tcPr>
            <w:tcW w:w="249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textAlignment w:val="bottom"/>
              <w:rPr>
                <w:rFonts w:hint="eastAsia" w:asciiTheme="minorEastAsia" w:hAnsiTheme="minorEastAsia" w:eastAsiaTheme="minorEastAsia" w:cstheme="minorEastAsia"/>
                <w:color w:val="auto"/>
              </w:rPr>
            </w:pPr>
          </w:p>
        </w:tc>
        <w:tc>
          <w:tcPr>
            <w:tcW w:w="1575"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jc w:val="center"/>
              <w:textAlignment w:val="bottom"/>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现有职工</w:t>
            </w:r>
          </w:p>
        </w:tc>
        <w:tc>
          <w:tcPr>
            <w:tcW w:w="2415"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textAlignment w:val="bottom"/>
              <w:rPr>
                <w:rFonts w:hint="eastAsia" w:asciiTheme="minorEastAsia" w:hAnsiTheme="minorEastAsia" w:eastAsiaTheme="minorEastAsia" w:cstheme="minorEastAsia"/>
                <w:color w:val="auto"/>
              </w:rPr>
            </w:pPr>
          </w:p>
        </w:tc>
      </w:tr>
      <w:tr>
        <w:tblPrEx>
          <w:tblLayout w:type="fixed"/>
        </w:tblPrEx>
        <w:trPr>
          <w:cantSplit/>
        </w:trPr>
        <w:tc>
          <w:tcPr>
            <w:tcW w:w="2368"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jc w:val="center"/>
              <w:textAlignment w:val="bottom"/>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固定资产净值(万元)</w:t>
            </w:r>
          </w:p>
        </w:tc>
        <w:tc>
          <w:tcPr>
            <w:tcW w:w="6480" w:type="dxa"/>
            <w:gridSpan w:val="3"/>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textAlignment w:val="bottom"/>
              <w:rPr>
                <w:rFonts w:hint="eastAsia" w:asciiTheme="minorEastAsia" w:hAnsiTheme="minorEastAsia" w:eastAsiaTheme="minorEastAsia" w:cstheme="minorEastAsia"/>
                <w:color w:val="auto"/>
              </w:rPr>
            </w:pPr>
          </w:p>
        </w:tc>
      </w:tr>
      <w:tr>
        <w:tblPrEx>
          <w:tblLayout w:type="fixed"/>
        </w:tblPrEx>
        <w:trPr>
          <w:cantSplit/>
        </w:trPr>
        <w:tc>
          <w:tcPr>
            <w:tcW w:w="2368"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ind w:left="105"/>
              <w:jc w:val="center"/>
              <w:textAlignment w:val="bottom"/>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行政负责人</w:t>
            </w:r>
          </w:p>
        </w:tc>
        <w:tc>
          <w:tcPr>
            <w:tcW w:w="6480" w:type="dxa"/>
            <w:gridSpan w:val="3"/>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textAlignment w:val="bottom"/>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姓名:             职务:             职称:</w:t>
            </w:r>
          </w:p>
        </w:tc>
      </w:tr>
      <w:tr>
        <w:tblPrEx>
          <w:tblLayout w:type="fixed"/>
        </w:tblPrEx>
        <w:trPr>
          <w:cantSplit/>
        </w:trPr>
        <w:tc>
          <w:tcPr>
            <w:tcW w:w="2368"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ind w:left="105"/>
              <w:jc w:val="center"/>
              <w:textAlignment w:val="bottom"/>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技术负责人</w:t>
            </w:r>
          </w:p>
        </w:tc>
        <w:tc>
          <w:tcPr>
            <w:tcW w:w="6480" w:type="dxa"/>
            <w:gridSpan w:val="3"/>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textAlignment w:val="bottom"/>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姓名:             职务:             职称:</w:t>
            </w: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440" w:lineRule="atLeast"/>
              <w:ind w:left="105"/>
              <w:jc w:val="center"/>
              <w:textAlignment w:val="bottom"/>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联系方式</w:t>
            </w:r>
          </w:p>
        </w:tc>
        <w:tc>
          <w:tcPr>
            <w:tcW w:w="6480" w:type="dxa"/>
            <w:gridSpan w:val="3"/>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textAlignment w:val="bottom"/>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地址</w:t>
            </w:r>
          </w:p>
          <w:p>
            <w:pPr>
              <w:widowControl/>
              <w:autoSpaceDE w:val="0"/>
              <w:autoSpaceDN w:val="0"/>
              <w:spacing w:line="440" w:lineRule="atLeast"/>
              <w:textAlignment w:val="bottom"/>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邮编:</w:t>
            </w:r>
          </w:p>
          <w:p>
            <w:pPr>
              <w:widowControl/>
              <w:autoSpaceDE w:val="0"/>
              <w:autoSpaceDN w:val="0"/>
              <w:spacing w:line="440" w:lineRule="atLeast"/>
              <w:textAlignment w:val="bottom"/>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电话:  </w:t>
            </w:r>
          </w:p>
          <w:p>
            <w:pPr>
              <w:widowControl/>
              <w:autoSpaceDE w:val="0"/>
              <w:autoSpaceDN w:val="0"/>
              <w:spacing w:line="440" w:lineRule="atLeast"/>
              <w:textAlignment w:val="bottom"/>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传真:       </w:t>
            </w:r>
          </w:p>
        </w:tc>
      </w:tr>
      <w:tr>
        <w:tblPrEx>
          <w:tblLayout w:type="fixed"/>
        </w:tblPrEx>
        <w:trPr>
          <w:cantSplit/>
        </w:trPr>
        <w:tc>
          <w:tcPr>
            <w:tcW w:w="2368"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ind w:left="105"/>
              <w:jc w:val="center"/>
              <w:textAlignment w:val="bottom"/>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开户银行</w:t>
            </w:r>
          </w:p>
        </w:tc>
        <w:tc>
          <w:tcPr>
            <w:tcW w:w="6480" w:type="dxa"/>
            <w:gridSpan w:val="3"/>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textAlignment w:val="bottom"/>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名称:                      账号:          </w:t>
            </w:r>
          </w:p>
        </w:tc>
      </w:tr>
      <w:tr>
        <w:tblPrEx>
          <w:tblLayout w:type="fixed"/>
          <w:tblCellMar>
            <w:top w:w="0" w:type="dxa"/>
            <w:left w:w="28" w:type="dxa"/>
            <w:bottom w:w="0" w:type="dxa"/>
            <w:right w:w="28" w:type="dxa"/>
          </w:tblCellMar>
        </w:tblPrEx>
        <w:trPr>
          <w:cantSplit/>
          <w:trHeight w:val="5279" w:hRule="atLeast"/>
        </w:trPr>
        <w:tc>
          <w:tcPr>
            <w:tcW w:w="2368"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ind w:left="105"/>
              <w:jc w:val="center"/>
              <w:textAlignment w:val="bottom"/>
              <w:rPr>
                <w:rFonts w:hint="eastAsia" w:asciiTheme="minorEastAsia" w:hAnsiTheme="minorEastAsia" w:eastAsiaTheme="minorEastAsia" w:cstheme="minorEastAsia"/>
                <w:color w:val="auto"/>
              </w:rPr>
            </w:pPr>
          </w:p>
          <w:p>
            <w:pPr>
              <w:widowControl/>
              <w:autoSpaceDE w:val="0"/>
              <w:autoSpaceDN w:val="0"/>
              <w:spacing w:line="440" w:lineRule="atLeast"/>
              <w:ind w:left="105"/>
              <w:jc w:val="center"/>
              <w:textAlignment w:val="bottom"/>
              <w:rPr>
                <w:rFonts w:hint="eastAsia" w:asciiTheme="minorEastAsia" w:hAnsiTheme="minorEastAsia" w:eastAsiaTheme="minorEastAsia" w:cstheme="minorEastAsia"/>
                <w:color w:val="auto"/>
              </w:rPr>
            </w:pPr>
          </w:p>
          <w:p>
            <w:pPr>
              <w:widowControl/>
              <w:autoSpaceDE w:val="0"/>
              <w:autoSpaceDN w:val="0"/>
              <w:spacing w:line="440" w:lineRule="atLeast"/>
              <w:ind w:left="105"/>
              <w:jc w:val="center"/>
              <w:textAlignment w:val="bottom"/>
              <w:rPr>
                <w:rFonts w:hint="eastAsia" w:asciiTheme="minorEastAsia" w:hAnsiTheme="minorEastAsia" w:eastAsiaTheme="minorEastAsia" w:cstheme="minorEastAsia"/>
                <w:color w:val="auto"/>
              </w:rPr>
            </w:pPr>
          </w:p>
          <w:p>
            <w:pPr>
              <w:widowControl/>
              <w:autoSpaceDE w:val="0"/>
              <w:autoSpaceDN w:val="0"/>
              <w:spacing w:line="440" w:lineRule="atLeast"/>
              <w:textAlignment w:val="bottom"/>
              <w:rPr>
                <w:rFonts w:hint="eastAsia" w:asciiTheme="minorEastAsia" w:hAnsiTheme="minorEastAsia" w:eastAsiaTheme="minorEastAsia" w:cstheme="minorEastAsia"/>
                <w:color w:val="auto"/>
              </w:rPr>
            </w:pPr>
          </w:p>
          <w:p>
            <w:pPr>
              <w:widowControl/>
              <w:autoSpaceDE w:val="0"/>
              <w:autoSpaceDN w:val="0"/>
              <w:spacing w:line="440" w:lineRule="atLeast"/>
              <w:ind w:left="105"/>
              <w:jc w:val="center"/>
              <w:textAlignment w:val="bottom"/>
              <w:rPr>
                <w:rFonts w:hint="eastAsia" w:asciiTheme="minorEastAsia" w:hAnsiTheme="minorEastAsia" w:eastAsiaTheme="minorEastAsia" w:cstheme="minorEastAsia"/>
                <w:color w:val="auto"/>
              </w:rPr>
            </w:pPr>
          </w:p>
          <w:p>
            <w:pPr>
              <w:widowControl/>
              <w:autoSpaceDE w:val="0"/>
              <w:autoSpaceDN w:val="0"/>
              <w:spacing w:line="440" w:lineRule="atLeast"/>
              <w:ind w:left="105"/>
              <w:jc w:val="center"/>
              <w:textAlignment w:val="bottom"/>
              <w:rPr>
                <w:rFonts w:hint="eastAsia" w:asciiTheme="minorEastAsia" w:hAnsiTheme="minorEastAsia" w:eastAsiaTheme="minorEastAsia" w:cstheme="minorEastAsia"/>
                <w:color w:val="auto"/>
              </w:rPr>
            </w:pPr>
          </w:p>
          <w:p>
            <w:pPr>
              <w:widowControl/>
              <w:autoSpaceDE w:val="0"/>
              <w:autoSpaceDN w:val="0"/>
              <w:spacing w:line="440" w:lineRule="atLeast"/>
              <w:ind w:left="105"/>
              <w:jc w:val="center"/>
              <w:textAlignment w:val="bottom"/>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组织机构框图</w:t>
            </w:r>
          </w:p>
          <w:p>
            <w:pPr>
              <w:widowControl/>
              <w:autoSpaceDE w:val="0"/>
              <w:autoSpaceDN w:val="0"/>
              <w:spacing w:line="440" w:lineRule="atLeast"/>
              <w:ind w:left="105"/>
              <w:jc w:val="center"/>
              <w:textAlignment w:val="bottom"/>
              <w:rPr>
                <w:rFonts w:hint="eastAsia" w:asciiTheme="minorEastAsia" w:hAnsiTheme="minorEastAsia" w:eastAsiaTheme="minorEastAsia" w:cstheme="minorEastAsia"/>
                <w:color w:val="auto"/>
              </w:rPr>
            </w:pPr>
          </w:p>
          <w:p>
            <w:pPr>
              <w:autoSpaceDE w:val="0"/>
              <w:autoSpaceDN w:val="0"/>
              <w:spacing w:line="440" w:lineRule="atLeast"/>
              <w:ind w:left="105"/>
              <w:textAlignment w:val="bottom"/>
              <w:rPr>
                <w:rFonts w:hint="eastAsia" w:asciiTheme="minorEastAsia" w:hAnsiTheme="minorEastAsia" w:eastAsiaTheme="minorEastAsia" w:cstheme="minorEastAsia"/>
                <w:color w:val="auto"/>
              </w:rPr>
            </w:pPr>
          </w:p>
        </w:tc>
        <w:tc>
          <w:tcPr>
            <w:tcW w:w="6480" w:type="dxa"/>
            <w:gridSpan w:val="3"/>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textAlignment w:val="bottom"/>
              <w:rPr>
                <w:rFonts w:hint="eastAsia" w:asciiTheme="minorEastAsia" w:hAnsiTheme="minorEastAsia" w:eastAsiaTheme="minorEastAsia" w:cstheme="minorEastAsia"/>
                <w:color w:val="auto"/>
              </w:rPr>
            </w:pPr>
          </w:p>
        </w:tc>
      </w:tr>
    </w:tbl>
    <w:p>
      <w:pPr>
        <w:spacing w:line="360" w:lineRule="auto"/>
        <w:ind w:left="630" w:hanging="630" w:hangingChars="300"/>
        <w:rPr>
          <w:rFonts w:hint="eastAsia" w:asciiTheme="minorEastAsia" w:hAnsiTheme="minorEastAsia" w:eastAsiaTheme="minorEastAsia" w:cstheme="minorEastAsia"/>
          <w:color w:val="auto"/>
        </w:rPr>
      </w:pPr>
    </w:p>
    <w:p>
      <w:pPr>
        <w:adjustRightInd w:val="0"/>
        <w:snapToGrid w:val="0"/>
        <w:spacing w:before="120" w:beforeLines="50" w:line="360" w:lineRule="auto"/>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sz w:val="24"/>
        </w:rPr>
        <w:br w:type="page"/>
      </w:r>
      <w:r>
        <w:rPr>
          <w:rFonts w:hint="eastAsia" w:asciiTheme="minorEastAsia" w:hAnsiTheme="minorEastAsia" w:eastAsiaTheme="minorEastAsia" w:cstheme="minorEastAsia"/>
          <w:b/>
          <w:color w:val="auto"/>
        </w:rPr>
        <w:t>3.</w:t>
      </w:r>
      <w:r>
        <w:rPr>
          <w:rFonts w:hint="eastAsia" w:asciiTheme="minorEastAsia" w:hAnsiTheme="minorEastAsia" w:eastAsiaTheme="minorEastAsia" w:cstheme="minorEastAsia"/>
          <w:b/>
          <w:color w:val="auto"/>
          <w:lang w:val="en-US" w:eastAsia="zh-CN"/>
        </w:rPr>
        <w:t>3</w:t>
      </w:r>
      <w:r>
        <w:rPr>
          <w:rFonts w:hint="eastAsia" w:asciiTheme="minorEastAsia" w:hAnsiTheme="minorEastAsia" w:eastAsiaTheme="minorEastAsia" w:cstheme="minorEastAsia"/>
          <w:b/>
          <w:color w:val="auto"/>
        </w:rPr>
        <w:t>法定代表人资格证明及授权委托书</w:t>
      </w:r>
    </w:p>
    <w:p>
      <w:pPr>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snapToGrid w:val="0"/>
          <w:color w:val="auto"/>
          <w:kern w:val="0"/>
          <w:szCs w:val="21"/>
        </w:rPr>
        <w:t>附件3.4.1</w:t>
      </w:r>
    </w:p>
    <w:p>
      <w:pPr>
        <w:pStyle w:val="20"/>
        <w:spacing w:line="600" w:lineRule="exact"/>
        <w:ind w:firstLine="0"/>
        <w:jc w:val="center"/>
        <w:rPr>
          <w:rFonts w:hint="eastAsia" w:asciiTheme="minorEastAsia" w:hAnsiTheme="minorEastAsia" w:eastAsiaTheme="minorEastAsia" w:cstheme="minorEastAsia"/>
          <w:b/>
          <w:bCs/>
          <w:snapToGrid w:val="0"/>
          <w:color w:val="auto"/>
          <w:kern w:val="0"/>
          <w:sz w:val="28"/>
          <w:szCs w:val="28"/>
        </w:rPr>
      </w:pPr>
      <w:r>
        <w:rPr>
          <w:rFonts w:hint="eastAsia" w:asciiTheme="minorEastAsia" w:hAnsiTheme="minorEastAsia" w:eastAsiaTheme="minorEastAsia" w:cstheme="minorEastAsia"/>
          <w:b/>
          <w:bCs/>
          <w:snapToGrid w:val="0"/>
          <w:color w:val="auto"/>
          <w:kern w:val="0"/>
          <w:sz w:val="28"/>
          <w:szCs w:val="28"/>
        </w:rPr>
        <w:t>法定代表人资格证明书</w:t>
      </w:r>
    </w:p>
    <w:p>
      <w:pPr>
        <w:pStyle w:val="20"/>
        <w:spacing w:line="600" w:lineRule="exact"/>
        <w:rPr>
          <w:rFonts w:hint="eastAsia" w:asciiTheme="minorEastAsia" w:hAnsiTheme="minorEastAsia" w:eastAsiaTheme="minorEastAsia" w:cstheme="minorEastAsia"/>
          <w:b/>
          <w:bCs/>
          <w:snapToGrid w:val="0"/>
          <w:color w:val="auto"/>
          <w:kern w:val="0"/>
          <w:sz w:val="36"/>
        </w:rPr>
      </w:pPr>
    </w:p>
    <w:p>
      <w:pPr>
        <w:pStyle w:val="20"/>
        <w:spacing w:line="600" w:lineRule="exact"/>
        <w:ind w:firstLine="420" w:firstLineChars="200"/>
        <w:rPr>
          <w:rFonts w:hint="eastAsia" w:asciiTheme="minorEastAsia" w:hAnsiTheme="minorEastAsia" w:eastAsiaTheme="minorEastAsia" w:cstheme="minorEastAsia"/>
          <w:snapToGrid w:val="0"/>
          <w:color w:val="auto"/>
          <w:kern w:val="0"/>
          <w:sz w:val="21"/>
          <w:szCs w:val="21"/>
        </w:rPr>
      </w:pPr>
      <w:r>
        <w:rPr>
          <w:rFonts w:hint="eastAsia" w:asciiTheme="minorEastAsia" w:hAnsiTheme="minorEastAsia" w:eastAsiaTheme="minorEastAsia" w:cstheme="minorEastAsia"/>
          <w:snapToGrid w:val="0"/>
          <w:color w:val="auto"/>
          <w:kern w:val="0"/>
          <w:sz w:val="21"/>
          <w:szCs w:val="21"/>
          <w:u w:val="single"/>
        </w:rPr>
        <w:t xml:space="preserve">                   </w:t>
      </w:r>
      <w:r>
        <w:rPr>
          <w:rFonts w:hint="eastAsia" w:asciiTheme="minorEastAsia" w:hAnsiTheme="minorEastAsia" w:eastAsiaTheme="minorEastAsia" w:cstheme="minorEastAsia"/>
          <w:snapToGrid w:val="0"/>
          <w:color w:val="auto"/>
          <w:kern w:val="0"/>
          <w:sz w:val="21"/>
          <w:szCs w:val="21"/>
        </w:rPr>
        <w:t>系</w:t>
      </w:r>
      <w:r>
        <w:rPr>
          <w:rFonts w:hint="eastAsia" w:asciiTheme="minorEastAsia" w:hAnsiTheme="minorEastAsia" w:eastAsiaTheme="minorEastAsia" w:cstheme="minorEastAsia"/>
          <w:snapToGrid w:val="0"/>
          <w:color w:val="auto"/>
          <w:kern w:val="0"/>
          <w:sz w:val="21"/>
          <w:szCs w:val="21"/>
          <w:u w:val="single"/>
        </w:rPr>
        <w:t xml:space="preserve">                </w:t>
      </w:r>
      <w:r>
        <w:rPr>
          <w:rFonts w:hint="eastAsia" w:asciiTheme="minorEastAsia" w:hAnsiTheme="minorEastAsia" w:eastAsiaTheme="minorEastAsia" w:cstheme="minorEastAsia"/>
          <w:snapToGrid w:val="0"/>
          <w:color w:val="auto"/>
          <w:kern w:val="0"/>
          <w:sz w:val="21"/>
          <w:szCs w:val="21"/>
        </w:rPr>
        <w:t>的法定代表人。身份证号：</w:t>
      </w:r>
      <w:r>
        <w:rPr>
          <w:rFonts w:hint="eastAsia" w:asciiTheme="minorEastAsia" w:hAnsiTheme="minorEastAsia" w:eastAsiaTheme="minorEastAsia" w:cstheme="minorEastAsia"/>
          <w:snapToGrid w:val="0"/>
          <w:color w:val="auto"/>
          <w:kern w:val="0"/>
          <w:sz w:val="21"/>
          <w:szCs w:val="21"/>
          <w:u w:val="single"/>
        </w:rPr>
        <w:t xml:space="preserve">            </w:t>
      </w:r>
      <w:r>
        <w:rPr>
          <w:rFonts w:hint="eastAsia" w:asciiTheme="minorEastAsia" w:hAnsiTheme="minorEastAsia" w:eastAsiaTheme="minorEastAsia" w:cstheme="minorEastAsia"/>
          <w:snapToGrid w:val="0"/>
          <w:color w:val="auto"/>
          <w:kern w:val="0"/>
          <w:sz w:val="21"/>
          <w:szCs w:val="21"/>
        </w:rPr>
        <w:t>。</w:t>
      </w:r>
    </w:p>
    <w:p>
      <w:pPr>
        <w:pStyle w:val="20"/>
        <w:spacing w:line="600" w:lineRule="exact"/>
        <w:rPr>
          <w:rFonts w:hint="eastAsia" w:asciiTheme="minorEastAsia" w:hAnsiTheme="minorEastAsia" w:eastAsiaTheme="minorEastAsia" w:cstheme="minorEastAsia"/>
          <w:snapToGrid w:val="0"/>
          <w:color w:val="auto"/>
          <w:kern w:val="0"/>
          <w:sz w:val="21"/>
          <w:szCs w:val="21"/>
        </w:rPr>
      </w:pPr>
      <w:r>
        <w:rPr>
          <w:rFonts w:hint="eastAsia" w:asciiTheme="minorEastAsia" w:hAnsiTheme="minorEastAsia" w:eastAsiaTheme="minorEastAsia" w:cstheme="minorEastAsia"/>
          <w:snapToGrid w:val="0"/>
          <w:color w:val="auto"/>
          <w:kern w:val="0"/>
          <w:sz w:val="21"/>
          <w:szCs w:val="21"/>
        </w:rPr>
        <w:t>特此证明</w:t>
      </w:r>
    </w:p>
    <w:p>
      <w:pPr>
        <w:pStyle w:val="20"/>
        <w:spacing w:line="600" w:lineRule="exact"/>
        <w:rPr>
          <w:rFonts w:hint="eastAsia" w:asciiTheme="minorEastAsia" w:hAnsiTheme="minorEastAsia" w:eastAsiaTheme="minorEastAsia" w:cstheme="minorEastAsia"/>
          <w:snapToGrid w:val="0"/>
          <w:color w:val="auto"/>
          <w:kern w:val="0"/>
          <w:sz w:val="21"/>
          <w:szCs w:val="21"/>
        </w:rPr>
      </w:pPr>
      <w:r>
        <w:rPr>
          <w:rFonts w:hint="eastAsia" w:asciiTheme="minorEastAsia" w:hAnsiTheme="minorEastAsia" w:eastAsiaTheme="minorEastAsia" w:cstheme="minorEastAsia"/>
          <w:snapToGrid w:val="0"/>
          <w:color w:val="auto"/>
          <w:kern w:val="0"/>
          <w:sz w:val="21"/>
          <w:szCs w:val="21"/>
        </w:rPr>
        <w:t>投标人：(盖公章)</w:t>
      </w:r>
    </w:p>
    <w:p>
      <w:pPr>
        <w:pStyle w:val="20"/>
        <w:spacing w:line="600" w:lineRule="exact"/>
        <w:rPr>
          <w:rFonts w:hint="eastAsia" w:asciiTheme="minorEastAsia" w:hAnsiTheme="minorEastAsia" w:eastAsiaTheme="minorEastAsia" w:cstheme="minorEastAsia"/>
          <w:snapToGrid w:val="0"/>
          <w:color w:val="auto"/>
          <w:kern w:val="0"/>
          <w:sz w:val="21"/>
          <w:szCs w:val="21"/>
        </w:rPr>
      </w:pPr>
      <w:r>
        <w:rPr>
          <w:rFonts w:hint="eastAsia" w:asciiTheme="minorEastAsia" w:hAnsiTheme="minorEastAsia" w:eastAsiaTheme="minorEastAsia" w:cstheme="minorEastAsia"/>
          <w:snapToGrid w:val="0"/>
          <w:color w:val="auto"/>
          <w:kern w:val="0"/>
          <w:sz w:val="21"/>
          <w:szCs w:val="21"/>
        </w:rPr>
        <w:t>日期：</w:t>
      </w:r>
      <w:r>
        <w:rPr>
          <w:rFonts w:hint="eastAsia" w:asciiTheme="minorEastAsia" w:hAnsiTheme="minorEastAsia" w:eastAsiaTheme="minorEastAsia" w:cstheme="minorEastAsia"/>
          <w:snapToGrid w:val="0"/>
          <w:color w:val="auto"/>
          <w:kern w:val="0"/>
          <w:sz w:val="21"/>
          <w:szCs w:val="21"/>
          <w:u w:val="single"/>
        </w:rPr>
        <w:t xml:space="preserve">      </w:t>
      </w:r>
      <w:r>
        <w:rPr>
          <w:rFonts w:hint="eastAsia" w:asciiTheme="minorEastAsia" w:hAnsiTheme="minorEastAsia" w:eastAsiaTheme="minorEastAsia" w:cstheme="minorEastAsia"/>
          <w:snapToGrid w:val="0"/>
          <w:color w:val="auto"/>
          <w:kern w:val="0"/>
          <w:sz w:val="21"/>
          <w:szCs w:val="21"/>
        </w:rPr>
        <w:t>年</w:t>
      </w:r>
      <w:r>
        <w:rPr>
          <w:rFonts w:hint="eastAsia" w:asciiTheme="minorEastAsia" w:hAnsiTheme="minorEastAsia" w:eastAsiaTheme="minorEastAsia" w:cstheme="minorEastAsia"/>
          <w:snapToGrid w:val="0"/>
          <w:color w:val="auto"/>
          <w:kern w:val="0"/>
          <w:sz w:val="21"/>
          <w:szCs w:val="21"/>
          <w:u w:val="single"/>
        </w:rPr>
        <w:t xml:space="preserve">    </w:t>
      </w:r>
      <w:r>
        <w:rPr>
          <w:rFonts w:hint="eastAsia" w:asciiTheme="minorEastAsia" w:hAnsiTheme="minorEastAsia" w:eastAsiaTheme="minorEastAsia" w:cstheme="minorEastAsia"/>
          <w:snapToGrid w:val="0"/>
          <w:color w:val="auto"/>
          <w:kern w:val="0"/>
          <w:sz w:val="21"/>
          <w:szCs w:val="21"/>
        </w:rPr>
        <w:t>月</w:t>
      </w:r>
      <w:r>
        <w:rPr>
          <w:rFonts w:hint="eastAsia" w:asciiTheme="minorEastAsia" w:hAnsiTheme="minorEastAsia" w:eastAsiaTheme="minorEastAsia" w:cstheme="minorEastAsia"/>
          <w:snapToGrid w:val="0"/>
          <w:color w:val="auto"/>
          <w:kern w:val="0"/>
          <w:sz w:val="21"/>
          <w:szCs w:val="21"/>
          <w:u w:val="single"/>
        </w:rPr>
        <w:t xml:space="preserve">     </w:t>
      </w:r>
      <w:r>
        <w:rPr>
          <w:rFonts w:hint="eastAsia" w:asciiTheme="minorEastAsia" w:hAnsiTheme="minorEastAsia" w:eastAsiaTheme="minorEastAsia" w:cstheme="minorEastAsia"/>
          <w:snapToGrid w:val="0"/>
          <w:color w:val="auto"/>
          <w:kern w:val="0"/>
          <w:sz w:val="21"/>
          <w:szCs w:val="21"/>
        </w:rPr>
        <w:t>日</w:t>
      </w:r>
    </w:p>
    <w:p>
      <w:pPr>
        <w:adjustRightInd w:val="0"/>
        <w:spacing w:line="360" w:lineRule="auto"/>
        <w:rPr>
          <w:rFonts w:hint="eastAsia" w:asciiTheme="minorEastAsia" w:hAnsiTheme="minorEastAsia" w:eastAsiaTheme="minorEastAsia" w:cstheme="minorEastAsia"/>
          <w:snapToGrid w:val="0"/>
          <w:color w:val="auto"/>
          <w:kern w:val="0"/>
          <w:szCs w:val="21"/>
        </w:rPr>
      </w:pPr>
    </w:p>
    <w:p>
      <w:pPr>
        <w:adjustRightInd w:val="0"/>
        <w:spacing w:line="360" w:lineRule="auto"/>
        <w:ind w:firstLine="422" w:firstLineChars="200"/>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附：法定代表人身份证复印件（正反面）</w:t>
      </w:r>
    </w:p>
    <w:p>
      <w:pPr>
        <w:adjustRightInd w:val="0"/>
        <w:spacing w:line="360" w:lineRule="auto"/>
        <w:rPr>
          <w:rFonts w:hint="eastAsia" w:asciiTheme="minorEastAsia" w:hAnsiTheme="minorEastAsia" w:eastAsiaTheme="minorEastAsia" w:cstheme="minorEastAsia"/>
          <w:snapToGrid w:val="0"/>
          <w:color w:val="auto"/>
          <w:kern w:val="0"/>
          <w:szCs w:val="21"/>
        </w:rPr>
      </w:pPr>
    </w:p>
    <w:p>
      <w:pPr>
        <w:adjustRightInd w:val="0"/>
        <w:spacing w:line="360" w:lineRule="auto"/>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snapToGrid w:val="0"/>
          <w:color w:val="auto"/>
          <w:kern w:val="0"/>
          <w:szCs w:val="21"/>
        </w:rPr>
        <w:t>附件3.</w:t>
      </w:r>
      <w:r>
        <w:rPr>
          <w:rFonts w:hint="eastAsia" w:asciiTheme="minorEastAsia" w:hAnsiTheme="minorEastAsia" w:eastAsiaTheme="minorEastAsia" w:cstheme="minorEastAsia"/>
          <w:b/>
          <w:snapToGrid w:val="0"/>
          <w:color w:val="auto"/>
          <w:kern w:val="0"/>
          <w:szCs w:val="21"/>
          <w:lang w:val="en-US" w:eastAsia="zh-CN"/>
        </w:rPr>
        <w:t>3</w:t>
      </w:r>
      <w:r>
        <w:rPr>
          <w:rFonts w:hint="eastAsia" w:asciiTheme="minorEastAsia" w:hAnsiTheme="minorEastAsia" w:eastAsiaTheme="minorEastAsia" w:cstheme="minorEastAsia"/>
          <w:b/>
          <w:snapToGrid w:val="0"/>
          <w:color w:val="auto"/>
          <w:kern w:val="0"/>
          <w:szCs w:val="21"/>
        </w:rPr>
        <w:t>.2</w:t>
      </w:r>
    </w:p>
    <w:p>
      <w:pPr>
        <w:adjustRightInd w:val="0"/>
        <w:spacing w:line="360" w:lineRule="auto"/>
        <w:jc w:val="center"/>
        <w:rPr>
          <w:rFonts w:hint="eastAsia" w:asciiTheme="minorEastAsia" w:hAnsiTheme="minorEastAsia" w:eastAsiaTheme="minorEastAsia" w:cstheme="minorEastAsia"/>
          <w:b/>
          <w:snapToGrid w:val="0"/>
          <w:color w:val="auto"/>
          <w:kern w:val="0"/>
          <w:sz w:val="28"/>
          <w:szCs w:val="28"/>
        </w:rPr>
      </w:pPr>
      <w:r>
        <w:rPr>
          <w:rFonts w:hint="eastAsia" w:asciiTheme="minorEastAsia" w:hAnsiTheme="minorEastAsia" w:eastAsiaTheme="minorEastAsia" w:cstheme="minorEastAsia"/>
          <w:b/>
          <w:bCs/>
          <w:snapToGrid w:val="0"/>
          <w:color w:val="auto"/>
          <w:kern w:val="0"/>
          <w:sz w:val="28"/>
          <w:szCs w:val="28"/>
        </w:rPr>
        <w:t>授权委托书</w:t>
      </w:r>
    </w:p>
    <w:p>
      <w:pPr>
        <w:adjustRightInd w:val="0"/>
        <w:spacing w:line="360" w:lineRule="auto"/>
        <w:jc w:val="left"/>
        <w:rPr>
          <w:rFonts w:hint="eastAsia" w:asciiTheme="minorEastAsia" w:hAnsiTheme="minorEastAsia" w:eastAsiaTheme="minorEastAsia" w:cstheme="minorEastAsia"/>
          <w:b/>
          <w:snapToGrid w:val="0"/>
          <w:color w:val="auto"/>
          <w:kern w:val="0"/>
          <w:sz w:val="32"/>
          <w:szCs w:val="20"/>
        </w:rPr>
      </w:pPr>
    </w:p>
    <w:p>
      <w:pPr>
        <w:adjustRightInd w:val="0"/>
        <w:spacing w:line="480" w:lineRule="auto"/>
        <w:ind w:left="4" w:firstLine="455" w:firstLineChars="217"/>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 xml:space="preserve">我 </w:t>
      </w:r>
      <w:r>
        <w:rPr>
          <w:rFonts w:hint="eastAsia" w:asciiTheme="minorEastAsia" w:hAnsiTheme="minorEastAsia" w:eastAsiaTheme="minorEastAsia" w:cstheme="minorEastAsia"/>
          <w:snapToGrid w:val="0"/>
          <w:color w:val="auto"/>
          <w:kern w:val="0"/>
          <w:szCs w:val="21"/>
          <w:u w:val="single"/>
        </w:rPr>
        <w:t xml:space="preserve">       </w:t>
      </w:r>
      <w:r>
        <w:rPr>
          <w:rFonts w:hint="eastAsia" w:asciiTheme="minorEastAsia" w:hAnsiTheme="minorEastAsia" w:eastAsiaTheme="minorEastAsia" w:cstheme="minorEastAsia"/>
          <w:snapToGrid w:val="0"/>
          <w:color w:val="auto"/>
          <w:kern w:val="0"/>
          <w:szCs w:val="21"/>
        </w:rPr>
        <w:t>（姓名）系</w:t>
      </w:r>
      <w:r>
        <w:rPr>
          <w:rFonts w:hint="eastAsia" w:asciiTheme="minorEastAsia" w:hAnsiTheme="minorEastAsia" w:eastAsiaTheme="minorEastAsia" w:cstheme="minorEastAsia"/>
          <w:snapToGrid w:val="0"/>
          <w:color w:val="auto"/>
          <w:kern w:val="0"/>
          <w:szCs w:val="21"/>
          <w:u w:val="single"/>
        </w:rPr>
        <w:t xml:space="preserve">          </w:t>
      </w:r>
      <w:r>
        <w:rPr>
          <w:rFonts w:hint="eastAsia" w:asciiTheme="minorEastAsia" w:hAnsiTheme="minorEastAsia" w:eastAsiaTheme="minorEastAsia" w:cstheme="minorEastAsia"/>
          <w:snapToGrid w:val="0"/>
          <w:color w:val="auto"/>
          <w:kern w:val="0"/>
          <w:szCs w:val="21"/>
        </w:rPr>
        <w:t>（投标人名称）的法定代表人，现授权委托</w:t>
      </w:r>
      <w:r>
        <w:rPr>
          <w:rFonts w:hint="eastAsia" w:asciiTheme="minorEastAsia" w:hAnsiTheme="minorEastAsia" w:eastAsiaTheme="minorEastAsia" w:cstheme="minorEastAsia"/>
          <w:snapToGrid w:val="0"/>
          <w:color w:val="auto"/>
          <w:kern w:val="0"/>
          <w:szCs w:val="21"/>
          <w:u w:val="single"/>
        </w:rPr>
        <w:t xml:space="preserve">           </w:t>
      </w:r>
      <w:r>
        <w:rPr>
          <w:rFonts w:hint="eastAsia" w:asciiTheme="minorEastAsia" w:hAnsiTheme="minorEastAsia" w:eastAsiaTheme="minorEastAsia" w:cstheme="minorEastAsia"/>
          <w:snapToGrid w:val="0"/>
          <w:color w:val="auto"/>
          <w:kern w:val="0"/>
          <w:szCs w:val="21"/>
        </w:rPr>
        <w:t>（姓名、身份证号）为我公司授权代表，以本公司的名义参加</w:t>
      </w:r>
      <w:r>
        <w:rPr>
          <w:rFonts w:hint="eastAsia" w:asciiTheme="minorEastAsia" w:hAnsiTheme="minorEastAsia" w:eastAsiaTheme="minorEastAsia" w:cstheme="minorEastAsia"/>
          <w:snapToGrid w:val="0"/>
          <w:color w:val="auto"/>
          <w:kern w:val="0"/>
          <w:szCs w:val="21"/>
          <w:u w:val="single"/>
        </w:rPr>
        <w:t xml:space="preserve">   （采购人）    </w:t>
      </w:r>
      <w:r>
        <w:rPr>
          <w:rFonts w:hint="eastAsia" w:asciiTheme="minorEastAsia" w:hAnsiTheme="minorEastAsia" w:eastAsiaTheme="minorEastAsia" w:cstheme="minorEastAsia"/>
          <w:snapToGrid w:val="0"/>
          <w:color w:val="auto"/>
          <w:kern w:val="0"/>
          <w:szCs w:val="21"/>
        </w:rPr>
        <w:t xml:space="preserve">的 </w:t>
      </w:r>
      <w:r>
        <w:rPr>
          <w:rFonts w:hint="eastAsia" w:asciiTheme="minorEastAsia" w:hAnsiTheme="minorEastAsia" w:eastAsiaTheme="minorEastAsia" w:cstheme="minorEastAsia"/>
          <w:snapToGrid w:val="0"/>
          <w:color w:val="auto"/>
          <w:kern w:val="0"/>
          <w:szCs w:val="21"/>
          <w:u w:val="single"/>
        </w:rPr>
        <w:t xml:space="preserve">           </w:t>
      </w:r>
      <w:r>
        <w:rPr>
          <w:rFonts w:hint="eastAsia" w:asciiTheme="minorEastAsia" w:hAnsiTheme="minorEastAsia" w:eastAsiaTheme="minorEastAsia" w:cstheme="minorEastAsia"/>
          <w:snapToGrid w:val="0"/>
          <w:color w:val="auto"/>
          <w:kern w:val="0"/>
          <w:szCs w:val="21"/>
        </w:rPr>
        <w:t>项目的投标活动。授权代表在开标、评标、合同谈判过程中所签署的一切文件和处理与之有关的一切事务，我均予以承认。</w:t>
      </w:r>
    </w:p>
    <w:p>
      <w:pPr>
        <w:adjustRightInd w:val="0"/>
        <w:spacing w:line="480" w:lineRule="auto"/>
        <w:ind w:firstLine="420" w:firstLineChars="2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授权代表无权转委托。特此委托。</w:t>
      </w:r>
    </w:p>
    <w:p>
      <w:pPr>
        <w:spacing w:line="360" w:lineRule="auto"/>
        <w:ind w:right="1800" w:firstLine="3570" w:firstLineChars="17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 xml:space="preserve">  投标人：（盖公章）       </w:t>
      </w:r>
    </w:p>
    <w:p>
      <w:pPr>
        <w:autoSpaceDE w:val="0"/>
        <w:autoSpaceDN w:val="0"/>
        <w:adjustRightInd w:val="0"/>
        <w:spacing w:line="360" w:lineRule="auto"/>
        <w:ind w:right="420"/>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 xml:space="preserve">              法定代表人（签字或盖章） </w:t>
      </w:r>
    </w:p>
    <w:p>
      <w:pPr>
        <w:autoSpaceDE w:val="0"/>
        <w:autoSpaceDN w:val="0"/>
        <w:adjustRightInd w:val="0"/>
        <w:spacing w:line="360" w:lineRule="auto"/>
        <w:ind w:right="420"/>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 xml:space="preserve">            法定代表人身份证号码：</w:t>
      </w:r>
    </w:p>
    <w:p>
      <w:pPr>
        <w:autoSpaceDE w:val="0"/>
        <w:autoSpaceDN w:val="0"/>
        <w:adjustRightInd w:val="0"/>
        <w:spacing w:line="360" w:lineRule="auto"/>
        <w:ind w:right="420"/>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 xml:space="preserve">             授权代表（签字或盖章） </w:t>
      </w:r>
    </w:p>
    <w:p>
      <w:pPr>
        <w:autoSpaceDE w:val="0"/>
        <w:autoSpaceDN w:val="0"/>
        <w:adjustRightInd w:val="0"/>
        <w:spacing w:line="360" w:lineRule="auto"/>
        <w:ind w:right="420"/>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 xml:space="preserve">           授权代表身份证号码：</w:t>
      </w:r>
    </w:p>
    <w:p>
      <w:pPr>
        <w:autoSpaceDE w:val="0"/>
        <w:autoSpaceDN w:val="0"/>
        <w:adjustRightInd w:val="0"/>
        <w:spacing w:line="360" w:lineRule="auto"/>
        <w:ind w:right="420"/>
        <w:rPr>
          <w:rFonts w:hint="eastAsia" w:asciiTheme="minorEastAsia" w:hAnsiTheme="minorEastAsia" w:eastAsiaTheme="minorEastAsia" w:cstheme="minorEastAsia"/>
          <w:snapToGrid w:val="0"/>
          <w:color w:val="auto"/>
          <w:kern w:val="0"/>
          <w:szCs w:val="21"/>
        </w:rPr>
      </w:pPr>
    </w:p>
    <w:p>
      <w:pPr>
        <w:autoSpaceDE w:val="0"/>
        <w:autoSpaceDN w:val="0"/>
        <w:adjustRightInd w:val="0"/>
        <w:spacing w:line="360" w:lineRule="auto"/>
        <w:ind w:right="420"/>
        <w:jc w:val="center"/>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 xml:space="preserve">                                                年    月    日</w:t>
      </w:r>
    </w:p>
    <w:p>
      <w:pPr>
        <w:autoSpaceDE w:val="0"/>
        <w:autoSpaceDN w:val="0"/>
        <w:adjustRightInd w:val="0"/>
        <w:snapToGrid w:val="0"/>
        <w:spacing w:line="360" w:lineRule="auto"/>
        <w:ind w:right="420"/>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snapToGrid w:val="0"/>
          <w:color w:val="auto"/>
          <w:kern w:val="0"/>
          <w:szCs w:val="21"/>
        </w:rPr>
        <w:t>附：法定代表人和授权代表的身份证复印件。（正反面）</w:t>
      </w:r>
    </w:p>
    <w:p>
      <w:pPr>
        <w:autoSpaceDE w:val="0"/>
        <w:autoSpaceDN w:val="0"/>
        <w:adjustRightInd w:val="0"/>
        <w:spacing w:line="360" w:lineRule="auto"/>
        <w:ind w:firstLine="0" w:firstLineChars="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snapToGrid w:val="0"/>
          <w:color w:val="auto"/>
          <w:kern w:val="0"/>
          <w:szCs w:val="21"/>
        </w:rPr>
        <w:br w:type="page"/>
      </w:r>
      <w:r>
        <w:rPr>
          <w:rFonts w:hint="eastAsia" w:asciiTheme="minorEastAsia" w:hAnsiTheme="minorEastAsia" w:eastAsiaTheme="minorEastAsia" w:cstheme="minorEastAsia"/>
          <w:b/>
          <w:color w:val="auto"/>
        </w:rPr>
        <w:t>3.</w:t>
      </w:r>
      <w:r>
        <w:rPr>
          <w:rFonts w:hint="eastAsia" w:asciiTheme="minorEastAsia" w:hAnsiTheme="minorEastAsia" w:eastAsiaTheme="minorEastAsia" w:cstheme="minorEastAsia"/>
          <w:b/>
          <w:color w:val="auto"/>
          <w:lang w:val="en-US" w:eastAsia="zh-CN"/>
        </w:rPr>
        <w:t>4</w:t>
      </w:r>
      <w:r>
        <w:rPr>
          <w:rFonts w:hint="eastAsia" w:asciiTheme="minorEastAsia" w:hAnsiTheme="minorEastAsia" w:eastAsiaTheme="minorEastAsia" w:cstheme="minorEastAsia"/>
          <w:b/>
          <w:color w:val="auto"/>
        </w:rPr>
        <w:t>廉政承诺书</w:t>
      </w:r>
    </w:p>
    <w:p>
      <w:pPr>
        <w:autoSpaceDE w:val="0"/>
        <w:autoSpaceDN w:val="0"/>
        <w:adjustRightInd w:val="0"/>
        <w:spacing w:line="360" w:lineRule="auto"/>
        <w:jc w:val="center"/>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t>廉 政 承 诺 书</w:t>
      </w:r>
    </w:p>
    <w:p>
      <w:pPr>
        <w:autoSpaceDE w:val="0"/>
        <w:autoSpaceDN w:val="0"/>
        <w:adjustRightInd w:val="0"/>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snapToGrid w:val="0"/>
          <w:color w:val="auto"/>
          <w:kern w:val="0"/>
          <w:u w:val="single"/>
        </w:rPr>
        <w:t>浙江省生态环境厅</w:t>
      </w:r>
      <w:r>
        <w:rPr>
          <w:rFonts w:hint="eastAsia" w:asciiTheme="minorEastAsia" w:hAnsiTheme="minorEastAsia" w:eastAsiaTheme="minorEastAsia" w:cstheme="minorEastAsia"/>
          <w:bCs/>
          <w:color w:val="auto"/>
          <w:szCs w:val="21"/>
        </w:rPr>
        <w:t>：</w:t>
      </w:r>
    </w:p>
    <w:p>
      <w:pPr>
        <w:autoSpaceDE w:val="0"/>
        <w:autoSpaceDN w:val="0"/>
        <w:adjustRightInd w:val="0"/>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 xml:space="preserve">    我单位响应你单位项目招标要求参加应标。在这次应标过程中和中标后，我们将严格遵守国家法律法规规定要求，并郑重承诺：</w:t>
      </w:r>
    </w:p>
    <w:p>
      <w:pPr>
        <w:autoSpaceDE w:val="0"/>
        <w:autoSpaceDN w:val="0"/>
        <w:adjustRightInd w:val="0"/>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 xml:space="preserve">    一、不向项目有关人员及部门赠送礼金礼物、有价证券、回扣以及中介费、介绍费、咨询费等好处费；</w:t>
      </w:r>
    </w:p>
    <w:p>
      <w:pPr>
        <w:autoSpaceDE w:val="0"/>
        <w:autoSpaceDN w:val="0"/>
        <w:adjustRightInd w:val="0"/>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 xml:space="preserve">    二、不为项目有关人员及部门报销应由你方单位或个人支付的费用；</w:t>
      </w:r>
    </w:p>
    <w:p>
      <w:pPr>
        <w:autoSpaceDE w:val="0"/>
        <w:autoSpaceDN w:val="0"/>
        <w:adjustRightInd w:val="0"/>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 xml:space="preserve">    三、不向项目有关人员及部门提供有可能影响公正执行公务的宴请和健身娱乐等活动；</w:t>
      </w:r>
    </w:p>
    <w:p>
      <w:pPr>
        <w:autoSpaceDE w:val="0"/>
        <w:autoSpaceDN w:val="0"/>
        <w:adjustRightInd w:val="0"/>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 xml:space="preserve">    四、不为项目有关人员及部门出国（境）、旅游等提供方便；</w:t>
      </w:r>
    </w:p>
    <w:p>
      <w:pPr>
        <w:autoSpaceDE w:val="0"/>
        <w:autoSpaceDN w:val="0"/>
        <w:adjustRightInd w:val="0"/>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 xml:space="preserve">    五、不为项目有关人员个人装修住房、婚丧嫁娶、配偶子女工作安排等提供好处； </w:t>
      </w:r>
    </w:p>
    <w:p>
      <w:pPr>
        <w:autoSpaceDE w:val="0"/>
        <w:autoSpaceDN w:val="0"/>
        <w:adjustRightInd w:val="0"/>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 xml:space="preserve">    六、严格遵守政府采购法、合同法等法律，诚实守信，合法经营，坚决抵制各种违法违纪行为。</w:t>
      </w:r>
    </w:p>
    <w:p>
      <w:pPr>
        <w:autoSpaceDE w:val="0"/>
        <w:autoSpaceDN w:val="0"/>
        <w:adjustRightInd w:val="0"/>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 xml:space="preserve">    如违反上述承诺，你单位有权立即取消我单位应标、中标或在建项目的资格，有权拒绝我单位在一定时期内进入你单位进行工程建设或其他经营活动，并通报</w:t>
      </w:r>
      <w:r>
        <w:rPr>
          <w:rFonts w:hint="eastAsia" w:asciiTheme="minorEastAsia" w:hAnsiTheme="minorEastAsia" w:eastAsiaTheme="minorEastAsia" w:cstheme="minorEastAsia"/>
          <w:bCs/>
          <w:color w:val="auto"/>
          <w:szCs w:val="21"/>
          <w:lang w:val="en-US" w:eastAsia="zh-CN"/>
        </w:rPr>
        <w:t>监管部门</w:t>
      </w:r>
      <w:r>
        <w:rPr>
          <w:rFonts w:hint="eastAsia" w:asciiTheme="minorEastAsia" w:hAnsiTheme="minorEastAsia" w:eastAsiaTheme="minorEastAsia" w:cstheme="minorEastAsia"/>
          <w:bCs/>
          <w:color w:val="auto"/>
          <w:szCs w:val="21"/>
        </w:rPr>
        <w:t>。由此引起的相应损失均由我单位承担。</w:t>
      </w:r>
    </w:p>
    <w:p>
      <w:pPr>
        <w:autoSpaceDE w:val="0"/>
        <w:autoSpaceDN w:val="0"/>
        <w:adjustRightInd w:val="0"/>
        <w:spacing w:line="360" w:lineRule="auto"/>
        <w:rPr>
          <w:rFonts w:hint="eastAsia" w:asciiTheme="minorEastAsia" w:hAnsiTheme="minorEastAsia" w:eastAsiaTheme="minorEastAsia" w:cstheme="minorEastAsia"/>
          <w:bCs/>
          <w:color w:val="auto"/>
          <w:szCs w:val="21"/>
        </w:rPr>
      </w:pPr>
    </w:p>
    <w:p>
      <w:pPr>
        <w:autoSpaceDE w:val="0"/>
        <w:autoSpaceDN w:val="0"/>
        <w:adjustRightInd w:val="0"/>
        <w:spacing w:line="360" w:lineRule="auto"/>
        <w:rPr>
          <w:rFonts w:hint="eastAsia" w:asciiTheme="minorEastAsia" w:hAnsiTheme="minorEastAsia" w:eastAsiaTheme="minorEastAsia" w:cstheme="minorEastAsia"/>
          <w:bCs/>
          <w:color w:val="auto"/>
          <w:szCs w:val="21"/>
        </w:rPr>
      </w:pPr>
    </w:p>
    <w:p>
      <w:pPr>
        <w:autoSpaceDE w:val="0"/>
        <w:autoSpaceDN w:val="0"/>
        <w:adjustRightInd w:val="0"/>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 xml:space="preserve">投标人（盖公章）：                </w:t>
      </w:r>
    </w:p>
    <w:p>
      <w:pPr>
        <w:autoSpaceDE w:val="0"/>
        <w:autoSpaceDN w:val="0"/>
        <w:adjustRightInd w:val="0"/>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 xml:space="preserve">法定代表人（签字或盖章）：                             </w:t>
      </w:r>
    </w:p>
    <w:p>
      <w:pPr>
        <w:autoSpaceDE w:val="0"/>
        <w:autoSpaceDN w:val="0"/>
        <w:adjustRightInd w:val="0"/>
        <w:spacing w:line="360" w:lineRule="auto"/>
        <w:rPr>
          <w:rFonts w:hint="eastAsia" w:asciiTheme="minorEastAsia" w:hAnsiTheme="minorEastAsia" w:eastAsiaTheme="minorEastAsia" w:cstheme="minorEastAsia"/>
          <w:bCs/>
          <w:color w:val="auto"/>
          <w:szCs w:val="21"/>
        </w:rPr>
      </w:pPr>
    </w:p>
    <w:p>
      <w:pPr>
        <w:autoSpaceDE w:val="0"/>
        <w:autoSpaceDN w:val="0"/>
        <w:adjustRightInd w:val="0"/>
        <w:spacing w:line="360" w:lineRule="auto"/>
        <w:rPr>
          <w:rFonts w:hint="eastAsia" w:asciiTheme="minorEastAsia" w:hAnsiTheme="minorEastAsia" w:eastAsiaTheme="minorEastAsia" w:cstheme="minorEastAsia"/>
          <w:bCs/>
          <w:color w:val="auto"/>
          <w:szCs w:val="21"/>
        </w:rPr>
      </w:pPr>
    </w:p>
    <w:p>
      <w:pPr>
        <w:autoSpaceDE w:val="0"/>
        <w:autoSpaceDN w:val="0"/>
        <w:adjustRightInd w:val="0"/>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pacing w:val="20"/>
        </w:rPr>
        <w:t xml:space="preserve">  </w:t>
      </w:r>
      <w:r>
        <w:rPr>
          <w:rFonts w:hint="eastAsia" w:asciiTheme="minorEastAsia" w:hAnsiTheme="minorEastAsia" w:eastAsiaTheme="minorEastAsia" w:cstheme="minorEastAsia"/>
          <w:color w:val="auto"/>
        </w:rPr>
        <w:t>年  月  日</w:t>
      </w:r>
    </w:p>
    <w:p>
      <w:pPr>
        <w:autoSpaceDE w:val="0"/>
        <w:autoSpaceDN w:val="0"/>
        <w:adjustRightInd w:val="0"/>
        <w:spacing w:line="360" w:lineRule="auto"/>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color w:val="auto"/>
          <w:sz w:val="24"/>
        </w:rPr>
        <w:br w:type="page"/>
      </w:r>
      <w:r>
        <w:rPr>
          <w:rFonts w:hint="eastAsia" w:asciiTheme="minorEastAsia" w:hAnsiTheme="minorEastAsia" w:eastAsiaTheme="minorEastAsia" w:cstheme="minorEastAsia"/>
          <w:b/>
          <w:bCs/>
          <w:color w:val="auto"/>
          <w:szCs w:val="21"/>
        </w:rPr>
        <w:t>3.</w:t>
      </w:r>
      <w:r>
        <w:rPr>
          <w:rFonts w:hint="eastAsia" w:asciiTheme="minorEastAsia" w:hAnsiTheme="minorEastAsia" w:eastAsiaTheme="minorEastAsia" w:cstheme="minorEastAsia"/>
          <w:b/>
          <w:bCs/>
          <w:color w:val="auto"/>
          <w:szCs w:val="21"/>
          <w:lang w:val="en-US" w:eastAsia="zh-CN"/>
        </w:rPr>
        <w:t>5</w:t>
      </w:r>
      <w:r>
        <w:rPr>
          <w:rFonts w:hint="eastAsia" w:asciiTheme="minorEastAsia" w:hAnsiTheme="minorEastAsia" w:eastAsiaTheme="minorEastAsia" w:cstheme="minorEastAsia"/>
          <w:b/>
          <w:bCs/>
          <w:color w:val="auto"/>
          <w:szCs w:val="21"/>
        </w:rPr>
        <w:t>类似业绩</w:t>
      </w:r>
    </w:p>
    <w:p>
      <w:pPr>
        <w:snapToGrid w:val="0"/>
        <w:spacing w:line="360" w:lineRule="auto"/>
        <w:jc w:val="center"/>
        <w:rPr>
          <w:rFonts w:hint="eastAsia" w:asciiTheme="minorEastAsia" w:hAnsiTheme="minorEastAsia" w:eastAsiaTheme="minorEastAsia" w:cstheme="minorEastAsia"/>
          <w:b/>
          <w:snapToGrid w:val="0"/>
          <w:color w:val="auto"/>
          <w:kern w:val="0"/>
          <w:sz w:val="24"/>
        </w:rPr>
      </w:pPr>
      <w:r>
        <w:rPr>
          <w:rFonts w:hint="eastAsia" w:asciiTheme="minorEastAsia" w:hAnsiTheme="minorEastAsia" w:eastAsiaTheme="minorEastAsia" w:cstheme="minorEastAsia"/>
          <w:b/>
          <w:snapToGrid w:val="0"/>
          <w:color w:val="auto"/>
          <w:kern w:val="0"/>
          <w:sz w:val="24"/>
        </w:rPr>
        <w:t>投标人曾承担过的类似项目业绩一览表</w:t>
      </w:r>
    </w:p>
    <w:tbl>
      <w:tblPr>
        <w:tblStyle w:val="48"/>
        <w:tblW w:w="8955"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3"/>
        <w:gridCol w:w="2399"/>
        <w:gridCol w:w="2213"/>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2" w:hRule="atLeast"/>
        </w:trPr>
        <w:tc>
          <w:tcPr>
            <w:tcW w:w="74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textAlignment w:val="bottom"/>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30"/>
              </w:rPr>
              <w:t>序号</w:t>
            </w:r>
          </w:p>
        </w:tc>
        <w:tc>
          <w:tcPr>
            <w:tcW w:w="23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textAlignment w:val="bottom"/>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30"/>
              </w:rPr>
              <w:t>项目名称</w:t>
            </w:r>
          </w:p>
        </w:tc>
        <w:tc>
          <w:tcPr>
            <w:tcW w:w="221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textAlignment w:val="bottom"/>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30"/>
              </w:rPr>
              <w:t>业主单位</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textAlignment w:val="bottom"/>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联系方式</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pacing w:val="30"/>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Theme="minorEastAsia" w:hAnsiTheme="minorEastAsia" w:eastAsiaTheme="minorEastAsia" w:cstheme="minorEastAsia"/>
                <w:color w:val="auto"/>
                <w:szCs w:val="21"/>
              </w:rPr>
            </w:pPr>
          </w:p>
        </w:tc>
        <w:tc>
          <w:tcPr>
            <w:tcW w:w="239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Theme="minorEastAsia" w:hAnsiTheme="minorEastAsia" w:eastAsiaTheme="minorEastAsia" w:cstheme="minorEastAsia"/>
                <w:color w:val="auto"/>
                <w:szCs w:val="21"/>
              </w:rPr>
            </w:pPr>
          </w:p>
        </w:tc>
        <w:tc>
          <w:tcPr>
            <w:tcW w:w="221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Theme="minorEastAsia" w:hAnsiTheme="minorEastAsia" w:eastAsiaTheme="minorEastAsia" w:cstheme="minorEastAsia"/>
                <w:color w:val="auto"/>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Theme="minorEastAsia" w:hAnsiTheme="minorEastAsia" w:eastAsiaTheme="minorEastAsia" w:cstheme="minorEastAsia"/>
                <w:color w:val="auto"/>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Theme="minorEastAsia" w:hAnsiTheme="minorEastAsia" w:eastAsiaTheme="minorEastAsia" w:cstheme="minorEastAsia"/>
                <w:color w:val="auto"/>
                <w:szCs w:val="21"/>
              </w:rPr>
            </w:pPr>
          </w:p>
        </w:tc>
        <w:tc>
          <w:tcPr>
            <w:tcW w:w="239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Theme="minorEastAsia" w:hAnsiTheme="minorEastAsia" w:eastAsiaTheme="minorEastAsia" w:cstheme="minorEastAsia"/>
                <w:color w:val="auto"/>
                <w:szCs w:val="21"/>
              </w:rPr>
            </w:pPr>
          </w:p>
        </w:tc>
        <w:tc>
          <w:tcPr>
            <w:tcW w:w="221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Theme="minorEastAsia" w:hAnsiTheme="minorEastAsia" w:eastAsiaTheme="minorEastAsia" w:cstheme="minorEastAsia"/>
                <w:color w:val="auto"/>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Theme="minorEastAsia" w:hAnsiTheme="minorEastAsia" w:eastAsiaTheme="minorEastAsia" w:cstheme="minorEastAsia"/>
                <w:color w:val="auto"/>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Theme="minorEastAsia" w:hAnsiTheme="minorEastAsia" w:eastAsiaTheme="minorEastAsia" w:cstheme="minorEastAsia"/>
                <w:color w:val="auto"/>
                <w:szCs w:val="21"/>
              </w:rPr>
            </w:pPr>
          </w:p>
        </w:tc>
        <w:tc>
          <w:tcPr>
            <w:tcW w:w="239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Theme="minorEastAsia" w:hAnsiTheme="minorEastAsia" w:eastAsiaTheme="minorEastAsia" w:cstheme="minorEastAsia"/>
                <w:color w:val="auto"/>
                <w:szCs w:val="21"/>
              </w:rPr>
            </w:pPr>
          </w:p>
        </w:tc>
        <w:tc>
          <w:tcPr>
            <w:tcW w:w="2213" w:type="dxa"/>
            <w:tcBorders>
              <w:top w:val="single" w:color="auto" w:sz="4" w:space="0"/>
              <w:left w:val="single" w:color="auto" w:sz="4" w:space="0"/>
              <w:bottom w:val="single" w:color="auto" w:sz="4" w:space="0"/>
              <w:right w:val="single" w:color="auto" w:sz="4" w:space="0"/>
            </w:tcBorders>
            <w:noWrap w:val="0"/>
            <w:vAlign w:val="top"/>
          </w:tcPr>
          <w:p>
            <w:pPr>
              <w:pStyle w:val="27"/>
              <w:snapToGrid w:val="0"/>
              <w:spacing w:before="120" w:beforeLines="50" w:after="50" w:line="460" w:lineRule="exact"/>
              <w:ind w:left="5250"/>
              <w:rPr>
                <w:rFonts w:hint="eastAsia" w:asciiTheme="minorEastAsia" w:hAnsiTheme="minorEastAsia" w:eastAsiaTheme="minorEastAsia" w:cstheme="minorEastAsia"/>
                <w:color w:val="auto"/>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Theme="minorEastAsia" w:hAnsiTheme="minorEastAsia" w:eastAsiaTheme="minorEastAsia" w:cstheme="minorEastAsia"/>
                <w:color w:val="auto"/>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Theme="minorEastAsia" w:hAnsiTheme="minorEastAsia" w:eastAsiaTheme="minorEastAsia" w:cstheme="minorEastAsia"/>
                <w:color w:val="auto"/>
                <w:szCs w:val="21"/>
              </w:rPr>
            </w:pPr>
          </w:p>
        </w:tc>
        <w:tc>
          <w:tcPr>
            <w:tcW w:w="239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Theme="minorEastAsia" w:hAnsiTheme="minorEastAsia" w:eastAsiaTheme="minorEastAsia" w:cstheme="minorEastAsia"/>
                <w:color w:val="auto"/>
                <w:szCs w:val="21"/>
              </w:rPr>
            </w:pPr>
          </w:p>
        </w:tc>
        <w:tc>
          <w:tcPr>
            <w:tcW w:w="221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Theme="minorEastAsia" w:hAnsiTheme="minorEastAsia" w:eastAsiaTheme="minorEastAsia" w:cstheme="minorEastAsia"/>
                <w:color w:val="auto"/>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Theme="minorEastAsia" w:hAnsiTheme="minorEastAsia" w:eastAsiaTheme="minorEastAsia" w:cstheme="minorEastAsia"/>
                <w:color w:val="auto"/>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Theme="minorEastAsia" w:hAnsiTheme="minorEastAsia" w:eastAsiaTheme="minorEastAsia" w:cstheme="minorEastAsia"/>
                <w:color w:val="auto"/>
                <w:szCs w:val="21"/>
              </w:rPr>
            </w:pPr>
          </w:p>
        </w:tc>
        <w:tc>
          <w:tcPr>
            <w:tcW w:w="239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Theme="minorEastAsia" w:hAnsiTheme="minorEastAsia" w:eastAsiaTheme="minorEastAsia" w:cstheme="minorEastAsia"/>
                <w:color w:val="auto"/>
                <w:szCs w:val="21"/>
              </w:rPr>
            </w:pPr>
          </w:p>
        </w:tc>
        <w:tc>
          <w:tcPr>
            <w:tcW w:w="221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Theme="minorEastAsia" w:hAnsiTheme="minorEastAsia" w:eastAsiaTheme="minorEastAsia" w:cstheme="minorEastAsia"/>
                <w:color w:val="auto"/>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Theme="minorEastAsia" w:hAnsiTheme="minorEastAsia" w:eastAsiaTheme="minorEastAsia" w:cstheme="minorEastAsia"/>
                <w:color w:val="auto"/>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Theme="minorEastAsia" w:hAnsiTheme="minorEastAsia" w:eastAsiaTheme="minorEastAsia" w:cstheme="minorEastAsia"/>
                <w:color w:val="auto"/>
                <w:szCs w:val="21"/>
              </w:rPr>
            </w:pPr>
          </w:p>
        </w:tc>
        <w:tc>
          <w:tcPr>
            <w:tcW w:w="239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Theme="minorEastAsia" w:hAnsiTheme="minorEastAsia" w:eastAsiaTheme="minorEastAsia" w:cstheme="minorEastAsia"/>
                <w:color w:val="auto"/>
                <w:szCs w:val="21"/>
              </w:rPr>
            </w:pPr>
          </w:p>
        </w:tc>
        <w:tc>
          <w:tcPr>
            <w:tcW w:w="221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Theme="minorEastAsia" w:hAnsiTheme="minorEastAsia" w:eastAsiaTheme="minorEastAsia" w:cstheme="minorEastAsia"/>
                <w:color w:val="auto"/>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Theme="minorEastAsia" w:hAnsiTheme="minorEastAsia" w:eastAsiaTheme="minorEastAsia" w:cstheme="minorEastAsia"/>
                <w:color w:val="auto"/>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Theme="minorEastAsia" w:hAnsiTheme="minorEastAsia" w:eastAsiaTheme="minorEastAsia" w:cstheme="minorEastAsia"/>
                <w:color w:val="auto"/>
                <w:szCs w:val="21"/>
              </w:rPr>
            </w:pPr>
          </w:p>
        </w:tc>
        <w:tc>
          <w:tcPr>
            <w:tcW w:w="239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Theme="minorEastAsia" w:hAnsiTheme="minorEastAsia" w:eastAsiaTheme="minorEastAsia" w:cstheme="minorEastAsia"/>
                <w:color w:val="auto"/>
                <w:szCs w:val="21"/>
              </w:rPr>
            </w:pPr>
          </w:p>
        </w:tc>
        <w:tc>
          <w:tcPr>
            <w:tcW w:w="221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Theme="minorEastAsia" w:hAnsiTheme="minorEastAsia" w:eastAsiaTheme="minorEastAsia" w:cstheme="minorEastAsia"/>
                <w:color w:val="auto"/>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Theme="minorEastAsia" w:hAnsiTheme="minorEastAsia" w:eastAsiaTheme="minorEastAsia" w:cstheme="minorEastAsia"/>
                <w:color w:val="auto"/>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Theme="minorEastAsia" w:hAnsiTheme="minorEastAsia" w:eastAsiaTheme="minorEastAsia" w:cstheme="minorEastAsia"/>
                <w:color w:val="auto"/>
                <w:szCs w:val="21"/>
              </w:rPr>
            </w:pPr>
          </w:p>
        </w:tc>
        <w:tc>
          <w:tcPr>
            <w:tcW w:w="239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Theme="minorEastAsia" w:hAnsiTheme="minorEastAsia" w:eastAsiaTheme="minorEastAsia" w:cstheme="minorEastAsia"/>
                <w:color w:val="auto"/>
                <w:szCs w:val="21"/>
              </w:rPr>
            </w:pPr>
          </w:p>
        </w:tc>
        <w:tc>
          <w:tcPr>
            <w:tcW w:w="221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Theme="minorEastAsia" w:hAnsiTheme="minorEastAsia" w:eastAsiaTheme="minorEastAsia" w:cstheme="minorEastAsia"/>
                <w:color w:val="auto"/>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Theme="minorEastAsia" w:hAnsiTheme="minorEastAsia" w:eastAsiaTheme="minorEastAsia" w:cstheme="minorEastAsia"/>
                <w:color w:val="auto"/>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Theme="minorEastAsia" w:hAnsiTheme="minorEastAsia" w:eastAsiaTheme="minorEastAsia" w:cstheme="minorEastAsia"/>
                <w:color w:val="auto"/>
                <w:szCs w:val="21"/>
              </w:rPr>
            </w:pPr>
          </w:p>
        </w:tc>
        <w:tc>
          <w:tcPr>
            <w:tcW w:w="239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Theme="minorEastAsia" w:hAnsiTheme="minorEastAsia" w:eastAsiaTheme="minorEastAsia" w:cstheme="minorEastAsia"/>
                <w:color w:val="auto"/>
                <w:szCs w:val="21"/>
              </w:rPr>
            </w:pPr>
          </w:p>
        </w:tc>
        <w:tc>
          <w:tcPr>
            <w:tcW w:w="221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Theme="minorEastAsia" w:hAnsiTheme="minorEastAsia" w:eastAsiaTheme="minorEastAsia" w:cstheme="minorEastAsia"/>
                <w:color w:val="auto"/>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Theme="minorEastAsia" w:hAnsiTheme="minorEastAsia" w:eastAsiaTheme="minorEastAsia" w:cstheme="minorEastAsia"/>
                <w:color w:val="auto"/>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Theme="minorEastAsia" w:hAnsiTheme="minorEastAsia" w:eastAsiaTheme="minorEastAsia" w:cstheme="minorEastAsia"/>
                <w:color w:val="auto"/>
                <w:szCs w:val="21"/>
              </w:rPr>
            </w:pPr>
          </w:p>
        </w:tc>
      </w:tr>
    </w:tbl>
    <w:p>
      <w:pPr>
        <w:tabs>
          <w:tab w:val="left" w:pos="744"/>
        </w:tabs>
        <w:spacing w:line="400" w:lineRule="exact"/>
        <w:ind w:firstLine="308" w:firstLineChars="147"/>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注：1.表中所列业绩如与评分有关的，出具的证明材料需满足评审依据，否则不予得分。</w:t>
      </w:r>
    </w:p>
    <w:p>
      <w:pPr>
        <w:tabs>
          <w:tab w:val="left" w:pos="744"/>
        </w:tabs>
        <w:spacing w:line="400" w:lineRule="exact"/>
        <w:ind w:firstLine="308" w:firstLineChars="147"/>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   </w:t>
      </w: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adjustRightInd w:val="0"/>
        <w:snapToGrid w:val="0"/>
        <w:spacing w:line="360" w:lineRule="auto"/>
        <w:ind w:firstLine="4158" w:firstLineChars="198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投标人(盖公章)</w:t>
      </w:r>
    </w:p>
    <w:p>
      <w:pPr>
        <w:adjustRightInd w:val="0"/>
        <w:snapToGrid w:val="0"/>
        <w:spacing w:line="360" w:lineRule="auto"/>
        <w:ind w:firstLine="4158" w:firstLineChars="198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法定代表人或授权代表(签字或盖章)</w:t>
      </w:r>
    </w:p>
    <w:p>
      <w:pPr>
        <w:adjustRightInd w:val="0"/>
        <w:snapToGrid w:val="0"/>
        <w:spacing w:line="360" w:lineRule="auto"/>
        <w:ind w:firstLine="4158" w:firstLineChars="198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日期：</w:t>
      </w:r>
    </w:p>
    <w:p>
      <w:pPr>
        <w:autoSpaceDE w:val="0"/>
        <w:autoSpaceDN w:val="0"/>
        <w:adjustRightInd w:val="0"/>
        <w:spacing w:line="360" w:lineRule="auto"/>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snapToGrid w:val="0"/>
          <w:color w:val="auto"/>
          <w:kern w:val="0"/>
          <w:szCs w:val="21"/>
        </w:rPr>
        <w:br w:type="page"/>
      </w:r>
      <w:r>
        <w:rPr>
          <w:rFonts w:hint="eastAsia" w:asciiTheme="minorEastAsia" w:hAnsiTheme="minorEastAsia" w:eastAsiaTheme="minorEastAsia" w:cstheme="minorEastAsia"/>
          <w:b/>
          <w:bCs/>
          <w:color w:val="auto"/>
          <w:szCs w:val="21"/>
        </w:rPr>
        <w:t>3.</w:t>
      </w:r>
      <w:r>
        <w:rPr>
          <w:rFonts w:hint="eastAsia" w:asciiTheme="minorEastAsia" w:hAnsiTheme="minorEastAsia" w:eastAsiaTheme="minorEastAsia" w:cstheme="minorEastAsia"/>
          <w:b/>
          <w:bCs/>
          <w:color w:val="auto"/>
          <w:szCs w:val="21"/>
          <w:lang w:val="en-US" w:eastAsia="zh-CN"/>
        </w:rPr>
        <w:t>6</w:t>
      </w:r>
      <w:r>
        <w:rPr>
          <w:rFonts w:hint="eastAsia" w:asciiTheme="minorEastAsia" w:hAnsiTheme="minorEastAsia" w:eastAsiaTheme="minorEastAsia" w:cstheme="minorEastAsia"/>
          <w:b/>
          <w:bCs/>
          <w:color w:val="auto"/>
          <w:szCs w:val="21"/>
        </w:rPr>
        <w:t>合同/商务条款偏离表</w:t>
      </w:r>
    </w:p>
    <w:p>
      <w:pPr>
        <w:spacing w:line="360" w:lineRule="atLeast"/>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合同/商务条款偏离表</w:t>
      </w:r>
    </w:p>
    <w:p>
      <w:pPr>
        <w:spacing w:line="360" w:lineRule="atLeast"/>
        <w:jc w:val="center"/>
        <w:rPr>
          <w:rFonts w:hint="eastAsia" w:asciiTheme="minorEastAsia" w:hAnsiTheme="minorEastAsia" w:eastAsiaTheme="minorEastAsia" w:cstheme="minorEastAsia"/>
          <w:color w:val="auto"/>
        </w:rPr>
      </w:pPr>
    </w:p>
    <w:tbl>
      <w:tblPr>
        <w:tblStyle w:val="48"/>
        <w:tblW w:w="86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60"/>
        <w:gridCol w:w="1785"/>
        <w:gridCol w:w="1785"/>
        <w:gridCol w:w="1785"/>
        <w:gridCol w:w="1785"/>
        <w:gridCol w:w="8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74" w:hRule="atLeast"/>
          <w:jc w:val="center"/>
        </w:trPr>
        <w:tc>
          <w:tcPr>
            <w:tcW w:w="660"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3570"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采购文件要求</w:t>
            </w:r>
          </w:p>
        </w:tc>
        <w:tc>
          <w:tcPr>
            <w:tcW w:w="3570"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投标文件响应</w:t>
            </w:r>
          </w:p>
        </w:tc>
        <w:tc>
          <w:tcPr>
            <w:tcW w:w="840"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60" w:type="dxa"/>
            <w:vMerge w:val="continue"/>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Theme="minorEastAsia" w:hAnsiTheme="minorEastAsia" w:eastAsiaTheme="minorEastAsia" w:cstheme="minorEastAsia"/>
                <w:color w:val="auto"/>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章节、条款号</w:t>
            </w: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条款内容描述</w:t>
            </w: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章节、条款号</w:t>
            </w: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条款内容描述</w:t>
            </w:r>
          </w:p>
        </w:tc>
        <w:tc>
          <w:tcPr>
            <w:tcW w:w="840" w:type="dxa"/>
            <w:vMerge w:val="continue"/>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Theme="minorEastAsia" w:hAnsiTheme="minorEastAsia" w:eastAsiaTheme="minorEastAsia" w:cstheme="minorEastAsia"/>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Theme="minorEastAsia" w:hAnsiTheme="minorEastAsia" w:eastAsiaTheme="minorEastAsia" w:cstheme="minorEastAsia"/>
                <w:color w:val="auto"/>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Theme="minorEastAsia" w:hAnsiTheme="minorEastAsia" w:eastAsiaTheme="minorEastAsia" w:cstheme="minorEastAsia"/>
                <w:color w:val="auto"/>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Theme="minorEastAsia" w:hAnsiTheme="minorEastAsia" w:eastAsiaTheme="minorEastAsia" w:cstheme="minorEastAsia"/>
                <w:color w:val="auto"/>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Theme="minorEastAsia" w:hAnsiTheme="minorEastAsia" w:eastAsiaTheme="minorEastAsia" w:cstheme="minorEastAsia"/>
                <w:color w:val="auto"/>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Theme="minorEastAsia" w:hAnsiTheme="minorEastAsia" w:eastAsiaTheme="minorEastAsia" w:cstheme="minorEastAsia"/>
                <w:color w:val="auto"/>
                <w:szCs w:val="21"/>
              </w:rPr>
            </w:pPr>
          </w:p>
        </w:tc>
        <w:tc>
          <w:tcPr>
            <w:tcW w:w="84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Theme="minorEastAsia" w:hAnsiTheme="minorEastAsia" w:eastAsiaTheme="minorEastAsia" w:cstheme="minorEastAsia"/>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Theme="minorEastAsia" w:hAnsiTheme="minorEastAsia" w:eastAsiaTheme="minorEastAsia" w:cstheme="minorEastAsia"/>
                <w:color w:val="auto"/>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Theme="minorEastAsia" w:hAnsiTheme="minorEastAsia" w:eastAsiaTheme="minorEastAsia" w:cstheme="minorEastAsia"/>
                <w:color w:val="auto"/>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Theme="minorEastAsia" w:hAnsiTheme="minorEastAsia" w:eastAsiaTheme="minorEastAsia" w:cstheme="minorEastAsia"/>
                <w:color w:val="auto"/>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Theme="minorEastAsia" w:hAnsiTheme="minorEastAsia" w:eastAsiaTheme="minorEastAsia" w:cstheme="minorEastAsia"/>
                <w:color w:val="auto"/>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Theme="minorEastAsia" w:hAnsiTheme="minorEastAsia" w:eastAsiaTheme="minorEastAsia" w:cstheme="minorEastAsia"/>
                <w:color w:val="auto"/>
                <w:szCs w:val="21"/>
              </w:rPr>
            </w:pPr>
          </w:p>
        </w:tc>
        <w:tc>
          <w:tcPr>
            <w:tcW w:w="84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Theme="minorEastAsia" w:hAnsiTheme="minorEastAsia" w:eastAsiaTheme="minorEastAsia" w:cstheme="minorEastAsia"/>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Theme="minorEastAsia" w:hAnsiTheme="minorEastAsia" w:eastAsiaTheme="minorEastAsia" w:cstheme="minorEastAsia"/>
                <w:color w:val="auto"/>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Theme="minorEastAsia" w:hAnsiTheme="minorEastAsia" w:eastAsiaTheme="minorEastAsia" w:cstheme="minorEastAsia"/>
                <w:color w:val="auto"/>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Theme="minorEastAsia" w:hAnsiTheme="minorEastAsia" w:eastAsiaTheme="minorEastAsia" w:cstheme="minorEastAsia"/>
                <w:color w:val="auto"/>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Theme="minorEastAsia" w:hAnsiTheme="minorEastAsia" w:eastAsiaTheme="minorEastAsia" w:cstheme="minorEastAsia"/>
                <w:color w:val="auto"/>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Theme="minorEastAsia" w:hAnsiTheme="minorEastAsia" w:eastAsiaTheme="minorEastAsia" w:cstheme="minorEastAsia"/>
                <w:color w:val="auto"/>
                <w:szCs w:val="21"/>
              </w:rPr>
            </w:pPr>
          </w:p>
        </w:tc>
        <w:tc>
          <w:tcPr>
            <w:tcW w:w="84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Theme="minorEastAsia" w:hAnsiTheme="minorEastAsia" w:eastAsiaTheme="minorEastAsia" w:cstheme="minorEastAsia"/>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Theme="minorEastAsia" w:hAnsiTheme="minorEastAsia" w:eastAsiaTheme="minorEastAsia" w:cstheme="minorEastAsia"/>
                <w:color w:val="auto"/>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Theme="minorEastAsia" w:hAnsiTheme="minorEastAsia" w:eastAsiaTheme="minorEastAsia" w:cstheme="minorEastAsia"/>
                <w:color w:val="auto"/>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Theme="minorEastAsia" w:hAnsiTheme="minorEastAsia" w:eastAsiaTheme="minorEastAsia" w:cstheme="minorEastAsia"/>
                <w:color w:val="auto"/>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Theme="minorEastAsia" w:hAnsiTheme="minorEastAsia" w:eastAsiaTheme="minorEastAsia" w:cstheme="minorEastAsia"/>
                <w:color w:val="auto"/>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Theme="minorEastAsia" w:hAnsiTheme="minorEastAsia" w:eastAsiaTheme="minorEastAsia" w:cstheme="minorEastAsia"/>
                <w:color w:val="auto"/>
                <w:szCs w:val="21"/>
              </w:rPr>
            </w:pPr>
          </w:p>
        </w:tc>
        <w:tc>
          <w:tcPr>
            <w:tcW w:w="84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Theme="minorEastAsia" w:hAnsiTheme="minorEastAsia" w:eastAsiaTheme="minorEastAsia" w:cstheme="minorEastAsia"/>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Theme="minorEastAsia" w:hAnsiTheme="minorEastAsia" w:eastAsiaTheme="minorEastAsia" w:cstheme="minorEastAsia"/>
                <w:color w:val="auto"/>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Theme="minorEastAsia" w:hAnsiTheme="minorEastAsia" w:eastAsiaTheme="minorEastAsia" w:cstheme="minorEastAsia"/>
                <w:color w:val="auto"/>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Theme="minorEastAsia" w:hAnsiTheme="minorEastAsia" w:eastAsiaTheme="minorEastAsia" w:cstheme="minorEastAsia"/>
                <w:color w:val="auto"/>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Theme="minorEastAsia" w:hAnsiTheme="minorEastAsia" w:eastAsiaTheme="minorEastAsia" w:cstheme="minorEastAsia"/>
                <w:color w:val="auto"/>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Theme="minorEastAsia" w:hAnsiTheme="minorEastAsia" w:eastAsiaTheme="minorEastAsia" w:cstheme="minorEastAsia"/>
                <w:color w:val="auto"/>
                <w:szCs w:val="21"/>
              </w:rPr>
            </w:pPr>
          </w:p>
        </w:tc>
        <w:tc>
          <w:tcPr>
            <w:tcW w:w="84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Theme="minorEastAsia" w:hAnsiTheme="minorEastAsia" w:eastAsiaTheme="minorEastAsia" w:cstheme="minorEastAsia"/>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Theme="minorEastAsia" w:hAnsiTheme="minorEastAsia" w:eastAsiaTheme="minorEastAsia" w:cstheme="minorEastAsia"/>
                <w:color w:val="auto"/>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Theme="minorEastAsia" w:hAnsiTheme="minorEastAsia" w:eastAsiaTheme="minorEastAsia" w:cstheme="minorEastAsia"/>
                <w:color w:val="auto"/>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Theme="minorEastAsia" w:hAnsiTheme="minorEastAsia" w:eastAsiaTheme="minorEastAsia" w:cstheme="minorEastAsia"/>
                <w:color w:val="auto"/>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Theme="minorEastAsia" w:hAnsiTheme="minorEastAsia" w:eastAsiaTheme="minorEastAsia" w:cstheme="minorEastAsia"/>
                <w:color w:val="auto"/>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Theme="minorEastAsia" w:hAnsiTheme="minorEastAsia" w:eastAsiaTheme="minorEastAsia" w:cstheme="minorEastAsia"/>
                <w:color w:val="auto"/>
                <w:szCs w:val="21"/>
              </w:rPr>
            </w:pPr>
          </w:p>
        </w:tc>
        <w:tc>
          <w:tcPr>
            <w:tcW w:w="84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Theme="minorEastAsia" w:hAnsiTheme="minorEastAsia" w:eastAsiaTheme="minorEastAsia" w:cstheme="minorEastAsia"/>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Theme="minorEastAsia" w:hAnsiTheme="minorEastAsia" w:eastAsiaTheme="minorEastAsia" w:cstheme="minorEastAsia"/>
                <w:color w:val="auto"/>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Theme="minorEastAsia" w:hAnsiTheme="minorEastAsia" w:eastAsiaTheme="minorEastAsia" w:cstheme="minorEastAsia"/>
                <w:color w:val="auto"/>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Theme="minorEastAsia" w:hAnsiTheme="minorEastAsia" w:eastAsiaTheme="minorEastAsia" w:cstheme="minorEastAsia"/>
                <w:color w:val="auto"/>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Theme="minorEastAsia" w:hAnsiTheme="minorEastAsia" w:eastAsiaTheme="minorEastAsia" w:cstheme="minorEastAsia"/>
                <w:color w:val="auto"/>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Theme="minorEastAsia" w:hAnsiTheme="minorEastAsia" w:eastAsiaTheme="minorEastAsia" w:cstheme="minorEastAsia"/>
                <w:color w:val="auto"/>
                <w:szCs w:val="21"/>
              </w:rPr>
            </w:pPr>
          </w:p>
        </w:tc>
        <w:tc>
          <w:tcPr>
            <w:tcW w:w="84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Theme="minorEastAsia" w:hAnsiTheme="minorEastAsia" w:eastAsiaTheme="minorEastAsia" w:cstheme="minorEastAsia"/>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Theme="minorEastAsia" w:hAnsiTheme="minorEastAsia" w:eastAsiaTheme="minorEastAsia" w:cstheme="minorEastAsia"/>
                <w:color w:val="auto"/>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Theme="minorEastAsia" w:hAnsiTheme="minorEastAsia" w:eastAsiaTheme="minorEastAsia" w:cstheme="minorEastAsia"/>
                <w:color w:val="auto"/>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Theme="minorEastAsia" w:hAnsiTheme="minorEastAsia" w:eastAsiaTheme="minorEastAsia" w:cstheme="minorEastAsia"/>
                <w:color w:val="auto"/>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Theme="minorEastAsia" w:hAnsiTheme="minorEastAsia" w:eastAsiaTheme="minorEastAsia" w:cstheme="minorEastAsia"/>
                <w:color w:val="auto"/>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Theme="minorEastAsia" w:hAnsiTheme="minorEastAsia" w:eastAsiaTheme="minorEastAsia" w:cstheme="minorEastAsia"/>
                <w:color w:val="auto"/>
                <w:szCs w:val="21"/>
              </w:rPr>
            </w:pPr>
          </w:p>
        </w:tc>
        <w:tc>
          <w:tcPr>
            <w:tcW w:w="84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Theme="minorEastAsia" w:hAnsiTheme="minorEastAsia" w:eastAsiaTheme="minorEastAsia" w:cstheme="minorEastAsia"/>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Theme="minorEastAsia" w:hAnsiTheme="minorEastAsia" w:eastAsiaTheme="minorEastAsia" w:cstheme="minorEastAsia"/>
                <w:color w:val="auto"/>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Theme="minorEastAsia" w:hAnsiTheme="minorEastAsia" w:eastAsiaTheme="minorEastAsia" w:cstheme="minorEastAsia"/>
                <w:color w:val="auto"/>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Theme="minorEastAsia" w:hAnsiTheme="minorEastAsia" w:eastAsiaTheme="minorEastAsia" w:cstheme="minorEastAsia"/>
                <w:color w:val="auto"/>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Theme="minorEastAsia" w:hAnsiTheme="minorEastAsia" w:eastAsiaTheme="minorEastAsia" w:cstheme="minorEastAsia"/>
                <w:color w:val="auto"/>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Theme="minorEastAsia" w:hAnsiTheme="minorEastAsia" w:eastAsiaTheme="minorEastAsia" w:cstheme="minorEastAsia"/>
                <w:color w:val="auto"/>
                <w:szCs w:val="21"/>
              </w:rPr>
            </w:pPr>
          </w:p>
        </w:tc>
        <w:tc>
          <w:tcPr>
            <w:tcW w:w="84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Theme="minorEastAsia" w:hAnsiTheme="minorEastAsia" w:eastAsiaTheme="minorEastAsia" w:cstheme="minorEastAsia"/>
                <w:color w:val="auto"/>
                <w:szCs w:val="21"/>
              </w:rPr>
            </w:pPr>
          </w:p>
        </w:tc>
      </w:tr>
    </w:tbl>
    <w:p>
      <w:pPr>
        <w:spacing w:line="360" w:lineRule="atLeas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注：若不填写或只填写“无”视作完全响应采购文件的要求。</w:t>
      </w:r>
    </w:p>
    <w:p>
      <w:pPr>
        <w:spacing w:line="360" w:lineRule="atLeast"/>
        <w:rPr>
          <w:rFonts w:hint="eastAsia" w:asciiTheme="minorEastAsia" w:hAnsiTheme="minorEastAsia" w:eastAsiaTheme="minorEastAsia" w:cstheme="minorEastAsia"/>
          <w:color w:val="auto"/>
        </w:rPr>
      </w:pPr>
    </w:p>
    <w:p>
      <w:pPr>
        <w:spacing w:line="360" w:lineRule="atLeast"/>
        <w:rPr>
          <w:rFonts w:hint="eastAsia" w:asciiTheme="minorEastAsia" w:hAnsiTheme="minorEastAsia" w:eastAsiaTheme="minorEastAsia" w:cstheme="minorEastAsia"/>
          <w:color w:val="auto"/>
        </w:rPr>
      </w:pPr>
    </w:p>
    <w:p>
      <w:pPr>
        <w:spacing w:line="360" w:lineRule="atLeast"/>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投标人(盖公章)：</w:t>
      </w:r>
    </w:p>
    <w:p>
      <w:pPr>
        <w:spacing w:line="360" w:lineRule="atLeast"/>
        <w:jc w:val="left"/>
        <w:rPr>
          <w:rFonts w:hint="eastAsia" w:asciiTheme="minorEastAsia" w:hAnsiTheme="minorEastAsia" w:eastAsiaTheme="minorEastAsia" w:cstheme="minorEastAsia"/>
          <w:color w:val="auto"/>
          <w:szCs w:val="21"/>
        </w:rPr>
      </w:pPr>
    </w:p>
    <w:p>
      <w:pPr>
        <w:spacing w:line="360" w:lineRule="atLeas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法定代表人或其授权代表(签字或盖章)：__________________</w:t>
      </w:r>
    </w:p>
    <w:p>
      <w:pPr>
        <w:spacing w:line="360" w:lineRule="atLeas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日</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t>期：</w:t>
      </w:r>
    </w:p>
    <w:p>
      <w:pPr>
        <w:adjustRightInd w:val="0"/>
        <w:spacing w:line="360" w:lineRule="auto"/>
        <w:ind w:firstLine="482" w:firstLineChars="200"/>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color w:val="auto"/>
          <w:sz w:val="24"/>
        </w:rPr>
        <w:br w:type="page"/>
      </w:r>
      <w:r>
        <w:rPr>
          <w:rFonts w:hint="eastAsia" w:asciiTheme="minorEastAsia" w:hAnsiTheme="minorEastAsia" w:eastAsiaTheme="minorEastAsia" w:cstheme="minorEastAsia"/>
          <w:b/>
          <w:snapToGrid w:val="0"/>
          <w:color w:val="auto"/>
          <w:kern w:val="0"/>
          <w:szCs w:val="21"/>
        </w:rPr>
        <w:t>3.</w:t>
      </w:r>
      <w:r>
        <w:rPr>
          <w:rFonts w:hint="eastAsia" w:asciiTheme="minorEastAsia" w:hAnsiTheme="minorEastAsia" w:eastAsiaTheme="minorEastAsia" w:cstheme="minorEastAsia"/>
          <w:b/>
          <w:snapToGrid w:val="0"/>
          <w:color w:val="auto"/>
          <w:kern w:val="0"/>
          <w:szCs w:val="21"/>
          <w:lang w:val="en-US" w:eastAsia="zh-CN"/>
        </w:rPr>
        <w:t>7</w:t>
      </w:r>
      <w:r>
        <w:rPr>
          <w:rFonts w:hint="eastAsia" w:asciiTheme="minorEastAsia" w:hAnsiTheme="minorEastAsia" w:eastAsiaTheme="minorEastAsia" w:cstheme="minorEastAsia"/>
          <w:b/>
          <w:snapToGrid w:val="0"/>
          <w:color w:val="auto"/>
          <w:kern w:val="0"/>
          <w:szCs w:val="21"/>
        </w:rPr>
        <w:t>拟派项目团队配备情况表</w:t>
      </w:r>
    </w:p>
    <w:p>
      <w:pPr>
        <w:snapToGrid w:val="0"/>
        <w:spacing w:line="360" w:lineRule="auto"/>
        <w:jc w:val="center"/>
        <w:rPr>
          <w:rFonts w:hint="eastAsia" w:asciiTheme="minorEastAsia" w:hAnsiTheme="minorEastAsia" w:eastAsiaTheme="minorEastAsia" w:cstheme="minorEastAsia"/>
          <w:b/>
          <w:snapToGrid w:val="0"/>
          <w:color w:val="auto"/>
          <w:kern w:val="0"/>
          <w:sz w:val="24"/>
        </w:rPr>
      </w:pPr>
    </w:p>
    <w:p>
      <w:pPr>
        <w:pStyle w:val="25"/>
        <w:snapToGrid w:val="0"/>
        <w:spacing w:line="360" w:lineRule="auto"/>
        <w:jc w:val="center"/>
        <w:rPr>
          <w:rFonts w:hint="eastAsia" w:asciiTheme="minorEastAsia" w:hAnsiTheme="minorEastAsia" w:eastAsiaTheme="minorEastAsia" w:cstheme="minorEastAsia"/>
          <w:b/>
          <w:snapToGrid w:val="0"/>
          <w:color w:val="auto"/>
          <w:kern w:val="0"/>
          <w:sz w:val="28"/>
          <w:szCs w:val="28"/>
        </w:rPr>
      </w:pPr>
      <w:r>
        <w:rPr>
          <w:rFonts w:hint="eastAsia" w:asciiTheme="minorEastAsia" w:hAnsiTheme="minorEastAsia" w:eastAsiaTheme="minorEastAsia" w:cstheme="minorEastAsia"/>
          <w:b/>
          <w:snapToGrid w:val="0"/>
          <w:color w:val="auto"/>
          <w:kern w:val="0"/>
          <w:sz w:val="28"/>
          <w:szCs w:val="28"/>
        </w:rPr>
        <w:t>（1）拟派项目团队配备情况表</w:t>
      </w:r>
    </w:p>
    <w:tbl>
      <w:tblPr>
        <w:tblStyle w:val="48"/>
        <w:tblW w:w="8931" w:type="dxa"/>
        <w:tblInd w:w="108" w:type="dxa"/>
        <w:tblLayout w:type="fixed"/>
        <w:tblCellMar>
          <w:top w:w="0" w:type="dxa"/>
          <w:left w:w="108" w:type="dxa"/>
          <w:bottom w:w="0" w:type="dxa"/>
          <w:right w:w="108" w:type="dxa"/>
        </w:tblCellMar>
      </w:tblPr>
      <w:tblGrid>
        <w:gridCol w:w="828"/>
        <w:gridCol w:w="1015"/>
        <w:gridCol w:w="1701"/>
        <w:gridCol w:w="749"/>
        <w:gridCol w:w="720"/>
        <w:gridCol w:w="720"/>
        <w:gridCol w:w="720"/>
        <w:gridCol w:w="1344"/>
        <w:gridCol w:w="1134"/>
      </w:tblGrid>
      <w:tr>
        <w:tblPrEx>
          <w:tblLayout w:type="fixed"/>
          <w:tblCellMar>
            <w:top w:w="0" w:type="dxa"/>
            <w:left w:w="108" w:type="dxa"/>
            <w:bottom w:w="0" w:type="dxa"/>
            <w:right w:w="108" w:type="dxa"/>
          </w:tblCellMar>
        </w:tblPrEx>
        <w:trPr>
          <w:trHeight w:val="396" w:hRule="atLeast"/>
        </w:trPr>
        <w:tc>
          <w:tcPr>
            <w:tcW w:w="828" w:type="dxa"/>
            <w:tcBorders>
              <w:top w:val="single" w:color="auto" w:sz="12" w:space="0"/>
              <w:left w:val="single" w:color="auto" w:sz="12" w:space="0"/>
              <w:bottom w:val="single" w:color="auto" w:sz="12" w:space="0"/>
              <w:right w:val="single" w:color="auto" w:sz="6" w:space="0"/>
            </w:tcBorders>
            <w:noWrap w:val="0"/>
            <w:vAlign w:val="center"/>
          </w:tcPr>
          <w:p>
            <w:pPr>
              <w:autoSpaceDE w:val="0"/>
              <w:autoSpaceDN w:val="0"/>
              <w:adjustRightIn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1015" w:type="dxa"/>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jc w:val="center"/>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姓名</w:t>
            </w:r>
          </w:p>
        </w:tc>
        <w:tc>
          <w:tcPr>
            <w:tcW w:w="1701" w:type="dxa"/>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zh-CN"/>
              </w:rPr>
              <w:t>本项目拟任岗位</w:t>
            </w:r>
          </w:p>
        </w:tc>
        <w:tc>
          <w:tcPr>
            <w:tcW w:w="749" w:type="dxa"/>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zh-CN"/>
              </w:rPr>
              <w:t>年龄</w:t>
            </w:r>
          </w:p>
        </w:tc>
        <w:tc>
          <w:tcPr>
            <w:tcW w:w="720" w:type="dxa"/>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zh-CN"/>
              </w:rPr>
              <w:t>性别</w:t>
            </w:r>
          </w:p>
        </w:tc>
        <w:tc>
          <w:tcPr>
            <w:tcW w:w="720" w:type="dxa"/>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zh-CN"/>
              </w:rPr>
              <w:t>专业</w:t>
            </w:r>
          </w:p>
        </w:tc>
        <w:tc>
          <w:tcPr>
            <w:tcW w:w="720" w:type="dxa"/>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zh-CN"/>
              </w:rPr>
              <w:t>专业年限</w:t>
            </w:r>
          </w:p>
        </w:tc>
        <w:tc>
          <w:tcPr>
            <w:tcW w:w="1344" w:type="dxa"/>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zh-CN"/>
              </w:rPr>
              <w:t>职务和职称</w:t>
            </w:r>
          </w:p>
        </w:tc>
        <w:tc>
          <w:tcPr>
            <w:tcW w:w="1134" w:type="dxa"/>
            <w:tcBorders>
              <w:top w:val="single" w:color="auto" w:sz="12" w:space="0"/>
              <w:left w:val="single" w:color="auto" w:sz="6" w:space="0"/>
              <w:bottom w:val="single" w:color="auto" w:sz="12" w:space="0"/>
              <w:right w:val="single" w:color="auto" w:sz="12" w:space="0"/>
            </w:tcBorders>
            <w:noWrap w:val="0"/>
            <w:vAlign w:val="center"/>
          </w:tcPr>
          <w:p>
            <w:pPr>
              <w:autoSpaceDE w:val="0"/>
              <w:autoSpaceDN w:val="0"/>
              <w:adjustRightInd w:val="0"/>
              <w:jc w:val="center"/>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备注</w:t>
            </w:r>
          </w:p>
        </w:tc>
      </w:tr>
      <w:tr>
        <w:tblPrEx>
          <w:tblLayout w:type="fixed"/>
          <w:tblCellMar>
            <w:top w:w="0" w:type="dxa"/>
            <w:left w:w="108" w:type="dxa"/>
            <w:bottom w:w="0" w:type="dxa"/>
            <w:right w:w="108" w:type="dxa"/>
          </w:tblCellMar>
        </w:tblPrEx>
        <w:trPr>
          <w:trHeight w:val="408" w:hRule="atLeast"/>
        </w:trPr>
        <w:tc>
          <w:tcPr>
            <w:tcW w:w="828"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015" w:type="dxa"/>
            <w:tcBorders>
              <w:top w:val="single" w:color="auto" w:sz="12"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Theme="minorEastAsia" w:hAnsiTheme="minorEastAsia" w:eastAsiaTheme="minorEastAsia" w:cstheme="minorEastAsia"/>
                <w:color w:val="auto"/>
                <w:szCs w:val="21"/>
              </w:rPr>
            </w:pPr>
          </w:p>
        </w:tc>
        <w:tc>
          <w:tcPr>
            <w:tcW w:w="1701"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49"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344"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ind w:left="5250"/>
              <w:rPr>
                <w:rFonts w:hint="eastAsia" w:asciiTheme="minorEastAsia" w:hAnsiTheme="minorEastAsia" w:eastAsiaTheme="minorEastAsia" w:cstheme="minorEastAsia"/>
                <w:color w:val="auto"/>
                <w:szCs w:val="21"/>
              </w:rPr>
            </w:pPr>
          </w:p>
        </w:tc>
        <w:tc>
          <w:tcPr>
            <w:tcW w:w="1134" w:type="dxa"/>
            <w:tcBorders>
              <w:top w:val="single" w:color="auto" w:sz="12"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r>
      <w:tr>
        <w:tblPrEx>
          <w:tblLayout w:type="fixed"/>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Theme="minorEastAsia" w:hAnsiTheme="minorEastAsia" w:eastAsiaTheme="minorEastAsia" w:cstheme="minorEastAsia"/>
                <w:color w:val="auto"/>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3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134"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ind w:left="5250"/>
              <w:rPr>
                <w:rFonts w:hint="eastAsia" w:asciiTheme="minorEastAsia" w:hAnsiTheme="minorEastAsia" w:eastAsiaTheme="minorEastAsia" w:cstheme="minorEastAsia"/>
                <w:color w:val="auto"/>
                <w:szCs w:val="21"/>
              </w:rPr>
            </w:pPr>
          </w:p>
        </w:tc>
      </w:tr>
      <w:tr>
        <w:tblPrEx>
          <w:tblLayout w:type="fixed"/>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Theme="minorEastAsia" w:hAnsiTheme="minorEastAsia" w:eastAsiaTheme="minorEastAsia" w:cstheme="minorEastAsia"/>
                <w:color w:val="auto"/>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3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134"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r>
      <w:tr>
        <w:tblPrEx>
          <w:tblLayout w:type="fixed"/>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Theme="minorEastAsia" w:hAnsiTheme="minorEastAsia" w:eastAsiaTheme="minorEastAsia" w:cstheme="minorEastAsia"/>
                <w:color w:val="auto"/>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3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134"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r>
      <w:tr>
        <w:tblPrEx>
          <w:tblLayout w:type="fixed"/>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Theme="minorEastAsia" w:hAnsiTheme="minorEastAsia" w:eastAsiaTheme="minorEastAsia" w:cstheme="minorEastAsia"/>
                <w:color w:val="auto"/>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3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134"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r>
      <w:tr>
        <w:tblPrEx>
          <w:tblLayout w:type="fixed"/>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Theme="minorEastAsia" w:hAnsiTheme="minorEastAsia" w:eastAsiaTheme="minorEastAsia" w:cstheme="minorEastAsia"/>
                <w:color w:val="auto"/>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3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134"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r>
      <w:tr>
        <w:tblPrEx>
          <w:tblLayout w:type="fixed"/>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Theme="minorEastAsia" w:hAnsiTheme="minorEastAsia" w:eastAsiaTheme="minorEastAsia" w:cstheme="minorEastAsia"/>
                <w:color w:val="auto"/>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3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134"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r>
      <w:tr>
        <w:tblPrEx>
          <w:tblLayout w:type="fixed"/>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Theme="minorEastAsia" w:hAnsiTheme="minorEastAsia" w:eastAsiaTheme="minorEastAsia" w:cstheme="minorEastAsia"/>
                <w:color w:val="auto"/>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3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134"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r>
      <w:tr>
        <w:tblPrEx>
          <w:tblLayout w:type="fixed"/>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Theme="minorEastAsia" w:hAnsiTheme="minorEastAsia" w:eastAsiaTheme="minorEastAsia" w:cstheme="minorEastAsia"/>
                <w:color w:val="auto"/>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3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134"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r>
      <w:tr>
        <w:tblPrEx>
          <w:tblLayout w:type="fixed"/>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Theme="minorEastAsia" w:hAnsiTheme="minorEastAsia" w:eastAsiaTheme="minorEastAsia" w:cstheme="minorEastAsia"/>
                <w:color w:val="auto"/>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3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134"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r>
      <w:tr>
        <w:tblPrEx>
          <w:tblLayout w:type="fixed"/>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Theme="minorEastAsia" w:hAnsiTheme="minorEastAsia" w:eastAsiaTheme="minorEastAsia" w:cstheme="minorEastAsia"/>
                <w:color w:val="auto"/>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3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134"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r>
      <w:tr>
        <w:tblPrEx>
          <w:tblLayout w:type="fixed"/>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Theme="minorEastAsia" w:hAnsiTheme="minorEastAsia" w:eastAsiaTheme="minorEastAsia" w:cstheme="minorEastAsia"/>
                <w:color w:val="auto"/>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3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134"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r>
      <w:tr>
        <w:tblPrEx>
          <w:tblLayout w:type="fixed"/>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Theme="minorEastAsia" w:hAnsiTheme="minorEastAsia" w:eastAsiaTheme="minorEastAsia" w:cstheme="minorEastAsia"/>
                <w:color w:val="auto"/>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3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134"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r>
      <w:tr>
        <w:tblPrEx>
          <w:tblLayout w:type="fixed"/>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Theme="minorEastAsia" w:hAnsiTheme="minorEastAsia" w:eastAsiaTheme="minorEastAsia" w:cstheme="minorEastAsia"/>
                <w:color w:val="auto"/>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3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134"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r>
      <w:tr>
        <w:tblPrEx>
          <w:tblLayout w:type="fixed"/>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Theme="minorEastAsia" w:hAnsiTheme="minorEastAsia" w:eastAsiaTheme="minorEastAsia" w:cstheme="minorEastAsia"/>
                <w:color w:val="auto"/>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3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134"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r>
      <w:tr>
        <w:tblPrEx>
          <w:tblLayout w:type="fixed"/>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015" w:type="dxa"/>
            <w:tcBorders>
              <w:top w:val="single" w:color="auto" w:sz="6" w:space="0"/>
              <w:left w:val="single" w:color="auto" w:sz="6" w:space="0"/>
              <w:bottom w:val="single" w:color="auto" w:sz="12" w:space="0"/>
              <w:right w:val="single" w:color="auto" w:sz="6" w:space="0"/>
            </w:tcBorders>
            <w:noWrap w:val="0"/>
            <w:vAlign w:val="top"/>
          </w:tcPr>
          <w:p>
            <w:pPr>
              <w:autoSpaceDE w:val="0"/>
              <w:autoSpaceDN w:val="0"/>
              <w:adjustRightInd w:val="0"/>
              <w:rPr>
                <w:rFonts w:hint="eastAsia" w:asciiTheme="minorEastAsia" w:hAnsiTheme="minorEastAsia" w:eastAsiaTheme="minorEastAsia" w:cstheme="minorEastAsia"/>
                <w:color w:val="auto"/>
                <w:szCs w:val="21"/>
              </w:rPr>
            </w:pPr>
          </w:p>
        </w:tc>
        <w:tc>
          <w:tcPr>
            <w:tcW w:w="1701"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49"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720"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344"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c>
          <w:tcPr>
            <w:tcW w:w="1134" w:type="dxa"/>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rPr>
                <w:rFonts w:hint="eastAsia" w:asciiTheme="minorEastAsia" w:hAnsiTheme="minorEastAsia" w:eastAsiaTheme="minorEastAsia" w:cstheme="minorEastAsia"/>
                <w:color w:val="auto"/>
                <w:szCs w:val="21"/>
              </w:rPr>
            </w:pPr>
          </w:p>
        </w:tc>
      </w:tr>
    </w:tbl>
    <w:p>
      <w:pPr>
        <w:snapToGrid w:val="0"/>
        <w:spacing w:line="360" w:lineRule="auto"/>
        <w:rPr>
          <w:rFonts w:hint="eastAsia" w:asciiTheme="minorEastAsia" w:hAnsiTheme="minorEastAsia" w:eastAsiaTheme="minorEastAsia" w:cstheme="minorEastAsia"/>
          <w:b/>
          <w:snapToGrid w:val="0"/>
          <w:color w:val="auto"/>
          <w:kern w:val="0"/>
          <w:szCs w:val="21"/>
        </w:rPr>
      </w:pPr>
      <w:r>
        <w:rPr>
          <w:rFonts w:hint="eastAsia" w:asciiTheme="minorEastAsia" w:hAnsiTheme="minorEastAsia" w:eastAsiaTheme="minorEastAsia" w:cstheme="minorEastAsia"/>
          <w:b/>
          <w:snapToGrid w:val="0"/>
          <w:color w:val="auto"/>
          <w:kern w:val="0"/>
          <w:szCs w:val="21"/>
        </w:rPr>
        <w:t>注：涉及评分项的其它证明材料附后。</w:t>
      </w:r>
    </w:p>
    <w:p>
      <w:pPr>
        <w:adjustRightInd w:val="0"/>
        <w:snapToGrid w:val="0"/>
        <w:spacing w:line="360" w:lineRule="auto"/>
        <w:ind w:firstLine="4158" w:firstLineChars="1980"/>
        <w:rPr>
          <w:rFonts w:hint="eastAsia" w:asciiTheme="minorEastAsia" w:hAnsiTheme="minorEastAsia" w:eastAsiaTheme="minorEastAsia" w:cstheme="minorEastAsia"/>
          <w:snapToGrid w:val="0"/>
          <w:color w:val="auto"/>
          <w:kern w:val="0"/>
          <w:szCs w:val="21"/>
        </w:rPr>
      </w:pPr>
    </w:p>
    <w:p>
      <w:pPr>
        <w:adjustRightInd w:val="0"/>
        <w:snapToGrid w:val="0"/>
        <w:spacing w:line="360" w:lineRule="auto"/>
        <w:ind w:firstLine="4158" w:firstLineChars="1980"/>
        <w:rPr>
          <w:rFonts w:hint="eastAsia" w:asciiTheme="minorEastAsia" w:hAnsiTheme="minorEastAsia" w:eastAsiaTheme="minorEastAsia" w:cstheme="minorEastAsia"/>
          <w:snapToGrid w:val="0"/>
          <w:color w:val="auto"/>
          <w:kern w:val="0"/>
          <w:szCs w:val="21"/>
        </w:rPr>
      </w:pPr>
    </w:p>
    <w:p>
      <w:pPr>
        <w:adjustRightInd w:val="0"/>
        <w:snapToGrid w:val="0"/>
        <w:spacing w:line="360" w:lineRule="auto"/>
        <w:ind w:firstLine="4158" w:firstLineChars="198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投标人(盖公章)</w:t>
      </w:r>
    </w:p>
    <w:p>
      <w:pPr>
        <w:adjustRightInd w:val="0"/>
        <w:snapToGrid w:val="0"/>
        <w:spacing w:line="360" w:lineRule="auto"/>
        <w:ind w:firstLine="4158" w:firstLineChars="198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法定代表人或授权代表(签字或盖章)</w:t>
      </w:r>
    </w:p>
    <w:p>
      <w:pPr>
        <w:snapToGrid w:val="0"/>
        <w:spacing w:line="360" w:lineRule="auto"/>
        <w:ind w:firstLine="4200" w:firstLineChars="20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日期：</w:t>
      </w:r>
    </w:p>
    <w:p>
      <w:pPr>
        <w:adjustRightInd w:val="0"/>
        <w:snapToGrid w:val="0"/>
        <w:spacing w:line="360" w:lineRule="auto"/>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br w:type="page"/>
      </w:r>
    </w:p>
    <w:p>
      <w:pPr>
        <w:pStyle w:val="25"/>
        <w:snapToGrid w:val="0"/>
        <w:spacing w:line="360" w:lineRule="auto"/>
        <w:jc w:val="center"/>
        <w:rPr>
          <w:rFonts w:hint="eastAsia" w:asciiTheme="minorEastAsia" w:hAnsiTheme="minorEastAsia" w:eastAsiaTheme="minorEastAsia" w:cstheme="minorEastAsia"/>
          <w:b/>
          <w:snapToGrid w:val="0"/>
          <w:color w:val="auto"/>
          <w:kern w:val="0"/>
          <w:sz w:val="28"/>
          <w:szCs w:val="28"/>
        </w:rPr>
      </w:pPr>
      <w:r>
        <w:rPr>
          <w:rFonts w:hint="eastAsia" w:asciiTheme="minorEastAsia" w:hAnsiTheme="minorEastAsia" w:eastAsiaTheme="minorEastAsia" w:cstheme="minorEastAsia"/>
          <w:b/>
          <w:snapToGrid w:val="0"/>
          <w:color w:val="auto"/>
          <w:kern w:val="0"/>
          <w:sz w:val="28"/>
          <w:szCs w:val="28"/>
        </w:rPr>
        <w:t>（2）项目负责人简历表</w:t>
      </w:r>
    </w:p>
    <w:tbl>
      <w:tblPr>
        <w:tblStyle w:val="48"/>
        <w:tblW w:w="8640" w:type="dxa"/>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468"/>
        <w:gridCol w:w="6"/>
        <w:gridCol w:w="1389"/>
        <w:gridCol w:w="1155"/>
        <w:gridCol w:w="1050"/>
        <w:gridCol w:w="210"/>
        <w:gridCol w:w="1830"/>
        <w:gridCol w:w="262"/>
        <w:gridCol w:w="1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86" w:hRule="atLeast"/>
        </w:trPr>
        <w:tc>
          <w:tcPr>
            <w:tcW w:w="1474" w:type="dxa"/>
            <w:gridSpan w:val="2"/>
            <w:noWrap w:val="0"/>
            <w:vAlign w:val="center"/>
          </w:tcPr>
          <w:p>
            <w:pPr>
              <w:snapToGrid w:val="0"/>
              <w:spacing w:line="320" w:lineRule="atLeas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姓   名</w:t>
            </w:r>
          </w:p>
        </w:tc>
        <w:tc>
          <w:tcPr>
            <w:tcW w:w="1389" w:type="dxa"/>
            <w:noWrap w:val="0"/>
            <w:vAlign w:val="center"/>
          </w:tcPr>
          <w:p>
            <w:pPr>
              <w:snapToGrid w:val="0"/>
              <w:spacing w:line="320" w:lineRule="atLeast"/>
              <w:jc w:val="center"/>
              <w:rPr>
                <w:rFonts w:hint="eastAsia" w:asciiTheme="minorEastAsia" w:hAnsiTheme="minorEastAsia" w:eastAsiaTheme="minorEastAsia" w:cstheme="minorEastAsia"/>
                <w:color w:val="auto"/>
              </w:rPr>
            </w:pPr>
          </w:p>
        </w:tc>
        <w:tc>
          <w:tcPr>
            <w:tcW w:w="1155" w:type="dxa"/>
            <w:noWrap w:val="0"/>
            <w:vAlign w:val="center"/>
          </w:tcPr>
          <w:p>
            <w:pPr>
              <w:snapToGrid w:val="0"/>
              <w:spacing w:line="320" w:lineRule="atLeas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年   龄</w:t>
            </w:r>
          </w:p>
        </w:tc>
        <w:tc>
          <w:tcPr>
            <w:tcW w:w="1260" w:type="dxa"/>
            <w:gridSpan w:val="2"/>
            <w:noWrap w:val="0"/>
            <w:vAlign w:val="center"/>
          </w:tcPr>
          <w:p>
            <w:pPr>
              <w:snapToGrid w:val="0"/>
              <w:spacing w:line="320" w:lineRule="atLeast"/>
              <w:jc w:val="center"/>
              <w:rPr>
                <w:rFonts w:hint="eastAsia" w:asciiTheme="minorEastAsia" w:hAnsiTheme="minorEastAsia" w:eastAsiaTheme="minorEastAsia" w:cstheme="minorEastAsia"/>
                <w:color w:val="auto"/>
              </w:rPr>
            </w:pPr>
          </w:p>
        </w:tc>
        <w:tc>
          <w:tcPr>
            <w:tcW w:w="2092" w:type="dxa"/>
            <w:gridSpan w:val="2"/>
            <w:noWrap w:val="0"/>
            <w:vAlign w:val="center"/>
          </w:tcPr>
          <w:p>
            <w:pPr>
              <w:snapToGrid w:val="0"/>
              <w:spacing w:line="320" w:lineRule="atLeas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专   业</w:t>
            </w:r>
          </w:p>
        </w:tc>
        <w:tc>
          <w:tcPr>
            <w:tcW w:w="1270" w:type="dxa"/>
            <w:noWrap w:val="0"/>
            <w:vAlign w:val="center"/>
          </w:tcPr>
          <w:p>
            <w:pPr>
              <w:snapToGrid w:val="0"/>
              <w:spacing w:line="320" w:lineRule="atLeast"/>
              <w:jc w:val="center"/>
              <w:rPr>
                <w:rFonts w:hint="eastAsia" w:asciiTheme="minorEastAsia" w:hAnsiTheme="minorEastAsia" w:eastAsiaTheme="minorEastAsia" w:cstheme="minorEastAsia"/>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c>
          <w:tcPr>
            <w:tcW w:w="1474" w:type="dxa"/>
            <w:gridSpan w:val="2"/>
            <w:noWrap w:val="0"/>
            <w:vAlign w:val="center"/>
          </w:tcPr>
          <w:p>
            <w:pPr>
              <w:snapToGrid w:val="0"/>
              <w:spacing w:line="320" w:lineRule="atLeas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职   称</w:t>
            </w:r>
          </w:p>
        </w:tc>
        <w:tc>
          <w:tcPr>
            <w:tcW w:w="1389" w:type="dxa"/>
            <w:noWrap w:val="0"/>
            <w:vAlign w:val="center"/>
          </w:tcPr>
          <w:p>
            <w:pPr>
              <w:snapToGrid w:val="0"/>
              <w:spacing w:line="320" w:lineRule="atLeast"/>
              <w:jc w:val="center"/>
              <w:rPr>
                <w:rFonts w:hint="eastAsia" w:asciiTheme="minorEastAsia" w:hAnsiTheme="minorEastAsia" w:eastAsiaTheme="minorEastAsia" w:cstheme="minorEastAsia"/>
                <w:color w:val="auto"/>
              </w:rPr>
            </w:pPr>
          </w:p>
        </w:tc>
        <w:tc>
          <w:tcPr>
            <w:tcW w:w="1155" w:type="dxa"/>
            <w:noWrap w:val="0"/>
            <w:vAlign w:val="center"/>
          </w:tcPr>
          <w:p>
            <w:pPr>
              <w:snapToGrid w:val="0"/>
              <w:spacing w:line="320" w:lineRule="atLeas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职   务</w:t>
            </w:r>
          </w:p>
        </w:tc>
        <w:tc>
          <w:tcPr>
            <w:tcW w:w="1260" w:type="dxa"/>
            <w:gridSpan w:val="2"/>
            <w:noWrap w:val="0"/>
            <w:vAlign w:val="center"/>
          </w:tcPr>
          <w:p>
            <w:pPr>
              <w:snapToGrid w:val="0"/>
              <w:spacing w:line="320" w:lineRule="atLeast"/>
              <w:jc w:val="center"/>
              <w:rPr>
                <w:rFonts w:hint="eastAsia" w:asciiTheme="minorEastAsia" w:hAnsiTheme="minorEastAsia" w:eastAsiaTheme="minorEastAsia" w:cstheme="minorEastAsia"/>
                <w:color w:val="auto"/>
              </w:rPr>
            </w:pPr>
          </w:p>
        </w:tc>
        <w:tc>
          <w:tcPr>
            <w:tcW w:w="2092" w:type="dxa"/>
            <w:gridSpan w:val="2"/>
            <w:noWrap w:val="0"/>
            <w:vAlign w:val="center"/>
          </w:tcPr>
          <w:p>
            <w:pPr>
              <w:snapToGrid w:val="0"/>
              <w:spacing w:line="320" w:lineRule="atLeas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拟在本合同</w:t>
            </w:r>
          </w:p>
          <w:p>
            <w:pPr>
              <w:snapToGrid w:val="0"/>
              <w:spacing w:line="320" w:lineRule="atLeas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项目担任职务</w:t>
            </w:r>
          </w:p>
        </w:tc>
        <w:tc>
          <w:tcPr>
            <w:tcW w:w="1270" w:type="dxa"/>
            <w:noWrap w:val="0"/>
            <w:vAlign w:val="center"/>
          </w:tcPr>
          <w:p>
            <w:pPr>
              <w:snapToGrid w:val="0"/>
              <w:spacing w:line="320" w:lineRule="atLeast"/>
              <w:jc w:val="center"/>
              <w:rPr>
                <w:rFonts w:hint="eastAsia" w:asciiTheme="minorEastAsia" w:hAnsiTheme="minorEastAsia" w:eastAsiaTheme="minorEastAsia" w:cstheme="minorEastAsia"/>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84" w:hRule="atLeast"/>
        </w:trPr>
        <w:tc>
          <w:tcPr>
            <w:tcW w:w="1474" w:type="dxa"/>
            <w:gridSpan w:val="2"/>
            <w:noWrap w:val="0"/>
            <w:vAlign w:val="center"/>
          </w:tcPr>
          <w:p>
            <w:pPr>
              <w:snapToGrid w:val="0"/>
              <w:spacing w:line="320" w:lineRule="atLeas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毕业学校</w:t>
            </w:r>
          </w:p>
        </w:tc>
        <w:tc>
          <w:tcPr>
            <w:tcW w:w="7166" w:type="dxa"/>
            <w:gridSpan w:val="7"/>
            <w:noWrap w:val="0"/>
            <w:vAlign w:val="center"/>
          </w:tcPr>
          <w:p>
            <w:pPr>
              <w:snapToGrid w:val="0"/>
              <w:spacing w:line="320" w:lineRule="atLeas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年</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月毕业于</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学校</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系(科)，学制</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50" w:hRule="atLeast"/>
        </w:trPr>
        <w:tc>
          <w:tcPr>
            <w:tcW w:w="8640" w:type="dxa"/>
            <w:gridSpan w:val="9"/>
            <w:noWrap w:val="0"/>
            <w:vAlign w:val="center"/>
          </w:tcPr>
          <w:p>
            <w:pPr>
              <w:snapToGrid w:val="0"/>
              <w:spacing w:line="320" w:lineRule="atLeas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经                        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81" w:hRule="atLeast"/>
        </w:trPr>
        <w:tc>
          <w:tcPr>
            <w:tcW w:w="1468" w:type="dxa"/>
            <w:noWrap w:val="0"/>
            <w:vAlign w:val="center"/>
          </w:tcPr>
          <w:p>
            <w:pPr>
              <w:snapToGrid w:val="0"/>
              <w:spacing w:line="320" w:lineRule="atLeas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年   月</w:t>
            </w:r>
          </w:p>
        </w:tc>
        <w:tc>
          <w:tcPr>
            <w:tcW w:w="3600" w:type="dxa"/>
            <w:gridSpan w:val="4"/>
            <w:noWrap w:val="0"/>
            <w:vAlign w:val="center"/>
          </w:tcPr>
          <w:p>
            <w:pPr>
              <w:snapToGrid w:val="0"/>
              <w:spacing w:line="320" w:lineRule="atLeas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工作经历</w:t>
            </w:r>
          </w:p>
        </w:tc>
        <w:tc>
          <w:tcPr>
            <w:tcW w:w="2040" w:type="dxa"/>
            <w:gridSpan w:val="2"/>
            <w:noWrap w:val="0"/>
            <w:vAlign w:val="center"/>
          </w:tcPr>
          <w:p>
            <w:pPr>
              <w:snapToGrid w:val="0"/>
              <w:spacing w:line="320" w:lineRule="atLeas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担 任 何 职</w:t>
            </w:r>
          </w:p>
        </w:tc>
        <w:tc>
          <w:tcPr>
            <w:tcW w:w="1532" w:type="dxa"/>
            <w:gridSpan w:val="2"/>
            <w:noWrap w:val="0"/>
            <w:vAlign w:val="center"/>
          </w:tcPr>
          <w:p>
            <w:pPr>
              <w:snapToGrid w:val="0"/>
              <w:spacing w:line="320" w:lineRule="atLeas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备   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38" w:hRule="atLeast"/>
        </w:trPr>
        <w:tc>
          <w:tcPr>
            <w:tcW w:w="1468" w:type="dxa"/>
            <w:noWrap w:val="0"/>
            <w:vAlign w:val="center"/>
          </w:tcPr>
          <w:p>
            <w:pPr>
              <w:snapToGrid w:val="0"/>
              <w:spacing w:line="320" w:lineRule="atLeast"/>
              <w:jc w:val="center"/>
              <w:rPr>
                <w:rFonts w:hint="eastAsia" w:asciiTheme="minorEastAsia" w:hAnsiTheme="minorEastAsia" w:eastAsiaTheme="minorEastAsia" w:cstheme="minorEastAsia"/>
                <w:color w:val="auto"/>
              </w:rPr>
            </w:pPr>
          </w:p>
          <w:p>
            <w:pPr>
              <w:snapToGrid w:val="0"/>
              <w:spacing w:line="320" w:lineRule="atLeast"/>
              <w:jc w:val="center"/>
              <w:rPr>
                <w:rFonts w:hint="eastAsia" w:asciiTheme="minorEastAsia" w:hAnsiTheme="minorEastAsia" w:eastAsiaTheme="minorEastAsia" w:cstheme="minorEastAsia"/>
                <w:color w:val="auto"/>
              </w:rPr>
            </w:pPr>
          </w:p>
          <w:p>
            <w:pPr>
              <w:snapToGrid w:val="0"/>
              <w:spacing w:line="320" w:lineRule="atLeast"/>
              <w:jc w:val="center"/>
              <w:rPr>
                <w:rFonts w:hint="eastAsia" w:asciiTheme="minorEastAsia" w:hAnsiTheme="minorEastAsia" w:eastAsiaTheme="minorEastAsia" w:cstheme="minorEastAsia"/>
                <w:color w:val="auto"/>
              </w:rPr>
            </w:pPr>
          </w:p>
          <w:p>
            <w:pPr>
              <w:snapToGrid w:val="0"/>
              <w:spacing w:line="320" w:lineRule="atLeast"/>
              <w:jc w:val="center"/>
              <w:rPr>
                <w:rFonts w:hint="eastAsia" w:asciiTheme="minorEastAsia" w:hAnsiTheme="minorEastAsia" w:eastAsiaTheme="minorEastAsia" w:cstheme="minorEastAsia"/>
                <w:color w:val="auto"/>
              </w:rPr>
            </w:pPr>
          </w:p>
          <w:p>
            <w:pPr>
              <w:snapToGrid w:val="0"/>
              <w:spacing w:line="320" w:lineRule="atLeast"/>
              <w:jc w:val="center"/>
              <w:rPr>
                <w:rFonts w:hint="eastAsia" w:asciiTheme="minorEastAsia" w:hAnsiTheme="minorEastAsia" w:eastAsiaTheme="minorEastAsia" w:cstheme="minorEastAsia"/>
                <w:color w:val="auto"/>
              </w:rPr>
            </w:pPr>
          </w:p>
          <w:p>
            <w:pPr>
              <w:snapToGrid w:val="0"/>
              <w:spacing w:line="320" w:lineRule="atLeast"/>
              <w:jc w:val="center"/>
              <w:rPr>
                <w:rFonts w:hint="eastAsia" w:asciiTheme="minorEastAsia" w:hAnsiTheme="minorEastAsia" w:eastAsiaTheme="minorEastAsia" w:cstheme="minorEastAsia"/>
                <w:color w:val="auto"/>
              </w:rPr>
            </w:pPr>
          </w:p>
          <w:p>
            <w:pPr>
              <w:snapToGrid w:val="0"/>
              <w:spacing w:line="320" w:lineRule="atLeast"/>
              <w:jc w:val="center"/>
              <w:rPr>
                <w:rFonts w:hint="eastAsia" w:asciiTheme="minorEastAsia" w:hAnsiTheme="minorEastAsia" w:eastAsiaTheme="minorEastAsia" w:cstheme="minorEastAsia"/>
                <w:color w:val="auto"/>
              </w:rPr>
            </w:pPr>
          </w:p>
          <w:p>
            <w:pPr>
              <w:snapToGrid w:val="0"/>
              <w:spacing w:line="320" w:lineRule="atLeast"/>
              <w:jc w:val="center"/>
              <w:rPr>
                <w:rFonts w:hint="eastAsia" w:asciiTheme="minorEastAsia" w:hAnsiTheme="minorEastAsia" w:eastAsiaTheme="minorEastAsia" w:cstheme="minorEastAsia"/>
                <w:color w:val="auto"/>
              </w:rPr>
            </w:pPr>
          </w:p>
        </w:tc>
        <w:tc>
          <w:tcPr>
            <w:tcW w:w="3600" w:type="dxa"/>
            <w:gridSpan w:val="4"/>
            <w:noWrap w:val="0"/>
            <w:vAlign w:val="center"/>
          </w:tcPr>
          <w:p>
            <w:pPr>
              <w:snapToGrid w:val="0"/>
              <w:spacing w:line="320" w:lineRule="atLeast"/>
              <w:jc w:val="center"/>
              <w:rPr>
                <w:rFonts w:hint="eastAsia" w:asciiTheme="minorEastAsia" w:hAnsiTheme="minorEastAsia" w:eastAsiaTheme="minorEastAsia" w:cstheme="minorEastAsia"/>
                <w:color w:val="auto"/>
              </w:rPr>
            </w:pPr>
          </w:p>
        </w:tc>
        <w:tc>
          <w:tcPr>
            <w:tcW w:w="2040" w:type="dxa"/>
            <w:gridSpan w:val="2"/>
            <w:noWrap w:val="0"/>
            <w:vAlign w:val="center"/>
          </w:tcPr>
          <w:p>
            <w:pPr>
              <w:snapToGrid w:val="0"/>
              <w:spacing w:line="320" w:lineRule="atLeast"/>
              <w:jc w:val="center"/>
              <w:rPr>
                <w:rFonts w:hint="eastAsia" w:asciiTheme="minorEastAsia" w:hAnsiTheme="minorEastAsia" w:eastAsiaTheme="minorEastAsia" w:cstheme="minorEastAsia"/>
                <w:color w:val="auto"/>
              </w:rPr>
            </w:pPr>
          </w:p>
        </w:tc>
        <w:tc>
          <w:tcPr>
            <w:tcW w:w="1532" w:type="dxa"/>
            <w:gridSpan w:val="2"/>
            <w:noWrap w:val="0"/>
            <w:vAlign w:val="center"/>
          </w:tcPr>
          <w:p>
            <w:pPr>
              <w:snapToGrid w:val="0"/>
              <w:spacing w:line="320" w:lineRule="atLeast"/>
              <w:jc w:val="center"/>
              <w:rPr>
                <w:rFonts w:hint="eastAsia" w:asciiTheme="minorEastAsia" w:hAnsiTheme="minorEastAsia" w:eastAsiaTheme="minorEastAsia" w:cstheme="minorEastAsia"/>
                <w:color w:val="auto"/>
              </w:rPr>
            </w:pPr>
          </w:p>
          <w:p>
            <w:pPr>
              <w:snapToGrid w:val="0"/>
              <w:spacing w:line="320" w:lineRule="atLeast"/>
              <w:jc w:val="center"/>
              <w:rPr>
                <w:rFonts w:hint="eastAsia" w:asciiTheme="minorEastAsia" w:hAnsiTheme="minorEastAsia" w:eastAsiaTheme="minorEastAsia" w:cstheme="minorEastAsia"/>
                <w:color w:val="auto"/>
              </w:rPr>
            </w:pPr>
          </w:p>
          <w:p>
            <w:pPr>
              <w:snapToGrid w:val="0"/>
              <w:spacing w:line="320" w:lineRule="atLeast"/>
              <w:jc w:val="center"/>
              <w:rPr>
                <w:rFonts w:hint="eastAsia" w:asciiTheme="minorEastAsia" w:hAnsiTheme="minorEastAsia" w:eastAsiaTheme="minorEastAsia" w:cstheme="minorEastAsia"/>
                <w:color w:val="auto"/>
              </w:rPr>
            </w:pPr>
          </w:p>
          <w:p>
            <w:pPr>
              <w:snapToGrid w:val="0"/>
              <w:spacing w:line="320" w:lineRule="atLeast"/>
              <w:jc w:val="center"/>
              <w:rPr>
                <w:rFonts w:hint="eastAsia" w:asciiTheme="minorEastAsia" w:hAnsiTheme="minorEastAsia" w:eastAsiaTheme="minorEastAsia" w:cstheme="minorEastAsia"/>
                <w:color w:val="auto"/>
              </w:rPr>
            </w:pPr>
          </w:p>
          <w:p>
            <w:pPr>
              <w:snapToGrid w:val="0"/>
              <w:spacing w:line="320" w:lineRule="atLeast"/>
              <w:jc w:val="center"/>
              <w:rPr>
                <w:rFonts w:hint="eastAsia" w:asciiTheme="minorEastAsia" w:hAnsiTheme="minorEastAsia" w:eastAsiaTheme="minorEastAsia" w:cstheme="minorEastAsia"/>
                <w:color w:val="auto"/>
              </w:rPr>
            </w:pPr>
          </w:p>
        </w:tc>
      </w:tr>
    </w:tbl>
    <w:p>
      <w:pPr>
        <w:snapToGrid w:val="0"/>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 注：与评分有关的证明材料附后。</w:t>
      </w:r>
    </w:p>
    <w:p>
      <w:pPr>
        <w:snapToGrid w:val="0"/>
        <w:spacing w:line="360" w:lineRule="auto"/>
        <w:rPr>
          <w:rFonts w:hint="eastAsia" w:asciiTheme="minorEastAsia" w:hAnsiTheme="minorEastAsia" w:eastAsiaTheme="minorEastAsia" w:cstheme="minorEastAsia"/>
          <w:color w:val="auto"/>
        </w:rPr>
      </w:pPr>
    </w:p>
    <w:p>
      <w:pPr>
        <w:snapToGrid w:val="0"/>
        <w:spacing w:line="360" w:lineRule="auto"/>
        <w:rPr>
          <w:rFonts w:hint="eastAsia" w:asciiTheme="minorEastAsia" w:hAnsiTheme="minorEastAsia" w:eastAsiaTheme="minorEastAsia" w:cstheme="minorEastAsia"/>
          <w:color w:val="auto"/>
        </w:rPr>
      </w:pPr>
    </w:p>
    <w:p>
      <w:pPr>
        <w:snapToGrid w:val="0"/>
        <w:spacing w:line="360" w:lineRule="auto"/>
        <w:rPr>
          <w:rFonts w:hint="eastAsia" w:asciiTheme="minorEastAsia" w:hAnsiTheme="minorEastAsia" w:eastAsiaTheme="minorEastAsia" w:cstheme="minorEastAsia"/>
          <w:b/>
          <w:snapToGrid w:val="0"/>
          <w:color w:val="auto"/>
          <w:kern w:val="0"/>
          <w:sz w:val="24"/>
        </w:rPr>
      </w:pPr>
    </w:p>
    <w:p>
      <w:pPr>
        <w:adjustRightInd w:val="0"/>
        <w:snapToGrid w:val="0"/>
        <w:spacing w:line="360" w:lineRule="auto"/>
        <w:ind w:firstLine="4158" w:firstLineChars="198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投标人(盖公章)</w:t>
      </w:r>
    </w:p>
    <w:p>
      <w:pPr>
        <w:adjustRightInd w:val="0"/>
        <w:snapToGrid w:val="0"/>
        <w:spacing w:line="360" w:lineRule="auto"/>
        <w:ind w:firstLine="4158" w:firstLineChars="198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法定代表人或授权代表(签字或盖章)</w:t>
      </w:r>
    </w:p>
    <w:p>
      <w:pPr>
        <w:snapToGrid w:val="0"/>
        <w:spacing w:line="360" w:lineRule="auto"/>
        <w:ind w:firstLine="4200" w:firstLineChars="2000"/>
        <w:rPr>
          <w:rFonts w:hint="eastAsia"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日期：</w:t>
      </w:r>
    </w:p>
    <w:p>
      <w:pPr>
        <w:snapToGrid w:val="0"/>
        <w:spacing w:line="360" w:lineRule="auto"/>
        <w:outlineLvl w:val="1"/>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snapToGrid w:val="0"/>
          <w:color w:val="auto"/>
          <w:kern w:val="0"/>
          <w:szCs w:val="21"/>
        </w:rPr>
        <w:br w:type="page"/>
      </w:r>
      <w:bookmarkStart w:id="96" w:name="_Toc8838"/>
      <w:bookmarkStart w:id="97" w:name="_Toc28558"/>
      <w:r>
        <w:rPr>
          <w:rFonts w:hint="eastAsia" w:asciiTheme="minorEastAsia" w:hAnsiTheme="minorEastAsia" w:eastAsiaTheme="minorEastAsia" w:cstheme="minorEastAsia"/>
          <w:b/>
          <w:bCs/>
          <w:color w:val="auto"/>
          <w:sz w:val="21"/>
          <w:szCs w:val="21"/>
        </w:rPr>
        <w:t>四、报价响应文件部分格式</w:t>
      </w:r>
      <w:bookmarkEnd w:id="96"/>
      <w:bookmarkEnd w:id="97"/>
    </w:p>
    <w:p>
      <w:pPr>
        <w:autoSpaceDE w:val="0"/>
        <w:autoSpaceDN w:val="0"/>
        <w:adjustRightInd w:val="0"/>
        <w:spacing w:line="360" w:lineRule="auto"/>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4.1投标函</w:t>
      </w:r>
    </w:p>
    <w:p>
      <w:pPr>
        <w:pStyle w:val="25"/>
        <w:spacing w:line="360" w:lineRule="auto"/>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投标函</w:t>
      </w:r>
    </w:p>
    <w:p>
      <w:pPr>
        <w:pStyle w:val="25"/>
        <w:spacing w:line="360" w:lineRule="auto"/>
        <w:rPr>
          <w:rFonts w:hint="eastAsia" w:asciiTheme="minorEastAsia" w:hAnsiTheme="minorEastAsia" w:eastAsiaTheme="minorEastAsia" w:cstheme="minorEastAsia"/>
          <w:color w:val="auto"/>
          <w:u w:val="single"/>
        </w:rPr>
      </w:pPr>
      <w:r>
        <w:rPr>
          <w:rFonts w:hint="eastAsia" w:asciiTheme="minorEastAsia" w:hAnsiTheme="minorEastAsia" w:eastAsiaTheme="minorEastAsia" w:cstheme="minorEastAsia"/>
          <w:snapToGrid w:val="0"/>
          <w:color w:val="auto"/>
          <w:kern w:val="0"/>
          <w:u w:val="single"/>
        </w:rPr>
        <w:t>浙江省生态环境厅</w:t>
      </w:r>
      <w:r>
        <w:rPr>
          <w:rFonts w:hint="eastAsia" w:asciiTheme="minorEastAsia" w:hAnsiTheme="minorEastAsia" w:eastAsiaTheme="minorEastAsia" w:cstheme="minorEastAsia"/>
          <w:color w:val="auto"/>
        </w:rPr>
        <w:t>：</w:t>
      </w:r>
    </w:p>
    <w:p>
      <w:pPr>
        <w:pStyle w:val="25"/>
        <w:spacing w:line="42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 xml:space="preserve"> (投标人全称)授权</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(全权代表姓名)</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(职务、职称)为全权代表，参加贵方组织的</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项目 (采购编号：ZJ-204228)的有关活动，并对此项目进行投标。为此：</w:t>
      </w:r>
    </w:p>
    <w:p>
      <w:pPr>
        <w:pStyle w:val="25"/>
        <w:spacing w:line="42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1、我方同意在投标人编制和提交投标文件须知规定的开标日期起遵守本投标书中的承诺且在投标有效期满之前均具有约束力。</w:t>
      </w:r>
    </w:p>
    <w:p>
      <w:pPr>
        <w:pStyle w:val="25"/>
        <w:spacing w:line="42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2、我方承诺已经具备《中华人民共和国政府采购法》中规定的参加政府采购活动的投标人应当具备的条件：</w:t>
      </w:r>
    </w:p>
    <w:p>
      <w:pPr>
        <w:pStyle w:val="25"/>
        <w:spacing w:line="42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(1)具有独立承担民事责任的能力；</w:t>
      </w:r>
    </w:p>
    <w:p>
      <w:pPr>
        <w:pStyle w:val="25"/>
        <w:spacing w:line="42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(2)遵守国家法律、行政法规，具有良好的信誉和商业道德；</w:t>
      </w:r>
    </w:p>
    <w:p>
      <w:pPr>
        <w:pStyle w:val="25"/>
        <w:spacing w:line="42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(3)具有履行合同的能力和良好的履行合同记录；</w:t>
      </w:r>
    </w:p>
    <w:p>
      <w:pPr>
        <w:pStyle w:val="25"/>
        <w:spacing w:line="42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(4)良好的资金、财务状况；</w:t>
      </w:r>
    </w:p>
    <w:p>
      <w:pPr>
        <w:pStyle w:val="25"/>
        <w:spacing w:line="42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(5)没有违反政府采购法规、政策的记录；</w:t>
      </w:r>
    </w:p>
    <w:p>
      <w:pPr>
        <w:pStyle w:val="25"/>
        <w:spacing w:line="42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(6)没有发生重大经济纠纷和走私犯罪记录。</w:t>
      </w:r>
    </w:p>
    <w:p>
      <w:pPr>
        <w:pStyle w:val="25"/>
        <w:spacing w:line="42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3、提供编制和提交投标文件须知规定的全部投标文件，包括一份电子加密标书（后缀格式为.jmbs），一份备份标书文件（后缀格式为.bfbs）。具体内容为：</w:t>
      </w:r>
    </w:p>
    <w:p>
      <w:pPr>
        <w:pStyle w:val="25"/>
        <w:spacing w:line="42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(1)资格响应文件、商务技术响应文件、报价响应文件；</w:t>
      </w:r>
    </w:p>
    <w:p>
      <w:pPr>
        <w:pStyle w:val="25"/>
        <w:spacing w:line="42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(2)编制和提交投标文件须知要求投标人提交的全部文件；</w:t>
      </w:r>
    </w:p>
    <w:p>
      <w:pPr>
        <w:pStyle w:val="25"/>
        <w:spacing w:line="42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(3)按采购文件要求提供和交付的货物和服务的投标报价详见开标一览表；</w:t>
      </w:r>
    </w:p>
    <w:p>
      <w:pPr>
        <w:pStyle w:val="25"/>
        <w:spacing w:line="42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(4)保证忠实地执行双方所签订的合同，并承担合同规定的责任和义务；</w:t>
      </w:r>
    </w:p>
    <w:p>
      <w:pPr>
        <w:pStyle w:val="25"/>
        <w:spacing w:line="42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(5)保证遵守采购文件中的其他有关规定。</w:t>
      </w:r>
    </w:p>
    <w:p>
      <w:pPr>
        <w:pStyle w:val="25"/>
        <w:spacing w:line="42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4、我方完全理解贵方不一定要接受最低价的投标。</w:t>
      </w:r>
    </w:p>
    <w:p>
      <w:pPr>
        <w:pStyle w:val="25"/>
        <w:spacing w:line="42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5、我方愿意向贵方提供任何与该项投标有关的数据、情况和技术资料。若贵方需要，我方愿意提供我方作出的一切承诺的证明材料。</w:t>
      </w:r>
    </w:p>
    <w:p>
      <w:pPr>
        <w:pStyle w:val="25"/>
        <w:spacing w:line="42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6、我方已详细审核全部采购文件，包括采购文件修改书(如果有)、参考资料及有关附件，确认无误。</w:t>
      </w:r>
    </w:p>
    <w:p>
      <w:pPr>
        <w:pStyle w:val="25"/>
        <w:spacing w:line="42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我方将严格遵守《中华人民共和国政府采购法》第七十七条规定，投标人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pStyle w:val="25"/>
        <w:spacing w:line="42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a)提供虚假材料谋取中标、成交的；</w:t>
      </w:r>
    </w:p>
    <w:p>
      <w:pPr>
        <w:pStyle w:val="25"/>
        <w:spacing w:line="42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b)采取不正当手段诋毁、排挤其他投标人的；</w:t>
      </w:r>
    </w:p>
    <w:p>
      <w:pPr>
        <w:pStyle w:val="25"/>
        <w:spacing w:line="42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c)与采购人、其它投标人或者采购代理机构恶意串通的；</w:t>
      </w:r>
    </w:p>
    <w:p>
      <w:pPr>
        <w:pStyle w:val="25"/>
        <w:spacing w:line="42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d)向采购人、采购代理机构行贿或者提供其他不正当利益的；</w:t>
      </w:r>
    </w:p>
    <w:p>
      <w:pPr>
        <w:pStyle w:val="25"/>
        <w:spacing w:line="42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e)在招标采购过程中与采购人进行协商谈判的；</w:t>
      </w:r>
    </w:p>
    <w:p>
      <w:pPr>
        <w:pStyle w:val="25"/>
        <w:spacing w:line="42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f)拒绝有关部门监督检查或提供虚假情况的。</w:t>
      </w:r>
    </w:p>
    <w:p>
      <w:pPr>
        <w:pStyle w:val="25"/>
        <w:spacing w:line="42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投标人有前款第a)至e)项情形之一的，中标、成交无效。</w:t>
      </w:r>
    </w:p>
    <w:p>
      <w:pPr>
        <w:pStyle w:val="25"/>
        <w:spacing w:line="420" w:lineRule="exact"/>
        <w:ind w:firstLine="420" w:firstLineChars="200"/>
        <w:rPr>
          <w:rFonts w:hint="eastAsia" w:asciiTheme="minorEastAsia" w:hAnsiTheme="minorEastAsia" w:eastAsiaTheme="minorEastAsia" w:cstheme="minorEastAsia"/>
          <w:color w:val="auto"/>
        </w:rPr>
      </w:pPr>
    </w:p>
    <w:p>
      <w:pPr>
        <w:pStyle w:val="25"/>
        <w:spacing w:line="420" w:lineRule="exact"/>
        <w:ind w:firstLine="420" w:firstLineChars="200"/>
        <w:rPr>
          <w:rFonts w:hint="eastAsia" w:asciiTheme="minorEastAsia" w:hAnsiTheme="minorEastAsia" w:eastAsiaTheme="minorEastAsia" w:cstheme="minorEastAsia"/>
          <w:color w:val="auto"/>
        </w:rPr>
      </w:pPr>
    </w:p>
    <w:p>
      <w:pPr>
        <w:pStyle w:val="25"/>
        <w:spacing w:line="42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法定代表人（签字或盖章）：</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ab/>
      </w:r>
    </w:p>
    <w:p>
      <w:pPr>
        <w:pStyle w:val="25"/>
        <w:spacing w:line="42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授权委托人（签字）：</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 xml:space="preserve"> </w:t>
      </w:r>
    </w:p>
    <w:p>
      <w:pPr>
        <w:pStyle w:val="25"/>
        <w:spacing w:line="42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投标人（盖公章）：</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 xml:space="preserve"> </w:t>
      </w:r>
    </w:p>
    <w:p>
      <w:pPr>
        <w:pStyle w:val="25"/>
        <w:spacing w:line="42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联系人：</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 xml:space="preserve">    联系电话</w:t>
      </w:r>
      <w:r>
        <w:rPr>
          <w:rFonts w:hint="eastAsia" w:asciiTheme="minorEastAsia" w:hAnsiTheme="minorEastAsia" w:eastAsiaTheme="minorEastAsia" w:cstheme="minorEastAsia"/>
          <w:color w:val="auto"/>
          <w:u w:val="single"/>
        </w:rPr>
        <w:t xml:space="preserve">：                 </w:t>
      </w:r>
    </w:p>
    <w:p>
      <w:pPr>
        <w:pStyle w:val="25"/>
        <w:spacing w:line="42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联系地址：</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 xml:space="preserve">                               </w:t>
      </w:r>
    </w:p>
    <w:p>
      <w:pPr>
        <w:pStyle w:val="25"/>
        <w:spacing w:line="42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邮政编码：</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传真号码</w:t>
      </w:r>
      <w:r>
        <w:rPr>
          <w:rFonts w:hint="eastAsia" w:asciiTheme="minorEastAsia" w:hAnsiTheme="minorEastAsia" w:eastAsiaTheme="minorEastAsia" w:cstheme="minorEastAsia"/>
          <w:color w:val="auto"/>
          <w:u w:val="single"/>
        </w:rPr>
        <w:t xml:space="preserve">：                     </w:t>
      </w:r>
    </w:p>
    <w:p>
      <w:pPr>
        <w:pStyle w:val="25"/>
        <w:spacing w:line="42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日    期：</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年</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u w:val="single"/>
        </w:rPr>
        <w:tab/>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月</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日</w:t>
      </w:r>
    </w:p>
    <w:p>
      <w:pPr>
        <w:autoSpaceDE w:val="0"/>
        <w:autoSpaceDN w:val="0"/>
        <w:adjustRightInd w:val="0"/>
        <w:spacing w:line="360" w:lineRule="auto"/>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Cs/>
          <w:color w:val="auto"/>
          <w:szCs w:val="21"/>
        </w:rPr>
        <w:br w:type="page"/>
      </w:r>
      <w:r>
        <w:rPr>
          <w:rFonts w:hint="eastAsia" w:asciiTheme="minorEastAsia" w:hAnsiTheme="minorEastAsia" w:eastAsiaTheme="minorEastAsia" w:cstheme="minorEastAsia"/>
          <w:b/>
          <w:bCs/>
          <w:color w:val="auto"/>
          <w:szCs w:val="21"/>
        </w:rPr>
        <w:t>4.2开标一览表</w:t>
      </w:r>
    </w:p>
    <w:p>
      <w:pPr>
        <w:pStyle w:val="20"/>
        <w:spacing w:line="600" w:lineRule="exact"/>
        <w:ind w:firstLine="0"/>
        <w:jc w:val="center"/>
        <w:rPr>
          <w:rFonts w:hint="eastAsia" w:asciiTheme="minorEastAsia" w:hAnsiTheme="minorEastAsia" w:eastAsiaTheme="minorEastAsia" w:cstheme="minorEastAsia"/>
          <w:b/>
          <w:bCs/>
          <w:snapToGrid w:val="0"/>
          <w:color w:val="auto"/>
          <w:kern w:val="0"/>
          <w:sz w:val="28"/>
          <w:szCs w:val="28"/>
        </w:rPr>
      </w:pPr>
      <w:r>
        <w:rPr>
          <w:rFonts w:hint="eastAsia" w:asciiTheme="minorEastAsia" w:hAnsiTheme="minorEastAsia" w:eastAsiaTheme="minorEastAsia" w:cstheme="minorEastAsia"/>
          <w:b/>
          <w:bCs/>
          <w:snapToGrid w:val="0"/>
          <w:color w:val="auto"/>
          <w:kern w:val="0"/>
          <w:sz w:val="28"/>
          <w:szCs w:val="28"/>
        </w:rPr>
        <w:t>开标一览表</w:t>
      </w:r>
    </w:p>
    <w:p>
      <w:pPr>
        <w:adjustRightInd w:val="0"/>
        <w:spacing w:line="360" w:lineRule="auto"/>
        <w:rPr>
          <w:rFonts w:hint="eastAsia" w:asciiTheme="minorEastAsia" w:hAnsiTheme="minorEastAsia" w:eastAsiaTheme="minorEastAsia" w:cstheme="minorEastAsia"/>
          <w:color w:val="auto"/>
          <w:szCs w:val="21"/>
        </w:rPr>
      </w:pPr>
    </w:p>
    <w:p>
      <w:pPr>
        <w:adjustRightIn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项目名称：                                 采购编号：</w:t>
      </w:r>
    </w:p>
    <w:tbl>
      <w:tblPr>
        <w:tblStyle w:val="48"/>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459"/>
        <w:gridCol w:w="1312"/>
        <w:gridCol w:w="1313"/>
        <w:gridCol w:w="16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3" w:hRule="atLeast"/>
          <w:jc w:val="center"/>
        </w:trPr>
        <w:tc>
          <w:tcPr>
            <w:tcW w:w="876" w:type="dxa"/>
            <w:vMerge w:val="restart"/>
            <w:tcBorders>
              <w:top w:val="single" w:color="auto" w:sz="4" w:space="0"/>
              <w:left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序号</w:t>
            </w:r>
          </w:p>
        </w:tc>
        <w:tc>
          <w:tcPr>
            <w:tcW w:w="2459" w:type="dxa"/>
            <w:vMerge w:val="restart"/>
            <w:tcBorders>
              <w:top w:val="single" w:color="auto" w:sz="4" w:space="0"/>
              <w:left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标项名称</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响应单价</w:t>
            </w:r>
          </w:p>
          <w:p>
            <w:pPr>
              <w:adjustRightInd w:val="0"/>
              <w:snapToGrid w:val="0"/>
              <w:spacing w:line="24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（元）</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企业数量</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投标标项费用</w:t>
            </w:r>
            <w:r>
              <w:rPr>
                <w:rFonts w:hint="eastAsia" w:asciiTheme="minorEastAsia" w:hAnsiTheme="minorEastAsia" w:eastAsiaTheme="minorEastAsia" w:cstheme="minorEastAsia"/>
                <w:color w:val="auto"/>
                <w:szCs w:val="21"/>
              </w:rPr>
              <w:t>（元）</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876"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color w:val="auto"/>
                <w:szCs w:val="21"/>
              </w:rPr>
            </w:pPr>
          </w:p>
        </w:tc>
        <w:tc>
          <w:tcPr>
            <w:tcW w:w="2459"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color w:val="auto"/>
                <w:szCs w:val="21"/>
              </w:rPr>
            </w:pPr>
          </w:p>
        </w:tc>
        <w:tc>
          <w:tcPr>
            <w:tcW w:w="13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A</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B</w:t>
            </w:r>
          </w:p>
        </w:tc>
        <w:tc>
          <w:tcPr>
            <w:tcW w:w="1680" w:type="dxa"/>
            <w:tcBorders>
              <w:top w:val="single" w:color="auto" w:sz="4" w:space="0"/>
              <w:left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C=A×B</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7" w:hRule="atLeast"/>
          <w:jc w:val="center"/>
        </w:trPr>
        <w:tc>
          <w:tcPr>
            <w:tcW w:w="8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参与的标项序号</w:t>
            </w:r>
            <w:r>
              <w:rPr>
                <w:rFonts w:hint="eastAsia" w:asciiTheme="minorEastAsia" w:hAnsiTheme="minorEastAsia" w:eastAsiaTheme="minorEastAsia" w:cstheme="minorEastAsia"/>
                <w:color w:val="auto"/>
                <w:szCs w:val="21"/>
                <w:lang w:eastAsia="zh-CN"/>
              </w:rPr>
              <w:t>）</w:t>
            </w:r>
          </w:p>
        </w:tc>
        <w:tc>
          <w:tcPr>
            <w:tcW w:w="2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（参与的标项名称）</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color w:val="auto"/>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eastAsia="zh-CN"/>
              </w:rPr>
              <w:t>（按“用户需求书”</w:t>
            </w:r>
            <w:r>
              <w:rPr>
                <w:rFonts w:hint="eastAsia" w:asciiTheme="minorEastAsia" w:hAnsiTheme="minorEastAsia" w:eastAsiaTheme="minorEastAsia" w:cstheme="minorEastAsia"/>
                <w:color w:val="auto"/>
                <w:szCs w:val="21"/>
                <w:lang w:val="en-US" w:eastAsia="zh-CN"/>
              </w:rPr>
              <w:t>参与</w:t>
            </w:r>
            <w:r>
              <w:rPr>
                <w:rFonts w:hint="eastAsia" w:asciiTheme="minorEastAsia" w:hAnsiTheme="minorEastAsia" w:eastAsiaTheme="minorEastAsia" w:cstheme="minorEastAsia"/>
                <w:color w:val="auto"/>
                <w:szCs w:val="21"/>
                <w:lang w:eastAsia="zh-CN"/>
              </w:rPr>
              <w:t>标项的企业数量）</w:t>
            </w:r>
          </w:p>
        </w:tc>
        <w:tc>
          <w:tcPr>
            <w:tcW w:w="1680" w:type="dxa"/>
            <w:tcBorders>
              <w:top w:val="single" w:color="auto" w:sz="4" w:space="0"/>
              <w:left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color w:val="auto"/>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color w:val="auto"/>
                <w:szCs w:val="21"/>
              </w:rPr>
            </w:pPr>
          </w:p>
        </w:tc>
      </w:tr>
    </w:tbl>
    <w:p>
      <w:pPr>
        <w:pStyle w:val="28"/>
        <w:ind w:firstLine="0" w:firstLineChars="0"/>
        <w:rPr>
          <w:rFonts w:asciiTheme="minorEastAsia" w:hAnsiTheme="minorEastAsia" w:eastAsiaTheme="minorEastAsia" w:cstheme="minorEastAsia"/>
          <w:color w:val="auto"/>
        </w:rPr>
      </w:pPr>
    </w:p>
    <w:p>
      <w:pPr>
        <w:adjustRightInd w:val="0"/>
        <w:spacing w:line="360" w:lineRule="auto"/>
        <w:jc w:val="left"/>
        <w:rPr>
          <w:rFonts w:hint="eastAsia" w:asciiTheme="minorEastAsia" w:hAnsiTheme="minorEastAsia" w:eastAsiaTheme="minorEastAsia" w:cstheme="minorEastAsia"/>
          <w:color w:val="auto"/>
          <w:szCs w:val="21"/>
        </w:rPr>
      </w:pPr>
    </w:p>
    <w:p>
      <w:pPr>
        <w:adjustRightInd w:val="0"/>
        <w:spacing w:line="360" w:lineRule="auto"/>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注：</w:t>
      </w:r>
    </w:p>
    <w:p>
      <w:pPr>
        <w:adjustRightInd w:val="0"/>
        <w:spacing w:line="360" w:lineRule="auto"/>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lang w:val="en-US" w:eastAsia="zh-CN"/>
        </w:rPr>
        <w:t>1</w:t>
      </w:r>
      <w:r>
        <w:rPr>
          <w:rFonts w:hint="eastAsia" w:asciiTheme="minorEastAsia" w:hAnsiTheme="minorEastAsia" w:eastAsiaTheme="minorEastAsia" w:cstheme="minorEastAsia"/>
          <w:b/>
          <w:bCs/>
          <w:color w:val="auto"/>
          <w:szCs w:val="21"/>
        </w:rPr>
        <w:t>、“报价方式”以一次报清，完成本项目所需的所有费用必须包含在总报价中，如以后已实施而未列入报价的费用将被视为投标人优惠，采购人均不予支付。</w:t>
      </w:r>
    </w:p>
    <w:p>
      <w:pPr>
        <w:adjustRightInd w:val="0"/>
        <w:spacing w:line="360" w:lineRule="auto"/>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lang w:val="en-US" w:eastAsia="zh-CN"/>
        </w:rPr>
        <w:t>2</w:t>
      </w:r>
      <w:r>
        <w:rPr>
          <w:rFonts w:hint="eastAsia" w:asciiTheme="minorEastAsia" w:hAnsiTheme="minorEastAsia" w:eastAsiaTheme="minorEastAsia" w:cstheme="minorEastAsia"/>
          <w:b/>
          <w:bCs/>
          <w:color w:val="auto"/>
          <w:szCs w:val="21"/>
        </w:rPr>
        <w:t>、投多个标项的，按标项提供单独的开标一览表及投标报价明细表。</w:t>
      </w:r>
    </w:p>
    <w:p>
      <w:pPr>
        <w:adjustRightInd w:val="0"/>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bCs/>
          <w:color w:val="auto"/>
          <w:szCs w:val="21"/>
          <w:lang w:val="en-US" w:eastAsia="zh-CN"/>
        </w:rPr>
        <w:t>3、为便于查询及评审，该表中，“序号”、“标项名称”请填写采购公告“招标项目概况”的相应内容。</w:t>
      </w:r>
    </w:p>
    <w:p>
      <w:pPr>
        <w:adjustRightInd w:val="0"/>
        <w:spacing w:line="360" w:lineRule="auto"/>
        <w:ind w:firstLine="420" w:firstLineChars="200"/>
        <w:rPr>
          <w:rFonts w:hint="eastAsia" w:asciiTheme="minorEastAsia" w:hAnsiTheme="minorEastAsia" w:eastAsiaTheme="minorEastAsia" w:cstheme="minorEastAsia"/>
          <w:color w:val="auto"/>
          <w:szCs w:val="21"/>
        </w:rPr>
      </w:pPr>
    </w:p>
    <w:p>
      <w:pPr>
        <w:adjustRightInd w:val="0"/>
        <w:spacing w:line="360" w:lineRule="auto"/>
        <w:ind w:firstLine="420" w:firstLineChars="200"/>
        <w:rPr>
          <w:rFonts w:hint="eastAsia" w:asciiTheme="minorEastAsia" w:hAnsiTheme="minorEastAsia" w:eastAsiaTheme="minorEastAsia" w:cstheme="minorEastAsia"/>
          <w:color w:val="auto"/>
          <w:szCs w:val="21"/>
        </w:rPr>
      </w:pPr>
    </w:p>
    <w:p>
      <w:pPr>
        <w:adjustRightInd w:val="0"/>
        <w:spacing w:line="360" w:lineRule="auto"/>
        <w:ind w:firstLine="420" w:firstLineChars="200"/>
        <w:rPr>
          <w:rFonts w:hint="eastAsia" w:asciiTheme="minorEastAsia" w:hAnsiTheme="minorEastAsia" w:eastAsiaTheme="minorEastAsia" w:cstheme="minorEastAsia"/>
          <w:color w:val="auto"/>
          <w:szCs w:val="21"/>
        </w:rPr>
      </w:pPr>
    </w:p>
    <w:p>
      <w:pPr>
        <w:adjustRightInd w:val="0"/>
        <w:spacing w:line="360" w:lineRule="auto"/>
        <w:ind w:firstLine="4515" w:firstLineChars="215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投标人(盖公章)</w:t>
      </w:r>
    </w:p>
    <w:p>
      <w:pPr>
        <w:adjustRightInd w:val="0"/>
        <w:spacing w:line="360" w:lineRule="auto"/>
        <w:ind w:firstLine="4515" w:firstLineChars="215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法定代表人或授权代表(签字或盖章)</w:t>
      </w:r>
    </w:p>
    <w:p>
      <w:pPr>
        <w:pStyle w:val="25"/>
        <w:spacing w:line="420" w:lineRule="exact"/>
        <w:ind w:firstLine="4515" w:firstLineChars="215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日     期：</w:t>
      </w:r>
    </w:p>
    <w:p>
      <w:pPr>
        <w:snapToGrid w:val="0"/>
        <w:spacing w:line="360" w:lineRule="auto"/>
        <w:rPr>
          <w:rFonts w:hint="eastAsia" w:asciiTheme="minorEastAsia" w:hAnsiTheme="minorEastAsia" w:eastAsiaTheme="minorEastAsia" w:cstheme="minorEastAsia"/>
          <w:b/>
          <w:bCs/>
          <w:color w:val="auto"/>
          <w:szCs w:val="21"/>
          <w:lang w:eastAsia="zh-CN"/>
        </w:rPr>
      </w:pPr>
      <w:r>
        <w:rPr>
          <w:rFonts w:hint="eastAsia" w:asciiTheme="minorEastAsia" w:hAnsiTheme="minorEastAsia" w:eastAsiaTheme="minorEastAsia" w:cstheme="minorEastAsia"/>
          <w:color w:val="auto"/>
        </w:rPr>
        <w:br w:type="page"/>
      </w:r>
      <w:r>
        <w:rPr>
          <w:rFonts w:hint="eastAsia" w:asciiTheme="minorEastAsia" w:hAnsiTheme="minorEastAsia" w:eastAsiaTheme="minorEastAsia" w:cstheme="minorEastAsia"/>
          <w:b/>
          <w:bCs/>
          <w:color w:val="auto"/>
          <w:szCs w:val="21"/>
        </w:rPr>
        <w:t>4.3投标报价明细表</w:t>
      </w:r>
      <w:r>
        <w:rPr>
          <w:rFonts w:hint="eastAsia" w:asciiTheme="minorEastAsia" w:hAnsiTheme="minorEastAsia" w:eastAsiaTheme="minorEastAsia" w:cstheme="minorEastAsia"/>
          <w:b/>
          <w:bCs/>
          <w:color w:val="auto"/>
          <w:szCs w:val="21"/>
          <w:lang w:eastAsia="zh-CN"/>
        </w:rPr>
        <w:t>（</w:t>
      </w:r>
      <w:r>
        <w:rPr>
          <w:rFonts w:hint="eastAsia" w:asciiTheme="minorEastAsia" w:hAnsiTheme="minorEastAsia" w:eastAsiaTheme="minorEastAsia" w:cstheme="minorEastAsia"/>
          <w:b/>
          <w:color w:val="auto"/>
          <w:szCs w:val="21"/>
        </w:rPr>
        <w:t>成本测算</w:t>
      </w:r>
      <w:r>
        <w:rPr>
          <w:rFonts w:hint="eastAsia" w:asciiTheme="minorEastAsia" w:hAnsiTheme="minorEastAsia" w:eastAsiaTheme="minorEastAsia" w:cstheme="minorEastAsia"/>
          <w:b/>
          <w:bCs/>
          <w:color w:val="auto"/>
          <w:szCs w:val="21"/>
          <w:lang w:eastAsia="zh-CN"/>
        </w:rPr>
        <w:t>）</w:t>
      </w:r>
    </w:p>
    <w:p>
      <w:pPr>
        <w:pStyle w:val="20"/>
        <w:spacing w:line="600" w:lineRule="exact"/>
        <w:ind w:firstLine="0"/>
        <w:jc w:val="center"/>
        <w:rPr>
          <w:rFonts w:hint="eastAsia" w:asciiTheme="minorEastAsia" w:hAnsiTheme="minorEastAsia" w:eastAsiaTheme="minorEastAsia" w:cstheme="minorEastAsia"/>
          <w:b/>
          <w:bCs/>
          <w:snapToGrid w:val="0"/>
          <w:color w:val="auto"/>
          <w:kern w:val="0"/>
          <w:sz w:val="28"/>
          <w:szCs w:val="28"/>
          <w:lang w:eastAsia="zh-CN"/>
        </w:rPr>
      </w:pPr>
      <w:r>
        <w:rPr>
          <w:rFonts w:hint="eastAsia" w:asciiTheme="minorEastAsia" w:hAnsiTheme="minorEastAsia" w:eastAsiaTheme="minorEastAsia" w:cstheme="minorEastAsia"/>
          <w:b/>
          <w:bCs/>
          <w:snapToGrid w:val="0"/>
          <w:color w:val="auto"/>
          <w:kern w:val="0"/>
          <w:sz w:val="28"/>
          <w:szCs w:val="28"/>
        </w:rPr>
        <w:t>投标报价明细表</w:t>
      </w:r>
      <w:r>
        <w:rPr>
          <w:rFonts w:hint="eastAsia" w:asciiTheme="minorEastAsia" w:hAnsiTheme="minorEastAsia" w:eastAsiaTheme="minorEastAsia" w:cstheme="minorEastAsia"/>
          <w:b/>
          <w:bCs/>
          <w:snapToGrid w:val="0"/>
          <w:color w:val="auto"/>
          <w:kern w:val="0"/>
          <w:sz w:val="28"/>
          <w:szCs w:val="28"/>
          <w:lang w:eastAsia="zh-CN"/>
        </w:rPr>
        <w:t>（</w:t>
      </w:r>
      <w:r>
        <w:rPr>
          <w:rFonts w:hint="eastAsia" w:asciiTheme="minorEastAsia" w:hAnsiTheme="minorEastAsia" w:eastAsiaTheme="minorEastAsia" w:cstheme="minorEastAsia"/>
          <w:b/>
          <w:bCs/>
          <w:snapToGrid w:val="0"/>
          <w:color w:val="auto"/>
          <w:kern w:val="0"/>
          <w:sz w:val="28"/>
          <w:szCs w:val="28"/>
          <w:lang w:val="en-US" w:eastAsia="zh-CN"/>
        </w:rPr>
        <w:t>成本测算</w:t>
      </w:r>
      <w:r>
        <w:rPr>
          <w:rFonts w:hint="eastAsia" w:asciiTheme="minorEastAsia" w:hAnsiTheme="minorEastAsia" w:eastAsiaTheme="minorEastAsia" w:cstheme="minorEastAsia"/>
          <w:b/>
          <w:bCs/>
          <w:snapToGrid w:val="0"/>
          <w:color w:val="auto"/>
          <w:kern w:val="0"/>
          <w:sz w:val="28"/>
          <w:szCs w:val="28"/>
          <w:lang w:eastAsia="zh-CN"/>
        </w:rPr>
        <w:t>）</w:t>
      </w:r>
    </w:p>
    <w:p>
      <w:pPr>
        <w:adjustRightInd w:val="0"/>
        <w:spacing w:line="360" w:lineRule="auto"/>
        <w:jc w:val="left"/>
        <w:rPr>
          <w:rFonts w:hint="eastAsia" w:asciiTheme="minorEastAsia" w:hAnsiTheme="minorEastAsia" w:eastAsiaTheme="minorEastAsia" w:cstheme="minorEastAsia"/>
          <w:color w:val="auto"/>
          <w:szCs w:val="21"/>
        </w:rPr>
      </w:pPr>
    </w:p>
    <w:p>
      <w:pPr>
        <w:adjustRightInd w:val="0"/>
        <w:spacing w:line="36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adjustRightInd w:val="0"/>
        <w:spacing w:line="360" w:lineRule="auto"/>
        <w:jc w:val="left"/>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 xml:space="preserve">采购编号： </w:t>
      </w:r>
      <w:r>
        <w:rPr>
          <w:rFonts w:hint="eastAsia" w:asciiTheme="minorEastAsia" w:hAnsiTheme="minorEastAsia" w:eastAsiaTheme="minorEastAsia" w:cstheme="minorEastAsia"/>
          <w:color w:val="auto"/>
          <w:szCs w:val="21"/>
          <w:u w:val="single"/>
        </w:rPr>
        <w:t xml:space="preserve">                   </w:t>
      </w:r>
    </w:p>
    <w:p>
      <w:pPr>
        <w:adjustRightInd w:val="0"/>
        <w:spacing w:line="36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投标标项： </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pStyle w:val="20"/>
        <w:spacing w:line="600" w:lineRule="exact"/>
        <w:ind w:firstLine="0"/>
        <w:jc w:val="center"/>
        <w:rPr>
          <w:rFonts w:hint="eastAsia" w:asciiTheme="minorEastAsia" w:hAnsiTheme="minorEastAsia" w:eastAsiaTheme="minorEastAsia" w:cstheme="minorEastAsia"/>
          <w:b/>
          <w:bCs/>
          <w:snapToGrid w:val="0"/>
          <w:color w:val="auto"/>
          <w:kern w:val="0"/>
          <w:sz w:val="28"/>
          <w:szCs w:val="28"/>
        </w:rPr>
      </w:pPr>
    </w:p>
    <w:tbl>
      <w:tblPr>
        <w:tblStyle w:val="48"/>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7" w:hRule="atLeast"/>
        </w:trPr>
        <w:tc>
          <w:tcPr>
            <w:tcW w:w="8946" w:type="dxa"/>
            <w:noWrap w:val="0"/>
            <w:vAlign w:val="top"/>
          </w:tcPr>
          <w:p>
            <w:pPr>
              <w:snapToGrid w:val="0"/>
              <w:spacing w:line="360" w:lineRule="auto"/>
              <w:rPr>
                <w:rFonts w:hint="eastAsia" w:asciiTheme="minorEastAsia" w:hAnsiTheme="minorEastAsia" w:eastAsiaTheme="minorEastAsia" w:cstheme="minorEastAsia"/>
                <w:color w:val="auto"/>
              </w:rPr>
            </w:pPr>
          </w:p>
        </w:tc>
      </w:tr>
    </w:tbl>
    <w:p>
      <w:pPr>
        <w:snapToGrid w:val="0"/>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注：各投标人对本项目投标报价的合理性进行说明，</w:t>
      </w:r>
      <w:r>
        <w:rPr>
          <w:rFonts w:hint="eastAsia" w:asciiTheme="minorEastAsia" w:hAnsiTheme="minorEastAsia" w:eastAsiaTheme="minorEastAsia" w:cstheme="minorEastAsia"/>
          <w:color w:val="auto"/>
          <w:lang w:val="en-US" w:eastAsia="zh-CN"/>
        </w:rPr>
        <w:t>内容自拟，</w:t>
      </w:r>
      <w:r>
        <w:rPr>
          <w:rFonts w:hint="eastAsia" w:asciiTheme="minorEastAsia" w:hAnsiTheme="minorEastAsia" w:eastAsiaTheme="minorEastAsia" w:cstheme="minorEastAsia"/>
          <w:color w:val="auto"/>
        </w:rPr>
        <w:t>形式不限。</w:t>
      </w:r>
    </w:p>
    <w:p>
      <w:pPr>
        <w:snapToGrid w:val="0"/>
        <w:spacing w:line="360" w:lineRule="auto"/>
        <w:rPr>
          <w:rFonts w:hint="eastAsia" w:asciiTheme="minorEastAsia" w:hAnsiTheme="minorEastAsia" w:eastAsiaTheme="minorEastAsia" w:cstheme="minorEastAsia"/>
          <w:color w:val="auto"/>
        </w:rPr>
      </w:pPr>
    </w:p>
    <w:p>
      <w:pPr>
        <w:snapToGrid w:val="0"/>
        <w:spacing w:line="360" w:lineRule="auto"/>
        <w:rPr>
          <w:rFonts w:hint="eastAsia" w:asciiTheme="minorEastAsia" w:hAnsiTheme="minorEastAsia" w:eastAsiaTheme="minorEastAsia" w:cstheme="minorEastAsia"/>
          <w:color w:val="auto"/>
        </w:rPr>
      </w:pPr>
    </w:p>
    <w:p>
      <w:pPr>
        <w:adjustRightInd w:val="0"/>
        <w:spacing w:line="360" w:lineRule="auto"/>
        <w:ind w:firstLine="4515" w:firstLineChars="215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投标人(盖公章)</w:t>
      </w:r>
    </w:p>
    <w:p>
      <w:pPr>
        <w:adjustRightInd w:val="0"/>
        <w:spacing w:line="360" w:lineRule="auto"/>
        <w:ind w:firstLine="4515" w:firstLineChars="215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法定代表人或授权代表(签字或盖章)</w:t>
      </w:r>
    </w:p>
    <w:p>
      <w:pPr>
        <w:adjustRightInd w:val="0"/>
        <w:ind w:firstLine="4515" w:firstLineChars="215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日     期：</w:t>
      </w:r>
    </w:p>
    <w:p>
      <w:pPr>
        <w:pStyle w:val="50"/>
        <w:rPr>
          <w:rFonts w:hint="eastAsia" w:asciiTheme="minorEastAsia" w:hAnsiTheme="minorEastAsia" w:eastAsiaTheme="minorEastAsia" w:cstheme="minorEastAsia"/>
          <w:color w:val="auto"/>
        </w:rPr>
      </w:pPr>
    </w:p>
    <w:p>
      <w:pPr>
        <w:snapToGrid w:val="0"/>
        <w:spacing w:line="360" w:lineRule="auto"/>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color w:val="auto"/>
        </w:rPr>
        <w:br w:type="page"/>
      </w:r>
      <w:r>
        <w:rPr>
          <w:rFonts w:hint="eastAsia" w:asciiTheme="minorEastAsia" w:hAnsiTheme="minorEastAsia" w:eastAsiaTheme="minorEastAsia" w:cstheme="minorEastAsia"/>
          <w:b/>
          <w:color w:val="auto"/>
          <w:szCs w:val="21"/>
        </w:rPr>
        <w:t>4.</w:t>
      </w:r>
      <w:r>
        <w:rPr>
          <w:rFonts w:hint="eastAsia" w:asciiTheme="minorEastAsia" w:hAnsiTheme="minorEastAsia" w:eastAsiaTheme="minorEastAsia" w:cstheme="minorEastAsia"/>
          <w:b/>
          <w:color w:val="auto"/>
          <w:szCs w:val="21"/>
          <w:lang w:val="en-US" w:eastAsia="zh-CN"/>
        </w:rPr>
        <w:t>4</w:t>
      </w:r>
      <w:r>
        <w:rPr>
          <w:rFonts w:hint="eastAsia" w:asciiTheme="minorEastAsia" w:hAnsiTheme="minorEastAsia" w:eastAsiaTheme="minorEastAsia" w:cstheme="minorEastAsia"/>
          <w:b/>
          <w:color w:val="auto"/>
          <w:szCs w:val="21"/>
        </w:rPr>
        <w:t>中小企业声明函</w:t>
      </w:r>
    </w:p>
    <w:p>
      <w:pPr>
        <w:pStyle w:val="20"/>
        <w:spacing w:line="600" w:lineRule="exact"/>
        <w:ind w:firstLine="0"/>
        <w:jc w:val="center"/>
        <w:rPr>
          <w:rFonts w:hint="eastAsia" w:asciiTheme="minorEastAsia" w:hAnsiTheme="minorEastAsia" w:eastAsiaTheme="minorEastAsia" w:cstheme="minorEastAsia"/>
          <w:b/>
          <w:bCs/>
          <w:snapToGrid w:val="0"/>
          <w:color w:val="auto"/>
          <w:kern w:val="0"/>
          <w:sz w:val="28"/>
          <w:szCs w:val="28"/>
        </w:rPr>
      </w:pPr>
      <w:r>
        <w:rPr>
          <w:rFonts w:hint="eastAsia" w:asciiTheme="minorEastAsia" w:hAnsiTheme="minorEastAsia" w:eastAsiaTheme="minorEastAsia" w:cstheme="minorEastAsia"/>
          <w:b/>
          <w:bCs/>
          <w:snapToGrid w:val="0"/>
          <w:color w:val="auto"/>
          <w:kern w:val="0"/>
          <w:sz w:val="28"/>
          <w:szCs w:val="28"/>
        </w:rPr>
        <w:t>中小企业声明函</w:t>
      </w:r>
    </w:p>
    <w:p>
      <w:pPr>
        <w:pStyle w:val="40"/>
        <w:spacing w:before="0" w:beforeAutospacing="0" w:after="0" w:afterAutospacing="0" w:line="360" w:lineRule="auto"/>
        <w:jc w:val="center"/>
        <w:rPr>
          <w:rFonts w:hint="eastAsia" w:asciiTheme="minorEastAsia" w:hAnsiTheme="minorEastAsia" w:eastAsiaTheme="minorEastAsia" w:cstheme="minorEastAsia"/>
          <w:color w:val="auto"/>
        </w:rPr>
      </w:pPr>
    </w:p>
    <w:p>
      <w:pPr>
        <w:pStyle w:val="40"/>
        <w:spacing w:before="0" w:beforeAutospacing="0" w:after="0" w:afterAutospacing="0" w:line="360" w:lineRule="auto"/>
        <w:ind w:firstLine="420" w:firstLineChars="20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本公司郑重声明，根据《政府采购促进中小企业发展暂行办法》（财库〔2011〕181号）的规定，本公司为______（请填写：中型、小型、微型）企业。即，本公司同时满足以下条件：</w:t>
      </w:r>
    </w:p>
    <w:p>
      <w:pPr>
        <w:pStyle w:val="40"/>
        <w:spacing w:before="0" w:beforeAutospacing="0" w:after="0" w:afterAutospacing="0" w:line="360" w:lineRule="auto"/>
        <w:ind w:firstLine="420" w:firstLineChars="20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根据《工业和信息化部、国家统计局、国家发展和改革委员会、财政部关于印发中小企业划型标准规定的通知》（工信部联企业〔2011〕300号）规定的划分标准，本公司为______（请填写：中型、小型、微型）企业。</w:t>
      </w:r>
    </w:p>
    <w:p>
      <w:pPr>
        <w:pStyle w:val="40"/>
        <w:spacing w:before="0" w:beforeAutospacing="0" w:after="0" w:afterAutospacing="0" w:line="360" w:lineRule="auto"/>
        <w:ind w:firstLine="420" w:firstLineChars="20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pStyle w:val="40"/>
        <w:spacing w:before="0" w:beforeAutospacing="0" w:after="0" w:afterAutospacing="0" w:line="360" w:lineRule="auto"/>
        <w:ind w:firstLine="420" w:firstLineChars="20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本公司对上述声明的真实性负责。如有虚假，将依法承担相应责任。</w:t>
      </w:r>
    </w:p>
    <w:p>
      <w:pPr>
        <w:pStyle w:val="40"/>
        <w:spacing w:before="0" w:beforeAutospacing="0" w:after="0" w:afterAutospacing="0" w:line="360" w:lineRule="auto"/>
        <w:ind w:firstLine="420" w:firstLineChars="200"/>
        <w:jc w:val="both"/>
        <w:rPr>
          <w:rFonts w:hint="eastAsia" w:asciiTheme="minorEastAsia" w:hAnsiTheme="minorEastAsia" w:eastAsiaTheme="minorEastAsia" w:cstheme="minorEastAsia"/>
          <w:color w:val="auto"/>
          <w:sz w:val="21"/>
          <w:szCs w:val="21"/>
        </w:rPr>
      </w:pPr>
    </w:p>
    <w:p>
      <w:pPr>
        <w:pStyle w:val="40"/>
        <w:spacing w:before="0" w:beforeAutospacing="0" w:after="0" w:afterAutospacing="0" w:line="360" w:lineRule="auto"/>
        <w:ind w:firstLine="420" w:firstLineChars="200"/>
        <w:jc w:val="both"/>
        <w:rPr>
          <w:rFonts w:hint="eastAsia" w:asciiTheme="minorEastAsia" w:hAnsiTheme="minorEastAsia" w:eastAsiaTheme="minorEastAsia" w:cstheme="minorEastAsia"/>
          <w:color w:val="auto"/>
          <w:sz w:val="21"/>
          <w:szCs w:val="21"/>
        </w:rPr>
      </w:pPr>
    </w:p>
    <w:p>
      <w:pPr>
        <w:pStyle w:val="40"/>
        <w:spacing w:before="0" w:beforeAutospacing="0" w:after="0" w:afterAutospacing="0" w:line="360" w:lineRule="auto"/>
        <w:ind w:firstLine="420" w:firstLineChars="20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企业名称（盖章）：</w:t>
      </w:r>
    </w:p>
    <w:p>
      <w:pPr>
        <w:snapToGrid w:val="0"/>
        <w:spacing w:line="360" w:lineRule="auto"/>
        <w:ind w:firstLine="420" w:firstLineChars="200"/>
        <w:rPr>
          <w:rFonts w:hint="eastAsia" w:asciiTheme="minorEastAsia" w:hAnsiTheme="minorEastAsia" w:eastAsiaTheme="minorEastAsia" w:cstheme="minorEastAsia"/>
          <w:b/>
          <w:bCs/>
          <w:snapToGrid w:val="0"/>
          <w:color w:val="auto"/>
          <w:kern w:val="0"/>
          <w:szCs w:val="21"/>
        </w:rPr>
      </w:pPr>
      <w:r>
        <w:rPr>
          <w:rFonts w:hint="eastAsia" w:asciiTheme="minorEastAsia" w:hAnsiTheme="minorEastAsia" w:eastAsiaTheme="minorEastAsia" w:cstheme="minorEastAsia"/>
          <w:color w:val="auto"/>
          <w:szCs w:val="21"/>
        </w:rPr>
        <w:t>日   期：</w:t>
      </w:r>
    </w:p>
    <w:p>
      <w:pPr>
        <w:snapToGrid w:val="0"/>
        <w:spacing w:line="360" w:lineRule="auto"/>
        <w:rPr>
          <w:rFonts w:hint="eastAsia" w:asciiTheme="minorEastAsia" w:hAnsiTheme="minorEastAsia" w:eastAsiaTheme="minorEastAsia" w:cstheme="minorEastAsia"/>
          <w:b/>
          <w:color w:val="auto"/>
          <w:sz w:val="24"/>
        </w:rPr>
      </w:pPr>
    </w:p>
    <w:p>
      <w:pPr>
        <w:snapToGrid w:val="0"/>
        <w:spacing w:line="360" w:lineRule="auto"/>
        <w:rPr>
          <w:rFonts w:hint="eastAsia" w:asciiTheme="minorEastAsia" w:hAnsiTheme="minorEastAsia" w:eastAsiaTheme="minorEastAsia" w:cstheme="minorEastAsia"/>
          <w:b/>
          <w:color w:val="auto"/>
          <w:sz w:val="24"/>
        </w:rPr>
      </w:pPr>
    </w:p>
    <w:p>
      <w:pPr>
        <w:snapToGrid w:val="0"/>
        <w:spacing w:line="360" w:lineRule="auto"/>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color w:val="auto"/>
          <w:szCs w:val="21"/>
        </w:rPr>
        <w:t>注：投标人在填写上述声明函前，须先自查本企业及投标产品制造商是否满足小微企业认定标准，可通过“国家企业信用信息公示系统——小微企业名录”页面查询，未按要求出具声明函的，投标报价不予扣减。未如实填写的，将依法承担相应责任。</w:t>
      </w:r>
      <w:r>
        <w:rPr>
          <w:rFonts w:hint="eastAsia" w:asciiTheme="minorEastAsia" w:hAnsiTheme="minorEastAsia" w:eastAsiaTheme="minorEastAsia" w:cstheme="minorEastAsia"/>
          <w:b/>
          <w:color w:val="auto"/>
          <w:sz w:val="24"/>
        </w:rPr>
        <w:br w:type="page"/>
      </w:r>
      <w:r>
        <w:rPr>
          <w:rFonts w:hint="eastAsia" w:asciiTheme="minorEastAsia" w:hAnsiTheme="minorEastAsia" w:eastAsiaTheme="minorEastAsia" w:cstheme="minorEastAsia"/>
          <w:b/>
          <w:color w:val="auto"/>
          <w:szCs w:val="21"/>
        </w:rPr>
        <w:t>4.</w:t>
      </w:r>
      <w:r>
        <w:rPr>
          <w:rFonts w:hint="eastAsia" w:asciiTheme="minorEastAsia" w:hAnsiTheme="minorEastAsia" w:eastAsiaTheme="minorEastAsia" w:cstheme="minorEastAsia"/>
          <w:b/>
          <w:color w:val="auto"/>
          <w:szCs w:val="21"/>
          <w:lang w:val="en-US" w:eastAsia="zh-CN"/>
        </w:rPr>
        <w:t>5</w:t>
      </w:r>
      <w:r>
        <w:rPr>
          <w:rFonts w:hint="eastAsia" w:asciiTheme="minorEastAsia" w:hAnsiTheme="minorEastAsia" w:eastAsiaTheme="minorEastAsia" w:cstheme="minorEastAsia"/>
          <w:b/>
          <w:color w:val="auto"/>
          <w:szCs w:val="21"/>
        </w:rPr>
        <w:t>投标人为监狱企业的证明文件：省级以上监狱管理局、戒毒管理局（含新疆生产建设兵团）出具（如有）</w:t>
      </w:r>
    </w:p>
    <w:p>
      <w:pPr>
        <w:snapToGrid w:val="0"/>
        <w:spacing w:line="360" w:lineRule="auto"/>
        <w:rPr>
          <w:rFonts w:hint="eastAsia" w:asciiTheme="minorEastAsia" w:hAnsiTheme="minorEastAsia" w:eastAsiaTheme="minorEastAsia" w:cstheme="minorEastAsia"/>
          <w:snapToGrid w:val="0"/>
          <w:color w:val="auto"/>
          <w:kern w:val="0"/>
          <w:szCs w:val="21"/>
        </w:rPr>
      </w:pPr>
    </w:p>
    <w:p>
      <w:pPr>
        <w:snapToGrid w:val="0"/>
        <w:spacing w:line="360" w:lineRule="auto"/>
        <w:rPr>
          <w:rFonts w:hint="eastAsia" w:asciiTheme="minorEastAsia" w:hAnsiTheme="minorEastAsia" w:eastAsiaTheme="minorEastAsia" w:cstheme="minorEastAsia"/>
          <w:snapToGrid w:val="0"/>
          <w:color w:val="auto"/>
          <w:kern w:val="0"/>
          <w:szCs w:val="21"/>
        </w:rPr>
      </w:pPr>
    </w:p>
    <w:p>
      <w:pPr>
        <w:snapToGrid w:val="0"/>
        <w:spacing w:line="360" w:lineRule="auto"/>
        <w:rPr>
          <w:rFonts w:hint="eastAsia" w:asciiTheme="minorEastAsia" w:hAnsiTheme="minorEastAsia" w:eastAsiaTheme="minorEastAsia" w:cstheme="minorEastAsia"/>
          <w:snapToGrid w:val="0"/>
          <w:color w:val="auto"/>
          <w:kern w:val="0"/>
          <w:szCs w:val="21"/>
        </w:rPr>
      </w:pPr>
    </w:p>
    <w:p>
      <w:pPr>
        <w:snapToGrid w:val="0"/>
        <w:spacing w:line="360" w:lineRule="auto"/>
        <w:rPr>
          <w:rFonts w:hint="eastAsia" w:asciiTheme="minorEastAsia" w:hAnsiTheme="minorEastAsia" w:eastAsiaTheme="minorEastAsia" w:cstheme="minorEastAsia"/>
          <w:snapToGrid w:val="0"/>
          <w:color w:val="auto"/>
          <w:kern w:val="0"/>
          <w:szCs w:val="21"/>
        </w:rPr>
      </w:pPr>
    </w:p>
    <w:p>
      <w:pPr>
        <w:snapToGrid w:val="0"/>
        <w:spacing w:line="360" w:lineRule="auto"/>
        <w:rPr>
          <w:rFonts w:hint="eastAsia" w:asciiTheme="minorEastAsia" w:hAnsiTheme="minorEastAsia" w:eastAsiaTheme="minorEastAsia" w:cstheme="minorEastAsia"/>
          <w:snapToGrid w:val="0"/>
          <w:color w:val="auto"/>
          <w:kern w:val="0"/>
          <w:szCs w:val="21"/>
        </w:rPr>
      </w:pPr>
    </w:p>
    <w:p>
      <w:pPr>
        <w:snapToGrid w:val="0"/>
        <w:spacing w:line="360" w:lineRule="auto"/>
        <w:rPr>
          <w:rFonts w:hint="eastAsia" w:asciiTheme="minorEastAsia" w:hAnsiTheme="minorEastAsia" w:eastAsiaTheme="minorEastAsia" w:cstheme="minorEastAsia"/>
          <w:snapToGrid w:val="0"/>
          <w:color w:val="auto"/>
          <w:kern w:val="0"/>
          <w:szCs w:val="21"/>
        </w:rPr>
      </w:pPr>
    </w:p>
    <w:p>
      <w:pPr>
        <w:spacing w:line="588" w:lineRule="exact"/>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snapToGrid w:val="0"/>
          <w:color w:val="auto"/>
          <w:kern w:val="0"/>
          <w:szCs w:val="21"/>
        </w:rPr>
        <w:br w:type="page"/>
      </w:r>
      <w:bookmarkStart w:id="98" w:name="OLE_LINK13"/>
      <w:bookmarkStart w:id="99" w:name="OLE_LINK14"/>
      <w:r>
        <w:rPr>
          <w:rFonts w:hint="eastAsia" w:asciiTheme="minorEastAsia" w:hAnsiTheme="minorEastAsia" w:eastAsiaTheme="minorEastAsia" w:cstheme="minorEastAsia"/>
          <w:b/>
          <w:color w:val="auto"/>
          <w:szCs w:val="21"/>
        </w:rPr>
        <w:t>4.</w:t>
      </w:r>
      <w:r>
        <w:rPr>
          <w:rFonts w:hint="eastAsia" w:asciiTheme="minorEastAsia" w:hAnsiTheme="minorEastAsia" w:eastAsiaTheme="minorEastAsia" w:cstheme="minorEastAsia"/>
          <w:b/>
          <w:color w:val="auto"/>
          <w:szCs w:val="21"/>
          <w:lang w:val="en-US" w:eastAsia="zh-CN"/>
        </w:rPr>
        <w:t>6</w:t>
      </w:r>
      <w:r>
        <w:rPr>
          <w:rFonts w:hint="eastAsia" w:asciiTheme="minorEastAsia" w:hAnsiTheme="minorEastAsia" w:eastAsiaTheme="minorEastAsia" w:cstheme="minorEastAsia"/>
          <w:b/>
          <w:color w:val="auto"/>
          <w:szCs w:val="21"/>
        </w:rPr>
        <w:t>残疾人福利性单位声明函（如有）</w:t>
      </w:r>
    </w:p>
    <w:p>
      <w:pPr>
        <w:pStyle w:val="20"/>
        <w:spacing w:line="600" w:lineRule="exact"/>
        <w:ind w:firstLine="0"/>
        <w:jc w:val="center"/>
        <w:rPr>
          <w:rFonts w:hint="eastAsia" w:asciiTheme="minorEastAsia" w:hAnsiTheme="minorEastAsia" w:eastAsiaTheme="minorEastAsia" w:cstheme="minorEastAsia"/>
          <w:b/>
          <w:bCs/>
          <w:snapToGrid w:val="0"/>
          <w:color w:val="auto"/>
          <w:kern w:val="0"/>
          <w:sz w:val="28"/>
          <w:szCs w:val="28"/>
        </w:rPr>
      </w:pPr>
    </w:p>
    <w:p>
      <w:pPr>
        <w:spacing w:line="360" w:lineRule="atLeast"/>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残疾人福利性单位声明函</w:t>
      </w:r>
    </w:p>
    <w:bookmarkEnd w:id="98"/>
    <w:bookmarkEnd w:id="99"/>
    <w:p>
      <w:pPr>
        <w:spacing w:line="588" w:lineRule="exact"/>
        <w:rPr>
          <w:rFonts w:hint="eastAsia" w:asciiTheme="minorEastAsia" w:hAnsiTheme="minorEastAsia" w:eastAsiaTheme="minorEastAsia" w:cstheme="minorEastAsia"/>
          <w:b/>
          <w:color w:val="auto"/>
          <w:spacing w:val="6"/>
          <w:sz w:val="30"/>
          <w:szCs w:val="30"/>
        </w:rPr>
      </w:pPr>
    </w:p>
    <w:p>
      <w:pPr>
        <w:spacing w:line="588" w:lineRule="exact"/>
        <w:ind w:firstLine="444" w:firstLineChars="200"/>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本单位郑重声明，根据《财政部 民政部 中国残疾人联合会关于促进残疾人就业政府采购政策的通知》（财库</w:t>
      </w:r>
      <w:r>
        <w:rPr>
          <w:rFonts w:hint="eastAsia" w:asciiTheme="minorEastAsia" w:hAnsiTheme="minorEastAsia" w:eastAsiaTheme="minorEastAsia" w:cstheme="minorEastAsia"/>
          <w:color w:val="auto"/>
          <w:szCs w:val="21"/>
        </w:rPr>
        <w:t>〔2017〕 141</w:t>
      </w:r>
      <w:r>
        <w:rPr>
          <w:rFonts w:hint="eastAsia" w:asciiTheme="minorEastAsia" w:hAnsiTheme="minorEastAsia" w:eastAsiaTheme="minorEastAsia" w:cstheme="minorEastAsia"/>
          <w:color w:val="auto"/>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本单位对上述声明的真实性负责。如有虚假，将依法承担相应责任。</w:t>
      </w:r>
    </w:p>
    <w:p>
      <w:pPr>
        <w:spacing w:line="588" w:lineRule="exact"/>
        <w:ind w:firstLine="444" w:firstLineChars="200"/>
        <w:rPr>
          <w:rFonts w:hint="eastAsia" w:asciiTheme="minorEastAsia" w:hAnsiTheme="minorEastAsia" w:eastAsiaTheme="minorEastAsia" w:cstheme="minorEastAsia"/>
          <w:color w:val="auto"/>
          <w:spacing w:val="6"/>
          <w:szCs w:val="21"/>
        </w:rPr>
      </w:pPr>
    </w:p>
    <w:p>
      <w:pPr>
        <w:spacing w:line="588" w:lineRule="exact"/>
        <w:ind w:firstLine="444" w:firstLineChars="200"/>
        <w:rPr>
          <w:rFonts w:hint="eastAsia" w:asciiTheme="minorEastAsia" w:hAnsiTheme="minorEastAsia" w:eastAsiaTheme="minorEastAsia" w:cstheme="minorEastAsia"/>
          <w:color w:val="auto"/>
          <w:spacing w:val="6"/>
          <w:szCs w:val="21"/>
        </w:rPr>
      </w:pPr>
    </w:p>
    <w:p>
      <w:pPr>
        <w:tabs>
          <w:tab w:val="left" w:pos="4860"/>
        </w:tabs>
        <w:spacing w:line="588" w:lineRule="exact"/>
        <w:ind w:right="1560" w:firstLine="444" w:firstLineChars="200"/>
        <w:jc w:val="center"/>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 xml:space="preserve">               单位名称（盖章）：</w:t>
      </w:r>
    </w:p>
    <w:p>
      <w:pPr>
        <w:tabs>
          <w:tab w:val="left" w:pos="4860"/>
        </w:tabs>
        <w:spacing w:line="588" w:lineRule="exact"/>
        <w:ind w:right="1560" w:firstLine="444" w:firstLineChars="200"/>
        <w:jc w:val="center"/>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 xml:space="preserve">      日  期：</w:t>
      </w:r>
    </w:p>
    <w:p>
      <w:pPr>
        <w:tabs>
          <w:tab w:val="left" w:pos="4860"/>
        </w:tabs>
        <w:spacing w:line="588" w:lineRule="exact"/>
        <w:ind w:right="1560" w:firstLine="444" w:firstLineChars="200"/>
        <w:jc w:val="center"/>
        <w:rPr>
          <w:rFonts w:hint="eastAsia" w:asciiTheme="minorEastAsia" w:hAnsiTheme="minorEastAsia" w:eastAsiaTheme="minorEastAsia" w:cstheme="minorEastAsia"/>
          <w:color w:val="auto"/>
          <w:spacing w:val="6"/>
          <w:szCs w:val="21"/>
        </w:rPr>
        <w:sectPr>
          <w:pgSz w:w="11906" w:h="16838"/>
          <w:pgMar w:top="1247" w:right="1588" w:bottom="1089" w:left="1588" w:header="851" w:footer="992" w:gutter="0"/>
          <w:cols w:space="720" w:num="1"/>
          <w:docGrid w:linePitch="312" w:charSpace="0"/>
        </w:sectPr>
      </w:pPr>
    </w:p>
    <w:p>
      <w:pPr>
        <w:adjustRightInd w:val="0"/>
        <w:snapToGrid w:val="0"/>
        <w:spacing w:before="120" w:beforeLines="50" w:after="120" w:afterLines="50" w:line="360" w:lineRule="auto"/>
        <w:jc w:val="center"/>
        <w:outlineLvl w:val="0"/>
        <w:rPr>
          <w:rFonts w:hint="eastAsia" w:asciiTheme="minorEastAsia" w:hAnsiTheme="minorEastAsia" w:eastAsiaTheme="minorEastAsia" w:cstheme="minorEastAsia"/>
          <w:b/>
          <w:color w:val="auto"/>
          <w:sz w:val="30"/>
          <w:szCs w:val="30"/>
        </w:rPr>
      </w:pPr>
      <w:bookmarkStart w:id="100" w:name="_Toc29263"/>
      <w:bookmarkStart w:id="101" w:name="_Toc18311"/>
      <w:r>
        <w:rPr>
          <w:rFonts w:hint="eastAsia" w:asciiTheme="minorEastAsia" w:hAnsiTheme="minorEastAsia" w:eastAsiaTheme="minorEastAsia" w:cstheme="minorEastAsia"/>
          <w:b/>
          <w:color w:val="auto"/>
          <w:sz w:val="30"/>
          <w:szCs w:val="30"/>
        </w:rPr>
        <w:t>第七部分   其它</w:t>
      </w:r>
      <w:bookmarkEnd w:id="100"/>
      <w:bookmarkEnd w:id="101"/>
    </w:p>
    <w:p>
      <w:pPr>
        <w:spacing w:line="360" w:lineRule="auto"/>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政府采购支持中小企业信用融资相关事项通知</w:t>
      </w:r>
    </w:p>
    <w:p>
      <w:pPr>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政府采购支持中小企业信用融资的相关政策可查询政采云平台等官方网站。</w:t>
      </w:r>
    </w:p>
    <w:p>
      <w:pPr>
        <w:spacing w:line="360" w:lineRule="auto"/>
        <w:rPr>
          <w:rFonts w:hint="eastAsia" w:asciiTheme="minorEastAsia" w:hAnsiTheme="minorEastAsia" w:eastAsiaTheme="minorEastAsia" w:cstheme="minorEastAsia"/>
          <w:color w:val="auto"/>
          <w:szCs w:val="21"/>
        </w:rPr>
        <w:sectPr>
          <w:pgSz w:w="11906" w:h="16838"/>
          <w:pgMar w:top="1247" w:right="1588" w:bottom="1089" w:left="1588" w:header="851" w:footer="992" w:gutter="0"/>
          <w:cols w:space="720" w:num="1"/>
          <w:docGrid w:linePitch="312" w:charSpace="0"/>
        </w:sectPr>
      </w:pPr>
    </w:p>
    <w:p>
      <w:pPr>
        <w:pStyle w:val="85"/>
        <w:widowControl w:val="0"/>
        <w:snapToGrid w:val="0"/>
        <w:spacing w:line="500" w:lineRule="exact"/>
        <w:jc w:val="center"/>
        <w:rPr>
          <w:rFonts w:asciiTheme="minorEastAsia" w:hAnsiTheme="minorEastAsia" w:eastAsiaTheme="minorEastAsia" w:cstheme="minorEastAsia"/>
          <w:b/>
          <w:color w:val="auto"/>
          <w:sz w:val="28"/>
          <w:szCs w:val="28"/>
        </w:rPr>
      </w:pPr>
      <w:r>
        <w:rPr>
          <w:rFonts w:asciiTheme="minorEastAsia" w:hAnsiTheme="minorEastAsia" w:eastAsiaTheme="minorEastAsia" w:cstheme="minorEastAsia"/>
          <w:b/>
          <w:color w:val="auto"/>
          <w:sz w:val="28"/>
          <w:szCs w:val="28"/>
        </w:rPr>
        <w:t>政府采购活动现场确认声明书</w:t>
      </w:r>
    </w:p>
    <w:p>
      <w:pPr>
        <w:pStyle w:val="85"/>
        <w:widowControl w:val="0"/>
        <w:adjustRightInd w:val="0"/>
        <w:snapToGrid w:val="0"/>
        <w:spacing w:line="360" w:lineRule="auto"/>
        <w:jc w:val="both"/>
        <w:rPr>
          <w:rFonts w:asciiTheme="minorEastAsia" w:hAnsiTheme="minorEastAsia" w:eastAsiaTheme="minorEastAsia" w:cstheme="minorEastAsia"/>
          <w:color w:val="auto"/>
          <w:kern w:val="0"/>
          <w:szCs w:val="21"/>
          <w:u w:val="single"/>
        </w:rPr>
      </w:pPr>
    </w:p>
    <w:p>
      <w:pPr>
        <w:pStyle w:val="85"/>
        <w:widowControl w:val="0"/>
        <w:adjustRightInd w:val="0"/>
        <w:snapToGrid w:val="0"/>
        <w:spacing w:line="360" w:lineRule="auto"/>
        <w:jc w:val="both"/>
        <w:rPr>
          <w:rFonts w:hint="eastAsia" w:asciiTheme="minorEastAsia" w:hAnsiTheme="minorEastAsia" w:eastAsiaTheme="minorEastAsia" w:cstheme="minorEastAsia"/>
          <w:b/>
          <w:color w:val="auto"/>
          <w:szCs w:val="21"/>
        </w:rPr>
      </w:pPr>
      <w:r>
        <w:rPr>
          <w:rFonts w:asciiTheme="minorEastAsia" w:hAnsiTheme="minorEastAsia" w:eastAsiaTheme="minorEastAsia" w:cstheme="minorEastAsia"/>
          <w:color w:val="auto"/>
          <w:kern w:val="0"/>
          <w:szCs w:val="21"/>
          <w:u w:val="single"/>
        </w:rPr>
        <w:t>浙江国际招（投）标公司</w:t>
      </w:r>
      <w:r>
        <w:rPr>
          <w:rFonts w:asciiTheme="minorEastAsia" w:hAnsiTheme="minorEastAsia" w:eastAsiaTheme="minorEastAsia" w:cstheme="minorEastAsia"/>
          <w:color w:val="auto"/>
          <w:kern w:val="0"/>
          <w:szCs w:val="21"/>
        </w:rPr>
        <w:t>：</w:t>
      </w:r>
    </w:p>
    <w:p>
      <w:pPr>
        <w:pStyle w:val="85"/>
        <w:widowControl w:val="0"/>
        <w:adjustRightInd w:val="0"/>
        <w:snapToGrid w:val="0"/>
        <w:spacing w:line="360" w:lineRule="auto"/>
        <w:ind w:firstLine="444" w:firstLineChars="200"/>
        <w:jc w:val="both"/>
        <w:rPr>
          <w:rFonts w:asciiTheme="minorEastAsia" w:hAnsiTheme="minorEastAsia" w:eastAsiaTheme="minorEastAsia" w:cstheme="minorEastAsia"/>
          <w:color w:val="auto"/>
          <w:spacing w:val="6"/>
          <w:szCs w:val="21"/>
        </w:rPr>
      </w:pPr>
      <w:r>
        <w:rPr>
          <w:rFonts w:asciiTheme="minorEastAsia" w:hAnsiTheme="minorEastAsia" w:eastAsiaTheme="minorEastAsia" w:cstheme="minorEastAsia"/>
          <w:color w:val="auto"/>
          <w:spacing w:val="6"/>
          <w:szCs w:val="21"/>
        </w:rPr>
        <w:t>本人经由</w:t>
      </w:r>
      <w:r>
        <w:rPr>
          <w:rFonts w:asciiTheme="minorEastAsia" w:hAnsiTheme="minorEastAsia" w:eastAsiaTheme="minorEastAsia" w:cstheme="minorEastAsia"/>
          <w:color w:val="auto"/>
          <w:spacing w:val="6"/>
          <w:szCs w:val="21"/>
          <w:u w:val="single"/>
        </w:rPr>
        <w:t xml:space="preserve">                    （单位）</w:t>
      </w:r>
      <w:r>
        <w:rPr>
          <w:rFonts w:asciiTheme="minorEastAsia" w:hAnsiTheme="minorEastAsia" w:eastAsiaTheme="minorEastAsia" w:cstheme="minorEastAsia"/>
          <w:color w:val="auto"/>
          <w:spacing w:val="6"/>
          <w:szCs w:val="21"/>
        </w:rPr>
        <w:t>负责人</w:t>
      </w:r>
      <w:r>
        <w:rPr>
          <w:rFonts w:asciiTheme="minorEastAsia" w:hAnsiTheme="minorEastAsia" w:eastAsiaTheme="minorEastAsia" w:cstheme="minorEastAsia"/>
          <w:color w:val="auto"/>
          <w:spacing w:val="6"/>
          <w:szCs w:val="21"/>
          <w:u w:val="single"/>
        </w:rPr>
        <w:t xml:space="preserve">        （姓名）</w:t>
      </w:r>
      <w:r>
        <w:rPr>
          <w:rFonts w:asciiTheme="minorEastAsia" w:hAnsiTheme="minorEastAsia" w:eastAsiaTheme="minorEastAsia" w:cstheme="minorEastAsia"/>
          <w:color w:val="auto"/>
          <w:spacing w:val="6"/>
          <w:szCs w:val="21"/>
        </w:rPr>
        <w:t>合法授权参加</w:t>
      </w:r>
      <w:r>
        <w:rPr>
          <w:rFonts w:asciiTheme="minorEastAsia" w:hAnsiTheme="minorEastAsia" w:eastAsiaTheme="minorEastAsia" w:cstheme="minorEastAsia"/>
          <w:color w:val="auto"/>
          <w:spacing w:val="6"/>
          <w:szCs w:val="21"/>
          <w:u w:val="single"/>
        </w:rPr>
        <w:t xml:space="preserve"> 2020年浙江省碳交易纳入企业温室气体排放报告核查复查项目 </w:t>
      </w:r>
      <w:r>
        <w:rPr>
          <w:rFonts w:asciiTheme="minorEastAsia" w:hAnsiTheme="minorEastAsia" w:eastAsiaTheme="minorEastAsia" w:cstheme="minorEastAsia"/>
          <w:color w:val="auto"/>
          <w:spacing w:val="6"/>
          <w:szCs w:val="21"/>
        </w:rPr>
        <w:t>项目</w:t>
      </w:r>
      <w:r>
        <w:rPr>
          <w:rFonts w:asciiTheme="minorEastAsia" w:hAnsiTheme="minorEastAsia" w:eastAsiaTheme="minorEastAsia" w:cstheme="minorEastAsia"/>
          <w:color w:val="auto"/>
          <w:spacing w:val="6"/>
          <w:szCs w:val="21"/>
          <w:u w:val="single"/>
        </w:rPr>
        <w:t>（编号：ZJ-204228）</w:t>
      </w:r>
      <w:r>
        <w:rPr>
          <w:rFonts w:asciiTheme="minorEastAsia" w:hAnsiTheme="minorEastAsia" w:eastAsiaTheme="minorEastAsia" w:cstheme="minorEastAsia"/>
          <w:color w:val="auto"/>
          <w:spacing w:val="6"/>
          <w:szCs w:val="21"/>
        </w:rPr>
        <w:t xml:space="preserve">政府采购活动，经与本单位法人代表（负责人）联系确认，现就有关公平竞争事项郑重声明如下： </w:t>
      </w:r>
    </w:p>
    <w:p>
      <w:pPr>
        <w:pStyle w:val="86"/>
        <w:widowControl/>
        <w:numPr>
          <w:ilvl w:val="0"/>
          <w:numId w:val="18"/>
        </w:numPr>
        <w:adjustRightInd w:val="0"/>
        <w:snapToGrid w:val="0"/>
        <w:spacing w:line="360" w:lineRule="auto"/>
        <w:ind w:firstLine="396" w:firstLineChars="189"/>
        <w:rPr>
          <w:rFonts w:hint="eastAsia" w:asciiTheme="minorEastAsia" w:hAnsiTheme="minorEastAsia" w:eastAsiaTheme="minorEastAsia" w:cstheme="minorEastAsia"/>
          <w:color w:val="auto"/>
          <w:kern w:val="0"/>
          <w:szCs w:val="21"/>
        </w:rPr>
      </w:pPr>
      <w:r>
        <w:rPr>
          <w:rFonts w:asciiTheme="minorEastAsia" w:hAnsiTheme="minorEastAsia" w:eastAsiaTheme="minorEastAsia" w:cstheme="minorEastAsia"/>
          <w:color w:val="auto"/>
          <w:kern w:val="0"/>
          <w:szCs w:val="21"/>
        </w:rPr>
        <w:t>本单位与采购人之间 □不存在利害关系 □存在下列利害关系</w:t>
      </w:r>
      <w:r>
        <w:rPr>
          <w:rFonts w:asciiTheme="minorEastAsia" w:hAnsiTheme="minorEastAsia" w:eastAsiaTheme="minorEastAsia" w:cstheme="minorEastAsia"/>
          <w:color w:val="auto"/>
          <w:kern w:val="0"/>
          <w:szCs w:val="21"/>
          <w:u w:val="single"/>
        </w:rPr>
        <w:t xml:space="preserve">           </w:t>
      </w:r>
      <w:r>
        <w:rPr>
          <w:rFonts w:asciiTheme="minorEastAsia" w:hAnsiTheme="minorEastAsia" w:eastAsiaTheme="minorEastAsia" w:cstheme="minorEastAsia"/>
          <w:color w:val="auto"/>
          <w:kern w:val="0"/>
          <w:szCs w:val="21"/>
        </w:rPr>
        <w:t>：</w:t>
      </w:r>
    </w:p>
    <w:p>
      <w:pPr>
        <w:pStyle w:val="86"/>
        <w:widowControl/>
        <w:adjustRightInd w:val="0"/>
        <w:snapToGrid w:val="0"/>
        <w:spacing w:line="360" w:lineRule="auto"/>
        <w:ind w:firstLine="200"/>
        <w:rPr>
          <w:rFonts w:asciiTheme="minorEastAsia" w:hAnsiTheme="minorEastAsia" w:eastAsiaTheme="minorEastAsia" w:cstheme="minorEastAsia"/>
          <w:color w:val="auto"/>
          <w:kern w:val="0"/>
          <w:szCs w:val="21"/>
        </w:rPr>
      </w:pPr>
      <w:r>
        <w:rPr>
          <w:rFonts w:asciiTheme="minorEastAsia" w:hAnsiTheme="minorEastAsia" w:eastAsiaTheme="minorEastAsia" w:cstheme="minorEastAsia"/>
          <w:color w:val="auto"/>
          <w:kern w:val="0"/>
          <w:szCs w:val="21"/>
        </w:rPr>
        <w:t xml:space="preserve">  A.投资关系    B.行政隶属关系    C.业务指导关系</w:t>
      </w:r>
    </w:p>
    <w:p>
      <w:pPr>
        <w:pStyle w:val="86"/>
        <w:widowControl/>
        <w:adjustRightInd w:val="0"/>
        <w:snapToGrid w:val="0"/>
        <w:spacing w:line="360" w:lineRule="auto"/>
        <w:ind w:firstLine="200"/>
        <w:rPr>
          <w:rFonts w:hint="eastAsia" w:asciiTheme="minorEastAsia" w:hAnsiTheme="minorEastAsia" w:eastAsiaTheme="minorEastAsia" w:cstheme="minorEastAsia"/>
          <w:color w:val="auto"/>
          <w:kern w:val="0"/>
          <w:szCs w:val="21"/>
        </w:rPr>
      </w:pPr>
      <w:r>
        <w:rPr>
          <w:rFonts w:asciiTheme="minorEastAsia" w:hAnsiTheme="minorEastAsia" w:eastAsiaTheme="minorEastAsia" w:cstheme="minorEastAsia"/>
          <w:color w:val="auto"/>
          <w:kern w:val="0"/>
          <w:szCs w:val="21"/>
        </w:rPr>
        <w:t xml:space="preserve">  D.其他可能</w:t>
      </w:r>
      <w:r>
        <w:rPr>
          <w:rFonts w:asciiTheme="minorEastAsia" w:hAnsiTheme="minorEastAsia" w:eastAsiaTheme="minorEastAsia" w:cstheme="minorEastAsia"/>
          <w:color w:val="auto"/>
          <w:szCs w:val="21"/>
        </w:rPr>
        <w:t>影响采购公正的</w:t>
      </w:r>
      <w:r>
        <w:rPr>
          <w:rFonts w:asciiTheme="minorEastAsia" w:hAnsiTheme="minorEastAsia" w:eastAsiaTheme="minorEastAsia" w:cstheme="minorEastAsia"/>
          <w:color w:val="auto"/>
          <w:kern w:val="0"/>
          <w:szCs w:val="21"/>
        </w:rPr>
        <w:t>利害关系</w:t>
      </w:r>
      <w:r>
        <w:rPr>
          <w:rFonts w:asciiTheme="minorEastAsia" w:hAnsiTheme="minorEastAsia" w:eastAsiaTheme="minorEastAsia" w:cstheme="minorEastAsia"/>
          <w:color w:val="auto"/>
          <w:kern w:val="0"/>
          <w:szCs w:val="21"/>
          <w:u w:val="single"/>
        </w:rPr>
        <w:t xml:space="preserve">（如有，请如实说明）                 </w:t>
      </w:r>
      <w:r>
        <w:rPr>
          <w:rFonts w:asciiTheme="minorEastAsia" w:hAnsiTheme="minorEastAsia" w:eastAsiaTheme="minorEastAsia" w:cstheme="minorEastAsia"/>
          <w:color w:val="auto"/>
          <w:kern w:val="0"/>
          <w:szCs w:val="21"/>
        </w:rPr>
        <w:t>。</w:t>
      </w:r>
    </w:p>
    <w:p>
      <w:pPr>
        <w:pStyle w:val="86"/>
        <w:widowControl/>
        <w:adjustRightInd w:val="0"/>
        <w:snapToGrid w:val="0"/>
        <w:spacing w:line="360" w:lineRule="auto"/>
        <w:ind w:firstLine="200"/>
        <w:rPr>
          <w:rFonts w:asciiTheme="minorEastAsia" w:hAnsiTheme="minorEastAsia" w:eastAsiaTheme="minorEastAsia" w:cstheme="minorEastAsia"/>
          <w:color w:val="auto"/>
          <w:kern w:val="0"/>
          <w:szCs w:val="21"/>
        </w:rPr>
      </w:pPr>
      <w:r>
        <w:rPr>
          <w:rFonts w:asciiTheme="minorEastAsia" w:hAnsiTheme="minorEastAsia" w:eastAsiaTheme="minorEastAsia" w:cstheme="minorEastAsia"/>
          <w:color w:val="auto"/>
          <w:spacing w:val="6"/>
          <w:szCs w:val="21"/>
        </w:rPr>
        <w:t xml:space="preserve">  二、</w:t>
      </w:r>
      <w:r>
        <w:rPr>
          <w:rFonts w:asciiTheme="minorEastAsia" w:hAnsiTheme="minorEastAsia" w:eastAsiaTheme="minorEastAsia" w:cstheme="minorEastAsia"/>
          <w:color w:val="auto"/>
          <w:kern w:val="0"/>
          <w:szCs w:val="21"/>
        </w:rPr>
        <w:t>现已清楚知道参加本项目采购活动的其他所有供应商名称，本单位 □与其他所有供应商之间均不存在利害关系 □与</w:t>
      </w:r>
      <w:r>
        <w:rPr>
          <w:rFonts w:asciiTheme="minorEastAsia" w:hAnsiTheme="minorEastAsia" w:eastAsiaTheme="minorEastAsia" w:cstheme="minorEastAsia"/>
          <w:color w:val="auto"/>
          <w:kern w:val="0"/>
          <w:szCs w:val="21"/>
          <w:u w:val="single"/>
        </w:rPr>
        <w:t xml:space="preserve">           （供应商名称）</w:t>
      </w:r>
      <w:r>
        <w:rPr>
          <w:rFonts w:asciiTheme="minorEastAsia" w:hAnsiTheme="minorEastAsia" w:eastAsiaTheme="minorEastAsia" w:cstheme="minorEastAsia"/>
          <w:color w:val="auto"/>
          <w:kern w:val="0"/>
          <w:szCs w:val="21"/>
        </w:rPr>
        <w:t>之间存在下列利害关系</w:t>
      </w:r>
      <w:r>
        <w:rPr>
          <w:rFonts w:asciiTheme="minorEastAsia" w:hAnsiTheme="minorEastAsia" w:eastAsiaTheme="minorEastAsia" w:cstheme="minorEastAsia"/>
          <w:color w:val="auto"/>
          <w:kern w:val="0"/>
          <w:szCs w:val="21"/>
          <w:u w:val="single"/>
        </w:rPr>
        <w:t xml:space="preserve">          </w:t>
      </w:r>
      <w:r>
        <w:rPr>
          <w:rFonts w:asciiTheme="minorEastAsia" w:hAnsiTheme="minorEastAsia" w:eastAsiaTheme="minorEastAsia" w:cstheme="minorEastAsia"/>
          <w:color w:val="auto"/>
          <w:kern w:val="0"/>
          <w:szCs w:val="21"/>
        </w:rPr>
        <w:t>：</w:t>
      </w:r>
    </w:p>
    <w:p>
      <w:pPr>
        <w:pStyle w:val="85"/>
        <w:widowControl w:val="0"/>
        <w:adjustRightInd w:val="0"/>
        <w:snapToGrid w:val="0"/>
        <w:spacing w:line="360" w:lineRule="auto"/>
        <w:ind w:firstLine="200"/>
        <w:jc w:val="both"/>
        <w:rPr>
          <w:rFonts w:asciiTheme="minorEastAsia" w:hAnsiTheme="minorEastAsia" w:eastAsiaTheme="minorEastAsia" w:cstheme="minorEastAsia"/>
          <w:color w:val="auto"/>
          <w:kern w:val="0"/>
          <w:szCs w:val="21"/>
        </w:rPr>
      </w:pPr>
      <w:r>
        <w:rPr>
          <w:rFonts w:asciiTheme="minorEastAsia" w:hAnsiTheme="minorEastAsia" w:eastAsiaTheme="minorEastAsia" w:cstheme="minorEastAsia"/>
          <w:color w:val="auto"/>
          <w:kern w:val="0"/>
          <w:szCs w:val="21"/>
        </w:rPr>
        <w:t xml:space="preserve">  A.法定代表人或负责人或实际控制人是同一人</w:t>
      </w:r>
    </w:p>
    <w:p>
      <w:pPr>
        <w:pStyle w:val="85"/>
        <w:widowControl w:val="0"/>
        <w:adjustRightInd w:val="0"/>
        <w:snapToGrid w:val="0"/>
        <w:spacing w:line="360" w:lineRule="auto"/>
        <w:ind w:firstLine="200"/>
        <w:jc w:val="both"/>
        <w:rPr>
          <w:rFonts w:hint="eastAsia" w:asciiTheme="minorEastAsia" w:hAnsiTheme="minorEastAsia" w:eastAsiaTheme="minorEastAsia" w:cstheme="minorEastAsia"/>
          <w:color w:val="auto"/>
          <w:spacing w:val="6"/>
          <w:szCs w:val="21"/>
        </w:rPr>
      </w:pPr>
      <w:r>
        <w:rPr>
          <w:rFonts w:asciiTheme="minorEastAsia" w:hAnsiTheme="minorEastAsia" w:eastAsiaTheme="minorEastAsia" w:cstheme="minorEastAsia"/>
          <w:color w:val="auto"/>
          <w:kern w:val="0"/>
          <w:szCs w:val="21"/>
        </w:rPr>
        <w:t xml:space="preserve">  B.法定代表人或负责人或实际控制人是夫妻关系</w:t>
      </w:r>
    </w:p>
    <w:p>
      <w:pPr>
        <w:pStyle w:val="85"/>
        <w:widowControl w:val="0"/>
        <w:adjustRightInd w:val="0"/>
        <w:snapToGrid w:val="0"/>
        <w:spacing w:line="360" w:lineRule="auto"/>
        <w:ind w:firstLine="200"/>
        <w:jc w:val="both"/>
        <w:rPr>
          <w:rFonts w:hint="eastAsia" w:asciiTheme="minorEastAsia" w:hAnsiTheme="minorEastAsia" w:eastAsiaTheme="minorEastAsia" w:cstheme="minorEastAsia"/>
          <w:color w:val="auto"/>
          <w:spacing w:val="6"/>
          <w:szCs w:val="21"/>
        </w:rPr>
      </w:pPr>
      <w:r>
        <w:rPr>
          <w:rFonts w:asciiTheme="minorEastAsia" w:hAnsiTheme="minorEastAsia" w:eastAsiaTheme="minorEastAsia" w:cstheme="minorEastAsia"/>
          <w:color w:val="auto"/>
          <w:kern w:val="0"/>
          <w:szCs w:val="21"/>
        </w:rPr>
        <w:t xml:space="preserve">  C.法定代表人或负责人或实际控制人是直系血亲关系</w:t>
      </w:r>
    </w:p>
    <w:p>
      <w:pPr>
        <w:pStyle w:val="85"/>
        <w:widowControl w:val="0"/>
        <w:adjustRightInd w:val="0"/>
        <w:snapToGrid w:val="0"/>
        <w:spacing w:line="360" w:lineRule="auto"/>
        <w:ind w:firstLine="200"/>
        <w:jc w:val="both"/>
        <w:rPr>
          <w:rFonts w:hint="eastAsia" w:asciiTheme="minorEastAsia" w:hAnsiTheme="minorEastAsia" w:eastAsiaTheme="minorEastAsia" w:cstheme="minorEastAsia"/>
          <w:color w:val="auto"/>
          <w:spacing w:val="6"/>
          <w:szCs w:val="21"/>
        </w:rPr>
      </w:pPr>
      <w:r>
        <w:rPr>
          <w:rFonts w:asciiTheme="minorEastAsia" w:hAnsiTheme="minorEastAsia" w:eastAsiaTheme="minorEastAsia" w:cstheme="minorEastAsia"/>
          <w:color w:val="auto"/>
          <w:kern w:val="0"/>
          <w:szCs w:val="21"/>
        </w:rPr>
        <w:t xml:space="preserve">  D.法定代表人或负责人或实际控制人存在三代以内旁系血亲关系</w:t>
      </w:r>
    </w:p>
    <w:p>
      <w:pPr>
        <w:pStyle w:val="85"/>
        <w:widowControl w:val="0"/>
        <w:adjustRightInd w:val="0"/>
        <w:snapToGrid w:val="0"/>
        <w:spacing w:line="360" w:lineRule="auto"/>
        <w:ind w:firstLine="200"/>
        <w:jc w:val="both"/>
        <w:rPr>
          <w:rFonts w:asciiTheme="minorEastAsia" w:hAnsiTheme="minorEastAsia" w:eastAsiaTheme="minorEastAsia" w:cstheme="minorEastAsia"/>
          <w:color w:val="auto"/>
          <w:kern w:val="0"/>
          <w:szCs w:val="21"/>
        </w:rPr>
      </w:pPr>
      <w:r>
        <w:rPr>
          <w:rFonts w:asciiTheme="minorEastAsia" w:hAnsiTheme="minorEastAsia" w:eastAsiaTheme="minorEastAsia" w:cstheme="minorEastAsia"/>
          <w:color w:val="auto"/>
          <w:kern w:val="0"/>
          <w:szCs w:val="21"/>
        </w:rPr>
        <w:t xml:space="preserve">  E.法定代表人或负责人或实际控制人存在近姻亲关系</w:t>
      </w:r>
    </w:p>
    <w:p>
      <w:pPr>
        <w:pStyle w:val="85"/>
        <w:widowControl w:val="0"/>
        <w:adjustRightInd w:val="0"/>
        <w:snapToGrid w:val="0"/>
        <w:spacing w:line="360" w:lineRule="auto"/>
        <w:ind w:firstLine="200"/>
        <w:jc w:val="both"/>
        <w:rPr>
          <w:rFonts w:asciiTheme="minorEastAsia" w:hAnsiTheme="minorEastAsia" w:eastAsiaTheme="minorEastAsia" w:cstheme="minorEastAsia"/>
          <w:color w:val="auto"/>
          <w:kern w:val="0"/>
          <w:szCs w:val="21"/>
        </w:rPr>
      </w:pPr>
      <w:r>
        <w:rPr>
          <w:rFonts w:asciiTheme="minorEastAsia" w:hAnsiTheme="minorEastAsia" w:eastAsiaTheme="minorEastAsia" w:cstheme="minorEastAsia"/>
          <w:color w:val="auto"/>
          <w:kern w:val="0"/>
          <w:szCs w:val="21"/>
        </w:rPr>
        <w:t xml:space="preserve">  F.法定代表人或负责人或实际控制人存在股份控制或实际控制关系</w:t>
      </w:r>
    </w:p>
    <w:p>
      <w:pPr>
        <w:pStyle w:val="85"/>
        <w:widowControl w:val="0"/>
        <w:adjustRightInd w:val="0"/>
        <w:snapToGrid w:val="0"/>
        <w:spacing w:line="360" w:lineRule="auto"/>
        <w:ind w:firstLine="200"/>
        <w:jc w:val="both"/>
        <w:rPr>
          <w:rFonts w:asciiTheme="minorEastAsia" w:hAnsiTheme="minorEastAsia" w:eastAsiaTheme="minorEastAsia" w:cstheme="minorEastAsia"/>
          <w:color w:val="auto"/>
          <w:kern w:val="0"/>
          <w:szCs w:val="21"/>
        </w:rPr>
      </w:pPr>
      <w:r>
        <w:rPr>
          <w:rFonts w:asciiTheme="minorEastAsia" w:hAnsiTheme="minorEastAsia" w:eastAsiaTheme="minorEastAsia" w:cstheme="minorEastAsia"/>
          <w:color w:val="auto"/>
          <w:kern w:val="0"/>
          <w:szCs w:val="21"/>
        </w:rPr>
        <w:t xml:space="preserve">  G.存在共同直接或间接投资设立子公司、联营企业和合营企业情况</w:t>
      </w:r>
    </w:p>
    <w:p>
      <w:pPr>
        <w:pStyle w:val="85"/>
        <w:widowControl w:val="0"/>
        <w:adjustRightInd w:val="0"/>
        <w:snapToGrid w:val="0"/>
        <w:spacing w:line="360" w:lineRule="auto"/>
        <w:ind w:firstLine="200"/>
        <w:jc w:val="both"/>
        <w:rPr>
          <w:rFonts w:asciiTheme="minorEastAsia" w:hAnsiTheme="minorEastAsia" w:eastAsiaTheme="minorEastAsia" w:cstheme="minorEastAsia"/>
          <w:color w:val="auto"/>
          <w:szCs w:val="21"/>
        </w:rPr>
      </w:pPr>
      <w:r>
        <w:rPr>
          <w:rFonts w:asciiTheme="minorEastAsia" w:hAnsiTheme="minorEastAsia" w:eastAsiaTheme="minorEastAsia" w:cstheme="minorEastAsia"/>
          <w:color w:val="auto"/>
          <w:kern w:val="0"/>
          <w:szCs w:val="21"/>
        </w:rPr>
        <w:t xml:space="preserve">  H.存在分级代理或代销关系、同一生产制造商关系、</w:t>
      </w:r>
      <w:r>
        <w:rPr>
          <w:rFonts w:asciiTheme="minorEastAsia" w:hAnsiTheme="minorEastAsia" w:eastAsiaTheme="minorEastAsia" w:cstheme="minorEastAsia"/>
          <w:color w:val="auto"/>
          <w:szCs w:val="21"/>
        </w:rPr>
        <w:t>管理关系、重要业务（占主营业务收入50%以上）或重要财务往来关系（如融资）等其他实质性控制关系</w:t>
      </w:r>
    </w:p>
    <w:p>
      <w:pPr>
        <w:pStyle w:val="85"/>
        <w:widowControl w:val="0"/>
        <w:adjustRightInd w:val="0"/>
        <w:snapToGrid w:val="0"/>
        <w:spacing w:line="360" w:lineRule="auto"/>
        <w:ind w:firstLine="200"/>
        <w:jc w:val="both"/>
        <w:rPr>
          <w:rFonts w:hint="eastAsia" w:asciiTheme="minorEastAsia" w:hAnsiTheme="minorEastAsia" w:eastAsiaTheme="minorEastAsia" w:cstheme="minorEastAsia"/>
          <w:color w:val="auto"/>
          <w:spacing w:val="6"/>
          <w:szCs w:val="21"/>
        </w:rPr>
      </w:pPr>
      <w:r>
        <w:rPr>
          <w:rFonts w:asciiTheme="minorEastAsia" w:hAnsiTheme="minorEastAsia" w:eastAsiaTheme="minorEastAsia" w:cstheme="minorEastAsia"/>
          <w:color w:val="auto"/>
          <w:szCs w:val="21"/>
        </w:rPr>
        <w:t xml:space="preserve">   I</w:t>
      </w:r>
      <w:r>
        <w:rPr>
          <w:rFonts w:asciiTheme="minorEastAsia" w:hAnsiTheme="minorEastAsia" w:eastAsiaTheme="minorEastAsia" w:cstheme="minorEastAsia"/>
          <w:color w:val="auto"/>
          <w:kern w:val="0"/>
          <w:szCs w:val="21"/>
        </w:rPr>
        <w:t>.</w:t>
      </w:r>
      <w:r>
        <w:rPr>
          <w:rFonts w:asciiTheme="minorEastAsia" w:hAnsiTheme="minorEastAsia" w:eastAsiaTheme="minorEastAsia" w:cstheme="minorEastAsia"/>
          <w:color w:val="auto"/>
          <w:szCs w:val="21"/>
        </w:rPr>
        <w:t>其他利害关系情况</w:t>
      </w:r>
      <w:r>
        <w:rPr>
          <w:rFonts w:asciiTheme="minorEastAsia" w:hAnsiTheme="minorEastAsia" w:eastAsiaTheme="minorEastAsia" w:cstheme="minorEastAsia"/>
          <w:color w:val="auto"/>
          <w:szCs w:val="21"/>
          <w:u w:val="single"/>
        </w:rPr>
        <w:t xml:space="preserve">                              </w:t>
      </w:r>
      <w:r>
        <w:rPr>
          <w:rFonts w:asciiTheme="minorEastAsia" w:hAnsiTheme="minorEastAsia" w:eastAsiaTheme="minorEastAsia" w:cstheme="minorEastAsia"/>
          <w:color w:val="auto"/>
          <w:kern w:val="0"/>
          <w:szCs w:val="21"/>
        </w:rPr>
        <w:t>。</w:t>
      </w:r>
    </w:p>
    <w:p>
      <w:pPr>
        <w:pStyle w:val="86"/>
        <w:widowControl/>
        <w:numPr>
          <w:ilvl w:val="0"/>
          <w:numId w:val="19"/>
        </w:numPr>
        <w:adjustRightInd w:val="0"/>
        <w:snapToGrid w:val="0"/>
        <w:spacing w:line="360" w:lineRule="auto"/>
        <w:ind w:firstLine="396" w:firstLineChars="189"/>
        <w:rPr>
          <w:rFonts w:asciiTheme="minorEastAsia" w:hAnsiTheme="minorEastAsia" w:eastAsiaTheme="minorEastAsia" w:cstheme="minorEastAsia"/>
          <w:color w:val="auto"/>
          <w:kern w:val="0"/>
          <w:szCs w:val="21"/>
        </w:rPr>
      </w:pPr>
      <w:r>
        <w:rPr>
          <w:rFonts w:asciiTheme="minorEastAsia" w:hAnsiTheme="minorEastAsia" w:eastAsiaTheme="minorEastAsia" w:cstheme="minorEastAsia"/>
          <w:color w:val="auto"/>
          <w:szCs w:val="21"/>
        </w:rPr>
        <w:t>现已清楚知道并</w:t>
      </w:r>
      <w:r>
        <w:rPr>
          <w:rFonts w:asciiTheme="minorEastAsia" w:hAnsiTheme="minorEastAsia" w:eastAsiaTheme="minorEastAsia" w:cstheme="minorEastAsia"/>
          <w:color w:val="auto"/>
          <w:kern w:val="0"/>
          <w:szCs w:val="21"/>
        </w:rPr>
        <w:t>严格遵守政府采购法律法规和现场纪律。</w:t>
      </w:r>
    </w:p>
    <w:p>
      <w:pPr>
        <w:pStyle w:val="86"/>
        <w:widowControl/>
        <w:numPr>
          <w:ilvl w:val="0"/>
          <w:numId w:val="19"/>
        </w:numPr>
        <w:adjustRightInd w:val="0"/>
        <w:snapToGrid w:val="0"/>
        <w:spacing w:line="360" w:lineRule="auto"/>
        <w:ind w:firstLine="396" w:firstLineChars="189"/>
        <w:rPr>
          <w:rFonts w:asciiTheme="minorEastAsia" w:hAnsiTheme="minorEastAsia" w:eastAsiaTheme="minorEastAsia" w:cstheme="minorEastAsia"/>
          <w:color w:val="auto"/>
          <w:kern w:val="0"/>
          <w:szCs w:val="21"/>
        </w:rPr>
      </w:pPr>
      <w:r>
        <w:rPr>
          <w:rFonts w:asciiTheme="minorEastAsia" w:hAnsiTheme="minorEastAsia" w:eastAsiaTheme="minorEastAsia" w:cstheme="minorEastAsia"/>
          <w:color w:val="auto"/>
          <w:kern w:val="0"/>
          <w:szCs w:val="21"/>
        </w:rPr>
        <w:t>我发现</w:t>
      </w:r>
      <w:r>
        <w:rPr>
          <w:rFonts w:asciiTheme="minorEastAsia" w:hAnsiTheme="minorEastAsia" w:eastAsiaTheme="minorEastAsia" w:cstheme="minorEastAsia"/>
          <w:color w:val="auto"/>
          <w:kern w:val="0"/>
          <w:szCs w:val="21"/>
          <w:u w:val="single"/>
        </w:rPr>
        <w:t xml:space="preserve">                    </w:t>
      </w:r>
      <w:r>
        <w:rPr>
          <w:rFonts w:asciiTheme="minorEastAsia" w:hAnsiTheme="minorEastAsia" w:eastAsiaTheme="minorEastAsia" w:cstheme="minorEastAsia"/>
          <w:color w:val="auto"/>
          <w:kern w:val="0"/>
          <w:szCs w:val="21"/>
        </w:rPr>
        <w:t>供应商之间存在或可能存在上述第二条第</w:t>
      </w:r>
      <w:r>
        <w:rPr>
          <w:rFonts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u w:val="single"/>
        </w:rPr>
        <w:t xml:space="preserve">  </w:t>
      </w:r>
      <w:r>
        <w:rPr>
          <w:rFonts w:asciiTheme="minorEastAsia" w:hAnsiTheme="minorEastAsia" w:eastAsiaTheme="minorEastAsia" w:cstheme="minorEastAsia"/>
          <w:color w:val="auto"/>
          <w:kern w:val="0"/>
          <w:szCs w:val="21"/>
        </w:rPr>
        <w:t>项利害关系。</w:t>
      </w:r>
    </w:p>
    <w:p>
      <w:pPr>
        <w:pStyle w:val="86"/>
        <w:widowControl/>
        <w:adjustRightInd w:val="0"/>
        <w:snapToGrid w:val="0"/>
        <w:spacing w:line="360" w:lineRule="auto"/>
        <w:rPr>
          <w:rFonts w:hint="eastAsia" w:asciiTheme="minorEastAsia" w:hAnsiTheme="minorEastAsia" w:eastAsiaTheme="minorEastAsia" w:cstheme="minorEastAsia"/>
          <w:color w:val="auto"/>
          <w:kern w:val="0"/>
          <w:szCs w:val="21"/>
        </w:rPr>
      </w:pPr>
    </w:p>
    <w:p>
      <w:pPr>
        <w:pStyle w:val="85"/>
        <w:widowControl w:val="0"/>
        <w:adjustRightInd w:val="0"/>
        <w:snapToGrid w:val="0"/>
        <w:spacing w:line="360" w:lineRule="auto"/>
        <w:ind w:firstLine="420" w:firstLineChars="200"/>
        <w:jc w:val="both"/>
        <w:rPr>
          <w:rFonts w:hint="eastAsia" w:asciiTheme="minorEastAsia" w:hAnsiTheme="minorEastAsia" w:eastAsiaTheme="minorEastAsia" w:cstheme="minorEastAsia"/>
          <w:color w:val="auto"/>
          <w:szCs w:val="21"/>
        </w:rPr>
      </w:pPr>
      <w:r>
        <w:rPr>
          <w:rFonts w:asciiTheme="minorEastAsia" w:hAnsiTheme="minorEastAsia" w:eastAsiaTheme="minorEastAsia" w:cstheme="minorEastAsia"/>
          <w:color w:val="auto"/>
          <w:szCs w:val="21"/>
        </w:rPr>
        <w:t xml:space="preserve">                                （供应商代表签名）</w:t>
      </w:r>
    </w:p>
    <w:p>
      <w:pPr>
        <w:adjustRightInd w:val="0"/>
        <w:snapToGrid w:val="0"/>
        <w:spacing w:line="360" w:lineRule="auto"/>
        <w:jc w:val="righ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年  月  日</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w:t>
      </w:r>
    </w:p>
    <w:p>
      <w:pPr>
        <w:pStyle w:val="50"/>
        <w:rPr>
          <w:rFonts w:hint="eastAsia" w:asciiTheme="minorEastAsia" w:hAnsiTheme="minorEastAsia" w:eastAsiaTheme="minorEastAsia" w:cstheme="minorEastAsia"/>
          <w:color w:val="auto"/>
        </w:rPr>
      </w:pPr>
    </w:p>
    <w:sectPr>
      <w:pgSz w:w="11906" w:h="16838"/>
      <w:pgMar w:top="1247" w:right="1588" w:bottom="1089"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entury Gothic">
    <w:altName w:val="Yu Gothic UI"/>
    <w:panose1 w:val="020B0502020202020204"/>
    <w:charset w:val="00"/>
    <w:family w:val="swiss"/>
    <w:pitch w:val="default"/>
    <w:sig w:usb0="00000000" w:usb1="00000000" w:usb2="00000000" w:usb3="00000000" w:csb0="0000009F" w:csb1="00000000"/>
  </w:font>
  <w:font w:name="楷体">
    <w:panose1 w:val="02010609060101010101"/>
    <w:charset w:val="86"/>
    <w:family w:val="modern"/>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Arial Narrow">
    <w:altName w:val="Arial"/>
    <w:panose1 w:val="020B0606020202030204"/>
    <w:charset w:val="00"/>
    <w:family w:val="swiss"/>
    <w:pitch w:val="default"/>
    <w:sig w:usb0="00000000" w:usb1="00000000" w:usb2="00000000" w:usb3="00000000" w:csb0="0000009F" w:csb1="00000000"/>
  </w:font>
  <w:font w:name="_x000B__x000C_">
    <w:altName w:val="Times New Roman"/>
    <w:panose1 w:val="00000000000000000000"/>
    <w:charset w:val="00"/>
    <w:family w:val="roman"/>
    <w:pitch w:val="default"/>
    <w:sig w:usb0="00000000" w:usb1="00000000" w:usb2="00000000"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rPr>
        <w:rStyle w:val="44"/>
      </w:rPr>
      <w:instrText xml:space="preserve"> PAGE </w:instrText>
    </w:r>
    <w:r>
      <w:fldChar w:fldCharType="separate"/>
    </w:r>
    <w:r>
      <w:rPr>
        <w:rStyle w:val="44"/>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left" w:pos="900"/>
        <w:tab w:val="clear" w:pos="4153"/>
        <w:tab w:val="clear" w:pos="8306"/>
      </w:tabs>
      <w:jc w:val="center"/>
    </w:pPr>
    <w:r>
      <w:fldChar w:fldCharType="begin"/>
    </w:r>
    <w:r>
      <w:rPr>
        <w:rStyle w:val="44"/>
      </w:rPr>
      <w:instrText xml:space="preserve"> PAGE </w:instrText>
    </w:r>
    <w:r>
      <w:fldChar w:fldCharType="separate"/>
    </w:r>
    <w:r>
      <w:rPr>
        <w:rStyle w:val="44"/>
      </w:rPr>
      <w:t>41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48B2BA"/>
    <w:multiLevelType w:val="singleLevel"/>
    <w:tmpl w:val="A748B2BA"/>
    <w:lvl w:ilvl="0" w:tentative="0">
      <w:start w:val="1"/>
      <w:numFmt w:val="decimal"/>
      <w:lvlText w:val="%1."/>
      <w:lvlJc w:val="left"/>
      <w:pPr>
        <w:tabs>
          <w:tab w:val="left" w:pos="312"/>
        </w:tabs>
      </w:pPr>
    </w:lvl>
  </w:abstractNum>
  <w:abstractNum w:abstractNumId="1">
    <w:nsid w:val="AAA5B6B9"/>
    <w:multiLevelType w:val="singleLevel"/>
    <w:tmpl w:val="AAA5B6B9"/>
    <w:lvl w:ilvl="0" w:tentative="0">
      <w:start w:val="1"/>
      <w:numFmt w:val="decimalEnclosedCircleChinese"/>
      <w:suff w:val="nothing"/>
      <w:lvlText w:val="%1　"/>
      <w:lvlJc w:val="left"/>
      <w:pPr>
        <w:ind w:left="0" w:firstLine="400"/>
      </w:pPr>
      <w:rPr>
        <w:rFonts w:hint="eastAsia"/>
      </w:rPr>
    </w:lvl>
  </w:abstractNum>
  <w:abstractNum w:abstractNumId="2">
    <w:nsid w:val="AB92FBAC"/>
    <w:multiLevelType w:val="singleLevel"/>
    <w:tmpl w:val="AB92FBAC"/>
    <w:lvl w:ilvl="0" w:tentative="0">
      <w:start w:val="1"/>
      <w:numFmt w:val="decimalEnclosedCircleChinese"/>
      <w:suff w:val="nothing"/>
      <w:lvlText w:val="%1　"/>
      <w:lvlJc w:val="left"/>
      <w:pPr>
        <w:ind w:left="0" w:firstLine="400"/>
      </w:pPr>
      <w:rPr>
        <w:rFonts w:hint="eastAsia"/>
      </w:rPr>
    </w:lvl>
  </w:abstractNum>
  <w:abstractNum w:abstractNumId="3">
    <w:nsid w:val="B09E43A5"/>
    <w:multiLevelType w:val="singleLevel"/>
    <w:tmpl w:val="B09E43A5"/>
    <w:lvl w:ilvl="0" w:tentative="0">
      <w:start w:val="1"/>
      <w:numFmt w:val="decimal"/>
      <w:suff w:val="space"/>
      <w:lvlText w:val="%1."/>
      <w:lvlJc w:val="left"/>
    </w:lvl>
  </w:abstractNum>
  <w:abstractNum w:abstractNumId="4">
    <w:nsid w:val="D36E9D1E"/>
    <w:multiLevelType w:val="singleLevel"/>
    <w:tmpl w:val="D36E9D1E"/>
    <w:lvl w:ilvl="0" w:tentative="0">
      <w:start w:val="1"/>
      <w:numFmt w:val="decimalEnclosedCircleChinese"/>
      <w:suff w:val="nothing"/>
      <w:lvlText w:val="%1　"/>
      <w:lvlJc w:val="left"/>
      <w:pPr>
        <w:ind w:left="0" w:firstLine="400"/>
      </w:pPr>
      <w:rPr>
        <w:rFonts w:hint="eastAsia"/>
      </w:rPr>
    </w:lvl>
  </w:abstractNum>
  <w:abstractNum w:abstractNumId="5">
    <w:nsid w:val="F1D14BBD"/>
    <w:multiLevelType w:val="multilevel"/>
    <w:tmpl w:val="F1D14BBD"/>
    <w:lvl w:ilvl="0" w:tentative="0">
      <w:start w:val="1"/>
      <w:numFmt w:val="decimal"/>
      <w:lvlText w:val="（%1）"/>
      <w:lvlJc w:val="left"/>
      <w:pPr>
        <w:ind w:left="1142" w:hanging="72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6">
    <w:nsid w:val="F6CE8F93"/>
    <w:multiLevelType w:val="singleLevel"/>
    <w:tmpl w:val="F6CE8F93"/>
    <w:lvl w:ilvl="0" w:tentative="0">
      <w:start w:val="1"/>
      <w:numFmt w:val="decimalEnclosedCircleChinese"/>
      <w:suff w:val="nothing"/>
      <w:lvlText w:val="%1　"/>
      <w:lvlJc w:val="left"/>
      <w:pPr>
        <w:ind w:left="0" w:firstLine="400"/>
      </w:pPr>
      <w:rPr>
        <w:rFonts w:hint="eastAsia"/>
      </w:rPr>
    </w:lvl>
  </w:abstractNum>
  <w:abstractNum w:abstractNumId="7">
    <w:nsid w:val="F85496D0"/>
    <w:multiLevelType w:val="singleLevel"/>
    <w:tmpl w:val="F85496D0"/>
    <w:lvl w:ilvl="0" w:tentative="0">
      <w:start w:val="1"/>
      <w:numFmt w:val="decimalEnclosedCircleChinese"/>
      <w:suff w:val="nothing"/>
      <w:lvlText w:val="%1　"/>
      <w:lvlJc w:val="left"/>
      <w:pPr>
        <w:ind w:left="0" w:firstLine="400"/>
      </w:pPr>
      <w:rPr>
        <w:rFonts w:hint="eastAsia"/>
      </w:rPr>
    </w:lvl>
  </w:abstractNum>
  <w:abstractNum w:abstractNumId="8">
    <w:nsid w:val="FD8902AC"/>
    <w:multiLevelType w:val="singleLevel"/>
    <w:tmpl w:val="FD8902AC"/>
    <w:lvl w:ilvl="0" w:tentative="0">
      <w:start w:val="1"/>
      <w:numFmt w:val="lowerLetter"/>
      <w:lvlText w:val="%1."/>
      <w:lvlJc w:val="left"/>
      <w:pPr>
        <w:ind w:left="425" w:hanging="425"/>
      </w:pPr>
      <w:rPr>
        <w:rFonts w:hint="default"/>
      </w:rPr>
    </w:lvl>
  </w:abstractNum>
  <w:abstractNum w:abstractNumId="9">
    <w:nsid w:val="00000003"/>
    <w:multiLevelType w:val="multilevel"/>
    <w:tmpl w:val="00000003"/>
    <w:lvl w:ilvl="0" w:tentative="0">
      <w:start w:val="1"/>
      <w:numFmt w:val="decimal"/>
      <w:lvlText w:val="（%1）"/>
      <w:lvlJc w:val="left"/>
      <w:pPr>
        <w:tabs>
          <w:tab w:val="left" w:pos="937"/>
        </w:tabs>
        <w:ind w:left="926" w:hanging="500"/>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2FCA2B6"/>
    <w:multiLevelType w:val="singleLevel"/>
    <w:tmpl w:val="02FCA2B6"/>
    <w:lvl w:ilvl="0" w:tentative="0">
      <w:start w:val="1"/>
      <w:numFmt w:val="decimal"/>
      <w:suff w:val="space"/>
      <w:lvlText w:val="%1."/>
      <w:lvlJc w:val="left"/>
    </w:lvl>
  </w:abstractNum>
  <w:abstractNum w:abstractNumId="11">
    <w:nsid w:val="39E4E3C9"/>
    <w:multiLevelType w:val="singleLevel"/>
    <w:tmpl w:val="39E4E3C9"/>
    <w:lvl w:ilvl="0" w:tentative="0">
      <w:start w:val="13"/>
      <w:numFmt w:val="decimal"/>
      <w:suff w:val="nothing"/>
      <w:lvlText w:val="%1．"/>
      <w:lvlJc w:val="left"/>
    </w:lvl>
  </w:abstractNum>
  <w:abstractNum w:abstractNumId="12">
    <w:nsid w:val="3AD5029F"/>
    <w:multiLevelType w:val="singleLevel"/>
    <w:tmpl w:val="3AD5029F"/>
    <w:lvl w:ilvl="0" w:tentative="0">
      <w:start w:val="1"/>
      <w:numFmt w:val="decimalEnclosedCircleChinese"/>
      <w:suff w:val="nothing"/>
      <w:lvlText w:val="%1　"/>
      <w:lvlJc w:val="left"/>
      <w:pPr>
        <w:ind w:left="0" w:firstLine="400"/>
      </w:pPr>
      <w:rPr>
        <w:rFonts w:hint="eastAsia"/>
      </w:rPr>
    </w:lvl>
  </w:abstractNum>
  <w:abstractNum w:abstractNumId="13">
    <w:nsid w:val="47A7DCD3"/>
    <w:multiLevelType w:val="singleLevel"/>
    <w:tmpl w:val="47A7DCD3"/>
    <w:lvl w:ilvl="0" w:tentative="0">
      <w:start w:val="1"/>
      <w:numFmt w:val="decimal"/>
      <w:suff w:val="space"/>
      <w:lvlText w:val="%1."/>
      <w:lvlJc w:val="left"/>
    </w:lvl>
  </w:abstractNum>
  <w:abstractNum w:abstractNumId="14">
    <w:nsid w:val="54F403B5"/>
    <w:multiLevelType w:val="singleLevel"/>
    <w:tmpl w:val="54F403B5"/>
    <w:lvl w:ilvl="0" w:tentative="0">
      <w:start w:val="1"/>
      <w:numFmt w:val="chineseCounting"/>
      <w:suff w:val="nothing"/>
      <w:lvlText w:val="%1、"/>
      <w:lvlJc w:val="left"/>
    </w:lvl>
  </w:abstractNum>
  <w:abstractNum w:abstractNumId="15">
    <w:nsid w:val="557FD3DA"/>
    <w:multiLevelType w:val="singleLevel"/>
    <w:tmpl w:val="557FD3DA"/>
    <w:lvl w:ilvl="0" w:tentative="0">
      <w:start w:val="3"/>
      <w:numFmt w:val="chineseCounting"/>
      <w:suff w:val="nothing"/>
      <w:lvlText w:val="%1、"/>
      <w:lvlJc w:val="left"/>
    </w:lvl>
  </w:abstractNum>
  <w:abstractNum w:abstractNumId="16">
    <w:nsid w:val="5A3C02B2"/>
    <w:multiLevelType w:val="singleLevel"/>
    <w:tmpl w:val="5A3C02B2"/>
    <w:lvl w:ilvl="0" w:tentative="0">
      <w:start w:val="1"/>
      <w:numFmt w:val="lowerLetter"/>
      <w:lvlText w:val="%1."/>
      <w:lvlJc w:val="left"/>
      <w:pPr>
        <w:ind w:left="425" w:hanging="425"/>
      </w:pPr>
      <w:rPr>
        <w:rFonts w:hint="default"/>
      </w:rPr>
    </w:lvl>
  </w:abstractNum>
  <w:abstractNum w:abstractNumId="17">
    <w:nsid w:val="6132ED95"/>
    <w:multiLevelType w:val="singleLevel"/>
    <w:tmpl w:val="6132ED95"/>
    <w:lvl w:ilvl="0" w:tentative="0">
      <w:start w:val="1"/>
      <w:numFmt w:val="decimal"/>
      <w:lvlText w:val="%1)"/>
      <w:lvlJc w:val="left"/>
      <w:pPr>
        <w:ind w:left="425" w:hanging="425"/>
      </w:pPr>
      <w:rPr>
        <w:rFonts w:hint="default"/>
      </w:rPr>
    </w:lvl>
  </w:abstractNum>
  <w:abstractNum w:abstractNumId="18">
    <w:nsid w:val="631C03F0"/>
    <w:multiLevelType w:val="multilevel"/>
    <w:tmpl w:val="631C03F0"/>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3"/>
  </w:num>
  <w:num w:numId="2">
    <w:abstractNumId w:val="13"/>
  </w:num>
  <w:num w:numId="3">
    <w:abstractNumId w:val="10"/>
  </w:num>
  <w:num w:numId="4">
    <w:abstractNumId w:val="0"/>
  </w:num>
  <w:num w:numId="5">
    <w:abstractNumId w:val="16"/>
  </w:num>
  <w:num w:numId="6">
    <w:abstractNumId w:val="2"/>
  </w:num>
  <w:num w:numId="7">
    <w:abstractNumId w:val="4"/>
  </w:num>
  <w:num w:numId="8">
    <w:abstractNumId w:val="17"/>
  </w:num>
  <w:num w:numId="9">
    <w:abstractNumId w:val="1"/>
  </w:num>
  <w:num w:numId="10">
    <w:abstractNumId w:val="9"/>
  </w:num>
  <w:num w:numId="11">
    <w:abstractNumId w:val="5"/>
  </w:num>
  <w:num w:numId="12">
    <w:abstractNumId w:val="18"/>
  </w:num>
  <w:num w:numId="13">
    <w:abstractNumId w:val="11"/>
  </w:num>
  <w:num w:numId="14">
    <w:abstractNumId w:val="8"/>
  </w:num>
  <w:num w:numId="15">
    <w:abstractNumId w:val="6"/>
  </w:num>
  <w:num w:numId="16">
    <w:abstractNumId w:val="7"/>
  </w:num>
  <w:num w:numId="17">
    <w:abstractNumId w:val="12"/>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56"/>
    <w:rsid w:val="00002DAC"/>
    <w:rsid w:val="0000396E"/>
    <w:rsid w:val="00004478"/>
    <w:rsid w:val="000151EB"/>
    <w:rsid w:val="00015A40"/>
    <w:rsid w:val="000173D9"/>
    <w:rsid w:val="00023C95"/>
    <w:rsid w:val="00033EE6"/>
    <w:rsid w:val="000364DE"/>
    <w:rsid w:val="00036535"/>
    <w:rsid w:val="000371E8"/>
    <w:rsid w:val="000445EB"/>
    <w:rsid w:val="00050BD9"/>
    <w:rsid w:val="00053E49"/>
    <w:rsid w:val="00063A1A"/>
    <w:rsid w:val="00066C9E"/>
    <w:rsid w:val="0006711B"/>
    <w:rsid w:val="0006742A"/>
    <w:rsid w:val="00067A80"/>
    <w:rsid w:val="00067D63"/>
    <w:rsid w:val="00076ECC"/>
    <w:rsid w:val="0007753E"/>
    <w:rsid w:val="0008108E"/>
    <w:rsid w:val="00082EC3"/>
    <w:rsid w:val="0009113A"/>
    <w:rsid w:val="00091E58"/>
    <w:rsid w:val="00096A49"/>
    <w:rsid w:val="000A26A0"/>
    <w:rsid w:val="000A7899"/>
    <w:rsid w:val="000B0696"/>
    <w:rsid w:val="000B7C98"/>
    <w:rsid w:val="000C296B"/>
    <w:rsid w:val="000C314E"/>
    <w:rsid w:val="000E5537"/>
    <w:rsid w:val="000F4D78"/>
    <w:rsid w:val="0011283B"/>
    <w:rsid w:val="00114CF3"/>
    <w:rsid w:val="001236DA"/>
    <w:rsid w:val="001307EB"/>
    <w:rsid w:val="00132FF2"/>
    <w:rsid w:val="00140949"/>
    <w:rsid w:val="001474A4"/>
    <w:rsid w:val="001662B9"/>
    <w:rsid w:val="00183306"/>
    <w:rsid w:val="00194EBA"/>
    <w:rsid w:val="001A2705"/>
    <w:rsid w:val="001A3C11"/>
    <w:rsid w:val="001A4337"/>
    <w:rsid w:val="001B3D36"/>
    <w:rsid w:val="001B666B"/>
    <w:rsid w:val="001C45D1"/>
    <w:rsid w:val="001C5282"/>
    <w:rsid w:val="001D028B"/>
    <w:rsid w:val="001D0DE0"/>
    <w:rsid w:val="001E07E0"/>
    <w:rsid w:val="001E641D"/>
    <w:rsid w:val="001F136F"/>
    <w:rsid w:val="001F4AAA"/>
    <w:rsid w:val="0020144A"/>
    <w:rsid w:val="00205FDC"/>
    <w:rsid w:val="002161CA"/>
    <w:rsid w:val="00231B57"/>
    <w:rsid w:val="002372C9"/>
    <w:rsid w:val="00244BE9"/>
    <w:rsid w:val="00252D74"/>
    <w:rsid w:val="00255979"/>
    <w:rsid w:val="00255D75"/>
    <w:rsid w:val="002561BF"/>
    <w:rsid w:val="00260A47"/>
    <w:rsid w:val="00261C5B"/>
    <w:rsid w:val="00262FE8"/>
    <w:rsid w:val="00271A3C"/>
    <w:rsid w:val="00273D40"/>
    <w:rsid w:val="00280335"/>
    <w:rsid w:val="002851C3"/>
    <w:rsid w:val="002966E4"/>
    <w:rsid w:val="002A0A4C"/>
    <w:rsid w:val="002A53F5"/>
    <w:rsid w:val="002A59DA"/>
    <w:rsid w:val="002A6597"/>
    <w:rsid w:val="002B7F8B"/>
    <w:rsid w:val="002C2B43"/>
    <w:rsid w:val="002C3E6B"/>
    <w:rsid w:val="002C709B"/>
    <w:rsid w:val="002D3FEA"/>
    <w:rsid w:val="002D780C"/>
    <w:rsid w:val="002E4523"/>
    <w:rsid w:val="002E7540"/>
    <w:rsid w:val="002F5751"/>
    <w:rsid w:val="00301A3B"/>
    <w:rsid w:val="00312338"/>
    <w:rsid w:val="003167FF"/>
    <w:rsid w:val="0033728A"/>
    <w:rsid w:val="00340FBD"/>
    <w:rsid w:val="003458DD"/>
    <w:rsid w:val="00346FD6"/>
    <w:rsid w:val="00347C6D"/>
    <w:rsid w:val="0035269E"/>
    <w:rsid w:val="003577F6"/>
    <w:rsid w:val="00361C53"/>
    <w:rsid w:val="00367919"/>
    <w:rsid w:val="00371116"/>
    <w:rsid w:val="0037302D"/>
    <w:rsid w:val="00373E7F"/>
    <w:rsid w:val="00375001"/>
    <w:rsid w:val="00376577"/>
    <w:rsid w:val="00377D84"/>
    <w:rsid w:val="00380738"/>
    <w:rsid w:val="00382930"/>
    <w:rsid w:val="003846B2"/>
    <w:rsid w:val="00391928"/>
    <w:rsid w:val="003919E1"/>
    <w:rsid w:val="00395A78"/>
    <w:rsid w:val="0039632A"/>
    <w:rsid w:val="00397C42"/>
    <w:rsid w:val="003A48E1"/>
    <w:rsid w:val="003B3663"/>
    <w:rsid w:val="003D0F5F"/>
    <w:rsid w:val="003D4FE5"/>
    <w:rsid w:val="003D579E"/>
    <w:rsid w:val="003D62AA"/>
    <w:rsid w:val="003E445D"/>
    <w:rsid w:val="003E4D6D"/>
    <w:rsid w:val="003E76A2"/>
    <w:rsid w:val="003F19B5"/>
    <w:rsid w:val="003F298D"/>
    <w:rsid w:val="00415696"/>
    <w:rsid w:val="0042137A"/>
    <w:rsid w:val="004241E3"/>
    <w:rsid w:val="004278F1"/>
    <w:rsid w:val="0043095A"/>
    <w:rsid w:val="00431055"/>
    <w:rsid w:val="004333A4"/>
    <w:rsid w:val="00433B4B"/>
    <w:rsid w:val="00437005"/>
    <w:rsid w:val="004566EA"/>
    <w:rsid w:val="0046312D"/>
    <w:rsid w:val="004652D2"/>
    <w:rsid w:val="00471CFD"/>
    <w:rsid w:val="00474574"/>
    <w:rsid w:val="004A1324"/>
    <w:rsid w:val="004A3F59"/>
    <w:rsid w:val="004A755E"/>
    <w:rsid w:val="004B212A"/>
    <w:rsid w:val="004B7872"/>
    <w:rsid w:val="004D09F0"/>
    <w:rsid w:val="004D1FE1"/>
    <w:rsid w:val="004D4D0B"/>
    <w:rsid w:val="004E0815"/>
    <w:rsid w:val="004F220B"/>
    <w:rsid w:val="004F29EC"/>
    <w:rsid w:val="004F2FE1"/>
    <w:rsid w:val="004F3A58"/>
    <w:rsid w:val="004F54AA"/>
    <w:rsid w:val="004F550E"/>
    <w:rsid w:val="004F653D"/>
    <w:rsid w:val="00500F82"/>
    <w:rsid w:val="0052335A"/>
    <w:rsid w:val="0052516E"/>
    <w:rsid w:val="00527F3E"/>
    <w:rsid w:val="00542801"/>
    <w:rsid w:val="0054542F"/>
    <w:rsid w:val="0055186A"/>
    <w:rsid w:val="00565B42"/>
    <w:rsid w:val="00566AEF"/>
    <w:rsid w:val="00587E2F"/>
    <w:rsid w:val="005923FB"/>
    <w:rsid w:val="0059694F"/>
    <w:rsid w:val="005A1025"/>
    <w:rsid w:val="005B5322"/>
    <w:rsid w:val="005C165B"/>
    <w:rsid w:val="005D2AAC"/>
    <w:rsid w:val="005D3123"/>
    <w:rsid w:val="005D3914"/>
    <w:rsid w:val="005E181F"/>
    <w:rsid w:val="005E6149"/>
    <w:rsid w:val="005F4032"/>
    <w:rsid w:val="00600A3F"/>
    <w:rsid w:val="006324B9"/>
    <w:rsid w:val="006358C5"/>
    <w:rsid w:val="00646EED"/>
    <w:rsid w:val="00655560"/>
    <w:rsid w:val="0066425D"/>
    <w:rsid w:val="0067571C"/>
    <w:rsid w:val="006802A2"/>
    <w:rsid w:val="006823BD"/>
    <w:rsid w:val="006907C1"/>
    <w:rsid w:val="006939FC"/>
    <w:rsid w:val="00697C01"/>
    <w:rsid w:val="006A232A"/>
    <w:rsid w:val="006A5767"/>
    <w:rsid w:val="006B55CD"/>
    <w:rsid w:val="006C34F6"/>
    <w:rsid w:val="006C5867"/>
    <w:rsid w:val="006D3A10"/>
    <w:rsid w:val="006D753A"/>
    <w:rsid w:val="006E2A6C"/>
    <w:rsid w:val="006E3886"/>
    <w:rsid w:val="006E520E"/>
    <w:rsid w:val="006F15FC"/>
    <w:rsid w:val="006F3E6E"/>
    <w:rsid w:val="006F7759"/>
    <w:rsid w:val="00700BC8"/>
    <w:rsid w:val="007031BD"/>
    <w:rsid w:val="0071174F"/>
    <w:rsid w:val="0071519C"/>
    <w:rsid w:val="00720826"/>
    <w:rsid w:val="00722694"/>
    <w:rsid w:val="007239AA"/>
    <w:rsid w:val="00723BA4"/>
    <w:rsid w:val="007347A8"/>
    <w:rsid w:val="007524E0"/>
    <w:rsid w:val="007536BE"/>
    <w:rsid w:val="007704B1"/>
    <w:rsid w:val="00773776"/>
    <w:rsid w:val="00775D40"/>
    <w:rsid w:val="00781837"/>
    <w:rsid w:val="007823CF"/>
    <w:rsid w:val="00792D0A"/>
    <w:rsid w:val="0079652A"/>
    <w:rsid w:val="007C37CF"/>
    <w:rsid w:val="007C552C"/>
    <w:rsid w:val="007D1A29"/>
    <w:rsid w:val="007D3403"/>
    <w:rsid w:val="007F5CA2"/>
    <w:rsid w:val="0080136F"/>
    <w:rsid w:val="00806699"/>
    <w:rsid w:val="00807C1C"/>
    <w:rsid w:val="00811AE1"/>
    <w:rsid w:val="0082579B"/>
    <w:rsid w:val="00827882"/>
    <w:rsid w:val="00831073"/>
    <w:rsid w:val="008523D4"/>
    <w:rsid w:val="008561C8"/>
    <w:rsid w:val="00863B15"/>
    <w:rsid w:val="00873832"/>
    <w:rsid w:val="00882251"/>
    <w:rsid w:val="0089426F"/>
    <w:rsid w:val="008977F5"/>
    <w:rsid w:val="008A27A6"/>
    <w:rsid w:val="008B365F"/>
    <w:rsid w:val="008B5095"/>
    <w:rsid w:val="008B6EF3"/>
    <w:rsid w:val="008C194F"/>
    <w:rsid w:val="008C4BC7"/>
    <w:rsid w:val="008C55FE"/>
    <w:rsid w:val="008C597D"/>
    <w:rsid w:val="008D0582"/>
    <w:rsid w:val="008D3C24"/>
    <w:rsid w:val="008E1AD7"/>
    <w:rsid w:val="008E637C"/>
    <w:rsid w:val="008F7512"/>
    <w:rsid w:val="008F7D01"/>
    <w:rsid w:val="009072E5"/>
    <w:rsid w:val="00910F4C"/>
    <w:rsid w:val="00917B9E"/>
    <w:rsid w:val="00932BD4"/>
    <w:rsid w:val="0093363C"/>
    <w:rsid w:val="009506F2"/>
    <w:rsid w:val="00953555"/>
    <w:rsid w:val="00971B09"/>
    <w:rsid w:val="00975676"/>
    <w:rsid w:val="009B2C10"/>
    <w:rsid w:val="009B59D2"/>
    <w:rsid w:val="009C0E6D"/>
    <w:rsid w:val="009C1567"/>
    <w:rsid w:val="009C5B37"/>
    <w:rsid w:val="009C67E9"/>
    <w:rsid w:val="009C797E"/>
    <w:rsid w:val="009D0543"/>
    <w:rsid w:val="009D0DDC"/>
    <w:rsid w:val="009D1220"/>
    <w:rsid w:val="009D25EA"/>
    <w:rsid w:val="009D3841"/>
    <w:rsid w:val="009D7429"/>
    <w:rsid w:val="009D7EFB"/>
    <w:rsid w:val="009E29F7"/>
    <w:rsid w:val="009F206D"/>
    <w:rsid w:val="009F4908"/>
    <w:rsid w:val="009F557F"/>
    <w:rsid w:val="00A00775"/>
    <w:rsid w:val="00A02ABC"/>
    <w:rsid w:val="00A047AA"/>
    <w:rsid w:val="00A04A75"/>
    <w:rsid w:val="00A04F8F"/>
    <w:rsid w:val="00A10C7D"/>
    <w:rsid w:val="00A1343F"/>
    <w:rsid w:val="00A2501C"/>
    <w:rsid w:val="00A33491"/>
    <w:rsid w:val="00A34D63"/>
    <w:rsid w:val="00A34F2B"/>
    <w:rsid w:val="00A403BE"/>
    <w:rsid w:val="00A50C08"/>
    <w:rsid w:val="00A64A15"/>
    <w:rsid w:val="00A702A9"/>
    <w:rsid w:val="00A70D13"/>
    <w:rsid w:val="00A71960"/>
    <w:rsid w:val="00A8066B"/>
    <w:rsid w:val="00A92FFB"/>
    <w:rsid w:val="00A93FC0"/>
    <w:rsid w:val="00A94D98"/>
    <w:rsid w:val="00A97D06"/>
    <w:rsid w:val="00AA410D"/>
    <w:rsid w:val="00AA6793"/>
    <w:rsid w:val="00AA7912"/>
    <w:rsid w:val="00AB1E3E"/>
    <w:rsid w:val="00AC0163"/>
    <w:rsid w:val="00AD5656"/>
    <w:rsid w:val="00AD77EE"/>
    <w:rsid w:val="00AE0282"/>
    <w:rsid w:val="00AE1A20"/>
    <w:rsid w:val="00AE4E6E"/>
    <w:rsid w:val="00AF341D"/>
    <w:rsid w:val="00AF7907"/>
    <w:rsid w:val="00B0444C"/>
    <w:rsid w:val="00B057FD"/>
    <w:rsid w:val="00B12E13"/>
    <w:rsid w:val="00B14E38"/>
    <w:rsid w:val="00B234C2"/>
    <w:rsid w:val="00B27DD7"/>
    <w:rsid w:val="00B37181"/>
    <w:rsid w:val="00B46D44"/>
    <w:rsid w:val="00B51E27"/>
    <w:rsid w:val="00B63DF2"/>
    <w:rsid w:val="00B750BD"/>
    <w:rsid w:val="00B8103A"/>
    <w:rsid w:val="00B832EE"/>
    <w:rsid w:val="00B84DCE"/>
    <w:rsid w:val="00B878F6"/>
    <w:rsid w:val="00B96E56"/>
    <w:rsid w:val="00BA1E0D"/>
    <w:rsid w:val="00BA577A"/>
    <w:rsid w:val="00BA64EB"/>
    <w:rsid w:val="00BA7D39"/>
    <w:rsid w:val="00BB2521"/>
    <w:rsid w:val="00BB6771"/>
    <w:rsid w:val="00BC170D"/>
    <w:rsid w:val="00BC46F3"/>
    <w:rsid w:val="00BD2D21"/>
    <w:rsid w:val="00BD5569"/>
    <w:rsid w:val="00BD6B83"/>
    <w:rsid w:val="00BE4640"/>
    <w:rsid w:val="00BF40B3"/>
    <w:rsid w:val="00C022FB"/>
    <w:rsid w:val="00C04DF4"/>
    <w:rsid w:val="00C06B0F"/>
    <w:rsid w:val="00C1372F"/>
    <w:rsid w:val="00C13CF4"/>
    <w:rsid w:val="00C146B3"/>
    <w:rsid w:val="00C15D7E"/>
    <w:rsid w:val="00C17F0A"/>
    <w:rsid w:val="00C239C7"/>
    <w:rsid w:val="00C23A00"/>
    <w:rsid w:val="00C33389"/>
    <w:rsid w:val="00C36642"/>
    <w:rsid w:val="00C3672B"/>
    <w:rsid w:val="00C36CB6"/>
    <w:rsid w:val="00C37ACA"/>
    <w:rsid w:val="00C4636D"/>
    <w:rsid w:val="00C46915"/>
    <w:rsid w:val="00C568C3"/>
    <w:rsid w:val="00C747A1"/>
    <w:rsid w:val="00C76B54"/>
    <w:rsid w:val="00C76F02"/>
    <w:rsid w:val="00C77444"/>
    <w:rsid w:val="00C80386"/>
    <w:rsid w:val="00C81CE0"/>
    <w:rsid w:val="00C83733"/>
    <w:rsid w:val="00C90DED"/>
    <w:rsid w:val="00C95402"/>
    <w:rsid w:val="00C956B9"/>
    <w:rsid w:val="00CA4188"/>
    <w:rsid w:val="00CA4F76"/>
    <w:rsid w:val="00CB5D2B"/>
    <w:rsid w:val="00CB6394"/>
    <w:rsid w:val="00CC089A"/>
    <w:rsid w:val="00CC1307"/>
    <w:rsid w:val="00CC6586"/>
    <w:rsid w:val="00CC7090"/>
    <w:rsid w:val="00CC71C9"/>
    <w:rsid w:val="00CD0199"/>
    <w:rsid w:val="00CD4ED5"/>
    <w:rsid w:val="00CD6124"/>
    <w:rsid w:val="00CE70F7"/>
    <w:rsid w:val="00CE78DD"/>
    <w:rsid w:val="00CF0266"/>
    <w:rsid w:val="00CF4CC8"/>
    <w:rsid w:val="00D027DA"/>
    <w:rsid w:val="00D05FAF"/>
    <w:rsid w:val="00D11F79"/>
    <w:rsid w:val="00D1761F"/>
    <w:rsid w:val="00D20019"/>
    <w:rsid w:val="00D20B65"/>
    <w:rsid w:val="00D2195C"/>
    <w:rsid w:val="00D227EA"/>
    <w:rsid w:val="00D2534B"/>
    <w:rsid w:val="00D31DA9"/>
    <w:rsid w:val="00D34B9F"/>
    <w:rsid w:val="00D35E8E"/>
    <w:rsid w:val="00D61159"/>
    <w:rsid w:val="00D61F52"/>
    <w:rsid w:val="00D65057"/>
    <w:rsid w:val="00D71BDF"/>
    <w:rsid w:val="00D71F9C"/>
    <w:rsid w:val="00D75262"/>
    <w:rsid w:val="00D755AB"/>
    <w:rsid w:val="00D83770"/>
    <w:rsid w:val="00D961A9"/>
    <w:rsid w:val="00DA0617"/>
    <w:rsid w:val="00DA2635"/>
    <w:rsid w:val="00DA692B"/>
    <w:rsid w:val="00DC2D9B"/>
    <w:rsid w:val="00DD1A81"/>
    <w:rsid w:val="00DE7222"/>
    <w:rsid w:val="00DF070C"/>
    <w:rsid w:val="00DF1AA6"/>
    <w:rsid w:val="00DF56AD"/>
    <w:rsid w:val="00DF5723"/>
    <w:rsid w:val="00E169CF"/>
    <w:rsid w:val="00E16BA3"/>
    <w:rsid w:val="00E23444"/>
    <w:rsid w:val="00E25909"/>
    <w:rsid w:val="00E260E6"/>
    <w:rsid w:val="00E309C7"/>
    <w:rsid w:val="00E32D71"/>
    <w:rsid w:val="00E41D4E"/>
    <w:rsid w:val="00E438FF"/>
    <w:rsid w:val="00E43DC1"/>
    <w:rsid w:val="00E465CF"/>
    <w:rsid w:val="00E53716"/>
    <w:rsid w:val="00E56245"/>
    <w:rsid w:val="00E568CF"/>
    <w:rsid w:val="00E75323"/>
    <w:rsid w:val="00E76F26"/>
    <w:rsid w:val="00E83A59"/>
    <w:rsid w:val="00E86112"/>
    <w:rsid w:val="00E901C8"/>
    <w:rsid w:val="00E939B3"/>
    <w:rsid w:val="00E94094"/>
    <w:rsid w:val="00E941BD"/>
    <w:rsid w:val="00EA55DA"/>
    <w:rsid w:val="00EB17DC"/>
    <w:rsid w:val="00EC4FF2"/>
    <w:rsid w:val="00ED0811"/>
    <w:rsid w:val="00ED23D6"/>
    <w:rsid w:val="00EF231F"/>
    <w:rsid w:val="00EF502F"/>
    <w:rsid w:val="00F057E6"/>
    <w:rsid w:val="00F11557"/>
    <w:rsid w:val="00F1486C"/>
    <w:rsid w:val="00F16532"/>
    <w:rsid w:val="00F17641"/>
    <w:rsid w:val="00F20DC4"/>
    <w:rsid w:val="00F251D9"/>
    <w:rsid w:val="00F263DC"/>
    <w:rsid w:val="00F32409"/>
    <w:rsid w:val="00F3248B"/>
    <w:rsid w:val="00F3307C"/>
    <w:rsid w:val="00F33F05"/>
    <w:rsid w:val="00F35263"/>
    <w:rsid w:val="00F42052"/>
    <w:rsid w:val="00F52B2E"/>
    <w:rsid w:val="00F53CE7"/>
    <w:rsid w:val="00F548C4"/>
    <w:rsid w:val="00F64AA5"/>
    <w:rsid w:val="00F6671F"/>
    <w:rsid w:val="00F67079"/>
    <w:rsid w:val="00F723A9"/>
    <w:rsid w:val="00F8405C"/>
    <w:rsid w:val="00F86D16"/>
    <w:rsid w:val="00F93265"/>
    <w:rsid w:val="00F93EFE"/>
    <w:rsid w:val="00FA1C44"/>
    <w:rsid w:val="00FA2E6A"/>
    <w:rsid w:val="00FA3B25"/>
    <w:rsid w:val="00FC1946"/>
    <w:rsid w:val="00FC43EC"/>
    <w:rsid w:val="00FC6360"/>
    <w:rsid w:val="00FD5426"/>
    <w:rsid w:val="00FE27F9"/>
    <w:rsid w:val="00FE2BA1"/>
    <w:rsid w:val="00FE56AD"/>
    <w:rsid w:val="00FE6D09"/>
    <w:rsid w:val="00FF3F0D"/>
    <w:rsid w:val="00FF4086"/>
    <w:rsid w:val="00FF466A"/>
    <w:rsid w:val="01242C13"/>
    <w:rsid w:val="01565AFE"/>
    <w:rsid w:val="016A18BB"/>
    <w:rsid w:val="01A026F0"/>
    <w:rsid w:val="02205968"/>
    <w:rsid w:val="023D593B"/>
    <w:rsid w:val="025E069A"/>
    <w:rsid w:val="02C00B3F"/>
    <w:rsid w:val="03141D9B"/>
    <w:rsid w:val="033F29FA"/>
    <w:rsid w:val="038652C6"/>
    <w:rsid w:val="03936BB9"/>
    <w:rsid w:val="03A9328A"/>
    <w:rsid w:val="03C478E7"/>
    <w:rsid w:val="042451DA"/>
    <w:rsid w:val="046532AA"/>
    <w:rsid w:val="04F11AB8"/>
    <w:rsid w:val="04FC5702"/>
    <w:rsid w:val="06565F89"/>
    <w:rsid w:val="06D74D2C"/>
    <w:rsid w:val="07272FEF"/>
    <w:rsid w:val="07611FC2"/>
    <w:rsid w:val="07810992"/>
    <w:rsid w:val="07C766EF"/>
    <w:rsid w:val="07F6398C"/>
    <w:rsid w:val="080F5EFD"/>
    <w:rsid w:val="089450FB"/>
    <w:rsid w:val="08D332C0"/>
    <w:rsid w:val="08DD1D65"/>
    <w:rsid w:val="09023E0B"/>
    <w:rsid w:val="094E5EB9"/>
    <w:rsid w:val="09647A9E"/>
    <w:rsid w:val="09E30485"/>
    <w:rsid w:val="0A2B49D4"/>
    <w:rsid w:val="0A690634"/>
    <w:rsid w:val="0AA350C7"/>
    <w:rsid w:val="0AB16EAD"/>
    <w:rsid w:val="0AE67C59"/>
    <w:rsid w:val="0AEB64A8"/>
    <w:rsid w:val="0AED3445"/>
    <w:rsid w:val="0B48684A"/>
    <w:rsid w:val="0B533B29"/>
    <w:rsid w:val="0B631A54"/>
    <w:rsid w:val="0BE0144B"/>
    <w:rsid w:val="0BE10566"/>
    <w:rsid w:val="0C312A39"/>
    <w:rsid w:val="0C3236E7"/>
    <w:rsid w:val="0C6D71DA"/>
    <w:rsid w:val="0CD31EEE"/>
    <w:rsid w:val="0D5864B2"/>
    <w:rsid w:val="0D6A1AC0"/>
    <w:rsid w:val="0D9A0057"/>
    <w:rsid w:val="0E60507D"/>
    <w:rsid w:val="0EA375F2"/>
    <w:rsid w:val="0EAA475B"/>
    <w:rsid w:val="0FC30C2E"/>
    <w:rsid w:val="0FD41F31"/>
    <w:rsid w:val="1051038C"/>
    <w:rsid w:val="1082485A"/>
    <w:rsid w:val="10884916"/>
    <w:rsid w:val="1095640A"/>
    <w:rsid w:val="109C580E"/>
    <w:rsid w:val="10F378F4"/>
    <w:rsid w:val="10F55783"/>
    <w:rsid w:val="114306D4"/>
    <w:rsid w:val="11B562D3"/>
    <w:rsid w:val="11EE7125"/>
    <w:rsid w:val="129C5790"/>
    <w:rsid w:val="12A400B1"/>
    <w:rsid w:val="12EB69CE"/>
    <w:rsid w:val="13465BC3"/>
    <w:rsid w:val="1379231B"/>
    <w:rsid w:val="139E5A9A"/>
    <w:rsid w:val="13BB084D"/>
    <w:rsid w:val="13CA1266"/>
    <w:rsid w:val="13E94203"/>
    <w:rsid w:val="13F15346"/>
    <w:rsid w:val="145B492E"/>
    <w:rsid w:val="14961447"/>
    <w:rsid w:val="14AF52CE"/>
    <w:rsid w:val="14E707C5"/>
    <w:rsid w:val="15604361"/>
    <w:rsid w:val="15B55363"/>
    <w:rsid w:val="15C169AC"/>
    <w:rsid w:val="18110CF1"/>
    <w:rsid w:val="18DC1902"/>
    <w:rsid w:val="190E5A8F"/>
    <w:rsid w:val="19AA7F01"/>
    <w:rsid w:val="19AC7816"/>
    <w:rsid w:val="19D27DA3"/>
    <w:rsid w:val="19E26DAC"/>
    <w:rsid w:val="1A3641C6"/>
    <w:rsid w:val="1A617DCC"/>
    <w:rsid w:val="1A964CCF"/>
    <w:rsid w:val="1AC6675E"/>
    <w:rsid w:val="1AFD065A"/>
    <w:rsid w:val="1B55025B"/>
    <w:rsid w:val="1BAF5235"/>
    <w:rsid w:val="1BC55301"/>
    <w:rsid w:val="1C1E2754"/>
    <w:rsid w:val="1C225C02"/>
    <w:rsid w:val="1C577B84"/>
    <w:rsid w:val="1C8F233B"/>
    <w:rsid w:val="1D464334"/>
    <w:rsid w:val="1D767C76"/>
    <w:rsid w:val="1D8F2F1D"/>
    <w:rsid w:val="1E4644CC"/>
    <w:rsid w:val="1E835F6E"/>
    <w:rsid w:val="1F6A3BAE"/>
    <w:rsid w:val="1F9E04D3"/>
    <w:rsid w:val="1FB3007D"/>
    <w:rsid w:val="1FC86FB2"/>
    <w:rsid w:val="20017C8D"/>
    <w:rsid w:val="20831771"/>
    <w:rsid w:val="208D5545"/>
    <w:rsid w:val="20D91FEB"/>
    <w:rsid w:val="211E47B1"/>
    <w:rsid w:val="213B0E23"/>
    <w:rsid w:val="21BF6859"/>
    <w:rsid w:val="21DB0BBB"/>
    <w:rsid w:val="224C7E9B"/>
    <w:rsid w:val="2254079F"/>
    <w:rsid w:val="228B768D"/>
    <w:rsid w:val="22B1623E"/>
    <w:rsid w:val="23061CAF"/>
    <w:rsid w:val="230963C7"/>
    <w:rsid w:val="23BC0851"/>
    <w:rsid w:val="23FE2357"/>
    <w:rsid w:val="24C63A20"/>
    <w:rsid w:val="251F3280"/>
    <w:rsid w:val="25416241"/>
    <w:rsid w:val="25475945"/>
    <w:rsid w:val="25931026"/>
    <w:rsid w:val="25BC5CB5"/>
    <w:rsid w:val="26140373"/>
    <w:rsid w:val="266427D3"/>
    <w:rsid w:val="2675674A"/>
    <w:rsid w:val="26846979"/>
    <w:rsid w:val="268B606C"/>
    <w:rsid w:val="26D520BC"/>
    <w:rsid w:val="27F633C1"/>
    <w:rsid w:val="280C2F29"/>
    <w:rsid w:val="2899726E"/>
    <w:rsid w:val="289F2FF8"/>
    <w:rsid w:val="28B30360"/>
    <w:rsid w:val="28FF44FC"/>
    <w:rsid w:val="293E708B"/>
    <w:rsid w:val="29533C76"/>
    <w:rsid w:val="29931A80"/>
    <w:rsid w:val="29BD120F"/>
    <w:rsid w:val="29C769C8"/>
    <w:rsid w:val="29F36D30"/>
    <w:rsid w:val="2A06176B"/>
    <w:rsid w:val="2ACF5A8C"/>
    <w:rsid w:val="2ADF4AAE"/>
    <w:rsid w:val="2AF51552"/>
    <w:rsid w:val="2B0F60E3"/>
    <w:rsid w:val="2B2621F1"/>
    <w:rsid w:val="2B833DCF"/>
    <w:rsid w:val="2B9C72A6"/>
    <w:rsid w:val="2C0E1ED5"/>
    <w:rsid w:val="2CB949F3"/>
    <w:rsid w:val="2D962D8D"/>
    <w:rsid w:val="2DA65AC5"/>
    <w:rsid w:val="2DC33B32"/>
    <w:rsid w:val="2DDC0D17"/>
    <w:rsid w:val="2DE70C3D"/>
    <w:rsid w:val="2E0614A6"/>
    <w:rsid w:val="2E070251"/>
    <w:rsid w:val="2E2C6AD3"/>
    <w:rsid w:val="2EEE6102"/>
    <w:rsid w:val="2F6971AB"/>
    <w:rsid w:val="2FE23FCB"/>
    <w:rsid w:val="2FEF2A4D"/>
    <w:rsid w:val="30387810"/>
    <w:rsid w:val="30424923"/>
    <w:rsid w:val="30AF4465"/>
    <w:rsid w:val="310D28FD"/>
    <w:rsid w:val="312622CD"/>
    <w:rsid w:val="31626E9E"/>
    <w:rsid w:val="31C132B8"/>
    <w:rsid w:val="31F567D1"/>
    <w:rsid w:val="31F65A58"/>
    <w:rsid w:val="32263C46"/>
    <w:rsid w:val="32400823"/>
    <w:rsid w:val="32435C17"/>
    <w:rsid w:val="32A457A0"/>
    <w:rsid w:val="334603F1"/>
    <w:rsid w:val="341A06B8"/>
    <w:rsid w:val="346A77CB"/>
    <w:rsid w:val="34832720"/>
    <w:rsid w:val="34940253"/>
    <w:rsid w:val="34A913BC"/>
    <w:rsid w:val="34C8534C"/>
    <w:rsid w:val="35852EE6"/>
    <w:rsid w:val="35A270E4"/>
    <w:rsid w:val="36301CAE"/>
    <w:rsid w:val="366B14B6"/>
    <w:rsid w:val="36A24CBE"/>
    <w:rsid w:val="36BC7D30"/>
    <w:rsid w:val="37543839"/>
    <w:rsid w:val="37585C03"/>
    <w:rsid w:val="37B71B23"/>
    <w:rsid w:val="37EF25FC"/>
    <w:rsid w:val="38134DDD"/>
    <w:rsid w:val="38AB6509"/>
    <w:rsid w:val="38C67BAB"/>
    <w:rsid w:val="39243F17"/>
    <w:rsid w:val="394C66DD"/>
    <w:rsid w:val="39764D37"/>
    <w:rsid w:val="3A4F4FFF"/>
    <w:rsid w:val="3B3D0765"/>
    <w:rsid w:val="3B802375"/>
    <w:rsid w:val="3BB13E90"/>
    <w:rsid w:val="3C266052"/>
    <w:rsid w:val="3CA40291"/>
    <w:rsid w:val="3CB46D18"/>
    <w:rsid w:val="3D2364DC"/>
    <w:rsid w:val="3D3313E5"/>
    <w:rsid w:val="3D9D0729"/>
    <w:rsid w:val="3DAC39CF"/>
    <w:rsid w:val="3DAE434A"/>
    <w:rsid w:val="3E234D34"/>
    <w:rsid w:val="3E4B6981"/>
    <w:rsid w:val="3E695273"/>
    <w:rsid w:val="3EBE084F"/>
    <w:rsid w:val="3EC32B74"/>
    <w:rsid w:val="3ED92825"/>
    <w:rsid w:val="3EDB7087"/>
    <w:rsid w:val="3F062266"/>
    <w:rsid w:val="3F326DBB"/>
    <w:rsid w:val="3F4E4B32"/>
    <w:rsid w:val="3FDA1D33"/>
    <w:rsid w:val="3FE815EE"/>
    <w:rsid w:val="406518C8"/>
    <w:rsid w:val="40A92D7E"/>
    <w:rsid w:val="40DC05C4"/>
    <w:rsid w:val="40EC294D"/>
    <w:rsid w:val="41567FFC"/>
    <w:rsid w:val="419C55D6"/>
    <w:rsid w:val="419F3437"/>
    <w:rsid w:val="42007BC3"/>
    <w:rsid w:val="422723C1"/>
    <w:rsid w:val="423D7BE4"/>
    <w:rsid w:val="42AC1AFD"/>
    <w:rsid w:val="42C80099"/>
    <w:rsid w:val="42D03DF9"/>
    <w:rsid w:val="432675D2"/>
    <w:rsid w:val="4351111A"/>
    <w:rsid w:val="43804A43"/>
    <w:rsid w:val="43891467"/>
    <w:rsid w:val="43951AE1"/>
    <w:rsid w:val="43A05748"/>
    <w:rsid w:val="43DC17D0"/>
    <w:rsid w:val="441060A4"/>
    <w:rsid w:val="445C25FF"/>
    <w:rsid w:val="446374FE"/>
    <w:rsid w:val="44897E3F"/>
    <w:rsid w:val="449A179A"/>
    <w:rsid w:val="44C25CAA"/>
    <w:rsid w:val="45201CD0"/>
    <w:rsid w:val="452877AA"/>
    <w:rsid w:val="4533463C"/>
    <w:rsid w:val="453B4135"/>
    <w:rsid w:val="453B4205"/>
    <w:rsid w:val="459367A9"/>
    <w:rsid w:val="45A95584"/>
    <w:rsid w:val="45FD6F20"/>
    <w:rsid w:val="461934A2"/>
    <w:rsid w:val="463E476D"/>
    <w:rsid w:val="465D5130"/>
    <w:rsid w:val="4691113B"/>
    <w:rsid w:val="46B40B6B"/>
    <w:rsid w:val="46D64DD7"/>
    <w:rsid w:val="46F43BD9"/>
    <w:rsid w:val="46F95916"/>
    <w:rsid w:val="47271C0E"/>
    <w:rsid w:val="472C3214"/>
    <w:rsid w:val="47997559"/>
    <w:rsid w:val="48164085"/>
    <w:rsid w:val="48636223"/>
    <w:rsid w:val="48A279E5"/>
    <w:rsid w:val="492466C1"/>
    <w:rsid w:val="49BB4DFF"/>
    <w:rsid w:val="4A247656"/>
    <w:rsid w:val="4AAB7AF7"/>
    <w:rsid w:val="4AB2178A"/>
    <w:rsid w:val="4ABA6312"/>
    <w:rsid w:val="4AE9143A"/>
    <w:rsid w:val="4B3D4D2C"/>
    <w:rsid w:val="4B585D2A"/>
    <w:rsid w:val="4B660844"/>
    <w:rsid w:val="4BB15C21"/>
    <w:rsid w:val="4BE2096B"/>
    <w:rsid w:val="4D1A1400"/>
    <w:rsid w:val="4D4F3090"/>
    <w:rsid w:val="4E32462C"/>
    <w:rsid w:val="4E3653FD"/>
    <w:rsid w:val="4E473566"/>
    <w:rsid w:val="4E5972CA"/>
    <w:rsid w:val="4E8B47DA"/>
    <w:rsid w:val="4EA5389D"/>
    <w:rsid w:val="4EB733D6"/>
    <w:rsid w:val="4F321DBF"/>
    <w:rsid w:val="4F4D1362"/>
    <w:rsid w:val="50372AD6"/>
    <w:rsid w:val="505071EE"/>
    <w:rsid w:val="50744D60"/>
    <w:rsid w:val="50803083"/>
    <w:rsid w:val="50AD68A1"/>
    <w:rsid w:val="51431745"/>
    <w:rsid w:val="51722F47"/>
    <w:rsid w:val="523C2CD5"/>
    <w:rsid w:val="524C3FFD"/>
    <w:rsid w:val="52A36D3A"/>
    <w:rsid w:val="52B8545B"/>
    <w:rsid w:val="531C6B04"/>
    <w:rsid w:val="53365130"/>
    <w:rsid w:val="544A47D3"/>
    <w:rsid w:val="546D122D"/>
    <w:rsid w:val="54B8031D"/>
    <w:rsid w:val="54DB1C81"/>
    <w:rsid w:val="54E32CD0"/>
    <w:rsid w:val="551647F8"/>
    <w:rsid w:val="551D5901"/>
    <w:rsid w:val="55787787"/>
    <w:rsid w:val="55BF392A"/>
    <w:rsid w:val="55D903ED"/>
    <w:rsid w:val="55E10B58"/>
    <w:rsid w:val="56124F67"/>
    <w:rsid w:val="562770B6"/>
    <w:rsid w:val="562F0650"/>
    <w:rsid w:val="568D1ECF"/>
    <w:rsid w:val="56A81C1A"/>
    <w:rsid w:val="57032046"/>
    <w:rsid w:val="57096108"/>
    <w:rsid w:val="578B547A"/>
    <w:rsid w:val="57D17F4B"/>
    <w:rsid w:val="57F934C0"/>
    <w:rsid w:val="583F6838"/>
    <w:rsid w:val="58951C97"/>
    <w:rsid w:val="58B0410D"/>
    <w:rsid w:val="58C62C27"/>
    <w:rsid w:val="58C963C2"/>
    <w:rsid w:val="58CC2A45"/>
    <w:rsid w:val="58DE415A"/>
    <w:rsid w:val="58FC5AEF"/>
    <w:rsid w:val="591E45BB"/>
    <w:rsid w:val="59427472"/>
    <w:rsid w:val="596379A9"/>
    <w:rsid w:val="597756D2"/>
    <w:rsid w:val="597D0736"/>
    <w:rsid w:val="59CF1ADD"/>
    <w:rsid w:val="59D17D75"/>
    <w:rsid w:val="59D471D7"/>
    <w:rsid w:val="5A366F84"/>
    <w:rsid w:val="5A3F0176"/>
    <w:rsid w:val="5ABC031C"/>
    <w:rsid w:val="5AE8322E"/>
    <w:rsid w:val="5B0D7295"/>
    <w:rsid w:val="5B1723EF"/>
    <w:rsid w:val="5B206399"/>
    <w:rsid w:val="5B83792C"/>
    <w:rsid w:val="5BD133DF"/>
    <w:rsid w:val="5BD366A4"/>
    <w:rsid w:val="5C163874"/>
    <w:rsid w:val="5C3E78DA"/>
    <w:rsid w:val="5C640E34"/>
    <w:rsid w:val="5C6D3417"/>
    <w:rsid w:val="5CBC5D91"/>
    <w:rsid w:val="5E1F592C"/>
    <w:rsid w:val="5E915FF6"/>
    <w:rsid w:val="5EB455C5"/>
    <w:rsid w:val="5EFF0ED2"/>
    <w:rsid w:val="5F5B7782"/>
    <w:rsid w:val="5FD73AA6"/>
    <w:rsid w:val="5FD85EAF"/>
    <w:rsid w:val="600F4A03"/>
    <w:rsid w:val="60192B00"/>
    <w:rsid w:val="608F1BD3"/>
    <w:rsid w:val="614149F3"/>
    <w:rsid w:val="61706AF7"/>
    <w:rsid w:val="621F3FC7"/>
    <w:rsid w:val="62461BBC"/>
    <w:rsid w:val="628B5453"/>
    <w:rsid w:val="62983D63"/>
    <w:rsid w:val="62B846CA"/>
    <w:rsid w:val="62C671FE"/>
    <w:rsid w:val="62DF39AC"/>
    <w:rsid w:val="630221B0"/>
    <w:rsid w:val="63AF2E7A"/>
    <w:rsid w:val="63B425DD"/>
    <w:rsid w:val="63FE569C"/>
    <w:rsid w:val="64291D49"/>
    <w:rsid w:val="643724ED"/>
    <w:rsid w:val="644E2285"/>
    <w:rsid w:val="64B0068F"/>
    <w:rsid w:val="64B0634B"/>
    <w:rsid w:val="64C60289"/>
    <w:rsid w:val="65691302"/>
    <w:rsid w:val="658F1D57"/>
    <w:rsid w:val="65AD379D"/>
    <w:rsid w:val="65DD0D4C"/>
    <w:rsid w:val="65E6167B"/>
    <w:rsid w:val="660A6E49"/>
    <w:rsid w:val="66201AF9"/>
    <w:rsid w:val="66482D7B"/>
    <w:rsid w:val="672D3127"/>
    <w:rsid w:val="67420658"/>
    <w:rsid w:val="675178A4"/>
    <w:rsid w:val="67A50830"/>
    <w:rsid w:val="68400AB2"/>
    <w:rsid w:val="689A44D2"/>
    <w:rsid w:val="68AD5620"/>
    <w:rsid w:val="68E47A64"/>
    <w:rsid w:val="68E94352"/>
    <w:rsid w:val="68F058E5"/>
    <w:rsid w:val="696778E1"/>
    <w:rsid w:val="69781887"/>
    <w:rsid w:val="69945F1A"/>
    <w:rsid w:val="69A61A70"/>
    <w:rsid w:val="69AC14D8"/>
    <w:rsid w:val="69B01A05"/>
    <w:rsid w:val="69C356D6"/>
    <w:rsid w:val="69D152E0"/>
    <w:rsid w:val="6A5F7EB4"/>
    <w:rsid w:val="6AC1090F"/>
    <w:rsid w:val="6AEB435B"/>
    <w:rsid w:val="6B353BDC"/>
    <w:rsid w:val="6B4271D8"/>
    <w:rsid w:val="6B8428B4"/>
    <w:rsid w:val="6C267CEF"/>
    <w:rsid w:val="6C271424"/>
    <w:rsid w:val="6C9E3F84"/>
    <w:rsid w:val="6CB77895"/>
    <w:rsid w:val="6CCB2A5C"/>
    <w:rsid w:val="6CCE109B"/>
    <w:rsid w:val="6CE47F86"/>
    <w:rsid w:val="6CEF474A"/>
    <w:rsid w:val="6D3A60CF"/>
    <w:rsid w:val="6D652811"/>
    <w:rsid w:val="6DEF3963"/>
    <w:rsid w:val="6E090707"/>
    <w:rsid w:val="6E24444B"/>
    <w:rsid w:val="6E35541C"/>
    <w:rsid w:val="6E451788"/>
    <w:rsid w:val="6E541B46"/>
    <w:rsid w:val="6EC553D5"/>
    <w:rsid w:val="6F074349"/>
    <w:rsid w:val="6F572727"/>
    <w:rsid w:val="6FC844B0"/>
    <w:rsid w:val="6FC91D09"/>
    <w:rsid w:val="6FEA3F10"/>
    <w:rsid w:val="70531176"/>
    <w:rsid w:val="70CE3CD6"/>
    <w:rsid w:val="70F30CAD"/>
    <w:rsid w:val="7176061E"/>
    <w:rsid w:val="71AF0AC4"/>
    <w:rsid w:val="71B23F18"/>
    <w:rsid w:val="71D821BD"/>
    <w:rsid w:val="7261398D"/>
    <w:rsid w:val="72F40F30"/>
    <w:rsid w:val="731A6169"/>
    <w:rsid w:val="73223DF1"/>
    <w:rsid w:val="7351635F"/>
    <w:rsid w:val="737053B4"/>
    <w:rsid w:val="74232A0F"/>
    <w:rsid w:val="74633D61"/>
    <w:rsid w:val="74981804"/>
    <w:rsid w:val="74A62A32"/>
    <w:rsid w:val="74DA01CE"/>
    <w:rsid w:val="74E11CE7"/>
    <w:rsid w:val="75285984"/>
    <w:rsid w:val="757A24EA"/>
    <w:rsid w:val="75E53387"/>
    <w:rsid w:val="76976535"/>
    <w:rsid w:val="769B0408"/>
    <w:rsid w:val="76F83E50"/>
    <w:rsid w:val="77052BDB"/>
    <w:rsid w:val="779314AD"/>
    <w:rsid w:val="77A4646A"/>
    <w:rsid w:val="78346968"/>
    <w:rsid w:val="78D665EA"/>
    <w:rsid w:val="78E05ACF"/>
    <w:rsid w:val="78E9231B"/>
    <w:rsid w:val="78F856CB"/>
    <w:rsid w:val="791A21AC"/>
    <w:rsid w:val="791F2A74"/>
    <w:rsid w:val="79416088"/>
    <w:rsid w:val="79647BD1"/>
    <w:rsid w:val="79660E3F"/>
    <w:rsid w:val="797A12D2"/>
    <w:rsid w:val="79821501"/>
    <w:rsid w:val="79A64908"/>
    <w:rsid w:val="79D17055"/>
    <w:rsid w:val="79E93CD4"/>
    <w:rsid w:val="7A8C5A62"/>
    <w:rsid w:val="7A9B02A0"/>
    <w:rsid w:val="7C3946D8"/>
    <w:rsid w:val="7C41114A"/>
    <w:rsid w:val="7C5A528B"/>
    <w:rsid w:val="7CA273D9"/>
    <w:rsid w:val="7CCE5944"/>
    <w:rsid w:val="7DBC38D5"/>
    <w:rsid w:val="7DDE2123"/>
    <w:rsid w:val="7DE37724"/>
    <w:rsid w:val="7DE7410A"/>
    <w:rsid w:val="7DEE0D61"/>
    <w:rsid w:val="7E5A3003"/>
    <w:rsid w:val="7E73447D"/>
    <w:rsid w:val="7EC2393B"/>
    <w:rsid w:val="7F093C4D"/>
    <w:rsid w:val="7F181840"/>
    <w:rsid w:val="7F942DB0"/>
    <w:rsid w:val="7FB73304"/>
    <w:rsid w:val="7FBD67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等线" w:cs="Times New Roman"/>
      <w:kern w:val="2"/>
      <w:sz w:val="21"/>
      <w:szCs w:val="24"/>
      <w:lang w:val="en-US" w:eastAsia="zh-CN" w:bidi="ar-SA"/>
    </w:rPr>
  </w:style>
  <w:style w:type="paragraph" w:styleId="2">
    <w:name w:val="heading 1"/>
    <w:basedOn w:val="1"/>
    <w:next w:val="1"/>
    <w:link w:val="113"/>
    <w:qFormat/>
    <w:uiPriority w:val="0"/>
    <w:pPr>
      <w:keepNext/>
      <w:keepLines/>
      <w:spacing w:before="340" w:beforeLines="0" w:after="330" w:afterLines="0" w:line="578" w:lineRule="auto"/>
      <w:outlineLvl w:val="0"/>
    </w:pPr>
    <w:rPr>
      <w:rFonts w:eastAsia="Century Gothic"/>
      <w:b/>
      <w:bCs/>
      <w:kern w:val="44"/>
      <w:sz w:val="44"/>
      <w:szCs w:val="44"/>
    </w:rPr>
  </w:style>
  <w:style w:type="paragraph" w:styleId="3">
    <w:name w:val="heading 2"/>
    <w:basedOn w:val="1"/>
    <w:next w:val="1"/>
    <w:qFormat/>
    <w:uiPriority w:val="0"/>
    <w:pPr>
      <w:keepNext/>
      <w:keepLines/>
      <w:adjustRightInd w:val="0"/>
      <w:spacing w:before="260" w:beforeLines="0" w:after="260" w:afterLines="0" w:line="415" w:lineRule="auto"/>
      <w:jc w:val="left"/>
      <w:outlineLvl w:val="1"/>
    </w:pPr>
    <w:rPr>
      <w:rFonts w:ascii="黑体" w:hAnsi="黑体" w:eastAsia="楷体"/>
      <w:b/>
      <w:bCs/>
      <w:sz w:val="32"/>
      <w:szCs w:val="32"/>
    </w:rPr>
  </w:style>
  <w:style w:type="paragraph" w:styleId="4">
    <w:name w:val="heading 3"/>
    <w:basedOn w:val="1"/>
    <w:next w:val="1"/>
    <w:qFormat/>
    <w:uiPriority w:val="0"/>
    <w:pPr>
      <w:keepNext/>
      <w:keepLines/>
      <w:spacing w:before="260" w:beforeLines="0" w:after="260" w:afterLines="0" w:line="416" w:lineRule="auto"/>
      <w:outlineLvl w:val="2"/>
    </w:pPr>
    <w:rPr>
      <w:b/>
      <w:bCs/>
      <w:sz w:val="32"/>
      <w:szCs w:val="32"/>
    </w:rPr>
  </w:style>
  <w:style w:type="paragraph" w:styleId="5">
    <w:name w:val="heading 4"/>
    <w:basedOn w:val="1"/>
    <w:next w:val="6"/>
    <w:qFormat/>
    <w:uiPriority w:val="0"/>
    <w:pPr>
      <w:keepNext/>
      <w:widowControl/>
      <w:jc w:val="center"/>
      <w:outlineLvl w:val="3"/>
    </w:pPr>
    <w:rPr>
      <w:rFonts w:ascii="MS Sans Serif" w:hAnsi="仿宋_GB2312" w:eastAsia="MS Sans Serif"/>
      <w:snapToGrid w:val="0"/>
      <w:kern w:val="0"/>
      <w:sz w:val="24"/>
      <w:szCs w:val="20"/>
    </w:rPr>
  </w:style>
  <w:style w:type="paragraph" w:styleId="7">
    <w:name w:val="heading 5"/>
    <w:basedOn w:val="1"/>
    <w:next w:val="1"/>
    <w:qFormat/>
    <w:uiPriority w:val="0"/>
    <w:pPr>
      <w:widowControl/>
      <w:spacing w:before="240" w:beforeLines="0" w:after="60" w:afterLines="0"/>
      <w:jc w:val="left"/>
      <w:outlineLvl w:val="4"/>
    </w:pPr>
    <w:rPr>
      <w:rFonts w:ascii="MS Sans Serif" w:eastAsia="MS Sans Serif"/>
      <w:kern w:val="0"/>
      <w:sz w:val="24"/>
      <w:szCs w:val="20"/>
    </w:rPr>
  </w:style>
  <w:style w:type="paragraph" w:styleId="8">
    <w:name w:val="heading 6"/>
    <w:basedOn w:val="1"/>
    <w:next w:val="6"/>
    <w:qFormat/>
    <w:uiPriority w:val="0"/>
    <w:pPr>
      <w:keepNext/>
      <w:keepLines/>
      <w:spacing w:before="240" w:beforeLines="0" w:after="64" w:afterLines="0" w:line="320" w:lineRule="auto"/>
      <w:outlineLvl w:val="5"/>
    </w:pPr>
    <w:rPr>
      <w:rFonts w:ascii="黑体" w:hAnsi="黑体" w:eastAsia="楷体"/>
      <w:b/>
      <w:sz w:val="24"/>
      <w:szCs w:val="20"/>
    </w:rPr>
  </w:style>
  <w:style w:type="paragraph" w:styleId="9">
    <w:name w:val="heading 7"/>
    <w:basedOn w:val="1"/>
    <w:next w:val="6"/>
    <w:qFormat/>
    <w:uiPriority w:val="0"/>
    <w:pPr>
      <w:keepNext/>
      <w:keepLines/>
      <w:spacing w:before="240" w:beforeLines="0" w:after="64" w:afterLines="0" w:line="320" w:lineRule="auto"/>
      <w:outlineLvl w:val="6"/>
    </w:pPr>
    <w:rPr>
      <w:b/>
      <w:sz w:val="24"/>
      <w:szCs w:val="20"/>
    </w:rPr>
  </w:style>
  <w:style w:type="paragraph" w:styleId="10">
    <w:name w:val="heading 8"/>
    <w:basedOn w:val="1"/>
    <w:next w:val="6"/>
    <w:qFormat/>
    <w:uiPriority w:val="0"/>
    <w:pPr>
      <w:keepNext/>
      <w:keepLines/>
      <w:spacing w:before="240" w:beforeLines="0" w:after="64" w:afterLines="0" w:line="320" w:lineRule="auto"/>
      <w:outlineLvl w:val="7"/>
    </w:pPr>
    <w:rPr>
      <w:rFonts w:ascii="黑体" w:hAnsi="黑体" w:eastAsia="楷体"/>
      <w:sz w:val="24"/>
      <w:szCs w:val="20"/>
    </w:rPr>
  </w:style>
  <w:style w:type="paragraph" w:styleId="11">
    <w:name w:val="heading 9"/>
    <w:basedOn w:val="1"/>
    <w:next w:val="6"/>
    <w:qFormat/>
    <w:uiPriority w:val="0"/>
    <w:pPr>
      <w:keepNext/>
      <w:keepLines/>
      <w:spacing w:before="240" w:beforeLines="0" w:after="64" w:afterLines="0" w:line="320" w:lineRule="auto"/>
      <w:outlineLvl w:val="8"/>
    </w:pPr>
    <w:rPr>
      <w:rFonts w:ascii="黑体" w:hAnsi="黑体" w:eastAsia="楷体"/>
      <w:szCs w:val="20"/>
    </w:rPr>
  </w:style>
  <w:style w:type="character" w:default="1" w:styleId="42">
    <w:name w:val="Default Paragraph Font"/>
    <w:semiHidden/>
    <w:qFormat/>
    <w:uiPriority w:val="0"/>
  </w:style>
  <w:style w:type="table" w:default="1" w:styleId="48">
    <w:name w:val="Normal Table"/>
    <w:semiHidden/>
    <w:qFormat/>
    <w:uiPriority w:val="0"/>
    <w:tblPr>
      <w:tblLayout w:type="fixed"/>
      <w:tblCellMar>
        <w:top w:w="0" w:type="dxa"/>
        <w:left w:w="108" w:type="dxa"/>
        <w:bottom w:w="0" w:type="dxa"/>
        <w:right w:w="108" w:type="dxa"/>
      </w:tblCellMar>
    </w:tblPr>
  </w:style>
  <w:style w:type="paragraph" w:styleId="6">
    <w:name w:val="Normal Indent"/>
    <w:basedOn w:val="1"/>
    <w:link w:val="106"/>
    <w:qFormat/>
    <w:uiPriority w:val="0"/>
    <w:pPr>
      <w:widowControl/>
      <w:ind w:firstLine="420"/>
      <w:jc w:val="left"/>
    </w:pPr>
    <w:rPr>
      <w:rFonts w:ascii="Arial" w:hAnsi="Arial" w:cs="Arial"/>
      <w:kern w:val="0"/>
      <w:sz w:val="20"/>
      <w:szCs w:val="20"/>
    </w:rPr>
  </w:style>
  <w:style w:type="paragraph" w:styleId="12">
    <w:name w:val="annotation subject"/>
    <w:basedOn w:val="13"/>
    <w:next w:val="13"/>
    <w:semiHidden/>
    <w:qFormat/>
    <w:uiPriority w:val="0"/>
    <w:rPr>
      <w:b/>
      <w:bCs/>
    </w:rPr>
  </w:style>
  <w:style w:type="paragraph" w:styleId="13">
    <w:name w:val="annotation text"/>
    <w:basedOn w:val="1"/>
    <w:semiHidden/>
    <w:qFormat/>
    <w:uiPriority w:val="0"/>
    <w:pPr>
      <w:jc w:val="left"/>
    </w:pPr>
  </w:style>
  <w:style w:type="paragraph" w:styleId="14">
    <w:name w:val="toc 7"/>
    <w:basedOn w:val="1"/>
    <w:next w:val="1"/>
    <w:semiHidden/>
    <w:qFormat/>
    <w:uiPriority w:val="0"/>
    <w:pPr>
      <w:ind w:left="1260"/>
      <w:jc w:val="left"/>
    </w:pPr>
    <w:rPr>
      <w:sz w:val="18"/>
      <w:szCs w:val="18"/>
    </w:rPr>
  </w:style>
  <w:style w:type="paragraph" w:styleId="15">
    <w:name w:val="Body Text First Indent"/>
    <w:basedOn w:val="16"/>
    <w:qFormat/>
    <w:uiPriority w:val="0"/>
    <w:pPr>
      <w:ind w:firstLine="420"/>
    </w:pPr>
  </w:style>
  <w:style w:type="paragraph" w:styleId="16">
    <w:name w:val="Body Text"/>
    <w:basedOn w:val="1"/>
    <w:qFormat/>
    <w:uiPriority w:val="0"/>
    <w:pPr>
      <w:spacing w:after="120" w:afterLines="0"/>
    </w:pPr>
  </w:style>
  <w:style w:type="paragraph" w:styleId="17">
    <w:name w:val="List Number"/>
    <w:basedOn w:val="1"/>
    <w:qFormat/>
    <w:uiPriority w:val="0"/>
    <w:pPr>
      <w:widowControl/>
      <w:tabs>
        <w:tab w:val="left" w:pos="420"/>
        <w:tab w:val="left" w:pos="454"/>
      </w:tabs>
      <w:spacing w:after="156" w:afterLines="50"/>
      <w:ind w:left="454" w:hanging="284"/>
      <w:jc w:val="left"/>
    </w:pPr>
    <w:rPr>
      <w:kern w:val="0"/>
      <w:sz w:val="24"/>
      <w:szCs w:val="20"/>
    </w:rPr>
  </w:style>
  <w:style w:type="paragraph" w:styleId="18">
    <w:name w:val="caption"/>
    <w:basedOn w:val="1"/>
    <w:next w:val="1"/>
    <w:qFormat/>
    <w:uiPriority w:val="0"/>
    <w:rPr>
      <w:rFonts w:ascii="黑体" w:hAnsi="黑体" w:eastAsia="楷体" w:cs="黑体"/>
      <w:sz w:val="20"/>
      <w:szCs w:val="20"/>
    </w:rPr>
  </w:style>
  <w:style w:type="paragraph" w:styleId="19">
    <w:name w:val="Document Map"/>
    <w:basedOn w:val="1"/>
    <w:semiHidden/>
    <w:qFormat/>
    <w:uiPriority w:val="0"/>
    <w:pPr>
      <w:shd w:val="clear" w:color="auto" w:fill="000080"/>
    </w:pPr>
  </w:style>
  <w:style w:type="paragraph" w:styleId="20">
    <w:name w:val="Body Text Indent"/>
    <w:basedOn w:val="1"/>
    <w:link w:val="118"/>
    <w:qFormat/>
    <w:uiPriority w:val="0"/>
    <w:pPr>
      <w:adjustRightInd w:val="0"/>
      <w:spacing w:line="360" w:lineRule="auto"/>
      <w:ind w:firstLine="490"/>
      <w:jc w:val="left"/>
    </w:pPr>
    <w:rPr>
      <w:rFonts w:ascii="Century Gothic" w:hAnsi="Century Gothic" w:eastAsia="Century Gothic"/>
      <w:sz w:val="24"/>
      <w:szCs w:val="20"/>
    </w:rPr>
  </w:style>
  <w:style w:type="paragraph" w:styleId="21">
    <w:name w:val="List Number 3"/>
    <w:basedOn w:val="1"/>
    <w:qFormat/>
    <w:uiPriority w:val="0"/>
    <w:pPr>
      <w:widowControl/>
      <w:tabs>
        <w:tab w:val="left" w:pos="482"/>
        <w:tab w:val="left" w:pos="1157"/>
      </w:tabs>
      <w:spacing w:after="156" w:afterLines="50"/>
      <w:ind w:left="482" w:hanging="340"/>
      <w:jc w:val="left"/>
    </w:pPr>
    <w:rPr>
      <w:kern w:val="0"/>
      <w:sz w:val="24"/>
      <w:szCs w:val="20"/>
    </w:rPr>
  </w:style>
  <w:style w:type="paragraph" w:styleId="22">
    <w:name w:val="Block Text"/>
    <w:basedOn w:val="1"/>
    <w:qFormat/>
    <w:uiPriority w:val="0"/>
    <w:pPr>
      <w:adjustRightInd w:val="0"/>
      <w:snapToGrid w:val="0"/>
      <w:spacing w:line="300" w:lineRule="auto"/>
      <w:ind w:left="958" w:rightChars="-120"/>
      <w:jc w:val="left"/>
    </w:pPr>
    <w:rPr>
      <w:rFonts w:hint="eastAsia" w:ascii="Century Gothic" w:hAnsi="Century Gothic"/>
      <w:sz w:val="28"/>
      <w:szCs w:val="20"/>
    </w:rPr>
  </w:style>
  <w:style w:type="paragraph" w:styleId="23">
    <w:name w:val="toc 5"/>
    <w:basedOn w:val="1"/>
    <w:next w:val="1"/>
    <w:semiHidden/>
    <w:qFormat/>
    <w:uiPriority w:val="0"/>
    <w:pPr>
      <w:ind w:left="840"/>
      <w:jc w:val="left"/>
    </w:pPr>
    <w:rPr>
      <w:sz w:val="18"/>
      <w:szCs w:val="18"/>
    </w:rPr>
  </w:style>
  <w:style w:type="paragraph" w:styleId="24">
    <w:name w:val="toc 3"/>
    <w:basedOn w:val="1"/>
    <w:next w:val="1"/>
    <w:semiHidden/>
    <w:qFormat/>
    <w:uiPriority w:val="0"/>
    <w:pPr>
      <w:ind w:left="420"/>
      <w:jc w:val="left"/>
    </w:pPr>
    <w:rPr>
      <w:i/>
      <w:iCs/>
      <w:sz w:val="20"/>
      <w:szCs w:val="20"/>
    </w:rPr>
  </w:style>
  <w:style w:type="paragraph" w:styleId="25">
    <w:name w:val="Plain Text"/>
    <w:basedOn w:val="1"/>
    <w:link w:val="115"/>
    <w:qFormat/>
    <w:uiPriority w:val="0"/>
    <w:rPr>
      <w:rFonts w:ascii="Century Gothic" w:hAnsi="楷体_GB2312" w:eastAsia="Century Gothic" w:cs="楷体_GB2312"/>
      <w:szCs w:val="21"/>
    </w:rPr>
  </w:style>
  <w:style w:type="paragraph" w:styleId="26">
    <w:name w:val="toc 8"/>
    <w:basedOn w:val="1"/>
    <w:next w:val="1"/>
    <w:semiHidden/>
    <w:qFormat/>
    <w:uiPriority w:val="0"/>
    <w:pPr>
      <w:ind w:left="1470"/>
      <w:jc w:val="left"/>
    </w:pPr>
    <w:rPr>
      <w:sz w:val="18"/>
      <w:szCs w:val="18"/>
    </w:rPr>
  </w:style>
  <w:style w:type="paragraph" w:styleId="27">
    <w:name w:val="Date"/>
    <w:basedOn w:val="1"/>
    <w:next w:val="1"/>
    <w:qFormat/>
    <w:uiPriority w:val="0"/>
    <w:pPr>
      <w:ind w:left="100" w:leftChars="2500"/>
    </w:pPr>
  </w:style>
  <w:style w:type="paragraph" w:styleId="28">
    <w:name w:val="Body Text Indent 2"/>
    <w:basedOn w:val="1"/>
    <w:qFormat/>
    <w:uiPriority w:val="0"/>
    <w:pPr>
      <w:adjustRightInd w:val="0"/>
      <w:spacing w:line="360" w:lineRule="auto"/>
      <w:ind w:firstLine="504" w:firstLineChars="210"/>
      <w:jc w:val="left"/>
    </w:pPr>
    <w:rPr>
      <w:rFonts w:hint="eastAsia" w:ascii="Century Gothic" w:hAnsi="Century Gothic"/>
      <w:sz w:val="24"/>
      <w:szCs w:val="20"/>
    </w:rPr>
  </w:style>
  <w:style w:type="paragraph" w:styleId="29">
    <w:name w:val="Balloon Text"/>
    <w:basedOn w:val="1"/>
    <w:semiHidden/>
    <w:qFormat/>
    <w:uiPriority w:val="0"/>
    <w:rPr>
      <w:sz w:val="18"/>
      <w:szCs w:val="18"/>
    </w:rPr>
  </w:style>
  <w:style w:type="paragraph" w:styleId="30">
    <w:name w:val="footer"/>
    <w:basedOn w:val="1"/>
    <w:link w:val="110"/>
    <w:qFormat/>
    <w:uiPriority w:val="0"/>
    <w:pPr>
      <w:tabs>
        <w:tab w:val="center" w:pos="4153"/>
        <w:tab w:val="right" w:pos="8306"/>
      </w:tabs>
      <w:adjustRightInd w:val="0"/>
      <w:jc w:val="left"/>
    </w:pPr>
    <w:rPr>
      <w:rFonts w:eastAsia="Century Gothic"/>
      <w:sz w:val="18"/>
      <w:szCs w:val="20"/>
    </w:rPr>
  </w:style>
  <w:style w:type="paragraph" w:styleId="31">
    <w:name w:val="header"/>
    <w:basedOn w:val="1"/>
    <w:qFormat/>
    <w:uiPriority w:val="0"/>
    <w:pPr>
      <w:pBdr>
        <w:bottom w:val="single" w:color="auto" w:sz="6" w:space="1"/>
      </w:pBdr>
      <w:tabs>
        <w:tab w:val="center" w:pos="4153"/>
        <w:tab w:val="right" w:pos="8306"/>
      </w:tabs>
      <w:adjustRightInd w:val="0"/>
      <w:jc w:val="center"/>
    </w:pPr>
    <w:rPr>
      <w:sz w:val="18"/>
      <w:szCs w:val="20"/>
    </w:rPr>
  </w:style>
  <w:style w:type="paragraph" w:styleId="32">
    <w:name w:val="toc 1"/>
    <w:basedOn w:val="1"/>
    <w:next w:val="1"/>
    <w:qFormat/>
    <w:uiPriority w:val="39"/>
    <w:pPr>
      <w:tabs>
        <w:tab w:val="right" w:leader="dot" w:pos="8720"/>
      </w:tabs>
      <w:spacing w:before="120" w:beforeLines="0" w:after="120" w:afterLines="0"/>
      <w:jc w:val="left"/>
    </w:pPr>
    <w:rPr>
      <w:rFonts w:ascii="Century Gothic" w:hAnsi="Century Gothic"/>
      <w:bCs/>
      <w:caps/>
      <w:sz w:val="20"/>
      <w:szCs w:val="20"/>
    </w:rPr>
  </w:style>
  <w:style w:type="paragraph" w:styleId="33">
    <w:name w:val="toc 4"/>
    <w:basedOn w:val="1"/>
    <w:next w:val="1"/>
    <w:semiHidden/>
    <w:qFormat/>
    <w:uiPriority w:val="0"/>
    <w:pPr>
      <w:ind w:left="630"/>
      <w:jc w:val="left"/>
    </w:pPr>
    <w:rPr>
      <w:sz w:val="18"/>
      <w:szCs w:val="18"/>
    </w:rPr>
  </w:style>
  <w:style w:type="paragraph" w:styleId="34">
    <w:name w:val="toc 6"/>
    <w:basedOn w:val="1"/>
    <w:next w:val="1"/>
    <w:semiHidden/>
    <w:qFormat/>
    <w:uiPriority w:val="0"/>
    <w:pPr>
      <w:ind w:left="1050"/>
      <w:jc w:val="left"/>
    </w:pPr>
    <w:rPr>
      <w:sz w:val="18"/>
      <w:szCs w:val="18"/>
    </w:rPr>
  </w:style>
  <w:style w:type="paragraph" w:styleId="35">
    <w:name w:val="List 5"/>
    <w:basedOn w:val="1"/>
    <w:qFormat/>
    <w:uiPriority w:val="0"/>
    <w:pPr>
      <w:ind w:left="100" w:leftChars="800" w:hanging="200" w:hangingChars="200"/>
    </w:pPr>
    <w:rPr>
      <w:szCs w:val="20"/>
    </w:rPr>
  </w:style>
  <w:style w:type="paragraph" w:styleId="36">
    <w:name w:val="Body Text Indent 3"/>
    <w:basedOn w:val="1"/>
    <w:qFormat/>
    <w:uiPriority w:val="0"/>
    <w:pPr>
      <w:spacing w:after="120" w:afterLines="0"/>
      <w:ind w:left="420" w:leftChars="200"/>
    </w:pPr>
    <w:rPr>
      <w:sz w:val="16"/>
      <w:szCs w:val="16"/>
    </w:rPr>
  </w:style>
  <w:style w:type="paragraph" w:styleId="37">
    <w:name w:val="toc 2"/>
    <w:basedOn w:val="1"/>
    <w:next w:val="1"/>
    <w:qFormat/>
    <w:uiPriority w:val="39"/>
    <w:pPr>
      <w:tabs>
        <w:tab w:val="right" w:leader="dot" w:pos="8720"/>
      </w:tabs>
      <w:adjustRightInd w:val="0"/>
      <w:snapToGrid w:val="0"/>
      <w:jc w:val="left"/>
    </w:pPr>
    <w:rPr>
      <w:smallCaps/>
      <w:sz w:val="20"/>
      <w:szCs w:val="20"/>
    </w:rPr>
  </w:style>
  <w:style w:type="paragraph" w:styleId="38">
    <w:name w:val="toc 9"/>
    <w:basedOn w:val="1"/>
    <w:next w:val="1"/>
    <w:semiHidden/>
    <w:qFormat/>
    <w:uiPriority w:val="0"/>
    <w:pPr>
      <w:ind w:left="1680"/>
      <w:jc w:val="left"/>
    </w:pPr>
    <w:rPr>
      <w:sz w:val="18"/>
      <w:szCs w:val="18"/>
    </w:rPr>
  </w:style>
  <w:style w:type="paragraph" w:styleId="39">
    <w:name w:val="Body Text 2"/>
    <w:basedOn w:val="1"/>
    <w:qFormat/>
    <w:uiPriority w:val="0"/>
    <w:rPr>
      <w:sz w:val="24"/>
    </w:rPr>
  </w:style>
  <w:style w:type="paragraph" w:styleId="40">
    <w:name w:val="Normal (Web)"/>
    <w:basedOn w:val="1"/>
    <w:qFormat/>
    <w:uiPriority w:val="0"/>
    <w:pPr>
      <w:widowControl/>
      <w:shd w:val="clear" w:color="auto" w:fill="FFFFFF"/>
      <w:spacing w:before="100" w:beforeLines="0" w:beforeAutospacing="1" w:after="100" w:afterLines="0" w:afterAutospacing="1"/>
      <w:jc w:val="left"/>
    </w:pPr>
    <w:rPr>
      <w:rFonts w:ascii="Century Gothic" w:hAnsi="Century Gothic"/>
      <w:kern w:val="0"/>
      <w:sz w:val="18"/>
      <w:szCs w:val="18"/>
    </w:rPr>
  </w:style>
  <w:style w:type="paragraph" w:styleId="41">
    <w:name w:val="Title"/>
    <w:basedOn w:val="1"/>
    <w:qFormat/>
    <w:uiPriority w:val="0"/>
    <w:pPr>
      <w:tabs>
        <w:tab w:val="left" w:pos="1200"/>
      </w:tabs>
      <w:spacing w:after="624" w:afterLines="200"/>
      <w:ind w:left="1440" w:hanging="720"/>
      <w:jc w:val="center"/>
    </w:pPr>
    <w:rPr>
      <w:b/>
      <w:bCs/>
      <w:spacing w:val="60"/>
      <w:sz w:val="32"/>
    </w:rPr>
  </w:style>
  <w:style w:type="character" w:styleId="43">
    <w:name w:val="Strong"/>
    <w:qFormat/>
    <w:uiPriority w:val="0"/>
    <w:rPr>
      <w:b/>
    </w:rPr>
  </w:style>
  <w:style w:type="character" w:styleId="44">
    <w:name w:val="page number"/>
    <w:basedOn w:val="42"/>
    <w:qFormat/>
    <w:uiPriority w:val="0"/>
  </w:style>
  <w:style w:type="character" w:styleId="45">
    <w:name w:val="FollowedHyperlink"/>
    <w:qFormat/>
    <w:uiPriority w:val="0"/>
    <w:rPr>
      <w:color w:val="800080"/>
      <w:u w:val="single"/>
    </w:rPr>
  </w:style>
  <w:style w:type="character" w:styleId="46">
    <w:name w:val="Hyperlink"/>
    <w:qFormat/>
    <w:uiPriority w:val="0"/>
    <w:rPr>
      <w:color w:val="0000FF"/>
      <w:u w:val="single"/>
    </w:rPr>
  </w:style>
  <w:style w:type="character" w:styleId="47">
    <w:name w:val="annotation reference"/>
    <w:semiHidden/>
    <w:qFormat/>
    <w:uiPriority w:val="0"/>
    <w:rPr>
      <w:sz w:val="21"/>
      <w:szCs w:val="21"/>
    </w:rPr>
  </w:style>
  <w:style w:type="table" w:styleId="49">
    <w:name w:val="Table Grid"/>
    <w:basedOn w:val="4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0">
    <w:name w:val="DAS正文"/>
    <w:basedOn w:val="1"/>
    <w:qFormat/>
    <w:uiPriority w:val="0"/>
    <w:pPr>
      <w:spacing w:line="360" w:lineRule="auto"/>
      <w:ind w:right="181" w:firstLine="480" w:firstLineChars="200"/>
    </w:pPr>
    <w:rPr>
      <w:rFonts w:ascii="Verdana" w:hAnsi="Verdana"/>
      <w:sz w:val="24"/>
      <w:szCs w:val="20"/>
    </w:rPr>
  </w:style>
  <w:style w:type="paragraph" w:customStyle="1" w:styleId="51">
    <w:name w:val="font5"/>
    <w:basedOn w:val="1"/>
    <w:qFormat/>
    <w:uiPriority w:val="0"/>
    <w:pPr>
      <w:widowControl/>
      <w:spacing w:before="100" w:beforeLines="0" w:beforeAutospacing="1" w:after="100" w:afterLines="0" w:afterAutospacing="1"/>
      <w:jc w:val="left"/>
    </w:pPr>
    <w:rPr>
      <w:rFonts w:ascii="Century Gothic" w:hAnsi="Century Gothic" w:cs="Century Gothic"/>
      <w:kern w:val="0"/>
      <w:sz w:val="18"/>
      <w:szCs w:val="18"/>
    </w:rPr>
  </w:style>
  <w:style w:type="paragraph" w:customStyle="1" w:styleId="52">
    <w:name w:val="xl38"/>
    <w:basedOn w:val="1"/>
    <w:qFormat/>
    <w:uiPriority w:val="0"/>
    <w:pPr>
      <w:widowControl/>
      <w:spacing w:before="100" w:beforeLines="0" w:beforeAutospacing="1" w:after="100" w:afterLines="0" w:afterAutospacing="1"/>
      <w:jc w:val="left"/>
    </w:pPr>
    <w:rPr>
      <w:rFonts w:ascii="Century Gothic" w:hAnsi="Century Gothic" w:cs="Century Gothic"/>
      <w:kern w:val="0"/>
      <w:sz w:val="18"/>
      <w:szCs w:val="18"/>
    </w:rPr>
  </w:style>
  <w:style w:type="paragraph" w:customStyle="1" w:styleId="53">
    <w:name w:val="Body Text 2"/>
    <w:basedOn w:val="1"/>
    <w:qFormat/>
    <w:uiPriority w:val="0"/>
    <w:pPr>
      <w:adjustRightInd w:val="0"/>
      <w:spacing w:line="300" w:lineRule="auto"/>
      <w:jc w:val="center"/>
    </w:pPr>
    <w:rPr>
      <w:rFonts w:hint="eastAsia" w:ascii="Century Gothic" w:hAnsi="Century Gothic"/>
      <w:sz w:val="24"/>
      <w:szCs w:val="20"/>
    </w:rPr>
  </w:style>
  <w:style w:type="paragraph" w:customStyle="1" w:styleId="54">
    <w:name w:val="font1"/>
    <w:basedOn w:val="1"/>
    <w:qFormat/>
    <w:uiPriority w:val="0"/>
    <w:pPr>
      <w:widowControl/>
      <w:spacing w:before="100" w:beforeLines="0" w:beforeAutospacing="1" w:after="100" w:afterLines="0" w:afterAutospacing="1"/>
      <w:jc w:val="left"/>
    </w:pPr>
    <w:rPr>
      <w:rFonts w:ascii="Century Gothic" w:hAnsi="Century Gothic"/>
      <w:kern w:val="0"/>
      <w:sz w:val="24"/>
      <w:szCs w:val="20"/>
    </w:rPr>
  </w:style>
  <w:style w:type="paragraph" w:customStyle="1" w:styleId="55">
    <w:name w:val="xl35"/>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center"/>
      <w:textAlignment w:val="center"/>
    </w:pPr>
    <w:rPr>
      <w:rFonts w:ascii="Arial Narrow" w:hAnsi="Century Gothic" w:eastAsia="Arial Narrow" w:cs="Century Gothic"/>
      <w:kern w:val="0"/>
      <w:sz w:val="24"/>
    </w:rPr>
  </w:style>
  <w:style w:type="paragraph" w:customStyle="1" w:styleId="56">
    <w:name w:val="xl27"/>
    <w:basedOn w:val="1"/>
    <w:qFormat/>
    <w:uiPriority w:val="0"/>
    <w:pPr>
      <w:widowControl/>
      <w:pBdr>
        <w:bottom w:val="single" w:color="auto" w:sz="4" w:space="0"/>
      </w:pBdr>
      <w:spacing w:before="100" w:beforeLines="0" w:beforeAutospacing="1" w:after="100" w:afterLines="0" w:afterAutospacing="1"/>
      <w:jc w:val="center"/>
      <w:textAlignment w:val="center"/>
    </w:pPr>
    <w:rPr>
      <w:rFonts w:ascii="Arial Narrow" w:hAnsi="Century Gothic" w:eastAsia="Arial Narrow" w:cs="Century Gothic"/>
      <w:kern w:val="0"/>
      <w:sz w:val="36"/>
      <w:szCs w:val="36"/>
    </w:rPr>
  </w:style>
  <w:style w:type="paragraph" w:customStyle="1" w:styleId="57">
    <w:name w:val=" Char Char Char Char Char Char Char Char"/>
    <w:basedOn w:val="1"/>
    <w:qFormat/>
    <w:uiPriority w:val="0"/>
    <w:pPr>
      <w:tabs>
        <w:tab w:val="left" w:pos="360"/>
      </w:tabs>
    </w:pPr>
    <w:rPr>
      <w:rFonts w:ascii="Calibri" w:hAnsi="Calibri" w:cs="Times New Roman"/>
      <w:szCs w:val="20"/>
    </w:rPr>
  </w:style>
  <w:style w:type="paragraph" w:customStyle="1" w:styleId="5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Arial Narrow" w:hAnsi="Century Gothic" w:eastAsia="Arial Narrow" w:cs="Century Gothic"/>
      <w:kern w:val="0"/>
      <w:sz w:val="24"/>
    </w:rPr>
  </w:style>
  <w:style w:type="paragraph" w:customStyle="1" w:styleId="59">
    <w:name w:val="No Spacing"/>
    <w:qFormat/>
    <w:uiPriority w:val="0"/>
    <w:rPr>
      <w:rFonts w:ascii="Calibri" w:hAnsi="Calibri" w:eastAsia="等线" w:cs="Times New Roman"/>
      <w:sz w:val="22"/>
      <w:szCs w:val="22"/>
      <w:lang w:val="en-US" w:eastAsia="en-US" w:bidi="ar-SA"/>
    </w:rPr>
  </w:style>
  <w:style w:type="paragraph" w:customStyle="1" w:styleId="60">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styleId="61">
    <w:name w:val="List Paragraph"/>
    <w:basedOn w:val="1"/>
    <w:qFormat/>
    <w:uiPriority w:val="0"/>
    <w:pPr>
      <w:ind w:firstLine="420" w:firstLineChars="200"/>
    </w:pPr>
    <w:rPr>
      <w:rFonts w:ascii="Times New Roman" w:hAnsi="Times New Roman" w:cs="Times New Roman"/>
    </w:rPr>
  </w:style>
  <w:style w:type="paragraph" w:customStyle="1" w:styleId="62">
    <w:name w:val=" Char1"/>
    <w:basedOn w:val="1"/>
    <w:qFormat/>
    <w:uiPriority w:val="0"/>
    <w:pPr>
      <w:widowControl/>
      <w:spacing w:after="160" w:afterLines="0" w:line="240" w:lineRule="exact"/>
      <w:jc w:val="left"/>
    </w:pPr>
    <w:rPr>
      <w:szCs w:val="20"/>
    </w:rPr>
  </w:style>
  <w:style w:type="paragraph" w:customStyle="1" w:styleId="63">
    <w:name w:val="标书标题4"/>
    <w:basedOn w:val="5"/>
    <w:qFormat/>
    <w:uiPriority w:val="0"/>
    <w:pPr>
      <w:widowControl w:val="0"/>
      <w:adjustRightInd w:val="0"/>
      <w:snapToGrid w:val="0"/>
      <w:spacing w:line="300" w:lineRule="auto"/>
      <w:jc w:val="both"/>
    </w:pPr>
    <w:rPr>
      <w:rFonts w:ascii="_x000B__x000C_" w:hAnsi="_x000B__x000C_" w:eastAsia="Courier New"/>
      <w:b/>
      <w:snapToGrid/>
      <w:color w:val="000000"/>
      <w:sz w:val="28"/>
      <w:szCs w:val="32"/>
    </w:rPr>
  </w:style>
  <w:style w:type="paragraph" w:customStyle="1" w:styleId="64">
    <w:name w:val="xl33"/>
    <w:basedOn w:val="1"/>
    <w:qFormat/>
    <w:uiPriority w:val="0"/>
    <w:pPr>
      <w:widowControl/>
      <w:pBdr>
        <w:left w:val="single" w:color="auto" w:sz="4" w:space="0"/>
        <w:right w:val="single" w:color="auto" w:sz="4" w:space="0"/>
      </w:pBdr>
      <w:spacing w:before="100" w:beforeLines="0" w:beforeAutospacing="1" w:after="100" w:afterLines="0" w:afterAutospacing="1"/>
      <w:jc w:val="center"/>
      <w:textAlignment w:val="center"/>
    </w:pPr>
    <w:rPr>
      <w:rFonts w:ascii="Arial Narrow" w:hAnsi="Century Gothic" w:eastAsia="Arial Narrow" w:cs="Century Gothic"/>
      <w:kern w:val="0"/>
      <w:sz w:val="24"/>
    </w:rPr>
  </w:style>
  <w:style w:type="paragraph" w:customStyle="1" w:styleId="65">
    <w:name w:val="xl32"/>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center"/>
      <w:textAlignment w:val="center"/>
    </w:pPr>
    <w:rPr>
      <w:rFonts w:ascii="Arial Narrow" w:hAnsi="Century Gothic" w:eastAsia="Arial Narrow" w:cs="Century Gothic"/>
      <w:kern w:val="0"/>
      <w:sz w:val="24"/>
    </w:rPr>
  </w:style>
  <w:style w:type="paragraph" w:customStyle="1" w:styleId="66">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Arial Narrow" w:hAnsi="Century Gothic" w:eastAsia="Arial Narrow" w:cs="Century Gothic"/>
      <w:kern w:val="0"/>
      <w:sz w:val="24"/>
    </w:rPr>
  </w:style>
  <w:style w:type="paragraph" w:customStyle="1" w:styleId="67">
    <w:name w:val="Blockquote"/>
    <w:basedOn w:val="1"/>
    <w:qFormat/>
    <w:uiPriority w:val="0"/>
    <w:pPr>
      <w:autoSpaceDE w:val="0"/>
      <w:autoSpaceDN w:val="0"/>
      <w:adjustRightInd w:val="0"/>
      <w:spacing w:before="100" w:beforeLines="0" w:after="100" w:afterLines="0"/>
      <w:ind w:left="360" w:right="360"/>
      <w:jc w:val="left"/>
    </w:pPr>
    <w:rPr>
      <w:kern w:val="0"/>
      <w:sz w:val="24"/>
      <w:szCs w:val="20"/>
    </w:rPr>
  </w:style>
  <w:style w:type="paragraph" w:customStyle="1" w:styleId="68">
    <w:name w:val="xl34"/>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Arial Narrow" w:hAnsi="Century Gothic" w:eastAsia="Arial Narrow" w:cs="Century Gothic"/>
      <w:kern w:val="0"/>
      <w:sz w:val="24"/>
    </w:rPr>
  </w:style>
  <w:style w:type="paragraph" w:customStyle="1" w:styleId="69">
    <w:name w:val=" Char Char Char Char"/>
    <w:basedOn w:val="1"/>
    <w:qFormat/>
    <w:uiPriority w:val="0"/>
    <w:rPr>
      <w:rFonts w:cs="Times New Roman"/>
      <w:szCs w:val="20"/>
    </w:rPr>
  </w:style>
  <w:style w:type="paragraph" w:customStyle="1" w:styleId="70">
    <w:name w:val="font6"/>
    <w:basedOn w:val="1"/>
    <w:qFormat/>
    <w:uiPriority w:val="0"/>
    <w:pPr>
      <w:widowControl/>
      <w:spacing w:before="100" w:beforeLines="0" w:beforeAutospacing="1" w:after="100" w:afterLines="0" w:afterAutospacing="1"/>
      <w:jc w:val="left"/>
    </w:pPr>
    <w:rPr>
      <w:kern w:val="0"/>
      <w:sz w:val="18"/>
      <w:szCs w:val="18"/>
    </w:rPr>
  </w:style>
  <w:style w:type="paragraph" w:customStyle="1" w:styleId="71">
    <w:name w:val=" Char3 Char Char Char"/>
    <w:basedOn w:val="1"/>
    <w:qFormat/>
    <w:uiPriority w:val="0"/>
    <w:pPr>
      <w:widowControl/>
      <w:spacing w:after="160" w:afterLines="0" w:line="240" w:lineRule="exact"/>
      <w:jc w:val="left"/>
    </w:pPr>
    <w:rPr>
      <w:szCs w:val="20"/>
    </w:rPr>
  </w:style>
  <w:style w:type="paragraph" w:customStyle="1" w:styleId="72">
    <w:name w:val="Default"/>
    <w:qFormat/>
    <w:uiPriority w:val="0"/>
    <w:pPr>
      <w:widowControl w:val="0"/>
      <w:autoSpaceDE w:val="0"/>
      <w:autoSpaceDN w:val="0"/>
      <w:adjustRightInd w:val="0"/>
    </w:pPr>
    <w:rPr>
      <w:rFonts w:ascii="楷体" w:hAnsi="Calibri" w:eastAsia="楷体" w:cs="Times New Roman"/>
      <w:color w:val="000000"/>
      <w:sz w:val="24"/>
      <w:szCs w:val="24"/>
      <w:lang w:val="en-US" w:eastAsia="zh-CN" w:bidi="ar-SA"/>
    </w:rPr>
  </w:style>
  <w:style w:type="paragraph" w:customStyle="1" w:styleId="73">
    <w:name w:val="标准文本"/>
    <w:basedOn w:val="1"/>
    <w:link w:val="105"/>
    <w:qFormat/>
    <w:uiPriority w:val="0"/>
    <w:pPr>
      <w:spacing w:line="360" w:lineRule="auto"/>
      <w:ind w:firstLine="480" w:firstLineChars="200"/>
    </w:pPr>
    <w:rPr>
      <w:rFonts w:cs="宋体"/>
      <w:sz w:val="24"/>
      <w:szCs w:val="20"/>
    </w:rPr>
  </w:style>
  <w:style w:type="paragraph" w:customStyle="1" w:styleId="7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kern w:val="0"/>
      <w:sz w:val="24"/>
    </w:rPr>
  </w:style>
  <w:style w:type="paragraph" w:customStyle="1" w:styleId="75">
    <w:name w:val="Char"/>
    <w:basedOn w:val="1"/>
    <w:qFormat/>
    <w:uiPriority w:val="0"/>
  </w:style>
  <w:style w:type="paragraph" w:customStyle="1" w:styleId="76">
    <w:name w:val="List Paragraph1"/>
    <w:basedOn w:val="1"/>
    <w:qFormat/>
    <w:uiPriority w:val="0"/>
    <w:pPr>
      <w:ind w:firstLine="420" w:firstLineChars="200"/>
    </w:pPr>
    <w:rPr>
      <w:szCs w:val="24"/>
    </w:rPr>
  </w:style>
  <w:style w:type="paragraph" w:customStyle="1" w:styleId="77">
    <w:name w:val="节"/>
    <w:basedOn w:val="3"/>
    <w:qFormat/>
    <w:uiPriority w:val="0"/>
    <w:pPr>
      <w:adjustRightInd/>
      <w:spacing w:before="160" w:beforeLines="0" w:after="160" w:afterLines="0" w:line="720" w:lineRule="exact"/>
      <w:jc w:val="center"/>
    </w:pPr>
    <w:rPr>
      <w:rFonts w:ascii="Arial" w:hAnsi="Arial"/>
      <w:b w:val="0"/>
      <w:color w:val="000000"/>
      <w:spacing w:val="14"/>
      <w:kern w:val="24"/>
      <w:sz w:val="28"/>
      <w:szCs w:val="20"/>
    </w:rPr>
  </w:style>
  <w:style w:type="paragraph" w:customStyle="1" w:styleId="78">
    <w:name w:val="xl30"/>
    <w:basedOn w:val="1"/>
    <w:qFormat/>
    <w:uiPriority w:val="0"/>
    <w:pPr>
      <w:widowControl/>
      <w:pBdr>
        <w:left w:val="single" w:color="auto" w:sz="4" w:space="0"/>
        <w:right w:val="single" w:color="auto" w:sz="4" w:space="0"/>
      </w:pBdr>
      <w:spacing w:before="100" w:beforeLines="0" w:beforeAutospacing="1" w:after="100" w:afterLines="0" w:afterAutospacing="1"/>
      <w:jc w:val="center"/>
      <w:textAlignment w:val="center"/>
    </w:pPr>
    <w:rPr>
      <w:rFonts w:ascii="Arial Narrow" w:hAnsi="Century Gothic" w:eastAsia="Arial Narrow" w:cs="Century Gothic"/>
      <w:kern w:val="0"/>
      <w:sz w:val="24"/>
    </w:rPr>
  </w:style>
  <w:style w:type="paragraph" w:customStyle="1" w:styleId="79">
    <w:name w:val=" Char"/>
    <w:basedOn w:val="1"/>
    <w:qFormat/>
    <w:uiPriority w:val="0"/>
    <w:rPr>
      <w:rFonts w:ascii="Courier New" w:eastAsia="Courier New"/>
      <w:b/>
      <w:sz w:val="32"/>
      <w:szCs w:val="32"/>
    </w:rPr>
  </w:style>
  <w:style w:type="paragraph" w:customStyle="1" w:styleId="80">
    <w:name w:val="正文段"/>
    <w:basedOn w:val="1"/>
    <w:qFormat/>
    <w:uiPriority w:val="0"/>
    <w:pPr>
      <w:widowControl/>
      <w:snapToGrid w:val="0"/>
      <w:spacing w:after="156" w:afterLines="50"/>
      <w:ind w:firstLine="200" w:firstLineChars="200"/>
    </w:pPr>
    <w:rPr>
      <w:kern w:val="0"/>
      <w:sz w:val="24"/>
      <w:szCs w:val="20"/>
    </w:rPr>
  </w:style>
  <w:style w:type="paragraph" w:customStyle="1" w:styleId="81">
    <w:name w:val=" Char Char11 Char Char Char Char Char Char Char Char Char Char Char"/>
    <w:basedOn w:val="1"/>
    <w:qFormat/>
    <w:uiPriority w:val="0"/>
    <w:pPr>
      <w:spacing w:line="360" w:lineRule="auto"/>
    </w:pPr>
    <w:rPr>
      <w:rFonts w:eastAsia="黑体"/>
      <w:snapToGrid w:val="0"/>
      <w:kern w:val="0"/>
      <w:szCs w:val="21"/>
    </w:rPr>
  </w:style>
  <w:style w:type="paragraph" w:customStyle="1" w:styleId="82">
    <w:name w:val="xl36"/>
    <w:basedOn w:val="1"/>
    <w:qFormat/>
    <w:uiPriority w:val="0"/>
    <w:pPr>
      <w:widowControl/>
      <w:pBdr>
        <w:left w:val="single" w:color="auto" w:sz="4" w:space="0"/>
        <w:right w:val="single" w:color="auto" w:sz="4" w:space="0"/>
      </w:pBdr>
      <w:spacing w:before="100" w:beforeLines="0" w:beforeAutospacing="1" w:after="100" w:afterLines="0" w:afterAutospacing="1"/>
      <w:jc w:val="center"/>
      <w:textAlignment w:val="center"/>
    </w:pPr>
    <w:rPr>
      <w:rFonts w:ascii="Arial Narrow" w:hAnsi="Century Gothic" w:eastAsia="Arial Narrow" w:cs="Century Gothic"/>
      <w:kern w:val="0"/>
      <w:sz w:val="24"/>
    </w:rPr>
  </w:style>
  <w:style w:type="paragraph" w:customStyle="1" w:styleId="83">
    <w:name w:val="title11"/>
    <w:basedOn w:val="1"/>
    <w:qFormat/>
    <w:uiPriority w:val="0"/>
    <w:pPr>
      <w:spacing w:before="150" w:beforeAutospacing="0" w:after="0" w:afterAutospacing="0"/>
      <w:ind w:left="0" w:right="0" w:firstLine="0"/>
      <w:jc w:val="left"/>
    </w:pPr>
    <w:rPr>
      <w:b/>
      <w:kern w:val="0"/>
      <w:lang w:val="en-US" w:eastAsia="zh-CN" w:bidi="ar"/>
    </w:rPr>
  </w:style>
  <w:style w:type="paragraph" w:customStyle="1" w:styleId="8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Arial Narrow" w:hAnsi="Century Gothic" w:eastAsia="Arial Narrow" w:cs="Century Gothic"/>
      <w:kern w:val="0"/>
      <w:sz w:val="24"/>
    </w:rPr>
  </w:style>
  <w:style w:type="paragraph" w:customStyle="1" w:styleId="85">
    <w:name w:val="Plain Text"/>
    <w:basedOn w:val="86"/>
    <w:qFormat/>
    <w:uiPriority w:val="0"/>
    <w:pPr>
      <w:widowControl/>
      <w:jc w:val="left"/>
    </w:pPr>
    <w:rPr>
      <w:rFonts w:ascii="宋体" w:hAnsi="Courier New"/>
    </w:rPr>
  </w:style>
  <w:style w:type="paragraph" w:customStyle="1" w:styleId="86">
    <w:name w:val="Normal"/>
    <w:qFormat/>
    <w:uiPriority w:val="0"/>
    <w:pPr>
      <w:widowControl w:val="0"/>
      <w:jc w:val="both"/>
    </w:pPr>
    <w:rPr>
      <w:rFonts w:hint="eastAsia" w:ascii="Calibri" w:hAnsi="Calibri" w:eastAsia="等线" w:cs="Times New Roman"/>
      <w:kern w:val="2"/>
      <w:sz w:val="21"/>
      <w:lang w:val="en-US" w:eastAsia="zh-CN" w:bidi="ar-SA"/>
    </w:rPr>
  </w:style>
  <w:style w:type="paragraph" w:customStyle="1" w:styleId="87">
    <w:name w:val="表头"/>
    <w:basedOn w:val="1"/>
    <w:qFormat/>
    <w:uiPriority w:val="0"/>
    <w:pPr>
      <w:adjustRightInd w:val="0"/>
      <w:spacing w:before="60" w:after="60" w:line="420" w:lineRule="atLeast"/>
      <w:jc w:val="left"/>
      <w:textAlignment w:val="baseline"/>
    </w:pPr>
    <w:rPr>
      <w:rFonts w:ascii="黑体" w:hAnsi="Times New Roman" w:eastAsia="黑体" w:cs="Times New Roman"/>
      <w:b/>
      <w:kern w:val="0"/>
      <w:szCs w:val="20"/>
    </w:rPr>
  </w:style>
  <w:style w:type="paragraph" w:customStyle="1" w:styleId="88">
    <w:name w:val="小节"/>
    <w:basedOn w:val="4"/>
    <w:qFormat/>
    <w:uiPriority w:val="0"/>
    <w:pPr>
      <w:spacing w:before="200" w:beforeLines="0" w:after="200" w:afterLines="0" w:line="560" w:lineRule="exact"/>
      <w:jc w:val="left"/>
    </w:pPr>
    <w:rPr>
      <w:rFonts w:ascii="Century Gothic" w:hAnsi="Century Gothic"/>
      <w:bCs w:val="0"/>
      <w:color w:val="000000"/>
      <w:spacing w:val="10"/>
      <w:kern w:val="24"/>
      <w:sz w:val="28"/>
    </w:rPr>
  </w:style>
  <w:style w:type="paragraph" w:customStyle="1" w:styleId="89">
    <w:name w:val="p0"/>
    <w:basedOn w:val="1"/>
    <w:unhideWhenUsed/>
    <w:qFormat/>
    <w:uiPriority w:val="0"/>
    <w:pPr>
      <w:widowControl/>
    </w:pPr>
    <w:rPr>
      <w:rFonts w:hint="eastAsia"/>
    </w:rPr>
  </w:style>
  <w:style w:type="paragraph" w:customStyle="1" w:styleId="90">
    <w:name w:val="正文文字"/>
    <w:basedOn w:val="1"/>
    <w:qFormat/>
    <w:uiPriority w:val="0"/>
    <w:pPr>
      <w:widowControl/>
      <w:spacing w:line="952" w:lineRule="atLeast"/>
      <w:ind w:firstLine="419"/>
    </w:pPr>
    <w:rPr>
      <w:b/>
      <w:color w:val="000000"/>
      <w:sz w:val="44"/>
      <w:szCs w:val="20"/>
      <w:u w:val="none" w:color="000000"/>
    </w:rPr>
  </w:style>
  <w:style w:type="paragraph" w:customStyle="1" w:styleId="91">
    <w:name w:val="xl29"/>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center"/>
      <w:textAlignment w:val="center"/>
    </w:pPr>
    <w:rPr>
      <w:rFonts w:ascii="Arial Narrow" w:hAnsi="Century Gothic" w:eastAsia="Arial Narrow" w:cs="Century Gothic"/>
      <w:kern w:val="0"/>
      <w:sz w:val="24"/>
    </w:rPr>
  </w:style>
  <w:style w:type="paragraph" w:customStyle="1" w:styleId="92">
    <w:name w:val="样式5"/>
    <w:basedOn w:val="5"/>
    <w:qFormat/>
    <w:uiPriority w:val="0"/>
    <w:pPr>
      <w:keepLines/>
      <w:widowControl w:val="0"/>
      <w:spacing w:before="280" w:beforeLines="0" w:after="290" w:afterLines="0" w:line="376" w:lineRule="auto"/>
    </w:pPr>
    <w:rPr>
      <w:rFonts w:ascii="Century Gothic" w:hAnsi="Century Gothic" w:eastAsia="Century Gothic"/>
      <w:b/>
      <w:bCs/>
      <w:snapToGrid/>
      <w:kern w:val="2"/>
      <w:sz w:val="32"/>
      <w:szCs w:val="32"/>
    </w:rPr>
  </w:style>
  <w:style w:type="paragraph" w:customStyle="1" w:styleId="93">
    <w:name w:val="xl31"/>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Arial Narrow" w:hAnsi="Century Gothic" w:eastAsia="Arial Narrow" w:cs="Century Gothic"/>
      <w:kern w:val="0"/>
      <w:sz w:val="24"/>
    </w:rPr>
  </w:style>
  <w:style w:type="paragraph" w:customStyle="1" w:styleId="94">
    <w:name w:val="正文文字格式"/>
    <w:basedOn w:val="1"/>
    <w:qFormat/>
    <w:uiPriority w:val="0"/>
    <w:pPr>
      <w:spacing w:line="460" w:lineRule="exact"/>
      <w:ind w:firstLine="505"/>
      <w:jc w:val="left"/>
    </w:pPr>
    <w:rPr>
      <w:rFonts w:ascii="Century Gothic"/>
      <w:kern w:val="24"/>
      <w:sz w:val="24"/>
      <w:szCs w:val="20"/>
    </w:rPr>
  </w:style>
  <w:style w:type="paragraph" w:customStyle="1" w:styleId="95">
    <w:name w:val="正文2"/>
    <w:basedOn w:val="1"/>
    <w:link w:val="107"/>
    <w:qFormat/>
    <w:uiPriority w:val="0"/>
    <w:pPr>
      <w:spacing w:before="156" w:beforeLines="0" w:line="360" w:lineRule="auto"/>
      <w:ind w:firstLine="510" w:firstLineChars="200"/>
    </w:pPr>
    <w:rPr>
      <w:sz w:val="24"/>
      <w:szCs w:val="20"/>
    </w:rPr>
  </w:style>
  <w:style w:type="paragraph" w:customStyle="1" w:styleId="96">
    <w:name w:val="标书标题2"/>
    <w:basedOn w:val="3"/>
    <w:qFormat/>
    <w:uiPriority w:val="0"/>
    <w:pPr>
      <w:keepLines w:val="0"/>
      <w:widowControl/>
      <w:tabs>
        <w:tab w:val="left" w:pos="1320"/>
      </w:tabs>
      <w:snapToGrid w:val="0"/>
      <w:spacing w:before="156" w:beforeLines="50" w:after="60" w:afterLines="0" w:line="300" w:lineRule="auto"/>
      <w:ind w:left="1320" w:hanging="420"/>
      <w:jc w:val="both"/>
    </w:pPr>
    <w:rPr>
      <w:rFonts w:ascii="_x000B__x000C_" w:hAnsi="_x000B__x000C_" w:eastAsia="Courier New"/>
      <w:color w:val="000000"/>
      <w:kern w:val="0"/>
      <w:sz w:val="28"/>
      <w:szCs w:val="20"/>
    </w:rPr>
  </w:style>
  <w:style w:type="paragraph" w:customStyle="1" w:styleId="97">
    <w:name w:val=" Char Char Char Char Char"/>
    <w:basedOn w:val="1"/>
    <w:qFormat/>
    <w:uiPriority w:val="0"/>
    <w:pPr>
      <w:widowControl/>
      <w:spacing w:after="160" w:afterLines="0" w:line="240" w:lineRule="exact"/>
      <w:jc w:val="left"/>
    </w:pPr>
    <w:rPr>
      <w:rFonts w:ascii="Verdana" w:hAnsi="Verdana" w:eastAsia="华文细黑" w:cs="Times New Roman"/>
    </w:rPr>
  </w:style>
  <w:style w:type="paragraph" w:customStyle="1" w:styleId="9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楷体_GB2312" w:hAnsi="楷体_GB2312"/>
      <w:kern w:val="0"/>
      <w:sz w:val="20"/>
      <w:szCs w:val="20"/>
    </w:rPr>
  </w:style>
  <w:style w:type="paragraph" w:customStyle="1" w:styleId="99">
    <w:name w:val="xl22"/>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pPr>
    <w:rPr>
      <w:rFonts w:hint="eastAsia" w:ascii="Arial Unicode MS" w:hAnsi="Arial Unicode MS" w:eastAsia="Arial Unicode MS" w:cs="Times New Roman"/>
      <w:kern w:val="0"/>
      <w:sz w:val="24"/>
      <w:szCs w:val="20"/>
    </w:rPr>
  </w:style>
  <w:style w:type="paragraph" w:customStyle="1" w:styleId="100">
    <w:name w:val="xl37"/>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Arial Narrow" w:hAnsi="Century Gothic" w:eastAsia="Arial Narrow" w:cs="Century Gothic"/>
      <w:kern w:val="0"/>
      <w:sz w:val="24"/>
    </w:rPr>
  </w:style>
  <w:style w:type="paragraph" w:customStyle="1" w:styleId="101">
    <w:name w:val="标书标题3"/>
    <w:basedOn w:val="4"/>
    <w:qFormat/>
    <w:uiPriority w:val="0"/>
    <w:pPr>
      <w:keepLines w:val="0"/>
      <w:widowControl/>
      <w:adjustRightInd w:val="0"/>
      <w:snapToGrid w:val="0"/>
      <w:spacing w:before="120" w:beforeLines="0" w:after="60" w:afterLines="0" w:line="300" w:lineRule="auto"/>
      <w:jc w:val="left"/>
    </w:pPr>
    <w:rPr>
      <w:rFonts w:ascii="_x000B__x000C_" w:hAnsi="_x000B__x000C_" w:eastAsia="Courier New"/>
      <w:b w:val="0"/>
      <w:bCs w:val="0"/>
      <w:color w:val="000000"/>
      <w:kern w:val="0"/>
      <w:sz w:val="28"/>
    </w:rPr>
  </w:style>
  <w:style w:type="character" w:customStyle="1" w:styleId="102">
    <w:name w:val="NormalCharacter"/>
    <w:semiHidden/>
    <w:qFormat/>
    <w:uiPriority w:val="0"/>
  </w:style>
  <w:style w:type="character" w:customStyle="1" w:styleId="103">
    <w:name w:val="普通文字 Char Char1"/>
    <w:qFormat/>
    <w:uiPriority w:val="0"/>
    <w:rPr>
      <w:rFonts w:ascii="Century Gothic" w:hAnsi="楷体_GB2312" w:eastAsia="Century Gothic" w:cs="楷体_GB2312"/>
      <w:kern w:val="2"/>
      <w:sz w:val="21"/>
      <w:szCs w:val="21"/>
      <w:lang w:val="en-US" w:eastAsia="zh-CN" w:bidi="ar-SA"/>
    </w:rPr>
  </w:style>
  <w:style w:type="character" w:customStyle="1" w:styleId="104">
    <w:name w:val="tpc_content1"/>
    <w:qFormat/>
    <w:uiPriority w:val="0"/>
    <w:rPr>
      <w:sz w:val="20"/>
      <w:szCs w:val="20"/>
    </w:rPr>
  </w:style>
  <w:style w:type="character" w:customStyle="1" w:styleId="105">
    <w:name w:val="标准文本 Char"/>
    <w:link w:val="73"/>
    <w:qFormat/>
    <w:uiPriority w:val="0"/>
    <w:rPr>
      <w:rFonts w:eastAsia="宋体" w:cs="宋体"/>
      <w:kern w:val="2"/>
      <w:sz w:val="24"/>
      <w:lang w:val="en-US" w:eastAsia="zh-CN" w:bidi="ar-SA"/>
    </w:rPr>
  </w:style>
  <w:style w:type="character" w:customStyle="1" w:styleId="106">
    <w:name w:val="正文缩进 字符"/>
    <w:link w:val="6"/>
    <w:qFormat/>
    <w:uiPriority w:val="0"/>
    <w:rPr>
      <w:rFonts w:ascii="Arial" w:hAnsi="Arial" w:eastAsia="宋体" w:cs="Arial"/>
      <w:lang w:val="en-US" w:eastAsia="zh-CN" w:bidi="ar-SA"/>
    </w:rPr>
  </w:style>
  <w:style w:type="character" w:customStyle="1" w:styleId="107">
    <w:name w:val="正文2 Char"/>
    <w:link w:val="95"/>
    <w:qFormat/>
    <w:uiPriority w:val="0"/>
    <w:rPr>
      <w:rFonts w:eastAsia="宋体"/>
      <w:kern w:val="2"/>
      <w:sz w:val="24"/>
      <w:lang w:val="en-US" w:eastAsia="zh-CN" w:bidi="ar-SA"/>
    </w:rPr>
  </w:style>
  <w:style w:type="character" w:customStyle="1" w:styleId="108">
    <w:name w:val="style1"/>
    <w:basedOn w:val="42"/>
    <w:qFormat/>
    <w:uiPriority w:val="0"/>
  </w:style>
  <w:style w:type="character" w:customStyle="1" w:styleId="109">
    <w:name w:val=" Char Char21"/>
    <w:qFormat/>
    <w:uiPriority w:val="0"/>
    <w:rPr>
      <w:rFonts w:eastAsia="Century Gothic"/>
      <w:b/>
      <w:bCs/>
      <w:kern w:val="44"/>
      <w:sz w:val="32"/>
      <w:szCs w:val="44"/>
      <w:lang w:val="en-US" w:eastAsia="zh-CN" w:bidi="ar-SA"/>
    </w:rPr>
  </w:style>
  <w:style w:type="character" w:customStyle="1" w:styleId="110">
    <w:name w:val="页脚 字符"/>
    <w:link w:val="30"/>
    <w:qFormat/>
    <w:uiPriority w:val="0"/>
    <w:rPr>
      <w:rFonts w:eastAsia="Century Gothic"/>
      <w:kern w:val="2"/>
      <w:sz w:val="18"/>
      <w:lang w:val="en-US" w:eastAsia="zh-CN" w:bidi="ar-SA"/>
    </w:rPr>
  </w:style>
  <w:style w:type="character" w:customStyle="1" w:styleId="111">
    <w:name w:val="zbggtop11 style5"/>
    <w:basedOn w:val="42"/>
    <w:qFormat/>
    <w:uiPriority w:val="0"/>
  </w:style>
  <w:style w:type="character" w:customStyle="1" w:styleId="112">
    <w:name w:val="font11"/>
    <w:qFormat/>
    <w:uiPriority w:val="0"/>
    <w:rPr>
      <w:rFonts w:hint="eastAsia" w:ascii="宋体" w:hAnsi="宋体" w:eastAsia="宋体" w:cs="宋体"/>
      <w:color w:val="000000"/>
      <w:sz w:val="21"/>
      <w:szCs w:val="21"/>
      <w:u w:val="none"/>
    </w:rPr>
  </w:style>
  <w:style w:type="character" w:customStyle="1" w:styleId="113">
    <w:name w:val="标题 1 字符"/>
    <w:link w:val="2"/>
    <w:qFormat/>
    <w:uiPriority w:val="0"/>
    <w:rPr>
      <w:rFonts w:eastAsia="Century Gothic"/>
      <w:b/>
      <w:bCs/>
      <w:kern w:val="44"/>
      <w:sz w:val="44"/>
      <w:szCs w:val="44"/>
      <w:lang w:val="en-US" w:eastAsia="zh-CN" w:bidi="ar-SA"/>
    </w:rPr>
  </w:style>
  <w:style w:type="character" w:customStyle="1" w:styleId="114">
    <w:name w:val="zbggmain style9"/>
    <w:qFormat/>
    <w:uiPriority w:val="0"/>
    <w:rPr>
      <w:rFonts w:ascii="Courier New" w:eastAsia="Courier New"/>
      <w:b/>
      <w:kern w:val="2"/>
      <w:sz w:val="32"/>
      <w:szCs w:val="32"/>
      <w:lang w:val="en-US" w:eastAsia="zh-CN" w:bidi="ar-SA"/>
    </w:rPr>
  </w:style>
  <w:style w:type="character" w:customStyle="1" w:styleId="115">
    <w:name w:val="纯文本 字符"/>
    <w:link w:val="25"/>
    <w:qFormat/>
    <w:uiPriority w:val="0"/>
    <w:rPr>
      <w:rFonts w:ascii="Century Gothic" w:hAnsi="楷体_GB2312" w:eastAsia="Century Gothic" w:cs="楷体_GB2312"/>
      <w:kern w:val="2"/>
      <w:sz w:val="21"/>
      <w:szCs w:val="21"/>
      <w:lang w:val="en-US" w:eastAsia="zh-CN" w:bidi="ar-SA"/>
    </w:rPr>
  </w:style>
  <w:style w:type="character" w:customStyle="1" w:styleId="116">
    <w:name w:val=" Char Char12"/>
    <w:qFormat/>
    <w:uiPriority w:val="0"/>
    <w:rPr>
      <w:rFonts w:ascii="Century Gothic" w:hAnsi="楷体_GB2312" w:eastAsia="Century Gothic" w:cs="楷体_GB2312"/>
      <w:kern w:val="2"/>
      <w:sz w:val="21"/>
      <w:szCs w:val="21"/>
      <w:lang w:val="en-US" w:eastAsia="zh-CN" w:bidi="ar-SA"/>
    </w:rPr>
  </w:style>
  <w:style w:type="character" w:customStyle="1" w:styleId="117">
    <w:name w:val=" Char Char"/>
    <w:uiPriority w:val="0"/>
    <w:rPr>
      <w:rFonts w:ascii="Courier New" w:eastAsia="Courier New"/>
      <w:color w:val="FF0000"/>
      <w:kern w:val="2"/>
      <w:sz w:val="24"/>
      <w:szCs w:val="24"/>
      <w:u w:val="single"/>
      <w:lang w:val="en-US" w:eastAsia="zh-CN" w:bidi="ar-SA"/>
    </w:rPr>
  </w:style>
  <w:style w:type="character" w:customStyle="1" w:styleId="118">
    <w:name w:val="正文文本缩进 字符"/>
    <w:link w:val="20"/>
    <w:semiHidden/>
    <w:qFormat/>
    <w:uiPriority w:val="0"/>
    <w:rPr>
      <w:rFonts w:ascii="Century Gothic" w:hAnsi="Century Gothic" w:eastAsia="Century Gothic"/>
      <w:kern w:val="2"/>
      <w:sz w:val="24"/>
      <w:lang w:val="en-US" w:eastAsia="zh-CN" w:bidi="ar-SA"/>
    </w:rPr>
  </w:style>
  <w:style w:type="character" w:customStyle="1" w:styleId="119">
    <w:name w:val="bulletintext1"/>
    <w:qFormat/>
    <w:uiPriority w:val="0"/>
    <w:rPr>
      <w:color w:val="000000"/>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79</Pages>
  <Words>7071</Words>
  <Characters>40305</Characters>
  <Lines>335</Lines>
  <Paragraphs>94</Paragraphs>
  <TotalTime>9</TotalTime>
  <ScaleCrop>false</ScaleCrop>
  <LinksUpToDate>false</LinksUpToDate>
  <CharactersWithSpaces>47282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2019-06-06T00:37:00Z</dcterms:created>
  <dc:creator>微软用户</dc:creator>
  <cp:lastModifiedBy>唐稳</cp:lastModifiedBy>
  <cp:lastPrinted>2020-04-24T00:34:00Z</cp:lastPrinted>
  <dcterms:modified xsi:type="dcterms:W3CDTF">2020-05-11T09:59:53Z</dcterms:modified>
  <dc:title>杭州下沙服务外包人才培训基地</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