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hint="default" w:ascii="Arial" w:hAnsi="Arial" w:eastAsia="宋体" w:cs="Arial"/>
          <w:color w:val="auto"/>
          <w:sz w:val="72"/>
          <w:szCs w:val="72"/>
          <w:highlight w:val="none"/>
        </w:rPr>
      </w:pPr>
      <w:bookmarkStart w:id="152" w:name="_GoBack"/>
      <w:bookmarkEnd w:id="152"/>
    </w:p>
    <w:p>
      <w:pPr>
        <w:tabs>
          <w:tab w:val="left" w:pos="5580"/>
        </w:tabs>
        <w:jc w:val="center"/>
        <w:rPr>
          <w:rFonts w:hint="default" w:ascii="Arial" w:hAnsi="Arial" w:eastAsia="宋体" w:cs="Arial"/>
          <w:color w:val="auto"/>
          <w:sz w:val="72"/>
          <w:szCs w:val="72"/>
          <w:highlight w:val="none"/>
        </w:rPr>
      </w:pPr>
      <w:r>
        <w:rPr>
          <w:rFonts w:hint="default" w:ascii="Arial" w:hAnsi="Arial" w:eastAsia="宋体" w:cs="Arial"/>
          <w:color w:val="auto"/>
          <w:sz w:val="72"/>
          <w:szCs w:val="72"/>
          <w:highlight w:val="none"/>
        </w:rPr>
        <w:t>瑞安市公共资源交易中心</w:t>
      </w:r>
    </w:p>
    <w:p>
      <w:pPr>
        <w:rPr>
          <w:rFonts w:hint="default" w:ascii="Arial" w:hAnsi="Arial" w:eastAsia="宋体" w:cs="Arial"/>
          <w:color w:val="auto"/>
          <w:sz w:val="52"/>
          <w:highlight w:val="none"/>
        </w:rPr>
      </w:pPr>
    </w:p>
    <w:p>
      <w:pPr>
        <w:rPr>
          <w:rFonts w:hint="default" w:ascii="Arial" w:hAnsi="Arial" w:eastAsia="宋体" w:cs="Arial"/>
          <w:color w:val="auto"/>
          <w:sz w:val="72"/>
          <w:highlight w:val="none"/>
        </w:rPr>
      </w:pPr>
      <w:bookmarkStart w:id="0" w:name="_Hlt162751967"/>
      <w:bookmarkEnd w:id="0"/>
    </w:p>
    <w:p>
      <w:pPr>
        <w:snapToGrid w:val="0"/>
        <w:spacing w:line="360" w:lineRule="auto"/>
        <w:jc w:val="center"/>
        <w:rPr>
          <w:rFonts w:hint="default" w:ascii="Arial" w:hAnsi="Arial" w:eastAsia="宋体" w:cs="Arial"/>
          <w:b/>
          <w:bCs/>
          <w:color w:val="auto"/>
          <w:sz w:val="72"/>
          <w:highlight w:val="none"/>
        </w:rPr>
      </w:pPr>
      <w:r>
        <w:rPr>
          <w:rFonts w:hint="default" w:ascii="Arial" w:hAnsi="Arial" w:eastAsia="宋体" w:cs="Arial"/>
          <w:b/>
          <w:bCs/>
          <w:color w:val="auto"/>
          <w:sz w:val="72"/>
          <w:highlight w:val="none"/>
        </w:rPr>
        <w:t>采 购 文 件</w:t>
      </w:r>
    </w:p>
    <w:p>
      <w:pPr>
        <w:snapToGrid w:val="0"/>
        <w:spacing w:line="360" w:lineRule="auto"/>
        <w:jc w:val="center"/>
        <w:rPr>
          <w:rFonts w:hint="default" w:ascii="Arial" w:hAnsi="Arial" w:eastAsia="宋体" w:cs="Arial"/>
          <w:b/>
          <w:color w:val="auto"/>
          <w:sz w:val="28"/>
          <w:szCs w:val="28"/>
          <w:highlight w:val="none"/>
        </w:rPr>
      </w:pPr>
      <w:r>
        <w:rPr>
          <w:rFonts w:hint="default" w:ascii="Arial" w:hAnsi="Arial" w:eastAsia="宋体" w:cs="Arial"/>
          <w:b/>
          <w:color w:val="auto"/>
          <w:sz w:val="28"/>
          <w:szCs w:val="28"/>
          <w:highlight w:val="none"/>
        </w:rPr>
        <w:t>（电子招投标方式）</w:t>
      </w:r>
    </w:p>
    <w:p>
      <w:pPr>
        <w:rPr>
          <w:rFonts w:hint="default" w:ascii="Arial" w:hAnsi="Arial" w:eastAsia="宋体" w:cs="Arial"/>
          <w:color w:val="auto"/>
          <w:sz w:val="30"/>
          <w:highlight w:val="none"/>
        </w:rPr>
      </w:pPr>
    </w:p>
    <w:p>
      <w:pPr>
        <w:rPr>
          <w:rFonts w:hint="default" w:ascii="Arial" w:hAnsi="Arial" w:eastAsia="宋体" w:cs="Arial"/>
          <w:color w:val="auto"/>
          <w:sz w:val="30"/>
          <w:highlight w:val="none"/>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5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项 目 编 号：</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lang w:eastAsia="zh-CN"/>
              </w:rPr>
            </w:pPr>
            <w:r>
              <w:rPr>
                <w:rFonts w:hint="default" w:ascii="Arial" w:hAnsi="Arial" w:eastAsia="宋体" w:cs="Arial"/>
                <w:color w:val="auto"/>
                <w:sz w:val="30"/>
                <w:szCs w:val="30"/>
                <w:highlight w:val="none"/>
              </w:rPr>
              <w:t>ZCTCW-</w:t>
            </w:r>
            <w:r>
              <w:rPr>
                <w:rFonts w:hint="default" w:ascii="Arial" w:hAnsi="Arial" w:eastAsia="宋体" w:cs="Arial"/>
                <w:color w:val="auto"/>
                <w:sz w:val="30"/>
                <w:szCs w:val="30"/>
                <w:highlight w:val="none"/>
                <w:lang w:eastAsia="zh-CN"/>
              </w:rPr>
              <w:t>2021-0</w:t>
            </w:r>
            <w:r>
              <w:rPr>
                <w:rFonts w:hint="eastAsia" w:ascii="Arial" w:hAnsi="Arial" w:eastAsia="宋体" w:cs="Arial"/>
                <w:color w:val="auto"/>
                <w:sz w:val="30"/>
                <w:szCs w:val="30"/>
                <w:highlight w:val="none"/>
                <w:lang w:val="en-US" w:eastAsia="zh-CN"/>
              </w:rPr>
              <w:t>4</w:t>
            </w:r>
            <w:r>
              <w:rPr>
                <w:rFonts w:hint="default" w:ascii="Arial" w:hAnsi="Arial" w:eastAsia="宋体" w:cs="Arial"/>
                <w:color w:val="auto"/>
                <w:sz w:val="30"/>
                <w:szCs w:val="30"/>
                <w:highlight w:val="none"/>
                <w:lang w:eastAsia="zh-CN"/>
              </w:rPr>
              <w:t>00</w:t>
            </w:r>
            <w:r>
              <w:rPr>
                <w:rFonts w:hint="eastAsia" w:ascii="Arial" w:hAnsi="Arial" w:eastAsia="宋体" w:cs="Arial"/>
                <w:color w:val="auto"/>
                <w:sz w:val="30"/>
                <w:szCs w:val="3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项 目 名 称：</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pacing w:val="-20"/>
                <w:sz w:val="30"/>
                <w:szCs w:val="30"/>
                <w:highlight w:val="none"/>
                <w:lang w:eastAsia="zh-CN"/>
              </w:rPr>
            </w:pPr>
            <w:r>
              <w:rPr>
                <w:rFonts w:hint="default" w:ascii="Arial" w:hAnsi="Arial" w:eastAsia="宋体" w:cs="Arial"/>
                <w:color w:val="auto"/>
                <w:spacing w:val="-6"/>
                <w:sz w:val="30"/>
                <w:szCs w:val="30"/>
                <w:highlight w:val="none"/>
                <w:lang w:eastAsia="zh-CN"/>
              </w:rPr>
              <w:t>瑞安市公安局**辅助人员劳务服务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采 购 方 式：</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ind w:right="150"/>
              <w:jc w:val="right"/>
              <w:rPr>
                <w:rFonts w:hint="default" w:ascii="Arial" w:hAnsi="Arial" w:eastAsia="宋体" w:cs="Arial"/>
                <w:color w:val="auto"/>
                <w:sz w:val="30"/>
                <w:szCs w:val="30"/>
                <w:highlight w:val="none"/>
              </w:rPr>
            </w:pP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p>
          <w:p>
            <w:pPr>
              <w:spacing w:line="360" w:lineRule="auto"/>
              <w:rPr>
                <w:rFonts w:hint="default" w:ascii="Arial" w:hAnsi="Arial" w:eastAsia="宋体" w:cs="Arial"/>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top"/>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采  购   人：</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lang w:eastAsia="zh-CN"/>
              </w:rPr>
            </w:pPr>
            <w:r>
              <w:rPr>
                <w:rFonts w:hint="default" w:ascii="Arial" w:hAnsi="Arial" w:eastAsia="宋体" w:cs="Arial"/>
                <w:color w:val="auto"/>
                <w:sz w:val="30"/>
                <w:szCs w:val="30"/>
                <w:highlight w:val="none"/>
                <w:lang w:eastAsia="zh-CN"/>
              </w:rPr>
              <w:t>瑞安市公安局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采购代理机构：</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浙江省建设工程设备招标有限公司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5" w:type="dxa"/>
            <w:gridSpan w:val="2"/>
            <w:tcBorders>
              <w:top w:val="nil"/>
              <w:left w:val="nil"/>
              <w:bottom w:val="nil"/>
              <w:right w:val="nil"/>
            </w:tcBorders>
            <w:noWrap w:val="0"/>
            <w:vAlign w:val="center"/>
          </w:tcPr>
          <w:p>
            <w:pPr>
              <w:spacing w:line="360" w:lineRule="auto"/>
              <w:ind w:firstLine="2550" w:firstLineChars="850"/>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二O二</w:t>
            </w:r>
            <w:r>
              <w:rPr>
                <w:rFonts w:hint="default" w:ascii="Arial" w:hAnsi="Arial" w:eastAsia="宋体" w:cs="Arial"/>
                <w:color w:val="auto"/>
                <w:sz w:val="30"/>
                <w:szCs w:val="30"/>
                <w:highlight w:val="none"/>
                <w:lang w:val="en-US" w:eastAsia="zh-CN"/>
              </w:rPr>
              <w:t>一</w:t>
            </w:r>
            <w:r>
              <w:rPr>
                <w:rFonts w:hint="default" w:ascii="Arial" w:hAnsi="Arial" w:eastAsia="宋体" w:cs="Arial"/>
                <w:color w:val="auto"/>
                <w:sz w:val="30"/>
                <w:szCs w:val="30"/>
                <w:highlight w:val="none"/>
              </w:rPr>
              <w:t>年</w:t>
            </w:r>
            <w:r>
              <w:rPr>
                <w:rFonts w:hint="eastAsia" w:ascii="Arial" w:hAnsi="Arial" w:eastAsia="宋体" w:cs="Arial"/>
                <w:color w:val="auto"/>
                <w:sz w:val="30"/>
                <w:szCs w:val="30"/>
                <w:highlight w:val="none"/>
                <w:lang w:val="en-US" w:eastAsia="zh-CN"/>
              </w:rPr>
              <w:t>四</w:t>
            </w:r>
            <w:r>
              <w:rPr>
                <w:rFonts w:hint="default" w:ascii="Arial" w:hAnsi="Arial" w:eastAsia="宋体" w:cs="Arial"/>
                <w:color w:val="auto"/>
                <w:sz w:val="30"/>
                <w:szCs w:val="30"/>
                <w:highlight w:val="none"/>
              </w:rPr>
              <w:t>月</w:t>
            </w:r>
          </w:p>
        </w:tc>
      </w:tr>
    </w:tbl>
    <w:p>
      <w:pPr>
        <w:widowControl/>
        <w:jc w:val="left"/>
        <w:rPr>
          <w:rFonts w:hint="default" w:ascii="Arial" w:hAnsi="Arial" w:eastAsia="宋体" w:cs="Arial"/>
          <w:color w:val="auto"/>
          <w:highlight w:val="none"/>
        </w:rPr>
      </w:pPr>
    </w:p>
    <w:p>
      <w:pPr>
        <w:spacing w:after="312" w:afterLines="100"/>
        <w:jc w:val="center"/>
        <w:rPr>
          <w:rFonts w:hint="default" w:ascii="Arial" w:hAnsi="Arial" w:eastAsia="宋体" w:cs="Arial"/>
          <w:b/>
          <w:color w:val="auto"/>
          <w:sz w:val="20"/>
          <w:szCs w:val="20"/>
          <w:highlight w:val="none"/>
        </w:rPr>
      </w:pPr>
      <w:bookmarkStart w:id="1" w:name="_Toc440617839"/>
      <w:bookmarkStart w:id="2" w:name="_Toc474156082"/>
      <w:r>
        <w:rPr>
          <w:rFonts w:hint="default" w:ascii="Arial" w:hAnsi="Arial" w:eastAsia="宋体" w:cs="Arial"/>
          <w:b/>
          <w:color w:val="auto"/>
          <w:sz w:val="40"/>
          <w:szCs w:val="40"/>
          <w:highlight w:val="none"/>
        </w:rPr>
        <w:br w:type="page"/>
      </w:r>
      <w:r>
        <w:rPr>
          <w:rFonts w:hint="default" w:ascii="Arial" w:hAnsi="Arial" w:eastAsia="宋体" w:cs="Arial"/>
          <w:b/>
          <w:color w:val="auto"/>
          <w:sz w:val="40"/>
          <w:szCs w:val="40"/>
          <w:highlight w:val="none"/>
        </w:rPr>
        <w:t>目录</w:t>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sz w:val="28"/>
          <w:szCs w:val="28"/>
          <w:highlight w:val="none"/>
        </w:rPr>
        <w:fldChar w:fldCharType="begin"/>
      </w:r>
      <w:r>
        <w:rPr>
          <w:rFonts w:hint="default" w:ascii="Arial" w:hAnsi="Arial" w:eastAsia="宋体" w:cs="Arial"/>
          <w:color w:val="auto"/>
          <w:sz w:val="28"/>
          <w:szCs w:val="28"/>
          <w:highlight w:val="none"/>
        </w:rPr>
        <w:instrText xml:space="preserve"> TOC \o "1-3" \h \z \u </w:instrText>
      </w:r>
      <w:r>
        <w:rPr>
          <w:rFonts w:hint="default" w:ascii="Arial" w:hAnsi="Arial" w:eastAsia="宋体" w:cs="Arial"/>
          <w:color w:val="auto"/>
          <w:sz w:val="28"/>
          <w:szCs w:val="28"/>
          <w:highlight w:val="none"/>
        </w:rPr>
        <w:fldChar w:fldCharType="separate"/>
      </w: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"_Toc40429177"</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第一部分  招标公告</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_Toc40429177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"_Toc40429178"</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第二部分  投标供应商须知</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_Toc40429178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"_Toc40429179"</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（一）投标须知前附表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_Toc40429179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"_Toc40429180"</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（二）总则</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_Toc40429180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"_Toc40429181"</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（三）招标文件说明</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_Toc40429181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"_Toc40429182"</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（四）投标</w:t>
      </w:r>
      <w:bookmarkStart w:id="3" w:name="_Hlt40429202"/>
      <w:bookmarkStart w:id="4" w:name="_Hlt40453486"/>
      <w:r>
        <w:rPr>
          <w:rStyle w:val="42"/>
          <w:rFonts w:hint="default" w:ascii="Arial" w:hAnsi="Arial" w:eastAsia="宋体" w:cs="Arial"/>
          <w:color w:val="auto"/>
          <w:highlight w:val="none"/>
          <w:lang/>
        </w:rPr>
        <w:t>文</w:t>
      </w:r>
      <w:bookmarkEnd w:id="3"/>
      <w:bookmarkEnd w:id="4"/>
      <w:bookmarkStart w:id="5" w:name="_Hlt40439293"/>
      <w:r>
        <w:rPr>
          <w:rStyle w:val="42"/>
          <w:rFonts w:hint="default" w:ascii="Arial" w:hAnsi="Arial" w:eastAsia="宋体" w:cs="Arial"/>
          <w:color w:val="auto"/>
          <w:highlight w:val="none"/>
          <w:lang/>
        </w:rPr>
        <w:t>件</w:t>
      </w:r>
      <w:bookmarkEnd w:id="5"/>
      <w:r>
        <w:rPr>
          <w:rStyle w:val="42"/>
          <w:rFonts w:hint="default" w:ascii="Arial" w:hAnsi="Arial" w:eastAsia="宋体" w:cs="Arial"/>
          <w:color w:val="auto"/>
          <w:highlight w:val="none"/>
          <w:lang/>
        </w:rPr>
        <w:t>的</w:t>
      </w:r>
      <w:bookmarkStart w:id="6" w:name="_Hlt40439695"/>
      <w:r>
        <w:rPr>
          <w:rStyle w:val="42"/>
          <w:rFonts w:hint="default" w:ascii="Arial" w:hAnsi="Arial" w:eastAsia="宋体" w:cs="Arial"/>
          <w:color w:val="auto"/>
          <w:highlight w:val="none"/>
          <w:lang/>
        </w:rPr>
        <w:t>编</w:t>
      </w:r>
      <w:bookmarkEnd w:id="6"/>
      <w:r>
        <w:rPr>
          <w:rStyle w:val="42"/>
          <w:rFonts w:hint="default" w:ascii="Arial" w:hAnsi="Arial" w:eastAsia="宋体" w:cs="Arial"/>
          <w:color w:val="auto"/>
          <w:highlight w:val="none"/>
          <w:lang/>
        </w:rPr>
        <w:t>制</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_Toc40429182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"_Toc40429183"</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（五）投标文件的递交</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_Toc40429183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"_Toc40429184"</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（六）开标与评标</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_Toc40429184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"_Toc40429185"</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（七）授予合同</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_Toc40429185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"_Toc40429186"</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第三部分  招标内</w:t>
      </w:r>
      <w:bookmarkStart w:id="7" w:name="_Hlt40448756"/>
      <w:r>
        <w:rPr>
          <w:rStyle w:val="42"/>
          <w:rFonts w:hint="default" w:ascii="Arial" w:hAnsi="Arial" w:eastAsia="宋体" w:cs="Arial"/>
          <w:color w:val="auto"/>
          <w:highlight w:val="none"/>
          <w:lang/>
        </w:rPr>
        <w:t>容</w:t>
      </w:r>
      <w:bookmarkEnd w:id="7"/>
      <w:r>
        <w:rPr>
          <w:rStyle w:val="42"/>
          <w:rFonts w:hint="default" w:ascii="Arial" w:hAnsi="Arial" w:eastAsia="宋体" w:cs="Arial"/>
          <w:color w:val="auto"/>
          <w:highlight w:val="none"/>
          <w:lang/>
        </w:rPr>
        <w:t>及要求</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_Toc40429186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"_Toc40429187"</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第四部分  合同主要条款</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_Toc40429187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23</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"_Toc40429188"</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第五部分  投标文件格式</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_Toc40429188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27</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"_Toc40429189"</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 xml:space="preserve">附件一  </w:t>
      </w:r>
      <w:r>
        <w:rPr>
          <w:rStyle w:val="42"/>
          <w:rFonts w:hint="default" w:ascii="Arial" w:hAnsi="Arial" w:eastAsia="宋体" w:cs="Arial"/>
          <w:color w:val="auto"/>
          <w:highlight w:val="none"/>
        </w:rPr>
        <w:t>资格文件</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_Toc40429189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"_Toc40429190"</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附件二   法定代表人授权委托书</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_Toc40429190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"_Toc40429191"</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附件三    投 标 函</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_Toc40429191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32</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"_Toc40429192"</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附件四   建议与少量偏离表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_Toc40429192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33</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"_Toc40429193"</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附件五    拟投入设备及工具一览表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_Toc40429193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"_Toc40429194"</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附件六    拟投入本项目人员配备情况表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_Toc40429194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35</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"_Toc40429195"</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附件七  投标供应商201</w:t>
      </w:r>
      <w:r>
        <w:rPr>
          <w:rStyle w:val="42"/>
          <w:rFonts w:hint="default" w:ascii="Arial" w:hAnsi="Arial" w:eastAsia="宋体" w:cs="Arial"/>
          <w:color w:val="auto"/>
          <w:highlight w:val="none"/>
        </w:rPr>
        <w:t>7</w:t>
      </w:r>
      <w:r>
        <w:rPr>
          <w:rStyle w:val="42"/>
          <w:rFonts w:hint="default" w:ascii="Arial" w:hAnsi="Arial" w:eastAsia="宋体" w:cs="Arial"/>
          <w:color w:val="auto"/>
          <w:highlight w:val="none"/>
          <w:lang/>
        </w:rPr>
        <w:t>年1月以来同类业绩一览表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_Toc40429195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36</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"_Toc40429196"</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附件八  开标</w:t>
      </w:r>
      <w:bookmarkStart w:id="8" w:name="_Hlt40454443"/>
      <w:r>
        <w:rPr>
          <w:rStyle w:val="42"/>
          <w:rFonts w:hint="default" w:ascii="Arial" w:hAnsi="Arial" w:eastAsia="宋体" w:cs="Arial"/>
          <w:color w:val="auto"/>
          <w:highlight w:val="none"/>
          <w:lang/>
        </w:rPr>
        <w:t>一</w:t>
      </w:r>
      <w:bookmarkEnd w:id="8"/>
      <w:r>
        <w:rPr>
          <w:rStyle w:val="42"/>
          <w:rFonts w:hint="default" w:ascii="Arial" w:hAnsi="Arial" w:eastAsia="宋体" w:cs="Arial"/>
          <w:color w:val="auto"/>
          <w:highlight w:val="none"/>
          <w:lang/>
        </w:rPr>
        <w:t>览表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_Toc40429196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37</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"_Toc40429197"</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附件九   报价明细表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_Toc40429197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"_Toc40429198"</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附件十    中小企业声明函（如有）</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_Toc40429198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39</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"_Toc40429199"</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附件十一  残疾</w:t>
      </w:r>
      <w:bookmarkStart w:id="9" w:name="_Hlt40448737"/>
      <w:bookmarkStart w:id="10" w:name="_Hlt40448736"/>
      <w:r>
        <w:rPr>
          <w:rStyle w:val="42"/>
          <w:rFonts w:hint="default" w:ascii="Arial" w:hAnsi="Arial" w:eastAsia="宋体" w:cs="Arial"/>
          <w:color w:val="auto"/>
          <w:highlight w:val="none"/>
          <w:lang/>
        </w:rPr>
        <w:t>人</w:t>
      </w:r>
      <w:bookmarkEnd w:id="9"/>
      <w:bookmarkEnd w:id="10"/>
      <w:r>
        <w:rPr>
          <w:rStyle w:val="42"/>
          <w:rFonts w:hint="default" w:ascii="Arial" w:hAnsi="Arial" w:eastAsia="宋体" w:cs="Arial"/>
          <w:color w:val="auto"/>
          <w:highlight w:val="none"/>
          <w:lang/>
        </w:rPr>
        <w:t>福利性单位声明函（如有）</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_Toc40429199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"_Toc40429200"</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第六部分  评标办法</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_Toc40429200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41</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"_Toc40429201"</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附表</w:t>
      </w:r>
      <w:r>
        <w:rPr>
          <w:rFonts w:hint="default" w:ascii="Arial" w:hAnsi="Arial" w:eastAsia="宋体" w:cs="Arial"/>
          <w:color w:val="auto"/>
          <w:highlight w:val="none"/>
          <w:lang/>
        </w:rPr>
        <w:tab/>
      </w:r>
      <w:r>
        <w:rPr>
          <w:rFonts w:hint="default" w:ascii="Arial" w:hAnsi="Arial" w:eastAsia="宋体" w:cs="Arial"/>
          <w:color w:val="auto"/>
          <w:highlight w:val="none"/>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_Toc40429201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46</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spacing w:before="0" w:after="0" w:line="360" w:lineRule="exact"/>
        <w:rPr>
          <w:rFonts w:hint="default" w:ascii="Arial" w:hAnsi="Arial" w:eastAsia="宋体" w:cs="Arial"/>
          <w:smallCaps w:val="0"/>
          <w:color w:val="auto"/>
          <w:szCs w:val="24"/>
          <w:highlight w:val="none"/>
        </w:rPr>
        <w:sectPr>
          <w:headerReference r:id="rId5" w:type="first"/>
          <w:footerReference r:id="rId6" w:type="first"/>
          <w:headerReference r:id="rId3" w:type="default"/>
          <w:headerReference r:id="rId4" w:type="even"/>
          <w:pgSz w:w="11906" w:h="16838"/>
          <w:pgMar w:top="1134" w:right="1418" w:bottom="1020" w:left="1418" w:header="680" w:footer="680" w:gutter="0"/>
          <w:pgNumType w:start="1"/>
          <w:cols w:space="720" w:num="1"/>
          <w:docGrid w:type="lines" w:linePitch="312" w:charSpace="0"/>
        </w:sectPr>
      </w:pPr>
      <w:r>
        <w:rPr>
          <w:rFonts w:hint="default" w:ascii="Arial" w:hAnsi="Arial" w:eastAsia="宋体" w:cs="Arial"/>
          <w:color w:val="auto"/>
          <w:highlight w:val="none"/>
        </w:rPr>
        <w:fldChar w:fldCharType="end"/>
      </w:r>
    </w:p>
    <w:p>
      <w:pPr>
        <w:pStyle w:val="2"/>
        <w:keepNext w:val="0"/>
        <w:keepLines w:val="0"/>
        <w:pageBreakBefore/>
        <w:tabs>
          <w:tab w:val="left" w:pos="840"/>
        </w:tabs>
        <w:spacing w:before="156" w:beforeLines="50" w:after="0" w:line="420" w:lineRule="exact"/>
        <w:jc w:val="center"/>
        <w:rPr>
          <w:rFonts w:hint="default" w:ascii="Arial" w:hAnsi="Arial" w:eastAsia="宋体" w:cs="Arial"/>
          <w:color w:val="auto"/>
          <w:sz w:val="28"/>
          <w:szCs w:val="36"/>
          <w:highlight w:val="none"/>
        </w:rPr>
      </w:pPr>
      <w:bookmarkStart w:id="11" w:name="_Toc40429177"/>
      <w:r>
        <w:rPr>
          <w:rFonts w:hint="default" w:ascii="Arial" w:hAnsi="Arial" w:eastAsia="宋体" w:cs="Arial"/>
          <w:color w:val="auto"/>
          <w:sz w:val="28"/>
          <w:szCs w:val="36"/>
          <w:highlight w:val="none"/>
        </w:rPr>
        <w:t>第一部分  招标公告</w:t>
      </w:r>
      <w:bookmarkEnd w:id="1"/>
      <w:bookmarkEnd w:id="2"/>
      <w:bookmarkEnd w:id="11"/>
    </w:p>
    <w:p>
      <w:pPr>
        <w:spacing w:line="4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根据《中华人民共和国政府采购法》、《政府采购货物和服务招标投标管理办法》、《中华人民共和国政府采购法实施条例》、《浙江省政府采购项目电子交易管理暂行办法》等有关规定，经批准，浙江省建设工程设备招标有限公司受</w:t>
      </w:r>
      <w:r>
        <w:rPr>
          <w:rFonts w:hint="default" w:ascii="Arial" w:hAnsi="Arial" w:eastAsia="宋体" w:cs="Arial"/>
          <w:color w:val="auto"/>
          <w:szCs w:val="21"/>
          <w:highlight w:val="none"/>
          <w:lang w:eastAsia="zh-CN"/>
        </w:rPr>
        <w:t>瑞安市公安局</w:t>
      </w:r>
      <w:r>
        <w:rPr>
          <w:rFonts w:hint="default" w:ascii="Arial" w:hAnsi="Arial" w:eastAsia="宋体" w:cs="Arial"/>
          <w:color w:val="auto"/>
          <w:szCs w:val="21"/>
          <w:highlight w:val="none"/>
        </w:rPr>
        <w:t>委托，就</w:t>
      </w:r>
      <w:r>
        <w:rPr>
          <w:rFonts w:hint="default" w:ascii="Arial" w:hAnsi="Arial" w:eastAsia="宋体" w:cs="Arial"/>
          <w:color w:val="auto"/>
          <w:szCs w:val="21"/>
          <w:highlight w:val="none"/>
          <w:lang w:eastAsia="zh-CN"/>
        </w:rPr>
        <w:t>瑞安市公安局**辅助人员劳务服务</w:t>
      </w:r>
      <w:r>
        <w:rPr>
          <w:rFonts w:hint="default" w:ascii="Arial" w:hAnsi="Arial" w:eastAsia="宋体" w:cs="Arial"/>
          <w:color w:val="auto"/>
          <w:szCs w:val="21"/>
          <w:highlight w:val="none"/>
        </w:rPr>
        <w:t>进行公开招标，欢迎国内合格的供应商前来投标。</w:t>
      </w:r>
    </w:p>
    <w:p>
      <w:pPr>
        <w:numPr>
          <w:ilvl w:val="0"/>
          <w:numId w:val="2"/>
        </w:numPr>
        <w:spacing w:line="400" w:lineRule="exact"/>
        <w:rPr>
          <w:rFonts w:hint="default" w:ascii="Arial" w:hAnsi="Arial" w:eastAsia="宋体" w:cs="Arial"/>
          <w:color w:val="auto"/>
          <w:sz w:val="18"/>
          <w:szCs w:val="18"/>
          <w:highlight w:val="none"/>
        </w:rPr>
      </w:pPr>
      <w:r>
        <w:rPr>
          <w:rFonts w:hint="default" w:ascii="Arial" w:hAnsi="Arial" w:eastAsia="宋体" w:cs="Arial"/>
          <w:b/>
          <w:color w:val="auto"/>
          <w:szCs w:val="21"/>
          <w:highlight w:val="none"/>
        </w:rPr>
        <w:t>招标项目编号:</w:t>
      </w:r>
      <w:r>
        <w:rPr>
          <w:rFonts w:hint="default" w:ascii="Arial" w:hAnsi="Arial" w:eastAsia="宋体" w:cs="Arial"/>
          <w:color w:val="auto"/>
          <w:highlight w:val="none"/>
        </w:rPr>
        <w:t xml:space="preserve"> </w:t>
      </w:r>
      <w:r>
        <w:rPr>
          <w:rFonts w:hint="eastAsia" w:ascii="Arial" w:hAnsi="Arial" w:eastAsia="宋体" w:cs="Arial"/>
          <w:color w:val="auto"/>
          <w:sz w:val="18"/>
          <w:szCs w:val="18"/>
          <w:highlight w:val="none"/>
          <w:lang w:eastAsia="zh-CN"/>
        </w:rPr>
        <w:t>ZCTCW-2021-04004</w:t>
      </w:r>
      <w:r>
        <w:rPr>
          <w:rFonts w:hint="default" w:ascii="Arial" w:hAnsi="Arial" w:eastAsia="宋体" w:cs="Arial"/>
          <w:color w:val="auto"/>
          <w:sz w:val="18"/>
          <w:szCs w:val="18"/>
          <w:highlight w:val="none"/>
        </w:rPr>
        <w:t xml:space="preserve">  </w:t>
      </w:r>
    </w:p>
    <w:p>
      <w:pPr>
        <w:numPr>
          <w:ilvl w:val="0"/>
          <w:numId w:val="2"/>
        </w:numPr>
        <w:spacing w:line="400" w:lineRule="exact"/>
        <w:rPr>
          <w:rFonts w:hint="default" w:ascii="Arial" w:hAnsi="Arial" w:eastAsia="宋体" w:cs="Arial"/>
          <w:b/>
          <w:color w:val="auto"/>
          <w:szCs w:val="21"/>
          <w:highlight w:val="none"/>
        </w:rPr>
      </w:pPr>
      <w:r>
        <w:rPr>
          <w:rFonts w:hint="default" w:ascii="Arial" w:hAnsi="Arial" w:eastAsia="宋体" w:cs="Arial"/>
          <w:b/>
          <w:color w:val="auto"/>
          <w:szCs w:val="21"/>
          <w:highlight w:val="none"/>
        </w:rPr>
        <w:t>采购组织类型：（分散采购）</w:t>
      </w:r>
    </w:p>
    <w:p>
      <w:pPr>
        <w:numPr>
          <w:ilvl w:val="0"/>
          <w:numId w:val="2"/>
        </w:numPr>
        <w:spacing w:line="400" w:lineRule="exact"/>
        <w:rPr>
          <w:rFonts w:hint="default" w:ascii="Arial" w:hAnsi="Arial" w:eastAsia="宋体" w:cs="Arial"/>
          <w:b/>
          <w:color w:val="auto"/>
          <w:szCs w:val="21"/>
          <w:highlight w:val="none"/>
        </w:rPr>
      </w:pPr>
      <w:r>
        <w:rPr>
          <w:rFonts w:hint="default" w:ascii="Arial" w:hAnsi="Arial" w:eastAsia="宋体" w:cs="Arial"/>
          <w:b/>
          <w:color w:val="auto"/>
          <w:szCs w:val="21"/>
          <w:highlight w:val="none"/>
        </w:rPr>
        <w:t>招标项目概况（内容、用途、数量、简要技术要求等）:</w:t>
      </w:r>
    </w:p>
    <w:tbl>
      <w:tblPr>
        <w:tblStyle w:val="34"/>
        <w:tblW w:w="0" w:type="auto"/>
        <w:tblInd w:w="6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17"/>
        <w:gridCol w:w="408"/>
        <w:gridCol w:w="510"/>
        <w:gridCol w:w="1095"/>
        <w:gridCol w:w="2381"/>
        <w:gridCol w:w="1134"/>
        <w:gridCol w:w="1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9" w:hRule="atLeast"/>
        </w:trPr>
        <w:tc>
          <w:tcPr>
            <w:tcW w:w="675" w:type="dxa"/>
            <w:noWrap w:val="0"/>
            <w:vAlign w:val="center"/>
          </w:tcPr>
          <w:p>
            <w:pPr>
              <w:spacing w:line="400" w:lineRule="exact"/>
              <w:jc w:val="center"/>
              <w:rPr>
                <w:rFonts w:hint="default" w:ascii="Arial" w:hAnsi="Arial" w:eastAsia="宋体" w:cs="Arial"/>
                <w:color w:val="auto"/>
                <w:szCs w:val="21"/>
                <w:highlight w:val="none"/>
              </w:rPr>
            </w:pPr>
            <w:bookmarkStart w:id="12" w:name="OLE_LINK133"/>
            <w:r>
              <w:rPr>
                <w:rFonts w:hint="default" w:ascii="Arial" w:hAnsi="Arial" w:eastAsia="宋体" w:cs="Arial"/>
                <w:color w:val="auto"/>
                <w:szCs w:val="21"/>
                <w:highlight w:val="none"/>
              </w:rPr>
              <w:t>标项序号</w:t>
            </w:r>
          </w:p>
        </w:tc>
        <w:tc>
          <w:tcPr>
            <w:tcW w:w="1917"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标项名称</w:t>
            </w:r>
          </w:p>
        </w:tc>
        <w:tc>
          <w:tcPr>
            <w:tcW w:w="408"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数量</w:t>
            </w:r>
          </w:p>
        </w:tc>
        <w:tc>
          <w:tcPr>
            <w:tcW w:w="510"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单位</w:t>
            </w:r>
          </w:p>
        </w:tc>
        <w:tc>
          <w:tcPr>
            <w:tcW w:w="1095"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预算金额(万元)</w:t>
            </w:r>
          </w:p>
        </w:tc>
        <w:tc>
          <w:tcPr>
            <w:tcW w:w="2381"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简要规格描述或标项基本概况介绍</w:t>
            </w:r>
          </w:p>
        </w:tc>
        <w:tc>
          <w:tcPr>
            <w:tcW w:w="1134"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最高限价</w:t>
            </w:r>
          </w:p>
        </w:tc>
        <w:tc>
          <w:tcPr>
            <w:tcW w:w="1210"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trPr>
        <w:tc>
          <w:tcPr>
            <w:tcW w:w="675"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1917" w:type="dxa"/>
            <w:noWrap w:val="0"/>
            <w:vAlign w:val="center"/>
          </w:tcPr>
          <w:p>
            <w:pPr>
              <w:spacing w:line="400" w:lineRule="exact"/>
              <w:jc w:val="center"/>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lang w:eastAsia="zh-CN"/>
              </w:rPr>
              <w:t>瑞安市公安局**辅助人员劳务服务</w:t>
            </w:r>
          </w:p>
        </w:tc>
        <w:tc>
          <w:tcPr>
            <w:tcW w:w="408"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510"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w:t>
            </w:r>
          </w:p>
        </w:tc>
        <w:tc>
          <w:tcPr>
            <w:tcW w:w="1095" w:type="dxa"/>
            <w:noWrap w:val="0"/>
            <w:vAlign w:val="center"/>
          </w:tcPr>
          <w:p>
            <w:pPr>
              <w:spacing w:line="400" w:lineRule="exact"/>
              <w:jc w:val="center"/>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lang w:val="en-US" w:eastAsia="zh-CN"/>
              </w:rPr>
              <w:t xml:space="preserve"> 17700</w:t>
            </w:r>
            <w:r>
              <w:rPr>
                <w:rFonts w:hint="eastAsia" w:ascii="Arial" w:hAnsi="Arial" w:eastAsia="宋体" w:cs="Arial"/>
                <w:color w:val="auto"/>
                <w:szCs w:val="21"/>
                <w:highlight w:val="none"/>
                <w:lang w:val="en-US" w:eastAsia="zh-CN"/>
              </w:rPr>
              <w:t>（两年）</w:t>
            </w:r>
            <w:r>
              <w:rPr>
                <w:rFonts w:hint="default" w:ascii="Arial" w:hAnsi="Arial" w:eastAsia="宋体" w:cs="Arial"/>
                <w:color w:val="auto"/>
                <w:szCs w:val="21"/>
                <w:highlight w:val="none"/>
                <w:lang w:val="en-US" w:eastAsia="zh-CN"/>
              </w:rPr>
              <w:t xml:space="preserve"> </w:t>
            </w:r>
          </w:p>
        </w:tc>
        <w:tc>
          <w:tcPr>
            <w:tcW w:w="2381"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瑞安市公安局**辅助人员劳务服务</w:t>
            </w:r>
            <w:r>
              <w:rPr>
                <w:rFonts w:hint="default" w:ascii="Arial" w:hAnsi="Arial" w:eastAsia="宋体" w:cs="Arial"/>
                <w:color w:val="auto"/>
                <w:szCs w:val="21"/>
                <w:highlight w:val="none"/>
              </w:rPr>
              <w:t>（详见招标文件第三部分）</w:t>
            </w:r>
          </w:p>
        </w:tc>
        <w:tc>
          <w:tcPr>
            <w:tcW w:w="1134" w:type="dxa"/>
            <w:noWrap w:val="0"/>
            <w:vAlign w:val="center"/>
          </w:tcPr>
          <w:p>
            <w:pPr>
              <w:spacing w:line="420" w:lineRule="exact"/>
              <w:jc w:val="center"/>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lang w:val="en-US" w:eastAsia="zh-CN"/>
              </w:rPr>
              <w:t>综合管理费单价：50元/人/月</w:t>
            </w:r>
          </w:p>
        </w:tc>
        <w:tc>
          <w:tcPr>
            <w:tcW w:w="1210" w:type="dxa"/>
            <w:noWrap w:val="0"/>
            <w:vAlign w:val="center"/>
          </w:tcPr>
          <w:p>
            <w:pPr>
              <w:spacing w:line="360" w:lineRule="auto"/>
              <w:jc w:val="center"/>
              <w:rPr>
                <w:rFonts w:hint="default" w:ascii="Arial" w:hAnsi="Arial" w:eastAsia="宋体" w:cs="Arial"/>
                <w:color w:val="auto"/>
                <w:szCs w:val="21"/>
                <w:highlight w:val="none"/>
              </w:rPr>
            </w:pPr>
          </w:p>
        </w:tc>
      </w:tr>
    </w:tbl>
    <w:p>
      <w:pPr>
        <w:numPr>
          <w:ilvl w:val="0"/>
          <w:numId w:val="2"/>
        </w:numPr>
        <w:spacing w:line="400" w:lineRule="exact"/>
        <w:rPr>
          <w:rFonts w:hint="default" w:ascii="Arial" w:hAnsi="Arial" w:eastAsia="宋体" w:cs="Arial"/>
          <w:color w:val="auto"/>
          <w:szCs w:val="21"/>
          <w:highlight w:val="none"/>
        </w:rPr>
      </w:pPr>
      <w:r>
        <w:rPr>
          <w:rFonts w:hint="default" w:ascii="Arial" w:hAnsi="Arial" w:eastAsia="宋体" w:cs="Arial"/>
          <w:b/>
          <w:bCs/>
          <w:color w:val="auto"/>
          <w:szCs w:val="21"/>
          <w:highlight w:val="none"/>
        </w:rPr>
        <w:t>投标供应商资格要求:</w:t>
      </w:r>
    </w:p>
    <w:bookmarkEnd w:id="12"/>
    <w:p>
      <w:pPr>
        <w:numPr>
          <w:ilvl w:val="0"/>
          <w:numId w:val="3"/>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基本资格条件：</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①符合《中华人民共和国政府采购法》第二十二条规定；</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②未被“信用中国”（www.creditchina.gov.cn）、中国政府采购网（www.ccgp.gov.cn）、浙江政府采购网（www.zjzfcg.gov.cn/）列入失信被执行人、重大税收违法案件当事人名单、政府采购严重违法失信行为记录名单。</w:t>
      </w:r>
    </w:p>
    <w:p>
      <w:pPr>
        <w:numPr>
          <w:ilvl w:val="0"/>
          <w:numId w:val="3"/>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特定资格条件：具有有效的《劳务派遣经营许可证》</w:t>
      </w:r>
    </w:p>
    <w:p>
      <w:pPr>
        <w:numPr>
          <w:ilvl w:val="0"/>
          <w:numId w:val="3"/>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本项目不接受联合体投标。</w:t>
      </w:r>
    </w:p>
    <w:p>
      <w:pPr>
        <w:numPr>
          <w:ilvl w:val="0"/>
          <w:numId w:val="2"/>
        </w:numPr>
        <w:spacing w:line="400" w:lineRule="exact"/>
        <w:rPr>
          <w:rFonts w:hint="default" w:ascii="Arial" w:hAnsi="Arial" w:eastAsia="宋体" w:cs="Arial"/>
          <w:color w:val="auto"/>
          <w:szCs w:val="21"/>
          <w:highlight w:val="none"/>
        </w:rPr>
      </w:pPr>
      <w:r>
        <w:rPr>
          <w:rFonts w:hint="default" w:ascii="Arial" w:hAnsi="Arial" w:eastAsia="宋体" w:cs="Arial"/>
          <w:b/>
          <w:color w:val="auto"/>
          <w:kern w:val="0"/>
          <w:sz w:val="22"/>
          <w:highlight w:val="none"/>
        </w:rPr>
        <w:t>招标文件的获取时间、地址：</w:t>
      </w:r>
      <w:r>
        <w:rPr>
          <w:rFonts w:hint="default" w:ascii="Arial" w:hAnsi="Arial" w:eastAsia="宋体" w:cs="Arial"/>
          <w:b/>
          <w:bCs/>
          <w:color w:val="auto"/>
          <w:szCs w:val="21"/>
          <w:highlight w:val="none"/>
        </w:rPr>
        <w:t xml:space="preserve"> </w:t>
      </w:r>
    </w:p>
    <w:p>
      <w:pPr>
        <w:widowControl/>
        <w:numPr>
          <w:ilvl w:val="0"/>
          <w:numId w:val="4"/>
        </w:numPr>
        <w:spacing w:line="400" w:lineRule="exact"/>
        <w:ind w:right="62" w:firstLine="426"/>
        <w:jc w:val="left"/>
        <w:rPr>
          <w:rFonts w:hint="default" w:ascii="Arial" w:hAnsi="Arial" w:eastAsia="宋体" w:cs="Arial"/>
          <w:b/>
          <w:bCs/>
          <w:color w:val="auto"/>
          <w:kern w:val="0"/>
          <w:szCs w:val="21"/>
          <w:highlight w:val="none"/>
        </w:rPr>
      </w:pPr>
      <w:r>
        <w:rPr>
          <w:rFonts w:hint="default" w:ascii="Arial" w:hAnsi="Arial" w:eastAsia="宋体" w:cs="Arial"/>
          <w:b/>
          <w:color w:val="auto"/>
          <w:szCs w:val="21"/>
          <w:highlight w:val="none"/>
        </w:rPr>
        <w:t>获取时间：</w:t>
      </w:r>
      <w:r>
        <w:rPr>
          <w:rFonts w:hint="default" w:ascii="Arial" w:hAnsi="Arial" w:eastAsia="宋体" w:cs="Arial"/>
          <w:b/>
          <w:bCs/>
          <w:color w:val="auto"/>
          <w:szCs w:val="24"/>
          <w:highlight w:val="none"/>
          <w:lang w:eastAsia="zh-CN"/>
        </w:rPr>
        <w:t>2021</w:t>
      </w:r>
      <w:r>
        <w:rPr>
          <w:rFonts w:hint="default" w:ascii="Arial" w:hAnsi="Arial" w:eastAsia="宋体" w:cs="Arial"/>
          <w:b/>
          <w:bCs/>
          <w:color w:val="auto"/>
          <w:szCs w:val="24"/>
          <w:highlight w:val="none"/>
        </w:rPr>
        <w:t>年</w:t>
      </w:r>
      <w:r>
        <w:rPr>
          <w:rFonts w:hint="eastAsia" w:ascii="Arial" w:hAnsi="Arial" w:eastAsia="宋体" w:cs="Arial"/>
          <w:b/>
          <w:bCs/>
          <w:color w:val="auto"/>
          <w:szCs w:val="24"/>
          <w:highlight w:val="none"/>
          <w:lang w:val="en-US" w:eastAsia="zh-CN"/>
        </w:rPr>
        <w:t>4</w:t>
      </w:r>
      <w:r>
        <w:rPr>
          <w:rFonts w:hint="default" w:ascii="Arial" w:hAnsi="Arial" w:eastAsia="宋体" w:cs="Arial"/>
          <w:b/>
          <w:bCs/>
          <w:color w:val="auto"/>
          <w:szCs w:val="24"/>
          <w:highlight w:val="none"/>
        </w:rPr>
        <w:t>月</w:t>
      </w:r>
      <w:r>
        <w:rPr>
          <w:rFonts w:hint="eastAsia" w:ascii="Arial" w:hAnsi="Arial" w:eastAsia="宋体" w:cs="Arial"/>
          <w:b/>
          <w:bCs/>
          <w:color w:val="auto"/>
          <w:szCs w:val="24"/>
          <w:highlight w:val="none"/>
          <w:lang w:val="en-US" w:eastAsia="zh-CN"/>
        </w:rPr>
        <w:t>8</w:t>
      </w:r>
      <w:r>
        <w:rPr>
          <w:rFonts w:hint="default" w:ascii="Arial" w:hAnsi="Arial" w:eastAsia="宋体" w:cs="Arial"/>
          <w:b/>
          <w:bCs/>
          <w:color w:val="auto"/>
          <w:szCs w:val="24"/>
          <w:highlight w:val="none"/>
        </w:rPr>
        <w:t>日</w:t>
      </w:r>
      <w:r>
        <w:rPr>
          <w:rFonts w:hint="default" w:ascii="Arial" w:hAnsi="Arial" w:eastAsia="宋体" w:cs="Arial"/>
          <w:b/>
          <w:color w:val="auto"/>
          <w:szCs w:val="21"/>
          <w:highlight w:val="none"/>
        </w:rPr>
        <w:t>至投标截止时间前。</w:t>
      </w:r>
    </w:p>
    <w:p>
      <w:pPr>
        <w:widowControl/>
        <w:numPr>
          <w:ilvl w:val="0"/>
          <w:numId w:val="4"/>
        </w:numPr>
        <w:spacing w:line="400" w:lineRule="exact"/>
        <w:ind w:right="62" w:firstLine="426"/>
        <w:jc w:val="left"/>
        <w:rPr>
          <w:rFonts w:hint="default" w:ascii="Arial" w:hAnsi="Arial" w:eastAsia="宋体" w:cs="Arial"/>
          <w:b/>
          <w:color w:val="auto"/>
          <w:szCs w:val="21"/>
          <w:highlight w:val="none"/>
        </w:rPr>
      </w:pPr>
      <w:r>
        <w:rPr>
          <w:rFonts w:hint="default" w:ascii="Arial" w:hAnsi="Arial" w:eastAsia="宋体" w:cs="Arial"/>
          <w:b/>
          <w:bCs/>
          <w:color w:val="auto"/>
          <w:kern w:val="0"/>
          <w:szCs w:val="21"/>
          <w:highlight w:val="none"/>
        </w:rPr>
        <w:t>获取地址：投标</w:t>
      </w:r>
      <w:r>
        <w:rPr>
          <w:rFonts w:hint="default" w:ascii="Arial" w:hAnsi="Arial" w:eastAsia="宋体" w:cs="Arial"/>
          <w:b/>
          <w:color w:val="auto"/>
          <w:szCs w:val="21"/>
          <w:highlight w:val="none"/>
        </w:rPr>
        <w:t>供应商登录浙江政府采购网（http://www.zjzfcg.gov.cn）申请获取采购文件。操作路径：浙江政府采购网：供应商注册-项目采购-获取采购文件-申请获取采购文件。</w:t>
      </w:r>
    </w:p>
    <w:p>
      <w:pPr>
        <w:widowControl/>
        <w:numPr>
          <w:ilvl w:val="0"/>
          <w:numId w:val="4"/>
        </w:numPr>
        <w:spacing w:line="400" w:lineRule="exact"/>
        <w:ind w:right="62" w:firstLine="426"/>
        <w:jc w:val="left"/>
        <w:rPr>
          <w:rFonts w:hint="default" w:ascii="Arial" w:hAnsi="Arial" w:eastAsia="宋体" w:cs="Arial"/>
          <w:b/>
          <w:bCs/>
          <w:color w:val="auto"/>
          <w:kern w:val="0"/>
          <w:szCs w:val="21"/>
          <w:highlight w:val="none"/>
        </w:rPr>
      </w:pPr>
      <w:r>
        <w:rPr>
          <w:rFonts w:hint="default" w:ascii="Arial" w:hAnsi="Arial" w:eastAsia="宋体" w:cs="Arial"/>
          <w:b/>
          <w:bCs/>
          <w:color w:val="auto"/>
          <w:kern w:val="0"/>
          <w:szCs w:val="21"/>
          <w:highlight w:val="none"/>
        </w:rPr>
        <w:t>本项目招标文件实行“政府采购云平台”在线获取，不提供纸质招标文件,不收取招标文件工本费。</w:t>
      </w:r>
    </w:p>
    <w:p>
      <w:pPr>
        <w:numPr>
          <w:ilvl w:val="0"/>
          <w:numId w:val="2"/>
        </w:numPr>
        <w:spacing w:line="400" w:lineRule="exact"/>
        <w:rPr>
          <w:rFonts w:hint="default" w:ascii="Arial" w:hAnsi="Arial" w:eastAsia="宋体" w:cs="Arial"/>
          <w:color w:val="auto"/>
          <w:szCs w:val="21"/>
          <w:highlight w:val="none"/>
        </w:rPr>
      </w:pPr>
      <w:r>
        <w:rPr>
          <w:rFonts w:hint="default" w:ascii="Arial" w:hAnsi="Arial" w:eastAsia="宋体" w:cs="Arial"/>
          <w:b/>
          <w:bCs/>
          <w:color w:val="auto"/>
          <w:szCs w:val="21"/>
          <w:highlight w:val="none"/>
        </w:rPr>
        <w:t>投标文件递交截止时间：</w:t>
      </w:r>
      <w:r>
        <w:rPr>
          <w:rFonts w:hint="default" w:ascii="Arial" w:hAnsi="Arial" w:eastAsia="宋体" w:cs="Arial"/>
          <w:b/>
          <w:color w:val="auto"/>
          <w:highlight w:val="none"/>
          <w:lang w:eastAsia="zh-CN"/>
        </w:rPr>
        <w:t>2021</w:t>
      </w:r>
      <w:r>
        <w:rPr>
          <w:rFonts w:hint="default" w:ascii="Arial" w:hAnsi="Arial" w:eastAsia="宋体" w:cs="Arial"/>
          <w:b/>
          <w:color w:val="auto"/>
          <w:highlight w:val="none"/>
        </w:rPr>
        <w:t>年</w:t>
      </w:r>
      <w:r>
        <w:rPr>
          <w:rFonts w:hint="eastAsia" w:ascii="Arial" w:hAnsi="Arial" w:eastAsia="宋体" w:cs="Arial"/>
          <w:b/>
          <w:color w:val="auto"/>
          <w:highlight w:val="none"/>
          <w:lang w:val="en-US" w:eastAsia="zh-CN"/>
        </w:rPr>
        <w:t>4</w:t>
      </w:r>
      <w:r>
        <w:rPr>
          <w:rFonts w:hint="default" w:ascii="Arial" w:hAnsi="Arial" w:eastAsia="宋体" w:cs="Arial"/>
          <w:b/>
          <w:color w:val="auto"/>
          <w:highlight w:val="none"/>
        </w:rPr>
        <w:t>月</w:t>
      </w:r>
      <w:r>
        <w:rPr>
          <w:rFonts w:hint="eastAsia" w:ascii="Arial" w:hAnsi="Arial" w:eastAsia="宋体" w:cs="Arial"/>
          <w:b/>
          <w:color w:val="auto"/>
          <w:highlight w:val="none"/>
          <w:lang w:val="en-US" w:eastAsia="zh-CN"/>
        </w:rPr>
        <w:t>2</w:t>
      </w:r>
      <w:r>
        <w:rPr>
          <w:rFonts w:hint="eastAsia" w:ascii="Arial" w:hAnsi="Arial" w:eastAsia="宋体" w:cs="Arial"/>
          <w:b/>
          <w:color w:val="auto"/>
          <w:highlight w:val="none"/>
          <w:lang w:val="en-US" w:eastAsia="zh-CN"/>
        </w:rPr>
        <w:t>9</w:t>
      </w:r>
      <w:r>
        <w:rPr>
          <w:rFonts w:hint="default" w:ascii="Arial" w:hAnsi="Arial" w:eastAsia="宋体" w:cs="Arial"/>
          <w:b/>
          <w:color w:val="auto"/>
          <w:highlight w:val="none"/>
        </w:rPr>
        <w:t xml:space="preserve">日上午09：00 </w:t>
      </w:r>
      <w:r>
        <w:rPr>
          <w:rFonts w:hint="default" w:ascii="Arial" w:hAnsi="Arial" w:eastAsia="宋体" w:cs="Arial"/>
          <w:b/>
          <w:color w:val="auto"/>
          <w:szCs w:val="21"/>
          <w:highlight w:val="none"/>
        </w:rPr>
        <w:t>时止。</w:t>
      </w:r>
    </w:p>
    <w:p>
      <w:pPr>
        <w:numPr>
          <w:ilvl w:val="0"/>
          <w:numId w:val="2"/>
        </w:numPr>
        <w:spacing w:line="400" w:lineRule="exact"/>
        <w:ind w:left="10" w:hanging="10"/>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投标文件递交地址：本项目实行电子投标，投标供应商应在投标文件递交截止时间前将“电子加密投标文件”上传到“政府采购云平台”系统中。</w:t>
      </w:r>
    </w:p>
    <w:p>
      <w:pPr>
        <w:numPr>
          <w:ilvl w:val="0"/>
          <w:numId w:val="2"/>
        </w:numPr>
        <w:spacing w:line="400" w:lineRule="exact"/>
        <w:ind w:left="10" w:hanging="10"/>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开标时间：</w:t>
      </w:r>
      <w:r>
        <w:rPr>
          <w:rFonts w:hint="default" w:ascii="Arial" w:hAnsi="Arial" w:eastAsia="宋体" w:cs="Arial"/>
          <w:b/>
          <w:color w:val="auto"/>
          <w:highlight w:val="none"/>
          <w:lang w:eastAsia="zh-CN"/>
        </w:rPr>
        <w:t>2021</w:t>
      </w:r>
      <w:r>
        <w:rPr>
          <w:rFonts w:hint="default" w:ascii="Arial" w:hAnsi="Arial" w:eastAsia="宋体" w:cs="Arial"/>
          <w:b/>
          <w:color w:val="auto"/>
          <w:highlight w:val="none"/>
        </w:rPr>
        <w:t>年</w:t>
      </w:r>
      <w:r>
        <w:rPr>
          <w:rFonts w:hint="eastAsia" w:ascii="Arial" w:hAnsi="Arial" w:eastAsia="宋体" w:cs="Arial"/>
          <w:b/>
          <w:color w:val="auto"/>
          <w:highlight w:val="none"/>
          <w:lang w:val="en-US" w:eastAsia="zh-CN"/>
        </w:rPr>
        <w:t>4</w:t>
      </w:r>
      <w:r>
        <w:rPr>
          <w:rFonts w:hint="default" w:ascii="Arial" w:hAnsi="Arial" w:eastAsia="宋体" w:cs="Arial"/>
          <w:b/>
          <w:color w:val="auto"/>
          <w:highlight w:val="none"/>
        </w:rPr>
        <w:t>月</w:t>
      </w:r>
      <w:r>
        <w:rPr>
          <w:rFonts w:hint="eastAsia" w:ascii="Arial" w:hAnsi="Arial" w:eastAsia="宋体" w:cs="Arial"/>
          <w:b/>
          <w:color w:val="auto"/>
          <w:highlight w:val="none"/>
          <w:lang w:val="en-US" w:eastAsia="zh-CN"/>
        </w:rPr>
        <w:t>2</w:t>
      </w:r>
      <w:r>
        <w:rPr>
          <w:rFonts w:hint="eastAsia" w:ascii="Arial" w:hAnsi="Arial" w:eastAsia="宋体" w:cs="Arial"/>
          <w:b/>
          <w:color w:val="auto"/>
          <w:highlight w:val="none"/>
          <w:lang w:val="en-US" w:eastAsia="zh-CN"/>
        </w:rPr>
        <w:t>9</w:t>
      </w:r>
      <w:r>
        <w:rPr>
          <w:rFonts w:hint="default" w:ascii="Arial" w:hAnsi="Arial" w:eastAsia="宋体" w:cs="Arial"/>
          <w:b/>
          <w:color w:val="auto"/>
          <w:highlight w:val="none"/>
        </w:rPr>
        <w:t>日上午09：00</w:t>
      </w:r>
      <w:r>
        <w:rPr>
          <w:rFonts w:hint="default" w:ascii="Arial" w:hAnsi="Arial" w:eastAsia="宋体" w:cs="Arial"/>
          <w:b/>
          <w:bCs/>
          <w:color w:val="auto"/>
          <w:szCs w:val="21"/>
          <w:highlight w:val="none"/>
        </w:rPr>
        <w:t>正。</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开标地点：瑞安市滨江大道外滩满庭芳大楼三楼开标室（见当日大厅公示栏）。</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color w:val="auto"/>
          <w:szCs w:val="21"/>
          <w:highlight w:val="none"/>
        </w:rPr>
        <w:t>投标保证金：</w:t>
      </w:r>
      <w:r>
        <w:rPr>
          <w:rFonts w:hint="default" w:ascii="Arial" w:hAnsi="Arial" w:eastAsia="宋体" w:cs="Arial"/>
          <w:color w:val="auto"/>
          <w:szCs w:val="21"/>
          <w:highlight w:val="none"/>
        </w:rPr>
        <w:t>无需缴纳投标保证金。</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在线投标响应（电子投标）说明</w:t>
      </w:r>
    </w:p>
    <w:p>
      <w:pPr>
        <w:widowControl/>
        <w:numPr>
          <w:ilvl w:val="0"/>
          <w:numId w:val="5"/>
        </w:numPr>
        <w:spacing w:line="4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本项目通过“政府采购云平台（www.zcygov.cn）”实行在线投标响应（电子投标），供应商通过政采云平台下载安装“政采云电子交易客户端”制作响应文件，同时按照本招标文件和“政府采购云平台”的要求，编制并加密投标文件。供应商未按规定加密的投标文件，“政府采购云平台”将予以拒收。请供应商自行前往浙江省政府采购网下载并安装“政采云电子交易客户端”。</w:t>
      </w:r>
    </w:p>
    <w:p>
      <w:pPr>
        <w:widowControl/>
        <w:spacing w:line="400" w:lineRule="exact"/>
        <w:ind w:left="420" w:leftChars="200"/>
        <w:rPr>
          <w:rFonts w:hint="default" w:ascii="Arial" w:hAnsi="Arial" w:eastAsia="宋体" w:cs="Arial"/>
          <w:color w:val="auto"/>
          <w:szCs w:val="21"/>
          <w:highlight w:val="none"/>
        </w:rPr>
      </w:pPr>
      <w:r>
        <w:rPr>
          <w:rFonts w:hint="default" w:ascii="Arial" w:hAnsi="Arial" w:eastAsia="宋体" w:cs="Arial"/>
          <w:color w:val="auto"/>
          <w:szCs w:val="21"/>
          <w:highlight w:val="none"/>
        </w:rPr>
        <w:t>下载网址：</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HYPERLINK "http://zfcg.czt.zj.gov.cn/download/index.html?_=1571637782379），并按照本采购文件和\“政府采购云平台\”的要求，编制并加密响应文件。供应商未按规定加密的响应文件，\“政府采购云平台\”将予以拒收。" </w:instrText>
      </w:r>
      <w:r>
        <w:rPr>
          <w:rFonts w:hint="default" w:ascii="Arial" w:hAnsi="Arial" w:eastAsia="宋体" w:cs="Arial"/>
          <w:color w:val="auto"/>
          <w:szCs w:val="21"/>
          <w:highlight w:val="none"/>
        </w:rPr>
        <w:fldChar w:fldCharType="separate"/>
      </w:r>
      <w:r>
        <w:rPr>
          <w:rStyle w:val="42"/>
          <w:rFonts w:hint="default" w:ascii="Arial" w:hAnsi="Arial" w:eastAsia="宋体" w:cs="Arial"/>
          <w:color w:val="auto"/>
          <w:szCs w:val="21"/>
          <w:highlight w:val="none"/>
        </w:rPr>
        <w:t>http://zfcg.czt.zj.gov.cn/download/index.html?_=1571637782379）。</w:t>
      </w:r>
      <w:r>
        <w:rPr>
          <w:rFonts w:hint="default" w:ascii="Arial" w:hAnsi="Arial" w:eastAsia="宋体" w:cs="Arial"/>
          <w:color w:val="auto"/>
          <w:szCs w:val="21"/>
          <w:highlight w:val="none"/>
        </w:rPr>
        <w:fldChar w:fldCharType="end"/>
      </w:r>
    </w:p>
    <w:p>
      <w:pPr>
        <w:widowControl/>
        <w:numPr>
          <w:ilvl w:val="0"/>
          <w:numId w:val="5"/>
        </w:numPr>
        <w:spacing w:line="4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供应商应在开标前完成CA数字证书办理。（办理流程详见：</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HYPERLINK "http://www.zjzfcg.gov.cn/bidClientTemplate/2019-05-27/12945.html）。" </w:instrText>
      </w:r>
      <w:r>
        <w:rPr>
          <w:rFonts w:hint="default" w:ascii="Arial" w:hAnsi="Arial" w:eastAsia="宋体" w:cs="Arial"/>
          <w:color w:val="auto"/>
          <w:szCs w:val="21"/>
          <w:highlight w:val="none"/>
        </w:rPr>
        <w:fldChar w:fldCharType="separate"/>
      </w:r>
      <w:r>
        <w:rPr>
          <w:rStyle w:val="42"/>
          <w:rFonts w:hint="default" w:ascii="Arial" w:hAnsi="Arial" w:eastAsia="宋体" w:cs="Arial"/>
          <w:color w:val="auto"/>
          <w:szCs w:val="21"/>
          <w:highlight w:val="none"/>
        </w:rPr>
        <w:t>http://www.zjzfcg.gov.cn/bidClientTemplate/2019-05-27/12945.html）。</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完成CA数字证书办理预计一周左右，各投标供应商自行考虑办理时间。</w:t>
      </w:r>
    </w:p>
    <w:p>
      <w:pPr>
        <w:widowControl/>
        <w:numPr>
          <w:ilvl w:val="0"/>
          <w:numId w:val="5"/>
        </w:numPr>
        <w:spacing w:line="400" w:lineRule="exact"/>
        <w:ind w:firstLine="420" w:firstLineChars="200"/>
        <w:rPr>
          <w:rFonts w:hint="default" w:ascii="Arial" w:hAnsi="Arial" w:eastAsia="宋体" w:cs="Arial"/>
          <w:color w:val="auto"/>
          <w:highlight w:val="none"/>
        </w:rPr>
      </w:pPr>
      <w:r>
        <w:rPr>
          <w:rFonts w:hint="default" w:ascii="Arial" w:hAnsi="Arial" w:eastAsia="宋体" w:cs="Arial"/>
          <w:color w:val="auto"/>
          <w:szCs w:val="21"/>
          <w:highlight w:val="none"/>
        </w:rPr>
        <w:t>供应商在使用系统进行投标的过程中遇到涉及平台使用的任何问题，可致电政采云平台技术支持热线咨询，联系方式：400-881-7190。电子招投标全流程操作指南（以下简称操作指南）详见网址：</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HYPERLINK "https://help.zcygov.cn/web/site_2/2018/12-28/2573.html" </w:instrText>
      </w:r>
      <w:r>
        <w:rPr>
          <w:rFonts w:hint="default" w:ascii="Arial" w:hAnsi="Arial" w:eastAsia="宋体" w:cs="Arial"/>
          <w:color w:val="auto"/>
          <w:szCs w:val="21"/>
          <w:highlight w:val="none"/>
        </w:rPr>
        <w:fldChar w:fldCharType="separate"/>
      </w:r>
      <w:r>
        <w:rPr>
          <w:rFonts w:hint="default" w:ascii="Arial" w:hAnsi="Arial" w:eastAsia="宋体" w:cs="Arial"/>
          <w:color w:val="auto"/>
          <w:szCs w:val="21"/>
          <w:highlight w:val="none"/>
        </w:rPr>
        <w:t>https://help.zcygov.cn/web/site_2/2018/12-28/2573.html</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其他事项：</w:t>
      </w:r>
    </w:p>
    <w:p>
      <w:pPr>
        <w:numPr>
          <w:ilvl w:val="0"/>
          <w:numId w:val="6"/>
        </w:numPr>
        <w:spacing w:line="400" w:lineRule="exact"/>
        <w:ind w:left="0" w:firstLine="420"/>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公告期限：5个工作日。</w:t>
      </w:r>
    </w:p>
    <w:p>
      <w:pPr>
        <w:numPr>
          <w:ilvl w:val="0"/>
          <w:numId w:val="6"/>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供应商认为采购文件使自己的权益受到损害的，可以自获取采购文件之日（发售截止日之后收到采购文件的，以发售截止日为准）或者采购文件公告期限届满之日（公告发布后的第6个工作日）起7个工作日内，以书面形式向招标人和采购代理机构提出质疑。质疑供应商对招标人、采购代理机构的答复不满意或者招标人、采购代理机构未在规定的时间内作出答复的，可以在答复期满后十五个工作日内向同级政府采购监督管理部门投诉。质疑函范本、投诉书范本请到浙江政府采购网下载专区下载。疫情防控期间，政府采购供应商可以通过登录“浙江政务服务网”（http://www.zjzwfw.gov.cn/），搜索关键字“政府采购投诉处理”，或者选择“部门窗口—省财政厅—行政裁决—政府采购投诉处理”，点击“在线办理”，即可进行在线投诉。</w:t>
      </w:r>
    </w:p>
    <w:p>
      <w:pPr>
        <w:numPr>
          <w:ilvl w:val="0"/>
          <w:numId w:val="6"/>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潜在供应商应当按照规定方式获取采购文件，未按照规定方式获取采购文件的，不得对招标文件提起质疑投诉。</w:t>
      </w:r>
    </w:p>
    <w:p>
      <w:pPr>
        <w:widowControl/>
        <w:numPr>
          <w:ilvl w:val="0"/>
          <w:numId w:val="4"/>
        </w:numPr>
        <w:spacing w:line="400" w:lineRule="exact"/>
        <w:ind w:right="62" w:firstLine="426"/>
        <w:jc w:val="left"/>
        <w:rPr>
          <w:rFonts w:hint="default" w:ascii="Arial" w:hAnsi="Arial" w:eastAsia="宋体" w:cs="Arial"/>
          <w:bCs/>
          <w:color w:val="auto"/>
          <w:kern w:val="0"/>
          <w:szCs w:val="21"/>
          <w:highlight w:val="none"/>
        </w:rPr>
      </w:pPr>
      <w:r>
        <w:rPr>
          <w:rFonts w:hint="default" w:ascii="Arial" w:hAnsi="Arial" w:eastAsia="宋体" w:cs="Arial"/>
          <w:color w:val="auto"/>
          <w:szCs w:val="21"/>
          <w:highlight w:val="none"/>
        </w:rPr>
        <w:t>根据浙财采监〔2012〕11号文件，在投标截止时间之前已注册并加入“浙江省政府采购供应商库”且符合财政部、工业和信息化部《关于印发〈政府采购促进中小企业</w:t>
      </w:r>
      <w:r>
        <w:rPr>
          <w:rFonts w:hint="default" w:ascii="Arial" w:hAnsi="Arial" w:eastAsia="宋体" w:cs="Arial"/>
          <w:color w:val="auto"/>
          <w:szCs w:val="21"/>
          <w:highlight w:val="none"/>
          <w:lang w:eastAsia="zh-CN"/>
        </w:rPr>
        <w:t>发展管理办法</w:t>
      </w:r>
      <w:r>
        <w:rPr>
          <w:rFonts w:hint="default" w:ascii="Arial" w:hAnsi="Arial" w:eastAsia="宋体" w:cs="Arial"/>
          <w:color w:val="auto"/>
          <w:szCs w:val="21"/>
          <w:highlight w:val="none"/>
        </w:rPr>
        <w:t>〉的通知》（财库</w:t>
      </w:r>
      <w:r>
        <w:rPr>
          <w:rFonts w:hint="default" w:ascii="Arial" w:hAnsi="Arial" w:eastAsia="宋体" w:cs="Arial"/>
          <w:color w:val="auto"/>
          <w:szCs w:val="21"/>
          <w:highlight w:val="none"/>
          <w:lang w:eastAsia="zh-CN"/>
        </w:rPr>
        <w:t>【2020】46号</w:t>
      </w:r>
      <w:r>
        <w:rPr>
          <w:rFonts w:hint="default" w:ascii="Arial" w:hAnsi="Arial" w:eastAsia="宋体" w:cs="Arial"/>
          <w:color w:val="auto"/>
          <w:szCs w:val="21"/>
          <w:highlight w:val="none"/>
        </w:rPr>
        <w:t>，以下简称《暂行办法》）规定的中小企业（含微型企业）条件的，在参加本项目投标活动时可享受《暂行办法》规定的优惠政策。（如小微企业投标且提供其它小型、微型企业产品，其所投产品制造商也须满足此规定，方可享受《暂行办法》规定的优惠政策。）</w:t>
      </w:r>
    </w:p>
    <w:p>
      <w:pPr>
        <w:widowControl/>
        <w:numPr>
          <w:ilvl w:val="0"/>
          <w:numId w:val="4"/>
        </w:numPr>
        <w:spacing w:line="400" w:lineRule="exact"/>
        <w:ind w:right="62" w:firstLine="426"/>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本项目优先采购本国货物和服务，必须进行的技术引进和转让需符合国家政策和有利于国内行业的发展。项目中涉及到的设备、材料属于政府采购节能产品、环境标志产品的，要求符合相关规定。</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联系方式：</w:t>
      </w:r>
    </w:p>
    <w:p>
      <w:pPr>
        <w:numPr>
          <w:ilvl w:val="0"/>
          <w:numId w:val="7"/>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代理机构名称：浙江省建设工程设备招标有限公司 </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联系人： 周鑫</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联系电话：13868417557,0577-88926649</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传真：0577-88926649      </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地点：瑞安市外滩满庭芳大楼三楼三楼</w:t>
      </w:r>
    </w:p>
    <w:p>
      <w:pPr>
        <w:numPr>
          <w:ilvl w:val="0"/>
          <w:numId w:val="7"/>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招标人名称：</w:t>
      </w:r>
      <w:r>
        <w:rPr>
          <w:rFonts w:hint="default" w:ascii="Arial" w:hAnsi="Arial" w:eastAsia="宋体" w:cs="Arial"/>
          <w:color w:val="auto"/>
          <w:szCs w:val="21"/>
          <w:highlight w:val="none"/>
          <w:lang w:eastAsia="zh-CN"/>
        </w:rPr>
        <w:t>瑞安市公安局</w:t>
      </w:r>
    </w:p>
    <w:p>
      <w:pPr>
        <w:spacing w:line="360" w:lineRule="exact"/>
        <w:ind w:firstLine="283" w:firstLineChars="135"/>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联系人：</w:t>
      </w:r>
      <w:r>
        <w:rPr>
          <w:rFonts w:hint="default" w:ascii="Arial" w:hAnsi="Arial" w:eastAsia="宋体" w:cs="Arial"/>
          <w:color w:val="auto"/>
          <w:szCs w:val="21"/>
          <w:highlight w:val="none"/>
          <w:lang w:val="en-US" w:eastAsia="zh-CN"/>
        </w:rPr>
        <w:t>季</w:t>
      </w:r>
      <w:r>
        <w:rPr>
          <w:rFonts w:hint="default" w:ascii="Arial" w:hAnsi="Arial" w:eastAsia="宋体" w:cs="Arial"/>
          <w:color w:val="auto"/>
          <w:szCs w:val="21"/>
          <w:highlight w:val="none"/>
        </w:rPr>
        <w:t>警官</w:t>
      </w:r>
    </w:p>
    <w:p>
      <w:pPr>
        <w:tabs>
          <w:tab w:val="left" w:pos="420"/>
          <w:tab w:val="left" w:pos="1080"/>
        </w:tabs>
        <w:spacing w:line="400" w:lineRule="exact"/>
        <w:ind w:firstLine="283" w:firstLineChars="135"/>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rPr>
        <w:t xml:space="preserve">    联系电话：</w:t>
      </w:r>
      <w:r>
        <w:rPr>
          <w:rFonts w:hint="default" w:ascii="Arial" w:hAnsi="Arial" w:eastAsia="宋体" w:cs="Arial"/>
          <w:color w:val="auto"/>
          <w:szCs w:val="21"/>
          <w:highlight w:val="none"/>
          <w:lang w:eastAsia="zh-CN"/>
        </w:rPr>
        <w:t>0577-65852316</w:t>
      </w:r>
    </w:p>
    <w:p>
      <w:pPr>
        <w:tabs>
          <w:tab w:val="left" w:pos="420"/>
          <w:tab w:val="left" w:pos="1080"/>
        </w:tabs>
        <w:spacing w:line="400" w:lineRule="exact"/>
        <w:ind w:left="420" w:firstLine="283" w:firstLineChars="135"/>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rPr>
        <w:t>地址：</w:t>
      </w:r>
      <w:r>
        <w:rPr>
          <w:rFonts w:hint="default" w:ascii="Arial" w:hAnsi="Arial" w:eastAsia="宋体" w:cs="Arial"/>
          <w:color w:val="auto"/>
          <w:szCs w:val="21"/>
          <w:highlight w:val="none"/>
          <w:lang w:eastAsia="zh-CN"/>
        </w:rPr>
        <w:t>瑞安市安阳街道隆山东路525号</w:t>
      </w:r>
    </w:p>
    <w:p>
      <w:pPr>
        <w:numPr>
          <w:ilvl w:val="0"/>
          <w:numId w:val="7"/>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同级政府采购监督管理部门名称：瑞安市财政局政府采购监督管理科</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联系人：张先生</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联系电话：0577-65827567</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传真：0577-65827570</w:t>
      </w:r>
    </w:p>
    <w:p>
      <w:pPr>
        <w:spacing w:line="400" w:lineRule="exact"/>
        <w:ind w:right="63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地址：瑞安市财政局大楼15楼</w:t>
      </w:r>
    </w:p>
    <w:p>
      <w:pPr>
        <w:pStyle w:val="2"/>
        <w:keepNext w:val="0"/>
        <w:keepLines w:val="0"/>
        <w:pageBreakBefore/>
        <w:tabs>
          <w:tab w:val="left" w:pos="840"/>
        </w:tabs>
        <w:spacing w:before="156" w:beforeLines="50" w:after="0" w:line="400" w:lineRule="exact"/>
        <w:jc w:val="center"/>
        <w:rPr>
          <w:rFonts w:hint="default" w:ascii="Arial" w:hAnsi="Arial" w:eastAsia="宋体" w:cs="Arial"/>
          <w:color w:val="auto"/>
          <w:sz w:val="28"/>
          <w:szCs w:val="36"/>
          <w:highlight w:val="none"/>
        </w:rPr>
      </w:pPr>
      <w:bookmarkStart w:id="13" w:name="_Toc474156083"/>
      <w:bookmarkStart w:id="14" w:name="_Toc40429178"/>
      <w:r>
        <w:rPr>
          <w:rFonts w:hint="default" w:ascii="Arial" w:hAnsi="Arial" w:eastAsia="宋体" w:cs="Arial"/>
          <w:color w:val="auto"/>
          <w:sz w:val="28"/>
          <w:szCs w:val="36"/>
          <w:highlight w:val="none"/>
        </w:rPr>
        <w:t>第二部分  投标供应商须知</w:t>
      </w:r>
      <w:bookmarkEnd w:id="13"/>
      <w:bookmarkEnd w:id="14"/>
    </w:p>
    <w:p>
      <w:pPr>
        <w:pStyle w:val="3"/>
        <w:spacing w:before="0" w:after="156" w:afterLines="50" w:line="400" w:lineRule="exact"/>
        <w:jc w:val="center"/>
        <w:rPr>
          <w:rFonts w:hint="default" w:ascii="Arial" w:hAnsi="Arial" w:eastAsia="宋体" w:cs="Arial"/>
          <w:bCs w:val="0"/>
          <w:color w:val="auto"/>
          <w:sz w:val="24"/>
          <w:szCs w:val="24"/>
          <w:highlight w:val="none"/>
        </w:rPr>
      </w:pPr>
      <w:bookmarkStart w:id="15" w:name="_Toc474156084"/>
      <w:bookmarkStart w:id="16" w:name="_Toc40429179"/>
      <w:r>
        <w:rPr>
          <w:rFonts w:hint="default" w:ascii="Arial" w:hAnsi="Arial" w:eastAsia="宋体" w:cs="Arial"/>
          <w:color w:val="auto"/>
          <w:sz w:val="24"/>
          <w:szCs w:val="24"/>
          <w:highlight w:val="none"/>
        </w:rPr>
        <w:t>（一）</w:t>
      </w:r>
      <w:r>
        <w:rPr>
          <w:rFonts w:hint="default" w:ascii="Arial" w:hAnsi="Arial" w:eastAsia="宋体" w:cs="Arial"/>
          <w:bCs w:val="0"/>
          <w:color w:val="auto"/>
          <w:sz w:val="24"/>
          <w:szCs w:val="24"/>
          <w:highlight w:val="none"/>
        </w:rPr>
        <w:t>投标须知前附表</w:t>
      </w:r>
      <w:bookmarkEnd w:id="15"/>
      <w:bookmarkEnd w:id="16"/>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637"/>
        <w:gridCol w:w="7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96" w:hRule="atLeast"/>
          <w:jc w:val="center"/>
        </w:trPr>
        <w:tc>
          <w:tcPr>
            <w:tcW w:w="645" w:type="dxa"/>
            <w:noWrap w:val="0"/>
            <w:vAlign w:val="center"/>
          </w:tcPr>
          <w:p>
            <w:pPr>
              <w:spacing w:line="360" w:lineRule="exact"/>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项号</w:t>
            </w:r>
          </w:p>
        </w:tc>
        <w:tc>
          <w:tcPr>
            <w:tcW w:w="1637" w:type="dxa"/>
            <w:noWrap w:val="0"/>
            <w:vAlign w:val="center"/>
          </w:tcPr>
          <w:p>
            <w:pPr>
              <w:spacing w:line="360" w:lineRule="exact"/>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内容</w:t>
            </w:r>
          </w:p>
        </w:tc>
        <w:tc>
          <w:tcPr>
            <w:tcW w:w="7262" w:type="dxa"/>
            <w:noWrap w:val="0"/>
            <w:vAlign w:val="center"/>
          </w:tcPr>
          <w:p>
            <w:pPr>
              <w:spacing w:line="360" w:lineRule="exact"/>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98" w:hRule="atLeast"/>
          <w:jc w:val="center"/>
        </w:trPr>
        <w:tc>
          <w:tcPr>
            <w:tcW w:w="645" w:type="dxa"/>
            <w:noWrap w:val="0"/>
            <w:vAlign w:val="center"/>
          </w:tcPr>
          <w:p>
            <w:pPr>
              <w:numPr>
                <w:ilvl w:val="0"/>
                <w:numId w:val="8"/>
              </w:numPr>
              <w:tabs>
                <w:tab w:val="left" w:pos="271"/>
                <w:tab w:val="clear" w:pos="420"/>
              </w:tabs>
              <w:spacing w:line="360" w:lineRule="exact"/>
              <w:ind w:left="271" w:hanging="271"/>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项目名称</w:t>
            </w:r>
          </w:p>
        </w:tc>
        <w:tc>
          <w:tcPr>
            <w:tcW w:w="7262" w:type="dxa"/>
            <w:noWrap w:val="0"/>
            <w:vAlign w:val="center"/>
          </w:tcPr>
          <w:p>
            <w:pPr>
              <w:spacing w:line="360" w:lineRule="exact"/>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lang w:eastAsia="zh-CN"/>
              </w:rPr>
              <w:t>瑞安市公安局**辅助人员劳务服务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33"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项目编号</w:t>
            </w:r>
          </w:p>
        </w:tc>
        <w:tc>
          <w:tcPr>
            <w:tcW w:w="7262" w:type="dxa"/>
            <w:noWrap w:val="0"/>
            <w:vAlign w:val="center"/>
          </w:tcPr>
          <w:p>
            <w:pPr>
              <w:spacing w:line="360" w:lineRule="exact"/>
              <w:rPr>
                <w:rFonts w:hint="default" w:ascii="Arial" w:hAnsi="Arial" w:eastAsia="宋体" w:cs="Arial"/>
                <w:color w:val="auto"/>
                <w:sz w:val="18"/>
                <w:szCs w:val="18"/>
                <w:highlight w:val="none"/>
              </w:rPr>
            </w:pPr>
            <w:r>
              <w:rPr>
                <w:rFonts w:hint="eastAsia" w:ascii="Arial" w:hAnsi="Arial" w:eastAsia="宋体" w:cs="Arial"/>
                <w:color w:val="auto"/>
                <w:szCs w:val="21"/>
                <w:highlight w:val="none"/>
                <w:lang w:eastAsia="zh-CN"/>
              </w:rPr>
              <w:t>ZCTCW-2021-04004</w:t>
            </w:r>
            <w:r>
              <w:rPr>
                <w:rFonts w:hint="default" w:ascii="Arial" w:hAnsi="Arial" w:eastAsia="宋体" w:cs="Arial"/>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8"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资金来源</w:t>
            </w:r>
          </w:p>
        </w:tc>
        <w:tc>
          <w:tcPr>
            <w:tcW w:w="7262" w:type="dxa"/>
            <w:noWrap w:val="0"/>
            <w:vAlign w:val="center"/>
          </w:tcPr>
          <w:p>
            <w:pPr>
              <w:spacing w:line="360" w:lineRule="exact"/>
              <w:rPr>
                <w:rFonts w:hint="eastAsia" w:ascii="Arial" w:hAnsi="Arial" w:eastAsia="宋体" w:cs="Arial"/>
                <w:color w:val="auto"/>
                <w:szCs w:val="21"/>
                <w:highlight w:val="none"/>
                <w:lang w:eastAsia="zh-CN"/>
              </w:rPr>
            </w:pPr>
            <w:r>
              <w:rPr>
                <w:rFonts w:hint="default" w:ascii="Arial" w:hAnsi="Arial" w:eastAsia="宋体" w:cs="Arial"/>
                <w:color w:val="auto"/>
                <w:szCs w:val="21"/>
                <w:highlight w:val="none"/>
              </w:rPr>
              <w:t>财政性资金，财政预算价：人民币</w:t>
            </w:r>
            <w:r>
              <w:rPr>
                <w:rFonts w:hint="eastAsia" w:ascii="Arial" w:hAnsi="Arial" w:eastAsia="宋体" w:cs="Arial"/>
                <w:color w:val="auto"/>
                <w:szCs w:val="21"/>
                <w:highlight w:val="none"/>
                <w:lang w:val="en-US" w:eastAsia="zh-CN"/>
              </w:rPr>
              <w:t>17700</w:t>
            </w:r>
            <w:r>
              <w:rPr>
                <w:rFonts w:hint="default" w:ascii="Arial" w:hAnsi="Arial" w:eastAsia="宋体" w:cs="Arial"/>
                <w:color w:val="auto"/>
                <w:szCs w:val="21"/>
                <w:highlight w:val="none"/>
              </w:rPr>
              <w:t>万元整</w:t>
            </w:r>
            <w:r>
              <w:rPr>
                <w:rFonts w:hint="eastAsia" w:ascii="Arial" w:hAnsi="Arial" w:eastAsia="宋体" w:cs="Arial"/>
                <w:color w:val="auto"/>
                <w:szCs w:val="21"/>
                <w:highlight w:val="none"/>
                <w:lang w:eastAsia="zh-CN"/>
              </w:rPr>
              <w:t>（</w:t>
            </w:r>
            <w:r>
              <w:rPr>
                <w:rFonts w:hint="eastAsia" w:ascii="Arial" w:hAnsi="Arial" w:eastAsia="宋体" w:cs="Arial"/>
                <w:color w:val="auto"/>
                <w:szCs w:val="21"/>
                <w:highlight w:val="none"/>
                <w:lang w:val="en-US" w:eastAsia="zh-CN"/>
              </w:rPr>
              <w:t>2年</w:t>
            </w:r>
            <w:r>
              <w:rPr>
                <w:rFonts w:hint="eastAsia" w:ascii="Arial" w:hAnsi="Arial" w:eastAsia="宋体" w:cs="Arial"/>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招标人</w:t>
            </w:r>
          </w:p>
        </w:tc>
        <w:tc>
          <w:tcPr>
            <w:tcW w:w="7262" w:type="dxa"/>
            <w:noWrap w:val="0"/>
            <w:vAlign w:val="center"/>
          </w:tcPr>
          <w:p>
            <w:pPr>
              <w:adjustRightInd w:val="0"/>
              <w:spacing w:line="360" w:lineRule="exact"/>
              <w:rPr>
                <w:rFonts w:hint="default" w:ascii="Arial" w:hAnsi="Arial" w:eastAsia="宋体" w:cs="Arial"/>
                <w:bCs/>
                <w:color w:val="auto"/>
                <w:szCs w:val="21"/>
                <w:highlight w:val="none"/>
                <w:lang w:eastAsia="zh-CN"/>
              </w:rPr>
            </w:pPr>
            <w:r>
              <w:rPr>
                <w:rFonts w:hint="default" w:ascii="Arial" w:hAnsi="Arial" w:eastAsia="宋体" w:cs="Arial"/>
                <w:bCs/>
                <w:color w:val="auto"/>
                <w:szCs w:val="21"/>
                <w:highlight w:val="none"/>
              </w:rPr>
              <w:t>名    称：</w:t>
            </w:r>
            <w:r>
              <w:rPr>
                <w:rFonts w:hint="default" w:ascii="Arial" w:hAnsi="Arial" w:eastAsia="宋体" w:cs="Arial"/>
                <w:bCs/>
                <w:color w:val="auto"/>
                <w:szCs w:val="21"/>
                <w:highlight w:val="none"/>
                <w:lang w:eastAsia="zh-CN"/>
              </w:rPr>
              <w:t>瑞安市公安局</w:t>
            </w:r>
          </w:p>
          <w:p>
            <w:pPr>
              <w:adjustRightInd w:val="0"/>
              <w:spacing w:line="360" w:lineRule="exact"/>
              <w:rPr>
                <w:rFonts w:hint="default" w:ascii="Arial" w:hAnsi="Arial" w:eastAsia="宋体" w:cs="Arial"/>
                <w:bCs/>
                <w:color w:val="auto"/>
                <w:szCs w:val="21"/>
                <w:highlight w:val="none"/>
                <w:lang w:eastAsia="zh-CN"/>
              </w:rPr>
            </w:pPr>
            <w:r>
              <w:rPr>
                <w:rFonts w:hint="default" w:ascii="Arial" w:hAnsi="Arial" w:eastAsia="宋体" w:cs="Arial"/>
                <w:bCs/>
                <w:color w:val="auto"/>
                <w:szCs w:val="21"/>
                <w:highlight w:val="none"/>
              </w:rPr>
              <w:t>地    址：</w:t>
            </w:r>
            <w:r>
              <w:rPr>
                <w:rFonts w:hint="default" w:ascii="Arial" w:hAnsi="Arial" w:eastAsia="宋体" w:cs="Arial"/>
                <w:color w:val="auto"/>
                <w:szCs w:val="21"/>
                <w:highlight w:val="none"/>
                <w:lang w:eastAsia="zh-CN"/>
              </w:rPr>
              <w:t>瑞安市安阳街道隆山东路525号</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联 系 人：</w:t>
            </w:r>
            <w:r>
              <w:rPr>
                <w:rFonts w:hint="default" w:ascii="Arial" w:hAnsi="Arial" w:eastAsia="宋体" w:cs="Arial"/>
                <w:color w:val="auto"/>
                <w:szCs w:val="21"/>
                <w:highlight w:val="none"/>
                <w:lang w:val="en-US" w:eastAsia="zh-CN"/>
              </w:rPr>
              <w:t>季</w:t>
            </w:r>
            <w:r>
              <w:rPr>
                <w:rFonts w:hint="default" w:ascii="Arial" w:hAnsi="Arial" w:eastAsia="宋体" w:cs="Arial"/>
                <w:color w:val="auto"/>
                <w:szCs w:val="21"/>
                <w:highlight w:val="none"/>
              </w:rPr>
              <w:t>警官</w:t>
            </w:r>
          </w:p>
          <w:p>
            <w:pPr>
              <w:spacing w:line="360" w:lineRule="exact"/>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rPr>
              <w:t>联系电话：</w:t>
            </w:r>
            <w:r>
              <w:rPr>
                <w:rFonts w:hint="default" w:ascii="Arial" w:hAnsi="Arial" w:eastAsia="宋体" w:cs="Arial"/>
                <w:color w:val="auto"/>
                <w:szCs w:val="21"/>
                <w:highlight w:val="none"/>
                <w:lang w:eastAsia="zh-CN"/>
              </w:rPr>
              <w:t>0577-65852316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58" w:hRule="atLeast"/>
          <w:jc w:val="center"/>
        </w:trPr>
        <w:tc>
          <w:tcPr>
            <w:tcW w:w="645" w:type="dxa"/>
            <w:noWrap w:val="0"/>
            <w:vAlign w:val="center"/>
          </w:tcPr>
          <w:p>
            <w:pPr>
              <w:numPr>
                <w:ilvl w:val="0"/>
                <w:numId w:val="8"/>
              </w:numPr>
              <w:tabs>
                <w:tab w:val="left" w:pos="271"/>
                <w:tab w:val="clear" w:pos="420"/>
              </w:tabs>
              <w:spacing w:line="360" w:lineRule="exact"/>
              <w:ind w:right="105"/>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采购代理机构</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名    称：浙江省建设工程设备招标有限公司</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地    址：</w:t>
            </w:r>
            <w:r>
              <w:rPr>
                <w:rFonts w:hint="default" w:ascii="Arial" w:hAnsi="Arial" w:eastAsia="宋体" w:cs="Arial"/>
                <w:bCs/>
                <w:color w:val="auto"/>
                <w:szCs w:val="21"/>
                <w:highlight w:val="none"/>
              </w:rPr>
              <w:t>瑞安市</w:t>
            </w:r>
            <w:r>
              <w:rPr>
                <w:rFonts w:hint="default" w:ascii="Arial" w:hAnsi="Arial" w:eastAsia="宋体" w:cs="Arial"/>
                <w:color w:val="auto"/>
                <w:szCs w:val="21"/>
                <w:highlight w:val="none"/>
              </w:rPr>
              <w:t>外滩满庭芳大楼三楼</w:t>
            </w:r>
          </w:p>
          <w:p>
            <w:pPr>
              <w:spacing w:line="360" w:lineRule="exact"/>
              <w:ind w:right="630"/>
              <w:rPr>
                <w:rFonts w:hint="default" w:ascii="Arial" w:hAnsi="Arial" w:eastAsia="宋体" w:cs="Arial"/>
                <w:color w:val="auto"/>
                <w:szCs w:val="21"/>
                <w:highlight w:val="none"/>
              </w:rPr>
            </w:pPr>
            <w:r>
              <w:rPr>
                <w:rFonts w:hint="default" w:ascii="Arial" w:hAnsi="Arial" w:eastAsia="宋体" w:cs="Arial"/>
                <w:color w:val="auto"/>
                <w:szCs w:val="21"/>
                <w:highlight w:val="none"/>
              </w:rPr>
              <w:t>联系人： 周鑫</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联系电话：13868417557</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传    真：0577-88926649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招标内容</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瑞安市公安局**辅助人员劳务服务</w:t>
            </w:r>
            <w:r>
              <w:rPr>
                <w:rFonts w:hint="default" w:ascii="Arial" w:hAnsi="Arial" w:eastAsia="宋体" w:cs="Arial"/>
                <w:color w:val="auto"/>
                <w:szCs w:val="21"/>
                <w:highlight w:val="none"/>
              </w:rPr>
              <w:t>（详见招标文件第三部分）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25"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w:t>
            </w:r>
          </w:p>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资格要求</w:t>
            </w:r>
          </w:p>
        </w:tc>
        <w:tc>
          <w:tcPr>
            <w:tcW w:w="7262" w:type="dxa"/>
            <w:noWrap w:val="0"/>
            <w:vAlign w:val="center"/>
          </w:tcPr>
          <w:p>
            <w:pPr>
              <w:numPr>
                <w:ilvl w:val="0"/>
                <w:numId w:val="9"/>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基本资格条件：</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①符合《中华人民共和国政府采购法》第二十二条规定；</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②未被“信用中国”（www.creditchina.gov.cn）、中国政府采购网（www.ccgp.gov.cn）、浙江政府采购网（www.zjzfcg.gov.cn/）列入失信被执行人、重大税收违法案件当事人名单、政府采购严重违法失信行为记录名单。</w:t>
            </w:r>
          </w:p>
          <w:p>
            <w:pPr>
              <w:numPr>
                <w:ilvl w:val="0"/>
                <w:numId w:val="9"/>
              </w:numPr>
              <w:spacing w:line="380" w:lineRule="atLeast"/>
              <w:rPr>
                <w:rFonts w:hint="default" w:ascii="Arial" w:hAnsi="Arial" w:eastAsia="宋体" w:cs="Arial"/>
                <w:color w:val="auto"/>
                <w:highlight w:val="none"/>
              </w:rPr>
            </w:pPr>
            <w:r>
              <w:rPr>
                <w:rFonts w:hint="default" w:ascii="Arial" w:hAnsi="Arial" w:eastAsia="宋体" w:cs="Arial"/>
                <w:color w:val="auto"/>
                <w:szCs w:val="21"/>
                <w:highlight w:val="none"/>
              </w:rPr>
              <w:t>特定资格条件：具有有效的《劳务派遣经营许可证》</w:t>
            </w:r>
          </w:p>
          <w:p>
            <w:pPr>
              <w:numPr>
                <w:ilvl w:val="0"/>
                <w:numId w:val="9"/>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3"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是否接受联合体投标</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不接受</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 w:val="36"/>
                <w:szCs w:val="21"/>
                <w:highlight w:val="none"/>
              </w:rPr>
              <w:t>□</w:t>
            </w:r>
            <w:r>
              <w:rPr>
                <w:rFonts w:hint="default" w:ascii="Arial" w:hAnsi="Arial" w:eastAsia="宋体" w:cs="Arial"/>
                <w:color w:val="auto"/>
                <w:szCs w:val="21"/>
                <w:highlight w:val="none"/>
              </w:rPr>
              <w:t xml:space="preserve">接受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55" w:hRule="atLeast"/>
          <w:jc w:val="center"/>
        </w:trPr>
        <w:tc>
          <w:tcPr>
            <w:tcW w:w="645" w:type="dxa"/>
            <w:noWrap w:val="0"/>
            <w:vAlign w:val="center"/>
          </w:tcPr>
          <w:p>
            <w:pPr>
              <w:numPr>
                <w:ilvl w:val="0"/>
                <w:numId w:val="8"/>
              </w:numPr>
              <w:tabs>
                <w:tab w:val="left" w:pos="271"/>
                <w:tab w:val="clear" w:pos="420"/>
              </w:tabs>
              <w:spacing w:line="360" w:lineRule="exact"/>
              <w:ind w:left="271" w:hanging="271"/>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踏勘现场</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 w:val="36"/>
                <w:szCs w:val="21"/>
                <w:highlight w:val="none"/>
              </w:rPr>
              <w:t xml:space="preserve">□ </w:t>
            </w:r>
            <w:r>
              <w:rPr>
                <w:rFonts w:hint="default" w:ascii="Arial" w:hAnsi="Arial" w:eastAsia="宋体" w:cs="Arial"/>
                <w:color w:val="auto"/>
                <w:szCs w:val="21"/>
                <w:highlight w:val="none"/>
              </w:rPr>
              <w:t>不组织</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  自行组织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是否允许递交备选投标方案</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  不允许</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 w:val="36"/>
                <w:szCs w:val="21"/>
                <w:highlight w:val="none"/>
              </w:rPr>
              <w:t xml:space="preserve">□ </w:t>
            </w:r>
            <w:r>
              <w:rPr>
                <w:rFonts w:hint="default" w:ascii="Arial" w:hAnsi="Arial" w:eastAsia="宋体" w:cs="Arial"/>
                <w:color w:val="auto"/>
                <w:szCs w:val="21"/>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76"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投标货币</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0"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投标语言</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投标文件份数</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本项目电子投标文包括“电子加密投标文件”和“备份投标文件（可选）”，在投标文件编制完成后同时生成。</w:t>
            </w:r>
          </w:p>
          <w:p>
            <w:pPr>
              <w:numPr>
                <w:ilvl w:val="0"/>
                <w:numId w:val="10"/>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“电子加密投标文件”</w:t>
            </w:r>
            <w:r>
              <w:rPr>
                <w:rFonts w:hint="default" w:ascii="Arial" w:hAnsi="Arial" w:eastAsia="宋体" w:cs="Arial"/>
                <w:b/>
                <w:bCs/>
                <w:color w:val="auto"/>
                <w:szCs w:val="21"/>
                <w:highlight w:val="none"/>
              </w:rPr>
              <w:t xml:space="preserve"> （文件后缀格式为.jmbs）</w:t>
            </w:r>
            <w:r>
              <w:rPr>
                <w:rFonts w:hint="default" w:ascii="Arial" w:hAnsi="Arial" w:eastAsia="宋体" w:cs="Arial"/>
                <w:bCs/>
                <w:color w:val="auto"/>
                <w:szCs w:val="21"/>
                <w:highlight w:val="none"/>
              </w:rPr>
              <w:t>一份。</w:t>
            </w:r>
          </w:p>
          <w:p>
            <w:pPr>
              <w:numPr>
                <w:ilvl w:val="0"/>
                <w:numId w:val="10"/>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“备份投标文件”</w:t>
            </w:r>
            <w:r>
              <w:rPr>
                <w:rFonts w:hint="default" w:ascii="Arial" w:hAnsi="Arial" w:eastAsia="宋体" w:cs="Arial"/>
                <w:b/>
                <w:bCs/>
                <w:color w:val="auto"/>
                <w:szCs w:val="21"/>
                <w:highlight w:val="none"/>
              </w:rPr>
              <w:t>（文件后缀格式为.bfbs）</w:t>
            </w:r>
            <w:r>
              <w:rPr>
                <w:rFonts w:hint="default" w:ascii="Arial" w:hAnsi="Arial" w:eastAsia="宋体" w:cs="Arial"/>
                <w:bCs/>
                <w:color w:val="auto"/>
                <w:szCs w:val="21"/>
                <w:highlight w:val="none"/>
              </w:rPr>
              <w:t>一份。</w:t>
            </w:r>
          </w:p>
          <w:p>
            <w:pPr>
              <w:numPr>
                <w:ilvl w:val="0"/>
                <w:numId w:val="10"/>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中标供应商在领取中标通知书时按招标人要求提供全套纸质投标文件肆份。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投标文件的上传、递交</w:t>
            </w:r>
          </w:p>
        </w:tc>
        <w:tc>
          <w:tcPr>
            <w:tcW w:w="7262" w:type="dxa"/>
            <w:noWrap w:val="0"/>
            <w:vAlign w:val="center"/>
          </w:tcPr>
          <w:p>
            <w:pPr>
              <w:numPr>
                <w:ilvl w:val="0"/>
                <w:numId w:val="11"/>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
                <w:color w:val="auto"/>
                <w:highlight w:val="none"/>
              </w:rPr>
              <w:t>本项目采购代理机构指定电子邮箱：58523412@qq.com,邮件标题注明项目名称及供应商名称。</w:t>
            </w:r>
          </w:p>
          <w:p>
            <w:pPr>
              <w:numPr>
                <w:ilvl w:val="0"/>
                <w:numId w:val="11"/>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
                <w:bCs/>
                <w:color w:val="auto"/>
                <w:szCs w:val="21"/>
                <w:highlight w:val="none"/>
              </w:rPr>
              <w:t>电子加密投标文件：</w:t>
            </w:r>
            <w:r>
              <w:rPr>
                <w:rFonts w:hint="default" w:ascii="Arial" w:hAnsi="Arial" w:eastAsia="宋体" w:cs="Arial"/>
                <w:bCs/>
                <w:color w:val="auto"/>
                <w:szCs w:val="21"/>
                <w:highlight w:val="none"/>
              </w:rPr>
              <w:t>投标供应商通过“政采云投标客户端”线上制作投标文件并采用CA数字证书进行电子签章及加密，在投标文件递交截止时间前将“电子加密投标文件”上传到政采云系统中，供应商未按规定加密或未在规定时间内递交投标文件的，“政府采购云平台”将予以拒收。</w:t>
            </w:r>
          </w:p>
          <w:p>
            <w:pPr>
              <w:numPr>
                <w:ilvl w:val="0"/>
                <w:numId w:val="11"/>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
                <w:bCs/>
                <w:color w:val="auto"/>
                <w:szCs w:val="21"/>
                <w:highlight w:val="none"/>
              </w:rPr>
              <w:t>备份投标文件：</w:t>
            </w:r>
            <w:r>
              <w:rPr>
                <w:rFonts w:hint="default" w:ascii="Arial" w:hAnsi="Arial" w:eastAsia="宋体" w:cs="Arial"/>
                <w:bCs/>
                <w:color w:val="auto"/>
                <w:szCs w:val="21"/>
                <w:highlight w:val="none"/>
              </w:rPr>
              <w:t>供应商在“政府采购云平台”完成“电子加密投标文件”的上传递交后，还可以在投标截止时间前</w:t>
            </w:r>
            <w:r>
              <w:rPr>
                <w:rFonts w:hint="default" w:ascii="Arial" w:hAnsi="Arial" w:eastAsia="宋体" w:cs="Arial"/>
                <w:color w:val="auto"/>
                <w:highlight w:val="none"/>
              </w:rPr>
              <w:t>以介质存储的数据电文形式将“备份响应文件”发送至采购代理机构指定电子邮箱</w:t>
            </w:r>
            <w:r>
              <w:rPr>
                <w:rFonts w:hint="default" w:ascii="Arial" w:hAnsi="Arial" w:eastAsia="宋体" w:cs="Arial"/>
                <w:bCs/>
                <w:color w:val="auto"/>
                <w:szCs w:val="21"/>
                <w:highlight w:val="none"/>
              </w:rPr>
              <w:t>；若通过“政府采购云平台”上传递交的“电子加密响应文件”已按时解密的，“备份投标文件”自动失效，不再开启，供应商未在规定时间内送达投标文件的，视为未递交备份投标文件。</w:t>
            </w:r>
          </w:p>
          <w:p>
            <w:pPr>
              <w:numPr>
                <w:ilvl w:val="0"/>
                <w:numId w:val="11"/>
              </w:numPr>
              <w:spacing w:line="360" w:lineRule="exact"/>
              <w:ind w:left="0" w:firstLine="1"/>
              <w:jc w:val="left"/>
              <w:rPr>
                <w:rFonts w:hint="default" w:ascii="Arial" w:hAnsi="Arial" w:eastAsia="宋体" w:cs="Arial"/>
                <w:color w:val="auto"/>
                <w:highlight w:val="none"/>
              </w:rPr>
            </w:pPr>
            <w:r>
              <w:rPr>
                <w:rFonts w:hint="default" w:ascii="Arial" w:hAnsi="Arial" w:eastAsia="宋体" w:cs="Arial"/>
                <w:b/>
                <w:color w:val="auto"/>
                <w:highlight w:val="none"/>
              </w:rPr>
              <w:t>供应商未在投标截止时间前送达备份投标文件的，视为未递交备份投标文件。分批次递交多份“备份投标文件”的，以最后一次送达的“备份投标文件”为准，送达时间以采购代理机构指定电子邮箱自动回执的邮件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ind w:left="1"/>
              <w:jc w:val="left"/>
              <w:rPr>
                <w:rFonts w:hint="default" w:ascii="Arial" w:hAnsi="Arial" w:eastAsia="宋体" w:cs="Arial"/>
                <w:bCs/>
                <w:color w:val="auto"/>
                <w:szCs w:val="21"/>
                <w:highlight w:val="none"/>
                <w:lang w:val="zh-CN"/>
              </w:rPr>
            </w:pPr>
            <w:r>
              <w:rPr>
                <w:rFonts w:hint="default" w:ascii="Arial" w:hAnsi="Arial" w:eastAsia="宋体" w:cs="Arial"/>
                <w:bCs/>
                <w:color w:val="auto"/>
                <w:szCs w:val="21"/>
                <w:highlight w:val="none"/>
                <w:lang w:val="zh-CN"/>
              </w:rPr>
              <w:t>电子加密投标文件的解密和异常情况处理</w:t>
            </w:r>
          </w:p>
        </w:tc>
        <w:tc>
          <w:tcPr>
            <w:tcW w:w="7262" w:type="dxa"/>
            <w:noWrap w:val="0"/>
            <w:vAlign w:val="center"/>
          </w:tcPr>
          <w:p>
            <w:pPr>
              <w:numPr>
                <w:ilvl w:val="0"/>
                <w:numId w:val="12"/>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开标后，采购代理机构将向各投标供应商发出“电子加密投标文件”的解密通知，各投标供应商代表应当在接到解密通知后30分钟内自行完成“电子加密投标文件”的在线解密。</w:t>
            </w:r>
          </w:p>
          <w:p>
            <w:pPr>
              <w:numPr>
                <w:ilvl w:val="0"/>
                <w:numId w:val="12"/>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通过“政府采购云平台”成功上传递交的“电子加密投标文件”无法按时解密，投标供应商如已按规定递交了“备份投标文件”的，以“备份投标文件”为依据（由采购代理机构按“政府采购云平台”操作规范将“备份投标文件”上传至“政府采购云平台”，上传成功后，“电子加密投标文件”自动失效），否则视为投标文件撤回。</w:t>
            </w:r>
          </w:p>
          <w:p>
            <w:pPr>
              <w:numPr>
                <w:ilvl w:val="0"/>
                <w:numId w:val="12"/>
              </w:numPr>
              <w:spacing w:line="360" w:lineRule="exact"/>
              <w:ind w:left="0" w:firstLine="1"/>
              <w:jc w:val="left"/>
              <w:rPr>
                <w:rFonts w:hint="default" w:ascii="Arial" w:hAnsi="Arial" w:eastAsia="宋体" w:cs="Arial"/>
                <w:bCs/>
                <w:color w:val="auto"/>
                <w:szCs w:val="21"/>
                <w:highlight w:val="none"/>
                <w:lang w:val="zh-CN"/>
              </w:rPr>
            </w:pPr>
            <w:r>
              <w:rPr>
                <w:rFonts w:hint="default" w:ascii="Arial" w:hAnsi="Arial" w:eastAsia="宋体" w:cs="Arial"/>
                <w:bCs/>
                <w:color w:val="auto"/>
                <w:szCs w:val="21"/>
                <w:highlight w:val="none"/>
              </w:rPr>
              <w:t>投标文件递交截止时间前，投标供应商仅递交了“备份投标文件”而未将电子加密投标文件成功上传至“政府采购云平台”的，投标无效。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2"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投标有效期</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068"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签字或盖章要求</w:t>
            </w:r>
          </w:p>
        </w:tc>
        <w:tc>
          <w:tcPr>
            <w:tcW w:w="7262" w:type="dxa"/>
            <w:noWrap w:val="0"/>
            <w:vAlign w:val="center"/>
          </w:tcPr>
          <w:p>
            <w:pPr>
              <w:spacing w:line="36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电子投标文件中所须加盖公章的地方均采用“政府采购云平台”办理的CA签章，所涉及法定代表人或授权代表的签字（或盖章）的地方均由法定代表人或授权代表本人签字（或盖章）后将扫描件上传。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投标样品</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 不需要</w:t>
            </w:r>
          </w:p>
          <w:p>
            <w:pPr>
              <w:spacing w:line="360" w:lineRule="exact"/>
              <w:rPr>
                <w:rFonts w:hint="default" w:ascii="Arial" w:hAnsi="Arial" w:eastAsia="宋体" w:cs="Arial"/>
                <w:b/>
                <w:color w:val="auto"/>
                <w:szCs w:val="21"/>
                <w:highlight w:val="none"/>
              </w:rPr>
            </w:pPr>
            <w:r>
              <w:rPr>
                <w:rFonts w:hint="default" w:ascii="Arial" w:hAnsi="Arial" w:eastAsia="宋体" w:cs="Arial"/>
                <w:color w:val="auto"/>
                <w:szCs w:val="21"/>
                <w:highlight w:val="none"/>
              </w:rPr>
              <w:t>□ 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投标保证金</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 w:val="18"/>
                <w:szCs w:val="21"/>
                <w:highlight w:val="none"/>
              </w:rPr>
              <w:fldChar w:fldCharType="begin"/>
            </w:r>
            <w:r>
              <w:rPr>
                <w:rFonts w:hint="default" w:ascii="Arial" w:hAnsi="Arial" w:eastAsia="宋体" w:cs="Arial"/>
                <w:color w:val="auto"/>
                <w:sz w:val="18"/>
                <w:szCs w:val="21"/>
                <w:highlight w:val="none"/>
              </w:rPr>
              <w:instrText xml:space="preserve"> eq \o\ac(</w:instrText>
            </w:r>
            <w:r>
              <w:rPr>
                <w:rFonts w:hint="default" w:ascii="Arial" w:hAnsi="Arial" w:eastAsia="宋体" w:cs="Arial"/>
                <w:color w:val="auto"/>
                <w:position w:val="-2"/>
                <w:sz w:val="24"/>
                <w:szCs w:val="21"/>
                <w:highlight w:val="none"/>
              </w:rPr>
              <w:instrText xml:space="preserve">□</w:instrText>
            </w:r>
            <w:r>
              <w:rPr>
                <w:rFonts w:hint="default" w:ascii="Arial" w:hAnsi="Arial" w:eastAsia="宋体" w:cs="Arial"/>
                <w:color w:val="auto"/>
                <w:sz w:val="18"/>
                <w:szCs w:val="21"/>
                <w:highlight w:val="none"/>
              </w:rPr>
              <w:instrText xml:space="preserve">,√)</w:instrText>
            </w:r>
            <w:r>
              <w:rPr>
                <w:rFonts w:hint="default" w:ascii="Arial" w:hAnsi="Arial" w:eastAsia="宋体" w:cs="Arial"/>
                <w:color w:val="auto"/>
                <w:sz w:val="18"/>
                <w:szCs w:val="21"/>
                <w:highlight w:val="none"/>
              </w:rPr>
              <w:fldChar w:fldCharType="end"/>
            </w:r>
            <w:r>
              <w:rPr>
                <w:rFonts w:hint="default" w:ascii="Arial" w:hAnsi="Arial" w:eastAsia="宋体" w:cs="Arial"/>
                <w:color w:val="auto"/>
                <w:sz w:val="18"/>
                <w:szCs w:val="21"/>
                <w:highlight w:val="none"/>
              </w:rPr>
              <w:t xml:space="preserve"> </w:t>
            </w:r>
            <w:r>
              <w:rPr>
                <w:rFonts w:hint="default" w:ascii="Arial" w:hAnsi="Arial" w:eastAsia="宋体" w:cs="Arial"/>
                <w:color w:val="auto"/>
                <w:szCs w:val="21"/>
                <w:highlight w:val="none"/>
              </w:rPr>
              <w:t>不需要</w:t>
            </w:r>
          </w:p>
          <w:p>
            <w:pPr>
              <w:spacing w:line="360" w:lineRule="exact"/>
              <w:rPr>
                <w:rFonts w:hint="default" w:ascii="Arial" w:hAnsi="Arial" w:eastAsia="宋体" w:cs="Arial"/>
                <w:b/>
                <w:color w:val="auto"/>
                <w:szCs w:val="21"/>
                <w:highlight w:val="none"/>
              </w:rPr>
            </w:pPr>
            <w:r>
              <w:rPr>
                <w:rFonts w:hint="default" w:ascii="Arial" w:hAnsi="Arial" w:eastAsia="宋体" w:cs="Arial"/>
                <w:color w:val="auto"/>
                <w:sz w:val="22"/>
                <w:szCs w:val="21"/>
                <w:highlight w:val="none"/>
              </w:rPr>
              <w:t xml:space="preserve">□ </w:t>
            </w:r>
            <w:r>
              <w:rPr>
                <w:rFonts w:hint="default" w:ascii="Arial" w:hAnsi="Arial" w:eastAsia="宋体" w:cs="Arial"/>
                <w:color w:val="auto"/>
                <w:szCs w:val="21"/>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1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履约担保</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不需要</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需要  </w:t>
            </w:r>
            <w:r>
              <w:rPr>
                <w:rFonts w:hint="default" w:ascii="Arial" w:hAnsi="Arial" w:eastAsia="宋体" w:cs="Arial"/>
                <w:b/>
                <w:color w:val="auto"/>
                <w:szCs w:val="21"/>
                <w:highlight w:val="none"/>
              </w:rPr>
              <w:t>中标供应商须向招标人指定账户缴纳合同总额5%的履约保证金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4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招标文件</w:t>
            </w:r>
            <w:r>
              <w:rPr>
                <w:rFonts w:hint="default" w:ascii="Arial" w:hAnsi="Arial" w:eastAsia="宋体" w:cs="Arial"/>
                <w:bCs/>
                <w:color w:val="auto"/>
                <w:szCs w:val="21"/>
                <w:highlight w:val="none"/>
                <w:lang w:bidi="ar"/>
              </w:rPr>
              <w:t>获取时间、地址、售价</w:t>
            </w:r>
          </w:p>
        </w:tc>
        <w:tc>
          <w:tcPr>
            <w:tcW w:w="7262" w:type="dxa"/>
            <w:noWrap w:val="0"/>
            <w:vAlign w:val="center"/>
          </w:tcPr>
          <w:p>
            <w:pPr>
              <w:spacing w:line="360" w:lineRule="exact"/>
              <w:rPr>
                <w:rFonts w:hint="default" w:ascii="Arial" w:hAnsi="Arial" w:eastAsia="宋体" w:cs="Arial"/>
                <w:color w:val="auto"/>
                <w:highlight w:val="none"/>
              </w:rPr>
            </w:pPr>
            <w:r>
              <w:rPr>
                <w:rFonts w:hint="default" w:ascii="Arial" w:hAnsi="Arial" w:eastAsia="宋体" w:cs="Arial"/>
                <w:color w:val="auto"/>
                <w:highlight w:val="none"/>
              </w:rPr>
              <w:t>1.获取时间：</w:t>
            </w:r>
            <w:r>
              <w:rPr>
                <w:rFonts w:hint="default" w:ascii="Arial" w:hAnsi="Arial" w:eastAsia="宋体" w:cs="Arial"/>
                <w:color w:val="auto"/>
                <w:highlight w:val="none"/>
                <w:lang w:eastAsia="zh-CN"/>
              </w:rPr>
              <w:t>2021</w:t>
            </w:r>
            <w:r>
              <w:rPr>
                <w:rFonts w:hint="default" w:ascii="Arial" w:hAnsi="Arial" w:eastAsia="宋体" w:cs="Arial"/>
                <w:color w:val="auto"/>
                <w:highlight w:val="none"/>
              </w:rPr>
              <w:t>年</w:t>
            </w:r>
            <w:r>
              <w:rPr>
                <w:rFonts w:hint="eastAsia" w:ascii="Arial" w:hAnsi="Arial" w:eastAsia="宋体" w:cs="Arial"/>
                <w:color w:val="auto"/>
                <w:highlight w:val="none"/>
                <w:lang w:val="en-US" w:eastAsia="zh-CN"/>
              </w:rPr>
              <w:t>4</w:t>
            </w:r>
            <w:r>
              <w:rPr>
                <w:rFonts w:hint="default" w:ascii="Arial" w:hAnsi="Arial" w:eastAsia="宋体" w:cs="Arial"/>
                <w:color w:val="auto"/>
                <w:highlight w:val="none"/>
              </w:rPr>
              <w:t>月</w:t>
            </w:r>
            <w:r>
              <w:rPr>
                <w:rFonts w:hint="eastAsia" w:ascii="Arial" w:hAnsi="Arial" w:eastAsia="宋体" w:cs="Arial"/>
                <w:color w:val="auto"/>
                <w:highlight w:val="none"/>
                <w:lang w:val="en-US" w:eastAsia="zh-CN"/>
              </w:rPr>
              <w:t>8</w:t>
            </w:r>
            <w:r>
              <w:rPr>
                <w:rFonts w:hint="default" w:ascii="Arial" w:hAnsi="Arial" w:eastAsia="宋体" w:cs="Arial"/>
                <w:color w:val="auto"/>
                <w:highlight w:val="none"/>
              </w:rPr>
              <w:t>日至投标截止时间止。</w:t>
            </w:r>
          </w:p>
          <w:p>
            <w:pPr>
              <w:spacing w:line="360" w:lineRule="exact"/>
              <w:ind w:left="-2"/>
              <w:rPr>
                <w:rFonts w:hint="default" w:ascii="Arial" w:hAnsi="Arial" w:eastAsia="宋体" w:cs="Arial"/>
                <w:color w:val="auto"/>
                <w:highlight w:val="none"/>
              </w:rPr>
            </w:pPr>
            <w:r>
              <w:rPr>
                <w:rFonts w:hint="default" w:ascii="Arial" w:hAnsi="Arial" w:eastAsia="宋体" w:cs="Arial"/>
                <w:color w:val="auto"/>
                <w:highlight w:val="none"/>
              </w:rPr>
              <w:t>2.获取地址：投标供应商登录浙江政府采购网（http://www.zjzfcg.gov.cn）申请获取采购文件。操作路径：浙江政府采购网：供应商注册-项目采购-获取采购文件-申请获取采购文件。</w:t>
            </w:r>
          </w:p>
          <w:p>
            <w:pPr>
              <w:spacing w:line="360" w:lineRule="exact"/>
              <w:rPr>
                <w:rFonts w:hint="default" w:ascii="Arial" w:hAnsi="Arial" w:eastAsia="宋体" w:cs="Arial"/>
                <w:color w:val="auto"/>
                <w:highlight w:val="none"/>
              </w:rPr>
            </w:pPr>
            <w:r>
              <w:rPr>
                <w:rFonts w:hint="default" w:ascii="Arial" w:hAnsi="Arial" w:eastAsia="宋体" w:cs="Arial"/>
                <w:color w:val="auto"/>
                <w:highlight w:val="none"/>
              </w:rPr>
              <w:t>3.本项目招标文件实行“政府采购云平台”在线获取，不提供纸质招标文件，不收取招标文件工本费。</w:t>
            </w:r>
          </w:p>
          <w:p>
            <w:pPr>
              <w:spacing w:line="360" w:lineRule="exact"/>
              <w:ind w:left="-2"/>
              <w:rPr>
                <w:rFonts w:hint="default" w:ascii="Arial" w:hAnsi="Arial" w:eastAsia="宋体" w:cs="Arial"/>
                <w:color w:val="auto"/>
                <w:highlight w:val="none"/>
              </w:rPr>
            </w:pPr>
            <w:r>
              <w:rPr>
                <w:rFonts w:hint="default" w:ascii="Arial" w:hAnsi="Arial" w:eastAsia="宋体" w:cs="Arial"/>
                <w:b/>
                <w:color w:val="auto"/>
                <w:szCs w:val="21"/>
                <w:highlight w:val="none"/>
                <w:lang w:bidi="ar"/>
              </w:rPr>
              <w:t>注：采购公告附件里的采购文件仅供阅览使用。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80"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投标截止时间</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b/>
                <w:color w:val="auto"/>
                <w:szCs w:val="21"/>
                <w:highlight w:val="none"/>
                <w:lang w:eastAsia="zh-CN"/>
              </w:rPr>
              <w:t>2021</w:t>
            </w:r>
            <w:r>
              <w:rPr>
                <w:rFonts w:hint="default" w:ascii="Arial" w:hAnsi="Arial" w:eastAsia="宋体" w:cs="Arial"/>
                <w:b/>
                <w:color w:val="auto"/>
                <w:szCs w:val="21"/>
                <w:highlight w:val="none"/>
              </w:rPr>
              <w:t>年</w:t>
            </w:r>
            <w:r>
              <w:rPr>
                <w:rFonts w:hint="eastAsia" w:ascii="Arial" w:hAnsi="Arial" w:eastAsia="宋体" w:cs="Arial"/>
                <w:b/>
                <w:color w:val="auto"/>
                <w:szCs w:val="21"/>
                <w:highlight w:val="none"/>
                <w:lang w:val="en-US" w:eastAsia="zh-CN"/>
              </w:rPr>
              <w:t>4</w:t>
            </w:r>
            <w:r>
              <w:rPr>
                <w:rFonts w:hint="default" w:ascii="Arial" w:hAnsi="Arial" w:eastAsia="宋体" w:cs="Arial"/>
                <w:b/>
                <w:color w:val="auto"/>
                <w:szCs w:val="21"/>
                <w:highlight w:val="none"/>
              </w:rPr>
              <w:t>月</w:t>
            </w:r>
            <w:r>
              <w:rPr>
                <w:rFonts w:hint="eastAsia" w:ascii="Arial" w:hAnsi="Arial" w:eastAsia="宋体" w:cs="Arial"/>
                <w:b/>
                <w:color w:val="auto"/>
                <w:szCs w:val="21"/>
                <w:highlight w:val="none"/>
                <w:lang w:val="en-US" w:eastAsia="zh-CN"/>
              </w:rPr>
              <w:t>2</w:t>
            </w:r>
            <w:r>
              <w:rPr>
                <w:rFonts w:hint="eastAsia" w:ascii="Arial" w:hAnsi="Arial" w:eastAsia="宋体" w:cs="Arial"/>
                <w:b/>
                <w:color w:val="auto"/>
                <w:szCs w:val="21"/>
                <w:highlight w:val="none"/>
                <w:lang w:val="en-US" w:eastAsia="zh-CN"/>
              </w:rPr>
              <w:t>9</w:t>
            </w:r>
            <w:r>
              <w:rPr>
                <w:rFonts w:hint="default" w:ascii="Arial" w:hAnsi="Arial" w:eastAsia="宋体" w:cs="Arial"/>
                <w:b/>
                <w:color w:val="auto"/>
                <w:szCs w:val="21"/>
                <w:highlight w:val="none"/>
              </w:rPr>
              <w:t>日上午09：00</w:t>
            </w:r>
            <w:r>
              <w:rPr>
                <w:rFonts w:hint="default" w:ascii="Arial" w:hAnsi="Arial" w:eastAsia="宋体" w:cs="Arial"/>
                <w:b/>
                <w:color w:val="auto"/>
                <w:highlight w:val="none"/>
              </w:rPr>
              <w:t>止；</w:t>
            </w:r>
            <w:r>
              <w:rPr>
                <w:rFonts w:hint="default" w:ascii="Arial" w:hAnsi="Arial" w:eastAsia="宋体" w:cs="Arial"/>
                <w:color w:val="auto"/>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634"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开标时间、地点、形式</w:t>
            </w:r>
          </w:p>
          <w:p>
            <w:pPr>
              <w:spacing w:line="360" w:lineRule="exact"/>
              <w:jc w:val="center"/>
              <w:rPr>
                <w:rFonts w:hint="default" w:ascii="Arial" w:hAnsi="Arial" w:eastAsia="宋体" w:cs="Arial"/>
                <w:color w:val="auto"/>
                <w:szCs w:val="21"/>
                <w:highlight w:val="none"/>
              </w:rPr>
            </w:pP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开标时间：</w:t>
            </w:r>
            <w:r>
              <w:rPr>
                <w:rFonts w:hint="default" w:ascii="Arial" w:hAnsi="Arial" w:eastAsia="宋体" w:cs="Arial"/>
                <w:b/>
                <w:color w:val="auto"/>
                <w:highlight w:val="none"/>
                <w:lang w:eastAsia="zh-CN"/>
              </w:rPr>
              <w:t>2021</w:t>
            </w:r>
            <w:r>
              <w:rPr>
                <w:rFonts w:hint="default" w:ascii="Arial" w:hAnsi="Arial" w:eastAsia="宋体" w:cs="Arial"/>
                <w:b/>
                <w:color w:val="auto"/>
                <w:highlight w:val="none"/>
              </w:rPr>
              <w:t>年</w:t>
            </w:r>
            <w:r>
              <w:rPr>
                <w:rFonts w:hint="eastAsia" w:ascii="Arial" w:hAnsi="Arial" w:eastAsia="宋体" w:cs="Arial"/>
                <w:b/>
                <w:color w:val="auto"/>
                <w:highlight w:val="none"/>
                <w:lang w:val="en-US" w:eastAsia="zh-CN"/>
              </w:rPr>
              <w:t>4</w:t>
            </w:r>
            <w:r>
              <w:rPr>
                <w:rFonts w:hint="default" w:ascii="Arial" w:hAnsi="Arial" w:eastAsia="宋体" w:cs="Arial"/>
                <w:b/>
                <w:color w:val="auto"/>
                <w:highlight w:val="none"/>
              </w:rPr>
              <w:t>月</w:t>
            </w:r>
            <w:r>
              <w:rPr>
                <w:rFonts w:hint="eastAsia" w:ascii="Arial" w:hAnsi="Arial" w:eastAsia="宋体" w:cs="Arial"/>
                <w:b/>
                <w:color w:val="auto"/>
                <w:highlight w:val="none"/>
                <w:lang w:val="en-US" w:eastAsia="zh-CN"/>
              </w:rPr>
              <w:t>2</w:t>
            </w:r>
            <w:r>
              <w:rPr>
                <w:rFonts w:hint="eastAsia" w:ascii="Arial" w:hAnsi="Arial" w:eastAsia="宋体" w:cs="Arial"/>
                <w:b/>
                <w:color w:val="auto"/>
                <w:highlight w:val="none"/>
                <w:lang w:val="en-US" w:eastAsia="zh-CN"/>
              </w:rPr>
              <w:t>9</w:t>
            </w:r>
            <w:r>
              <w:rPr>
                <w:rFonts w:hint="default" w:ascii="Arial" w:hAnsi="Arial" w:eastAsia="宋体" w:cs="Arial"/>
                <w:b/>
                <w:color w:val="auto"/>
                <w:highlight w:val="none"/>
              </w:rPr>
              <w:t>日上午09：00</w:t>
            </w:r>
            <w:r>
              <w:rPr>
                <w:rFonts w:hint="default" w:ascii="Arial" w:hAnsi="Arial" w:eastAsia="宋体" w:cs="Arial"/>
                <w:b/>
                <w:color w:val="auto"/>
                <w:szCs w:val="21"/>
                <w:highlight w:val="none"/>
              </w:rPr>
              <w:t>正</w:t>
            </w:r>
            <w:r>
              <w:rPr>
                <w:rFonts w:hint="default" w:ascii="Arial" w:hAnsi="Arial" w:eastAsia="宋体" w:cs="Arial"/>
                <w:color w:val="auto"/>
                <w:szCs w:val="21"/>
                <w:highlight w:val="none"/>
              </w:rPr>
              <w:t xml:space="preserve"> (北京时间)</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开标地点：瑞安市公共资源交易中心开标室；（瑞安滨江大道外滩满庭芳大楼三楼）（见当天大厅公示栏）</w:t>
            </w:r>
          </w:p>
          <w:p>
            <w:pPr>
              <w:spacing w:line="360" w:lineRule="exact"/>
              <w:rPr>
                <w:rFonts w:hint="default" w:ascii="Arial" w:hAnsi="Arial" w:eastAsia="宋体" w:cs="Arial"/>
                <w:b/>
                <w:color w:val="auto"/>
                <w:szCs w:val="21"/>
                <w:highlight w:val="none"/>
              </w:rPr>
            </w:pPr>
            <w:r>
              <w:rPr>
                <w:rFonts w:hint="default" w:ascii="Arial" w:hAnsi="Arial" w:eastAsia="宋体" w:cs="Arial"/>
                <w:b/>
                <w:color w:val="auto"/>
                <w:szCs w:val="21"/>
                <w:highlight w:val="none"/>
              </w:rPr>
              <w:t>采购代理机构将按照招标文件规定的开标时间通过“政府采购云平台”组织开标、开启投标文件，所有供应商均应当准时在线参加。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2"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开标及评审程序</w:t>
            </w:r>
          </w:p>
        </w:tc>
        <w:tc>
          <w:tcPr>
            <w:tcW w:w="7262" w:type="dxa"/>
            <w:noWrap w:val="0"/>
            <w:vAlign w:val="center"/>
          </w:tcPr>
          <w:p>
            <w:pPr>
              <w:widowControl/>
              <w:numPr>
                <w:ilvl w:val="0"/>
                <w:numId w:val="13"/>
              </w:numPr>
              <w:spacing w:line="360" w:lineRule="exact"/>
              <w:ind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开标程序</w:t>
            </w:r>
          </w:p>
          <w:p>
            <w:pPr>
              <w:widowControl/>
              <w:numPr>
                <w:ilvl w:val="0"/>
                <w:numId w:val="14"/>
              </w:numPr>
              <w:spacing w:line="360" w:lineRule="exact"/>
              <w:ind w:left="0" w:firstLine="25"/>
              <w:jc w:val="left"/>
              <w:rPr>
                <w:rFonts w:hint="default" w:ascii="Arial" w:hAnsi="Arial" w:eastAsia="宋体" w:cs="Arial"/>
                <w:color w:val="auto"/>
                <w:szCs w:val="21"/>
                <w:highlight w:val="none"/>
                <w:lang w:bidi="ar"/>
              </w:rPr>
            </w:pPr>
            <w:r>
              <w:rPr>
                <w:rFonts w:hint="default" w:ascii="Arial" w:hAnsi="Arial" w:eastAsia="宋体" w:cs="Arial"/>
                <w:bCs/>
                <w:color w:val="auto"/>
                <w:szCs w:val="21"/>
                <w:highlight w:val="none"/>
              </w:rPr>
              <w:t>开标后，采购代理机构将向各投标供应商发出“电子加密投标文件”的解密通知，各投标供应商代表应当在接到解密通知后30分钟内自行完成“电子加密投标文件”的在线解密</w:t>
            </w:r>
            <w:r>
              <w:rPr>
                <w:rFonts w:hint="default" w:ascii="Arial" w:hAnsi="Arial" w:eastAsia="宋体" w:cs="Arial"/>
                <w:color w:val="auto"/>
                <w:szCs w:val="21"/>
                <w:highlight w:val="none"/>
                <w:lang w:bidi="ar"/>
              </w:rPr>
              <w:t>；</w:t>
            </w:r>
          </w:p>
          <w:p>
            <w:pPr>
              <w:widowControl/>
              <w:numPr>
                <w:ilvl w:val="0"/>
                <w:numId w:val="14"/>
              </w:numPr>
              <w:spacing w:line="360" w:lineRule="exact"/>
              <w:ind w:left="0" w:firstLine="25"/>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投标供应商成功递交的“电子加密投标文件”无法按时解密的，如已按规定递交了“备份投标文件”的，将由采购代理机构按“政府采购云平台”操作规范将“备份投标文件”上传至“政府采购云平台”，上传成功后，“电子加密投标文件”自动失效；</w:t>
            </w:r>
          </w:p>
          <w:p>
            <w:pPr>
              <w:widowControl/>
              <w:numPr>
                <w:ilvl w:val="0"/>
                <w:numId w:val="14"/>
              </w:numPr>
              <w:spacing w:line="360" w:lineRule="exact"/>
              <w:ind w:left="0" w:firstLine="25"/>
              <w:jc w:val="left"/>
              <w:rPr>
                <w:rFonts w:hint="default" w:ascii="Arial" w:hAnsi="Arial" w:eastAsia="宋体" w:cs="Arial"/>
                <w:b/>
                <w:bCs/>
                <w:color w:val="auto"/>
                <w:szCs w:val="21"/>
                <w:highlight w:val="none"/>
              </w:rPr>
            </w:pPr>
            <w:r>
              <w:rPr>
                <w:rFonts w:hint="default" w:ascii="Arial" w:hAnsi="Arial" w:eastAsia="宋体" w:cs="Arial"/>
                <w:b/>
                <w:color w:val="auto"/>
                <w:szCs w:val="21"/>
                <w:highlight w:val="none"/>
                <w:lang w:bidi="ar"/>
              </w:rPr>
              <w:t>解密结束后，各供应商授权代表在规定时间内，将《政府采购活动现场确认声明书》（详见附表）填写完整并签字后扫描件发至采购代理机构指定电子邮箱。</w:t>
            </w:r>
          </w:p>
          <w:p>
            <w:pPr>
              <w:widowControl/>
              <w:numPr>
                <w:ilvl w:val="0"/>
                <w:numId w:val="13"/>
              </w:numPr>
              <w:spacing w:line="360" w:lineRule="exact"/>
              <w:ind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评审程序</w:t>
            </w:r>
          </w:p>
          <w:p>
            <w:pPr>
              <w:widowControl/>
              <w:numPr>
                <w:ilvl w:val="0"/>
                <w:numId w:val="15"/>
              </w:numPr>
              <w:spacing w:line="360" w:lineRule="exact"/>
              <w:ind w:left="358"/>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先进行资格性、符合性评审；</w:t>
            </w:r>
          </w:p>
          <w:p>
            <w:pPr>
              <w:widowControl/>
              <w:numPr>
                <w:ilvl w:val="0"/>
                <w:numId w:val="15"/>
              </w:numPr>
              <w:spacing w:line="360" w:lineRule="exact"/>
              <w:ind w:left="358"/>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再对资格性、符合性审查合格的投标供应商进行技术、商务评审；</w:t>
            </w:r>
          </w:p>
          <w:p>
            <w:pPr>
              <w:widowControl/>
              <w:numPr>
                <w:ilvl w:val="0"/>
                <w:numId w:val="15"/>
              </w:numPr>
              <w:spacing w:line="360" w:lineRule="exact"/>
              <w:ind w:left="-68"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然后对合格投标供应商（指资格性、符合性、技术商务文件均合格）报价文件评审；</w:t>
            </w:r>
          </w:p>
          <w:p>
            <w:pPr>
              <w:widowControl/>
              <w:numPr>
                <w:ilvl w:val="0"/>
                <w:numId w:val="15"/>
              </w:numPr>
              <w:spacing w:line="360" w:lineRule="exact"/>
              <w:ind w:left="-68"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最后公布评审结果。</w:t>
            </w:r>
          </w:p>
          <w:p>
            <w:pPr>
              <w:spacing w:line="360" w:lineRule="exact"/>
              <w:ind w:left="-4" w:leftChars="-2" w:firstLine="2"/>
              <w:rPr>
                <w:rFonts w:hint="default" w:ascii="Arial" w:hAnsi="Arial" w:eastAsia="宋体" w:cs="Arial"/>
                <w:b/>
                <w:color w:val="auto"/>
                <w:szCs w:val="21"/>
                <w:highlight w:val="none"/>
                <w:lang w:bidi="ar"/>
              </w:rPr>
            </w:pPr>
            <w:r>
              <w:rPr>
                <w:rFonts w:hint="default" w:ascii="Arial" w:hAnsi="Arial" w:eastAsia="宋体" w:cs="Arial"/>
                <w:b/>
                <w:color w:val="auto"/>
                <w:szCs w:val="21"/>
                <w:highlight w:val="none"/>
                <w:lang w:bidi="ar"/>
              </w:rPr>
              <w:t>特别说明：当“政采云平台”电子化开标或评审程序调整时，按调整后程序执行。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83"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评标委员会的组建</w:t>
            </w:r>
          </w:p>
        </w:tc>
        <w:tc>
          <w:tcPr>
            <w:tcW w:w="7262" w:type="dxa"/>
            <w:noWrap w:val="0"/>
            <w:vAlign w:val="center"/>
          </w:tcPr>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评标委员会构成： 由招标人代表以及有关技术、经济等方面的专家组成，成员为五人及以上单数，其中技术、经济类专家不得少于总人数的2/3；</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276" w:lineRule="auto"/>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诚信履约管理</w:t>
            </w:r>
          </w:p>
        </w:tc>
        <w:tc>
          <w:tcPr>
            <w:tcW w:w="7262" w:type="dxa"/>
            <w:noWrap w:val="0"/>
            <w:vAlign w:val="center"/>
          </w:tcPr>
          <w:p>
            <w:pPr>
              <w:spacing w:line="276"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合同签订后，招标人依法加强对合同履约进行管理。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9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解释权</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采购单位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10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落实政府采购支持中小企业、监狱企业及残疾人福利性单位发展政策</w:t>
            </w:r>
          </w:p>
        </w:tc>
        <w:tc>
          <w:tcPr>
            <w:tcW w:w="7262" w:type="dxa"/>
            <w:noWrap w:val="0"/>
            <w:vAlign w:val="center"/>
          </w:tcPr>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专门面向中小企业采购项目</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 非专门面向中小企业采购项目。对小型和微型企业服务评标价给予6%～10%的扣除，用扣除后的价格参与评审。</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本项目的扣除比例为：小型、微型企业均扣除</w:t>
            </w:r>
            <w:r>
              <w:rPr>
                <w:rFonts w:hint="default" w:ascii="Arial" w:hAnsi="Arial" w:eastAsia="宋体" w:cs="Arial"/>
                <w:color w:val="auto"/>
                <w:szCs w:val="21"/>
                <w:highlight w:val="none"/>
                <w:u w:val="single"/>
              </w:rPr>
              <w:t xml:space="preserve"> 6 </w:t>
            </w:r>
            <w:r>
              <w:rPr>
                <w:rFonts w:hint="default" w:ascii="Arial" w:hAnsi="Arial" w:eastAsia="宋体" w:cs="Arial"/>
                <w:color w:val="auto"/>
                <w:szCs w:val="21"/>
                <w:highlight w:val="none"/>
              </w:rPr>
              <w:t>%</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监狱企业、残疾人福利性单位视同小型、微型企业，享受价格扣除。</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残疾人福利性单位属于小型、微型企业的，不重复享受政策。</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2"/>
                <w:highlight w:val="none"/>
                <w:lang w:val="en-US" w:eastAsia="zh-CN"/>
              </w:rPr>
              <w:t xml:space="preserve">本项目对应的中小企业划分标准所属行业为：其他未列明行业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036"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合同管理</w:t>
            </w:r>
          </w:p>
        </w:tc>
        <w:tc>
          <w:tcPr>
            <w:tcW w:w="7262" w:type="dxa"/>
            <w:noWrap w:val="0"/>
            <w:vAlign w:val="center"/>
          </w:tcPr>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1.中标供应商与招标人签订合同后，三个工作日内将合同原件交给浙江省建设工程设备招标有限公司备案。</w:t>
            </w:r>
          </w:p>
          <w:p>
            <w:pPr>
              <w:spacing w:line="360" w:lineRule="exact"/>
              <w:rPr>
                <w:rFonts w:hint="default" w:ascii="Arial" w:hAnsi="Arial" w:eastAsia="宋体" w:cs="Arial"/>
                <w:bCs/>
                <w:color w:val="auto"/>
                <w:szCs w:val="21"/>
                <w:highlight w:val="none"/>
              </w:rPr>
            </w:pPr>
            <w:r>
              <w:rPr>
                <w:rFonts w:hint="default" w:ascii="Arial" w:hAnsi="Arial" w:eastAsia="宋体" w:cs="Arial"/>
                <w:color w:val="auto"/>
                <w:szCs w:val="21"/>
                <w:highlight w:val="none"/>
              </w:rPr>
              <w:t>2.招标人在合同签订后七个工作日内要及时向财政监督管理部门申请备案。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043"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备注</w:t>
            </w:r>
          </w:p>
        </w:tc>
        <w:tc>
          <w:tcPr>
            <w:tcW w:w="7262" w:type="dxa"/>
            <w:noWrap w:val="0"/>
            <w:vAlign w:val="center"/>
          </w:tcPr>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请务必确保投标文件制作客户端为最新版本，旧版本可能导致投标文件解密失败。</w:t>
            </w:r>
          </w:p>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请务必确保投标文件制作时所用的 CA 锁与投标文件解密时的 CA 锁为同一把，否则可能导致投标文件解密失败。</w:t>
            </w:r>
          </w:p>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在投标文件解密前，请务必检验 CA 锁与所用电脑的兼容性，部分电脑因 CA 驱动未正常安装、USB 接口兼容性差等原因可能造成投标文件解密失败。</w:t>
            </w:r>
          </w:p>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color w:val="auto"/>
                <w:highlight w:val="none"/>
              </w:rPr>
              <w:t>供应商未按招标文件规定及提醒操作的，引起的一切后果由供应商自行负责。</w:t>
            </w:r>
          </w:p>
        </w:tc>
      </w:tr>
    </w:tbl>
    <w:p>
      <w:pPr>
        <w:pStyle w:val="3"/>
        <w:spacing w:before="156" w:beforeLines="50" w:after="156" w:afterLines="50" w:line="240" w:lineRule="auto"/>
        <w:jc w:val="center"/>
        <w:rPr>
          <w:rFonts w:hint="default" w:ascii="Arial" w:hAnsi="Arial" w:eastAsia="宋体" w:cs="Arial"/>
          <w:color w:val="auto"/>
          <w:sz w:val="24"/>
          <w:szCs w:val="24"/>
          <w:highlight w:val="none"/>
        </w:rPr>
      </w:pPr>
      <w:bookmarkStart w:id="17" w:name="_Toc40429180"/>
      <w:bookmarkStart w:id="18" w:name="_Toc474156085"/>
      <w:r>
        <w:rPr>
          <w:rFonts w:hint="default" w:ascii="Arial" w:hAnsi="Arial" w:eastAsia="宋体" w:cs="Arial"/>
          <w:color w:val="auto"/>
          <w:sz w:val="24"/>
          <w:szCs w:val="24"/>
          <w:highlight w:val="none"/>
        </w:rPr>
        <w:br w:type="page"/>
      </w:r>
      <w:r>
        <w:rPr>
          <w:rFonts w:hint="default" w:ascii="Arial" w:hAnsi="Arial" w:eastAsia="宋体" w:cs="Arial"/>
          <w:color w:val="auto"/>
          <w:sz w:val="24"/>
          <w:szCs w:val="24"/>
          <w:highlight w:val="none"/>
        </w:rPr>
        <w:t>（二）总则</w:t>
      </w:r>
      <w:bookmarkEnd w:id="17"/>
      <w:bookmarkEnd w:id="18"/>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说明</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本次招标工作是根据《中华人民共和国政府采购法》、《政府采购货物和服务招标投标管理办法》、《中华人民共和国政府采购法实施条例》、《浙江省政府采购项目电子交易管理暂行办法》等有关规定，结合本项目的实际，组织和实施。</w:t>
      </w:r>
    </w:p>
    <w:p>
      <w:pPr>
        <w:numPr>
          <w:ilvl w:val="1"/>
          <w:numId w:val="17"/>
        </w:numPr>
        <w:snapToGrid w:val="0"/>
        <w:spacing w:line="400" w:lineRule="exact"/>
        <w:rPr>
          <w:rFonts w:hint="default" w:ascii="Arial" w:hAnsi="Arial" w:eastAsia="宋体" w:cs="Arial"/>
          <w:color w:val="auto"/>
          <w:highlight w:val="none"/>
          <w:u w:val="wave"/>
        </w:rPr>
      </w:pPr>
      <w:r>
        <w:rPr>
          <w:rFonts w:hint="default" w:ascii="Arial" w:hAnsi="Arial" w:eastAsia="宋体" w:cs="Arial"/>
          <w:color w:val="auto"/>
          <w:highlight w:val="none"/>
        </w:rPr>
        <w:t>资金来源：</w:t>
      </w:r>
      <w:r>
        <w:rPr>
          <w:rFonts w:hint="default" w:ascii="Arial" w:hAnsi="Arial" w:eastAsia="宋体" w:cs="Arial"/>
          <w:color w:val="auto"/>
          <w:szCs w:val="21"/>
          <w:highlight w:val="none"/>
        </w:rPr>
        <w:t>财政性资金。</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定义及解释</w:t>
      </w:r>
    </w:p>
    <w:p>
      <w:pPr>
        <w:numPr>
          <w:ilvl w:val="1"/>
          <w:numId w:val="17"/>
        </w:numPr>
        <w:tabs>
          <w:tab w:val="left" w:pos="9373"/>
        </w:tabs>
        <w:snapToGrid w:val="0"/>
        <w:spacing w:line="400" w:lineRule="exact"/>
        <w:ind w:right="-67" w:rightChars="-32"/>
        <w:rPr>
          <w:rFonts w:hint="default" w:ascii="Arial" w:hAnsi="Arial" w:eastAsia="宋体" w:cs="Arial"/>
          <w:color w:val="auto"/>
          <w:highlight w:val="none"/>
        </w:rPr>
      </w:pPr>
      <w:r>
        <w:rPr>
          <w:rFonts w:hint="default" w:ascii="Arial" w:hAnsi="Arial" w:eastAsia="宋体" w:cs="Arial"/>
          <w:color w:val="auto"/>
          <w:highlight w:val="none"/>
        </w:rPr>
        <w:t>招   标   人：</w:t>
      </w:r>
      <w:r>
        <w:rPr>
          <w:rFonts w:hint="default" w:ascii="Arial" w:hAnsi="Arial" w:eastAsia="宋体" w:cs="Arial"/>
          <w:color w:val="auto"/>
          <w:szCs w:val="21"/>
          <w:highlight w:val="none"/>
          <w:lang w:eastAsia="zh-CN"/>
        </w:rPr>
        <w:t>瑞安市公安局</w:t>
      </w:r>
      <w:r>
        <w:rPr>
          <w:rFonts w:hint="default" w:ascii="Arial" w:hAnsi="Arial" w:eastAsia="宋体" w:cs="Arial"/>
          <w:color w:val="auto"/>
          <w:highlight w:val="none"/>
        </w:rPr>
        <w:t>；</w:t>
      </w:r>
    </w:p>
    <w:p>
      <w:pPr>
        <w:numPr>
          <w:ilvl w:val="1"/>
          <w:numId w:val="17"/>
        </w:numPr>
        <w:tabs>
          <w:tab w:val="left" w:pos="9373"/>
        </w:tabs>
        <w:snapToGrid w:val="0"/>
        <w:spacing w:line="400" w:lineRule="exact"/>
        <w:ind w:right="-67" w:rightChars="-32"/>
        <w:rPr>
          <w:rFonts w:hint="default" w:ascii="Arial" w:hAnsi="Arial" w:eastAsia="宋体" w:cs="Arial"/>
          <w:color w:val="auto"/>
          <w:highlight w:val="none"/>
        </w:rPr>
      </w:pPr>
      <w:r>
        <w:rPr>
          <w:rFonts w:hint="default" w:ascii="Arial" w:hAnsi="Arial" w:eastAsia="宋体" w:cs="Arial"/>
          <w:color w:val="auto"/>
          <w:highlight w:val="none"/>
        </w:rPr>
        <w:t>采购代理机构：浙江省建设工程设备招标有限公司；</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招标采购单位：系指组织本次招标的</w:t>
      </w:r>
      <w:r>
        <w:rPr>
          <w:rFonts w:hint="default" w:ascii="Arial" w:hAnsi="Arial" w:eastAsia="宋体" w:cs="Arial"/>
          <w:color w:val="auto"/>
          <w:szCs w:val="21"/>
          <w:highlight w:val="none"/>
        </w:rPr>
        <w:t>浙江省建设工程设备招标有限公司</w:t>
      </w:r>
      <w:r>
        <w:rPr>
          <w:rFonts w:hint="default" w:ascii="Arial" w:hAnsi="Arial" w:eastAsia="宋体" w:cs="Arial"/>
          <w:color w:val="auto"/>
          <w:highlight w:val="none"/>
        </w:rPr>
        <w:t>和招标人；</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投标供应商：应采购、参加投标竞争的依法成立的供应商；</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中标供应商：系指在本次招标中中标的投标供应商。</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评标委员会：评标委员会是依据《中华人民共和国政府采购法》组建的专门负责采购评审工作的临时性机构。</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日期：指公历日。</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合同：指由采购所产生的合同或合约文件。</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szCs w:val="21"/>
          <w:highlight w:val="none"/>
        </w:rPr>
        <w:t>电子加密投标文件：指通过“政采云电子交易客户端”完成投标文件编制后生成并加密的数据电文形式的投标文件，</w:t>
      </w:r>
      <w:r>
        <w:rPr>
          <w:rFonts w:hint="default" w:ascii="Arial" w:hAnsi="Arial" w:eastAsia="宋体" w:cs="Arial"/>
          <w:b/>
          <w:color w:val="auto"/>
          <w:szCs w:val="21"/>
          <w:highlight w:val="none"/>
          <w:u w:val="single"/>
        </w:rPr>
        <w:t>文件后缀格式.jmbs。</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szCs w:val="21"/>
          <w:highlight w:val="none"/>
        </w:rPr>
        <w:t>备份投标文件：指与“电子加密投标文件”同时生成的数据电文形式的电子文件（备份标书），</w:t>
      </w:r>
      <w:r>
        <w:rPr>
          <w:rFonts w:hint="default" w:ascii="Arial" w:hAnsi="Arial" w:eastAsia="宋体" w:cs="Arial"/>
          <w:b/>
          <w:color w:val="auto"/>
          <w:szCs w:val="21"/>
          <w:highlight w:val="none"/>
          <w:u w:val="single"/>
        </w:rPr>
        <w:t>文件后缀格式.bfbs</w:t>
      </w:r>
      <w:r>
        <w:rPr>
          <w:rFonts w:hint="default" w:ascii="Arial" w:hAnsi="Arial" w:eastAsia="宋体" w:cs="Arial"/>
          <w:b/>
          <w:color w:val="auto"/>
          <w:szCs w:val="21"/>
          <w:highlight w:val="none"/>
        </w:rPr>
        <w:t>。</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电子签章：投标供应商</w:t>
      </w:r>
      <w:r>
        <w:rPr>
          <w:rFonts w:hint="default" w:ascii="Arial" w:hAnsi="Arial" w:eastAsia="宋体" w:cs="Arial"/>
          <w:b/>
          <w:bCs/>
          <w:color w:val="auto"/>
          <w:szCs w:val="21"/>
          <w:highlight w:val="none"/>
        </w:rPr>
        <w:t>通过“政采云平台”办理的CA锁进行的签章。</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招标文件中的标题或题名仅起引导作用，而不应视为对招标文件内容的理解和解释。</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“书面形式”是指任何手写的、打印的或印刷的文件，包括电报和传真发送。</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合格的投标供应商</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基本资格条件：</w:t>
      </w:r>
    </w:p>
    <w:p>
      <w:pPr>
        <w:snapToGrid w:val="0"/>
        <w:spacing w:line="400" w:lineRule="exact"/>
        <w:ind w:left="850" w:leftChars="405"/>
        <w:rPr>
          <w:rFonts w:hint="default" w:ascii="Arial" w:hAnsi="Arial" w:eastAsia="宋体" w:cs="Arial"/>
          <w:color w:val="auto"/>
          <w:szCs w:val="21"/>
          <w:highlight w:val="none"/>
        </w:rPr>
      </w:pPr>
      <w:r>
        <w:rPr>
          <w:rFonts w:hint="default" w:ascii="Arial" w:hAnsi="Arial" w:eastAsia="宋体" w:cs="Arial"/>
          <w:color w:val="auto"/>
          <w:szCs w:val="21"/>
          <w:highlight w:val="none"/>
        </w:rPr>
        <w:t>（1）</w:t>
      </w:r>
      <w:r>
        <w:rPr>
          <w:rFonts w:hint="default" w:ascii="Arial" w:hAnsi="Arial" w:eastAsia="宋体" w:cs="Arial"/>
          <w:color w:val="auto"/>
          <w:szCs w:val="21"/>
          <w:highlight w:val="none"/>
        </w:rPr>
        <w:tab/>
      </w:r>
      <w:r>
        <w:rPr>
          <w:rFonts w:hint="default" w:ascii="Arial" w:hAnsi="Arial" w:eastAsia="宋体" w:cs="Arial"/>
          <w:color w:val="auto"/>
          <w:szCs w:val="21"/>
          <w:highlight w:val="none"/>
        </w:rPr>
        <w:t>符合《中华人民共和国政府采购法》第二十二条规定；</w:t>
      </w:r>
    </w:p>
    <w:p>
      <w:pPr>
        <w:snapToGrid w:val="0"/>
        <w:spacing w:line="400" w:lineRule="exact"/>
        <w:ind w:left="850" w:leftChars="405"/>
        <w:rPr>
          <w:rFonts w:hint="default" w:ascii="Arial" w:hAnsi="Arial" w:eastAsia="宋体" w:cs="Arial"/>
          <w:color w:val="auto"/>
          <w:szCs w:val="21"/>
          <w:highlight w:val="none"/>
        </w:rPr>
      </w:pPr>
      <w:r>
        <w:rPr>
          <w:rFonts w:hint="default" w:ascii="Arial" w:hAnsi="Arial" w:eastAsia="宋体" w:cs="Arial"/>
          <w:color w:val="auto"/>
          <w:szCs w:val="21"/>
          <w:highlight w:val="none"/>
        </w:rPr>
        <w:t>（2）</w:t>
      </w:r>
      <w:r>
        <w:rPr>
          <w:rFonts w:hint="default" w:ascii="Arial" w:hAnsi="Arial" w:eastAsia="宋体" w:cs="Arial"/>
          <w:color w:val="auto"/>
          <w:szCs w:val="21"/>
          <w:highlight w:val="none"/>
        </w:rPr>
        <w:tab/>
      </w:r>
      <w:r>
        <w:rPr>
          <w:rFonts w:hint="default" w:ascii="Arial" w:hAnsi="Arial" w:eastAsia="宋体" w:cs="Arial"/>
          <w:color w:val="auto"/>
          <w:szCs w:val="21"/>
          <w:highlight w:val="none"/>
        </w:rPr>
        <w:t>未被信用中国网站（www.creditchina.gov.cn）列入失信被执行人、重大税收违法件当事人名单，未被中国政府采购网（www.ccgp.gov.cn）列入政府采购严重违法失信行为记录名单。</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ab/>
      </w:r>
      <w:r>
        <w:rPr>
          <w:rFonts w:hint="default" w:ascii="Arial" w:hAnsi="Arial" w:eastAsia="宋体" w:cs="Arial"/>
          <w:color w:val="auto"/>
          <w:highlight w:val="none"/>
        </w:rPr>
        <w:t>特定资格条件：具有有效的《劳务派遣经营许可证》。</w:t>
      </w:r>
    </w:p>
    <w:p>
      <w:pPr>
        <w:numPr>
          <w:ilvl w:val="0"/>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b/>
          <w:color w:val="auto"/>
          <w:sz w:val="24"/>
          <w:highlight w:val="none"/>
        </w:rPr>
        <w:t>信用查询</w:t>
      </w:r>
    </w:p>
    <w:p>
      <w:pPr>
        <w:widowControl/>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信用信息查询的截止时点：以开标当日采购代理机构核实的查询结果为准。</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查询渠道与留存方式：采购代理机构登录“信用中国”（</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HYPERLINK "http://www.creditchina.gov.cn/"</w:instrText>
      </w:r>
      <w:r>
        <w:rPr>
          <w:rFonts w:hint="default" w:ascii="Arial" w:hAnsi="Arial" w:eastAsia="宋体" w:cs="Arial"/>
          <w:color w:val="auto"/>
          <w:szCs w:val="21"/>
          <w:highlight w:val="none"/>
        </w:rPr>
        <w:fldChar w:fldCharType="separate"/>
      </w:r>
      <w:r>
        <w:rPr>
          <w:rFonts w:hint="default" w:ascii="Arial" w:hAnsi="Arial" w:eastAsia="宋体" w:cs="Arial"/>
          <w:color w:val="auto"/>
          <w:szCs w:val="21"/>
          <w:highlight w:val="none"/>
        </w:rPr>
        <w:t>www.creditchina.gov.cn</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）、“中国政府采购网”（</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HYPERLINK "http://www.ccgp.gov.cn/"</w:instrText>
      </w:r>
      <w:r>
        <w:rPr>
          <w:rFonts w:hint="default" w:ascii="Arial" w:hAnsi="Arial" w:eastAsia="宋体" w:cs="Arial"/>
          <w:color w:val="auto"/>
          <w:szCs w:val="21"/>
          <w:highlight w:val="none"/>
        </w:rPr>
        <w:fldChar w:fldCharType="separate"/>
      </w:r>
      <w:r>
        <w:rPr>
          <w:rFonts w:hint="default" w:ascii="Arial" w:hAnsi="Arial" w:eastAsia="宋体" w:cs="Arial"/>
          <w:color w:val="auto"/>
          <w:szCs w:val="21"/>
          <w:highlight w:val="none"/>
        </w:rPr>
        <w:t>www.ccgp.gov.cn</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）网站查询各投标供应商信用记录，网页截图并打印存档。</w:t>
      </w:r>
    </w:p>
    <w:p>
      <w:pPr>
        <w:numPr>
          <w:ilvl w:val="1"/>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color w:val="auto"/>
          <w:szCs w:val="21"/>
          <w:highlight w:val="none"/>
        </w:rPr>
        <w:t>不良信用记录指：被列入失信被执行人、重大税收违法案件当事人名单、政府采购严重违法失信行为记录名单及其他不符合《中华人民共和国政府采购法》第二十二条规定条件。存在不良信用记录的投标供应商，将被拒绝参与政府采购活动。</w:t>
      </w:r>
    </w:p>
    <w:p>
      <w:pPr>
        <w:numPr>
          <w:ilvl w:val="1"/>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color w:val="auto"/>
          <w:szCs w:val="21"/>
          <w:highlight w:val="none"/>
        </w:rPr>
        <w:t>联合体投标时，采购代理机构将对所有联合体成员进行信用记录查询，联合体成员存在不良信用记录的，视同联合体存在不良信用记录。</w:t>
      </w:r>
    </w:p>
    <w:p>
      <w:pPr>
        <w:widowControl/>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联合体投标：本项目不接受联合体投标。</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保密与披露事项</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投标供应商不得串通，以不正当的手段妨碍排挤其他投标供应商，扰乱市场，破坏公平竞争原则。</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投标供应商自购买招标文件之日起，须承诺承担本招标项目下保密义务，不得将因本次招标获得的信息向第三方外传。</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招标人有权将投标供应商提供的所有资料向其他政府部门或有关的非政府机构负责评审标书的人员或与评标有关的人员披露。</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招标人有权在认为适当时，或在任何第三者提出要求（书面或其他方式）时，无须事先征求中标供应商同意而披露关于已订立合约的资料、中标供应商的名称及地址、中标服务的有关信息以及合约条款等。</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投标费用</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sz w:val="22"/>
          <w:highlight w:val="none"/>
        </w:rPr>
        <w:t>不论投标的结果如何，投标供应商应自行承担所有与参加投标有关的全部费用。</w:t>
      </w:r>
    </w:p>
    <w:p>
      <w:pPr>
        <w:numPr>
          <w:ilvl w:val="1"/>
          <w:numId w:val="17"/>
        </w:numPr>
        <w:spacing w:line="400" w:lineRule="exact"/>
        <w:rPr>
          <w:rFonts w:hint="default" w:ascii="Arial" w:hAnsi="Arial" w:eastAsia="宋体" w:cs="Arial"/>
          <w:color w:val="auto"/>
          <w:highlight w:val="none"/>
          <w:u w:val="wave"/>
        </w:rPr>
      </w:pPr>
      <w:r>
        <w:rPr>
          <w:rFonts w:hint="default" w:ascii="Arial" w:hAnsi="Arial" w:eastAsia="宋体" w:cs="Arial"/>
          <w:color w:val="auto"/>
          <w:highlight w:val="none"/>
        </w:rPr>
        <w:t>投标供应商应按中国税法有关规定交纳税费，招标人不承担投标供应商因获得上述补偿金所发生的任何税费。</w:t>
      </w:r>
    </w:p>
    <w:p>
      <w:pPr>
        <w:numPr>
          <w:ilvl w:val="0"/>
          <w:numId w:val="17"/>
        </w:numPr>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投标货币</w:t>
      </w:r>
      <w:r>
        <w:rPr>
          <w:rFonts w:hint="default" w:ascii="Arial" w:hAnsi="Arial" w:eastAsia="宋体" w:cs="Arial"/>
          <w:b/>
          <w:color w:val="auto"/>
          <w:szCs w:val="21"/>
          <w:highlight w:val="none"/>
        </w:rPr>
        <w:t>：人民币。</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踏勘现场：</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投标供应商应自行对服务现场及周围环境进行踏勘，以便获取须自己负责的有关编制投标文件和签署合同所需的所有资料，踏勘现场所发生的费用由投标供应商自己承担。</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投标供应商及有关人员经过招标人的允许，可为踏勘目的进入招标人的服务现场，但投标供应商及其人员不得因此使招标人承担有关的责任和蒙受损失。</w:t>
      </w:r>
    </w:p>
    <w:p>
      <w:pPr>
        <w:numPr>
          <w:ilvl w:val="1"/>
          <w:numId w:val="17"/>
        </w:numPr>
        <w:spacing w:line="400" w:lineRule="exact"/>
        <w:rPr>
          <w:rFonts w:hint="default" w:ascii="Arial" w:hAnsi="Arial" w:eastAsia="宋体" w:cs="Arial"/>
          <w:b/>
          <w:color w:val="auto"/>
          <w:sz w:val="24"/>
          <w:highlight w:val="none"/>
        </w:rPr>
      </w:pPr>
      <w:r>
        <w:rPr>
          <w:rFonts w:hint="default" w:ascii="Arial" w:hAnsi="Arial" w:eastAsia="宋体" w:cs="Arial"/>
          <w:color w:val="auto"/>
          <w:highlight w:val="none"/>
        </w:rPr>
        <w:t>招标人向投标供应商提供的有关现场的资料和数据，是招标人现有的能使投标供应商利用的资料，招标人对投标供应商由此而作出的推论、理解和结论概不负责。</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备选投标方案：</w:t>
      </w:r>
      <w:r>
        <w:rPr>
          <w:rFonts w:hint="default" w:ascii="Arial" w:hAnsi="Arial" w:eastAsia="宋体" w:cs="Arial"/>
          <w:color w:val="auto"/>
          <w:highlight w:val="none"/>
        </w:rPr>
        <w:t>不允许。</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投标委托</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highlight w:val="none"/>
        </w:rPr>
        <w:t>如投标供应商代表不是法定代表人，须持有《法定代表人授权委托书》，</w:t>
      </w:r>
      <w:r>
        <w:rPr>
          <w:rFonts w:hint="default" w:ascii="Arial" w:hAnsi="Arial" w:eastAsia="宋体" w:cs="Arial"/>
          <w:b/>
          <w:color w:val="auto"/>
          <w:highlight w:val="none"/>
        </w:rPr>
        <w:t>授权委托书需具备以下几项条件。</w:t>
      </w:r>
    </w:p>
    <w:p>
      <w:pPr>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a.加盖单位电子签章</w:t>
      </w:r>
    </w:p>
    <w:p>
      <w:pPr>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b.法定代表人签字或盖章</w:t>
      </w:r>
    </w:p>
    <w:p>
      <w:pPr>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c.授权代表身份证件（复印件)</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19" w:name="_Toc474156086"/>
      <w:bookmarkStart w:id="20" w:name="_Toc40429181"/>
      <w:r>
        <w:rPr>
          <w:rFonts w:hint="default" w:ascii="Arial" w:hAnsi="Arial" w:eastAsia="宋体" w:cs="Arial"/>
          <w:color w:val="auto"/>
          <w:sz w:val="24"/>
          <w:szCs w:val="24"/>
          <w:highlight w:val="none"/>
        </w:rPr>
        <w:t>（三）招标文件说明</w:t>
      </w:r>
      <w:bookmarkEnd w:id="19"/>
      <w:bookmarkEnd w:id="20"/>
    </w:p>
    <w:p>
      <w:pPr>
        <w:numPr>
          <w:ilvl w:val="0"/>
          <w:numId w:val="17"/>
        </w:numPr>
        <w:tabs>
          <w:tab w:val="left" w:pos="851"/>
          <w:tab w:val="clear" w:pos="956"/>
        </w:tabs>
        <w:snapToGrid w:val="0"/>
        <w:spacing w:line="400" w:lineRule="exact"/>
        <w:ind w:left="851" w:hanging="746"/>
        <w:rPr>
          <w:rFonts w:hint="default" w:ascii="Arial" w:hAnsi="Arial" w:eastAsia="宋体" w:cs="Arial"/>
          <w:b/>
          <w:color w:val="auto"/>
          <w:sz w:val="24"/>
          <w:highlight w:val="none"/>
        </w:rPr>
      </w:pPr>
      <w:r>
        <w:rPr>
          <w:rFonts w:hint="default" w:ascii="Arial" w:hAnsi="Arial" w:eastAsia="宋体" w:cs="Arial"/>
          <w:b/>
          <w:color w:val="auto"/>
          <w:sz w:val="24"/>
          <w:highlight w:val="none"/>
        </w:rPr>
        <w:t>招标文件构成</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szCs w:val="21"/>
          <w:highlight w:val="none"/>
        </w:rPr>
        <w:t>招标文件是用以阐明所需货物、服务，以及招标、投标程序和相应的合同条款。“招标文件”由下述部分组成：</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第一部分  招标公告</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第二部分  投标供应商须知</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第三部分  招标内容及要求</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第四部分  合同条款</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第五部分  投标文件格式</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第六部分  评标办法</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第七部分  补充通知及答疑（若有）</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投标供应商应详细阅读招标文件的全部内容。如果投标供应商没有按照招标文件要求提交全部资料或者投标文件没有对招标文件在各方面的要求都做出实质性响应，是投标供应商的风险。</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本招标文件要求投标供应商做出实质性响应的有关技术和商务条款，将在该条款前以“▲”醒目标识。</w:t>
      </w:r>
    </w:p>
    <w:p>
      <w:pPr>
        <w:numPr>
          <w:ilvl w:val="0"/>
          <w:numId w:val="17"/>
        </w:numPr>
        <w:tabs>
          <w:tab w:val="left" w:pos="851"/>
          <w:tab w:val="clear" w:pos="956"/>
        </w:tabs>
        <w:snapToGrid w:val="0"/>
        <w:spacing w:line="400" w:lineRule="exact"/>
        <w:ind w:left="851" w:hanging="746"/>
        <w:rPr>
          <w:rFonts w:hint="default" w:ascii="Arial" w:hAnsi="Arial" w:eastAsia="宋体" w:cs="Arial"/>
          <w:b/>
          <w:color w:val="auto"/>
          <w:sz w:val="24"/>
          <w:highlight w:val="none"/>
        </w:rPr>
      </w:pPr>
      <w:r>
        <w:rPr>
          <w:rFonts w:hint="default" w:ascii="Arial" w:hAnsi="Arial" w:eastAsia="宋体" w:cs="Arial"/>
          <w:b/>
          <w:color w:val="auto"/>
          <w:sz w:val="24"/>
          <w:highlight w:val="none"/>
        </w:rPr>
        <w:t>招标文件的澄清</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任何要求对招标文件进行澄清的投标供应商，均应在答疑截止期规定时间以前以书面形式传真或寄送给采购代理机构，采购代理机构对答疑截止期规定时间以前收到的任何澄清要求将以在 “浙江政府采购网”发布公告或传真等类似的形式通知已领取招标文件的所有投标供应商，答复中包括原提出的问题，但不包括问题的来源。</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招标人将视情况确定是否有必要召开标前会，如果召开时会将标前会的通知（包括时间和地点）发给所有投标供应商。</w:t>
      </w:r>
    </w:p>
    <w:p>
      <w:pPr>
        <w:numPr>
          <w:ilvl w:val="0"/>
          <w:numId w:val="17"/>
        </w:numPr>
        <w:tabs>
          <w:tab w:val="left" w:pos="851"/>
          <w:tab w:val="clear" w:pos="956"/>
        </w:tabs>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招标文件的修改</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采购代理机构对已发出的招标文件进行必要澄清或者修改的，将在投标截止期十五天前在 “浙江省政府采购网”上发布更正公告。</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采购代理机构可以视采购具体情况在招标文件要求提交截止时间三天前，作出延长投标截止时间和开标时间的决定。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招标文件澄清、答复、修改、补充的内容为招标文件的组成部分。当招标文件与招标文件的答复、澄清、修改、补充通知就同一内容的表述不一致时，以最后发出的文件为准，对所有投标供应商有约束力。</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21" w:name="_Toc474156087"/>
      <w:bookmarkStart w:id="22" w:name="_Toc40429182"/>
      <w:r>
        <w:rPr>
          <w:rFonts w:hint="default" w:ascii="Arial" w:hAnsi="Arial" w:eastAsia="宋体" w:cs="Arial"/>
          <w:color w:val="auto"/>
          <w:sz w:val="24"/>
          <w:szCs w:val="24"/>
          <w:highlight w:val="none"/>
        </w:rPr>
        <w:t>（四）投标文件的编制</w:t>
      </w:r>
      <w:bookmarkEnd w:id="21"/>
      <w:bookmarkEnd w:id="22"/>
    </w:p>
    <w:p>
      <w:pPr>
        <w:numPr>
          <w:ilvl w:val="0"/>
          <w:numId w:val="17"/>
        </w:numPr>
        <w:snapToGrid w:val="0"/>
        <w:spacing w:line="400" w:lineRule="exact"/>
        <w:rPr>
          <w:rFonts w:hint="default" w:ascii="Arial" w:hAnsi="Arial" w:eastAsia="宋体" w:cs="Arial"/>
          <w:b/>
          <w:bCs/>
          <w:color w:val="auto"/>
          <w:sz w:val="24"/>
          <w:highlight w:val="none"/>
        </w:rPr>
      </w:pPr>
      <w:r>
        <w:rPr>
          <w:rFonts w:hint="default" w:ascii="Arial" w:hAnsi="Arial" w:eastAsia="宋体" w:cs="Arial"/>
          <w:b/>
          <w:bCs/>
          <w:color w:val="auto"/>
          <w:sz w:val="24"/>
          <w:highlight w:val="none"/>
        </w:rPr>
        <w:t>投标文件的说明</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投标供应商提交的投标文件以及投标供应商与招标人就有关投标的所有来往函电均应使用中文。</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投标文件应字迹清楚、内容齐全、不得涂改。如有修改，修改处须有法定代表人或其同一授权代表签字或盖章。</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投标供应商所提供的报价文件、技术、商务文件和资料，包括图纸中的说明，应使用中文简化字。所使用的计量单位，应使用国家法定计量单位。</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必须按招标文件的要求提供相关技术参数、资料，包括采用的计量单位，并保证投标文件的正确性和真实性，否则评标委员会将作出不利于其投标的评定。技术和商务如有偏离均应填写偏离表。不按招标文件的要求提供的投标文件可能导致无效。</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投标文件的组成</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b/>
          <w:bCs/>
          <w:color w:val="auto"/>
          <w:sz w:val="22"/>
          <w:highlight w:val="none"/>
        </w:rPr>
        <w:t>投标供应商编制的投标文件应包括以下部分：</w:t>
      </w:r>
    </w:p>
    <w:p>
      <w:pPr>
        <w:pStyle w:val="109"/>
        <w:ind w:firstLine="0" w:firstLineChars="0"/>
        <w:rPr>
          <w:rFonts w:hint="default" w:ascii="Arial" w:hAnsi="Arial" w:eastAsia="宋体" w:cs="Arial"/>
          <w:b/>
          <w:color w:val="auto"/>
          <w:sz w:val="21"/>
          <w:highlight w:val="none"/>
        </w:rPr>
      </w:pPr>
      <w:r>
        <w:rPr>
          <w:rFonts w:hint="default" w:ascii="Arial" w:hAnsi="Arial" w:eastAsia="宋体" w:cs="Arial"/>
          <w:b/>
          <w:color w:val="auto"/>
          <w:sz w:val="21"/>
          <w:highlight w:val="none"/>
        </w:rPr>
        <w:t>一、资格文件：</w:t>
      </w:r>
    </w:p>
    <w:tbl>
      <w:tblPr>
        <w:tblStyle w:val="34"/>
        <w:tblW w:w="9563"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361"/>
        <w:gridCol w:w="14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noWrap w:val="0"/>
            <w:vAlign w:val="top"/>
          </w:tcPr>
          <w:p>
            <w:pPr>
              <w:overflowPunct w:val="0"/>
              <w:spacing w:line="430" w:lineRule="exact"/>
              <w:ind w:firstLine="99" w:firstLineChars="50"/>
              <w:jc w:val="center"/>
              <w:rPr>
                <w:rFonts w:hint="default" w:ascii="Arial" w:hAnsi="Arial" w:eastAsia="宋体" w:cs="Arial"/>
                <w:color w:val="auto"/>
                <w:szCs w:val="21"/>
                <w:highlight w:val="none"/>
              </w:rPr>
            </w:pPr>
            <w:r>
              <w:rPr>
                <w:rFonts w:hint="default" w:ascii="Arial" w:hAnsi="Arial" w:eastAsia="宋体" w:cs="Arial"/>
                <w:color w:val="auto"/>
                <w:spacing w:val="-6"/>
                <w:szCs w:val="21"/>
                <w:highlight w:val="none"/>
              </w:rPr>
              <w:t>序号</w:t>
            </w:r>
          </w:p>
        </w:tc>
        <w:tc>
          <w:tcPr>
            <w:tcW w:w="7361" w:type="dxa"/>
            <w:noWrap w:val="0"/>
            <w:vAlign w:val="top"/>
          </w:tcPr>
          <w:p>
            <w:pPr>
              <w:overflowPunct w:val="0"/>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内 容</w:t>
            </w:r>
          </w:p>
        </w:tc>
        <w:tc>
          <w:tcPr>
            <w:tcW w:w="1463" w:type="dxa"/>
            <w:noWrap w:val="0"/>
            <w:vAlign w:val="top"/>
          </w:tcPr>
          <w:p>
            <w:pPr>
              <w:tabs>
                <w:tab w:val="center" w:pos="1534"/>
              </w:tabs>
              <w:overflowPunct w:val="0"/>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w:t>
            </w:r>
          </w:p>
        </w:tc>
        <w:tc>
          <w:tcPr>
            <w:tcW w:w="7361" w:type="dxa"/>
            <w:noWrap w:val="0"/>
            <w:vAlign w:val="center"/>
          </w:tcPr>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具有独立承担民事责任的能力的证明材料；</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出具符合以下情况的</w:t>
            </w:r>
            <w:r>
              <w:rPr>
                <w:rFonts w:hint="default" w:ascii="Arial" w:hAnsi="Arial" w:eastAsia="宋体" w:cs="Arial"/>
                <w:color w:val="auto"/>
                <w:highlight w:val="none"/>
              </w:rPr>
              <w:t>证明材</w:t>
            </w:r>
            <w:r>
              <w:rPr>
                <w:rFonts w:hint="default" w:ascii="Arial" w:hAnsi="Arial" w:eastAsia="宋体" w:cs="Arial"/>
                <w:color w:val="auto"/>
                <w:szCs w:val="21"/>
                <w:highlight w:val="none"/>
              </w:rPr>
              <w:t>料复印件（五选一）：</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A.如供应商是企业（包括合伙企业），提供在工商部门注册的有效“企业法人营业执照”或“营业执照”；</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B.如供应商是事业单位，提供有效的“事业单位法人证书”；</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C.如供应商是非企业专业服务机构的，提供执业许可证等证明文件；</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D.如供应商是个体工商户，提供有效的“个体工商户营业执照”；</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E.如供应商是自然人，提供有效的自然人身份证明（居民身份证正反面或公安机关出具的临时居民身份证正反面或港澳台胞证或护照）。</w:t>
            </w:r>
          </w:p>
        </w:tc>
        <w:tc>
          <w:tcPr>
            <w:tcW w:w="1463" w:type="dxa"/>
            <w:noWrap w:val="0"/>
            <w:vAlign w:val="top"/>
          </w:tcPr>
          <w:p>
            <w:pPr>
              <w:overflowPunct w:val="0"/>
              <w:spacing w:line="430" w:lineRule="exact"/>
              <w:rPr>
                <w:rFonts w:hint="default" w:ascii="Arial" w:hAnsi="Arial" w:eastAsia="宋体" w:cs="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2</w:t>
            </w:r>
          </w:p>
        </w:tc>
        <w:tc>
          <w:tcPr>
            <w:tcW w:w="7361" w:type="dxa"/>
            <w:noWrap w:val="0"/>
            <w:vAlign w:val="center"/>
          </w:tcPr>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关于《中华人民共和国政府采购法》第二十二条规定的承诺函；</w:t>
            </w:r>
          </w:p>
        </w:tc>
        <w:tc>
          <w:tcPr>
            <w:tcW w:w="1463" w:type="dxa"/>
            <w:noWrap w:val="0"/>
            <w:vAlign w:val="top"/>
          </w:tcPr>
          <w:p>
            <w:pPr>
              <w:overflowPunct w:val="0"/>
              <w:spacing w:line="43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附件一-1）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3</w:t>
            </w:r>
          </w:p>
        </w:tc>
        <w:tc>
          <w:tcPr>
            <w:tcW w:w="7361" w:type="dxa"/>
            <w:noWrap w:val="0"/>
            <w:vAlign w:val="center"/>
          </w:tcPr>
          <w:p>
            <w:pPr>
              <w:tabs>
                <w:tab w:val="left" w:pos="420"/>
              </w:tabs>
              <w:snapToGrid w:val="0"/>
              <w:spacing w:line="400" w:lineRule="atLeast"/>
              <w:rPr>
                <w:rFonts w:hint="default" w:ascii="Arial" w:hAnsi="Arial" w:eastAsia="宋体" w:cs="Arial"/>
                <w:color w:val="auto"/>
                <w:szCs w:val="21"/>
                <w:highlight w:val="none"/>
              </w:rPr>
            </w:pPr>
            <w:r>
              <w:rPr>
                <w:rFonts w:hint="default" w:ascii="Arial" w:hAnsi="Arial" w:eastAsia="宋体" w:cs="Arial"/>
                <w:bCs/>
                <w:color w:val="auto"/>
                <w:szCs w:val="24"/>
                <w:highlight w:val="none"/>
              </w:rPr>
              <w:t>未被信用中国网站（www.creditchina.gov.cn）列入失信被执行人、重大税收违法件当事人名单，未被中国政府采购网（www.ccgp.gov.cn）列入政府采购严重违法失信行为记录名单：</w:t>
            </w:r>
          </w:p>
          <w:p>
            <w:pPr>
              <w:pStyle w:val="14"/>
              <w:spacing w:line="276" w:lineRule="auto"/>
              <w:rPr>
                <w:rFonts w:hint="default" w:ascii="Arial" w:hAnsi="Arial" w:eastAsia="宋体" w:cs="Arial"/>
                <w:bCs/>
                <w:color w:val="auto"/>
                <w:kern w:val="0"/>
                <w:sz w:val="21"/>
                <w:szCs w:val="24"/>
                <w:highlight w:val="none"/>
              </w:rPr>
            </w:pPr>
            <w:r>
              <w:rPr>
                <w:rFonts w:hint="default" w:ascii="Arial" w:hAnsi="Arial" w:eastAsia="宋体" w:cs="Arial"/>
                <w:bCs/>
                <w:color w:val="auto"/>
                <w:kern w:val="0"/>
                <w:sz w:val="21"/>
                <w:szCs w:val="24"/>
                <w:highlight w:val="none"/>
              </w:rPr>
              <w:t xml:space="preserve"> ①提供至本项目投标截止时间前在“信用中国”（www.creditchina.gov.cn）、中国政府采购网（www.ccgp.gov.cn）网页查询记录截图。</w:t>
            </w:r>
          </w:p>
          <w:p>
            <w:pPr>
              <w:spacing w:line="340" w:lineRule="atLeast"/>
              <w:rPr>
                <w:rFonts w:hint="default" w:ascii="Arial" w:hAnsi="Arial" w:eastAsia="宋体" w:cs="Arial"/>
                <w:color w:val="auto"/>
                <w:szCs w:val="21"/>
                <w:highlight w:val="none"/>
              </w:rPr>
            </w:pPr>
            <w:r>
              <w:rPr>
                <w:rFonts w:hint="default" w:ascii="Arial" w:hAnsi="Arial" w:eastAsia="宋体" w:cs="Arial"/>
                <w:bCs/>
                <w:color w:val="auto"/>
                <w:kern w:val="0"/>
                <w:szCs w:val="24"/>
                <w:highlight w:val="none"/>
              </w:rPr>
              <w:t xml:space="preserve"> ②以采购代理机构在开标当日查询记录为准。</w:t>
            </w:r>
          </w:p>
        </w:tc>
        <w:tc>
          <w:tcPr>
            <w:tcW w:w="1463" w:type="dxa"/>
            <w:noWrap w:val="0"/>
            <w:vAlign w:val="top"/>
          </w:tcPr>
          <w:p>
            <w:pPr>
              <w:overflowPunct w:val="0"/>
              <w:spacing w:line="430" w:lineRule="exact"/>
              <w:rPr>
                <w:rFonts w:hint="default" w:ascii="Arial" w:hAnsi="Arial" w:eastAsia="宋体" w:cs="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4</w:t>
            </w:r>
          </w:p>
        </w:tc>
        <w:tc>
          <w:tcPr>
            <w:tcW w:w="7361" w:type="dxa"/>
            <w:noWrap w:val="0"/>
            <w:vAlign w:val="center"/>
          </w:tcPr>
          <w:p>
            <w:pPr>
              <w:spacing w:line="34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参加政府采购活动前三年内，在经营活动中没有重大违法记录的证明材料；</w:t>
            </w:r>
          </w:p>
          <w:p>
            <w:pPr>
              <w:spacing w:line="34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出具磋商供应商近三年在经营活动中没有重大违法记录的书面声明</w:t>
            </w:r>
          </w:p>
        </w:tc>
        <w:tc>
          <w:tcPr>
            <w:tcW w:w="1463" w:type="dxa"/>
            <w:noWrap w:val="0"/>
            <w:vAlign w:val="top"/>
          </w:tcPr>
          <w:p>
            <w:pPr>
              <w:overflowPunct w:val="0"/>
              <w:spacing w:line="43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附件一-2）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9" w:type="dxa"/>
            <w:noWrap w:val="0"/>
            <w:vAlign w:val="center"/>
          </w:tcPr>
          <w:p>
            <w:pPr>
              <w:spacing w:line="430" w:lineRule="exact"/>
              <w:jc w:val="center"/>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5</w:t>
            </w:r>
          </w:p>
        </w:tc>
        <w:tc>
          <w:tcPr>
            <w:tcW w:w="7361" w:type="dxa"/>
            <w:noWrap w:val="0"/>
            <w:vAlign w:val="center"/>
          </w:tcPr>
          <w:p>
            <w:pPr>
              <w:spacing w:line="340" w:lineRule="atLeast"/>
              <w:rPr>
                <w:rFonts w:hint="default" w:ascii="Arial" w:hAnsi="Arial" w:eastAsia="宋体" w:cs="Arial"/>
                <w:color w:val="auto"/>
                <w:szCs w:val="21"/>
                <w:highlight w:val="none"/>
                <w:lang w:val="en-US"/>
              </w:rPr>
            </w:pPr>
            <w:r>
              <w:rPr>
                <w:rFonts w:hint="default" w:ascii="Arial" w:hAnsi="Arial" w:eastAsia="宋体" w:cs="Arial"/>
                <w:color w:val="auto"/>
                <w:sz w:val="22"/>
                <w:szCs w:val="22"/>
                <w:highlight w:val="none"/>
                <w:lang w:eastAsia="zh-CN"/>
              </w:rPr>
              <w:t>有效的《劳务派遣经营许可证》</w:t>
            </w:r>
            <w:r>
              <w:rPr>
                <w:rFonts w:hint="default" w:ascii="Arial" w:hAnsi="Arial" w:eastAsia="宋体" w:cs="Arial"/>
                <w:color w:val="auto"/>
                <w:sz w:val="22"/>
                <w:szCs w:val="22"/>
                <w:highlight w:val="none"/>
                <w:lang w:val="en-US" w:eastAsia="zh-CN"/>
              </w:rPr>
              <w:t>证书复印件加盖公章</w:t>
            </w:r>
          </w:p>
        </w:tc>
        <w:tc>
          <w:tcPr>
            <w:tcW w:w="1463" w:type="dxa"/>
            <w:noWrap w:val="0"/>
            <w:vAlign w:val="top"/>
          </w:tcPr>
          <w:p>
            <w:pPr>
              <w:overflowPunct w:val="0"/>
              <w:spacing w:line="430" w:lineRule="exact"/>
              <w:rPr>
                <w:rFonts w:hint="default" w:ascii="Arial" w:hAnsi="Arial" w:eastAsia="宋体" w:cs="Arial"/>
                <w:color w:val="auto"/>
                <w:szCs w:val="21"/>
                <w:highlight w:val="none"/>
              </w:rPr>
            </w:pPr>
          </w:p>
        </w:tc>
      </w:tr>
    </w:tbl>
    <w:p>
      <w:pPr>
        <w:pStyle w:val="109"/>
        <w:spacing w:before="62" w:beforeLines="20"/>
        <w:ind w:firstLine="0" w:firstLineChars="0"/>
        <w:rPr>
          <w:rFonts w:hint="default" w:ascii="Arial" w:hAnsi="Arial" w:eastAsia="宋体" w:cs="Arial"/>
          <w:b/>
          <w:color w:val="auto"/>
          <w:sz w:val="21"/>
          <w:highlight w:val="none"/>
        </w:rPr>
      </w:pPr>
      <w:r>
        <w:rPr>
          <w:rFonts w:hint="default" w:ascii="Arial" w:hAnsi="Arial" w:eastAsia="宋体" w:cs="Arial"/>
          <w:b/>
          <w:color w:val="auto"/>
          <w:sz w:val="21"/>
          <w:highlight w:val="none"/>
        </w:rPr>
        <w:t>二、商务技术文件</w:t>
      </w:r>
    </w:p>
    <w:tbl>
      <w:tblPr>
        <w:tblStyle w:val="34"/>
        <w:tblW w:w="97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7"/>
        <w:gridCol w:w="7323"/>
        <w:gridCol w:w="17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序号</w:t>
            </w:r>
          </w:p>
        </w:tc>
        <w:tc>
          <w:tcPr>
            <w:tcW w:w="7323" w:type="dxa"/>
            <w:tcBorders>
              <w:left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内 容</w:t>
            </w:r>
          </w:p>
        </w:tc>
        <w:tc>
          <w:tcPr>
            <w:tcW w:w="1728" w:type="dxa"/>
            <w:tcBorders>
              <w:left w:val="single" w:color="auto" w:sz="4" w:space="0"/>
              <w:bottom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法定代表人授权书</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附件二-1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2</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法定代表人身份证明</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附件二-2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3</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tabs>
                <w:tab w:val="left" w:pos="780"/>
                <w:tab w:val="left" w:pos="5355"/>
              </w:tabs>
              <w:rPr>
                <w:rFonts w:hint="default" w:ascii="Arial" w:hAnsi="Arial" w:eastAsia="宋体" w:cs="Arial"/>
                <w:color w:val="auto"/>
                <w:highlight w:val="none"/>
              </w:rPr>
            </w:pPr>
            <w:r>
              <w:rPr>
                <w:rFonts w:hint="default" w:ascii="Arial" w:hAnsi="Arial" w:eastAsia="宋体" w:cs="Arial"/>
                <w:color w:val="auto"/>
                <w:highlight w:val="none"/>
              </w:rPr>
              <w:t>投标函</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4</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tabs>
                <w:tab w:val="left" w:pos="780"/>
                <w:tab w:val="left" w:pos="5355"/>
              </w:tabs>
              <w:rPr>
                <w:rFonts w:hint="default" w:ascii="Arial" w:hAnsi="Arial" w:eastAsia="宋体" w:cs="Arial"/>
                <w:color w:val="auto"/>
                <w:highlight w:val="none"/>
              </w:rPr>
            </w:pPr>
            <w:r>
              <w:rPr>
                <w:rFonts w:hint="default" w:ascii="Arial" w:hAnsi="Arial" w:eastAsia="宋体" w:cs="Arial"/>
                <w:color w:val="auto"/>
                <w:highlight w:val="none"/>
              </w:rPr>
              <w:t>建议与少量偏离表</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5</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tabs>
                <w:tab w:val="left" w:pos="780"/>
                <w:tab w:val="left" w:pos="5355"/>
              </w:tabs>
              <w:rPr>
                <w:rFonts w:hint="default" w:ascii="Arial" w:hAnsi="Arial" w:eastAsia="宋体" w:cs="Arial"/>
                <w:color w:val="auto"/>
                <w:highlight w:val="none"/>
              </w:rPr>
            </w:pPr>
            <w:r>
              <w:rPr>
                <w:rFonts w:hint="default" w:ascii="Arial" w:hAnsi="Arial" w:eastAsia="宋体" w:cs="Arial"/>
                <w:color w:val="auto"/>
                <w:kern w:val="0"/>
                <w:szCs w:val="21"/>
                <w:highlight w:val="none"/>
              </w:rPr>
              <w:t>供应商简介及</w:t>
            </w:r>
            <w:r>
              <w:rPr>
                <w:rFonts w:hint="default" w:ascii="Arial" w:hAnsi="Arial" w:eastAsia="宋体" w:cs="Arial"/>
                <w:color w:val="auto"/>
                <w:highlight w:val="none"/>
              </w:rPr>
              <w:t>资格、资质证明文件</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6</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kern w:val="0"/>
                <w:szCs w:val="21"/>
                <w:highlight w:val="none"/>
              </w:rPr>
              <w:t>拟投入设备及工具一览表；</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7</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kern w:val="0"/>
                <w:szCs w:val="21"/>
                <w:highlight w:val="none"/>
              </w:rPr>
              <w:t>拟投入本项目人员配备情况表</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8</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供应商201</w:t>
            </w:r>
            <w:r>
              <w:rPr>
                <w:rFonts w:hint="default" w:ascii="Arial" w:hAnsi="Arial" w:eastAsia="宋体" w:cs="Arial"/>
                <w:color w:val="auto"/>
                <w:highlight w:val="none"/>
                <w:lang w:val="en-US" w:eastAsia="zh-CN"/>
              </w:rPr>
              <w:t>8</w:t>
            </w:r>
            <w:r>
              <w:rPr>
                <w:rFonts w:hint="default" w:ascii="Arial" w:hAnsi="Arial" w:eastAsia="宋体" w:cs="Arial"/>
                <w:color w:val="auto"/>
                <w:highlight w:val="none"/>
              </w:rPr>
              <w:t>年1月以来同类项目业绩一览表</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9</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szCs w:val="21"/>
                <w:highlight w:val="none"/>
              </w:rPr>
              <w:t>项目实施方案</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10</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szCs w:val="21"/>
                <w:highlight w:val="none"/>
              </w:rPr>
              <w:t>服务承诺及各项管理应急措施；</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11</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szCs w:val="21"/>
                <w:highlight w:val="none"/>
              </w:rPr>
            </w:pPr>
            <w:r>
              <w:rPr>
                <w:rFonts w:hint="default" w:ascii="Arial" w:hAnsi="Arial" w:eastAsia="宋体" w:cs="Arial"/>
                <w:color w:val="auto"/>
                <w:szCs w:val="21"/>
                <w:highlight w:val="none"/>
              </w:rPr>
              <w:t>规章制度及考核方法</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12</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pStyle w:val="16"/>
              <w:ind w:left="0" w:leftChars="0"/>
              <w:rPr>
                <w:rFonts w:hint="default" w:ascii="Arial" w:hAnsi="Arial" w:eastAsia="宋体" w:cs="Arial"/>
                <w:color w:val="auto"/>
                <w:highlight w:val="none"/>
              </w:rPr>
            </w:pPr>
            <w:r>
              <w:rPr>
                <w:rFonts w:hint="default" w:ascii="Arial" w:hAnsi="Arial" w:eastAsia="宋体" w:cs="Arial"/>
                <w:color w:val="auto"/>
                <w:szCs w:val="21"/>
                <w:highlight w:val="none"/>
              </w:rPr>
              <w:t>针对本项目重点、难点及相应解决措施</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13</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pStyle w:val="16"/>
              <w:ind w:left="0" w:leftChars="0"/>
              <w:rPr>
                <w:rFonts w:hint="default" w:ascii="Arial" w:hAnsi="Arial" w:eastAsia="宋体" w:cs="Arial"/>
                <w:color w:val="auto"/>
                <w:szCs w:val="21"/>
                <w:highlight w:val="none"/>
              </w:rPr>
            </w:pPr>
            <w:r>
              <w:rPr>
                <w:rFonts w:hint="default" w:ascii="Arial" w:hAnsi="Arial" w:eastAsia="宋体" w:cs="Arial"/>
                <w:color w:val="auto"/>
                <w:szCs w:val="21"/>
                <w:highlight w:val="none"/>
              </w:rPr>
              <w:t>员工培训计划及内容</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7" w:type="dxa"/>
            <w:tcBorders>
              <w:top w:val="single" w:color="auto" w:sz="4" w:space="0"/>
              <w:right w:val="single" w:color="auto" w:sz="4" w:space="0"/>
            </w:tcBorders>
            <w:noWrap w:val="0"/>
            <w:vAlign w:val="center"/>
          </w:tcPr>
          <w:p>
            <w:pPr>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14</w:t>
            </w:r>
          </w:p>
        </w:tc>
        <w:tc>
          <w:tcPr>
            <w:tcW w:w="7323" w:type="dxa"/>
            <w:tcBorders>
              <w:top w:val="single" w:color="auto" w:sz="4" w:space="0"/>
              <w:left w:val="single" w:color="auto" w:sz="4" w:space="0"/>
              <w:right w:val="single" w:color="auto" w:sz="4" w:space="0"/>
            </w:tcBorders>
            <w:noWrap w:val="0"/>
            <w:vAlign w:val="center"/>
          </w:tcPr>
          <w:p>
            <w:pPr>
              <w:snapToGrid w:val="0"/>
              <w:spacing w:line="400" w:lineRule="exact"/>
              <w:rPr>
                <w:rFonts w:hint="default" w:ascii="Arial" w:hAnsi="Arial" w:eastAsia="宋体" w:cs="Arial"/>
                <w:bCs/>
                <w:color w:val="auto"/>
                <w:szCs w:val="21"/>
                <w:highlight w:val="none"/>
              </w:rPr>
            </w:pPr>
            <w:r>
              <w:rPr>
                <w:rFonts w:hint="default" w:ascii="Arial" w:hAnsi="Arial" w:eastAsia="宋体" w:cs="Arial"/>
                <w:color w:val="auto"/>
                <w:highlight w:val="none"/>
              </w:rPr>
              <w:t>供应商认为需要提供的其它资信文件和资料。</w:t>
            </w:r>
          </w:p>
        </w:tc>
        <w:tc>
          <w:tcPr>
            <w:tcW w:w="1728" w:type="dxa"/>
            <w:tcBorders>
              <w:top w:val="single" w:color="auto" w:sz="4" w:space="0"/>
              <w:left w:val="single" w:color="auto" w:sz="4" w:space="0"/>
            </w:tcBorders>
            <w:noWrap w:val="0"/>
            <w:vAlign w:val="center"/>
          </w:tcPr>
          <w:p>
            <w:pPr>
              <w:spacing w:line="430" w:lineRule="exact"/>
              <w:rPr>
                <w:rFonts w:hint="default" w:ascii="Arial" w:hAnsi="Arial" w:eastAsia="宋体" w:cs="Arial"/>
                <w:color w:val="auto"/>
                <w:szCs w:val="21"/>
                <w:highlight w:val="none"/>
              </w:rPr>
            </w:pPr>
          </w:p>
        </w:tc>
      </w:tr>
    </w:tbl>
    <w:p>
      <w:pPr>
        <w:pStyle w:val="109"/>
        <w:spacing w:before="62" w:beforeLines="20"/>
        <w:ind w:firstLine="0" w:firstLineChars="0"/>
        <w:rPr>
          <w:rFonts w:hint="default" w:ascii="Arial" w:hAnsi="Arial" w:eastAsia="宋体" w:cs="Arial"/>
          <w:b/>
          <w:color w:val="auto"/>
          <w:sz w:val="21"/>
          <w:szCs w:val="22"/>
          <w:highlight w:val="none"/>
        </w:rPr>
      </w:pPr>
      <w:r>
        <w:rPr>
          <w:rFonts w:hint="default" w:ascii="Arial" w:hAnsi="Arial" w:eastAsia="宋体" w:cs="Arial"/>
          <w:b/>
          <w:color w:val="auto"/>
          <w:sz w:val="21"/>
          <w:szCs w:val="22"/>
          <w:highlight w:val="none"/>
        </w:rPr>
        <w:t>三、报价文件</w:t>
      </w:r>
    </w:p>
    <w:tbl>
      <w:tblPr>
        <w:tblStyle w:val="34"/>
        <w:tblW w:w="97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178"/>
        <w:gridCol w:w="1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21" w:type="dxa"/>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序号</w:t>
            </w:r>
          </w:p>
        </w:tc>
        <w:tc>
          <w:tcPr>
            <w:tcW w:w="7178" w:type="dxa"/>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内 容</w:t>
            </w:r>
          </w:p>
        </w:tc>
        <w:tc>
          <w:tcPr>
            <w:tcW w:w="1809" w:type="dxa"/>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21" w:type="dxa"/>
            <w:noWrap w:val="0"/>
            <w:vAlign w:val="center"/>
          </w:tcPr>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7178" w:type="dxa"/>
            <w:noWrap w:val="0"/>
            <w:vAlign w:val="center"/>
          </w:tcPr>
          <w:p>
            <w:pPr>
              <w:rPr>
                <w:rFonts w:hint="default" w:ascii="Arial" w:hAnsi="Arial" w:eastAsia="宋体" w:cs="Arial"/>
                <w:color w:val="auto"/>
                <w:highlight w:val="none"/>
              </w:rPr>
            </w:pPr>
            <w:r>
              <w:rPr>
                <w:rFonts w:hint="default" w:ascii="Arial" w:hAnsi="Arial" w:eastAsia="宋体" w:cs="Arial"/>
                <w:color w:val="auto"/>
                <w:szCs w:val="21"/>
                <w:highlight w:val="none"/>
              </w:rPr>
              <w:t>开标一览表</w:t>
            </w:r>
          </w:p>
        </w:tc>
        <w:tc>
          <w:tcPr>
            <w:tcW w:w="1809" w:type="dxa"/>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21" w:type="dxa"/>
            <w:noWrap w:val="0"/>
            <w:vAlign w:val="center"/>
          </w:tcPr>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2</w:t>
            </w:r>
          </w:p>
        </w:tc>
        <w:tc>
          <w:tcPr>
            <w:tcW w:w="7178" w:type="dxa"/>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分项报价一览表</w:t>
            </w:r>
          </w:p>
        </w:tc>
        <w:tc>
          <w:tcPr>
            <w:tcW w:w="1809" w:type="dxa"/>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21" w:type="dxa"/>
            <w:noWrap w:val="0"/>
            <w:vAlign w:val="center"/>
          </w:tcPr>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3</w:t>
            </w:r>
          </w:p>
        </w:tc>
        <w:tc>
          <w:tcPr>
            <w:tcW w:w="7178" w:type="dxa"/>
            <w:noWrap w:val="0"/>
            <w:vAlign w:val="center"/>
          </w:tcPr>
          <w:p>
            <w:pPr>
              <w:autoSpaceDE w:val="0"/>
              <w:autoSpaceDN w:val="0"/>
              <w:adjustRightInd w:val="0"/>
              <w:spacing w:line="320" w:lineRule="atLeast"/>
              <w:textAlignment w:val="bottom"/>
              <w:rPr>
                <w:rFonts w:hint="default" w:ascii="Arial" w:hAnsi="Arial" w:eastAsia="宋体" w:cs="Arial"/>
                <w:color w:val="auto"/>
                <w:highlight w:val="none"/>
              </w:rPr>
            </w:pPr>
            <w:r>
              <w:rPr>
                <w:rFonts w:hint="default" w:ascii="Arial" w:hAnsi="Arial" w:eastAsia="宋体" w:cs="Arial"/>
                <w:color w:val="auto"/>
                <w:highlight w:val="none"/>
              </w:rPr>
              <w:t>中小企业声明函（如有）；（仅小微企业投标时适用）</w:t>
            </w:r>
          </w:p>
        </w:tc>
        <w:tc>
          <w:tcPr>
            <w:tcW w:w="1809" w:type="dxa"/>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21" w:type="dxa"/>
            <w:noWrap w:val="0"/>
            <w:vAlign w:val="center"/>
          </w:tcPr>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4</w:t>
            </w:r>
          </w:p>
        </w:tc>
        <w:tc>
          <w:tcPr>
            <w:tcW w:w="7178" w:type="dxa"/>
            <w:noWrap w:val="0"/>
            <w:vAlign w:val="center"/>
          </w:tcPr>
          <w:p>
            <w:pPr>
              <w:autoSpaceDE w:val="0"/>
              <w:autoSpaceDN w:val="0"/>
              <w:adjustRightInd w:val="0"/>
              <w:spacing w:line="320" w:lineRule="atLeast"/>
              <w:textAlignment w:val="bottom"/>
              <w:rPr>
                <w:rFonts w:hint="default" w:ascii="Arial" w:hAnsi="Arial" w:eastAsia="宋体" w:cs="Arial"/>
                <w:color w:val="auto"/>
                <w:highlight w:val="none"/>
              </w:rPr>
            </w:pPr>
            <w:r>
              <w:rPr>
                <w:rFonts w:hint="default" w:ascii="Arial" w:hAnsi="Arial" w:eastAsia="宋体" w:cs="Arial"/>
                <w:color w:val="auto"/>
                <w:highlight w:val="none"/>
              </w:rPr>
              <w:t>残疾人福利性单位声明函；（仅残疾人福利性单位投标时适用）</w:t>
            </w:r>
          </w:p>
        </w:tc>
        <w:tc>
          <w:tcPr>
            <w:tcW w:w="1809" w:type="dxa"/>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附件十一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21" w:type="dxa"/>
            <w:noWrap w:val="0"/>
            <w:vAlign w:val="center"/>
          </w:tcPr>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w:t>
            </w:r>
          </w:p>
        </w:tc>
        <w:tc>
          <w:tcPr>
            <w:tcW w:w="7178" w:type="dxa"/>
            <w:noWrap w:val="0"/>
            <w:vAlign w:val="bottom"/>
          </w:tcPr>
          <w:p>
            <w:pPr>
              <w:snapToGrid w:val="0"/>
              <w:spacing w:line="288" w:lineRule="auto"/>
              <w:rPr>
                <w:rFonts w:hint="default" w:ascii="Arial" w:hAnsi="Arial" w:eastAsia="宋体" w:cs="Arial"/>
                <w:color w:val="auto"/>
                <w:highlight w:val="none"/>
              </w:rPr>
            </w:pPr>
            <w:r>
              <w:rPr>
                <w:rFonts w:hint="default" w:ascii="Arial" w:hAnsi="Arial" w:eastAsia="宋体" w:cs="Arial"/>
                <w:color w:val="auto"/>
                <w:highlight w:val="none"/>
              </w:rPr>
              <w:t>省级以上监狱管理局、戒毒管理局（含新疆生产建设兵团）出具的属于监狱企业的证明文件（仅监狱企业投标时适用）；</w:t>
            </w:r>
          </w:p>
        </w:tc>
        <w:tc>
          <w:tcPr>
            <w:tcW w:w="1809" w:type="dxa"/>
            <w:noWrap w:val="0"/>
            <w:vAlign w:val="center"/>
          </w:tcPr>
          <w:p>
            <w:pPr>
              <w:jc w:val="center"/>
              <w:rPr>
                <w:rFonts w:hint="default" w:ascii="Arial" w:hAnsi="Arial" w:eastAsia="宋体" w:cs="Arial"/>
                <w:color w:val="auto"/>
                <w:szCs w:val="21"/>
                <w:highlight w:val="none"/>
              </w:rPr>
            </w:pPr>
          </w:p>
        </w:tc>
      </w:tr>
    </w:tbl>
    <w:p>
      <w:pPr>
        <w:snapToGrid w:val="0"/>
        <w:spacing w:line="400" w:lineRule="exact"/>
        <w:rPr>
          <w:rFonts w:hint="default" w:ascii="Arial" w:hAnsi="Arial" w:eastAsia="宋体" w:cs="Arial"/>
          <w:color w:val="auto"/>
          <w:highlight w:val="none"/>
        </w:rPr>
      </w:pPr>
      <w:r>
        <w:rPr>
          <w:rFonts w:hint="default" w:ascii="Arial" w:hAnsi="Arial" w:eastAsia="宋体" w:cs="Arial"/>
          <w:b/>
          <w:bCs/>
          <w:color w:val="auto"/>
          <w:szCs w:val="21"/>
          <w:highlight w:val="none"/>
        </w:rPr>
        <w:t>备注：以上所需的各种证书、证件、证明等须为扫描件并加盖投标供应商有效的电子签章，如遇年检或换证等特殊情况须按要求提供相应的证明材料。</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投标文件的填写说明</w:t>
      </w:r>
    </w:p>
    <w:p>
      <w:pPr>
        <w:numPr>
          <w:ilvl w:val="1"/>
          <w:numId w:val="17"/>
        </w:numPr>
        <w:snapToGrid w:val="0"/>
        <w:spacing w:line="400" w:lineRule="exact"/>
        <w:rPr>
          <w:rFonts w:hint="default" w:ascii="Arial" w:hAnsi="Arial" w:eastAsia="宋体" w:cs="Arial"/>
          <w:b/>
          <w:bCs/>
          <w:color w:val="auto"/>
          <w:sz w:val="22"/>
          <w:highlight w:val="none"/>
        </w:rPr>
      </w:pPr>
      <w:r>
        <w:rPr>
          <w:rFonts w:hint="default" w:ascii="Arial" w:hAnsi="Arial" w:eastAsia="宋体" w:cs="Arial"/>
          <w:color w:val="auto"/>
          <w:sz w:val="22"/>
          <w:highlight w:val="none"/>
        </w:rPr>
        <w:t>投标供应商应在认真阅读招标文件所有内容的基础上，按照招标文件及“政采云电子交易客户端”要求编制完整的投标文件。投标文件应按照招标文件中规定的内容及顺序在“政采云电子交易客户端”编制投标文件并进行逐一关联响应。其中“资格文件”和“技术、商务文件”中不得出现本项目投标报价，如因投标供应商原因提前泄露投标报价，由投标供应商自行负责。</w:t>
      </w:r>
    </w:p>
    <w:p>
      <w:pPr>
        <w:numPr>
          <w:ilvl w:val="1"/>
          <w:numId w:val="17"/>
        </w:numPr>
        <w:snapToGrid w:val="0"/>
        <w:spacing w:line="400" w:lineRule="exact"/>
        <w:rPr>
          <w:rFonts w:hint="default" w:ascii="Arial" w:hAnsi="Arial" w:eastAsia="宋体" w:cs="Arial"/>
          <w:b/>
          <w:bCs/>
          <w:color w:val="auto"/>
          <w:sz w:val="22"/>
          <w:highlight w:val="none"/>
        </w:rPr>
      </w:pPr>
      <w:r>
        <w:rPr>
          <w:rFonts w:hint="default" w:ascii="Arial" w:hAnsi="Arial" w:eastAsia="宋体" w:cs="Arial"/>
          <w:color w:val="auto"/>
          <w:sz w:val="22"/>
          <w:highlight w:val="none"/>
        </w:rPr>
        <w:t>本招标文件“第五部分 投标文件格式”中有提供格式的，投标供应商须参照格式进行编制（格式中要求提供相关证明材料的还需后附相关证明材料），并按格式要求在指定位置根据要求进行签章，否则视为未提供；未提供格式的，请各投标单位自行拟定格式。</w:t>
      </w:r>
    </w:p>
    <w:p>
      <w:pPr>
        <w:numPr>
          <w:ilvl w:val="1"/>
          <w:numId w:val="17"/>
        </w:numPr>
        <w:snapToGrid w:val="0"/>
        <w:spacing w:line="400" w:lineRule="exact"/>
        <w:rPr>
          <w:rFonts w:hint="default" w:ascii="Arial" w:hAnsi="Arial" w:eastAsia="宋体" w:cs="Arial"/>
          <w:b/>
          <w:bCs/>
          <w:color w:val="auto"/>
          <w:sz w:val="22"/>
          <w:highlight w:val="none"/>
        </w:rPr>
      </w:pPr>
      <w:r>
        <w:rPr>
          <w:rFonts w:hint="default" w:ascii="Arial" w:hAnsi="Arial" w:eastAsia="宋体" w:cs="Arial"/>
          <w:color w:val="auto"/>
          <w:sz w:val="22"/>
          <w:highlight w:val="none"/>
        </w:rPr>
        <w:t>投标文件内容不完整、编排混乱导致投标文件被误读、漏读或者查找不到相关内容的，由投标供应商自行负责。</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投投标供应商必须保证投标文件所提供的全部资料真实可靠，并接受招标人对其中任何资料进一步审查的要求。提供虚假证明的投标供应商将被取消政府采购投标供应商资格，并在政府采购宣传媒体上予以公告。</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highlight w:val="none"/>
        </w:rPr>
        <w:t>投标文件须对招标文件中的内容做出实质性和完整的响应（文中带“▲”标识），否则其投标将被否决。如果投标文件填报的内容资料不详，或没有提供招标文件中所要求的全部资料及数据，将可能会导致评标委员会作出对其不利的判断和分析。</w:t>
      </w:r>
    </w:p>
    <w:p>
      <w:pPr>
        <w:numPr>
          <w:ilvl w:val="0"/>
          <w:numId w:val="17"/>
        </w:numPr>
        <w:tabs>
          <w:tab w:val="left" w:pos="1145"/>
          <w:tab w:val="left" w:pos="1470"/>
        </w:tabs>
        <w:snapToGrid w:val="0"/>
        <w:spacing w:line="400" w:lineRule="exact"/>
        <w:rPr>
          <w:rFonts w:hint="default" w:ascii="Arial" w:hAnsi="Arial" w:eastAsia="宋体" w:cs="Arial"/>
          <w:color w:val="auto"/>
          <w:sz w:val="24"/>
          <w:highlight w:val="none"/>
        </w:rPr>
      </w:pPr>
      <w:r>
        <w:rPr>
          <w:rFonts w:hint="default" w:ascii="Arial" w:hAnsi="Arial" w:eastAsia="宋体" w:cs="Arial"/>
          <w:b/>
          <w:color w:val="auto"/>
          <w:sz w:val="24"/>
          <w:highlight w:val="none"/>
        </w:rPr>
        <w:t>投标报价</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提供的货物（服务）价格应该用人民币投标。投标价格应该已经扣除所有商业折扣以及现金折扣。投标报价应包括购买货物所需缴纳的所有税费和一切费用，费用包括送达使用单位指定地点的一切费用。</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本次采购，只允许有一个报价，并只有一次投标报价，投标供应商应在各自技术和商务占优势的基础上并充分考虑本次采购的重要性，提供对招标人最优惠的投标报价。</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对于投标报价的具体要求详见本招标文件“第三部分”相应内容。</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b/>
          <w:bCs/>
          <w:color w:val="auto"/>
          <w:highlight w:val="none"/>
          <w:u w:val="wave"/>
        </w:rPr>
        <w:t>投标供应商在报价文件上传的价格和</w:t>
      </w:r>
      <w:r>
        <w:rPr>
          <w:rFonts w:hint="default" w:ascii="Arial" w:hAnsi="Arial" w:eastAsia="宋体" w:cs="Arial"/>
          <w:b/>
          <w:bCs/>
          <w:color w:val="auto"/>
          <w:highlight w:val="none"/>
          <w:u w:val="wave"/>
        </w:rPr>
        <w:tab/>
      </w:r>
      <w:r>
        <w:rPr>
          <w:rFonts w:hint="default" w:ascii="Arial" w:hAnsi="Arial" w:eastAsia="宋体" w:cs="Arial"/>
          <w:b/>
          <w:bCs/>
          <w:color w:val="auto"/>
          <w:highlight w:val="none"/>
          <w:u w:val="wave"/>
        </w:rPr>
        <w:t>开标一览表里填写的金额不一致时，以供应商上传的报价文件为准，对投标供应商的报价进行修正。</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投标有效期</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提交投标文件截止日起90日历天，投标文件应保持有效。投标有效期比规定期限短的将被视为非响应投标而予以否决。</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特殊情况下，招标人可于投标有效期满之前要求投标供应商同意延长有效期，要求与答复均应为书面形式。对于同意该要求的投标供应商，既不要求也不允许其修改投标文件。</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投标文件的</w:t>
      </w:r>
      <w:r>
        <w:rPr>
          <w:rFonts w:hint="default" w:ascii="Arial" w:hAnsi="Arial" w:eastAsia="宋体" w:cs="Arial"/>
          <w:b/>
          <w:color w:val="auto"/>
          <w:sz w:val="24"/>
          <w:szCs w:val="24"/>
          <w:highlight w:val="none"/>
        </w:rPr>
        <w:t>式样和</w:t>
      </w:r>
      <w:r>
        <w:rPr>
          <w:rFonts w:hint="default" w:ascii="Arial" w:hAnsi="Arial" w:eastAsia="宋体" w:cs="Arial"/>
          <w:b/>
          <w:color w:val="auto"/>
          <w:sz w:val="24"/>
          <w:highlight w:val="none"/>
        </w:rPr>
        <w:t>签章</w:t>
      </w:r>
    </w:p>
    <w:p>
      <w:pPr>
        <w:numPr>
          <w:ilvl w:val="1"/>
          <w:numId w:val="17"/>
        </w:numPr>
        <w:snapToGrid w:val="0"/>
        <w:spacing w:line="400" w:lineRule="exact"/>
        <w:rPr>
          <w:rFonts w:hint="default" w:ascii="Arial" w:hAnsi="Arial" w:eastAsia="宋体" w:cs="Arial"/>
          <w:b/>
          <w:bCs/>
          <w:color w:val="auto"/>
          <w:highlight w:val="none"/>
        </w:rPr>
      </w:pPr>
      <w:r>
        <w:rPr>
          <w:rFonts w:hint="default" w:ascii="Arial" w:hAnsi="Arial" w:eastAsia="宋体" w:cs="Arial"/>
          <w:b/>
          <w:bCs/>
          <w:color w:val="auto"/>
          <w:highlight w:val="none"/>
        </w:rPr>
        <w:t>本项目电子投标文件包括“电子加密投标文件”和“备份投标文件（可选）”，在投标文件编制完成后同时生成。</w:t>
      </w:r>
    </w:p>
    <w:p>
      <w:pPr>
        <w:numPr>
          <w:ilvl w:val="1"/>
          <w:numId w:val="17"/>
        </w:numPr>
        <w:snapToGrid w:val="0"/>
        <w:spacing w:line="400" w:lineRule="exact"/>
        <w:rPr>
          <w:rFonts w:hint="default" w:ascii="Arial" w:hAnsi="Arial" w:eastAsia="宋体" w:cs="Arial"/>
          <w:b/>
          <w:bCs/>
          <w:color w:val="auto"/>
          <w:highlight w:val="none"/>
        </w:rPr>
      </w:pPr>
      <w:r>
        <w:rPr>
          <w:rFonts w:hint="default" w:ascii="Arial" w:hAnsi="Arial" w:eastAsia="宋体" w:cs="Arial"/>
          <w:b/>
          <w:bCs/>
          <w:color w:val="auto"/>
          <w:highlight w:val="none"/>
        </w:rPr>
        <w:t>“电子加密投标文件”</w:t>
      </w:r>
      <w:r>
        <w:rPr>
          <w:rFonts w:hint="default" w:ascii="Arial" w:hAnsi="Arial" w:eastAsia="宋体" w:cs="Arial"/>
          <w:b/>
          <w:bCs/>
          <w:color w:val="auto"/>
          <w:szCs w:val="21"/>
          <w:highlight w:val="none"/>
        </w:rPr>
        <w:t>通过“政采云电子交易客户端”完成投标文件编制后生成并加密</w:t>
      </w:r>
      <w:r>
        <w:rPr>
          <w:rFonts w:hint="default" w:ascii="Arial" w:hAnsi="Arial" w:eastAsia="宋体" w:cs="Arial"/>
          <w:b/>
          <w:bCs/>
          <w:color w:val="auto"/>
          <w:highlight w:val="none"/>
        </w:rPr>
        <w:t>在线上传递交。</w:t>
      </w:r>
    </w:p>
    <w:p>
      <w:pPr>
        <w:numPr>
          <w:ilvl w:val="1"/>
          <w:numId w:val="17"/>
        </w:numPr>
        <w:snapToGrid w:val="0"/>
        <w:spacing w:line="400" w:lineRule="exact"/>
        <w:rPr>
          <w:rFonts w:hint="default" w:ascii="Arial" w:hAnsi="Arial" w:eastAsia="宋体" w:cs="Arial"/>
          <w:b/>
          <w:bCs/>
          <w:color w:val="auto"/>
          <w:highlight w:val="none"/>
        </w:rPr>
      </w:pPr>
      <w:r>
        <w:rPr>
          <w:rFonts w:hint="default" w:ascii="Arial" w:hAnsi="Arial" w:eastAsia="宋体" w:cs="Arial"/>
          <w:b/>
          <w:bCs/>
          <w:color w:val="auto"/>
          <w:highlight w:val="none"/>
        </w:rPr>
        <w:t>“备份投标文件”（可选），同</w:t>
      </w:r>
      <w:r>
        <w:rPr>
          <w:rFonts w:hint="default" w:ascii="Arial" w:hAnsi="Arial" w:eastAsia="宋体" w:cs="Arial"/>
          <w:b/>
          <w:bCs/>
          <w:color w:val="auto"/>
          <w:szCs w:val="21"/>
          <w:highlight w:val="none"/>
        </w:rPr>
        <w:t>“电子加密投标文件”</w:t>
      </w:r>
      <w:r>
        <w:rPr>
          <w:rFonts w:hint="default" w:ascii="Arial" w:hAnsi="Arial" w:eastAsia="宋体" w:cs="Arial"/>
          <w:b/>
          <w:bCs/>
          <w:color w:val="auto"/>
          <w:highlight w:val="none"/>
        </w:rPr>
        <w:t>在投标文件编制完成后同时生成，</w:t>
      </w:r>
      <w:r>
        <w:rPr>
          <w:rFonts w:hint="default" w:ascii="Arial" w:hAnsi="Arial" w:eastAsia="宋体" w:cs="Arial"/>
          <w:b/>
          <w:color w:val="auto"/>
          <w:szCs w:val="21"/>
          <w:highlight w:val="none"/>
        </w:rPr>
        <w:t>以介质存储的数据电文形式</w:t>
      </w:r>
      <w:r>
        <w:rPr>
          <w:rFonts w:hint="default" w:ascii="Arial" w:hAnsi="Arial" w:eastAsia="宋体" w:cs="Arial"/>
          <w:b/>
          <w:bCs/>
          <w:color w:val="auto"/>
          <w:highlight w:val="none"/>
        </w:rPr>
        <w:t>发送至采购代理公司指定邮箱。</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bCs/>
          <w:color w:val="auto"/>
          <w:szCs w:val="21"/>
          <w:highlight w:val="none"/>
        </w:rPr>
        <w:t>电子投标文件中所须加盖公章的地方均采用“政府采购云平台”办理的CA签章，所涉及法定代表人或授权代表的签字（或盖章）的地方均由法定代表人或授权代表本人签字（或盖章）</w:t>
      </w:r>
      <w:r>
        <w:rPr>
          <w:rFonts w:hint="default" w:ascii="Arial" w:hAnsi="Arial" w:eastAsia="宋体" w:cs="Arial"/>
          <w:b/>
          <w:color w:val="auto"/>
          <w:szCs w:val="21"/>
          <w:highlight w:val="none"/>
        </w:rPr>
        <w:t>。</w:t>
      </w:r>
    </w:p>
    <w:p>
      <w:pPr>
        <w:numPr>
          <w:ilvl w:val="0"/>
          <w:numId w:val="17"/>
        </w:numPr>
        <w:snapToGrid w:val="0"/>
        <w:spacing w:line="400" w:lineRule="exact"/>
        <w:rPr>
          <w:rFonts w:hint="default" w:ascii="Arial" w:hAnsi="Arial" w:eastAsia="宋体" w:cs="Arial"/>
          <w:b/>
          <w:bCs/>
          <w:color w:val="auto"/>
          <w:sz w:val="24"/>
          <w:highlight w:val="none"/>
        </w:rPr>
      </w:pPr>
      <w:r>
        <w:rPr>
          <w:rFonts w:hint="default" w:ascii="Arial" w:hAnsi="Arial" w:eastAsia="宋体" w:cs="Arial"/>
          <w:b/>
          <w:bCs/>
          <w:color w:val="auto"/>
          <w:sz w:val="24"/>
          <w:highlight w:val="none"/>
        </w:rPr>
        <w:t>知识产权</w:t>
      </w:r>
    </w:p>
    <w:p>
      <w:pPr>
        <w:numPr>
          <w:ilvl w:val="1"/>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color w:val="auto"/>
          <w:highlight w:val="none"/>
        </w:rPr>
        <w:t>投标</w:t>
      </w:r>
      <w:r>
        <w:rPr>
          <w:rFonts w:hint="default" w:ascii="Arial" w:hAnsi="Arial" w:eastAsia="宋体" w:cs="Arial"/>
          <w:color w:val="auto"/>
          <w:highlight w:val="none"/>
          <w:lang w:val="zh-CN"/>
        </w:rPr>
        <w:t>供应商</w:t>
      </w:r>
      <w:r>
        <w:rPr>
          <w:rFonts w:hint="default" w:ascii="Arial" w:hAnsi="Arial" w:eastAsia="宋体" w:cs="Arial"/>
          <w:color w:val="auto"/>
          <w:highlight w:val="none"/>
        </w:rPr>
        <w:t>应保证，招标人在中华人民共和国使用服务的任何一部分时，招标人免受第三方提出侵犯其专利权、商标权或其它知识产权的起诉；</w:t>
      </w:r>
    </w:p>
    <w:p>
      <w:pPr>
        <w:numPr>
          <w:ilvl w:val="1"/>
          <w:numId w:val="17"/>
        </w:numPr>
        <w:snapToGrid w:val="0"/>
        <w:spacing w:line="400" w:lineRule="exact"/>
        <w:rPr>
          <w:rFonts w:hint="default" w:ascii="Arial" w:hAnsi="Arial" w:eastAsia="宋体" w:cs="Arial"/>
          <w:b/>
          <w:bCs/>
          <w:color w:val="auto"/>
          <w:sz w:val="24"/>
          <w:highlight w:val="none"/>
        </w:rPr>
      </w:pPr>
      <w:r>
        <w:rPr>
          <w:rFonts w:hint="default" w:ascii="Arial" w:hAnsi="Arial" w:eastAsia="宋体" w:cs="Arial"/>
          <w:color w:val="auto"/>
          <w:highlight w:val="none"/>
        </w:rPr>
        <w:t>投标</w:t>
      </w:r>
      <w:r>
        <w:rPr>
          <w:rFonts w:hint="default" w:ascii="Arial" w:hAnsi="Arial" w:eastAsia="宋体" w:cs="Arial"/>
          <w:color w:val="auto"/>
          <w:highlight w:val="none"/>
          <w:lang w:val="zh-CN"/>
        </w:rPr>
        <w:t>报价</w:t>
      </w:r>
      <w:r>
        <w:rPr>
          <w:rFonts w:hint="default" w:ascii="Arial" w:hAnsi="Arial" w:eastAsia="宋体" w:cs="Arial"/>
          <w:color w:val="auto"/>
          <w:highlight w:val="none"/>
        </w:rPr>
        <w:t>应包括所有应支付的对专利权和</w:t>
      </w:r>
      <w:r>
        <w:rPr>
          <w:rFonts w:hint="default" w:ascii="Arial" w:hAnsi="Arial" w:eastAsia="宋体" w:cs="Arial"/>
          <w:color w:val="auto"/>
          <w:spacing w:val="-10"/>
          <w:highlight w:val="none"/>
        </w:rPr>
        <w:t>版权、设计或其他知识产权而需要向其他方支付的版税。</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bCs/>
          <w:color w:val="auto"/>
          <w:sz w:val="24"/>
          <w:highlight w:val="none"/>
        </w:rPr>
        <w:t>串通行为认定</w:t>
      </w:r>
      <w:r>
        <w:rPr>
          <w:rFonts w:hint="default" w:ascii="Arial" w:hAnsi="Arial" w:eastAsia="宋体" w:cs="Arial"/>
          <w:color w:val="auto"/>
          <w:highlight w:val="none"/>
        </w:rPr>
        <w:t> </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投标供应商或招标采购单位有下列情形之一的，属于串通行为：</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不同投标供应商的投标文件由同一单位或人员编制的；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不同供应商委托同一单位或人员办理投标事宜的；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不同投标供应商的投标文件中的内容出现非正常的一致，或者报价细目呈明显规律性变化，或在完全可比的情况下投标总价均高于市场平均价的；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不同投标供应商的投标文件载明的项目管理或实施人员出现同一单位的工作人员或同一人的；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不同投标供应商的授权代表为同一单位的工作人员的；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不同投标供应商的投标文件相互混装，或在一个投标供应商的投标文件内遗留有其他投标供应商的签名、盖章等不属于本投标供应商参加政府采购必需的信息资料的；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采购响应截止时间后，招标采购单位协助投标供应商撤换或更改投标文件的；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招标采购单位泄露有意向参加政府采购的投标供应商名称、数量等应当保密的事项的；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不同投标供应商之间私下达成书面或口头协议，指定一家投标供应商中标或轮流中标的；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法律、法规或规章规定的其他串通行为。</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23" w:name="_Toc40429183"/>
      <w:bookmarkStart w:id="24" w:name="_Toc474156088"/>
      <w:r>
        <w:rPr>
          <w:rFonts w:hint="default" w:ascii="Arial" w:hAnsi="Arial" w:eastAsia="宋体" w:cs="Arial"/>
          <w:color w:val="auto"/>
          <w:sz w:val="24"/>
          <w:szCs w:val="24"/>
          <w:highlight w:val="none"/>
        </w:rPr>
        <w:t>（五）投标文件的递交</w:t>
      </w:r>
      <w:bookmarkEnd w:id="23"/>
      <w:bookmarkEnd w:id="24"/>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投标文件的递交</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kern w:val="0"/>
          <w:szCs w:val="21"/>
          <w:highlight w:val="none"/>
        </w:rPr>
        <w:tab/>
      </w:r>
      <w:r>
        <w:rPr>
          <w:rFonts w:hint="default" w:ascii="Arial" w:hAnsi="Arial" w:eastAsia="宋体" w:cs="Arial"/>
          <w:color w:val="auto"/>
          <w:szCs w:val="21"/>
          <w:highlight w:val="none"/>
        </w:rPr>
        <w:t>投标文件按《操作指南》及本招标文件要求递交。</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color w:val="auto"/>
          <w:szCs w:val="21"/>
          <w:highlight w:val="none"/>
        </w:rPr>
        <w:t>投标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递交的投标文件，将被政采云平台拒收。</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szCs w:val="21"/>
          <w:highlight w:val="none"/>
        </w:rPr>
        <w:t>投标供应商的“备份投标文件”</w:t>
      </w:r>
      <w:r>
        <w:rPr>
          <w:rFonts w:hint="default" w:ascii="Arial" w:hAnsi="Arial" w:eastAsia="宋体" w:cs="Arial"/>
          <w:color w:val="auto"/>
          <w:szCs w:val="21"/>
          <w:highlight w:val="none"/>
        </w:rPr>
        <w:t>应当在投标截止时间前以邮件形式</w:t>
      </w:r>
      <w:r>
        <w:rPr>
          <w:rFonts w:hint="default" w:ascii="Arial" w:hAnsi="Arial" w:eastAsia="宋体" w:cs="Arial"/>
          <w:color w:val="auto"/>
          <w:highlight w:val="none"/>
        </w:rPr>
        <w:t>发送至采购代理机构指定电子邮箱</w:t>
      </w:r>
      <w:r>
        <w:rPr>
          <w:rFonts w:hint="default" w:ascii="Arial" w:hAnsi="Arial" w:eastAsia="宋体" w:cs="Arial"/>
          <w:color w:val="auto"/>
          <w:szCs w:val="21"/>
          <w:highlight w:val="none"/>
        </w:rPr>
        <w:t>。</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投标截止时间</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kern w:val="0"/>
          <w:szCs w:val="21"/>
          <w:highlight w:val="none"/>
        </w:rPr>
        <w:t>本次招标的投标截止时间及投标文件递交截止时间：见本招标文件“招标公告”。采购代理机构收到投标文件的时间不得迟于规定的截止时间。</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kern w:val="0"/>
          <w:szCs w:val="21"/>
          <w:highlight w:val="none"/>
        </w:rPr>
        <w:t>在推迟了投标截止时间的情况下，采购机构和投标供应商受投标截止时间制约的所有权利和义务均应延长至新的截止时间。</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25" w:name="_Toc40429184"/>
      <w:bookmarkStart w:id="26" w:name="_Toc474156089"/>
      <w:r>
        <w:rPr>
          <w:rFonts w:hint="default" w:ascii="Arial" w:hAnsi="Arial" w:eastAsia="宋体" w:cs="Arial"/>
          <w:color w:val="auto"/>
          <w:sz w:val="24"/>
          <w:szCs w:val="24"/>
          <w:highlight w:val="none"/>
        </w:rPr>
        <w:t>（六）开标与评标</w:t>
      </w:r>
      <w:bookmarkEnd w:id="25"/>
      <w:bookmarkEnd w:id="26"/>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开标</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开标时间和地点：见本招标文件招标公告</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采购代理机构组织和主持开标会，</w:t>
      </w:r>
      <w:r>
        <w:rPr>
          <w:rFonts w:hint="default" w:ascii="Arial" w:hAnsi="Arial" w:eastAsia="宋体" w:cs="Arial"/>
          <w:b/>
          <w:color w:val="auto"/>
          <w:szCs w:val="21"/>
          <w:highlight w:val="none"/>
        </w:rPr>
        <w:t>所有供应商均应当准时在线参加。</w:t>
      </w:r>
      <w:r>
        <w:rPr>
          <w:rFonts w:hint="default" w:ascii="Arial" w:hAnsi="Arial" w:eastAsia="宋体" w:cs="Arial"/>
          <w:b/>
          <w:color w:val="auto"/>
          <w:kern w:val="0"/>
          <w:szCs w:val="21"/>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Cs/>
          <w:color w:val="auto"/>
          <w:szCs w:val="21"/>
          <w:highlight w:val="none"/>
        </w:rPr>
        <w:t>开标后，采购代理机构将向各投标供应商发出“电子加密投标文件”的解密通知，各投标供应商代表应当在接到解密通知后30分钟内自行完成“电子加密投标文件”的在线解密</w:t>
      </w:r>
      <w:r>
        <w:rPr>
          <w:rFonts w:hint="default" w:ascii="Arial" w:hAnsi="Arial" w:eastAsia="宋体" w:cs="Arial"/>
          <w:color w:val="auto"/>
          <w:szCs w:val="21"/>
          <w:highlight w:val="none"/>
          <w:lang w:bidi="ar"/>
        </w:rPr>
        <w:t>。投标供应商成功递交的“电子加密投标文件”无法按时解密的，如已按规定递交了“备份投标文件”的，将由采购代理机构按</w:t>
      </w:r>
      <w:r>
        <w:rPr>
          <w:rFonts w:hint="default" w:ascii="Arial" w:hAnsi="Arial" w:eastAsia="宋体" w:cs="Arial"/>
          <w:bCs/>
          <w:color w:val="auto"/>
          <w:szCs w:val="21"/>
          <w:highlight w:val="none"/>
        </w:rPr>
        <w:t>“政府采购云平台”</w:t>
      </w:r>
      <w:r>
        <w:rPr>
          <w:rFonts w:hint="default" w:ascii="Arial" w:hAnsi="Arial" w:eastAsia="宋体" w:cs="Arial"/>
          <w:color w:val="auto"/>
          <w:szCs w:val="21"/>
          <w:highlight w:val="none"/>
          <w:lang w:bidi="ar"/>
        </w:rPr>
        <w:t>操作规范将“备份投标文件”上传至</w:t>
      </w:r>
      <w:r>
        <w:rPr>
          <w:rFonts w:hint="default" w:ascii="Arial" w:hAnsi="Arial" w:eastAsia="宋体" w:cs="Arial"/>
          <w:bCs/>
          <w:color w:val="auto"/>
          <w:szCs w:val="21"/>
          <w:highlight w:val="none"/>
        </w:rPr>
        <w:t>“政府采购云平台”</w:t>
      </w:r>
      <w:r>
        <w:rPr>
          <w:rFonts w:hint="default" w:ascii="Arial" w:hAnsi="Arial" w:eastAsia="宋体" w:cs="Arial"/>
          <w:color w:val="auto"/>
          <w:szCs w:val="21"/>
          <w:highlight w:val="none"/>
          <w:lang w:bidi="ar"/>
        </w:rPr>
        <w:t>，上传成功后，“电子加密投标文件”自动失效；</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szCs w:val="21"/>
          <w:highlight w:val="none"/>
          <w:lang w:bidi="ar"/>
        </w:rPr>
        <w:t>解密结束后，各供应商授权代表在规定时间内，将《政府采购活动现场确认声明书》（详见附表）填写完整并签字后扫描件发至采购代理机构指定电子邮箱。</w:t>
      </w:r>
    </w:p>
    <w:p>
      <w:pPr>
        <w:snapToGrid w:val="0"/>
        <w:spacing w:line="400" w:lineRule="exact"/>
        <w:rPr>
          <w:rFonts w:hint="default" w:ascii="Arial" w:hAnsi="Arial" w:eastAsia="宋体" w:cs="Arial"/>
          <w:color w:val="auto"/>
          <w:szCs w:val="21"/>
          <w:highlight w:val="none"/>
        </w:rPr>
      </w:pPr>
      <w:r>
        <w:rPr>
          <w:rFonts w:hint="default" w:ascii="Arial" w:hAnsi="Arial" w:eastAsia="宋体" w:cs="Arial"/>
          <w:b/>
          <w:color w:val="auto"/>
          <w:szCs w:val="21"/>
          <w:highlight w:val="none"/>
          <w:lang w:bidi="ar"/>
        </w:rPr>
        <w:t xml:space="preserve">        特别说明：如遇“政府采购云平台”电子化开标或评审程序调整的，按调整后程序执行。</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评标委员会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本次采购依法组建评标委员会。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评标委员会依法根据招标文件的规定，对每一个投标供应商的投标文件进行评标、提交评标报告。</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评标原则和评标方法</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基本原则：评标工作应依据《中华人民共和国政府采购法》、《政府采购货物和服务招标投标管理办法》、《中华人民共和国政府采购法实施条例》等有关规定，遵循“公开、公平、公正、择优、信用”的原则。</w:t>
      </w:r>
    </w:p>
    <w:p>
      <w:pPr>
        <w:numPr>
          <w:ilvl w:val="1"/>
          <w:numId w:val="17"/>
        </w:numPr>
        <w:spacing w:line="400" w:lineRule="exact"/>
        <w:rPr>
          <w:rFonts w:hint="default" w:ascii="Arial" w:hAnsi="Arial" w:eastAsia="宋体" w:cs="Arial"/>
          <w:color w:val="auto"/>
          <w:highlight w:val="none"/>
        </w:rPr>
      </w:pPr>
      <w:bookmarkStart w:id="27" w:name="OLE_LINK40"/>
      <w:r>
        <w:rPr>
          <w:rFonts w:hint="default" w:ascii="Arial" w:hAnsi="Arial" w:eastAsia="宋体" w:cs="Arial"/>
          <w:color w:val="auto"/>
          <w:highlight w:val="none"/>
        </w:rPr>
        <w:t>评审方法：本评标办法采取综合评分法（百分制法），招标人首先对投标文件进行资格性检查，评标委员会对资格性审查合格的投标文件进行符合性检查，再对资格性和符合性审查均合格的供应商进入技术、商务文件评审，最后进行报价文件评审。评标结束后，评标委员会将根据投标供应商的合计得分（技术、商务文件、报价文件分开打分，最后两部分得分相加）由高到低确定一个预选中标供应商（得分高者），其他有效供应商按合计得分由高到低依次为备选中标供应商，并出具评审报告。合计得分相同的，按投标报价由低到高顺序排列；合计得分且投标报价相同的，则按技术、商务文件得分高低顺序排列；若所有得分均相同，则由招标人在所有得分均相同者中随机抽取其中一名为名次优先者。招标人应对评标委员会所推荐的中标候选人的情况进行必要的核实，并经公示后无异议的，依法予以确认中标供应商。</w:t>
      </w:r>
      <w:bookmarkEnd w:id="27"/>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经资格性审查和符合性审查后，开、评标期间出现符合合格条件的投标供应商或者对招标文件作出实质响应的投标供应商（有效投标供应商）不足三家的，按政府采购法律法规有关规定，依法继续进行或转为其它政府采购方式进行采购，或宣布本次招标失败，重新组织招标。</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评标工作程序</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初步评审：</w:t>
      </w:r>
    </w:p>
    <w:p>
      <w:pPr>
        <w:widowControl/>
        <w:numPr>
          <w:ilvl w:val="0"/>
          <w:numId w:val="19"/>
        </w:numPr>
        <w:snapToGrid w:val="0"/>
        <w:spacing w:line="400" w:lineRule="exact"/>
        <w:ind w:hanging="289"/>
        <w:rPr>
          <w:rFonts w:hint="default" w:ascii="Arial" w:hAnsi="Arial" w:eastAsia="宋体" w:cs="Arial"/>
          <w:color w:val="auto"/>
          <w:szCs w:val="21"/>
          <w:highlight w:val="none"/>
        </w:rPr>
      </w:pPr>
      <w:r>
        <w:rPr>
          <w:rFonts w:hint="default" w:ascii="Arial" w:hAnsi="Arial" w:eastAsia="宋体" w:cs="Arial"/>
          <w:color w:val="auto"/>
          <w:szCs w:val="21"/>
          <w:highlight w:val="none"/>
        </w:rPr>
        <w:t>资格性审查：招标人根据法律法规及招标文件的要求，对各投标供应商进行资格性审查。</w:t>
      </w:r>
    </w:p>
    <w:p>
      <w:pPr>
        <w:widowControl/>
        <w:numPr>
          <w:ilvl w:val="0"/>
          <w:numId w:val="19"/>
        </w:numPr>
        <w:snapToGrid w:val="0"/>
        <w:spacing w:line="400" w:lineRule="exact"/>
        <w:ind w:hanging="289"/>
        <w:rPr>
          <w:rFonts w:hint="default" w:ascii="Arial" w:hAnsi="Arial" w:eastAsia="宋体" w:cs="Arial"/>
          <w:color w:val="auto"/>
          <w:szCs w:val="21"/>
          <w:highlight w:val="none"/>
        </w:rPr>
      </w:pPr>
      <w:r>
        <w:rPr>
          <w:rFonts w:hint="default" w:ascii="Arial" w:hAnsi="Arial" w:eastAsia="宋体" w:cs="Arial"/>
          <w:color w:val="auto"/>
          <w:szCs w:val="21"/>
          <w:highlight w:val="none"/>
        </w:rPr>
        <w:t>符合性审查：评标委员会根据法律法规及招标文件的要求，对各投标供应商进行符合性审查。</w:t>
      </w:r>
    </w:p>
    <w:p>
      <w:pPr>
        <w:widowControl/>
        <w:numPr>
          <w:ilvl w:val="0"/>
          <w:numId w:val="19"/>
        </w:numPr>
        <w:snapToGrid w:val="0"/>
        <w:spacing w:line="400" w:lineRule="exact"/>
        <w:ind w:hanging="289"/>
        <w:rPr>
          <w:rFonts w:hint="default" w:ascii="Arial" w:hAnsi="Arial" w:eastAsia="宋体" w:cs="Arial"/>
          <w:color w:val="auto"/>
          <w:szCs w:val="21"/>
          <w:highlight w:val="none"/>
        </w:rPr>
      </w:pPr>
      <w:r>
        <w:rPr>
          <w:rFonts w:hint="default" w:ascii="Arial" w:hAnsi="Arial" w:eastAsia="宋体" w:cs="Arial"/>
          <w:color w:val="auto"/>
          <w:szCs w:val="21"/>
          <w:highlight w:val="none"/>
        </w:rPr>
        <w:t>▲在详细评审时</w:t>
      </w:r>
      <w:r>
        <w:rPr>
          <w:rFonts w:hint="default" w:ascii="Arial" w:hAnsi="Arial" w:eastAsia="宋体" w:cs="Arial"/>
          <w:color w:val="auto"/>
          <w:highlight w:val="none"/>
        </w:rPr>
        <w:t>投标文件出现下列情况</w:t>
      </w:r>
      <w:r>
        <w:rPr>
          <w:rFonts w:hint="default" w:ascii="Arial" w:hAnsi="Arial" w:eastAsia="宋体" w:cs="Arial"/>
          <w:color w:val="auto"/>
          <w:szCs w:val="21"/>
          <w:highlight w:val="none"/>
        </w:rPr>
        <w:t>，按</w:t>
      </w:r>
      <w:r>
        <w:rPr>
          <w:rFonts w:hint="default" w:ascii="Arial" w:hAnsi="Arial" w:eastAsia="宋体" w:cs="Arial"/>
          <w:b/>
          <w:color w:val="auto"/>
          <w:szCs w:val="21"/>
          <w:highlight w:val="none"/>
        </w:rPr>
        <w:t>无效投标</w:t>
      </w:r>
      <w:r>
        <w:rPr>
          <w:rFonts w:hint="default" w:ascii="Arial" w:hAnsi="Arial" w:eastAsia="宋体" w:cs="Arial"/>
          <w:color w:val="auto"/>
          <w:szCs w:val="21"/>
          <w:highlight w:val="none"/>
        </w:rPr>
        <w:t>处理：</w:t>
      </w:r>
    </w:p>
    <w:p>
      <w:pPr>
        <w:numPr>
          <w:ilvl w:val="0"/>
          <w:numId w:val="20"/>
        </w:numPr>
        <w:tabs>
          <w:tab w:val="left" w:pos="0"/>
          <w:tab w:val="left" w:pos="425"/>
          <w:tab w:val="left" w:pos="1260"/>
        </w:tabs>
        <w:spacing w:line="400" w:lineRule="exact"/>
        <w:ind w:left="1043" w:firstLine="17"/>
        <w:rPr>
          <w:rFonts w:hint="default" w:ascii="Arial" w:hAnsi="Arial" w:eastAsia="宋体" w:cs="Arial"/>
          <w:bCs/>
          <w:color w:val="auto"/>
          <w:highlight w:val="none"/>
        </w:rPr>
      </w:pPr>
      <w:r>
        <w:rPr>
          <w:rFonts w:hint="default" w:ascii="Arial" w:hAnsi="Arial" w:eastAsia="宋体" w:cs="Arial"/>
          <w:bCs/>
          <w:color w:val="auto"/>
          <w:highlight w:val="none"/>
        </w:rPr>
        <w:t>投标不是固定价或投标报价超过财政预算的；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投标有效期不足的；</w:t>
      </w:r>
    </w:p>
    <w:p>
      <w:pPr>
        <w:numPr>
          <w:ilvl w:val="0"/>
          <w:numId w:val="20"/>
        </w:numPr>
        <w:tabs>
          <w:tab w:val="left" w:pos="0"/>
          <w:tab w:val="left" w:pos="1260"/>
        </w:tabs>
        <w:spacing w:line="400" w:lineRule="exact"/>
        <w:ind w:left="1043" w:firstLine="17"/>
        <w:rPr>
          <w:rFonts w:hint="default" w:ascii="Arial" w:hAnsi="Arial" w:eastAsia="宋体" w:cs="Arial"/>
          <w:bCs/>
          <w:color w:val="auto"/>
          <w:highlight w:val="none"/>
        </w:rPr>
      </w:pPr>
      <w:r>
        <w:rPr>
          <w:rFonts w:hint="default" w:ascii="Arial" w:hAnsi="Arial" w:eastAsia="宋体" w:cs="Arial"/>
          <w:color w:val="auto"/>
          <w:highlight w:val="none"/>
        </w:rPr>
        <w:t>单价与总价</w:t>
      </w:r>
      <w:r>
        <w:rPr>
          <w:rFonts w:hint="default" w:ascii="Arial" w:hAnsi="Arial" w:eastAsia="宋体" w:cs="Arial"/>
          <w:bCs/>
          <w:color w:val="auto"/>
          <w:highlight w:val="none"/>
        </w:rPr>
        <w:t>不相符，又不接受评标委员会</w:t>
      </w:r>
      <w:r>
        <w:rPr>
          <w:rFonts w:hint="default" w:ascii="Arial" w:hAnsi="Arial" w:eastAsia="宋体" w:cs="Arial"/>
          <w:color w:val="auto"/>
          <w:highlight w:val="none"/>
        </w:rPr>
        <w:t>修正的报价</w:t>
      </w:r>
      <w:r>
        <w:rPr>
          <w:rFonts w:hint="default" w:ascii="Arial" w:hAnsi="Arial" w:eastAsia="宋体" w:cs="Arial"/>
          <w:bCs/>
          <w:color w:val="auto"/>
          <w:highlight w:val="none"/>
        </w:rPr>
        <w:t>或投标明显不合理而投标供应商不能合理说明的；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投标文件中需签字或盖章的地方未加盖投标供应商单位全称的电子签章，或未经法定代表人或其授权代表签字或盖章； </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bCs/>
          <w:color w:val="auto"/>
          <w:szCs w:val="21"/>
          <w:highlight w:val="none"/>
        </w:rPr>
        <w:t>授权代表未取得有效的法定代表人授权委托书的；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不具备招标文件中规定资格要求的；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评标委员会认为投标文件未实质性响应招标文件要求的；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服务/技术要求不满足招标内容实质性内容及商务有重大偏离或保留的；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电子投标文件解密失败的，且未在规定时间内提交备份响应文件的；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仅提交“备份投标文件”的；</w:t>
      </w:r>
    </w:p>
    <w:p>
      <w:pPr>
        <w:numPr>
          <w:ilvl w:val="0"/>
          <w:numId w:val="20"/>
        </w:numPr>
        <w:tabs>
          <w:tab w:val="left" w:pos="0"/>
          <w:tab w:val="left" w:pos="1260"/>
        </w:tabs>
        <w:spacing w:line="400" w:lineRule="exact"/>
        <w:ind w:left="1043" w:firstLine="17"/>
        <w:rPr>
          <w:rFonts w:hint="default" w:ascii="Arial" w:hAnsi="Arial" w:eastAsia="宋体" w:cs="Arial"/>
          <w:b/>
          <w:color w:val="auto"/>
          <w:highlight w:val="none"/>
        </w:rPr>
      </w:pPr>
      <w:r>
        <w:rPr>
          <w:rFonts w:hint="default" w:ascii="Arial" w:hAnsi="Arial" w:eastAsia="宋体" w:cs="Arial"/>
          <w:b/>
          <w:color w:val="auto"/>
          <w:highlight w:val="none"/>
        </w:rPr>
        <w:t>未按规定提供关于《中华人民共和国政府采购法》第二十二条规定的承诺函的；</w:t>
      </w:r>
    </w:p>
    <w:p>
      <w:pPr>
        <w:numPr>
          <w:ilvl w:val="0"/>
          <w:numId w:val="20"/>
        </w:numPr>
        <w:tabs>
          <w:tab w:val="left" w:pos="0"/>
          <w:tab w:val="left" w:pos="1260"/>
        </w:tabs>
        <w:spacing w:line="400" w:lineRule="exact"/>
        <w:ind w:left="1043" w:firstLine="17"/>
        <w:rPr>
          <w:rFonts w:hint="default" w:ascii="Arial" w:hAnsi="Arial" w:eastAsia="宋体" w:cs="Arial"/>
          <w:b/>
          <w:color w:val="auto"/>
          <w:szCs w:val="21"/>
          <w:highlight w:val="none"/>
        </w:rPr>
      </w:pPr>
      <w:r>
        <w:rPr>
          <w:rFonts w:hint="default" w:ascii="Arial" w:hAnsi="Arial" w:eastAsia="宋体" w:cs="Arial"/>
          <w:color w:val="auto"/>
          <w:szCs w:val="21"/>
          <w:highlight w:val="none"/>
        </w:rPr>
        <w:t>单位负责人为同一人或存在直接控股、管理关系的不同供应商，则所涉供应商投标均为无效；</w:t>
      </w:r>
    </w:p>
    <w:p>
      <w:pPr>
        <w:numPr>
          <w:ilvl w:val="0"/>
          <w:numId w:val="20"/>
        </w:numPr>
        <w:tabs>
          <w:tab w:val="left" w:pos="0"/>
          <w:tab w:val="left" w:pos="1260"/>
        </w:tabs>
        <w:spacing w:line="400" w:lineRule="exact"/>
        <w:ind w:left="1043" w:firstLine="17"/>
        <w:rPr>
          <w:rFonts w:hint="default" w:ascii="Arial" w:hAnsi="Arial" w:eastAsia="宋体" w:cs="Arial"/>
          <w:b/>
          <w:color w:val="auto"/>
          <w:szCs w:val="21"/>
          <w:highlight w:val="none"/>
        </w:rPr>
      </w:pPr>
      <w:r>
        <w:rPr>
          <w:rFonts w:hint="default" w:ascii="Arial" w:hAnsi="Arial" w:eastAsia="宋体" w:cs="Arial"/>
          <w:color w:val="auto"/>
          <w:szCs w:val="21"/>
          <w:highlight w:val="none"/>
        </w:rPr>
        <w:t>投标文件中</w:t>
      </w:r>
      <w:r>
        <w:rPr>
          <w:rFonts w:hint="default" w:ascii="Arial" w:hAnsi="Arial" w:eastAsia="宋体" w:cs="Arial"/>
          <w:bCs/>
          <w:color w:val="auto"/>
          <w:highlight w:val="none"/>
        </w:rPr>
        <w:t>含有招标人不能接受的附加条件的；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bCs/>
          <w:color w:val="auto"/>
          <w:highlight w:val="none"/>
        </w:rPr>
        <w:t>存在串标、抬标或弄虚作假情况的；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不符合法律、法规和招标文件规定的其他实质性要求的。</w:t>
      </w:r>
    </w:p>
    <w:p>
      <w:pPr>
        <w:numPr>
          <w:ilvl w:val="1"/>
          <w:numId w:val="17"/>
        </w:numPr>
        <w:snapToGrid w:val="0"/>
        <w:spacing w:line="400" w:lineRule="exact"/>
        <w:rPr>
          <w:rFonts w:hint="default" w:ascii="Arial" w:hAnsi="Arial" w:eastAsia="宋体" w:cs="Arial"/>
          <w:b/>
          <w:bCs/>
          <w:color w:val="auto"/>
          <w:szCs w:val="21"/>
          <w:highlight w:val="none"/>
        </w:rPr>
      </w:pPr>
      <w:r>
        <w:rPr>
          <w:rFonts w:hint="default" w:ascii="Arial" w:hAnsi="Arial" w:eastAsia="宋体" w:cs="Arial"/>
          <w:b/>
          <w:color w:val="auto"/>
          <w:szCs w:val="21"/>
          <w:highlight w:val="none"/>
        </w:rPr>
        <w:t>澄清有关问题：</w:t>
      </w:r>
      <w:r>
        <w:rPr>
          <w:rFonts w:hint="default" w:ascii="Arial" w:hAnsi="Arial" w:eastAsia="宋体" w:cs="Arial"/>
          <w:b/>
          <w:bCs/>
          <w:color w:val="auto"/>
          <w:szCs w:val="21"/>
          <w:highlight w:val="none"/>
        </w:rPr>
        <w:t>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的澄清、说明或者补正应当采用书面（或通过“政府采购云平台”在线答复）形式提交，由法定代表人或其授权的代表签字（或盖章）或加盖单位公章。投标供应商的澄清、说明或者补正不得超出投标文件的范围或者改变投标文件的实质性内容。</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比较与评价：评标委员会按招标文件中规定的评标方法和标准，对资格性检查和符合性检查合格的投标文件进行报价文件和技术、商务文件评估，先评技术、商务文件，综合比较与评价，宣布评价结果；接着对技术、商务都合格的投标报价予以审查，计算报价得分。评标委员会对投标文件的判定，只依据投标文件内容本身，不依据任何外来证明。</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color w:val="auto"/>
          <w:highlight w:val="none"/>
        </w:rPr>
        <w:t>评标委员会推荐中标候选供应商名单：评标结束后，评标委员会将根据投标供应商的评标得分（技术、商务文件、报价文件部分分开打分，最后两部分得分相加）由高到低确定一个预选中标供应商（得分高者），其他有效供应商按合计得分由高到低依次为备选中标供应商，并出具评审报告。合计得分相同的，按投标报价由低到高顺序排列；合计得分且投标报价相同的，则按技术、商务标得分高低顺序排列；若所有得分均相同，则由招标人在所有得分均相同者中随机抽取其中一名为名次优先者。招标人应对评标委员会所推荐的中标候选人的情况进行必要的核实，并经公示后无异议的，依法予以确认中标供应商。</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color w:val="auto"/>
          <w:highlight w:val="none"/>
        </w:rPr>
        <w:t>如评标委员会一致认为某个投标供应商的报价明显低于其他通过符合性审查投标供应商的报价，有可能影响产品质量或者不能诚信履约的，应当要求其在规定的时间内通过</w:t>
      </w:r>
      <w:r>
        <w:rPr>
          <w:rFonts w:hint="default" w:ascii="Arial" w:hAnsi="Arial" w:eastAsia="宋体" w:cs="Arial"/>
          <w:b/>
          <w:bCs/>
          <w:color w:val="auto"/>
          <w:szCs w:val="21"/>
          <w:highlight w:val="none"/>
        </w:rPr>
        <w:t>“政府采购云平台”</w:t>
      </w:r>
      <w:r>
        <w:rPr>
          <w:rFonts w:hint="default" w:ascii="Arial" w:hAnsi="Arial" w:eastAsia="宋体" w:cs="Arial"/>
          <w:b/>
          <w:color w:val="auto"/>
          <w:highlight w:val="none"/>
        </w:rPr>
        <w:t>作出在线澄清并提供书面说明，</w:t>
      </w:r>
      <w:r>
        <w:rPr>
          <w:rFonts w:hint="default" w:ascii="Arial" w:hAnsi="Arial" w:eastAsia="宋体" w:cs="Arial"/>
          <w:color w:val="auto"/>
          <w:highlight w:val="none"/>
        </w:rPr>
        <w:t>必要时提交相关证明材料；投标供应商不能证明其报价合理性的，评标委员会应当将其作为无效投标处理。</w:t>
      </w:r>
    </w:p>
    <w:p>
      <w:pPr>
        <w:numPr>
          <w:ilvl w:val="0"/>
          <w:numId w:val="17"/>
        </w:numPr>
        <w:spacing w:line="400" w:lineRule="exact"/>
        <w:rPr>
          <w:rFonts w:hint="default" w:ascii="Arial" w:hAnsi="Arial" w:eastAsia="宋体" w:cs="Arial"/>
          <w:b/>
          <w:bCs/>
          <w:color w:val="auto"/>
          <w:sz w:val="24"/>
          <w:highlight w:val="none"/>
        </w:rPr>
      </w:pPr>
      <w:r>
        <w:rPr>
          <w:rFonts w:hint="default" w:ascii="Arial" w:hAnsi="Arial" w:eastAsia="宋体" w:cs="Arial"/>
          <w:b/>
          <w:bCs/>
          <w:color w:val="auto"/>
          <w:sz w:val="24"/>
          <w:highlight w:val="none"/>
        </w:rPr>
        <w:t>评标过程保密</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开标之后，直到授予投标供应商合同止，凡是属于审查、澄清、评价和比较投标的有关资料以及授标意向等，均不得向投标供应商或其他无关的人员透露。</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在评标期间，投标供应商企图影响招标人或评标委员会的任何活动，都将导致投标被否决，并由其承担相应的法律责任。</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中标供应商的确定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招标人按评标委员会的评审结果，在评标委员会推荐的候选供应商中依法确定排名第一的候选供应商（投标价不超过采购预算资金的前提下）为中标供应商。招标人将在 “浙江省政府采购网” （网址：www.zjzfcg.gov.cn）发布《中标结果公示》，公告期限为1个工作日。</w:t>
      </w:r>
    </w:p>
    <w:p>
      <w:pPr>
        <w:numPr>
          <w:ilvl w:val="1"/>
          <w:numId w:val="17"/>
        </w:numPr>
        <w:snapToGrid w:val="0"/>
        <w:spacing w:line="400" w:lineRule="exact"/>
        <w:rPr>
          <w:rFonts w:hint="default" w:ascii="Arial" w:hAnsi="Arial" w:eastAsia="宋体" w:cs="Arial"/>
          <w:b/>
          <w:color w:val="auto"/>
          <w:kern w:val="0"/>
          <w:sz w:val="22"/>
          <w:highlight w:val="none"/>
        </w:rPr>
      </w:pPr>
      <w:r>
        <w:rPr>
          <w:rFonts w:hint="default" w:ascii="Arial" w:hAnsi="Arial" w:eastAsia="宋体" w:cs="Arial"/>
          <w:b/>
          <w:color w:val="auto"/>
          <w:kern w:val="0"/>
          <w:sz w:val="22"/>
          <w:highlight w:val="none"/>
        </w:rPr>
        <w:t>可中止电子交易活动的情形</w:t>
      </w:r>
    </w:p>
    <w:p>
      <w:pPr>
        <w:numPr>
          <w:ilvl w:val="1"/>
          <w:numId w:val="17"/>
        </w:numPr>
        <w:snapToGrid w:val="0"/>
        <w:spacing w:line="400" w:lineRule="exact"/>
        <w:rPr>
          <w:rFonts w:hint="default" w:ascii="Arial" w:hAnsi="Arial" w:eastAsia="宋体" w:cs="Arial"/>
          <w:b/>
          <w:color w:val="auto"/>
          <w:kern w:val="0"/>
          <w:sz w:val="22"/>
          <w:highlight w:val="none"/>
        </w:rPr>
      </w:pPr>
      <w:r>
        <w:rPr>
          <w:rFonts w:hint="default" w:ascii="Arial" w:hAnsi="Arial" w:eastAsia="宋体" w:cs="Arial"/>
          <w:b/>
          <w:color w:val="auto"/>
          <w:kern w:val="0"/>
          <w:sz w:val="22"/>
          <w:highlight w:val="none"/>
        </w:rPr>
        <w:t>采购过程中出现以下情形，导致电子交易平台无法正常运行，或者无法保证电子交易的公平、公正和安全时，采购代理机构可中止电子交易活动：</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电子交易平台发生故障而无法登录访问的；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电子交易平台应用或数据库出现错误，不能进行正常操作的；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电子交易平台发现严重安全漏洞，有潜在泄密危险的；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病毒发作导致不能进行正常操作的；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其他无法保证电子交易的公平、公正和安全的情况。</w:t>
      </w:r>
    </w:p>
    <w:p>
      <w:pPr>
        <w:numPr>
          <w:ilvl w:val="1"/>
          <w:numId w:val="17"/>
        </w:numPr>
        <w:snapToGrid w:val="0"/>
        <w:spacing w:line="400" w:lineRule="exact"/>
        <w:rPr>
          <w:rFonts w:hint="default" w:ascii="Arial" w:hAnsi="Arial" w:eastAsia="宋体" w:cs="Arial"/>
          <w:b/>
          <w:color w:val="auto"/>
          <w:kern w:val="0"/>
          <w:sz w:val="22"/>
          <w:highlight w:val="none"/>
        </w:rPr>
      </w:pPr>
      <w:r>
        <w:rPr>
          <w:rFonts w:hint="default" w:ascii="Arial" w:hAnsi="Arial" w:eastAsia="宋体" w:cs="Arial"/>
          <w:b/>
          <w:color w:val="auto"/>
          <w:kern w:val="0"/>
          <w:sz w:val="22"/>
          <w:highlight w:val="none"/>
        </w:rPr>
        <w:t>出现前款规定情形，不影响采购公平、公正性的，采购代理机构可以待上述情形消除后继续组织电子交易活动；影响或可能影响采购公平、公正性的，应当重新采购。</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否决任何或所有投标的权利</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评标委员会经评审，认为所有投标都不符合招标文件要求的，可以否决所有投标。</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如果候选人的部分或全部投标高于政府采购预算金额时，招标人将取消其中标资格，对受影响的投标供应商不承担任何责任，也无义务向受影响的投标供应商解释采取这一行动的理由。</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如果第一候选人不能按照招标文件要求及其投标文件的承诺签订合同或其投标文件与事实不符，影响采购的公平公开及合同的实施，招标人有权在授予合同前任何时候依照法定程序将合同授予第二候选人；如果第二候选人仍无法签订合同，招标人有权在授予合同前任何时候依照法定程序将合同授予第三候选人；以此类推。若所有候选人均无法签订合同，招标人将依法接受或拒绝任何投标，并宣布采购无效，对受影响的投标供应商不承担任何责任，也无义务向受影响的投标供应商解释采取这一行动的理由。</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质疑与投诉</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认为招标文件、招标过程和中标结果使自己的合法权益受到损害的，应当在知道或者应知其权益受到损害之日起七个工作日内，以书面形式向招标人、采购代理机构提出质疑。投标供应商对招标采购单位的质疑答复不满意或者招标采购单位未在规定时间内做出答复的，可以在答复期满后十五个工作日内向同级采购监管部门投诉。</w:t>
      </w:r>
    </w:p>
    <w:p>
      <w:pPr>
        <w:widowControl/>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对采购公告信息（含供应商资格条件）或申请获取的招标文件提出质疑的，可以自收到招标文件之日（获取截止日之后收到招标文件的，以获取截止日为准）或者招标文件公告期限届满之日（公告发布后的第6个工作日）起7个工作日内，以书面形式向招标人和采购代理机构提出质疑。</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质疑、投诉应当采用书面形式，投标供应商应在法定质疑期内一次性提出针对同一采购程序环节的质疑，质疑书、投诉书均应明确阐述招标文件、招标过程和中标结果中使自己合法权益受到损害的实质性内容，提供相关事实、依据和证据及其来源或线索，便于有关单位调查、答复和处理。质疑书格式可参考温州市公共资源交易网瑞安市分网（网址：http://www.raztb.com</w:t>
      </w:r>
      <w:r>
        <w:rPr>
          <w:rFonts w:hint="default" w:ascii="Arial" w:hAnsi="Arial" w:eastAsia="宋体" w:cs="Arial"/>
          <w:color w:val="auto"/>
          <w:szCs w:val="21"/>
          <w:highlight w:val="none"/>
        </w:rPr>
        <w:t>/TPFront</w:t>
      </w:r>
      <w:r>
        <w:rPr>
          <w:rFonts w:hint="default" w:ascii="Arial" w:hAnsi="Arial" w:eastAsia="宋体" w:cs="Arial"/>
          <w:color w:val="auto"/>
          <w:highlight w:val="none"/>
        </w:rPr>
        <w:t>）表格下载处相关格式。</w:t>
      </w:r>
    </w:p>
    <w:p>
      <w:pPr>
        <w:numPr>
          <w:ilvl w:val="0"/>
          <w:numId w:val="22"/>
        </w:numPr>
        <w:tabs>
          <w:tab w:val="left" w:pos="900"/>
        </w:tabs>
        <w:spacing w:line="400" w:lineRule="exact"/>
        <w:ind w:left="105" w:leftChars="50" w:firstLine="747" w:firstLineChars="356"/>
        <w:rPr>
          <w:rFonts w:hint="default" w:ascii="Arial" w:hAnsi="Arial" w:eastAsia="宋体" w:cs="Arial"/>
          <w:color w:val="auto"/>
          <w:highlight w:val="none"/>
        </w:rPr>
      </w:pPr>
      <w:bookmarkStart w:id="28" w:name="_Toc474156090"/>
      <w:r>
        <w:rPr>
          <w:rFonts w:hint="default" w:ascii="Arial" w:hAnsi="Arial" w:eastAsia="宋体" w:cs="Arial"/>
          <w:color w:val="auto"/>
          <w:highlight w:val="none"/>
        </w:rPr>
        <w:t>质疑受理机构：浙江省建设工程设备招标有限公司</w:t>
      </w:r>
    </w:p>
    <w:p>
      <w:pPr>
        <w:tabs>
          <w:tab w:val="left" w:pos="567"/>
          <w:tab w:val="left" w:pos="1276"/>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质疑地址：瑞安市外滩满庭芳大楼三楼</w:t>
      </w:r>
    </w:p>
    <w:p>
      <w:pPr>
        <w:tabs>
          <w:tab w:val="left" w:pos="567"/>
          <w:tab w:val="left" w:pos="1276"/>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联系电话：0577-88926649</w:t>
      </w:r>
    </w:p>
    <w:p>
      <w:pPr>
        <w:numPr>
          <w:ilvl w:val="0"/>
          <w:numId w:val="22"/>
        </w:numPr>
        <w:tabs>
          <w:tab w:val="left" w:pos="900"/>
        </w:tabs>
        <w:spacing w:line="400" w:lineRule="exact"/>
        <w:ind w:left="105" w:leftChars="50" w:firstLine="747" w:firstLineChars="356"/>
        <w:rPr>
          <w:rFonts w:hint="default" w:ascii="Arial" w:hAnsi="Arial" w:eastAsia="宋体" w:cs="Arial"/>
          <w:color w:val="auto"/>
          <w:highlight w:val="none"/>
        </w:rPr>
      </w:pPr>
      <w:r>
        <w:rPr>
          <w:rFonts w:hint="default" w:ascii="Arial" w:hAnsi="Arial" w:eastAsia="宋体" w:cs="Arial"/>
          <w:color w:val="auto"/>
          <w:highlight w:val="none"/>
        </w:rPr>
        <w:t>质疑受理机构：</w:t>
      </w:r>
      <w:r>
        <w:rPr>
          <w:rFonts w:hint="default" w:ascii="Arial" w:hAnsi="Arial" w:eastAsia="宋体" w:cs="Arial"/>
          <w:color w:val="auto"/>
          <w:highlight w:val="none"/>
          <w:lang w:eastAsia="zh-CN"/>
        </w:rPr>
        <w:t>瑞安市公安局</w:t>
      </w:r>
    </w:p>
    <w:p>
      <w:pPr>
        <w:tabs>
          <w:tab w:val="left" w:pos="900"/>
        </w:tabs>
        <w:spacing w:line="400" w:lineRule="exact"/>
        <w:ind w:left="853"/>
        <w:rPr>
          <w:rFonts w:hint="default" w:ascii="Arial" w:hAnsi="Arial" w:eastAsia="宋体" w:cs="Arial"/>
          <w:color w:val="auto"/>
          <w:highlight w:val="none"/>
          <w:lang w:eastAsia="zh-CN"/>
        </w:rPr>
      </w:pPr>
      <w:r>
        <w:rPr>
          <w:rFonts w:hint="default" w:ascii="Arial" w:hAnsi="Arial" w:eastAsia="宋体" w:cs="Arial"/>
          <w:color w:val="auto"/>
          <w:highlight w:val="none"/>
        </w:rPr>
        <w:t xml:space="preserve"> 质疑地址：</w:t>
      </w:r>
      <w:r>
        <w:rPr>
          <w:rFonts w:hint="default" w:ascii="Arial" w:hAnsi="Arial" w:eastAsia="宋体" w:cs="Arial"/>
          <w:color w:val="auto"/>
          <w:szCs w:val="21"/>
          <w:highlight w:val="none"/>
          <w:lang w:eastAsia="zh-CN"/>
        </w:rPr>
        <w:t>瑞安市安阳街道隆山东路525号</w:t>
      </w:r>
    </w:p>
    <w:p>
      <w:pPr>
        <w:tabs>
          <w:tab w:val="left" w:pos="900"/>
        </w:tabs>
        <w:spacing w:line="400" w:lineRule="exact"/>
        <w:ind w:left="853"/>
        <w:rPr>
          <w:rFonts w:hint="default" w:ascii="Arial" w:hAnsi="Arial" w:eastAsia="宋体" w:cs="Arial"/>
          <w:color w:val="auto"/>
          <w:highlight w:val="none"/>
          <w:lang w:eastAsia="zh-CN"/>
        </w:rPr>
      </w:pPr>
      <w:r>
        <w:rPr>
          <w:rFonts w:hint="default" w:ascii="Arial" w:hAnsi="Arial" w:eastAsia="宋体" w:cs="Arial"/>
          <w:color w:val="auto"/>
          <w:highlight w:val="none"/>
        </w:rPr>
        <w:t xml:space="preserve"> 联系电话：0577</w:t>
      </w:r>
      <w:r>
        <w:rPr>
          <w:rFonts w:hint="default" w:ascii="Arial" w:hAnsi="Arial" w:eastAsia="宋体" w:cs="Arial"/>
          <w:color w:val="auto"/>
          <w:highlight w:val="none"/>
          <w:lang w:eastAsia="zh-CN"/>
        </w:rPr>
        <w:t>-65852316</w:t>
      </w:r>
    </w:p>
    <w:p>
      <w:pPr>
        <w:numPr>
          <w:ilvl w:val="0"/>
          <w:numId w:val="22"/>
        </w:numPr>
        <w:tabs>
          <w:tab w:val="left" w:pos="900"/>
        </w:tabs>
        <w:spacing w:line="400" w:lineRule="exact"/>
        <w:ind w:left="105" w:leftChars="50" w:firstLine="747" w:firstLineChars="356"/>
        <w:rPr>
          <w:rFonts w:hint="default" w:ascii="Arial" w:hAnsi="Arial" w:eastAsia="宋体" w:cs="Arial"/>
          <w:color w:val="auto"/>
          <w:highlight w:val="none"/>
        </w:rPr>
      </w:pPr>
      <w:r>
        <w:rPr>
          <w:rFonts w:hint="default" w:ascii="Arial" w:hAnsi="Arial" w:eastAsia="宋体" w:cs="Arial"/>
          <w:color w:val="auto"/>
          <w:highlight w:val="none"/>
        </w:rPr>
        <w:t>投诉受理机构：瑞安市财政局政府采购监督管理科</w:t>
      </w:r>
    </w:p>
    <w:p>
      <w:pPr>
        <w:tabs>
          <w:tab w:val="left" w:pos="900"/>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投诉地址：瑞安市财政局大楼15楼</w:t>
      </w:r>
    </w:p>
    <w:p>
      <w:pPr>
        <w:tabs>
          <w:tab w:val="left" w:pos="900"/>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投诉电话：0577-65827570</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29" w:name="_Toc40429185"/>
      <w:r>
        <w:rPr>
          <w:rFonts w:hint="default" w:ascii="Arial" w:hAnsi="Arial" w:eastAsia="宋体" w:cs="Arial"/>
          <w:color w:val="auto"/>
          <w:sz w:val="24"/>
          <w:szCs w:val="24"/>
          <w:highlight w:val="none"/>
        </w:rPr>
        <w:t>（七）授予合同</w:t>
      </w:r>
      <w:bookmarkEnd w:id="28"/>
      <w:bookmarkEnd w:id="29"/>
    </w:p>
    <w:p>
      <w:pPr>
        <w:numPr>
          <w:ilvl w:val="0"/>
          <w:numId w:val="17"/>
        </w:numPr>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中标通知</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在投标有效期期满之前，采购代理机构将以书面形式向获接受的投标供应商发出书面的《中标通知书》。《中标通知书》将是合同的一个组成部分。</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签订合同</w:t>
      </w:r>
    </w:p>
    <w:p>
      <w:pPr>
        <w:numPr>
          <w:ilvl w:val="1"/>
          <w:numId w:val="17"/>
        </w:numPr>
        <w:snapToGrid w:val="0"/>
        <w:spacing w:line="400" w:lineRule="exact"/>
        <w:rPr>
          <w:rFonts w:hint="default" w:ascii="Arial" w:hAnsi="Arial" w:eastAsia="宋体" w:cs="Arial"/>
          <w:color w:val="auto"/>
          <w:sz w:val="24"/>
          <w:highlight w:val="none"/>
        </w:rPr>
      </w:pPr>
      <w:r>
        <w:rPr>
          <w:rFonts w:hint="default" w:ascii="Arial" w:hAnsi="Arial" w:eastAsia="宋体" w:cs="Arial"/>
          <w:color w:val="auto"/>
          <w:highlight w:val="none"/>
        </w:rPr>
        <w:t>中标供应商按《中标通知书》指定的时间、地点与招标人签订合同同。</w:t>
      </w:r>
    </w:p>
    <w:p>
      <w:pPr>
        <w:numPr>
          <w:ilvl w:val="1"/>
          <w:numId w:val="17"/>
        </w:numPr>
        <w:snapToGrid w:val="0"/>
        <w:spacing w:line="400" w:lineRule="exact"/>
        <w:rPr>
          <w:rFonts w:hint="default" w:ascii="Arial" w:hAnsi="Arial" w:eastAsia="宋体" w:cs="Arial"/>
          <w:color w:val="auto"/>
          <w:sz w:val="24"/>
          <w:highlight w:val="none"/>
        </w:rPr>
      </w:pPr>
      <w:r>
        <w:rPr>
          <w:rFonts w:hint="default" w:ascii="Arial" w:hAnsi="Arial" w:eastAsia="宋体" w:cs="Arial"/>
          <w:color w:val="auto"/>
          <w:highlight w:val="none"/>
        </w:rPr>
        <w:t>招标文件、中标供应商的投标文件及其澄清文件等，均为签订经济合同的依据。中标供应商自发出中标通知书后30天内与招标人签订合同。</w:t>
      </w:r>
    </w:p>
    <w:p>
      <w:pPr>
        <w:numPr>
          <w:ilvl w:val="1"/>
          <w:numId w:val="17"/>
        </w:numPr>
        <w:snapToGrid w:val="0"/>
        <w:spacing w:line="400" w:lineRule="exact"/>
        <w:rPr>
          <w:rFonts w:hint="default" w:ascii="Arial" w:hAnsi="Arial" w:eastAsia="宋体" w:cs="Arial"/>
          <w:color w:val="auto"/>
          <w:sz w:val="24"/>
          <w:highlight w:val="none"/>
        </w:rPr>
      </w:pPr>
      <w:r>
        <w:rPr>
          <w:rFonts w:hint="default" w:ascii="Arial" w:hAnsi="Arial" w:eastAsia="宋体" w:cs="Arial"/>
          <w:color w:val="auto"/>
          <w:highlight w:val="none"/>
        </w:rPr>
        <w:t>中标供应商不遵守招标文件或投标文件的要约、承诺，擅自修改报价或在发出中标通知书后，借故拖延、拒签合同者，同时，招标人取消该单位的中标权，另选其它投标供应商中标。</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采购结果通知</w:t>
      </w:r>
    </w:p>
    <w:p>
      <w:pPr>
        <w:snapToGrid w:val="0"/>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采购代理机构在发出《中标通知书》同时在 “浙江省政府采购网”（网址：www.zjzfcg.gov.cn） 发布中标结果。</w:t>
      </w:r>
    </w:p>
    <w:p>
      <w:pPr>
        <w:numPr>
          <w:ilvl w:val="0"/>
          <w:numId w:val="17"/>
        </w:numPr>
        <w:snapToGrid w:val="0"/>
        <w:spacing w:line="400" w:lineRule="exact"/>
        <w:rPr>
          <w:rFonts w:hint="default" w:ascii="Arial" w:hAnsi="Arial" w:eastAsia="宋体" w:cs="Arial"/>
          <w:b/>
          <w:color w:val="auto"/>
          <w:sz w:val="24"/>
          <w:szCs w:val="24"/>
          <w:highlight w:val="none"/>
        </w:rPr>
      </w:pPr>
      <w:r>
        <w:rPr>
          <w:rFonts w:hint="default" w:ascii="Arial" w:hAnsi="Arial" w:eastAsia="宋体" w:cs="Arial"/>
          <w:b/>
          <w:color w:val="auto"/>
          <w:sz w:val="24"/>
          <w:szCs w:val="24"/>
          <w:highlight w:val="none"/>
        </w:rPr>
        <w:t>代理服务费</w:t>
      </w:r>
    </w:p>
    <w:p>
      <w:pPr>
        <w:widowControl/>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经招标人和采购代理机构双方协商，本次采购代理服务费由中标供应商支付，代理服务费按</w:t>
      </w:r>
      <w:r>
        <w:rPr>
          <w:rFonts w:hint="default" w:ascii="Arial" w:hAnsi="Arial" w:eastAsia="宋体" w:cs="Arial"/>
          <w:color w:val="auto"/>
          <w:highlight w:val="none"/>
          <w:lang w:val="en-US" w:eastAsia="zh-CN"/>
        </w:rPr>
        <w:t>固定金额人民币</w:t>
      </w:r>
      <w:r>
        <w:rPr>
          <w:rFonts w:hint="eastAsia" w:ascii="Arial" w:hAnsi="Arial" w:eastAsia="宋体" w:cs="Arial"/>
          <w:color w:val="auto"/>
          <w:highlight w:val="none"/>
          <w:lang w:val="en-US" w:eastAsia="zh-CN"/>
        </w:rPr>
        <w:t>25000.00</w:t>
      </w:r>
      <w:r>
        <w:rPr>
          <w:rFonts w:hint="default" w:ascii="Arial" w:hAnsi="Arial" w:eastAsia="宋体" w:cs="Arial"/>
          <w:color w:val="auto"/>
          <w:highlight w:val="none"/>
          <w:lang w:val="en-US" w:eastAsia="zh-CN"/>
        </w:rPr>
        <w:t>元</w:t>
      </w:r>
      <w:r>
        <w:rPr>
          <w:rFonts w:hint="default" w:ascii="Arial" w:hAnsi="Arial" w:eastAsia="宋体" w:cs="Arial"/>
          <w:color w:val="auto"/>
          <w:highlight w:val="none"/>
        </w:rPr>
        <w:t xml:space="preserve">收取。采购代理服务费不在报价中单列，该费用必须在领取中标通知书前付清。 </w:t>
      </w:r>
    </w:p>
    <w:p>
      <w:pPr>
        <w:snapToGrid w:val="0"/>
        <w:spacing w:line="400" w:lineRule="exact"/>
        <w:rPr>
          <w:rFonts w:hint="default" w:ascii="Arial" w:hAnsi="Arial" w:eastAsia="宋体" w:cs="Arial"/>
          <w:color w:val="auto"/>
          <w:highlight w:val="none"/>
        </w:rPr>
      </w:pPr>
    </w:p>
    <w:p>
      <w:pPr>
        <w:pStyle w:val="2"/>
        <w:keepNext w:val="0"/>
        <w:keepLines w:val="0"/>
        <w:pageBreakBefore/>
        <w:tabs>
          <w:tab w:val="left" w:pos="840"/>
        </w:tabs>
        <w:spacing w:before="156" w:beforeLines="50" w:after="0" w:line="400" w:lineRule="exact"/>
        <w:jc w:val="center"/>
        <w:rPr>
          <w:rFonts w:hint="default" w:ascii="Arial" w:hAnsi="Arial" w:eastAsia="宋体" w:cs="Arial"/>
          <w:color w:val="auto"/>
          <w:sz w:val="28"/>
          <w:szCs w:val="36"/>
          <w:highlight w:val="none"/>
        </w:rPr>
      </w:pPr>
      <w:bookmarkStart w:id="30" w:name="_Toc40429186"/>
      <w:bookmarkStart w:id="31" w:name="_Toc474156091"/>
      <w:r>
        <w:rPr>
          <w:rFonts w:hint="default" w:ascii="Arial" w:hAnsi="Arial" w:eastAsia="宋体" w:cs="Arial"/>
          <w:color w:val="auto"/>
          <w:sz w:val="28"/>
          <w:szCs w:val="36"/>
          <w:highlight w:val="none"/>
        </w:rPr>
        <w:t>第三部分  招标内容及要求</w:t>
      </w:r>
      <w:bookmarkEnd w:id="30"/>
      <w:bookmarkEnd w:id="31"/>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32" w:name="_Toc26871"/>
      <w:bookmarkStart w:id="33" w:name="_Toc5774"/>
      <w:bookmarkStart w:id="34" w:name="_Toc447271485"/>
      <w:bookmarkStart w:id="35" w:name="_Toc16244273"/>
      <w:bookmarkStart w:id="36" w:name="_Toc15005"/>
      <w:bookmarkStart w:id="37" w:name="_Toc21529894"/>
      <w:bookmarkStart w:id="38" w:name="_Toc474156092"/>
      <w:bookmarkStart w:id="39" w:name="_Toc454832207"/>
      <w:bookmarkStart w:id="40" w:name="_Toc353443071"/>
      <w:bookmarkStart w:id="41" w:name="_Toc416183606"/>
      <w:bookmarkStart w:id="42" w:name="_Toc442273881"/>
      <w:bookmarkStart w:id="43" w:name="_Toc416183460"/>
      <w:bookmarkStart w:id="44" w:name="_Toc397591320"/>
      <w:r>
        <w:rPr>
          <w:rFonts w:hint="default" w:ascii="Arial" w:hAnsi="Arial" w:eastAsia="宋体" w:cs="Arial"/>
          <w:b/>
          <w:bCs/>
          <w:color w:val="auto"/>
          <w:sz w:val="24"/>
          <w:szCs w:val="24"/>
          <w:highlight w:val="none"/>
        </w:rPr>
        <w:t>概述</w:t>
      </w:r>
      <w:bookmarkEnd w:id="32"/>
      <w:bookmarkEnd w:id="33"/>
      <w:bookmarkEnd w:id="34"/>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此份招标内容及要求是招标文件的一部分，包括所有条款的具体说明及技术要求，投标供应商需在各自技术和商务占优势的基础上对本次采购服务进行报价。</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投标供应商必须完成采购内容和合同（基本要求、价格和服务）规定义务，不允许只对部分内容进行报价。</w:t>
      </w:r>
    </w:p>
    <w:p>
      <w:pPr>
        <w:widowControl w:val="0"/>
        <w:numPr>
          <w:ilvl w:val="1"/>
          <w:numId w:val="23"/>
        </w:numPr>
        <w:tabs>
          <w:tab w:val="left" w:pos="540"/>
          <w:tab w:val="clear" w:pos="851"/>
        </w:tabs>
        <w:snapToGrid w:val="0"/>
        <w:spacing w:line="360" w:lineRule="auto"/>
        <w:ind w:left="927" w:hanging="927"/>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本次项目服务的标准、规范，应符合国家有关条例及规范。</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在投标之前，投标供应商须仔细阅读招标文件，如发现有任何疑问、冲突或问题，投标供应商须在答疑截止时间前以书面形式向采购机构提出。逾期采购机构不再作答复，有关风险及责任由投标供应商自行承担。</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45" w:name="_Toc16884"/>
      <w:bookmarkStart w:id="46" w:name="_Toc447271486"/>
      <w:bookmarkStart w:id="47" w:name="_Toc10005"/>
      <w:r>
        <w:rPr>
          <w:rFonts w:hint="default" w:ascii="Arial" w:hAnsi="Arial" w:eastAsia="宋体" w:cs="Arial"/>
          <w:b/>
          <w:bCs/>
          <w:color w:val="auto"/>
          <w:sz w:val="24"/>
          <w:szCs w:val="24"/>
          <w:highlight w:val="none"/>
        </w:rPr>
        <w:t>项目基本情况</w:t>
      </w:r>
      <w:bookmarkEnd w:id="45"/>
      <w:bookmarkEnd w:id="46"/>
      <w:bookmarkEnd w:id="47"/>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highlight w:val="none"/>
        </w:rPr>
      </w:pPr>
      <w:r>
        <w:rPr>
          <w:rFonts w:hint="default" w:ascii="Arial" w:hAnsi="Arial" w:eastAsia="宋体" w:cs="Arial"/>
          <w:color w:val="auto"/>
          <w:szCs w:val="21"/>
          <w:highlight w:val="none"/>
        </w:rPr>
        <w:t>项目背景：</w:t>
      </w:r>
      <w:r>
        <w:rPr>
          <w:rFonts w:hint="default" w:ascii="Arial" w:hAnsi="Arial" w:eastAsia="宋体" w:cs="Arial"/>
          <w:color w:val="auto"/>
          <w:highlight w:val="none"/>
        </w:rPr>
        <w:t>瑞安市公安局因工作需要，需编外**辅助人员</w:t>
      </w:r>
      <w:r>
        <w:rPr>
          <w:rFonts w:hint="default" w:ascii="Arial" w:hAnsi="Arial" w:eastAsia="宋体" w:cs="Arial"/>
          <w:color w:val="auto"/>
          <w:highlight w:val="none"/>
          <w:lang w:val="en-US" w:eastAsia="zh-CN"/>
        </w:rPr>
        <w:t>1488</w:t>
      </w:r>
      <w:r>
        <w:rPr>
          <w:rFonts w:hint="default" w:ascii="Arial" w:hAnsi="Arial" w:eastAsia="宋体" w:cs="Arial"/>
          <w:color w:val="auto"/>
          <w:highlight w:val="none"/>
        </w:rPr>
        <w:t>人，</w:t>
      </w:r>
      <w:r>
        <w:rPr>
          <w:rFonts w:hint="default" w:ascii="Arial" w:hAnsi="Arial" w:eastAsia="宋体" w:cs="Arial"/>
          <w:color w:val="auto"/>
          <w:highlight w:val="none"/>
          <w:lang w:val="en-US" w:eastAsia="zh-CN"/>
        </w:rPr>
        <w:t>其中：公安局机关所需</w:t>
      </w:r>
      <w:r>
        <w:rPr>
          <w:rFonts w:hint="default" w:ascii="Arial" w:hAnsi="Arial" w:eastAsia="宋体" w:cs="Arial"/>
          <w:color w:val="auto"/>
          <w:highlight w:val="none"/>
        </w:rPr>
        <w:t>**辅助人员</w:t>
      </w:r>
      <w:r>
        <w:rPr>
          <w:rFonts w:hint="default" w:ascii="Arial" w:hAnsi="Arial" w:eastAsia="宋体" w:cs="Arial"/>
          <w:color w:val="auto"/>
          <w:highlight w:val="none"/>
          <w:lang w:val="en-US" w:eastAsia="zh-CN"/>
        </w:rPr>
        <w:t>448</w:t>
      </w:r>
      <w:r>
        <w:rPr>
          <w:rFonts w:hint="default" w:ascii="Arial" w:hAnsi="Arial" w:eastAsia="宋体" w:cs="Arial"/>
          <w:color w:val="auto"/>
          <w:highlight w:val="none"/>
        </w:rPr>
        <w:t>人</w:t>
      </w:r>
      <w:r>
        <w:rPr>
          <w:rFonts w:hint="default" w:ascii="Arial" w:hAnsi="Arial" w:eastAsia="宋体" w:cs="Arial"/>
          <w:color w:val="auto"/>
          <w:highlight w:val="none"/>
          <w:lang w:eastAsia="zh-CN"/>
        </w:rPr>
        <w:t>，</w:t>
      </w:r>
      <w:r>
        <w:rPr>
          <w:rFonts w:hint="default" w:ascii="Arial" w:hAnsi="Arial" w:eastAsia="宋体" w:cs="Arial"/>
          <w:color w:val="auto"/>
          <w:highlight w:val="none"/>
          <w:lang w:val="en-US" w:eastAsia="zh-CN"/>
        </w:rPr>
        <w:t>各基层***所需</w:t>
      </w:r>
      <w:r>
        <w:rPr>
          <w:rFonts w:hint="default" w:ascii="Arial" w:hAnsi="Arial" w:eastAsia="宋体" w:cs="Arial"/>
          <w:color w:val="auto"/>
          <w:highlight w:val="none"/>
        </w:rPr>
        <w:t>**辅助人员</w:t>
      </w:r>
      <w:r>
        <w:rPr>
          <w:rFonts w:hint="default" w:ascii="Arial" w:hAnsi="Arial" w:eastAsia="宋体" w:cs="Arial"/>
          <w:color w:val="auto"/>
          <w:highlight w:val="none"/>
          <w:lang w:val="en-US" w:eastAsia="zh-CN"/>
        </w:rPr>
        <w:t>1040</w:t>
      </w:r>
      <w:r>
        <w:rPr>
          <w:rFonts w:hint="default" w:ascii="Arial" w:hAnsi="Arial" w:eastAsia="宋体" w:cs="Arial"/>
          <w:color w:val="auto"/>
          <w:highlight w:val="none"/>
        </w:rPr>
        <w:t>人。</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b/>
          <w:bCs/>
          <w:color w:val="auto"/>
          <w:szCs w:val="21"/>
          <w:highlight w:val="none"/>
        </w:rPr>
      </w:pPr>
      <w:r>
        <w:rPr>
          <w:rFonts w:hint="default" w:ascii="Arial" w:hAnsi="Arial" w:eastAsia="宋体" w:cs="Arial"/>
          <w:color w:val="auto"/>
          <w:szCs w:val="21"/>
          <w:highlight w:val="none"/>
          <w:lang w:val="en-US" w:eastAsia="zh-CN"/>
        </w:rPr>
        <w:t>劳务派遣</w:t>
      </w:r>
      <w:r>
        <w:rPr>
          <w:rFonts w:hint="default" w:ascii="Arial" w:hAnsi="Arial" w:eastAsia="宋体" w:cs="Arial"/>
          <w:color w:val="auto"/>
          <w:szCs w:val="21"/>
          <w:highlight w:val="none"/>
        </w:rPr>
        <w:t>服务期：2年（24个月）</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其中</w:t>
      </w:r>
      <w:r>
        <w:rPr>
          <w:rFonts w:hint="default" w:ascii="Arial" w:hAnsi="Arial" w:eastAsia="宋体" w:cs="Arial"/>
          <w:color w:val="auto"/>
          <w:highlight w:val="none"/>
          <w:lang w:val="en-US" w:eastAsia="zh-CN"/>
        </w:rPr>
        <w:t>公安局机关所需</w:t>
      </w:r>
      <w:r>
        <w:rPr>
          <w:rFonts w:hint="default" w:ascii="Arial" w:hAnsi="Arial" w:eastAsia="宋体" w:cs="Arial"/>
          <w:color w:val="auto"/>
          <w:highlight w:val="none"/>
        </w:rPr>
        <w:t>**辅助人员</w:t>
      </w:r>
      <w:r>
        <w:rPr>
          <w:rFonts w:hint="default" w:ascii="Arial" w:hAnsi="Arial" w:eastAsia="宋体" w:cs="Arial"/>
          <w:color w:val="auto"/>
          <w:szCs w:val="21"/>
          <w:highlight w:val="none"/>
        </w:rPr>
        <w:t>承包服务期</w:t>
      </w:r>
      <w:r>
        <w:rPr>
          <w:rFonts w:hint="default" w:ascii="Arial" w:hAnsi="Arial" w:eastAsia="宋体" w:cs="Arial"/>
          <w:color w:val="auto"/>
          <w:szCs w:val="21"/>
          <w:highlight w:val="none"/>
          <w:lang w:val="en-US" w:eastAsia="zh-CN"/>
        </w:rPr>
        <w:t>为2021年5月~</w:t>
      </w:r>
      <w:r>
        <w:rPr>
          <w:rFonts w:hint="default" w:ascii="Arial" w:hAnsi="Arial" w:eastAsia="宋体" w:cs="Arial"/>
          <w:color w:val="auto"/>
          <w:highlight w:val="none"/>
        </w:rPr>
        <w:t>20</w:t>
      </w:r>
      <w:r>
        <w:rPr>
          <w:rFonts w:hint="default" w:ascii="Arial" w:hAnsi="Arial" w:eastAsia="宋体" w:cs="Arial"/>
          <w:color w:val="auto"/>
          <w:highlight w:val="none"/>
          <w:lang w:val="en-US" w:eastAsia="zh-CN"/>
        </w:rPr>
        <w:t>23年4月</w:t>
      </w:r>
      <w:r>
        <w:rPr>
          <w:rFonts w:hint="default" w:ascii="Arial" w:hAnsi="Arial" w:eastAsia="宋体" w:cs="Arial"/>
          <w:color w:val="auto"/>
          <w:highlight w:val="none"/>
          <w:lang w:eastAsia="zh-CN"/>
        </w:rPr>
        <w:t>，</w:t>
      </w:r>
      <w:r>
        <w:rPr>
          <w:rFonts w:hint="default" w:ascii="Arial" w:hAnsi="Arial" w:eastAsia="宋体" w:cs="Arial"/>
          <w:color w:val="auto"/>
          <w:highlight w:val="none"/>
          <w:lang w:val="en-US" w:eastAsia="zh-CN"/>
        </w:rPr>
        <w:t>各基层***所需</w:t>
      </w:r>
      <w:r>
        <w:rPr>
          <w:rFonts w:hint="default" w:ascii="Arial" w:hAnsi="Arial" w:eastAsia="宋体" w:cs="Arial"/>
          <w:color w:val="auto"/>
          <w:highlight w:val="none"/>
        </w:rPr>
        <w:t>**辅助人员</w:t>
      </w:r>
      <w:r>
        <w:rPr>
          <w:rFonts w:hint="default" w:ascii="Arial" w:hAnsi="Arial" w:eastAsia="宋体" w:cs="Arial"/>
          <w:color w:val="auto"/>
          <w:szCs w:val="21"/>
          <w:highlight w:val="none"/>
        </w:rPr>
        <w:t>承包服务期</w:t>
      </w:r>
      <w:r>
        <w:rPr>
          <w:rFonts w:hint="default" w:ascii="Arial" w:hAnsi="Arial" w:eastAsia="宋体" w:cs="Arial"/>
          <w:color w:val="auto"/>
          <w:szCs w:val="21"/>
          <w:highlight w:val="none"/>
          <w:lang w:val="en-US" w:eastAsia="zh-CN"/>
        </w:rPr>
        <w:t>为2021年12月~</w:t>
      </w:r>
      <w:r>
        <w:rPr>
          <w:rFonts w:hint="default" w:ascii="Arial" w:hAnsi="Arial" w:eastAsia="宋体" w:cs="Arial"/>
          <w:color w:val="auto"/>
          <w:highlight w:val="none"/>
        </w:rPr>
        <w:t>20</w:t>
      </w:r>
      <w:r>
        <w:rPr>
          <w:rFonts w:hint="default" w:ascii="Arial" w:hAnsi="Arial" w:eastAsia="宋体" w:cs="Arial"/>
          <w:color w:val="auto"/>
          <w:highlight w:val="none"/>
          <w:lang w:val="en-US" w:eastAsia="zh-CN"/>
        </w:rPr>
        <w:t>23年4月</w:t>
      </w:r>
      <w:r>
        <w:rPr>
          <w:rFonts w:hint="default" w:ascii="Arial" w:hAnsi="Arial" w:eastAsia="宋体" w:cs="Arial"/>
          <w:color w:val="auto"/>
          <w:szCs w:val="21"/>
          <w:highlight w:val="none"/>
        </w:rPr>
        <w:t>。</w:t>
      </w:r>
      <w:r>
        <w:rPr>
          <w:rFonts w:hint="default" w:ascii="Arial" w:hAnsi="Arial" w:eastAsia="宋体" w:cs="Arial"/>
          <w:b/>
          <w:bCs/>
          <w:color w:val="auto"/>
          <w:szCs w:val="21"/>
          <w:highlight w:val="none"/>
        </w:rPr>
        <w:t>合同一年一签。</w:t>
      </w:r>
      <w:r>
        <w:rPr>
          <w:rFonts w:hint="default" w:ascii="Arial" w:hAnsi="Arial" w:eastAsia="宋体" w:cs="Arial"/>
          <w:b/>
          <w:color w:val="auto"/>
          <w:highlight w:val="none"/>
        </w:rPr>
        <w:t>一年合同期满后，如</w:t>
      </w:r>
      <w:r>
        <w:rPr>
          <w:rFonts w:hint="default" w:ascii="Arial" w:hAnsi="Arial" w:eastAsia="宋体" w:cs="Arial"/>
          <w:b/>
          <w:color w:val="auto"/>
          <w:highlight w:val="none"/>
          <w:lang w:val="en-US" w:eastAsia="zh-CN"/>
        </w:rPr>
        <w:t>服务</w:t>
      </w:r>
      <w:r>
        <w:rPr>
          <w:rFonts w:hint="default" w:ascii="Arial" w:hAnsi="Arial" w:eastAsia="宋体" w:cs="Arial"/>
          <w:b/>
          <w:color w:val="auto"/>
          <w:highlight w:val="none"/>
        </w:rPr>
        <w:t>期内，中标供应商的服务达到招标人的各项要求，则可再续签下一年合同。若承包方有违约行为，招标人有权单方面解除合同或不续签下一年合同。</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48" w:name="_Toc28159"/>
      <w:bookmarkStart w:id="49" w:name="_Toc15699"/>
      <w:bookmarkStart w:id="50" w:name="_Toc447271487"/>
      <w:r>
        <w:rPr>
          <w:rFonts w:hint="default" w:ascii="Arial" w:hAnsi="Arial" w:eastAsia="宋体" w:cs="Arial"/>
          <w:b/>
          <w:bCs/>
          <w:color w:val="auto"/>
          <w:sz w:val="24"/>
          <w:szCs w:val="24"/>
          <w:highlight w:val="none"/>
        </w:rPr>
        <w:t>派遣人员要求</w:t>
      </w:r>
      <w:bookmarkEnd w:id="48"/>
      <w:bookmarkEnd w:id="49"/>
      <w:bookmarkEnd w:id="50"/>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派驻的**辅助人员由招标人及中标供应商</w:t>
      </w:r>
      <w:r>
        <w:rPr>
          <w:rFonts w:hint="default" w:ascii="Arial" w:hAnsi="Arial" w:eastAsia="宋体" w:cs="Arial"/>
          <w:color w:val="auto"/>
          <w:highlight w:val="none"/>
          <w:lang w:val="en-US" w:eastAsia="zh-CN"/>
        </w:rPr>
        <w:t>根据瑞安市公安局实际需求共同招聘确定</w:t>
      </w:r>
      <w:r>
        <w:rPr>
          <w:rFonts w:hint="default" w:ascii="Arial" w:hAnsi="Arial" w:eastAsia="宋体" w:cs="Arial"/>
          <w:color w:val="auto"/>
          <w:szCs w:val="21"/>
          <w:highlight w:val="none"/>
        </w:rPr>
        <w:t>。</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在合同期内，</w:t>
      </w:r>
      <w:r>
        <w:rPr>
          <w:rFonts w:hint="default" w:ascii="Arial" w:hAnsi="Arial" w:eastAsia="宋体" w:cs="Arial"/>
          <w:color w:val="auto"/>
          <w:szCs w:val="21"/>
          <w:highlight w:val="none"/>
          <w:lang w:val="en-US" w:eastAsia="zh-CN"/>
        </w:rPr>
        <w:t>招标人</w:t>
      </w:r>
      <w:r>
        <w:rPr>
          <w:rFonts w:hint="default" w:ascii="Arial" w:hAnsi="Arial" w:eastAsia="宋体" w:cs="Arial"/>
          <w:color w:val="auto"/>
          <w:szCs w:val="21"/>
          <w:highlight w:val="none"/>
        </w:rPr>
        <w:t>可随时</w:t>
      </w:r>
      <w:r>
        <w:rPr>
          <w:rFonts w:hint="default" w:ascii="Arial" w:hAnsi="Arial" w:eastAsia="宋体" w:cs="Arial"/>
          <w:color w:val="auto"/>
          <w:szCs w:val="21"/>
          <w:highlight w:val="none"/>
          <w:lang w:val="en-US" w:eastAsia="zh-CN"/>
        </w:rPr>
        <w:t>根据实际工作需要增补或减少所需**辅助人员，中标供应商须无条件配合，并做好相关人员的增补或清退等工作。</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51" w:name="_Toc22307"/>
      <w:bookmarkStart w:id="52" w:name="_Toc447271488"/>
      <w:bookmarkStart w:id="53" w:name="_Toc26807"/>
      <w:r>
        <w:rPr>
          <w:rFonts w:hint="default" w:ascii="Arial" w:hAnsi="Arial" w:eastAsia="宋体" w:cs="Arial"/>
          <w:b/>
          <w:bCs/>
          <w:color w:val="auto"/>
          <w:sz w:val="24"/>
          <w:szCs w:val="24"/>
          <w:highlight w:val="none"/>
        </w:rPr>
        <w:t>管理要求</w:t>
      </w:r>
      <w:bookmarkEnd w:id="51"/>
      <w:bookmarkEnd w:id="52"/>
      <w:bookmarkEnd w:id="53"/>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由中标供应商负责与派遣的员工签订劳动合同，确定劳动关系。</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由中标供应商负责派遣员工的薪酬发放，社保(包括但不限于：养老保险、失业保险、工伤保险、生育保险、医疗保险、公积金等)办理及个税代扣代缴，劳动关系维护，代办员工有关证件，有关法律法规咨询等。</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由中标供应商负责处理派遣员工提出的劳动仲裁、诉讼等事宜；工作期间派遣人员出现任何伤亡事故及风险等均由中标人承</w:t>
      </w:r>
      <w:r>
        <w:rPr>
          <w:rFonts w:hint="default" w:ascii="Arial" w:hAnsi="Arial" w:eastAsia="宋体" w:cs="Arial"/>
          <w:color w:val="auto"/>
          <w:szCs w:val="21"/>
          <w:highlight w:val="none"/>
          <w:lang w:val="en-US" w:eastAsia="zh-CN"/>
        </w:rPr>
        <w:t>全部责任及相关赔偿</w:t>
      </w:r>
      <w:r>
        <w:rPr>
          <w:rFonts w:hint="default" w:ascii="Arial" w:hAnsi="Arial" w:eastAsia="宋体" w:cs="Arial"/>
          <w:color w:val="auto"/>
          <w:szCs w:val="21"/>
          <w:highlight w:val="none"/>
          <w:lang w:eastAsia="zh-CN"/>
        </w:rPr>
        <w:t>。</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投标人</w:t>
      </w:r>
      <w:r>
        <w:rPr>
          <w:rFonts w:hint="default" w:ascii="Arial" w:hAnsi="Arial" w:eastAsia="宋体" w:cs="Arial"/>
          <w:color w:val="auto"/>
          <w:szCs w:val="21"/>
          <w:highlight w:val="none"/>
          <w:lang w:val="en-US" w:eastAsia="zh-CN"/>
        </w:rPr>
        <w:t>需为被派遣人员投保保额不低于30万的人身意外险等其他必要保险</w:t>
      </w:r>
      <w:r>
        <w:rPr>
          <w:rFonts w:hint="default" w:ascii="Arial" w:hAnsi="Arial" w:eastAsia="宋体" w:cs="Arial"/>
          <w:color w:val="auto"/>
          <w:szCs w:val="21"/>
          <w:highlight w:val="none"/>
        </w:rPr>
        <w:t>。</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由中标供应商负责派遣员工的档案管理、党员组织关系管理以及专业技术人员的职称申报、评定等。</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由招标人制定考核标准，并以此为依据对派遣人员进行每月考核。</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每月派遣人员工资发放表由招标人制定，中标供应商需严格按照此表发放人员薪酬。</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54" w:name="_Toc23807"/>
      <w:bookmarkStart w:id="55" w:name="_Toc447271489"/>
      <w:bookmarkStart w:id="56" w:name="_Toc2936"/>
      <w:r>
        <w:rPr>
          <w:rFonts w:hint="default" w:ascii="Arial" w:hAnsi="Arial" w:eastAsia="宋体" w:cs="Arial"/>
          <w:b/>
          <w:bCs/>
          <w:color w:val="auto"/>
          <w:sz w:val="24"/>
          <w:szCs w:val="24"/>
          <w:highlight w:val="none"/>
        </w:rPr>
        <w:t>服务质量要求</w:t>
      </w:r>
      <w:bookmarkEnd w:id="54"/>
      <w:bookmarkEnd w:id="55"/>
      <w:bookmarkEnd w:id="56"/>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人员招聘结束后，在招标人确定员工的名单后，由中标供应商确保5个工作日内办理完毕劳动签订手续、派遣手续，及时向招标人派遣。</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中标供应商应确保及时、准确、妥善的处理派遣员工的薪酬管理（薪酬发放以瑞安市公安局的相关规定为准）、社保办理、公积金办理及个税代扣代缴工作，避免发生劳动仲裁、诉讼事件。</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中标供应商应确保及时、准确、妥善的处理派遣员工的档案管理、党员组织关系管理以及专业技术人员的职称申报、评定等工作，避免发生人事仲裁事件。</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中标供应商应确保和谐、稳妥的处理派遣员工的劳动仲裁、劳动诉讼及人事仲裁事件，避免妨碍招标人的正常工作或给招标人带来不利社会影响。</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中标供应商与派遣员工确定聘用关系后（提供相应的证明材料），须将该材料原件提供至招标人备案后方可成立。</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57" w:name="_Toc22206"/>
      <w:bookmarkStart w:id="58" w:name="_Toc31769"/>
      <w:bookmarkStart w:id="59" w:name="_Toc447271490"/>
      <w:r>
        <w:rPr>
          <w:rFonts w:hint="default" w:ascii="Arial" w:hAnsi="Arial" w:eastAsia="宋体" w:cs="Arial"/>
          <w:b/>
          <w:bCs/>
          <w:color w:val="auto"/>
          <w:sz w:val="24"/>
          <w:szCs w:val="24"/>
          <w:highlight w:val="none"/>
          <w:lang w:val="en-US" w:eastAsia="zh-CN"/>
        </w:rPr>
        <w:t>其他要求</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b/>
          <w:bCs/>
          <w:color w:val="auto"/>
          <w:sz w:val="24"/>
          <w:szCs w:val="24"/>
          <w:highlight w:val="none"/>
        </w:rPr>
      </w:pPr>
      <w:r>
        <w:rPr>
          <w:rFonts w:hint="default" w:ascii="Arial" w:hAnsi="Arial" w:eastAsia="宋体" w:cs="Arial"/>
          <w:color w:val="auto"/>
          <w:szCs w:val="21"/>
          <w:highlight w:val="none"/>
          <w:lang w:val="en-US" w:eastAsia="zh-CN"/>
        </w:rPr>
        <w:t>本项目要求中标单位根据采购人及项目实际需求提供专职管理人员驻场服务，配备的专职管理人员应具备一定的财务知识，并服从瑞安市公安局的工作安排。</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r>
        <w:rPr>
          <w:rFonts w:hint="default" w:ascii="Arial" w:hAnsi="Arial" w:eastAsia="宋体" w:cs="Arial"/>
          <w:b/>
          <w:bCs/>
          <w:color w:val="auto"/>
          <w:sz w:val="24"/>
          <w:szCs w:val="24"/>
          <w:highlight w:val="none"/>
        </w:rPr>
        <w:t>投标报价</w:t>
      </w:r>
      <w:bookmarkEnd w:id="57"/>
      <w:bookmarkEnd w:id="58"/>
      <w:bookmarkEnd w:id="59"/>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本项目的服务费由两部分组成：1、各员工的工资、社保、税金及各种福利（以瑞安市公安局的相关规定为准，若有调整，则支付给中标供应商的各员工的工资、社保、公积金、税金及各种福利费用做出相应调整），该部分费用由采购人根据岗位具体核定，中标人按实核发，不得私自扣减。2、中标供应商的管理费（服务费中除各员工的工资、社保、公积金、税金及各种福利外的所有相关费用</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包含投保人身意外险的费用</w:t>
      </w:r>
      <w:r>
        <w:rPr>
          <w:rFonts w:hint="default" w:ascii="Arial" w:hAnsi="Arial" w:eastAsia="宋体" w:cs="Arial"/>
          <w:color w:val="auto"/>
          <w:szCs w:val="21"/>
          <w:highlight w:val="none"/>
        </w:rPr>
        <w:t>），由投标人自主竞争报价。</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b/>
          <w:color w:val="auto"/>
          <w:szCs w:val="21"/>
          <w:highlight w:val="none"/>
          <w:u w:val="wave"/>
        </w:rPr>
      </w:pPr>
      <w:r>
        <w:rPr>
          <w:rFonts w:hint="default" w:ascii="Arial" w:hAnsi="Arial" w:eastAsia="宋体" w:cs="Arial"/>
          <w:color w:val="auto"/>
          <w:szCs w:val="21"/>
          <w:highlight w:val="none"/>
        </w:rPr>
        <w:t>本项目的服务费采用费用包干方式服务，投标供应商应根据项目要求和现场情况，详细列明项目所需的人力、物力、财力等, 以及所有人工、管理、财务、税金等所有费用，如一旦中标，在服务过程中出现任何遗漏，均由中标供应商免费提供，招标人不再支付任何费用，具体合同金额则以实际人员按中标综合单价结算。</w:t>
      </w:r>
      <w:r>
        <w:rPr>
          <w:rFonts w:hint="default" w:ascii="Arial" w:hAnsi="Arial" w:eastAsia="宋体" w:cs="Arial"/>
          <w:b/>
          <w:color w:val="auto"/>
          <w:szCs w:val="21"/>
          <w:highlight w:val="none"/>
          <w:u w:val="wave"/>
        </w:rPr>
        <w:t>▲本项目管理费设有最高限价为50元/人·月，超过最高限价的将做无效投标处理。</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本项目投标报价实行固定综合单价，投标供应商报价应为承包完成上述所规定服务内容的全部工作所发生的管理费（即服务费中除各员工的工资、社保、公积金、</w:t>
      </w:r>
      <w:r>
        <w:rPr>
          <w:rFonts w:hint="default" w:ascii="Arial" w:hAnsi="Arial" w:eastAsia="宋体" w:cs="Arial"/>
          <w:color w:val="auto"/>
          <w:szCs w:val="21"/>
          <w:highlight w:val="none"/>
          <w:lang w:val="en-US" w:eastAsia="zh-CN"/>
        </w:rPr>
        <w:t>不低于30万的人身意外险保费、</w:t>
      </w:r>
      <w:r>
        <w:rPr>
          <w:rFonts w:hint="default" w:ascii="Arial" w:hAnsi="Arial" w:eastAsia="宋体" w:cs="Arial"/>
          <w:color w:val="auto"/>
          <w:szCs w:val="21"/>
          <w:highlight w:val="none"/>
        </w:rPr>
        <w:t>税金及各种福利外的所有相关费用），并承担一切风险责任。投标供应商应从特点，市场行情及自身的能力，技术、管理水平，确定最终报价。</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本项目采取先服务后支付的方式，</w:t>
      </w:r>
      <w:r>
        <w:rPr>
          <w:rFonts w:hint="default" w:ascii="Arial" w:hAnsi="Arial" w:eastAsia="宋体" w:cs="Arial"/>
          <w:color w:val="auto"/>
          <w:szCs w:val="21"/>
          <w:highlight w:val="none"/>
        </w:rPr>
        <w:t>中标供应商</w:t>
      </w:r>
      <w:r>
        <w:rPr>
          <w:rFonts w:hint="default" w:ascii="Arial" w:hAnsi="Arial" w:eastAsia="宋体" w:cs="Arial"/>
          <w:color w:val="auto"/>
          <w:szCs w:val="21"/>
          <w:highlight w:val="none"/>
          <w:lang w:val="en-US" w:eastAsia="zh-CN"/>
        </w:rPr>
        <w:t>应先行</w:t>
      </w:r>
      <w:r>
        <w:rPr>
          <w:rFonts w:hint="default" w:ascii="Arial" w:hAnsi="Arial" w:eastAsia="宋体" w:cs="Arial"/>
          <w:color w:val="auto"/>
          <w:szCs w:val="21"/>
          <w:highlight w:val="none"/>
        </w:rPr>
        <w:t>垫付相关费用（包括各员工的工资、社保、公积金、税金及各种福利等，不计取利息），中标供应商不得无故推诿，延期支付，请各投标供应商在报价过程中</w:t>
      </w:r>
      <w:r>
        <w:rPr>
          <w:rFonts w:hint="default" w:ascii="Arial" w:hAnsi="Arial" w:eastAsia="宋体" w:cs="Arial"/>
          <w:color w:val="auto"/>
          <w:szCs w:val="21"/>
          <w:highlight w:val="none"/>
          <w:lang w:val="en-US" w:eastAsia="zh-CN"/>
        </w:rPr>
        <w:t>自行考虑财政支付、资金占用等因素，</w:t>
      </w:r>
      <w:r>
        <w:rPr>
          <w:rFonts w:hint="default" w:ascii="Arial" w:hAnsi="Arial" w:eastAsia="宋体" w:cs="Arial"/>
          <w:color w:val="auto"/>
          <w:szCs w:val="21"/>
          <w:highlight w:val="none"/>
        </w:rPr>
        <w:t>综合考虑该因素。</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各员工所涉及的</w:t>
      </w:r>
      <w:r>
        <w:rPr>
          <w:rFonts w:hint="default" w:ascii="Arial" w:hAnsi="Arial" w:eastAsia="宋体" w:cs="Arial"/>
          <w:color w:val="auto"/>
          <w:szCs w:val="21"/>
          <w:highlight w:val="none"/>
        </w:rPr>
        <w:t>个税的代扣代缴需经采购人确认后予以办理，相关费用包含在管理费中，不再另行计取</w:t>
      </w:r>
      <w:r>
        <w:rPr>
          <w:rFonts w:hint="default" w:ascii="Arial" w:hAnsi="Arial" w:eastAsia="宋体" w:cs="Arial"/>
          <w:color w:val="auto"/>
          <w:szCs w:val="21"/>
          <w:highlight w:val="none"/>
          <w:lang w:eastAsia="zh-CN"/>
        </w:rPr>
        <w:t>。</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60" w:name="_Toc447271491"/>
      <w:bookmarkStart w:id="61" w:name="_Toc6651"/>
      <w:bookmarkStart w:id="62" w:name="_Toc2167"/>
      <w:r>
        <w:rPr>
          <w:rFonts w:hint="default" w:ascii="Arial" w:hAnsi="Arial" w:eastAsia="宋体" w:cs="Arial"/>
          <w:b/>
          <w:bCs/>
          <w:color w:val="auto"/>
          <w:sz w:val="24"/>
          <w:szCs w:val="24"/>
          <w:highlight w:val="none"/>
        </w:rPr>
        <w:t>付款方式</w:t>
      </w:r>
      <w:bookmarkEnd w:id="60"/>
      <w:bookmarkEnd w:id="61"/>
      <w:bookmarkEnd w:id="62"/>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在合同签订前，中标供应商应提供人民币2000</w:t>
      </w:r>
      <w:r>
        <w:rPr>
          <w:rFonts w:hint="default" w:ascii="Arial" w:hAnsi="Arial" w:eastAsia="宋体" w:cs="Arial"/>
          <w:color w:val="auto"/>
          <w:szCs w:val="21"/>
          <w:highlight w:val="none"/>
          <w:lang w:val="en-US" w:eastAsia="zh-CN"/>
        </w:rPr>
        <w:t>0</w:t>
      </w:r>
      <w:r>
        <w:rPr>
          <w:rFonts w:hint="default" w:ascii="Arial" w:hAnsi="Arial" w:eastAsia="宋体" w:cs="Arial"/>
          <w:color w:val="auto"/>
          <w:szCs w:val="21"/>
          <w:highlight w:val="none"/>
        </w:rPr>
        <w:t>0元整的履约保证金，如中标供应商未按规定提交履约保证金则招标人有权拒签合同。</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lang w:val="en-US" w:eastAsia="zh-CN"/>
        </w:rPr>
        <w:t>合同签订后采购人向承包方支付合同总额的10%预付款，承包方须向采购人提供对等金额的预付款保函。预付款项自正式进场后第二个月支付月度款项时分两个月等额扣回（即在支付进场后第二个月及第三个月的月度款时每月扣除预付款总额的50%），预付款全部扣回完毕当月退还预付款保函。</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付款方式为先服务后支付，由招标人</w:t>
      </w:r>
      <w:r>
        <w:rPr>
          <w:rFonts w:hint="default" w:ascii="Arial" w:hAnsi="Arial" w:eastAsia="宋体" w:cs="Arial"/>
          <w:color w:val="auto"/>
          <w:szCs w:val="21"/>
          <w:highlight w:val="none"/>
          <w:lang w:val="en-US" w:eastAsia="zh-CN"/>
        </w:rPr>
        <w:t>结合</w:t>
      </w:r>
      <w:r>
        <w:rPr>
          <w:rFonts w:hint="default" w:ascii="Arial" w:hAnsi="Arial" w:eastAsia="宋体" w:cs="Arial"/>
          <w:color w:val="auto"/>
          <w:szCs w:val="21"/>
          <w:highlight w:val="none"/>
        </w:rPr>
        <w:t>前一个月的考核结果</w:t>
      </w:r>
      <w:r>
        <w:rPr>
          <w:rFonts w:hint="default" w:ascii="Arial" w:hAnsi="Arial" w:eastAsia="宋体" w:cs="Arial"/>
          <w:color w:val="auto"/>
          <w:szCs w:val="21"/>
          <w:highlight w:val="none"/>
          <w:lang w:val="en-US" w:eastAsia="zh-CN"/>
        </w:rPr>
        <w:t>与中标供应商</w:t>
      </w:r>
      <w:r>
        <w:rPr>
          <w:rFonts w:hint="default" w:ascii="Arial" w:hAnsi="Arial" w:eastAsia="宋体" w:cs="Arial"/>
          <w:color w:val="auto"/>
          <w:szCs w:val="21"/>
          <w:highlight w:val="none"/>
        </w:rPr>
        <w:t>结算，招标人凭中标供应商开具的正式发票和员工工资发放凭证复印件（以便招标人确认务工人员劳动报酬已经兑现）进行支付，并出具有效收据</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招标人在收到完备的结算资料后30天内予以支付</w:t>
      </w:r>
      <w:r>
        <w:rPr>
          <w:rFonts w:hint="default" w:ascii="Arial" w:hAnsi="Arial" w:eastAsia="宋体" w:cs="Arial"/>
          <w:color w:val="auto"/>
          <w:szCs w:val="21"/>
          <w:highlight w:val="none"/>
        </w:rPr>
        <w:t>。</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承包到期后将余款一次付清，并在10个工作日内退还履约保证金。</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瑞安市公安局可随时根据实际情况进行核实，一经发现存在克扣员工工资及福利或者拖欠员工工资问题及福利将按照相关要求及法律规定对相关责任人严肃查处。</w:t>
      </w:r>
    </w:p>
    <w:bookmarkEnd w:id="35"/>
    <w:bookmarkEnd w:id="36"/>
    <w:bookmarkEnd w:id="37"/>
    <w:p>
      <w:pPr>
        <w:numPr>
          <w:ilvl w:val="0"/>
          <w:numId w:val="0"/>
        </w:numPr>
        <w:tabs>
          <w:tab w:val="left" w:pos="720"/>
          <w:tab w:val="left" w:pos="2956"/>
        </w:tabs>
        <w:snapToGrid w:val="0"/>
        <w:spacing w:line="320" w:lineRule="exact"/>
        <w:ind w:leftChars="0"/>
        <w:rPr>
          <w:rFonts w:hint="default" w:ascii="Arial" w:hAnsi="Arial" w:eastAsia="宋体" w:cs="Arial"/>
          <w:color w:val="auto"/>
          <w:highlight w:val="none"/>
        </w:rPr>
      </w:pPr>
    </w:p>
    <w:p>
      <w:pPr>
        <w:jc w:val="center"/>
        <w:rPr>
          <w:rFonts w:hint="default" w:ascii="Arial" w:hAnsi="Arial" w:eastAsia="宋体" w:cs="Arial"/>
          <w:b/>
          <w:color w:val="auto"/>
          <w:highlight w:val="none"/>
        </w:rPr>
      </w:pPr>
    </w:p>
    <w:p>
      <w:pPr>
        <w:spacing w:line="400" w:lineRule="exact"/>
        <w:ind w:left="420"/>
        <w:rPr>
          <w:rFonts w:hint="default" w:ascii="Arial" w:hAnsi="Arial" w:eastAsia="宋体" w:cs="Arial"/>
          <w:color w:val="auto"/>
          <w:szCs w:val="21"/>
          <w:highlight w:val="none"/>
        </w:rPr>
      </w:pPr>
    </w:p>
    <w:p>
      <w:pPr>
        <w:pStyle w:val="2"/>
        <w:keepNext w:val="0"/>
        <w:keepLines w:val="0"/>
        <w:pageBreakBefore/>
        <w:tabs>
          <w:tab w:val="left" w:pos="840"/>
        </w:tabs>
        <w:spacing w:before="0" w:after="0" w:line="420" w:lineRule="exact"/>
        <w:jc w:val="center"/>
        <w:rPr>
          <w:rFonts w:hint="default" w:ascii="Arial" w:hAnsi="Arial" w:eastAsia="宋体" w:cs="Arial"/>
          <w:color w:val="auto"/>
          <w:sz w:val="28"/>
          <w:szCs w:val="36"/>
          <w:highlight w:val="none"/>
        </w:rPr>
      </w:pPr>
      <w:bookmarkStart w:id="63" w:name="_Toc40429187"/>
      <w:r>
        <w:rPr>
          <w:rFonts w:hint="default" w:ascii="Arial" w:hAnsi="Arial" w:eastAsia="宋体" w:cs="Arial"/>
          <w:color w:val="auto"/>
          <w:sz w:val="28"/>
          <w:szCs w:val="36"/>
          <w:highlight w:val="none"/>
        </w:rPr>
        <w:t>第四部分  合同主要条款</w:t>
      </w:r>
      <w:bookmarkEnd w:id="38"/>
      <w:bookmarkEnd w:id="39"/>
      <w:bookmarkEnd w:id="63"/>
    </w:p>
    <w:p>
      <w:pPr>
        <w:rPr>
          <w:rFonts w:hint="default" w:ascii="Arial" w:hAnsi="Arial" w:eastAsia="宋体" w:cs="Arial"/>
          <w:color w:val="auto"/>
          <w:highlight w:val="none"/>
        </w:rPr>
      </w:pPr>
    </w:p>
    <w:p>
      <w:pPr>
        <w:keepNext w:val="0"/>
        <w:keepLines w:val="0"/>
        <w:pageBreakBefore w:val="0"/>
        <w:kinsoku/>
        <w:wordWrap/>
        <w:overflowPunct/>
        <w:topLinePunct w:val="0"/>
        <w:autoSpaceDE/>
        <w:autoSpaceDN/>
        <w:bidi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甲方（招标人）：瑞安市公安局                  合同编号：</w:t>
      </w:r>
    </w:p>
    <w:p>
      <w:pPr>
        <w:keepNext w:val="0"/>
        <w:keepLines w:val="0"/>
        <w:pageBreakBefore w:val="0"/>
        <w:kinsoku/>
        <w:wordWrap/>
        <w:overflowPunct/>
        <w:topLinePunct w:val="0"/>
        <w:autoSpaceDE/>
        <w:autoSpaceDN/>
        <w:bidi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乙方（中标供应商）：</w:t>
      </w:r>
      <w:r>
        <w:rPr>
          <w:rFonts w:hint="default" w:ascii="Arial" w:hAnsi="Arial" w:eastAsia="宋体" w:cs="Arial"/>
          <w:color w:val="auto"/>
          <w:highlight w:val="none"/>
        </w:rPr>
        <w:tab/>
      </w:r>
      <w:r>
        <w:rPr>
          <w:rFonts w:hint="default" w:ascii="Arial" w:hAnsi="Arial" w:eastAsia="宋体" w:cs="Arial"/>
          <w:color w:val="auto"/>
          <w:highlight w:val="none"/>
        </w:rPr>
        <w:t xml:space="preserve">                      签订地点：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乙方在</w:t>
      </w:r>
      <w:r>
        <w:rPr>
          <w:rFonts w:hint="default" w:ascii="Arial" w:hAnsi="Arial" w:eastAsia="宋体" w:cs="Arial"/>
          <w:color w:val="auto"/>
          <w:highlight w:val="none"/>
          <w:u w:val="single"/>
          <w:lang w:eastAsia="zh-CN"/>
        </w:rPr>
        <w:t>瑞安市公安局**辅助人员劳务服务</w:t>
      </w:r>
      <w:r>
        <w:rPr>
          <w:rFonts w:hint="default" w:ascii="Arial" w:hAnsi="Arial" w:eastAsia="宋体" w:cs="Arial"/>
          <w:color w:val="auto"/>
          <w:highlight w:val="none"/>
        </w:rPr>
        <w:t>采购中，通过公平竞争，成功中标。现依据《中华人民共和国合同法》、《中华人民共和国政府采购法》等法规及《中标通知书》、本合同的招标文件、投标文件及其投标中的承诺，经双方协商，同意签订本合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经甲乙双方协商一致，现就甲方人力资源管理服务事宜签订如下：</w:t>
      </w:r>
    </w:p>
    <w:p>
      <w:pPr>
        <w:keepNext w:val="0"/>
        <w:keepLines w:val="0"/>
        <w:pageBreakBefore w:val="0"/>
        <w:numPr>
          <w:ilvl w:val="0"/>
          <w:numId w:val="25"/>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劳务服务</w:t>
      </w:r>
      <w:r>
        <w:rPr>
          <w:rFonts w:hint="default" w:ascii="Arial" w:hAnsi="Arial" w:eastAsia="宋体" w:cs="Arial"/>
          <w:color w:val="auto"/>
          <w:highlight w:val="none"/>
        </w:rPr>
        <w:t>内容：</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本合同所涉及的相关**辅助人员由甲乙双方根据甲方实际需求共同招聘确定，人员确定后乙方负责与派遣的员工签订劳动合同，确定劳动关系，并成为乙方员工。</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szCs w:val="21"/>
          <w:highlight w:val="none"/>
        </w:rPr>
        <w:t>在合同期内，</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可随时</w:t>
      </w:r>
      <w:r>
        <w:rPr>
          <w:rFonts w:hint="default" w:ascii="Arial" w:hAnsi="Arial" w:eastAsia="宋体" w:cs="Arial"/>
          <w:color w:val="auto"/>
          <w:szCs w:val="21"/>
          <w:highlight w:val="none"/>
          <w:lang w:val="en-US" w:eastAsia="zh-CN"/>
        </w:rPr>
        <w:t>根据实际工作需要增补或减少所需**辅助人员，乙方须无条件配合，并做好相关人员的增补或清退等工作。</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负责派遣员工的薪酬发放，社保(包括但不限于：养老保险、失业保险、工伤保险、生育保险、医疗保险、公积金等)办理及个税代扣代缴，劳动关系维护，代办员工有关证件，有关法律法规咨询等。</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商负责处理派遣员工提出的劳动仲裁、诉讼等事宜；工作期间派遣人员出现任何伤亡事故及风险等均由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承</w:t>
      </w:r>
      <w:r>
        <w:rPr>
          <w:rFonts w:hint="default" w:ascii="Arial" w:hAnsi="Arial" w:eastAsia="宋体" w:cs="Arial"/>
          <w:color w:val="auto"/>
          <w:szCs w:val="21"/>
          <w:highlight w:val="none"/>
          <w:lang w:val="en-US" w:eastAsia="zh-CN"/>
        </w:rPr>
        <w:t>全部责任及相关赔偿</w:t>
      </w:r>
      <w:r>
        <w:rPr>
          <w:rFonts w:hint="default" w:ascii="Arial" w:hAnsi="Arial" w:eastAsia="宋体" w:cs="Arial"/>
          <w:color w:val="auto"/>
          <w:szCs w:val="21"/>
          <w:highlight w:val="none"/>
          <w:lang w:eastAsia="zh-CN"/>
        </w:rPr>
        <w:t>。</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乙方需为被派遣人员投保保额不低于30万的人身意外险等其他必要保险</w:t>
      </w:r>
      <w:r>
        <w:rPr>
          <w:rFonts w:hint="default" w:ascii="Arial" w:hAnsi="Arial" w:eastAsia="宋体" w:cs="Arial"/>
          <w:color w:val="auto"/>
          <w:szCs w:val="21"/>
          <w:highlight w:val="none"/>
        </w:rPr>
        <w:t>。</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负责派遣员工的档案管理、党员组织关系管理以及专业技术人员的职称申报、评定等。</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制定考核标准，并以此为依据对派遣人员进行每月考核。</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每月派遣人员工资发放表由</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制定，</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需严格按照此表发放人员薪酬。</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二、</w:t>
      </w:r>
      <w:r>
        <w:rPr>
          <w:rFonts w:hint="default" w:ascii="Arial" w:hAnsi="Arial" w:eastAsia="宋体" w:cs="Arial"/>
          <w:color w:val="auto"/>
          <w:highlight w:val="none"/>
          <w:lang w:eastAsia="zh-CN"/>
        </w:rPr>
        <w:t>劳务</w:t>
      </w:r>
      <w:r>
        <w:rPr>
          <w:rFonts w:hint="default" w:ascii="Arial" w:hAnsi="Arial" w:eastAsia="宋体" w:cs="Arial"/>
          <w:color w:val="auto"/>
          <w:highlight w:val="none"/>
        </w:rPr>
        <w:t>服务区域：</w:t>
      </w:r>
      <w:r>
        <w:rPr>
          <w:rFonts w:hint="default" w:ascii="Arial" w:hAnsi="Arial" w:eastAsia="宋体" w:cs="Arial"/>
          <w:color w:val="auto"/>
          <w:highlight w:val="none"/>
        </w:rPr>
        <w:tab/>
      </w:r>
      <w:r>
        <w:rPr>
          <w:rFonts w:hint="default" w:ascii="Arial" w:hAnsi="Arial" w:eastAsia="宋体" w:cs="Arial"/>
          <w:color w:val="auto"/>
          <w:highlight w:val="none"/>
        </w:rPr>
        <w:t>瑞安市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三、</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期限：</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u w:val="single"/>
        </w:rPr>
        <w:tab/>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年</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月</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日起到</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年</w:t>
      </w:r>
      <w:r>
        <w:rPr>
          <w:rFonts w:hint="default" w:ascii="Arial" w:hAnsi="Arial" w:eastAsia="宋体" w:cs="Arial"/>
          <w:color w:val="auto"/>
          <w:highlight w:val="none"/>
          <w:u w:val="single"/>
        </w:rPr>
        <w:tab/>
      </w:r>
      <w:r>
        <w:rPr>
          <w:rFonts w:hint="default" w:ascii="Arial" w:hAnsi="Arial" w:eastAsia="宋体" w:cs="Arial"/>
          <w:color w:val="auto"/>
          <w:highlight w:val="none"/>
        </w:rPr>
        <w:t>月</w:t>
      </w:r>
      <w:r>
        <w:rPr>
          <w:rFonts w:hint="default" w:ascii="Arial" w:hAnsi="Arial" w:eastAsia="宋体" w:cs="Arial"/>
          <w:color w:val="auto"/>
          <w:highlight w:val="none"/>
          <w:u w:val="single"/>
        </w:rPr>
        <w:tab/>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日止</w:t>
      </w:r>
      <w:r>
        <w:rPr>
          <w:rFonts w:hint="default" w:ascii="Arial" w:hAnsi="Arial" w:eastAsia="宋体" w:cs="Arial"/>
          <w:color w:val="auto"/>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四</w:t>
      </w:r>
      <w:r>
        <w:rPr>
          <w:rFonts w:hint="default" w:ascii="Arial" w:hAnsi="Arial" w:eastAsia="宋体" w:cs="Arial"/>
          <w:color w:val="auto"/>
          <w:highlight w:val="none"/>
        </w:rPr>
        <w:t>、</w:t>
      </w:r>
      <w:r>
        <w:rPr>
          <w:rFonts w:hint="default" w:ascii="Arial" w:hAnsi="Arial" w:eastAsia="宋体" w:cs="Arial"/>
          <w:color w:val="auto"/>
          <w:highlight w:val="none"/>
          <w:lang w:eastAsia="zh-CN"/>
        </w:rPr>
        <w:t>费用</w:t>
      </w:r>
      <w:r>
        <w:rPr>
          <w:rFonts w:hint="default" w:ascii="Arial" w:hAnsi="Arial" w:eastAsia="宋体" w:cs="Arial"/>
          <w:color w:val="auto"/>
          <w:highlight w:val="none"/>
        </w:rPr>
        <w:t>结算</w:t>
      </w:r>
      <w:r>
        <w:rPr>
          <w:rFonts w:hint="default" w:ascii="Arial" w:hAnsi="Arial" w:eastAsia="宋体" w:cs="Arial"/>
          <w:color w:val="auto"/>
          <w:highlight w:val="none"/>
          <w:lang w:eastAsia="zh-CN"/>
        </w:rPr>
        <w:t>与支付办法</w:t>
      </w:r>
      <w:r>
        <w:rPr>
          <w:rFonts w:hint="default" w:ascii="Arial" w:hAnsi="Arial" w:eastAsia="宋体" w:cs="Arial"/>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　　1、</w:t>
      </w:r>
      <w:r>
        <w:rPr>
          <w:rFonts w:hint="default" w:ascii="Arial" w:hAnsi="Arial" w:eastAsia="宋体" w:cs="Arial"/>
          <w:color w:val="auto"/>
          <w:szCs w:val="21"/>
          <w:highlight w:val="none"/>
          <w:lang w:eastAsia="zh-CN"/>
        </w:rPr>
        <w:t>服务费用的构成</w:t>
      </w:r>
      <w:r>
        <w:rPr>
          <w:rFonts w:hint="default" w:ascii="Arial" w:hAnsi="Arial" w:eastAsia="宋体" w:cs="Arial"/>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（１）劳务派遣人员</w:t>
      </w:r>
      <w:r>
        <w:rPr>
          <w:rFonts w:hint="default" w:ascii="Arial" w:hAnsi="Arial" w:eastAsia="宋体" w:cs="Arial"/>
          <w:color w:val="auto"/>
          <w:szCs w:val="21"/>
          <w:highlight w:val="none"/>
        </w:rPr>
        <w:t>的工资、社保、公积金、税金及各种福利（以瑞安市公安局的相关规定为准，</w:t>
      </w:r>
      <w:r>
        <w:rPr>
          <w:rFonts w:hint="default" w:ascii="Arial" w:hAnsi="Arial" w:eastAsia="宋体" w:cs="Arial"/>
          <w:color w:val="auto"/>
          <w:szCs w:val="21"/>
          <w:highlight w:val="none"/>
          <w:lang w:eastAsia="zh-CN"/>
        </w:rPr>
        <w:t>并随规定标准的</w:t>
      </w:r>
      <w:r>
        <w:rPr>
          <w:rFonts w:hint="default" w:ascii="Arial" w:hAnsi="Arial" w:eastAsia="宋体" w:cs="Arial"/>
          <w:color w:val="auto"/>
          <w:szCs w:val="21"/>
          <w:highlight w:val="none"/>
        </w:rPr>
        <w:t>调整</w:t>
      </w:r>
      <w:r>
        <w:rPr>
          <w:rFonts w:hint="default" w:ascii="Arial" w:hAnsi="Arial" w:eastAsia="宋体" w:cs="Arial"/>
          <w:color w:val="auto"/>
          <w:szCs w:val="21"/>
          <w:highlight w:val="none"/>
          <w:lang w:eastAsia="zh-CN"/>
        </w:rPr>
        <w:t>作</w:t>
      </w:r>
      <w:r>
        <w:rPr>
          <w:rFonts w:hint="default" w:ascii="Arial" w:hAnsi="Arial" w:eastAsia="宋体" w:cs="Arial"/>
          <w:color w:val="auto"/>
          <w:szCs w:val="21"/>
          <w:highlight w:val="none"/>
        </w:rPr>
        <w:t>相应调整）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（２）</w:t>
      </w:r>
      <w:r>
        <w:rPr>
          <w:rFonts w:hint="default" w:ascii="Arial" w:hAnsi="Arial" w:eastAsia="宋体" w:cs="Arial"/>
          <w:color w:val="auto"/>
          <w:szCs w:val="21"/>
          <w:highlight w:val="none"/>
        </w:rPr>
        <w:t>乙方的</w:t>
      </w:r>
      <w:r>
        <w:rPr>
          <w:rFonts w:hint="default" w:ascii="Arial" w:hAnsi="Arial" w:eastAsia="宋体" w:cs="Arial"/>
          <w:color w:val="auto"/>
          <w:szCs w:val="21"/>
          <w:highlight w:val="none"/>
          <w:lang w:eastAsia="zh-CN"/>
        </w:rPr>
        <w:t>劳务</w:t>
      </w:r>
      <w:r>
        <w:rPr>
          <w:rFonts w:hint="default" w:ascii="Arial" w:hAnsi="Arial" w:eastAsia="宋体" w:cs="Arial"/>
          <w:color w:val="auto"/>
          <w:szCs w:val="21"/>
          <w:highlight w:val="none"/>
        </w:rPr>
        <w:t xml:space="preserve">管理费人民币 </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元/月/人（服务费中除各员工的工资、社保、</w:t>
      </w:r>
      <w:r>
        <w:rPr>
          <w:rFonts w:hint="default" w:ascii="Arial" w:hAnsi="Arial" w:eastAsia="宋体" w:cs="Arial"/>
          <w:color w:val="auto"/>
          <w:szCs w:val="21"/>
          <w:highlight w:val="none"/>
          <w:lang w:val="en-US" w:eastAsia="zh-CN"/>
        </w:rPr>
        <w:t>公积金、</w:t>
      </w:r>
      <w:r>
        <w:rPr>
          <w:rFonts w:hint="default" w:ascii="Arial" w:hAnsi="Arial" w:eastAsia="宋体" w:cs="Arial"/>
          <w:color w:val="auto"/>
          <w:szCs w:val="21"/>
          <w:highlight w:val="none"/>
        </w:rPr>
        <w:t>税金及各种福利外的所有相关费用</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包括为员工</w:t>
      </w:r>
      <w:r>
        <w:rPr>
          <w:rFonts w:hint="default" w:ascii="Arial" w:hAnsi="Arial" w:eastAsia="宋体" w:cs="Arial"/>
          <w:color w:val="auto"/>
          <w:highlight w:val="none"/>
          <w:lang w:val="en-US" w:eastAsia="zh-CN"/>
        </w:rPr>
        <w:t>投保保额不低于30万的人身意外险等其他必要保险的费用</w:t>
      </w:r>
      <w:r>
        <w:rPr>
          <w:rFonts w:hint="default" w:ascii="Arial" w:hAnsi="Arial" w:eastAsia="宋体" w:cs="Arial"/>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w:t>
      </w:r>
      <w:r>
        <w:rPr>
          <w:rFonts w:hint="default" w:ascii="Arial" w:hAnsi="Arial" w:eastAsia="宋体" w:cs="Arial"/>
          <w:color w:val="auto"/>
          <w:szCs w:val="21"/>
          <w:highlight w:val="none"/>
          <w:lang w:val="en-US" w:eastAsia="zh-CN"/>
        </w:rPr>
        <w:t>2、</w:t>
      </w:r>
      <w:r>
        <w:rPr>
          <w:rFonts w:hint="default" w:ascii="Arial" w:hAnsi="Arial" w:eastAsia="宋体" w:cs="Arial"/>
          <w:color w:val="auto"/>
          <w:szCs w:val="21"/>
          <w:highlight w:val="none"/>
          <w:lang w:eastAsia="zh-CN"/>
        </w:rPr>
        <w:t>劳务派遣</w:t>
      </w:r>
      <w:r>
        <w:rPr>
          <w:rFonts w:hint="default" w:ascii="Arial" w:hAnsi="Arial" w:eastAsia="宋体" w:cs="Arial"/>
          <w:color w:val="auto"/>
          <w:szCs w:val="21"/>
          <w:highlight w:val="none"/>
        </w:rPr>
        <w:t>服务费采用费用包干方式服务，乙方应根据项目要求和现场情况，详细列明项目所需的人力、物力、财力等, 以及所有人工、管理、财务、税金等所有费用，在服务过程中出现任何遗漏，均由乙方免费提供，甲方不再支付任何费用，具体合同金额则以实际人员按单价结算。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　　3、</w:t>
      </w:r>
      <w:r>
        <w:rPr>
          <w:rFonts w:hint="default" w:ascii="Arial" w:hAnsi="Arial" w:eastAsia="宋体" w:cs="Arial"/>
          <w:color w:val="auto"/>
          <w:szCs w:val="21"/>
          <w:highlight w:val="none"/>
          <w:lang w:eastAsia="zh-CN"/>
        </w:rPr>
        <w:t>履约保证金及用途：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（１）</w:t>
      </w:r>
      <w:r>
        <w:rPr>
          <w:rFonts w:hint="default" w:ascii="Arial" w:hAnsi="Arial" w:eastAsia="宋体" w:cs="Arial"/>
          <w:color w:val="auto"/>
          <w:szCs w:val="21"/>
          <w:highlight w:val="none"/>
        </w:rPr>
        <w:t>乙方在收到中标通知书后，需向甲方提交人民币</w:t>
      </w:r>
      <w:r>
        <w:rPr>
          <w:rFonts w:hint="default" w:ascii="Arial" w:hAnsi="Arial" w:eastAsia="宋体" w:cs="Arial"/>
          <w:color w:val="auto"/>
          <w:szCs w:val="21"/>
          <w:highlight w:val="none"/>
          <w:u w:val="single"/>
          <w:lang w:val="en-US" w:eastAsia="zh-CN"/>
        </w:rPr>
        <w:t>贰拾万</w:t>
      </w:r>
      <w:r>
        <w:rPr>
          <w:rFonts w:hint="default" w:ascii="Arial" w:hAnsi="Arial" w:eastAsia="宋体" w:cs="Arial"/>
          <w:color w:val="auto"/>
          <w:szCs w:val="21"/>
          <w:highlight w:val="none"/>
          <w:u w:val="single"/>
        </w:rPr>
        <w:t>元</w:t>
      </w:r>
      <w:r>
        <w:rPr>
          <w:rFonts w:hint="default" w:ascii="Arial" w:hAnsi="Arial" w:eastAsia="宋体" w:cs="Arial"/>
          <w:color w:val="auto"/>
          <w:szCs w:val="21"/>
          <w:highlight w:val="none"/>
        </w:rPr>
        <w:t>的履约保证金（以银行转账或银行汇票方式），并在签订合同前提交，以保证乙方遵守本合同的一切条款、条件和承诺</w:t>
      </w:r>
      <w:r>
        <w:rPr>
          <w:rFonts w:hint="default" w:ascii="Arial" w:hAnsi="Arial" w:eastAsia="宋体" w:cs="Arial"/>
          <w:color w:val="auto"/>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（２）</w:t>
      </w:r>
      <w:r>
        <w:rPr>
          <w:rFonts w:hint="default" w:ascii="Arial" w:hAnsi="Arial" w:eastAsia="宋体" w:cs="Arial"/>
          <w:color w:val="auto"/>
          <w:szCs w:val="21"/>
          <w:highlight w:val="none"/>
        </w:rPr>
        <w:t>保证金在甲方的规定存续期间不计息。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（３）</w:t>
      </w:r>
      <w:r>
        <w:rPr>
          <w:rFonts w:hint="default" w:ascii="Arial" w:hAnsi="Arial" w:eastAsia="宋体" w:cs="Arial"/>
          <w:color w:val="auto"/>
          <w:szCs w:val="21"/>
          <w:highlight w:val="none"/>
        </w:rPr>
        <w:t>乙方如未按规定提交履约保证金则甲方有权拒签合同</w:t>
      </w:r>
      <w:r>
        <w:rPr>
          <w:rFonts w:hint="default" w:ascii="Arial" w:hAnsi="Arial" w:eastAsia="宋体" w:cs="Arial"/>
          <w:color w:val="auto"/>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（４）经</w:t>
      </w:r>
      <w:r>
        <w:rPr>
          <w:rFonts w:hint="default" w:ascii="Arial" w:hAnsi="Arial" w:eastAsia="宋体" w:cs="Arial"/>
          <w:color w:val="auto"/>
          <w:szCs w:val="21"/>
          <w:highlight w:val="none"/>
        </w:rPr>
        <w:t>甲方</w:t>
      </w:r>
      <w:r>
        <w:rPr>
          <w:rFonts w:hint="default" w:ascii="Arial" w:hAnsi="Arial" w:eastAsia="宋体" w:cs="Arial"/>
          <w:color w:val="auto"/>
          <w:szCs w:val="21"/>
          <w:highlight w:val="none"/>
          <w:lang w:eastAsia="zh-CN"/>
        </w:rPr>
        <w:t>审查</w:t>
      </w:r>
      <w:r>
        <w:rPr>
          <w:rFonts w:hint="default" w:ascii="Arial" w:hAnsi="Arial" w:eastAsia="宋体" w:cs="Arial"/>
          <w:color w:val="auto"/>
          <w:szCs w:val="21"/>
          <w:highlight w:val="none"/>
        </w:rPr>
        <w:t>认</w:t>
      </w:r>
      <w:r>
        <w:rPr>
          <w:rFonts w:hint="default" w:ascii="Arial" w:hAnsi="Arial" w:eastAsia="宋体" w:cs="Arial"/>
          <w:color w:val="auto"/>
          <w:szCs w:val="21"/>
          <w:highlight w:val="none"/>
          <w:lang w:eastAsia="zh-CN"/>
        </w:rPr>
        <w:t>定</w:t>
      </w:r>
      <w:r>
        <w:rPr>
          <w:rFonts w:hint="default" w:ascii="Arial" w:hAnsi="Arial" w:eastAsia="宋体" w:cs="Arial"/>
          <w:color w:val="auto"/>
          <w:szCs w:val="21"/>
          <w:highlight w:val="none"/>
        </w:rPr>
        <w:t>乙方在承包期内没有涉及甲方的应付而未付金额或违约行为，甲方在承包期满后或提前终止承包后10个工作日内全额退还履约金，否则，甲方在扣除乙方应付金额或违约金后退还保证金余额。</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w:t>
      </w:r>
      <w:r>
        <w:rPr>
          <w:rFonts w:hint="default" w:ascii="Arial" w:hAnsi="Arial" w:eastAsia="宋体" w:cs="Arial"/>
          <w:color w:val="auto"/>
          <w:szCs w:val="21"/>
          <w:highlight w:val="none"/>
          <w:lang w:val="en-US" w:eastAsia="zh-CN"/>
        </w:rPr>
        <w:t>4</w:t>
      </w:r>
      <w:r>
        <w:rPr>
          <w:rFonts w:hint="default" w:ascii="Arial" w:hAnsi="Arial" w:eastAsia="宋体" w:cs="Arial"/>
          <w:color w:val="auto"/>
          <w:szCs w:val="21"/>
          <w:highlight w:val="none"/>
          <w:lang w:eastAsia="zh-CN"/>
        </w:rPr>
        <w:t>、结算时间和方式：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w:t>
      </w:r>
      <w:r>
        <w:rPr>
          <w:rFonts w:hint="default" w:ascii="Arial" w:hAnsi="Arial" w:eastAsia="宋体" w:cs="Arial"/>
          <w:color w:val="auto"/>
          <w:szCs w:val="21"/>
          <w:highlight w:val="none"/>
          <w:lang w:val="en-US" w:eastAsia="zh-CN"/>
        </w:rPr>
        <w:t>1</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付款方式为先服务后支付，由</w:t>
      </w:r>
      <w:r>
        <w:rPr>
          <w:rFonts w:hint="default" w:ascii="Arial" w:hAnsi="Arial" w:eastAsia="宋体" w:cs="Arial"/>
          <w:color w:val="auto"/>
          <w:szCs w:val="21"/>
          <w:highlight w:val="none"/>
          <w:lang w:val="en-US" w:eastAsia="zh-CN"/>
        </w:rPr>
        <w:t>甲方结合</w:t>
      </w:r>
      <w:r>
        <w:rPr>
          <w:rFonts w:hint="default" w:ascii="Arial" w:hAnsi="Arial" w:eastAsia="宋体" w:cs="Arial"/>
          <w:color w:val="auto"/>
          <w:szCs w:val="21"/>
          <w:highlight w:val="none"/>
        </w:rPr>
        <w:t>前一个月的考核结果</w:t>
      </w:r>
      <w:r>
        <w:rPr>
          <w:rFonts w:hint="default" w:ascii="Arial" w:hAnsi="Arial" w:eastAsia="宋体" w:cs="Arial"/>
          <w:color w:val="auto"/>
          <w:szCs w:val="21"/>
          <w:highlight w:val="none"/>
          <w:lang w:val="en-US" w:eastAsia="zh-CN"/>
        </w:rPr>
        <w:t>与乙方</w:t>
      </w:r>
      <w:r>
        <w:rPr>
          <w:rFonts w:hint="default" w:ascii="Arial" w:hAnsi="Arial" w:eastAsia="宋体" w:cs="Arial"/>
          <w:color w:val="auto"/>
          <w:szCs w:val="21"/>
          <w:highlight w:val="none"/>
        </w:rPr>
        <w:t>结算，</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凭</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开具的正式发票和员工工资发放凭证复印件（以便</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确认务工人员劳动报酬已经兑现）进行支付，并出具有效收据</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甲方在收到完备的结算资料后30天内予以支付。</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2</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承包到期后将余款一次付清，并在10个工作日内</w:t>
      </w:r>
      <w:r>
        <w:rPr>
          <w:rFonts w:hint="default" w:ascii="Arial" w:hAnsi="Arial" w:eastAsia="宋体" w:cs="Arial"/>
          <w:color w:val="auto"/>
          <w:szCs w:val="21"/>
          <w:highlight w:val="none"/>
          <w:lang w:eastAsia="zh-CN"/>
        </w:rPr>
        <w:t>按本合同规定</w:t>
      </w:r>
      <w:r>
        <w:rPr>
          <w:rFonts w:hint="default" w:ascii="Arial" w:hAnsi="Arial" w:eastAsia="宋体" w:cs="Arial"/>
          <w:color w:val="auto"/>
          <w:szCs w:val="21"/>
          <w:highlight w:val="none"/>
        </w:rPr>
        <w:t>退还保证金。</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3</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甲方可随时根据实际情况进行核实，一经发现存在克扣员工工资及福利或者拖欠员工工资问题及福利将按照相关要求及法律规定对相关责任人严肃查处。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五、甲方的权利及义务：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1、甲方有权要求乙方的相关人员按合同要求约定保质、保量完成工作，对乙方</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人员的工作情况有权通过电话或书面向乙方反馈。</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2</w:t>
      </w:r>
      <w:r>
        <w:rPr>
          <w:rFonts w:hint="default" w:ascii="Arial" w:hAnsi="Arial" w:eastAsia="宋体" w:cs="Arial"/>
          <w:color w:val="auto"/>
          <w:highlight w:val="none"/>
        </w:rPr>
        <w:t>、甲方有权根据实际情况，变更、增加服务内容和服务时间，但需经双方协商同意，并签订补充协议。</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3</w:t>
      </w:r>
      <w:r>
        <w:rPr>
          <w:rFonts w:hint="default" w:ascii="Arial" w:hAnsi="Arial" w:eastAsia="宋体" w:cs="Arial"/>
          <w:color w:val="auto"/>
          <w:highlight w:val="none"/>
        </w:rPr>
        <w:t>、甲方有权合理选择、更换和辞退相关人员。协议期内，符合下列情况之一，甲方有权解除协议：</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 有效证据证明乙方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人员有违法犯罪行为的；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(2) 提出调换人员后，间隔5个工作日乙方累计3次以上无法选派新的人员到岗工作的；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(3) 根据乙方在服务期内被投诉的情况，甲方可根据投诉事件的情节严重性、投诉事件的数量及整改措施等情况做出对乙方是否解除协议的处理决定。</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(4) 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人员在上岗七个工作日的适应期后，仍不能完成合同所要求的工作，且乙方先后调换3人均未能达到甲方所要求的相应服务标准的。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4</w:t>
      </w:r>
      <w:r>
        <w:rPr>
          <w:rFonts w:hint="default" w:ascii="Arial" w:hAnsi="Arial" w:eastAsia="宋体" w:cs="Arial"/>
          <w:color w:val="auto"/>
          <w:highlight w:val="none"/>
        </w:rPr>
        <w:t>、在合同履行期间，甲方有义务维护乙方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人员的人格尊严，并应为乙方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 xml:space="preserve">人员履行职责提供必要的工作条件。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5</w:t>
      </w:r>
      <w:r>
        <w:rPr>
          <w:rFonts w:hint="default" w:ascii="Arial" w:hAnsi="Arial" w:eastAsia="宋体" w:cs="Arial"/>
          <w:color w:val="auto"/>
          <w:highlight w:val="none"/>
        </w:rPr>
        <w:t>、乙方</w:t>
      </w:r>
      <w:r>
        <w:rPr>
          <w:rFonts w:hint="default" w:ascii="Arial" w:hAnsi="Arial" w:eastAsia="宋体" w:cs="Arial"/>
          <w:color w:val="auto"/>
          <w:highlight w:val="none"/>
          <w:lang w:eastAsia="zh-CN"/>
        </w:rPr>
        <w:t>劳务</w:t>
      </w:r>
      <w:r>
        <w:rPr>
          <w:rFonts w:hint="default" w:ascii="Arial" w:hAnsi="Arial" w:eastAsia="宋体" w:cs="Arial"/>
          <w:color w:val="auto"/>
          <w:highlight w:val="none"/>
        </w:rPr>
        <w:t>派遣人员有下列情形之一的，甲方有权将该</w:t>
      </w:r>
      <w:r>
        <w:rPr>
          <w:rFonts w:hint="default" w:ascii="Arial" w:hAnsi="Arial" w:eastAsia="宋体" w:cs="Arial"/>
          <w:color w:val="auto"/>
          <w:highlight w:val="none"/>
          <w:lang w:eastAsia="zh-CN"/>
        </w:rPr>
        <w:t>人</w:t>
      </w:r>
      <w:r>
        <w:rPr>
          <w:rFonts w:hint="default" w:ascii="Arial" w:hAnsi="Arial" w:eastAsia="宋体" w:cs="Arial"/>
          <w:color w:val="auto"/>
          <w:highlight w:val="none"/>
        </w:rPr>
        <w:t>员退回乙方</w:t>
      </w:r>
      <w:r>
        <w:rPr>
          <w:rFonts w:hint="default" w:ascii="Arial" w:hAnsi="Arial" w:eastAsia="宋体" w:cs="Arial"/>
          <w:color w:val="auto"/>
          <w:highlight w:val="none"/>
          <w:lang w:eastAsia="zh-CN"/>
        </w:rPr>
        <w:t>，涉及经济处罚或经济赔偿等问题时，按照甲方相关规章制度由乙方负责处理后返还甲方。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(1)在试用期间被证明不符合录用条件的；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(2)严重违反甲方的规章制度的；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(3)严重失职，营私舞弊，给甲方造成重大损</w:t>
      </w:r>
      <w:r>
        <w:rPr>
          <w:rFonts w:hint="default" w:ascii="Arial" w:hAnsi="Arial" w:eastAsia="宋体" w:cs="Arial"/>
          <w:color w:val="auto"/>
          <w:highlight w:val="none"/>
          <w:lang w:eastAsia="zh-CN"/>
        </w:rPr>
        <w:t>失</w:t>
      </w:r>
      <w:r>
        <w:rPr>
          <w:rFonts w:hint="default" w:ascii="Arial" w:hAnsi="Arial" w:eastAsia="宋体" w:cs="Arial"/>
          <w:color w:val="auto"/>
          <w:highlight w:val="none"/>
        </w:rPr>
        <w:t>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(4)同时与其他用人单位建立劳动关系，对完成甲方的工作任务造成严重影响，或者经甲方提出，拒不改正的；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(5) 被依法追究刑事责任的或者治安拘留的；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(6) 甲乙双方协商一致的。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六、乙方的权利及义务：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1、乙方应</w:t>
      </w:r>
      <w:r>
        <w:rPr>
          <w:rFonts w:hint="default" w:ascii="Arial" w:hAnsi="Arial" w:eastAsia="宋体" w:cs="Arial"/>
          <w:color w:val="auto"/>
          <w:highlight w:val="none"/>
          <w:lang w:eastAsia="zh-CN"/>
        </w:rPr>
        <w:t>根据甲方的用人需求，</w:t>
      </w:r>
      <w:r>
        <w:rPr>
          <w:rFonts w:hint="default" w:ascii="Arial" w:hAnsi="Arial" w:eastAsia="宋体" w:cs="Arial"/>
          <w:color w:val="auto"/>
          <w:highlight w:val="none"/>
        </w:rPr>
        <w:t>为甲方</w:t>
      </w:r>
      <w:r>
        <w:rPr>
          <w:rFonts w:hint="default" w:ascii="Arial" w:hAnsi="Arial" w:eastAsia="宋体" w:cs="Arial"/>
          <w:color w:val="auto"/>
          <w:highlight w:val="none"/>
          <w:lang w:eastAsia="zh-CN"/>
        </w:rPr>
        <w:t>派遣</w:t>
      </w:r>
      <w:r>
        <w:rPr>
          <w:rFonts w:hint="default" w:ascii="Arial" w:hAnsi="Arial" w:eastAsia="宋体" w:cs="Arial"/>
          <w:color w:val="auto"/>
          <w:highlight w:val="none"/>
        </w:rPr>
        <w:t>体检合格</w:t>
      </w:r>
      <w:r>
        <w:rPr>
          <w:rFonts w:hint="default" w:ascii="Arial" w:hAnsi="Arial" w:eastAsia="宋体" w:cs="Arial"/>
          <w:color w:val="auto"/>
          <w:highlight w:val="none"/>
          <w:lang w:eastAsia="zh-CN"/>
        </w:rPr>
        <w:t>并</w:t>
      </w:r>
      <w:r>
        <w:rPr>
          <w:rFonts w:hint="default" w:ascii="Arial" w:hAnsi="Arial" w:eastAsia="宋体" w:cs="Arial"/>
          <w:color w:val="auto"/>
          <w:highlight w:val="none"/>
        </w:rPr>
        <w:t>具备相应</w:t>
      </w:r>
      <w:r>
        <w:rPr>
          <w:rFonts w:hint="default" w:ascii="Arial" w:hAnsi="Arial" w:eastAsia="宋体" w:cs="Arial"/>
          <w:color w:val="auto"/>
          <w:highlight w:val="none"/>
          <w:lang w:eastAsia="zh-CN"/>
        </w:rPr>
        <w:t>岗位</w:t>
      </w:r>
      <w:r>
        <w:rPr>
          <w:rFonts w:hint="default" w:ascii="Arial" w:hAnsi="Arial" w:eastAsia="宋体" w:cs="Arial"/>
          <w:color w:val="auto"/>
          <w:highlight w:val="none"/>
        </w:rPr>
        <w:t>服务能力的</w:t>
      </w:r>
      <w:r>
        <w:rPr>
          <w:rFonts w:hint="default" w:ascii="Arial" w:hAnsi="Arial" w:eastAsia="宋体" w:cs="Arial"/>
          <w:color w:val="auto"/>
          <w:highlight w:val="none"/>
          <w:lang w:eastAsia="zh-CN"/>
        </w:rPr>
        <w:t>劳务</w:t>
      </w:r>
      <w:r>
        <w:rPr>
          <w:rFonts w:hint="default" w:ascii="Arial" w:hAnsi="Arial" w:eastAsia="宋体" w:cs="Arial"/>
          <w:color w:val="auto"/>
          <w:highlight w:val="none"/>
        </w:rPr>
        <w:t>人员。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2、</w:t>
      </w:r>
      <w:r>
        <w:rPr>
          <w:rFonts w:hint="default" w:ascii="Arial" w:hAnsi="Arial" w:eastAsia="宋体" w:cs="Arial"/>
          <w:color w:val="auto"/>
          <w:highlight w:val="none"/>
        </w:rPr>
        <w:t>乙方应依法与</w:t>
      </w:r>
      <w:r>
        <w:rPr>
          <w:rFonts w:hint="default" w:ascii="Arial" w:hAnsi="Arial" w:eastAsia="宋体" w:cs="Arial"/>
          <w:color w:val="auto"/>
          <w:highlight w:val="none"/>
          <w:lang w:eastAsia="zh-CN"/>
        </w:rPr>
        <w:t>被</w:t>
      </w:r>
      <w:r>
        <w:rPr>
          <w:rFonts w:hint="default" w:ascii="Arial" w:hAnsi="Arial" w:eastAsia="宋体" w:cs="Arial"/>
          <w:color w:val="auto"/>
          <w:highlight w:val="none"/>
        </w:rPr>
        <w:t>派遣劳务人员签订</w:t>
      </w:r>
      <w:r>
        <w:rPr>
          <w:rFonts w:hint="default" w:ascii="Arial" w:hAnsi="Arial" w:eastAsia="宋体" w:cs="Arial"/>
          <w:color w:val="auto"/>
          <w:highlight w:val="none"/>
          <w:lang w:eastAsia="zh-CN"/>
        </w:rPr>
        <w:t>二年以上固定期限的书面</w:t>
      </w:r>
      <w:r>
        <w:rPr>
          <w:rFonts w:hint="default" w:ascii="Arial" w:hAnsi="Arial" w:eastAsia="宋体" w:cs="Arial"/>
          <w:color w:val="auto"/>
          <w:highlight w:val="none"/>
        </w:rPr>
        <w:t>劳动合同</w:t>
      </w:r>
      <w:r>
        <w:rPr>
          <w:rFonts w:hint="default" w:ascii="Arial" w:hAnsi="Arial" w:eastAsia="宋体" w:cs="Arial"/>
          <w:color w:val="auto"/>
          <w:highlight w:val="none"/>
          <w:lang w:eastAsia="zh-CN"/>
        </w:rPr>
        <w:t>，并</w:t>
      </w:r>
      <w:r>
        <w:rPr>
          <w:rFonts w:hint="default" w:ascii="Arial" w:hAnsi="Arial" w:eastAsia="宋体" w:cs="Arial"/>
          <w:color w:val="auto"/>
          <w:highlight w:val="none"/>
          <w:lang w:val="en-US" w:eastAsia="zh-CN"/>
        </w:rPr>
        <w:t>履行用人单位对被派遣劳务人员的全部义务。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3、乙方应当</w:t>
      </w:r>
      <w:r>
        <w:rPr>
          <w:rFonts w:hint="default" w:ascii="Arial" w:hAnsi="Arial" w:eastAsia="宋体" w:cs="Arial"/>
          <w:i w:val="0"/>
          <w:caps w:val="0"/>
          <w:color w:val="auto"/>
          <w:spacing w:val="0"/>
          <w:sz w:val="21"/>
          <w:szCs w:val="21"/>
          <w:highlight w:val="none"/>
          <w:shd w:val="clear" w:color="auto" w:fill="FFFFFF"/>
        </w:rPr>
        <w:t>将劳务派遣协议的内容告知被派遣劳</w:t>
      </w:r>
      <w:r>
        <w:rPr>
          <w:rFonts w:hint="default" w:ascii="Arial" w:hAnsi="Arial" w:eastAsia="宋体" w:cs="Arial"/>
          <w:i w:val="0"/>
          <w:caps w:val="0"/>
          <w:color w:val="auto"/>
          <w:spacing w:val="0"/>
          <w:sz w:val="21"/>
          <w:szCs w:val="21"/>
          <w:highlight w:val="none"/>
          <w:shd w:val="clear" w:color="auto" w:fill="FFFFFF"/>
          <w:lang w:eastAsia="zh-CN"/>
        </w:rPr>
        <w:t>务人员。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4</w:t>
      </w:r>
      <w:r>
        <w:rPr>
          <w:rFonts w:hint="default" w:ascii="Arial" w:hAnsi="Arial" w:eastAsia="宋体" w:cs="Arial"/>
          <w:color w:val="auto"/>
          <w:highlight w:val="none"/>
        </w:rPr>
        <w:t>、乙方</w:t>
      </w:r>
      <w:r>
        <w:rPr>
          <w:rFonts w:hint="default" w:ascii="Arial" w:hAnsi="Arial" w:eastAsia="宋体" w:cs="Arial"/>
          <w:i w:val="0"/>
          <w:caps w:val="0"/>
          <w:color w:val="auto"/>
          <w:spacing w:val="0"/>
          <w:sz w:val="21"/>
          <w:szCs w:val="21"/>
          <w:highlight w:val="none"/>
          <w:shd w:val="clear" w:color="auto" w:fill="FFFFFF"/>
        </w:rPr>
        <w:t>应当向被派遣</w:t>
      </w:r>
      <w:r>
        <w:rPr>
          <w:rFonts w:hint="default" w:ascii="Arial" w:hAnsi="Arial" w:eastAsia="宋体" w:cs="Arial"/>
          <w:i w:val="0"/>
          <w:caps w:val="0"/>
          <w:color w:val="auto"/>
          <w:spacing w:val="0"/>
          <w:sz w:val="21"/>
          <w:szCs w:val="21"/>
          <w:highlight w:val="none"/>
          <w:shd w:val="clear" w:color="auto" w:fill="FFFFFF"/>
          <w:lang w:eastAsia="zh-CN"/>
        </w:rPr>
        <w:t>劳务人员</w:t>
      </w:r>
      <w:r>
        <w:rPr>
          <w:rFonts w:hint="default" w:ascii="Arial" w:hAnsi="Arial" w:eastAsia="宋体" w:cs="Arial"/>
          <w:i w:val="0"/>
          <w:caps w:val="0"/>
          <w:color w:val="auto"/>
          <w:spacing w:val="0"/>
          <w:sz w:val="21"/>
          <w:szCs w:val="21"/>
          <w:highlight w:val="none"/>
          <w:shd w:val="clear" w:color="auto" w:fill="FFFFFF"/>
        </w:rPr>
        <w:t>按月支付劳动报酬</w:t>
      </w:r>
      <w:r>
        <w:rPr>
          <w:rFonts w:hint="default" w:ascii="Arial" w:hAnsi="Arial" w:eastAsia="宋体" w:cs="Arial"/>
          <w:i w:val="0"/>
          <w:caps w:val="0"/>
          <w:color w:val="auto"/>
          <w:spacing w:val="0"/>
          <w:sz w:val="21"/>
          <w:szCs w:val="21"/>
          <w:highlight w:val="none"/>
          <w:shd w:val="clear" w:color="auto" w:fill="FFFFFF"/>
          <w:lang w:eastAsia="zh-CN"/>
        </w:rPr>
        <w:t>，</w:t>
      </w:r>
      <w:r>
        <w:rPr>
          <w:rFonts w:hint="default" w:ascii="Arial" w:hAnsi="Arial" w:eastAsia="宋体" w:cs="Arial"/>
          <w:i w:val="0"/>
          <w:caps w:val="0"/>
          <w:color w:val="auto"/>
          <w:spacing w:val="0"/>
          <w:sz w:val="21"/>
          <w:szCs w:val="21"/>
          <w:highlight w:val="none"/>
          <w:shd w:val="clear" w:color="auto" w:fill="FFFFFF"/>
        </w:rPr>
        <w:t>不得克扣</w:t>
      </w:r>
      <w:r>
        <w:rPr>
          <w:rFonts w:hint="default" w:ascii="Arial" w:hAnsi="Arial" w:eastAsia="宋体" w:cs="Arial"/>
          <w:i w:val="0"/>
          <w:caps w:val="0"/>
          <w:color w:val="auto"/>
          <w:spacing w:val="0"/>
          <w:sz w:val="21"/>
          <w:szCs w:val="21"/>
          <w:highlight w:val="none"/>
          <w:shd w:val="clear" w:color="auto" w:fill="FFFFFF"/>
          <w:lang w:eastAsia="zh-CN"/>
        </w:rPr>
        <w:t>甲方</w:t>
      </w:r>
      <w:r>
        <w:rPr>
          <w:rFonts w:hint="default" w:ascii="Arial" w:hAnsi="Arial" w:eastAsia="宋体" w:cs="Arial"/>
          <w:i w:val="0"/>
          <w:caps w:val="0"/>
          <w:color w:val="auto"/>
          <w:spacing w:val="0"/>
          <w:sz w:val="21"/>
          <w:szCs w:val="21"/>
          <w:highlight w:val="none"/>
          <w:shd w:val="clear" w:color="auto" w:fill="FFFFFF"/>
        </w:rPr>
        <w:t>按照劳务派遣协议支付给被派遣劳</w:t>
      </w:r>
      <w:r>
        <w:rPr>
          <w:rFonts w:hint="default" w:ascii="Arial" w:hAnsi="Arial" w:eastAsia="宋体" w:cs="Arial"/>
          <w:i w:val="0"/>
          <w:caps w:val="0"/>
          <w:color w:val="auto"/>
          <w:spacing w:val="0"/>
          <w:sz w:val="21"/>
          <w:szCs w:val="21"/>
          <w:highlight w:val="none"/>
          <w:shd w:val="clear" w:color="auto" w:fill="FFFFFF"/>
          <w:lang w:eastAsia="zh-CN"/>
        </w:rPr>
        <w:t>务人员</w:t>
      </w:r>
      <w:r>
        <w:rPr>
          <w:rFonts w:hint="default" w:ascii="Arial" w:hAnsi="Arial" w:eastAsia="宋体" w:cs="Arial"/>
          <w:i w:val="0"/>
          <w:caps w:val="0"/>
          <w:color w:val="auto"/>
          <w:spacing w:val="0"/>
          <w:sz w:val="21"/>
          <w:szCs w:val="21"/>
          <w:highlight w:val="none"/>
          <w:shd w:val="clear" w:color="auto" w:fill="FFFFFF"/>
        </w:rPr>
        <w:t>劳动报酬</w:t>
      </w:r>
      <w:r>
        <w:rPr>
          <w:rFonts w:hint="default" w:ascii="Arial" w:hAnsi="Arial" w:eastAsia="宋体" w:cs="Arial"/>
          <w:i w:val="0"/>
          <w:caps w:val="0"/>
          <w:color w:val="auto"/>
          <w:spacing w:val="0"/>
          <w:sz w:val="21"/>
          <w:szCs w:val="21"/>
          <w:highlight w:val="none"/>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5</w:t>
      </w:r>
      <w:r>
        <w:rPr>
          <w:rFonts w:hint="default" w:ascii="Arial" w:hAnsi="Arial" w:eastAsia="宋体" w:cs="Arial"/>
          <w:color w:val="auto"/>
          <w:highlight w:val="none"/>
        </w:rPr>
        <w:t>、乙方应为</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人员依法缴纳</w:t>
      </w:r>
      <w:r>
        <w:rPr>
          <w:rFonts w:hint="default" w:ascii="Arial" w:hAnsi="Arial" w:eastAsia="宋体" w:cs="Arial"/>
          <w:color w:val="auto"/>
          <w:highlight w:val="none"/>
          <w:lang w:eastAsia="zh-CN"/>
        </w:rPr>
        <w:t>公积金和社保（包括但不限于</w:t>
      </w:r>
      <w:r>
        <w:rPr>
          <w:rFonts w:hint="default" w:ascii="Arial" w:hAnsi="Arial" w:eastAsia="宋体" w:cs="Arial"/>
          <w:color w:val="auto"/>
          <w:highlight w:val="none"/>
        </w:rPr>
        <w:t>养老</w:t>
      </w:r>
      <w:r>
        <w:rPr>
          <w:rFonts w:hint="default" w:ascii="Arial" w:hAnsi="Arial" w:eastAsia="宋体" w:cs="Arial"/>
          <w:color w:val="auto"/>
          <w:highlight w:val="none"/>
          <w:lang w:eastAsia="zh-CN"/>
        </w:rPr>
        <w:t>保险</w:t>
      </w:r>
      <w:r>
        <w:rPr>
          <w:rFonts w:hint="default" w:ascii="Arial" w:hAnsi="Arial" w:eastAsia="宋体" w:cs="Arial"/>
          <w:color w:val="auto"/>
          <w:highlight w:val="none"/>
        </w:rPr>
        <w:t>、</w:t>
      </w:r>
      <w:r>
        <w:rPr>
          <w:rFonts w:hint="default" w:ascii="Arial" w:hAnsi="Arial" w:eastAsia="宋体" w:cs="Arial"/>
          <w:color w:val="auto"/>
          <w:highlight w:val="none"/>
          <w:lang w:eastAsia="zh-CN"/>
        </w:rPr>
        <w:t>失业保险、</w:t>
      </w:r>
      <w:r>
        <w:rPr>
          <w:rFonts w:hint="default" w:ascii="Arial" w:hAnsi="Arial" w:eastAsia="宋体" w:cs="Arial"/>
          <w:color w:val="auto"/>
          <w:highlight w:val="none"/>
        </w:rPr>
        <w:t>工伤</w:t>
      </w:r>
      <w:r>
        <w:rPr>
          <w:rFonts w:hint="default" w:ascii="Arial" w:hAnsi="Arial" w:eastAsia="宋体" w:cs="Arial"/>
          <w:color w:val="auto"/>
          <w:highlight w:val="none"/>
          <w:lang w:eastAsia="zh-CN"/>
        </w:rPr>
        <w:t>保险、生育保险、医疗保险），并</w:t>
      </w:r>
      <w:r>
        <w:rPr>
          <w:rFonts w:hint="default" w:ascii="Arial" w:hAnsi="Arial" w:eastAsia="宋体" w:cs="Arial"/>
          <w:color w:val="auto"/>
          <w:highlight w:val="none"/>
          <w:lang w:val="en-US" w:eastAsia="zh-CN"/>
        </w:rPr>
        <w:t>为被派遣人员投保保额不低于30万的人身意外险等其他必要保险。</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6、乙方负责</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服从甲方的工作岗位安排，委派专人负责协助甲方对被派遣劳务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的日常管理、岗位调动、劳务考核，遵守甲方制订的工作纪律规范、岗位责任制等各项规章制度，完成甲方布置的工作任务。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7、乙方负责定期对</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进行有效的劳务跟踪和劳务管理，及时了解甲方使用被派遣劳务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的情况，甲方应予以配合；乙方应协助甲方教育被派遣劳务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遵守国家法律法规，有义务协助甲方做好被派遣劳务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的思想工作。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8</w:t>
      </w:r>
      <w:r>
        <w:rPr>
          <w:rFonts w:hint="default" w:ascii="Arial" w:hAnsi="Arial" w:eastAsia="宋体" w:cs="Arial"/>
          <w:color w:val="auto"/>
          <w:highlight w:val="none"/>
        </w:rPr>
        <w:t>、</w:t>
      </w:r>
      <w:r>
        <w:rPr>
          <w:rFonts w:hint="default" w:ascii="Arial" w:hAnsi="Arial" w:eastAsia="宋体" w:cs="Arial"/>
          <w:color w:val="auto"/>
          <w:highlight w:val="none"/>
          <w:lang w:val="en-US" w:eastAsia="zh-CN"/>
        </w:rPr>
        <w:t>乙方负责处理</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val="en-US" w:eastAsia="zh-CN"/>
        </w:rPr>
        <w:t>的劳务纠纷以及劳务人员档案管理，负责处理</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因在甲方工作期满或因违反</w:t>
      </w:r>
      <w:r>
        <w:rPr>
          <w:rFonts w:hint="default" w:ascii="Arial" w:hAnsi="Arial" w:eastAsia="宋体" w:cs="Arial"/>
          <w:color w:val="auto"/>
          <w:highlight w:val="none"/>
          <w:lang w:val="en-US" w:eastAsia="zh-CN"/>
        </w:rPr>
        <w:t>甲方各项管理规章制度被终止劳务工作的事宜。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9、</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在甲方工作期间发生工伤、职业病、死亡等任何</w:t>
      </w:r>
      <w:r>
        <w:rPr>
          <w:rFonts w:hint="default" w:ascii="Arial" w:hAnsi="Arial" w:eastAsia="宋体" w:cs="Arial"/>
          <w:color w:val="auto"/>
          <w:highlight w:val="none"/>
          <w:lang w:val="en-US" w:eastAsia="zh-CN"/>
        </w:rPr>
        <w:t>伤亡</w:t>
      </w:r>
      <w:r>
        <w:rPr>
          <w:rFonts w:hint="default" w:ascii="Arial" w:hAnsi="Arial" w:eastAsia="宋体" w:cs="Arial"/>
          <w:color w:val="auto"/>
          <w:highlight w:val="none"/>
          <w:lang w:eastAsia="zh-CN"/>
        </w:rPr>
        <w:t>事故</w:t>
      </w:r>
      <w:r>
        <w:rPr>
          <w:rFonts w:hint="default" w:ascii="Arial" w:hAnsi="Arial" w:eastAsia="宋体" w:cs="Arial"/>
          <w:color w:val="auto"/>
          <w:highlight w:val="none"/>
          <w:lang w:val="en-US" w:eastAsia="zh-CN"/>
        </w:rPr>
        <w:t>及风险</w:t>
      </w:r>
      <w:r>
        <w:rPr>
          <w:rFonts w:hint="default" w:ascii="Arial" w:hAnsi="Arial" w:eastAsia="宋体" w:cs="Arial"/>
          <w:color w:val="auto"/>
          <w:highlight w:val="none"/>
          <w:lang w:eastAsia="zh-CN"/>
        </w:rPr>
        <w:t>的，</w:t>
      </w:r>
      <w:r>
        <w:rPr>
          <w:rFonts w:hint="default" w:ascii="Arial" w:hAnsi="Arial" w:eastAsia="宋体" w:cs="Arial"/>
          <w:color w:val="auto"/>
          <w:highlight w:val="none"/>
          <w:lang w:val="en-US" w:eastAsia="zh-CN"/>
        </w:rPr>
        <w:t>均由乙方承担，</w:t>
      </w:r>
      <w:r>
        <w:rPr>
          <w:rFonts w:hint="default" w:ascii="Arial" w:hAnsi="Arial" w:eastAsia="宋体" w:cs="Arial"/>
          <w:color w:val="auto"/>
          <w:highlight w:val="none"/>
          <w:lang w:eastAsia="zh-CN"/>
        </w:rPr>
        <w:t>甲方应及时通报和配合</w:t>
      </w:r>
      <w:r>
        <w:rPr>
          <w:rFonts w:hint="default" w:ascii="Arial" w:hAnsi="Arial" w:eastAsia="宋体" w:cs="Arial"/>
          <w:color w:val="auto"/>
          <w:highlight w:val="none"/>
          <w:lang w:val="en-US" w:eastAsia="zh-CN"/>
        </w:rPr>
        <w:t>乙方处理。发生的相应费用以及办理处理手续由乙方负责处理。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10</w:t>
      </w:r>
      <w:r>
        <w:rPr>
          <w:rFonts w:hint="default" w:ascii="Arial" w:hAnsi="Arial" w:eastAsia="宋体" w:cs="Arial"/>
          <w:color w:val="auto"/>
          <w:highlight w:val="none"/>
        </w:rPr>
        <w:t>、乙方</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在工作中因故意或重大过失给</w:t>
      </w:r>
      <w:r>
        <w:rPr>
          <w:rFonts w:hint="default" w:ascii="Arial" w:hAnsi="Arial" w:eastAsia="宋体" w:cs="Arial"/>
          <w:color w:val="auto"/>
          <w:highlight w:val="none"/>
        </w:rPr>
        <w:t>甲方</w:t>
      </w:r>
      <w:r>
        <w:rPr>
          <w:rFonts w:hint="default" w:ascii="Arial" w:hAnsi="Arial" w:eastAsia="宋体" w:cs="Arial"/>
          <w:color w:val="auto"/>
          <w:highlight w:val="none"/>
          <w:lang w:eastAsia="zh-CN"/>
        </w:rPr>
        <w:t>造成经济损失的，经甲乙双方认定或相关机构认定后，由责任人员负责赔偿，乙方应配合甲方进行追偿。</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11</w:t>
      </w:r>
      <w:r>
        <w:rPr>
          <w:rFonts w:hint="default" w:ascii="Arial" w:hAnsi="Arial" w:eastAsia="宋体" w:cs="Arial"/>
          <w:color w:val="auto"/>
          <w:highlight w:val="none"/>
        </w:rPr>
        <w:t>、</w:t>
      </w:r>
      <w:r>
        <w:rPr>
          <w:rFonts w:hint="default" w:ascii="Arial" w:hAnsi="Arial" w:eastAsia="宋体" w:cs="Arial"/>
          <w:color w:val="auto"/>
          <w:highlight w:val="none"/>
          <w:lang w:eastAsia="zh-CN"/>
        </w:rPr>
        <w:t>甲方如有违反本合同、拖欠应付劳务费用以及违反劳动政策法规损害被派遣劳务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的合法权益行为的，乙方可依法向甲方交涉，要求甲方继续履行义务并按实际损失的情况向甲方索偿。</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rPr>
        <w:t>七、</w:t>
      </w:r>
      <w:r>
        <w:rPr>
          <w:rFonts w:hint="default" w:ascii="Arial" w:hAnsi="Arial" w:eastAsia="宋体" w:cs="Arial"/>
          <w:color w:val="auto"/>
          <w:highlight w:val="none"/>
          <w:lang w:eastAsia="zh-CN"/>
        </w:rPr>
        <w:t>其他约定事项：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1、甲乙双方应遵守合同约定，任何一方违反合同约定，另外一方均有权解 除合同并要求赔偿因违约造成的损失，合同另有约定的除外。</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rPr>
        <w:t>2</w:t>
      </w:r>
      <w:r>
        <w:rPr>
          <w:rFonts w:hint="default" w:ascii="Arial" w:hAnsi="Arial" w:eastAsia="宋体" w:cs="Arial"/>
          <w:color w:val="auto"/>
          <w:highlight w:val="none"/>
          <w:lang w:eastAsia="zh-CN"/>
        </w:rPr>
        <w:t>、本合同履行过程中，合同有关内容如与国家新颁布的法律、法规和劳动保障政策不一致的，按新的法律法规政策执行。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3、甲方《岗位人才需求表》和劳务费用结算明细内容为本合同有效组成部分。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4</w:t>
      </w:r>
      <w:r>
        <w:rPr>
          <w:rFonts w:hint="default" w:ascii="Arial" w:hAnsi="Arial" w:eastAsia="宋体" w:cs="Arial"/>
          <w:color w:val="auto"/>
          <w:highlight w:val="none"/>
        </w:rPr>
        <w:t>、 有关违约的其他约定事项</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5、</w:t>
      </w:r>
      <w:r>
        <w:rPr>
          <w:rFonts w:hint="default" w:ascii="Arial" w:hAnsi="Arial" w:eastAsia="宋体" w:cs="Arial"/>
          <w:color w:val="auto"/>
          <w:highlight w:val="none"/>
        </w:rPr>
        <w:t>在</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期</w:t>
      </w:r>
      <w:r>
        <w:rPr>
          <w:rFonts w:hint="default" w:ascii="Arial" w:hAnsi="Arial" w:eastAsia="宋体" w:cs="Arial"/>
          <w:color w:val="auto"/>
          <w:highlight w:val="none"/>
          <w:lang w:eastAsia="zh-CN"/>
        </w:rPr>
        <w:t>限内，</w:t>
      </w:r>
      <w:r>
        <w:rPr>
          <w:rFonts w:hint="default" w:ascii="Arial" w:hAnsi="Arial" w:eastAsia="宋体" w:cs="Arial"/>
          <w:color w:val="auto"/>
          <w:highlight w:val="none"/>
        </w:rPr>
        <w:t>乙方未履行合同</w:t>
      </w:r>
      <w:r>
        <w:rPr>
          <w:rFonts w:hint="default" w:ascii="Arial" w:hAnsi="Arial" w:eastAsia="宋体" w:cs="Arial"/>
          <w:color w:val="auto"/>
          <w:highlight w:val="none"/>
          <w:lang w:eastAsia="zh-CN"/>
        </w:rPr>
        <w:t>的</w:t>
      </w:r>
      <w:r>
        <w:rPr>
          <w:rFonts w:hint="default" w:ascii="Arial" w:hAnsi="Arial" w:eastAsia="宋体" w:cs="Arial"/>
          <w:color w:val="auto"/>
          <w:highlight w:val="none"/>
        </w:rPr>
        <w:t>，甲方有权解除合同，其一切责任由乙方负责，乙方不得以任何理由向甲方提出任何索赔要求。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6、</w:t>
      </w:r>
      <w:r>
        <w:rPr>
          <w:rFonts w:hint="default" w:ascii="Arial" w:hAnsi="Arial" w:eastAsia="宋体" w:cs="Arial"/>
          <w:color w:val="auto"/>
          <w:highlight w:val="none"/>
        </w:rPr>
        <w:t>服务期内，乙方的服务达到甲方的各项要求，则可续签下一年合同。若乙方有违约行为，甲方有权单方面解除合同或不续签下一年合同。如若需续签协议甲方应于</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u w:val="single"/>
        </w:rPr>
        <w:tab/>
      </w:r>
      <w:r>
        <w:rPr>
          <w:rFonts w:hint="default" w:ascii="Arial" w:hAnsi="Arial" w:eastAsia="宋体" w:cs="Arial"/>
          <w:color w:val="auto"/>
          <w:highlight w:val="none"/>
        </w:rPr>
        <w:t>日内通知乙方。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7</w:t>
      </w:r>
      <w:r>
        <w:rPr>
          <w:rFonts w:hint="default" w:ascii="Arial" w:hAnsi="Arial" w:eastAsia="宋体" w:cs="Arial"/>
          <w:color w:val="auto"/>
          <w:highlight w:val="none"/>
        </w:rPr>
        <w:t>、</w:t>
      </w:r>
      <w:r>
        <w:rPr>
          <w:rFonts w:hint="default" w:ascii="Arial" w:hAnsi="Arial" w:eastAsia="宋体" w:cs="Arial"/>
          <w:color w:val="auto"/>
          <w:highlight w:val="none"/>
          <w:lang w:eastAsia="zh-CN"/>
        </w:rPr>
        <w:t>本合同遇到</w:t>
      </w:r>
      <w:r>
        <w:rPr>
          <w:rFonts w:hint="default" w:ascii="Arial" w:hAnsi="Arial" w:eastAsia="宋体" w:cs="Arial"/>
          <w:color w:val="auto"/>
          <w:highlight w:val="none"/>
        </w:rPr>
        <w:t>不可抗力</w:t>
      </w:r>
      <w:r>
        <w:rPr>
          <w:rFonts w:hint="default" w:ascii="Arial" w:hAnsi="Arial" w:eastAsia="宋体" w:cs="Arial"/>
          <w:color w:val="auto"/>
          <w:highlight w:val="none"/>
          <w:lang w:eastAsia="zh-CN"/>
        </w:rPr>
        <w:t>或政府政策变化等</w:t>
      </w:r>
      <w:r>
        <w:rPr>
          <w:rFonts w:hint="default" w:ascii="Arial" w:hAnsi="Arial" w:eastAsia="宋体" w:cs="Arial"/>
          <w:color w:val="auto"/>
          <w:highlight w:val="none"/>
        </w:rPr>
        <w:t>原因不能履行合同时，应及时向对方通报不能履行或不能完全履行的理由，在取得有关权威部门的证明以后，允许延期履行、部分履行或者不履行合同，并根据情况可部分或全部免予承担违约责任。</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八</w:t>
      </w:r>
      <w:r>
        <w:rPr>
          <w:rFonts w:hint="default" w:ascii="Arial" w:hAnsi="Arial" w:eastAsia="宋体" w:cs="Arial"/>
          <w:color w:val="auto"/>
          <w:highlight w:val="none"/>
        </w:rPr>
        <w:t>、本合同的其他组成文件：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1、采购文件（含补充、修改文件）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2、乙方的投标文件（含澄清、补充文件）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u w:val="single"/>
        </w:rPr>
      </w:pPr>
      <w:r>
        <w:rPr>
          <w:rFonts w:hint="default" w:ascii="Arial" w:hAnsi="Arial" w:eastAsia="宋体" w:cs="Arial"/>
          <w:color w:val="auto"/>
          <w:highlight w:val="none"/>
        </w:rPr>
        <w:t>3、</w:t>
      </w:r>
      <w:r>
        <w:rPr>
          <w:rFonts w:hint="default" w:ascii="Arial" w:hAnsi="Arial" w:eastAsia="宋体" w:cs="Arial"/>
          <w:color w:val="auto"/>
          <w:highlight w:val="none"/>
          <w:u w:val="single"/>
        </w:rPr>
        <w:tab/>
      </w:r>
      <w:r>
        <w:rPr>
          <w:rFonts w:hint="default" w:ascii="Arial" w:hAnsi="Arial" w:eastAsia="宋体" w:cs="Arial"/>
          <w:color w:val="auto"/>
          <w:highlight w:val="none"/>
          <w:u w:val="single"/>
        </w:rPr>
        <w:t xml:space="preserve">                      </w:t>
      </w:r>
      <w:r>
        <w:rPr>
          <w:rFonts w:hint="default" w:ascii="Arial" w:hAnsi="Arial" w:eastAsia="宋体" w:cs="Arial"/>
          <w:color w:val="auto"/>
          <w:highlight w:val="none"/>
          <w:u w:val="single"/>
        </w:rPr>
        <w:tab/>
      </w:r>
      <w:r>
        <w:rPr>
          <w:rFonts w:hint="default" w:ascii="Arial" w:hAnsi="Arial" w:eastAsia="宋体" w:cs="Arial"/>
          <w:color w:val="auto"/>
          <w:highlight w:val="none"/>
          <w:u w:val="singl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九</w:t>
      </w:r>
      <w:r>
        <w:rPr>
          <w:rFonts w:hint="default" w:ascii="Arial" w:hAnsi="Arial" w:eastAsia="宋体" w:cs="Arial"/>
          <w:color w:val="auto"/>
          <w:highlight w:val="none"/>
        </w:rPr>
        <w:t>、合同补充和修改：对合同条款作任何改动或偏离，增加补充条款，均须 由甲、乙双方签订书面的补充合同。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十、合同纠纷</w:t>
      </w:r>
      <w:r>
        <w:rPr>
          <w:rFonts w:hint="default" w:ascii="Arial" w:hAnsi="Arial" w:eastAsia="宋体" w:cs="Arial"/>
          <w:color w:val="auto"/>
          <w:highlight w:val="none"/>
          <w:lang w:eastAsia="zh-CN"/>
        </w:rPr>
        <w:t>处理</w:t>
      </w:r>
      <w:r>
        <w:rPr>
          <w:rFonts w:hint="default" w:ascii="Arial" w:hAnsi="Arial" w:eastAsia="宋体" w:cs="Arial"/>
          <w:color w:val="auto"/>
          <w:highlight w:val="none"/>
        </w:rPr>
        <w:t>：</w:t>
      </w:r>
      <w:r>
        <w:rPr>
          <w:rFonts w:hint="default" w:ascii="Arial" w:hAnsi="Arial" w:eastAsia="宋体" w:cs="Arial"/>
          <w:color w:val="auto"/>
          <w:highlight w:val="none"/>
          <w:lang w:eastAsia="zh-CN"/>
        </w:rPr>
        <w:t>因履行本合同发生争议的</w:t>
      </w:r>
      <w:r>
        <w:rPr>
          <w:rFonts w:hint="default" w:ascii="Arial" w:hAnsi="Arial" w:eastAsia="宋体" w:cs="Arial"/>
          <w:color w:val="auto"/>
          <w:highlight w:val="none"/>
        </w:rPr>
        <w:t>，</w:t>
      </w:r>
      <w:r>
        <w:rPr>
          <w:rFonts w:hint="default" w:ascii="Arial" w:hAnsi="Arial" w:eastAsia="宋体" w:cs="Arial"/>
          <w:color w:val="auto"/>
          <w:highlight w:val="none"/>
          <w:lang w:eastAsia="zh-CN"/>
        </w:rPr>
        <w:t>由</w:t>
      </w:r>
      <w:r>
        <w:rPr>
          <w:rFonts w:hint="default" w:ascii="Arial" w:hAnsi="Arial" w:eastAsia="宋体" w:cs="Arial"/>
          <w:color w:val="auto"/>
          <w:highlight w:val="none"/>
        </w:rPr>
        <w:t>甲、乙双方协商解决；协商不成</w:t>
      </w:r>
      <w:r>
        <w:rPr>
          <w:rFonts w:hint="default" w:ascii="Arial" w:hAnsi="Arial" w:eastAsia="宋体" w:cs="Arial"/>
          <w:color w:val="auto"/>
          <w:highlight w:val="none"/>
          <w:lang w:eastAsia="zh-CN"/>
        </w:rPr>
        <w:t>的</w:t>
      </w:r>
      <w:r>
        <w:rPr>
          <w:rFonts w:hint="default" w:ascii="Arial" w:hAnsi="Arial" w:eastAsia="宋体" w:cs="Arial"/>
          <w:color w:val="auto"/>
          <w:highlight w:val="none"/>
        </w:rPr>
        <w:t>，可提请相关部门调解；调解不能解决的，</w:t>
      </w:r>
      <w:r>
        <w:rPr>
          <w:rFonts w:hint="default" w:ascii="Arial" w:hAnsi="Arial" w:eastAsia="宋体" w:cs="Arial"/>
          <w:color w:val="auto"/>
          <w:highlight w:val="none"/>
          <w:lang w:eastAsia="zh-CN"/>
        </w:rPr>
        <w:t>双</w:t>
      </w:r>
      <w:r>
        <w:rPr>
          <w:rFonts w:hint="default" w:ascii="Arial" w:hAnsi="Arial" w:eastAsia="宋体" w:cs="Arial"/>
          <w:color w:val="auto"/>
          <w:highlight w:val="none"/>
        </w:rPr>
        <w:t>方</w:t>
      </w:r>
      <w:r>
        <w:rPr>
          <w:rFonts w:hint="default" w:ascii="Arial" w:hAnsi="Arial" w:eastAsia="宋体" w:cs="Arial"/>
          <w:color w:val="auto"/>
          <w:highlight w:val="none"/>
          <w:lang w:eastAsia="zh-CN"/>
        </w:rPr>
        <w:t>均</w:t>
      </w:r>
      <w:r>
        <w:rPr>
          <w:rFonts w:hint="default" w:ascii="Arial" w:hAnsi="Arial" w:eastAsia="宋体" w:cs="Arial"/>
          <w:color w:val="auto"/>
          <w:highlight w:val="none"/>
        </w:rPr>
        <w:t>有权</w:t>
      </w:r>
      <w:r>
        <w:rPr>
          <w:rFonts w:hint="default" w:ascii="Arial" w:hAnsi="Arial" w:eastAsia="宋体" w:cs="Arial"/>
          <w:color w:val="auto"/>
          <w:highlight w:val="none"/>
          <w:lang w:eastAsia="zh-CN"/>
        </w:rPr>
        <w:t>向有管辖权的人民法院提起诉讼</w:t>
      </w:r>
      <w:r>
        <w:rPr>
          <w:rFonts w:hint="default" w:ascii="Arial" w:hAnsi="Arial" w:eastAsia="宋体" w:cs="Arial"/>
          <w:color w:val="auto"/>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十</w:t>
      </w:r>
      <w:r>
        <w:rPr>
          <w:rFonts w:hint="default" w:ascii="Arial" w:hAnsi="Arial" w:eastAsia="宋体" w:cs="Arial"/>
          <w:color w:val="auto"/>
          <w:highlight w:val="none"/>
          <w:lang w:eastAsia="zh-CN"/>
        </w:rPr>
        <w:t>一</w:t>
      </w:r>
      <w:r>
        <w:rPr>
          <w:rFonts w:hint="default" w:ascii="Arial" w:hAnsi="Arial" w:eastAsia="宋体" w:cs="Arial"/>
          <w:color w:val="auto"/>
          <w:highlight w:val="none"/>
        </w:rPr>
        <w:t>、未尽事宜：合同如有未尽事宜，须经甲、乙双方共同协商，作出补充约定；补充约定与本合同具有同等效力。</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十</w:t>
      </w:r>
      <w:r>
        <w:rPr>
          <w:rFonts w:hint="default" w:ascii="Arial" w:hAnsi="Arial" w:eastAsia="宋体" w:cs="Arial"/>
          <w:color w:val="auto"/>
          <w:highlight w:val="none"/>
          <w:lang w:eastAsia="zh-CN"/>
        </w:rPr>
        <w:t>二</w:t>
      </w:r>
      <w:r>
        <w:rPr>
          <w:rFonts w:hint="default" w:ascii="Arial" w:hAnsi="Arial" w:eastAsia="宋体" w:cs="Arial"/>
          <w:color w:val="auto"/>
          <w:highlight w:val="none"/>
        </w:rPr>
        <w:t xml:space="preserve">、合同份数及生效：本合同一式陆份，甲方、乙方各贰份，市财政局、瑞安市公共资源交易中心各执一份，同等生效。本合同经甲、乙双方盖章后生效。 </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甲</w:t>
      </w:r>
      <w:r>
        <w:rPr>
          <w:rFonts w:hint="default" w:ascii="Arial" w:hAnsi="Arial" w:eastAsia="宋体" w:cs="Arial"/>
          <w:color w:val="auto"/>
          <w:szCs w:val="21"/>
          <w:highlight w:val="none"/>
        </w:rPr>
        <w:t xml:space="preserve">方（盖章）：                         </w:t>
      </w:r>
      <w:r>
        <w:rPr>
          <w:rFonts w:hint="default" w:ascii="Arial" w:hAnsi="Arial" w:eastAsia="宋体" w:cs="Arial"/>
          <w:color w:val="auto"/>
          <w:szCs w:val="21"/>
          <w:highlight w:val="none"/>
          <w:lang w:eastAsia="zh-CN"/>
        </w:rPr>
        <w:t>乙</w:t>
      </w:r>
      <w:r>
        <w:rPr>
          <w:rFonts w:hint="default" w:ascii="Arial" w:hAnsi="Arial" w:eastAsia="宋体" w:cs="Arial"/>
          <w:color w:val="auto"/>
          <w:szCs w:val="21"/>
          <w:highlight w:val="none"/>
        </w:rPr>
        <w:t>方（盖章）：</w:t>
      </w:r>
    </w:p>
    <w:p>
      <w:pPr>
        <w:spacing w:line="360" w:lineRule="auto"/>
        <w:ind w:firstLine="707" w:firstLineChars="337"/>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lang w:eastAsia="zh-CN"/>
        </w:rPr>
        <w:t>法定代表人或</w:t>
      </w:r>
      <w:r>
        <w:rPr>
          <w:rFonts w:hint="default" w:ascii="Arial" w:hAnsi="Arial" w:eastAsia="宋体" w:cs="Arial"/>
          <w:color w:val="auto"/>
          <w:szCs w:val="21"/>
          <w:highlight w:val="none"/>
        </w:rPr>
        <w:t>授权代表</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 xml:space="preserve">         </w:t>
      </w:r>
      <w:r>
        <w:rPr>
          <w:rFonts w:hint="default" w:ascii="Arial" w:hAnsi="Arial" w:eastAsia="宋体" w:cs="Arial"/>
          <w:color w:val="auto"/>
          <w:szCs w:val="21"/>
          <w:highlight w:val="none"/>
          <w:lang w:eastAsia="zh-CN"/>
        </w:rPr>
        <w:t>法定代表人或</w:t>
      </w:r>
      <w:r>
        <w:rPr>
          <w:rFonts w:hint="default" w:ascii="Arial" w:hAnsi="Arial" w:eastAsia="宋体" w:cs="Arial"/>
          <w:color w:val="auto"/>
          <w:szCs w:val="21"/>
          <w:highlight w:val="none"/>
        </w:rPr>
        <w:t>授权代表</w:t>
      </w:r>
      <w:r>
        <w:rPr>
          <w:rFonts w:hint="default" w:ascii="Arial" w:hAnsi="Arial" w:eastAsia="宋体" w:cs="Arial"/>
          <w:color w:val="auto"/>
          <w:szCs w:val="21"/>
          <w:highlight w:val="none"/>
          <w:lang w:eastAsia="zh-CN"/>
        </w:rPr>
        <w:t>：</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地址：                         地址：</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邮政编码：                     邮政编码：</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电话：                         电话：</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传真：                         传真：</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开户银行：                     开户银行：</w:t>
      </w:r>
    </w:p>
    <w:p>
      <w:pPr>
        <w:snapToGrid w:val="0"/>
        <w:spacing w:before="156" w:beforeLines="50" w:after="156" w:afterLines="50" w:line="360" w:lineRule="auto"/>
        <w:ind w:firstLine="735" w:firstLineChars="350"/>
        <w:rPr>
          <w:rFonts w:hint="default" w:ascii="Arial" w:hAnsi="Arial" w:eastAsia="宋体" w:cs="Arial"/>
          <w:b/>
          <w:color w:val="auto"/>
          <w:sz w:val="24"/>
          <w:highlight w:val="none"/>
        </w:rPr>
      </w:pPr>
      <w:r>
        <w:rPr>
          <w:rFonts w:hint="default" w:ascii="Arial" w:hAnsi="Arial" w:eastAsia="宋体" w:cs="Arial"/>
          <w:color w:val="auto"/>
          <w:szCs w:val="21"/>
          <w:highlight w:val="none"/>
        </w:rPr>
        <w:t>账号：                         账号：</w:t>
      </w:r>
    </w:p>
    <w:p>
      <w:pPr>
        <w:snapToGrid w:val="0"/>
        <w:spacing w:before="156" w:beforeLines="50" w:after="156" w:afterLines="50" w:line="360" w:lineRule="auto"/>
        <w:ind w:firstLine="843" w:firstLineChars="350"/>
        <w:rPr>
          <w:rFonts w:hint="default" w:ascii="Arial" w:hAnsi="Arial" w:eastAsia="宋体" w:cs="Arial"/>
          <w:b/>
          <w:color w:val="auto"/>
          <w:sz w:val="24"/>
          <w:highlight w:val="none"/>
        </w:rPr>
      </w:pPr>
    </w:p>
    <w:p>
      <w:pPr>
        <w:snapToGrid w:val="0"/>
        <w:spacing w:before="156" w:beforeLines="50" w:line="360" w:lineRule="exact"/>
        <w:rPr>
          <w:rFonts w:hint="default" w:ascii="Arial" w:hAnsi="Arial" w:eastAsia="宋体" w:cs="Arial"/>
          <w:b/>
          <w:color w:val="auto"/>
          <w:szCs w:val="21"/>
          <w:highlight w:val="none"/>
        </w:rPr>
      </w:pPr>
      <w:r>
        <w:rPr>
          <w:rFonts w:hint="default" w:ascii="Arial" w:hAnsi="Arial" w:eastAsia="宋体" w:cs="Arial"/>
          <w:b/>
          <w:bCs/>
          <w:color w:val="auto"/>
          <w:highlight w:val="none"/>
        </w:rPr>
        <w:t>注：上述条款仅供参考，具体以中标供应商与招标人所签定正式合同为准。</w:t>
      </w:r>
    </w:p>
    <w:p>
      <w:pPr>
        <w:pStyle w:val="2"/>
        <w:keepNext w:val="0"/>
        <w:keepLines w:val="0"/>
        <w:pageBreakBefore/>
        <w:tabs>
          <w:tab w:val="left" w:pos="840"/>
        </w:tabs>
        <w:spacing w:before="312" w:beforeLines="100" w:after="312" w:afterLines="100" w:line="400" w:lineRule="atLeast"/>
        <w:jc w:val="center"/>
        <w:rPr>
          <w:rFonts w:hint="default" w:ascii="Arial" w:hAnsi="Arial" w:eastAsia="宋体" w:cs="Arial"/>
          <w:color w:val="auto"/>
          <w:sz w:val="28"/>
          <w:szCs w:val="36"/>
          <w:highlight w:val="none"/>
        </w:rPr>
      </w:pPr>
      <w:bookmarkStart w:id="64" w:name="_Toc454832216"/>
      <w:bookmarkStart w:id="65" w:name="_Toc40429188"/>
      <w:bookmarkStart w:id="66" w:name="_Toc474156093"/>
      <w:r>
        <w:rPr>
          <w:rFonts w:hint="default" w:ascii="Arial" w:hAnsi="Arial" w:eastAsia="宋体" w:cs="Arial"/>
          <w:color w:val="auto"/>
          <w:sz w:val="28"/>
          <w:szCs w:val="36"/>
          <w:highlight w:val="none"/>
        </w:rPr>
        <w:t>第五部分  投标文件格式</w:t>
      </w:r>
      <w:bookmarkEnd w:id="64"/>
      <w:bookmarkEnd w:id="65"/>
      <w:bookmarkEnd w:id="66"/>
    </w:p>
    <w:p>
      <w:pPr>
        <w:snapToGrid w:val="0"/>
        <w:spacing w:line="400" w:lineRule="atLeast"/>
        <w:jc w:val="center"/>
        <w:rPr>
          <w:rFonts w:hint="default" w:ascii="Arial" w:hAnsi="Arial" w:eastAsia="宋体" w:cs="Arial"/>
          <w:b/>
          <w:bCs/>
          <w:color w:val="auto"/>
          <w:sz w:val="28"/>
          <w:highlight w:val="none"/>
        </w:rPr>
      </w:pPr>
      <w:r>
        <w:rPr>
          <w:rFonts w:hint="default" w:ascii="Arial" w:hAnsi="Arial" w:eastAsia="宋体" w:cs="Arial"/>
          <w:b/>
          <w:bCs/>
          <w:color w:val="auto"/>
          <w:sz w:val="28"/>
          <w:highlight w:val="none"/>
        </w:rPr>
        <w:t>投标供应商提交投标文件须知</w:t>
      </w:r>
    </w:p>
    <w:p>
      <w:pPr>
        <w:snapToGrid w:val="0"/>
        <w:spacing w:line="400" w:lineRule="atLeast"/>
        <w:jc w:val="center"/>
        <w:rPr>
          <w:rFonts w:hint="default" w:ascii="Arial" w:hAnsi="Arial" w:eastAsia="宋体" w:cs="Arial"/>
          <w:color w:val="auto"/>
          <w:sz w:val="28"/>
          <w:szCs w:val="21"/>
          <w:highlight w:val="none"/>
        </w:rPr>
      </w:pP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投标供应商应严格按照投标文件的组成提交下述规定的全部格式文件以及其他有关资料，混乱的编排导致投标文件被误读或招标人查找不到有效文件是投标供应商的风险。</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所附表格中要求回答的全部问题和/或信息都必须正面回答。</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本资格声明的签字人应保证全部声明和问题的回答是真实的和准确的。</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招标人将应用投标供应商提交的资料根据自己的判断和考虑决定投标供应商履行合同的合格性及能力。</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全部文件应按投标供应商须知中规定的语言和份数提交。</w:t>
      </w:r>
    </w:p>
    <w:p>
      <w:pPr>
        <w:snapToGrid w:val="0"/>
        <w:spacing w:line="400" w:lineRule="atLeast"/>
        <w:ind w:left="426"/>
        <w:rPr>
          <w:rFonts w:hint="default" w:ascii="Arial" w:hAnsi="Arial" w:eastAsia="宋体" w:cs="Arial"/>
          <w:color w:val="auto"/>
          <w:highlight w:val="none"/>
        </w:rPr>
      </w:pPr>
    </w:p>
    <w:p>
      <w:pPr>
        <w:snapToGrid w:val="0"/>
        <w:spacing w:line="400" w:lineRule="atLeast"/>
        <w:ind w:firstLine="420" w:firstLineChars="200"/>
        <w:rPr>
          <w:rFonts w:hint="default" w:ascii="Arial" w:hAnsi="Arial" w:eastAsia="宋体" w:cs="Arial"/>
          <w:color w:val="auto"/>
          <w:highlight w:val="none"/>
        </w:rPr>
      </w:pPr>
    </w:p>
    <w:p>
      <w:pPr>
        <w:spacing w:line="400" w:lineRule="atLeast"/>
        <w:rPr>
          <w:rFonts w:hint="default" w:ascii="Arial" w:hAnsi="Arial" w:eastAsia="宋体" w:cs="Arial"/>
          <w:b/>
          <w:color w:val="auto"/>
          <w:sz w:val="28"/>
          <w:szCs w:val="36"/>
          <w:highlight w:val="none"/>
        </w:rPr>
      </w:pPr>
      <w:bookmarkStart w:id="67" w:name="_Toc1432"/>
      <w:bookmarkStart w:id="68" w:name="_Toc15858"/>
      <w:bookmarkStart w:id="69" w:name="_Toc4311"/>
      <w:bookmarkStart w:id="70" w:name="_Toc419811115"/>
      <w:bookmarkStart w:id="71" w:name="_Toc376414485"/>
      <w:bookmarkStart w:id="72" w:name="_Toc29673"/>
      <w:bookmarkStart w:id="73" w:name="_Toc26806"/>
      <w:bookmarkStart w:id="74" w:name="_Toc3603"/>
      <w:bookmarkStart w:id="75" w:name="_Toc7860"/>
      <w:bookmarkStart w:id="76" w:name="_Toc31870"/>
      <w:bookmarkStart w:id="77" w:name="_Toc25605"/>
      <w:bookmarkStart w:id="78" w:name="_Toc376436266"/>
      <w:bookmarkStart w:id="79" w:name="_Toc7092"/>
      <w:bookmarkStart w:id="80" w:name="_Toc454832231"/>
      <w:bookmarkStart w:id="81" w:name="_Toc474156108"/>
    </w:p>
    <w:p>
      <w:pPr>
        <w:rPr>
          <w:rFonts w:hint="default" w:ascii="Arial" w:hAnsi="Arial" w:eastAsia="宋体" w:cs="Arial"/>
          <w:color w:val="auto"/>
          <w:highlight w:val="none"/>
        </w:rPr>
      </w:pPr>
      <w:r>
        <w:rPr>
          <w:rFonts w:hint="default" w:ascii="Arial" w:hAnsi="Arial" w:eastAsia="宋体" w:cs="Arial"/>
          <w:b/>
          <w:bCs/>
          <w:color w:val="auto"/>
          <w:sz w:val="32"/>
          <w:szCs w:val="32"/>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82" w:name="_Toc40429189"/>
      <w:bookmarkStart w:id="83" w:name="_Toc36564042"/>
      <w:bookmarkStart w:id="84" w:name="_Toc13450"/>
      <w:r>
        <w:rPr>
          <w:rFonts w:hint="default" w:ascii="Arial" w:hAnsi="Arial" w:eastAsia="宋体" w:cs="Arial"/>
          <w:b w:val="0"/>
          <w:color w:val="auto"/>
          <w:sz w:val="28"/>
          <w:szCs w:val="36"/>
          <w:highlight w:val="none"/>
        </w:rPr>
        <w:t xml:space="preserve">附件一 </w:t>
      </w:r>
      <w:r>
        <w:rPr>
          <w:rFonts w:hint="default" w:ascii="Arial" w:hAnsi="Arial" w:eastAsia="宋体" w:cs="Arial"/>
          <w:color w:val="auto"/>
          <w:sz w:val="28"/>
          <w:szCs w:val="36"/>
          <w:highlight w:val="none"/>
        </w:rPr>
        <w:t>资格文件</w:t>
      </w:r>
      <w:r>
        <w:rPr>
          <w:rFonts w:hint="default" w:ascii="Arial" w:hAnsi="Arial" w:eastAsia="宋体" w:cs="Arial"/>
          <w:b w:val="0"/>
          <w:color w:val="auto"/>
          <w:sz w:val="28"/>
          <w:szCs w:val="36"/>
          <w:highlight w:val="none"/>
        </w:rPr>
        <w:t xml:space="preserve"> </w:t>
      </w:r>
    </w:p>
    <w:bookmarkEnd w:id="82"/>
    <w:bookmarkEnd w:id="83"/>
    <w:bookmarkEnd w:id="84"/>
    <w:p>
      <w:pPr>
        <w:numPr>
          <w:ilvl w:val="0"/>
          <w:numId w:val="28"/>
        </w:numPr>
        <w:spacing w:line="360" w:lineRule="auto"/>
        <w:rPr>
          <w:rFonts w:hint="default" w:ascii="Arial" w:hAnsi="Arial" w:eastAsia="宋体" w:cs="Arial"/>
          <w:b/>
          <w:bCs/>
          <w:color w:val="auto"/>
          <w:highlight w:val="none"/>
        </w:rPr>
      </w:pPr>
      <w:r>
        <w:rPr>
          <w:rFonts w:hint="default" w:ascii="Arial" w:hAnsi="Arial" w:eastAsia="宋体" w:cs="Arial"/>
          <w:b/>
          <w:bCs/>
          <w:color w:val="auto"/>
          <w:highlight w:val="none"/>
        </w:rPr>
        <w:t xml:space="preserve">     关于《中华人民共和国政府采购法》第二十二条规定的承诺函</w:t>
      </w:r>
    </w:p>
    <w:p>
      <w:pPr>
        <w:rPr>
          <w:rFonts w:hint="default" w:ascii="Arial" w:hAnsi="Arial" w:eastAsia="宋体" w:cs="Arial"/>
          <w:color w:val="auto"/>
          <w:highlight w:val="none"/>
        </w:rPr>
      </w:pPr>
    </w:p>
    <w:p>
      <w:pPr>
        <w:spacing w:line="276" w:lineRule="auto"/>
        <w:rPr>
          <w:rFonts w:hint="default" w:ascii="Arial" w:hAnsi="Arial" w:eastAsia="宋体" w:cs="Arial"/>
          <w:bCs/>
          <w:color w:val="auto"/>
          <w:highlight w:val="none"/>
        </w:rPr>
      </w:pPr>
      <w:r>
        <w:rPr>
          <w:rFonts w:hint="default" w:ascii="Arial" w:hAnsi="Arial" w:eastAsia="宋体" w:cs="Arial"/>
          <w:color w:val="auto"/>
          <w:szCs w:val="21"/>
          <w:highlight w:val="none"/>
          <w:lang w:eastAsia="zh-CN"/>
        </w:rPr>
        <w:t>瑞安市公安局</w:t>
      </w:r>
      <w:r>
        <w:rPr>
          <w:rFonts w:hint="default" w:ascii="Arial" w:hAnsi="Arial" w:eastAsia="宋体" w:cs="Arial"/>
          <w:bCs/>
          <w:color w:val="auto"/>
          <w:highlight w:val="none"/>
        </w:rPr>
        <w:t>：</w:t>
      </w:r>
    </w:p>
    <w:p>
      <w:pPr>
        <w:rPr>
          <w:rFonts w:hint="default" w:ascii="Arial" w:hAnsi="Arial" w:eastAsia="宋体" w:cs="Arial"/>
          <w:color w:val="auto"/>
          <w:highlight w:val="none"/>
        </w:rPr>
      </w:pPr>
    </w:p>
    <w:p>
      <w:pPr>
        <w:spacing w:line="5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我单位就</w:t>
      </w:r>
      <w:r>
        <w:rPr>
          <w:rFonts w:hint="default" w:ascii="Arial" w:hAnsi="Arial" w:eastAsia="宋体" w:cs="Arial"/>
          <w:color w:val="auto"/>
          <w:szCs w:val="21"/>
          <w:highlight w:val="none"/>
          <w:u w:val="single"/>
          <w:lang w:eastAsia="zh-CN"/>
        </w:rPr>
        <w:t>瑞安市公安局**辅助人员劳务服务</w:t>
      </w:r>
      <w:r>
        <w:rPr>
          <w:rFonts w:hint="default" w:ascii="Arial" w:hAnsi="Arial" w:eastAsia="宋体" w:cs="Arial"/>
          <w:color w:val="auto"/>
          <w:szCs w:val="21"/>
          <w:highlight w:val="none"/>
        </w:rPr>
        <w:t>项目承诺具备下列条件：</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1.具有独立承担民事责任的能力；</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2.具有良好的商业信誉和健全的财务会计制度；</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 xml:space="preserve">3.具有履行合同所必需的设备和专业技术能力； </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 xml:space="preserve">4.有依法缴纳税收和社会保障资金的良好记录； </w:t>
      </w:r>
    </w:p>
    <w:p>
      <w:pPr>
        <w:snapToGrid w:val="0"/>
        <w:spacing w:line="46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5. 参加政府采购活动前三年内，在经营活动中没有重大违法记录（包括行贿犯罪记录）。</w:t>
      </w:r>
    </w:p>
    <w:p>
      <w:pPr>
        <w:snapToGrid w:val="0"/>
        <w:spacing w:line="46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6.</w:t>
      </w:r>
      <w:r>
        <w:rPr>
          <w:rFonts w:hint="default" w:ascii="Arial" w:hAnsi="Arial" w:eastAsia="宋体" w:cs="Arial"/>
          <w:bCs/>
          <w:color w:val="auto"/>
          <w:szCs w:val="24"/>
          <w:highlight w:val="none"/>
        </w:rPr>
        <w:t>未被信用中国网站（www.creditchina.gov.cn）列入失信被执行人、重大税收违法件当事人名单，未被中国政府采购网（www.ccgp.gov.cn）列入政府采购严重违法失信行为记录名单：</w:t>
      </w:r>
      <w:r>
        <w:rPr>
          <w:rFonts w:hint="default" w:ascii="Arial" w:hAnsi="Arial" w:eastAsia="宋体" w:cs="Arial"/>
          <w:bCs/>
          <w:color w:val="auto"/>
          <w:kern w:val="0"/>
          <w:szCs w:val="24"/>
          <w:highlight w:val="none"/>
        </w:rPr>
        <w:t>以采购代理机构在开标当日查询记录为准。</w:t>
      </w:r>
    </w:p>
    <w:p>
      <w:pPr>
        <w:snapToGrid w:val="0"/>
        <w:spacing w:line="460" w:lineRule="exact"/>
        <w:ind w:firstLine="422" w:firstLineChars="200"/>
        <w:rPr>
          <w:rFonts w:hint="default" w:ascii="Arial" w:hAnsi="Arial" w:eastAsia="宋体" w:cs="Arial"/>
          <w:b/>
          <w:color w:val="auto"/>
          <w:szCs w:val="21"/>
          <w:highlight w:val="none"/>
        </w:rPr>
      </w:pPr>
    </w:p>
    <w:p>
      <w:pPr>
        <w:snapToGrid w:val="0"/>
        <w:spacing w:line="460" w:lineRule="exact"/>
        <w:ind w:firstLine="422" w:firstLineChars="200"/>
        <w:rPr>
          <w:rFonts w:hint="default" w:ascii="Arial" w:hAnsi="Arial" w:eastAsia="宋体" w:cs="Arial"/>
          <w:b/>
          <w:color w:val="auto"/>
          <w:szCs w:val="21"/>
          <w:highlight w:val="none"/>
        </w:rPr>
      </w:pPr>
      <w:r>
        <w:rPr>
          <w:rFonts w:hint="default" w:ascii="Arial" w:hAnsi="Arial" w:eastAsia="宋体" w:cs="Arial"/>
          <w:b/>
          <w:color w:val="auto"/>
          <w:szCs w:val="21"/>
          <w:highlight w:val="none"/>
        </w:rPr>
        <w:t>如有虚假，招标人可取消我单位任何资格（投标/中标/签订合同），我单位对此无任何异议。</w:t>
      </w:r>
    </w:p>
    <w:p>
      <w:pPr>
        <w:snapToGrid w:val="0"/>
        <w:spacing w:line="460" w:lineRule="exact"/>
        <w:ind w:firstLine="422" w:firstLineChars="200"/>
        <w:rPr>
          <w:rFonts w:hint="default" w:ascii="Arial" w:hAnsi="Arial" w:eastAsia="宋体" w:cs="Arial"/>
          <w:b/>
          <w:color w:val="auto"/>
          <w:szCs w:val="21"/>
          <w:highlight w:val="none"/>
        </w:rPr>
      </w:pPr>
    </w:p>
    <w:p>
      <w:pPr>
        <w:snapToGrid w:val="0"/>
        <w:spacing w:line="460" w:lineRule="exact"/>
        <w:ind w:firstLine="422" w:firstLineChars="200"/>
        <w:rPr>
          <w:rFonts w:hint="default" w:ascii="Arial" w:hAnsi="Arial" w:eastAsia="宋体" w:cs="Arial"/>
          <w:b/>
          <w:color w:val="auto"/>
          <w:szCs w:val="21"/>
          <w:highlight w:val="none"/>
        </w:rPr>
      </w:pPr>
      <w:r>
        <w:rPr>
          <w:rFonts w:hint="default" w:ascii="Arial" w:hAnsi="Arial" w:eastAsia="宋体" w:cs="Arial"/>
          <w:b/>
          <w:color w:val="auto"/>
          <w:szCs w:val="21"/>
          <w:highlight w:val="none"/>
        </w:rPr>
        <w:t>特此承诺！</w:t>
      </w:r>
    </w:p>
    <w:p>
      <w:pPr>
        <w:tabs>
          <w:tab w:val="left" w:pos="9180"/>
        </w:tabs>
        <w:spacing w:line="440" w:lineRule="exact"/>
        <w:ind w:firstLine="420" w:firstLineChars="200"/>
        <w:rPr>
          <w:rFonts w:hint="default" w:ascii="Arial" w:hAnsi="Arial" w:eastAsia="宋体" w:cs="Arial"/>
          <w:snapToGrid w:val="0"/>
          <w:color w:val="auto"/>
          <w:szCs w:val="21"/>
          <w:highlight w:val="none"/>
        </w:rPr>
      </w:pPr>
    </w:p>
    <w:p>
      <w:pPr>
        <w:tabs>
          <w:tab w:val="left" w:pos="9180"/>
        </w:tabs>
        <w:spacing w:line="440" w:lineRule="exact"/>
        <w:ind w:firstLine="420" w:firstLineChars="200"/>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注：（1）参加政府采购活动的时间是指供应商参加本项目的政府采购活动时间为准（具体以投标截止时间为准）。</w:t>
      </w:r>
    </w:p>
    <w:p>
      <w:pPr>
        <w:tabs>
          <w:tab w:val="left" w:pos="9180"/>
        </w:tabs>
        <w:spacing w:line="440" w:lineRule="exact"/>
        <w:ind w:firstLine="840" w:firstLineChars="400"/>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（2）本承诺函必须提供。</w:t>
      </w:r>
    </w:p>
    <w:p>
      <w:pPr>
        <w:spacing w:line="380" w:lineRule="exact"/>
        <w:ind w:left="4620" w:leftChars="2200"/>
        <w:rPr>
          <w:rFonts w:hint="default" w:ascii="Arial" w:hAnsi="Arial" w:eastAsia="宋体" w:cs="Arial"/>
          <w:color w:val="auto"/>
          <w:szCs w:val="21"/>
          <w:highlight w:val="none"/>
        </w:rPr>
      </w:pPr>
    </w:p>
    <w:p>
      <w:pPr>
        <w:spacing w:line="380" w:lineRule="exact"/>
        <w:ind w:left="4620" w:leftChars="2200"/>
        <w:rPr>
          <w:rFonts w:hint="default" w:ascii="Arial" w:hAnsi="Arial" w:eastAsia="宋体" w:cs="Arial"/>
          <w:color w:val="auto"/>
          <w:szCs w:val="21"/>
          <w:highlight w:val="none"/>
        </w:rPr>
      </w:pPr>
    </w:p>
    <w:p>
      <w:pPr>
        <w:pStyle w:val="16"/>
        <w:rPr>
          <w:rFonts w:hint="default" w:ascii="Arial" w:hAnsi="Arial" w:eastAsia="宋体" w:cs="Arial"/>
          <w:color w:val="auto"/>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法定代表人或授权代表（签字或盖章）：</w:t>
      </w: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line="360" w:lineRule="auto"/>
        <w:rPr>
          <w:rFonts w:hint="default" w:ascii="Arial" w:hAnsi="Arial" w:eastAsia="宋体" w:cs="Arial"/>
          <w:color w:val="auto"/>
          <w:highlight w:val="none"/>
        </w:rPr>
      </w:pPr>
      <w:r>
        <w:rPr>
          <w:rFonts w:hint="default" w:ascii="Arial" w:hAnsi="Arial" w:eastAsia="宋体" w:cs="Arial"/>
          <w:b/>
          <w:color w:val="auto"/>
          <w:highlight w:val="none"/>
        </w:rPr>
        <w:br w:type="page"/>
      </w:r>
      <w:r>
        <w:rPr>
          <w:rFonts w:hint="default" w:ascii="Arial" w:hAnsi="Arial" w:eastAsia="宋体" w:cs="Arial"/>
          <w:b/>
          <w:bCs/>
          <w:color w:val="auto"/>
          <w:highlight w:val="none"/>
        </w:rPr>
        <w:t>2）参加政府采购活动前三年内，在经营活动中没有重大违法记录的证明材料</w:t>
      </w:r>
      <w:r>
        <w:rPr>
          <w:rFonts w:hint="default" w:ascii="Arial" w:hAnsi="Arial" w:eastAsia="宋体" w:cs="Arial"/>
          <w:color w:val="auto"/>
          <w:highlight w:val="none"/>
        </w:rPr>
        <w:t>；</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出具供应商近三年在经营活动中没有重大违法记录的书面声明。</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1" w:type="dxa"/>
            <w:noWrap w:val="0"/>
            <w:vAlign w:val="top"/>
          </w:tcPr>
          <w:p>
            <w:pPr>
              <w:spacing w:line="360" w:lineRule="auto"/>
              <w:rPr>
                <w:rFonts w:hint="default" w:ascii="Arial" w:hAnsi="Arial" w:eastAsia="宋体" w:cs="Arial"/>
                <w:color w:val="auto"/>
                <w:sz w:val="18"/>
                <w:szCs w:val="18"/>
                <w:highlight w:val="none"/>
              </w:rPr>
            </w:pPr>
          </w:p>
          <w:p>
            <w:pPr>
              <w:snapToGrid w:val="0"/>
              <w:spacing w:line="480" w:lineRule="auto"/>
              <w:jc w:val="center"/>
              <w:rPr>
                <w:rFonts w:hint="default" w:ascii="Arial" w:hAnsi="Arial" w:eastAsia="宋体" w:cs="Arial"/>
                <w:b/>
                <w:color w:val="auto"/>
                <w:kern w:val="44"/>
                <w:sz w:val="28"/>
                <w:szCs w:val="28"/>
                <w:highlight w:val="none"/>
              </w:rPr>
            </w:pPr>
            <w:r>
              <w:rPr>
                <w:rFonts w:hint="default" w:ascii="Arial" w:hAnsi="Arial" w:eastAsia="宋体" w:cs="Arial"/>
                <w:b/>
                <w:color w:val="auto"/>
                <w:kern w:val="44"/>
                <w:sz w:val="28"/>
                <w:szCs w:val="28"/>
                <w:highlight w:val="none"/>
              </w:rPr>
              <w:t>参加政府采购活动前3年内在经营活动中有/无重大违法记录</w:t>
            </w:r>
          </w:p>
          <w:p>
            <w:pPr>
              <w:snapToGrid w:val="0"/>
              <w:spacing w:line="480" w:lineRule="auto"/>
              <w:ind w:firstLine="2530" w:firstLineChars="900"/>
              <w:rPr>
                <w:rFonts w:hint="default" w:ascii="Arial" w:hAnsi="Arial" w:eastAsia="宋体" w:cs="Arial"/>
                <w:b/>
                <w:color w:val="auto"/>
                <w:kern w:val="44"/>
                <w:sz w:val="28"/>
                <w:szCs w:val="28"/>
                <w:highlight w:val="none"/>
              </w:rPr>
            </w:pPr>
            <w:r>
              <w:rPr>
                <w:rFonts w:hint="default" w:ascii="Arial" w:hAnsi="Arial" w:eastAsia="宋体" w:cs="Arial"/>
                <w:b/>
                <w:color w:val="auto"/>
                <w:kern w:val="44"/>
                <w:sz w:val="28"/>
                <w:szCs w:val="28"/>
                <w:highlight w:val="none"/>
              </w:rPr>
              <w:t>（包括行贿犯罪记</w:t>
            </w:r>
            <w:r>
              <w:rPr>
                <w:rFonts w:hint="default" w:ascii="Arial" w:hAnsi="Arial" w:eastAsia="宋体" w:cs="Arial"/>
                <w:b/>
                <w:bCs/>
                <w:color w:val="auto"/>
                <w:sz w:val="28"/>
                <w:szCs w:val="28"/>
                <w:highlight w:val="none"/>
              </w:rPr>
              <w:t>录）</w:t>
            </w:r>
            <w:r>
              <w:rPr>
                <w:rFonts w:hint="default" w:ascii="Arial" w:hAnsi="Arial" w:eastAsia="宋体" w:cs="Arial"/>
                <w:b/>
                <w:color w:val="auto"/>
                <w:kern w:val="44"/>
                <w:sz w:val="28"/>
                <w:szCs w:val="28"/>
                <w:highlight w:val="none"/>
              </w:rPr>
              <w:t>的书面声明</w:t>
            </w:r>
          </w:p>
          <w:tbl>
            <w:tblPr>
              <w:tblStyle w:val="3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3" w:hRule="atLeast"/>
              </w:trPr>
              <w:tc>
                <w:tcPr>
                  <w:tcW w:w="1418" w:type="dxa"/>
                  <w:noWrap w:val="0"/>
                  <w:vAlign w:val="center"/>
                </w:tcPr>
                <w:p>
                  <w:pPr>
                    <w:tabs>
                      <w:tab w:val="left" w:pos="9180"/>
                    </w:tabs>
                    <w:spacing w:line="440" w:lineRule="exact"/>
                    <w:jc w:val="center"/>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参加政府采购活动前3年内重大违法记录</w:t>
                  </w:r>
                </w:p>
              </w:tc>
              <w:tc>
                <w:tcPr>
                  <w:tcW w:w="7654" w:type="dxa"/>
                  <w:noWrap w:val="0"/>
                  <w:vAlign w:val="center"/>
                </w:tcPr>
                <w:p>
                  <w:pPr>
                    <w:pStyle w:val="2"/>
                    <w:keepNext w:val="0"/>
                    <w:keepLines w:val="0"/>
                    <w:pageBreakBefore/>
                    <w:tabs>
                      <w:tab w:val="left" w:pos="840"/>
                    </w:tabs>
                    <w:spacing w:before="312" w:beforeLines="100" w:after="312" w:afterLines="100" w:line="240" w:lineRule="auto"/>
                    <w:jc w:val="center"/>
                    <w:outlineLvl w:val="0"/>
                    <w:rPr>
                      <w:rFonts w:hint="default" w:ascii="Arial" w:hAnsi="Arial" w:eastAsia="宋体" w:cs="Arial"/>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1418" w:type="dxa"/>
                  <w:noWrap w:val="0"/>
                  <w:vAlign w:val="center"/>
                </w:tcPr>
                <w:p>
                  <w:pPr>
                    <w:tabs>
                      <w:tab w:val="left" w:pos="9180"/>
                    </w:tabs>
                    <w:spacing w:line="440" w:lineRule="exact"/>
                    <w:jc w:val="center"/>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参加政府采购活动前3年内行贿犯罪记录</w:t>
                  </w:r>
                </w:p>
              </w:tc>
              <w:tc>
                <w:tcPr>
                  <w:tcW w:w="7654" w:type="dxa"/>
                  <w:noWrap w:val="0"/>
                  <w:vAlign w:val="center"/>
                </w:tcPr>
                <w:p>
                  <w:pPr>
                    <w:pStyle w:val="16"/>
                    <w:spacing w:after="50"/>
                    <w:jc w:val="center"/>
                    <w:outlineLvl w:val="0"/>
                    <w:rPr>
                      <w:rFonts w:hint="default" w:ascii="Arial" w:hAnsi="Arial" w:eastAsia="宋体" w:cs="Arial"/>
                      <w:bCs/>
                      <w:color w:val="auto"/>
                      <w:szCs w:val="21"/>
                      <w:highlight w:val="none"/>
                    </w:rPr>
                  </w:pPr>
                </w:p>
              </w:tc>
            </w:tr>
          </w:tbl>
          <w:p>
            <w:pPr>
              <w:tabs>
                <w:tab w:val="left" w:pos="9180"/>
              </w:tabs>
              <w:spacing w:line="440" w:lineRule="exact"/>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备注：1、参加政府采购活动的时间是指供应商参加本项目的政府采购活动时间为准（具体以投标截止时间为准）。</w:t>
            </w:r>
          </w:p>
          <w:p>
            <w:pPr>
              <w:numPr>
                <w:ilvl w:val="0"/>
                <w:numId w:val="29"/>
              </w:numPr>
              <w:tabs>
                <w:tab w:val="left" w:pos="9180"/>
              </w:tabs>
              <w:spacing w:line="440" w:lineRule="exact"/>
              <w:ind w:firstLine="525"/>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本表必须提供。</w:t>
            </w:r>
          </w:p>
          <w:p>
            <w:pPr>
              <w:pStyle w:val="109"/>
              <w:ind w:firstLine="0" w:firstLineChars="0"/>
              <w:rPr>
                <w:rFonts w:hint="default" w:ascii="Arial" w:hAnsi="Arial" w:eastAsia="宋体" w:cs="Arial"/>
                <w:color w:val="auto"/>
                <w:highlight w:val="none"/>
              </w:rPr>
            </w:pPr>
          </w:p>
          <w:p>
            <w:pPr>
              <w:spacing w:line="400" w:lineRule="exact"/>
              <w:ind w:left="5263" w:leftChars="2506"/>
              <w:rPr>
                <w:rFonts w:hint="default" w:ascii="Arial" w:hAnsi="Arial" w:eastAsia="宋体" w:cs="Arial"/>
                <w:color w:val="auto"/>
                <w:sz w:val="22"/>
                <w:highlight w:val="none"/>
              </w:rPr>
            </w:pPr>
            <w:r>
              <w:rPr>
                <w:rFonts w:hint="default" w:ascii="Arial" w:hAnsi="Arial" w:eastAsia="宋体" w:cs="Arial"/>
                <w:color w:val="auto"/>
                <w:sz w:val="22"/>
                <w:highlight w:val="none"/>
              </w:rPr>
              <w:t>投标供应商全称（盖章）：</w:t>
            </w:r>
          </w:p>
          <w:p>
            <w:pPr>
              <w:spacing w:line="400" w:lineRule="exact"/>
              <w:ind w:left="5263" w:leftChars="2506"/>
              <w:rPr>
                <w:rFonts w:hint="default" w:ascii="Arial" w:hAnsi="Arial" w:eastAsia="宋体" w:cs="Arial"/>
                <w:color w:val="auto"/>
                <w:sz w:val="22"/>
                <w:highlight w:val="none"/>
              </w:rPr>
            </w:pPr>
            <w:r>
              <w:rPr>
                <w:rFonts w:hint="default" w:ascii="Arial" w:hAnsi="Arial" w:eastAsia="宋体" w:cs="Arial"/>
                <w:color w:val="auto"/>
                <w:sz w:val="22"/>
                <w:highlight w:val="none"/>
              </w:rPr>
              <w:t>法定代表人或授权代表（签字或盖章）：</w:t>
            </w:r>
          </w:p>
          <w:p>
            <w:pPr>
              <w:spacing w:line="400" w:lineRule="exact"/>
              <w:ind w:left="5263" w:leftChars="2506"/>
              <w:rPr>
                <w:rFonts w:hint="default" w:ascii="Arial" w:hAnsi="Arial" w:eastAsia="宋体" w:cs="Arial"/>
                <w:color w:val="auto"/>
                <w:sz w:val="22"/>
                <w:highlight w:val="none"/>
              </w:rPr>
            </w:pPr>
            <w:r>
              <w:rPr>
                <w:rFonts w:hint="default" w:ascii="Arial" w:hAnsi="Arial" w:eastAsia="宋体" w:cs="Arial"/>
                <w:color w:val="auto"/>
                <w:sz w:val="22"/>
                <w:highlight w:val="none"/>
              </w:rPr>
              <w:t>日 期：    年  月  日</w:t>
            </w:r>
          </w:p>
          <w:p>
            <w:pPr>
              <w:spacing w:line="480" w:lineRule="auto"/>
              <w:ind w:firstLine="4353" w:firstLineChars="2073"/>
              <w:rPr>
                <w:rFonts w:hint="default" w:ascii="Arial" w:hAnsi="Arial" w:eastAsia="宋体" w:cs="Arial"/>
                <w:color w:val="auto"/>
                <w:szCs w:val="21"/>
                <w:highlight w:val="none"/>
              </w:rPr>
            </w:pPr>
          </w:p>
          <w:p>
            <w:pPr>
              <w:spacing w:line="360" w:lineRule="auto"/>
              <w:rPr>
                <w:rFonts w:hint="default" w:ascii="Arial" w:hAnsi="Arial" w:eastAsia="宋体" w:cs="Arial"/>
                <w:color w:val="auto"/>
                <w:sz w:val="18"/>
                <w:szCs w:val="18"/>
                <w:highlight w:val="none"/>
              </w:rPr>
            </w:pPr>
          </w:p>
        </w:tc>
      </w:tr>
    </w:tbl>
    <w:p>
      <w:pPr>
        <w:pStyle w:val="16"/>
        <w:rPr>
          <w:rFonts w:hint="default" w:ascii="Arial" w:hAnsi="Arial" w:eastAsia="宋体" w:cs="Arial"/>
          <w:b/>
          <w:color w:val="auto"/>
          <w:highlight w:val="none"/>
        </w:rPr>
      </w:pP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color w:val="auto"/>
          <w:sz w:val="28"/>
          <w:szCs w:val="36"/>
          <w:highlight w:val="none"/>
        </w:rPr>
      </w:pPr>
      <w:bookmarkStart w:id="85" w:name="_Toc40429190"/>
      <w:r>
        <w:rPr>
          <w:rFonts w:hint="default" w:ascii="Arial" w:hAnsi="Arial" w:eastAsia="宋体" w:cs="Arial"/>
          <w:b w:val="0"/>
          <w:color w:val="auto"/>
          <w:sz w:val="28"/>
          <w:szCs w:val="36"/>
          <w:highlight w:val="none"/>
        </w:rPr>
        <w:t>附件二-1   法定代表人授权委托书</w:t>
      </w:r>
      <w:bookmarkEnd w:id="67"/>
      <w:bookmarkEnd w:id="68"/>
      <w:bookmarkEnd w:id="69"/>
      <w:bookmarkEnd w:id="70"/>
      <w:bookmarkEnd w:id="71"/>
      <w:bookmarkEnd w:id="72"/>
      <w:bookmarkEnd w:id="73"/>
      <w:bookmarkEnd w:id="85"/>
    </w:p>
    <w:p>
      <w:pPr>
        <w:pStyle w:val="6"/>
        <w:rPr>
          <w:rFonts w:hint="default" w:ascii="Arial" w:hAnsi="Arial" w:eastAsia="宋体" w:cs="Arial"/>
          <w:color w:val="auto"/>
          <w:highlight w:val="none"/>
        </w:rPr>
      </w:pPr>
    </w:p>
    <w:p>
      <w:pPr>
        <w:snapToGrid w:val="0"/>
        <w:spacing w:before="156" w:beforeLines="50" w:after="50" w:line="400" w:lineRule="atLeast"/>
        <w:rPr>
          <w:rFonts w:hint="default" w:ascii="Arial" w:hAnsi="Arial" w:eastAsia="宋体" w:cs="Arial"/>
          <w:color w:val="auto"/>
          <w:szCs w:val="21"/>
          <w:highlight w:val="none"/>
          <w:lang w:eastAsia="zh-CN"/>
        </w:rPr>
      </w:pPr>
      <w:bookmarkStart w:id="86" w:name="_Toc360039959"/>
      <w:bookmarkStart w:id="87" w:name="_Toc419811116"/>
      <w:bookmarkStart w:id="88" w:name="_Toc356553241"/>
      <w:bookmarkStart w:id="89" w:name="_Toc376414486"/>
      <w:r>
        <w:rPr>
          <w:rFonts w:hint="default" w:ascii="Arial" w:hAnsi="Arial" w:eastAsia="宋体" w:cs="Arial"/>
          <w:color w:val="auto"/>
          <w:szCs w:val="21"/>
          <w:highlight w:val="none"/>
          <w:lang w:eastAsia="zh-CN"/>
        </w:rPr>
        <w:t>瑞安市公安局</w:t>
      </w:r>
    </w:p>
    <w:p>
      <w:pPr>
        <w:snapToGrid w:val="0"/>
        <w:spacing w:before="156" w:beforeLines="50" w:after="50" w:line="40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浙江省建设工程设备招标有限公司：</w:t>
      </w:r>
    </w:p>
    <w:p>
      <w:pPr>
        <w:spacing w:line="360" w:lineRule="auto"/>
        <w:ind w:firstLine="612"/>
        <w:rPr>
          <w:rFonts w:hint="default" w:ascii="Arial" w:hAnsi="Arial" w:eastAsia="宋体" w:cs="Arial"/>
          <w:color w:val="auto"/>
          <w:highlight w:val="none"/>
          <w:u w:val="single"/>
        </w:rPr>
      </w:pPr>
      <w:r>
        <w:rPr>
          <w:rFonts w:hint="default" w:ascii="Arial" w:hAnsi="Arial" w:eastAsia="宋体" w:cs="Arial"/>
          <w:color w:val="auto"/>
          <w:highlight w:val="none"/>
        </w:rPr>
        <w:t>本授权委托书声明：我</w:t>
      </w:r>
      <w:r>
        <w:rPr>
          <w:rFonts w:hint="default" w:ascii="Arial" w:hAnsi="Arial" w:eastAsia="宋体" w:cs="Arial"/>
          <w:color w:val="auto"/>
          <w:highlight w:val="none"/>
          <w:u w:val="single"/>
        </w:rPr>
        <w:t>（法人代表姓名）</w:t>
      </w:r>
      <w:r>
        <w:rPr>
          <w:rFonts w:hint="default" w:ascii="Arial" w:hAnsi="Arial" w:eastAsia="宋体" w:cs="Arial"/>
          <w:color w:val="auto"/>
          <w:highlight w:val="none"/>
        </w:rPr>
        <w:t>系</w:t>
      </w:r>
      <w:r>
        <w:rPr>
          <w:rFonts w:hint="default" w:ascii="Arial" w:hAnsi="Arial" w:eastAsia="宋体" w:cs="Arial"/>
          <w:color w:val="auto"/>
          <w:highlight w:val="none"/>
          <w:u w:val="single"/>
        </w:rPr>
        <w:t xml:space="preserve">（投 标 供 应 商 名 称） </w:t>
      </w:r>
      <w:r>
        <w:rPr>
          <w:rFonts w:hint="default" w:ascii="Arial" w:hAnsi="Arial" w:eastAsia="宋体" w:cs="Arial"/>
          <w:color w:val="auto"/>
          <w:highlight w:val="none"/>
        </w:rPr>
        <w:t>的法定代表人，现授权委托本单位正式职工：</w:t>
      </w:r>
      <w:r>
        <w:rPr>
          <w:rFonts w:hint="default" w:ascii="Arial" w:hAnsi="Arial" w:eastAsia="宋体" w:cs="Arial"/>
          <w:color w:val="auto"/>
          <w:highlight w:val="none"/>
          <w:u w:val="single"/>
        </w:rPr>
        <w:t>姓名：（授权代表姓名）职务：       手机号码：          电子邮箱：</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为我公司法定代表人授权代表，参加贵处组织的</w:t>
      </w:r>
      <w:r>
        <w:rPr>
          <w:rFonts w:hint="default" w:ascii="Arial" w:hAnsi="Arial" w:eastAsia="宋体" w:cs="Arial"/>
          <w:color w:val="auto"/>
          <w:highlight w:val="none"/>
          <w:u w:val="single"/>
        </w:rPr>
        <w:t xml:space="preserve">  （项目编号）  </w:t>
      </w:r>
      <w:r>
        <w:rPr>
          <w:rFonts w:hint="default" w:ascii="Arial" w:hAnsi="Arial" w:eastAsia="宋体" w:cs="Arial"/>
          <w:color w:val="auto"/>
          <w:highlight w:val="none"/>
        </w:rPr>
        <w:t>项目投标，全权处理本次招投标活动中的一切事宜，</w:t>
      </w:r>
      <w:r>
        <w:rPr>
          <w:rFonts w:hint="default" w:ascii="Arial" w:hAnsi="Arial" w:eastAsia="宋体" w:cs="Arial"/>
          <w:color w:val="auto"/>
          <w:highlight w:val="none"/>
          <w:lang w:bidi="ar"/>
        </w:rPr>
        <w:t>我承认授权代表全权代表我所签署的本项目的投标文件的内容。</w:t>
      </w:r>
    </w:p>
    <w:p>
      <w:pPr>
        <w:snapToGrid w:val="0"/>
        <w:spacing w:before="156" w:beforeLines="50" w:after="50" w:line="400" w:lineRule="atLeast"/>
        <w:rPr>
          <w:rFonts w:hint="default" w:ascii="Arial" w:hAnsi="Arial" w:eastAsia="宋体" w:cs="Arial"/>
          <w:color w:val="auto"/>
          <w:highlight w:val="none"/>
        </w:rPr>
      </w:pPr>
      <w:r>
        <w:rPr>
          <w:rFonts w:hint="default" w:ascii="Arial" w:hAnsi="Arial" w:eastAsia="宋体" w:cs="Arial"/>
          <w:color w:val="auto"/>
          <w:highlight w:val="none"/>
        </w:rPr>
        <w:t xml:space="preserve">    我方对被授权人的签名负全部责任。</w:t>
      </w:r>
    </w:p>
    <w:p>
      <w:pPr>
        <w:snapToGrid w:val="0"/>
        <w:spacing w:before="156" w:beforeLines="50" w:after="50" w:line="400" w:lineRule="atLeast"/>
        <w:ind w:firstLine="480"/>
        <w:rPr>
          <w:rFonts w:hint="default" w:ascii="Arial" w:hAnsi="Arial" w:eastAsia="宋体" w:cs="Arial"/>
          <w:color w:val="auto"/>
          <w:highlight w:val="none"/>
        </w:rPr>
      </w:pPr>
      <w:r>
        <w:rPr>
          <w:rFonts w:hint="default" w:ascii="Arial" w:hAnsi="Arial" w:eastAsia="宋体" w:cs="Arial"/>
          <w:color w:val="auto"/>
          <w:highlight w:val="none"/>
        </w:rPr>
        <w:t>在撤销授权的书面通知以前，本授权书一直有效。被授权人在授权书有效期内签署的所有文件不因授权的撤销而失效。</w:t>
      </w:r>
    </w:p>
    <w:p>
      <w:pPr>
        <w:spacing w:line="360" w:lineRule="auto"/>
        <w:ind w:firstLine="612"/>
        <w:rPr>
          <w:rFonts w:hint="default" w:ascii="Arial" w:hAnsi="Arial" w:eastAsia="宋体" w:cs="Arial"/>
          <w:color w:val="auto"/>
          <w:highlight w:val="none"/>
        </w:rPr>
      </w:pPr>
      <w:r>
        <w:rPr>
          <w:rFonts w:hint="default" w:ascii="Arial" w:hAnsi="Arial" w:eastAsia="宋体" w:cs="Arial"/>
          <w:color w:val="auto"/>
          <w:highlight w:val="none"/>
        </w:rPr>
        <w:t>被授权人无转委托权，特此委托。</w:t>
      </w:r>
    </w:p>
    <w:p>
      <w:pPr>
        <w:spacing w:line="360" w:lineRule="auto"/>
        <w:ind w:firstLine="612"/>
        <w:rPr>
          <w:rFonts w:hint="default" w:ascii="Arial" w:hAnsi="Arial" w:eastAsia="宋体" w:cs="Arial"/>
          <w:color w:val="auto"/>
          <w:highlight w:val="none"/>
        </w:rPr>
      </w:pPr>
    </w:p>
    <w:p>
      <w:pPr>
        <w:spacing w:before="156" w:beforeLines="50" w:line="400" w:lineRule="exact"/>
        <w:ind w:firstLine="4830" w:firstLineChars="23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投标供应商（盖章）：</w:t>
      </w:r>
    </w:p>
    <w:p>
      <w:pPr>
        <w:spacing w:before="156" w:beforeLines="50" w:line="400" w:lineRule="exact"/>
        <w:ind w:firstLine="4200" w:firstLineChars="2000"/>
        <w:rPr>
          <w:rFonts w:hint="default" w:ascii="Arial" w:hAnsi="Arial" w:eastAsia="宋体" w:cs="Arial"/>
          <w:color w:val="auto"/>
          <w:szCs w:val="21"/>
          <w:highlight w:val="none"/>
        </w:rPr>
      </w:pPr>
      <w:r>
        <w:rPr>
          <w:rFonts w:hint="default" w:ascii="Arial" w:hAnsi="Arial" w:eastAsia="宋体" w:cs="Arial"/>
          <w:color w:val="auto"/>
          <w:szCs w:val="21"/>
          <w:highlight w:val="none"/>
        </w:rPr>
        <w:t>法定代表人（签字或盖章）：</w:t>
      </w:r>
    </w:p>
    <w:p>
      <w:pPr>
        <w:spacing w:before="156" w:beforeLines="50" w:line="400" w:lineRule="exact"/>
        <w:ind w:firstLine="6090" w:firstLineChars="2900"/>
        <w:rPr>
          <w:rFonts w:hint="default" w:ascii="Arial" w:hAnsi="Arial" w:eastAsia="宋体" w:cs="Arial"/>
          <w:color w:val="auto"/>
          <w:szCs w:val="21"/>
          <w:highlight w:val="none"/>
        </w:rPr>
      </w:pPr>
      <w:r>
        <w:rPr>
          <w:rFonts w:hint="default" w:ascii="Arial" w:hAnsi="Arial" w:eastAsia="宋体" w:cs="Arial"/>
          <w:color w:val="auto"/>
          <w:szCs w:val="21"/>
          <w:highlight w:val="none"/>
        </w:rPr>
        <w:t>日   期：</w:t>
      </w:r>
    </w:p>
    <w:p>
      <w:pPr>
        <w:spacing w:line="480" w:lineRule="auto"/>
        <w:ind w:firstLine="4830" w:firstLineChars="2300"/>
        <w:rPr>
          <w:rFonts w:hint="default" w:ascii="Arial" w:hAnsi="Arial" w:eastAsia="宋体" w:cs="Arial"/>
          <w:color w:val="auto"/>
          <w:szCs w:val="21"/>
          <w:highlight w:val="none"/>
        </w:rPr>
      </w:pPr>
    </w:p>
    <w:p>
      <w:pPr>
        <w:spacing w:line="480" w:lineRule="auto"/>
        <w:rPr>
          <w:rFonts w:hint="default" w:ascii="Arial" w:hAnsi="Arial" w:eastAsia="宋体" w:cs="Arial"/>
          <w:color w:val="auto"/>
          <w:highlight w:val="none"/>
        </w:rPr>
      </w:pP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1905</wp:posOffset>
                </wp:positionV>
                <wp:extent cx="3216275" cy="2211705"/>
                <wp:effectExtent l="5080" t="5080" r="17145" b="12065"/>
                <wp:wrapNone/>
                <wp:docPr id="1" name="文本框 6"/>
                <wp:cNvGraphicFramePr/>
                <a:graphic xmlns:a="http://schemas.openxmlformats.org/drawingml/2006/main">
                  <a:graphicData uri="http://schemas.microsoft.com/office/word/2010/wordprocessingShape">
                    <wps:wsp>
                      <wps:cNvSpPr txBox="1"/>
                      <wps:spPr>
                        <a:xfrm>
                          <a:off x="0" y="0"/>
                          <a:ext cx="3216275" cy="2211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Cs w:val="21"/>
                              </w:rPr>
                            </w:pPr>
                            <w:r>
                              <w:rPr>
                                <w:rFonts w:hint="eastAsia" w:ascii="新宋体" w:hAnsi="新宋体" w:eastAsia="新宋体"/>
                                <w:szCs w:val="21"/>
                              </w:rPr>
                              <w:t>授权代表身份证复印件粘贴处（正反两面）：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wrap="square" upright="1"/>
                    </wps:wsp>
                  </a:graphicData>
                </a:graphic>
              </wp:anchor>
            </w:drawing>
          </mc:Choice>
          <mc:Fallback>
            <w:pict>
              <v:shape id="文本框 6" o:spid="_x0000_s1026" o:spt="202" type="#_x0000_t202" style="position:absolute;left:0pt;margin-left:199.5pt;margin-top:0.15pt;height:174.15pt;width:253.25pt;z-index:251659264;mso-width-relative:page;mso-height-relative:page;" fillcolor="#FFFFFF" filled="t" stroked="t" coordsize="21600,21600" o:gfxdata="UEsDBAoAAAAAAIdO4kAAAAAAAAAAAAAAAAAEAAAAZHJzL1BLAwQUAAAACACHTuJANwkREdcAAAAI AQAADwAAAGRycy9kb3ducmV2LnhtbE2PwU7DMBBE70j8g7VIXBC1S9uQhDg9IIHgVgqCq5tskwh7 HWw3LX/PcoLbjmY0+6Zan5wVE4Y4eNIwnykQSI1vB+o0vL0+XOcgYjLUGusJNXxjhHV9flaZsvVH esFpmzrBJRRLo6FPaSyljE2PzsSZH5HY2/vgTGIZOtkGc+RyZ+WNUpl0ZiD+0JsR73tsPrcHpyFf Pk0f8XmxeW+yvS3S1e30+BW0vryYqzsQCU/pLwy/+IwONTPt/IHaKKyGRVHwlsQHCLYLtVqB2LFc 5hnIupL/B9Q/UEsDBBQAAAAIAIdO4kAb16Y/FAIAAEUEAAAOAAAAZHJzL2Uyb0RvYy54bWytU02u 0zAQ3iNxB8t7XtKg9kHU9ElQygYB0oMDuLaTWPIfHrdJLwA3YMWGPefqORg7pe8HFl2QhTO2P38z 883M8mY0muxlAOVsQ2dXJSXScieU7Rr6+dPm2QtKIDIrmHZWNvQggd6snj5ZDr6WleudFjIQJLFQ D76hfYy+LgrgvTQMrpyXFi9bFwyLuA1dIQIbkN3ooirLRTG4IHxwXALg6Xq6pCfGcAmha1vF5drx nZE2TqxBahYxJeiVB7rK0bat5PFD24KMRDcUM415RSdob9NarJas7gLzveKnENglITzKyTBl0emZ as0iI7ug/qIyigcHro1X3JliSiQrglnMykfa3PbMy5wLSg3+LDr8P1r+fv8xECWwEyixzGDBj9+/ HX/8Ov78ShZJnsFDjahbj7g4vnJjgp7OAQ9T1mMbTPpjPgTvUdzDWVw5RsLx8Hk1W1TXc0o43lXV bHZdzhNPcffcB4hvpTMkGQ0NWL0sKtu/gzhB/0CSN3BaiY3SOm9Ct32tA9kzrPQmfyf2BzBtydDQ l/MqBcKwfVtsGzSNRwnAdtnfgxdwn7jM37+IU2BrBv0UQGZIMFYbFWXIVi+ZeGMFiQePMlucLpqC MVJQoiUOY7IyMjKlL0GidtqihKlGUy2SFcftiDTJ3DpxwLoN2OCY3pcdC+hz54PqehQ41zE/xu7K lThNQmrf+/vs4m76V78BUEsDBAoAAAAAAIdO4kAAAAAAAAAAAAAAAAAGAAAAX3JlbHMvUEsDBBQA AAAIAIdO4kCKFGY80QAAAJQBAAALAAAAX3JlbHMvLnJlbHOlkMFqwzAMhu+DvYPRfXGawxijTi+j 0GvpHsDYimMaW0Yy2fr28w6DZfS2o36h7xP//vCZFrUiS6RsYNf1oDA78jEHA++X49MLKKk2e7tQ RgM3FDiMjw/7My62tiOZYxHVKFkMzLWWV63FzZisdFQwt81EnGxtIwddrLvagHro+2fNvxkwbpjq 5A3wyQ+gLrfSzH/YKTomoal2jpKmaYruHlUHtmWO7sg24Ru5RrMcsBrwLBoHalnXfgR9X7/7p97T Rz7jutV+h4zrj1dvuhy/AFBLAwQUAAAACACHTuJAfublIPcAAADhAQAAEwAAAFtDb250ZW50X1R5 cGVzXS54bWyVkUFOwzAQRfdI3MHyFiVOu0AIJemCtEtAqBxgZE8Si2RseUxob4+TthtEkVjaM/+/ J7vcHMZBTBjYOqrkKi+kQNLOWOoq+b7fZQ9ScAQyMDjCSh6R5aa+vSn3R48sUpq4kn2M/lEp1j2O wLnzSGnSujBCTMfQKQ/6AzpU66K4V9pRRIpZnDtkXTbYwucQxfaQrk8mAQeW4um0OLMqCd4PVkNM pmoi84OSnQl5Si473FvPd0lDql8J8+Q64Jx7SU8TrEHxCiE+w5g0lAmsjPuigFP+d8lsOXLm2tZq zJvATYq94XSxutaOa9c4/d/y7ZK6dKvlg+pvUEsBAhQAFAAAAAgAh07iQH7m5SD3AAAA4QEAABMA AAAAAAAAAQAgAAAAhAQAAFtDb250ZW50X1R5cGVzXS54bWxQSwECFAAKAAAAAACHTuJAAAAAAAAA AAAAAAAABgAAAAAAAAAAABAAAABmAwAAX3JlbHMvUEsBAhQAFAAAAAgAh07iQIoUZjzRAAAAlAEA AAsAAAAAAAAAAQAgAAAAigMAAF9yZWxzLy5yZWxzUEsBAhQACgAAAAAAh07iQAAAAAAAAAAAAAAA AAQAAAAAAAAAAAAQAAAAAAAAAGRycy9QSwECFAAUAAAACACHTuJANwkREdcAAAAIAQAADwAAAAAA AAABACAAAAAiAAAAZHJzL2Rvd25yZXYueG1sUEsBAhQAFAAAAAgAh07iQBvXpj8UAgAARQQAAA4A AAAAAAAAAQAgAAAAJgEAAGRycy9lMm9Eb2MueG1sUEsFBgAAAAAGAAYAWQEAAKwFAAAAAA== ">
                <v:fill on="t" focussize="0,0"/>
                <v:stroke color="#000000" joinstyle="miter"/>
                <v:imagedata o:title=""/>
                <o:lock v:ext="edit" aspectratio="f"/>
                <v:textbo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Cs w:val="21"/>
                        </w:rPr>
                      </w:pPr>
                      <w:r>
                        <w:rPr>
                          <w:rFonts w:hint="eastAsia" w:ascii="新宋体" w:hAnsi="新宋体" w:eastAsia="新宋体"/>
                          <w:szCs w:val="21"/>
                        </w:rPr>
                        <w:t>授权代表身份证复印件粘贴处（正反两面）：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r>
        <w:rPr>
          <w:rFonts w:hint="default" w:ascii="Arial" w:hAnsi="Arial" w:eastAsia="宋体" w:cs="Arial"/>
          <w:color w:val="auto"/>
          <w:highlight w:val="none"/>
        </w:rPr>
        <w:t>附：</w:t>
      </w:r>
    </w:p>
    <w:p>
      <w:pPr>
        <w:spacing w:line="360" w:lineRule="auto"/>
        <w:rPr>
          <w:rFonts w:hint="default" w:ascii="Arial" w:hAnsi="Arial" w:eastAsia="宋体" w:cs="Arial"/>
          <w:color w:val="auto"/>
          <w:highlight w:val="none"/>
          <w:u w:val="single"/>
        </w:rPr>
      </w:pPr>
      <w:r>
        <w:rPr>
          <w:rFonts w:hint="default" w:ascii="Arial" w:hAnsi="Arial" w:eastAsia="宋体" w:cs="Arial"/>
          <w:color w:val="auto"/>
          <w:highlight w:val="none"/>
        </w:rPr>
        <w:t>授权代表姓名</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u w:val="single"/>
        </w:rPr>
      </w:pPr>
      <w:r>
        <w:rPr>
          <w:rFonts w:hint="default" w:ascii="Arial" w:hAnsi="Arial" w:eastAsia="宋体" w:cs="Arial"/>
          <w:color w:val="auto"/>
          <w:highlight w:val="none"/>
        </w:rPr>
        <w:t>详细通讯地址</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传  真：</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电  话：</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邮政编码：</w:t>
      </w:r>
      <w:r>
        <w:rPr>
          <w:rFonts w:hint="default" w:ascii="Arial" w:hAnsi="Arial" w:eastAsia="宋体" w:cs="Arial"/>
          <w:color w:val="auto"/>
          <w:highlight w:val="none"/>
          <w:u w:val="single"/>
        </w:rPr>
        <w:t xml:space="preserve">                      </w:t>
      </w:r>
    </w:p>
    <w:bookmarkEnd w:id="86"/>
    <w:bookmarkEnd w:id="87"/>
    <w:bookmarkEnd w:id="88"/>
    <w:bookmarkEnd w:id="89"/>
    <w:p>
      <w:pPr>
        <w:pStyle w:val="2"/>
        <w:keepNext w:val="0"/>
        <w:keepLines w:val="0"/>
        <w:pageBreakBefore/>
        <w:tabs>
          <w:tab w:val="left" w:pos="840"/>
        </w:tabs>
        <w:spacing w:before="312" w:beforeLines="100" w:after="312" w:afterLines="100" w:line="240" w:lineRule="auto"/>
        <w:jc w:val="center"/>
        <w:rPr>
          <w:rFonts w:hint="default" w:ascii="Arial" w:hAnsi="Arial" w:eastAsia="宋体" w:cs="Arial"/>
          <w:bCs/>
          <w:color w:val="auto"/>
          <w:kern w:val="2"/>
          <w:sz w:val="28"/>
          <w:szCs w:val="36"/>
          <w:highlight w:val="none"/>
        </w:rPr>
      </w:pPr>
      <w:bookmarkStart w:id="90" w:name="_Toc20360"/>
      <w:bookmarkStart w:id="91" w:name="_Toc26310"/>
      <w:bookmarkStart w:id="92" w:name="_Toc17097"/>
      <w:bookmarkStart w:id="93" w:name="_Toc22524"/>
      <w:bookmarkStart w:id="94" w:name="_Toc12132"/>
      <w:bookmarkStart w:id="95" w:name="_Toc19613"/>
      <w:bookmarkStart w:id="96" w:name="_Toc23398"/>
      <w:bookmarkStart w:id="97" w:name="_Toc14177"/>
      <w:r>
        <w:rPr>
          <w:rFonts w:hint="default" w:ascii="Arial" w:hAnsi="Arial" w:eastAsia="宋体" w:cs="Arial"/>
          <w:bCs/>
          <w:color w:val="auto"/>
          <w:kern w:val="2"/>
          <w:sz w:val="28"/>
          <w:szCs w:val="36"/>
          <w:highlight w:val="none"/>
        </w:rPr>
        <w:t>附件二 -2 法定代表人身份证明</w:t>
      </w:r>
      <w:bookmarkEnd w:id="90"/>
      <w:bookmarkEnd w:id="91"/>
      <w:bookmarkEnd w:id="92"/>
      <w:bookmarkEnd w:id="93"/>
      <w:bookmarkEnd w:id="94"/>
      <w:bookmarkEnd w:id="95"/>
      <w:bookmarkEnd w:id="96"/>
      <w:bookmarkEnd w:id="97"/>
    </w:p>
    <w:p>
      <w:pPr>
        <w:rPr>
          <w:rFonts w:hint="default" w:ascii="Arial" w:hAnsi="Arial" w:eastAsia="宋体" w:cs="Arial"/>
          <w:color w:val="auto"/>
          <w:highlight w:val="none"/>
        </w:rPr>
      </w:pP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申 请 人：</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u w:val="single"/>
        </w:rPr>
      </w:pPr>
      <w:r>
        <w:rPr>
          <w:rFonts w:hint="default" w:ascii="Arial" w:hAnsi="Arial" w:eastAsia="宋体" w:cs="Arial"/>
          <w:color w:val="auto"/>
          <w:szCs w:val="21"/>
          <w:highlight w:val="none"/>
        </w:rPr>
        <w:t>单位性质：</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地    址：</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成立时间：</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年</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月</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日</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经营期限：</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姓    名：</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性    别：</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年    龄：</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职    务：</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系</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（申请人名称）的法定代表人。</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特此证明。</w:t>
      </w:r>
    </w:p>
    <w:p>
      <w:pPr>
        <w:spacing w:line="360" w:lineRule="exact"/>
        <w:rPr>
          <w:rFonts w:hint="default" w:ascii="Arial" w:hAnsi="Arial" w:eastAsia="宋体" w:cs="Arial"/>
          <w:color w:val="auto"/>
          <w:szCs w:val="21"/>
          <w:highlight w:val="none"/>
        </w:rPr>
      </w:pP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附：</w:t>
      </w:r>
    </w:p>
    <w:p>
      <w:pPr>
        <w:rPr>
          <w:rFonts w:hint="default" w:ascii="Arial" w:hAnsi="Arial" w:eastAsia="宋体" w:cs="Arial"/>
          <w:color w:val="auto"/>
          <w:szCs w:val="21"/>
          <w:highlight w:val="none"/>
        </w:rPr>
      </w:pPr>
      <w:r>
        <w:rPr>
          <w:rFonts w:hint="default" w:ascii="Arial" w:hAnsi="Arial" w:eastAsia="宋体" w:cs="Arial"/>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19050</wp:posOffset>
                </wp:positionV>
                <wp:extent cx="5600700" cy="2674620"/>
                <wp:effectExtent l="4445" t="4445" r="14605" b="6985"/>
                <wp:wrapNone/>
                <wp:docPr id="2" name="文本框 33"/>
                <wp:cNvGraphicFramePr/>
                <a:graphic xmlns:a="http://schemas.openxmlformats.org/drawingml/2006/main">
                  <a:graphicData uri="http://schemas.microsoft.com/office/word/2010/wordprocessingShape">
                    <wps:wsp>
                      <wps:cNvSpPr txBox="1"/>
                      <wps:spPr>
                        <a:xfrm>
                          <a:off x="0" y="0"/>
                          <a:ext cx="5600700" cy="2674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r>
                              <w:rPr>
                                <w:rFonts w:hint="eastAsia" w:ascii="新宋体" w:hAnsi="新宋体" w:eastAsia="新宋体"/>
                                <w:sz w:val="22"/>
                              </w:rPr>
                              <w:t>法定代表身份证复印件粘贴处（正反两面）：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wrap="square" upright="1"/>
                    </wps:wsp>
                  </a:graphicData>
                </a:graphic>
              </wp:anchor>
            </w:drawing>
          </mc:Choice>
          <mc:Fallback>
            <w:pict>
              <v:shape id="文本框 33" o:spid="_x0000_s1026" o:spt="202" type="#_x0000_t202" style="position:absolute;left:0pt;margin-left:5.25pt;margin-top:1.5pt;height:210.6pt;width:441pt;z-index:251660288;mso-width-relative:page;mso-height-relative:page;" fillcolor="#FFFFFF" filled="t" stroked="t" coordsize="21600,21600" o:gfxdata="UEsDBAoAAAAAAIdO4kAAAAAAAAAAAAAAAAAEAAAAZHJzL1BLAwQUAAAACACHTuJABZE6qdYAAAAI AQAADwAAAGRycy9kb3ducmV2LnhtbE2PzU7DMBCE70i8g7VIXBC1m4aShjg9IIHgVgqCq5tskwh7 HWw3LW/PcoLjpxnNT7U+OSsmDHHwpGE+UyCQGt8O1Gl4e324LkDEZKg11hNq+MYI6/r8rDJl64/0 gtM2dYJDKJZGQ5/SWEoZmx6diTM/IrG298GZxBg62QZz5HBnZabUUjozEDf0ZsT7HpvP7cFpKPKn 6SM+LzbvzXJvV+nqdnr8ClpfXszVHYiEp/Rnht/5PB1q3rTzB2qjsMzqhp0aFvyI5WKVMe805Fme gawr+f9A/QNQSwMEFAAAAAgAh07iQCZesbIYAgAARgQAAA4AAABkcnMvZTJvRG9jLnhtbK1TS5LT MBDdU8UdVNoTezwkA644UwUhbCigauAAiiTbqtIPtRI7F4AbsGLDfs6Vc9BSMpkPLLLAC7mlbr3u 97o1vx6NJlsZQDnb0ItJSYm03Allu4Z+/bJ68YoSiMwKpp2VDd1JoNeL58/mg69l5XqnhQwEQSzU g29oH6OviwJ4Lw2DifPSorN1wbCI29AVIrAB0Y0uqrKcFYMLwgfHJQCeLg9OekQM5wC6tlVcLh3f GGnjATVIzSJSgl55oItcbdtKHj+1LchIdEORacwrJkF7ndZiMWd1F5jvFT+WwM4p4Qknw5TFpCeo JYuMbIL6C8ooHhy4Nk64M8WBSFYEWVyUT7S56ZmXmQtKDf4kOvw/WP5x+zkQJRpaUWKZwYbvf/7Y /7rd//5OLi+TPoOHGsNuPAbG8Y0bcWruzgEPE+2xDSb9kRBBP6q7O6krx0g4Hk5nZXlVooujr5pd vZxVWf/i/roPEN9LZ0gyGhqwfVlVtv0AEUvB0LuQlA2cVmKltM6b0K3f6kC2DFu9yl+qEq88CtOW DA19Pa2mWAjD+W1xbtA0HjUA2+V8j27AQ+Ayf/8CToUtGfSHAjJCCmO1UVGGbPWSiXdWkLjzqLPF 50VTMUYKSrTE15isHBmZ0udEIjttkWTq0aEXyYrjekSYZK6d2GHfBpxwpPdtwwLm3Piguh4Fzn3M l3G8slbHp5Dm9+E+p7h//os/UEsDBAoAAAAAAIdO4kAAAAAAAAAAAAAAAAAGAAAAX3JlbHMvUEsD BBQAAAAIAIdO4kCKFGY80QAAAJQBAAALAAAAX3JlbHMvLnJlbHOlkMFqwzAMhu+DvYPRfXGawxij Ti+j0GvpHsDYimMaW0Yy2fr28w6DZfS2o36h7xP//vCZFrUiS6RsYNf1oDA78jEHA++X49MLKKk2 e7tQRgM3FDiMjw/7My62tiOZYxHVKFkMzLWWV63FzZisdFQwt81EnGxtIwddrLvagHro+2fNvxkw bpjq5A3wyQ+gLrfSzH/YKTomoal2jpKmaYruHlUHtmWO7sg24Ru5RrMcsBrwLBoHalnXfgR9X7/7 p97TRz7jutV+h4zrj1dvuhy/AFBLAwQUAAAACACHTuJAfublIPcAAADhAQAAEwAAAFtDb250ZW50 X1R5cGVzXS54bWyVkUFOwzAQRfdI3MHyFiVOu0AIJemCtEtAqBxgZE8Si2RseUxob4+TthtEkVja M/+/J7vcHMZBTBjYOqrkKi+kQNLOWOoq+b7fZQ9ScAQyMDjCSh6R5aa+vSn3R48sUpq4kn2M/lEp 1j2OwLnzSGnSujBCTMfQKQ/6AzpU66K4V9pRRIpZnDtkXTbYwucQxfaQrk8mAQeW4um0OLMqCd4P VkNMpmoi84OSnQl5Si473FvPd0lDql8J8+Q64Jx7SU8TrEHxCiE+w5g0lAmsjPuigFP+d8lsOXLm 2tZqzJvATYq94XSxutaOa9c4/d/y7ZK6dKvlg+pvUEsBAhQAFAAAAAgAh07iQH7m5SD3AAAA4QEA ABMAAAAAAAAAAQAgAAAAhwQAAFtDb250ZW50X1R5cGVzXS54bWxQSwECFAAKAAAAAACHTuJAAAAA AAAAAAAAAAAABgAAAAAAAAAAABAAAABpAwAAX3JlbHMvUEsBAhQAFAAAAAgAh07iQIoUZjzRAAAA lAEAAAsAAAAAAAAAAQAgAAAAjQMAAF9yZWxzLy5yZWxzUEsBAhQACgAAAAAAh07iQAAAAAAAAAAA AAAAAAQAAAAAAAAAAAAQAAAAAAAAAGRycy9QSwECFAAUAAAACACHTuJABZE6qdYAAAAIAQAADwAA AAAAAAABACAAAAAiAAAAZHJzL2Rvd25yZXYueG1sUEsBAhQAFAAAAAgAh07iQCZesbIYAgAARgQA AA4AAAAAAAAAAQAgAAAAJQEAAGRycy9lMm9Eb2MueG1sUEsFBgAAAAAGAAYAWQEAAK8FAAAAAA== ">
                <v:fill on="t" focussize="0,0"/>
                <v:stroke color="#000000" joinstyle="miter"/>
                <v:imagedata o:title=""/>
                <o:lock v:ext="edit" aspectratio="f"/>
                <v:textbo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r>
                        <w:rPr>
                          <w:rFonts w:hint="eastAsia" w:ascii="新宋体" w:hAnsi="新宋体" w:eastAsia="新宋体"/>
                          <w:sz w:val="22"/>
                        </w:rPr>
                        <w:t>法定代表身份证复印件粘贴处（正反两面）：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p>
    <w:p>
      <w:pPr>
        <w:rPr>
          <w:rFonts w:hint="default" w:ascii="Arial" w:hAnsi="Arial" w:eastAsia="宋体" w:cs="Arial"/>
          <w:color w:val="auto"/>
          <w:szCs w:val="21"/>
          <w:highlight w:val="none"/>
        </w:rPr>
      </w:pPr>
    </w:p>
    <w:p>
      <w:pPr>
        <w:rPr>
          <w:rFonts w:hint="default" w:ascii="Arial" w:hAnsi="Arial" w:eastAsia="宋体" w:cs="Arial"/>
          <w:color w:val="auto"/>
          <w:szCs w:val="21"/>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tabs>
          <w:tab w:val="left" w:pos="720"/>
          <w:tab w:val="left" w:pos="900"/>
        </w:tabs>
        <w:spacing w:line="360" w:lineRule="auto"/>
        <w:ind w:firstLine="4624" w:firstLineChars="2202"/>
        <w:rPr>
          <w:rFonts w:hint="default" w:ascii="Arial" w:hAnsi="Arial" w:eastAsia="宋体" w:cs="Arial"/>
          <w:color w:val="auto"/>
          <w:highlight w:val="none"/>
        </w:rPr>
      </w:pPr>
    </w:p>
    <w:p>
      <w:pPr>
        <w:tabs>
          <w:tab w:val="left" w:pos="720"/>
          <w:tab w:val="left" w:pos="900"/>
        </w:tabs>
        <w:spacing w:line="360" w:lineRule="auto"/>
        <w:ind w:firstLine="4624" w:firstLineChars="2202"/>
        <w:rPr>
          <w:rFonts w:hint="default" w:ascii="Arial" w:hAnsi="Arial" w:eastAsia="宋体" w:cs="Arial"/>
          <w:color w:val="auto"/>
          <w:highlight w:val="none"/>
        </w:rPr>
      </w:pPr>
      <w:r>
        <w:rPr>
          <w:rFonts w:hint="default" w:ascii="Arial" w:hAnsi="Arial" w:eastAsia="宋体" w:cs="Arial"/>
          <w:color w:val="auto"/>
          <w:highlight w:val="none"/>
        </w:rPr>
        <w:t>投标供应商：</w:t>
      </w:r>
      <w:r>
        <w:rPr>
          <w:rFonts w:hint="default" w:ascii="Arial" w:hAnsi="Arial" w:eastAsia="宋体" w:cs="Arial"/>
          <w:color w:val="auto"/>
          <w:highlight w:val="none"/>
          <w:u w:val="single"/>
        </w:rPr>
        <w:t xml:space="preserve">             （盖公章）</w:t>
      </w:r>
    </w:p>
    <w:p>
      <w:pPr>
        <w:tabs>
          <w:tab w:val="left" w:pos="720"/>
          <w:tab w:val="left" w:pos="900"/>
        </w:tabs>
        <w:spacing w:line="360" w:lineRule="auto"/>
        <w:ind w:firstLine="4624" w:firstLineChars="2202"/>
        <w:rPr>
          <w:rFonts w:hint="default" w:ascii="Arial" w:hAnsi="Arial" w:eastAsia="宋体" w:cs="Arial"/>
          <w:color w:val="auto"/>
          <w:highlight w:val="none"/>
        </w:rPr>
      </w:pPr>
      <w:r>
        <w:rPr>
          <w:rFonts w:hint="default" w:ascii="Arial" w:hAnsi="Arial" w:eastAsia="宋体" w:cs="Arial"/>
          <w:color w:val="auto"/>
          <w:highlight w:val="none"/>
        </w:rPr>
        <w:t>日    期：</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年</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月</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日</w:t>
      </w:r>
    </w:p>
    <w:p>
      <w:p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color w:val="auto"/>
          <w:sz w:val="28"/>
          <w:szCs w:val="36"/>
          <w:highlight w:val="none"/>
        </w:rPr>
      </w:pPr>
      <w:bookmarkStart w:id="98" w:name="_Toc36139331"/>
      <w:bookmarkStart w:id="99" w:name="_Toc1302"/>
      <w:bookmarkStart w:id="100" w:name="_Toc7378"/>
      <w:bookmarkStart w:id="101" w:name="_Toc10658"/>
      <w:bookmarkStart w:id="102" w:name="_Toc40429191"/>
      <w:bookmarkStart w:id="103" w:name="_Toc11520"/>
      <w:bookmarkStart w:id="104" w:name="_Toc24403"/>
      <w:bookmarkStart w:id="105" w:name="_Toc11219"/>
      <w:r>
        <w:rPr>
          <w:rFonts w:hint="default" w:ascii="Arial" w:hAnsi="Arial" w:eastAsia="宋体" w:cs="Arial"/>
          <w:b w:val="0"/>
          <w:color w:val="auto"/>
          <w:sz w:val="28"/>
          <w:szCs w:val="36"/>
          <w:highlight w:val="none"/>
        </w:rPr>
        <w:t>附件三    投 标 函</w:t>
      </w:r>
      <w:bookmarkEnd w:id="98"/>
      <w:bookmarkEnd w:id="99"/>
      <w:bookmarkEnd w:id="100"/>
      <w:bookmarkEnd w:id="101"/>
      <w:bookmarkEnd w:id="102"/>
    </w:p>
    <w:p>
      <w:pPr>
        <w:pStyle w:val="16"/>
        <w:rPr>
          <w:rFonts w:hint="default" w:ascii="Arial" w:hAnsi="Arial" w:eastAsia="宋体" w:cs="Arial"/>
          <w:color w:val="auto"/>
          <w:highlight w:val="none"/>
        </w:rPr>
      </w:pPr>
    </w:p>
    <w:p>
      <w:pPr>
        <w:spacing w:line="420" w:lineRule="exact"/>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lang w:eastAsia="zh-CN"/>
        </w:rPr>
        <w:t>瑞安市公安局</w:t>
      </w:r>
    </w:p>
    <w:p>
      <w:pPr>
        <w:spacing w:line="42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浙江省建设工程设备招标有限公司：</w:t>
      </w:r>
    </w:p>
    <w:p>
      <w:p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 xml:space="preserve">    遵照国家及地方政府相关招标投标法规的规定，我单位：</w:t>
      </w:r>
      <w:r>
        <w:rPr>
          <w:rFonts w:hint="default" w:ascii="Arial" w:hAnsi="Arial" w:eastAsia="宋体" w:cs="Arial"/>
          <w:color w:val="auto"/>
          <w:highlight w:val="none"/>
          <w:u w:val="single"/>
        </w:rPr>
        <w:t xml:space="preserve">            （投标供应商名称）</w:t>
      </w:r>
      <w:r>
        <w:rPr>
          <w:rFonts w:hint="default" w:ascii="Arial" w:hAnsi="Arial" w:eastAsia="宋体" w:cs="Arial"/>
          <w:color w:val="auto"/>
          <w:highlight w:val="none"/>
        </w:rPr>
        <w:t xml:space="preserve">研究上述招标文件的投标须知、合同条款、技术要求和其他有关文件后，决定作为投标者正式授权 </w:t>
      </w:r>
      <w:r>
        <w:rPr>
          <w:rFonts w:hint="default" w:ascii="Arial" w:hAnsi="Arial" w:eastAsia="宋体" w:cs="Arial"/>
          <w:color w:val="auto"/>
          <w:highlight w:val="none"/>
          <w:u w:val="single"/>
        </w:rPr>
        <w:t xml:space="preserve">     （授权代表全名，职务）</w:t>
      </w:r>
      <w:r>
        <w:rPr>
          <w:rFonts w:hint="default" w:ascii="Arial" w:hAnsi="Arial" w:eastAsia="宋体" w:cs="Arial"/>
          <w:color w:val="auto"/>
          <w:highlight w:val="none"/>
        </w:rPr>
        <w:t>代表我方进行有关本投标的一切事宜。</w:t>
      </w:r>
    </w:p>
    <w:p>
      <w:pPr>
        <w:numPr>
          <w:ilvl w:val="0"/>
          <w:numId w:val="30"/>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lang w:bidi="ar"/>
        </w:rPr>
        <w:t>我方决定参加：作为本次供应商参与</w:t>
      </w:r>
      <w:r>
        <w:rPr>
          <w:rFonts w:hint="default" w:ascii="Arial" w:hAnsi="Arial" w:eastAsia="宋体" w:cs="Arial"/>
          <w:color w:val="auto"/>
          <w:szCs w:val="21"/>
          <w:highlight w:val="none"/>
          <w:u w:val="single"/>
          <w:lang w:eastAsia="zh-CN"/>
        </w:rPr>
        <w:t>瑞安市公安局**辅助人员劳务服务</w:t>
      </w:r>
      <w:r>
        <w:rPr>
          <w:rFonts w:hint="default" w:ascii="Arial" w:hAnsi="Arial" w:eastAsia="宋体" w:cs="Arial"/>
          <w:color w:val="auto"/>
          <w:highlight w:val="none"/>
          <w:lang w:bidi="ar"/>
        </w:rPr>
        <w:t>项目的投标</w:t>
      </w:r>
      <w:r>
        <w:rPr>
          <w:rFonts w:hint="default" w:ascii="Arial" w:hAnsi="Arial" w:eastAsia="宋体" w:cs="Arial"/>
          <w:color w:val="auto"/>
          <w:highlight w:val="none"/>
        </w:rPr>
        <w:t>：</w:t>
      </w:r>
    </w:p>
    <w:p>
      <w:pPr>
        <w:numPr>
          <w:ilvl w:val="0"/>
          <w:numId w:val="30"/>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我方承诺：</w:t>
      </w:r>
    </w:p>
    <w:p>
      <w:pPr>
        <w:numPr>
          <w:ilvl w:val="0"/>
          <w:numId w:val="31"/>
        </w:numPr>
        <w:tabs>
          <w:tab w:val="left" w:pos="1060"/>
          <w:tab w:val="clear" w:pos="840"/>
        </w:tabs>
        <w:spacing w:line="420" w:lineRule="exact"/>
        <w:ind w:left="1060" w:leftChars="216" w:hanging="606"/>
        <w:rPr>
          <w:rFonts w:hint="default" w:ascii="Arial" w:hAnsi="Arial" w:eastAsia="宋体" w:cs="Arial"/>
          <w:color w:val="auto"/>
          <w:highlight w:val="none"/>
        </w:rPr>
      </w:pPr>
      <w:r>
        <w:rPr>
          <w:rFonts w:hint="default" w:ascii="Arial" w:hAnsi="Arial" w:eastAsia="宋体" w:cs="Arial"/>
          <w:color w:val="auto"/>
          <w:highlight w:val="none"/>
        </w:rPr>
        <w:t>我方承诺的政府采购价格按开标一览表及本次有关的招投标文件执行。</w:t>
      </w:r>
    </w:p>
    <w:p>
      <w:pPr>
        <w:numPr>
          <w:ilvl w:val="0"/>
          <w:numId w:val="31"/>
        </w:numPr>
        <w:tabs>
          <w:tab w:val="left" w:pos="1060"/>
          <w:tab w:val="clear" w:pos="840"/>
        </w:tabs>
        <w:spacing w:line="420" w:lineRule="exact"/>
        <w:ind w:left="1060" w:leftChars="216" w:hanging="606"/>
        <w:rPr>
          <w:rFonts w:hint="default" w:ascii="Arial" w:hAnsi="Arial" w:eastAsia="宋体" w:cs="Arial"/>
          <w:color w:val="auto"/>
          <w:highlight w:val="none"/>
        </w:rPr>
      </w:pPr>
      <w:r>
        <w:rPr>
          <w:rFonts w:hint="default" w:ascii="Arial" w:hAnsi="Arial" w:eastAsia="宋体" w:cs="Arial"/>
          <w:color w:val="auto"/>
          <w:highlight w:val="none"/>
        </w:rPr>
        <w:t>我方报价包含履行合同所有相关服务所需的服务费用。</w:t>
      </w:r>
    </w:p>
    <w:p>
      <w:pPr>
        <w:numPr>
          <w:ilvl w:val="0"/>
          <w:numId w:val="31"/>
        </w:numPr>
        <w:tabs>
          <w:tab w:val="left" w:pos="1060"/>
          <w:tab w:val="clear" w:pos="840"/>
        </w:tabs>
        <w:spacing w:line="420" w:lineRule="exact"/>
        <w:ind w:left="1060" w:leftChars="216" w:hanging="606"/>
        <w:rPr>
          <w:rFonts w:hint="default" w:ascii="Arial" w:hAnsi="Arial" w:eastAsia="宋体" w:cs="Arial"/>
          <w:color w:val="auto"/>
          <w:highlight w:val="none"/>
        </w:rPr>
      </w:pPr>
      <w:r>
        <w:rPr>
          <w:rFonts w:hint="default" w:ascii="Arial" w:hAnsi="Arial" w:eastAsia="宋体" w:cs="Arial"/>
          <w:color w:val="auto"/>
          <w:highlight w:val="none"/>
        </w:rPr>
        <w:t>我方报价均包含所有的税费。</w:t>
      </w:r>
    </w:p>
    <w:p>
      <w:pPr>
        <w:numPr>
          <w:ilvl w:val="0"/>
          <w:numId w:val="30"/>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投标文件的有效期：提交投标文件截止日起 90日历天内；如中标，有效期将延至合同终止日为止。</w:t>
      </w:r>
    </w:p>
    <w:p>
      <w:pPr>
        <w:numPr>
          <w:ilvl w:val="0"/>
          <w:numId w:val="30"/>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我方已详细研究了招标文件的所有内容包括修正文件（如果有）和所有已提供的参考资料以及有关附件并完全明白， 我方放弃在此方面提出含糊意见或误解的一切权力。</w:t>
      </w:r>
    </w:p>
    <w:p>
      <w:pPr>
        <w:numPr>
          <w:ilvl w:val="0"/>
          <w:numId w:val="30"/>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我方明白并愿意在规定的开标时间和日期之后，投标有效期之内撤销投标。</w:t>
      </w:r>
    </w:p>
    <w:p>
      <w:pPr>
        <w:numPr>
          <w:ilvl w:val="0"/>
          <w:numId w:val="30"/>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我方同意按照贵方提出的要求而提供与投标服务有关的数据或信息。</w:t>
      </w:r>
    </w:p>
    <w:p>
      <w:pPr>
        <w:numPr>
          <w:ilvl w:val="0"/>
          <w:numId w:val="30"/>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我方如果中标，将保证履行招标文件以及招标文件修改书（如果有的话）中的全部责任和义务，按质、按量、按期完成合同中的全部任务。</w:t>
      </w:r>
    </w:p>
    <w:p>
      <w:pPr>
        <w:spacing w:line="420" w:lineRule="exact"/>
        <w:ind w:left="992" w:right="6"/>
        <w:rPr>
          <w:rFonts w:hint="default" w:ascii="Arial" w:hAnsi="Arial" w:eastAsia="宋体" w:cs="Arial"/>
          <w:color w:val="auto"/>
          <w:szCs w:val="21"/>
          <w:highlight w:val="none"/>
        </w:rPr>
      </w:pPr>
    </w:p>
    <w:p>
      <w:pPr>
        <w:spacing w:before="156" w:beforeLines="50" w:after="156" w:afterLines="50" w:line="276" w:lineRule="auto"/>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before="156" w:beforeLines="50" w:after="156" w:afterLines="50" w:line="276" w:lineRule="auto"/>
        <w:ind w:firstLine="3360" w:firstLineChars="1600"/>
        <w:rPr>
          <w:rFonts w:hint="default" w:ascii="Arial" w:hAnsi="Arial" w:eastAsia="宋体" w:cs="Arial"/>
          <w:color w:val="auto"/>
          <w:szCs w:val="21"/>
          <w:highlight w:val="none"/>
        </w:rPr>
      </w:pPr>
      <w:r>
        <w:rPr>
          <w:rFonts w:hint="default" w:ascii="Arial" w:hAnsi="Arial" w:eastAsia="宋体" w:cs="Arial"/>
          <w:color w:val="auto"/>
          <w:szCs w:val="21"/>
          <w:highlight w:val="none"/>
        </w:rPr>
        <w:t>法定代表人或授权代表（签字或盖章）：</w:t>
      </w:r>
    </w:p>
    <w:p>
      <w:pPr>
        <w:spacing w:before="156" w:beforeLines="50" w:after="156" w:afterLines="50" w:line="276" w:lineRule="auto"/>
        <w:ind w:left="4620" w:leftChars="2200" w:firstLine="1890" w:firstLineChars="9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日 期： </w:t>
      </w:r>
    </w:p>
    <w:p>
      <w:pPr>
        <w:pStyle w:val="16"/>
        <w:ind w:left="0" w:leftChars="0"/>
        <w:rPr>
          <w:rFonts w:hint="default" w:ascii="Arial" w:hAnsi="Arial" w:eastAsia="宋体" w:cs="Arial"/>
          <w:color w:val="auto"/>
          <w:highlight w:val="none"/>
        </w:rPr>
      </w:pPr>
      <w:r>
        <w:rPr>
          <w:rFonts w:hint="default" w:ascii="Arial" w:hAnsi="Arial" w:eastAsia="宋体" w:cs="Arial"/>
          <w:color w:val="auto"/>
          <w:highlight w:val="none"/>
        </w:rPr>
        <w:br w:type="page"/>
      </w:r>
      <w:bookmarkEnd w:id="103"/>
      <w:bookmarkEnd w:id="104"/>
      <w:bookmarkEnd w:id="105"/>
      <w:bookmarkStart w:id="106" w:name="_Toc502668331"/>
      <w:bookmarkStart w:id="107" w:name="_Toc18635"/>
      <w:bookmarkStart w:id="108" w:name="_Toc25395"/>
      <w:bookmarkStart w:id="109" w:name="_Toc11753"/>
    </w:p>
    <w:bookmarkEnd w:id="106"/>
    <w:bookmarkEnd w:id="107"/>
    <w:bookmarkEnd w:id="108"/>
    <w:bookmarkEnd w:id="109"/>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10" w:name="_Toc40429192"/>
      <w:bookmarkStart w:id="111" w:name="_Toc33453007"/>
      <w:bookmarkStart w:id="112" w:name="_Toc484588205"/>
      <w:bookmarkStart w:id="113" w:name="_Toc33453009"/>
      <w:bookmarkStart w:id="114" w:name="_Toc484588203"/>
      <w:bookmarkStart w:id="115" w:name="_Toc364232511"/>
      <w:bookmarkStart w:id="116" w:name="_Toc384303167"/>
      <w:bookmarkStart w:id="117" w:name="_Toc441841689"/>
      <w:bookmarkStart w:id="118" w:name="_Toc481591104"/>
      <w:r>
        <w:rPr>
          <w:rFonts w:hint="default" w:ascii="Arial" w:hAnsi="Arial" w:eastAsia="宋体" w:cs="Arial"/>
          <w:b w:val="0"/>
          <w:color w:val="auto"/>
          <w:sz w:val="28"/>
          <w:szCs w:val="36"/>
          <w:highlight w:val="none"/>
        </w:rPr>
        <w:t>附件四   建议与少量偏离表</w:t>
      </w:r>
      <w:bookmarkEnd w:id="110"/>
      <w:bookmarkEnd w:id="111"/>
    </w:p>
    <w:p>
      <w:pPr>
        <w:spacing w:line="400" w:lineRule="atLeast"/>
        <w:ind w:firstLine="422" w:firstLineChars="200"/>
        <w:rPr>
          <w:rFonts w:hint="default" w:ascii="Arial" w:hAnsi="Arial" w:eastAsia="宋体" w:cs="Arial"/>
          <w:color w:val="auto"/>
          <w:szCs w:val="21"/>
          <w:highlight w:val="none"/>
        </w:rPr>
      </w:pPr>
      <w:r>
        <w:rPr>
          <w:rFonts w:hint="default" w:ascii="Arial" w:hAnsi="Arial" w:eastAsia="宋体" w:cs="Arial"/>
          <w:b/>
          <w:color w:val="auto"/>
          <w:szCs w:val="21"/>
          <w:highlight w:val="none"/>
        </w:rPr>
        <w:t>项目名称：                                     项目编号：</w:t>
      </w:r>
    </w:p>
    <w:tbl>
      <w:tblPr>
        <w:tblStyle w:val="34"/>
        <w:tblW w:w="0" w:type="auto"/>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1"/>
        <w:gridCol w:w="4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68" w:hRule="atLeast"/>
        </w:trPr>
        <w:tc>
          <w:tcPr>
            <w:tcW w:w="993" w:type="dxa"/>
            <w:tcBorders>
              <w:top w:val="single" w:color="auto" w:sz="12" w:space="0"/>
              <w:bottom w:val="single" w:color="auto" w:sz="12" w:space="0"/>
            </w:tcBorders>
            <w:noWrap w:val="0"/>
            <w:vAlign w:val="center"/>
          </w:tcPr>
          <w:p>
            <w:pPr>
              <w:spacing w:line="400" w:lineRule="atLeast"/>
              <w:jc w:val="center"/>
              <w:rPr>
                <w:rFonts w:hint="default" w:ascii="Arial" w:hAnsi="Arial" w:eastAsia="宋体" w:cs="Arial"/>
                <w:b/>
                <w:bCs/>
                <w:color w:val="auto"/>
                <w:highlight w:val="none"/>
              </w:rPr>
            </w:pPr>
            <w:r>
              <w:rPr>
                <w:rFonts w:hint="default" w:ascii="Arial" w:hAnsi="Arial" w:eastAsia="宋体" w:cs="Arial"/>
                <w:b/>
                <w:bCs/>
                <w:color w:val="auto"/>
                <w:highlight w:val="none"/>
              </w:rPr>
              <w:t>序号</w:t>
            </w:r>
          </w:p>
        </w:tc>
        <w:tc>
          <w:tcPr>
            <w:tcW w:w="4181" w:type="dxa"/>
            <w:tcBorders>
              <w:top w:val="single" w:color="auto" w:sz="12" w:space="0"/>
              <w:bottom w:val="single" w:color="auto" w:sz="12" w:space="0"/>
            </w:tcBorders>
            <w:noWrap w:val="0"/>
            <w:vAlign w:val="center"/>
          </w:tcPr>
          <w:p>
            <w:pPr>
              <w:spacing w:line="400" w:lineRule="atLeast"/>
              <w:jc w:val="center"/>
              <w:rPr>
                <w:rFonts w:hint="default" w:ascii="Arial" w:hAnsi="Arial" w:eastAsia="宋体" w:cs="Arial"/>
                <w:b/>
                <w:bCs/>
                <w:color w:val="auto"/>
                <w:highlight w:val="none"/>
              </w:rPr>
            </w:pPr>
            <w:r>
              <w:rPr>
                <w:rFonts w:hint="default" w:ascii="Arial" w:hAnsi="Arial" w:eastAsia="宋体" w:cs="Arial"/>
                <w:b/>
                <w:bCs/>
                <w:color w:val="auto"/>
                <w:highlight w:val="none"/>
              </w:rPr>
              <w:t>招标文件重述</w:t>
            </w:r>
          </w:p>
        </w:tc>
        <w:tc>
          <w:tcPr>
            <w:tcW w:w="4182" w:type="dxa"/>
            <w:tcBorders>
              <w:top w:val="single" w:color="auto" w:sz="12" w:space="0"/>
              <w:bottom w:val="single" w:color="auto" w:sz="12" w:space="0"/>
            </w:tcBorders>
            <w:noWrap w:val="0"/>
            <w:vAlign w:val="center"/>
          </w:tcPr>
          <w:p>
            <w:pPr>
              <w:spacing w:line="400" w:lineRule="atLeast"/>
              <w:jc w:val="center"/>
              <w:rPr>
                <w:rFonts w:hint="default" w:ascii="Arial" w:hAnsi="Arial" w:eastAsia="宋体" w:cs="Arial"/>
                <w:b/>
                <w:bCs/>
                <w:color w:val="auto"/>
                <w:highlight w:val="none"/>
              </w:rPr>
            </w:pPr>
            <w:r>
              <w:rPr>
                <w:rFonts w:hint="default" w:ascii="Arial" w:hAnsi="Arial" w:eastAsia="宋体" w:cs="Arial"/>
                <w:b/>
                <w:bCs/>
                <w:color w:val="auto"/>
                <w:highlight w:val="none"/>
              </w:rPr>
              <w:t>偏离或投标供应商建议（条件）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8196" w:hRule="atLeast"/>
        </w:trPr>
        <w:tc>
          <w:tcPr>
            <w:tcW w:w="993" w:type="dxa"/>
            <w:tcBorders>
              <w:top w:val="single" w:color="auto" w:sz="12" w:space="0"/>
            </w:tcBorders>
            <w:noWrap w:val="0"/>
            <w:vAlign w:val="top"/>
          </w:tcPr>
          <w:p>
            <w:pPr>
              <w:spacing w:line="400" w:lineRule="atLeast"/>
              <w:ind w:firstLine="592"/>
              <w:rPr>
                <w:rFonts w:hint="default" w:ascii="Arial" w:hAnsi="Arial" w:eastAsia="宋体" w:cs="Arial"/>
                <w:color w:val="auto"/>
                <w:highlight w:val="none"/>
              </w:rPr>
            </w:pPr>
          </w:p>
        </w:tc>
        <w:tc>
          <w:tcPr>
            <w:tcW w:w="4181" w:type="dxa"/>
            <w:tcBorders>
              <w:top w:val="single" w:color="auto" w:sz="12" w:space="0"/>
            </w:tcBorders>
            <w:noWrap w:val="0"/>
            <w:vAlign w:val="top"/>
          </w:tcPr>
          <w:p>
            <w:pPr>
              <w:spacing w:line="400" w:lineRule="atLeast"/>
              <w:ind w:firstLine="592"/>
              <w:rPr>
                <w:rFonts w:hint="default" w:ascii="Arial" w:hAnsi="Arial" w:eastAsia="宋体" w:cs="Arial"/>
                <w:color w:val="auto"/>
                <w:highlight w:val="none"/>
              </w:rPr>
            </w:pPr>
          </w:p>
        </w:tc>
        <w:tc>
          <w:tcPr>
            <w:tcW w:w="4182" w:type="dxa"/>
            <w:tcBorders>
              <w:top w:val="single" w:color="auto" w:sz="12" w:space="0"/>
            </w:tcBorders>
            <w:noWrap w:val="0"/>
            <w:vAlign w:val="top"/>
          </w:tcPr>
          <w:p>
            <w:pPr>
              <w:spacing w:line="400" w:lineRule="atLeast"/>
              <w:ind w:firstLine="592"/>
              <w:rPr>
                <w:rFonts w:hint="default" w:ascii="Arial" w:hAnsi="Arial" w:eastAsia="宋体" w:cs="Arial"/>
                <w:color w:val="auto"/>
                <w:highlight w:val="none"/>
              </w:rPr>
            </w:pPr>
          </w:p>
        </w:tc>
      </w:tr>
    </w:tbl>
    <w:p>
      <w:pPr>
        <w:pStyle w:val="25"/>
        <w:spacing w:line="400" w:lineRule="atLeast"/>
        <w:rPr>
          <w:rFonts w:hint="default" w:ascii="Arial" w:hAnsi="Arial" w:eastAsia="宋体" w:cs="Arial"/>
          <w:color w:val="auto"/>
          <w:highlight w:val="none"/>
        </w:rPr>
      </w:pPr>
      <w:r>
        <w:rPr>
          <w:rFonts w:hint="default" w:ascii="Arial" w:hAnsi="Arial" w:eastAsia="宋体" w:cs="Arial"/>
          <w:color w:val="auto"/>
          <w:highlight w:val="none"/>
        </w:rPr>
        <w:t>注：如不填写，则视为完全响应招标文件的技术及商务要求。</w:t>
      </w:r>
    </w:p>
    <w:p>
      <w:pPr>
        <w:rPr>
          <w:rFonts w:hint="default" w:ascii="Arial" w:hAnsi="Arial" w:eastAsia="宋体" w:cs="Arial"/>
          <w:color w:val="auto"/>
          <w:highlight w:val="none"/>
        </w:rPr>
      </w:pPr>
    </w:p>
    <w:p>
      <w:pPr>
        <w:widowControl/>
        <w:jc w:val="left"/>
        <w:rPr>
          <w:rFonts w:hint="default" w:ascii="Arial" w:hAnsi="Arial" w:eastAsia="宋体" w:cs="Arial"/>
          <w:color w:val="auto"/>
          <w:highlight w:val="none"/>
        </w:rPr>
      </w:pPr>
    </w:p>
    <w:p>
      <w:pPr>
        <w:spacing w:after="156" w:afterLines="50" w:line="400" w:lineRule="exact"/>
        <w:ind w:left="4620" w:leftChars="2200"/>
        <w:rPr>
          <w:rFonts w:hint="default" w:ascii="Arial" w:hAnsi="Arial" w:eastAsia="宋体" w:cs="Arial"/>
          <w:color w:val="auto"/>
          <w:szCs w:val="21"/>
          <w:highlight w:val="none"/>
        </w:rPr>
      </w:pPr>
      <w:bookmarkStart w:id="119" w:name="_Toc364232509"/>
      <w:bookmarkStart w:id="120" w:name="_Toc441841686"/>
      <w:r>
        <w:rPr>
          <w:rFonts w:hint="default" w:ascii="Arial" w:hAnsi="Arial" w:eastAsia="宋体" w:cs="Arial"/>
          <w:color w:val="auto"/>
          <w:szCs w:val="21"/>
          <w:highlight w:val="none"/>
        </w:rPr>
        <w:t>投标供应商全称（盖章）：</w:t>
      </w: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bookmarkEnd w:id="112"/>
    <w:bookmarkEnd w:id="113"/>
    <w:bookmarkEnd w:id="119"/>
    <w:bookmarkEnd w:id="120"/>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21" w:name="_Toc40429193"/>
      <w:bookmarkStart w:id="122" w:name="_Toc3808250"/>
      <w:bookmarkStart w:id="123" w:name="_Toc40339412"/>
      <w:r>
        <w:rPr>
          <w:rFonts w:hint="default" w:ascii="Arial" w:hAnsi="Arial" w:eastAsia="宋体" w:cs="Arial"/>
          <w:b w:val="0"/>
          <w:color w:val="auto"/>
          <w:sz w:val="28"/>
          <w:szCs w:val="36"/>
          <w:highlight w:val="none"/>
        </w:rPr>
        <w:t>附件五    拟投入设备及工具一览表</w:t>
      </w:r>
      <w:bookmarkEnd w:id="121"/>
    </w:p>
    <w:p>
      <w:pPr>
        <w:spacing w:before="156" w:beforeLines="50" w:after="156" w:afterLines="50" w:line="400" w:lineRule="exact"/>
        <w:rPr>
          <w:rFonts w:hint="default" w:ascii="Arial" w:hAnsi="Arial" w:eastAsia="宋体" w:cs="Arial"/>
          <w:b/>
          <w:bCs/>
          <w:color w:val="auto"/>
          <w:sz w:val="30"/>
          <w:highlight w:val="none"/>
        </w:rPr>
      </w:pPr>
      <w:r>
        <w:rPr>
          <w:rFonts w:hint="default" w:ascii="Arial" w:hAnsi="Arial" w:eastAsia="宋体" w:cs="Arial"/>
          <w:b/>
          <w:color w:val="auto"/>
          <w:szCs w:val="21"/>
          <w:highlight w:val="none"/>
        </w:rPr>
        <w:t xml:space="preserve">项目名称：                            </w:t>
      </w:r>
      <w:r>
        <w:rPr>
          <w:rFonts w:hint="default" w:ascii="Arial" w:hAnsi="Arial" w:eastAsia="宋体" w:cs="Arial"/>
          <w:b/>
          <w:color w:val="auto"/>
          <w:sz w:val="24"/>
          <w:highlight w:val="none"/>
        </w:rPr>
        <w:t xml:space="preserve">                 </w:t>
      </w:r>
      <w:r>
        <w:rPr>
          <w:rFonts w:hint="default" w:ascii="Arial" w:hAnsi="Arial" w:eastAsia="宋体" w:cs="Arial"/>
          <w:b/>
          <w:color w:val="auto"/>
          <w:szCs w:val="21"/>
          <w:highlight w:val="none"/>
        </w:rPr>
        <w:t xml:space="preserve">项目编号： </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29"/>
        <w:gridCol w:w="2253"/>
        <w:gridCol w:w="1351"/>
        <w:gridCol w:w="946"/>
        <w:gridCol w:w="1112"/>
        <w:gridCol w:w="9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5" w:hRule="atLeast"/>
        </w:trPr>
        <w:tc>
          <w:tcPr>
            <w:tcW w:w="679"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序号</w:t>
            </w:r>
          </w:p>
        </w:tc>
        <w:tc>
          <w:tcPr>
            <w:tcW w:w="2029"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设备/工具名称</w:t>
            </w:r>
          </w:p>
        </w:tc>
        <w:tc>
          <w:tcPr>
            <w:tcW w:w="2253"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型号规格</w:t>
            </w:r>
          </w:p>
        </w:tc>
        <w:tc>
          <w:tcPr>
            <w:tcW w:w="1351"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品牌/产地</w:t>
            </w:r>
          </w:p>
        </w:tc>
        <w:tc>
          <w:tcPr>
            <w:tcW w:w="946"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数量</w:t>
            </w:r>
          </w:p>
        </w:tc>
        <w:tc>
          <w:tcPr>
            <w:tcW w:w="1112"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价格（元）</w:t>
            </w:r>
          </w:p>
        </w:tc>
        <w:tc>
          <w:tcPr>
            <w:tcW w:w="931"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bl>
    <w:p>
      <w:pPr>
        <w:spacing w:after="156" w:afterLines="50" w:line="400" w:lineRule="exact"/>
        <w:ind w:left="4620" w:leftChars="2200"/>
        <w:rPr>
          <w:rFonts w:hint="default" w:ascii="Arial" w:hAnsi="Arial" w:eastAsia="宋体" w:cs="Arial"/>
          <w:color w:val="auto"/>
          <w:szCs w:val="21"/>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投标供应商全称（盖章）：  </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line="480" w:lineRule="auto"/>
        <w:ind w:left="4677" w:leftChars="2227"/>
        <w:rPr>
          <w:rFonts w:hint="default" w:ascii="Arial" w:hAnsi="Arial" w:eastAsia="宋体" w:cs="Arial"/>
          <w:color w:val="auto"/>
          <w:highlight w:val="none"/>
        </w:rPr>
      </w:pPr>
    </w:p>
    <w:p>
      <w:pPr>
        <w:spacing w:line="480" w:lineRule="auto"/>
        <w:ind w:left="4677" w:leftChars="2227"/>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24" w:name="_Toc40429194"/>
      <w:r>
        <w:rPr>
          <w:rFonts w:hint="default" w:ascii="Arial" w:hAnsi="Arial" w:eastAsia="宋体" w:cs="Arial"/>
          <w:b w:val="0"/>
          <w:color w:val="auto"/>
          <w:sz w:val="28"/>
          <w:szCs w:val="36"/>
          <w:highlight w:val="none"/>
        </w:rPr>
        <w:t xml:space="preserve">附件六    </w:t>
      </w:r>
      <w:bookmarkEnd w:id="122"/>
      <w:bookmarkEnd w:id="123"/>
      <w:r>
        <w:rPr>
          <w:rFonts w:hint="default" w:ascii="Arial" w:hAnsi="Arial" w:eastAsia="宋体" w:cs="Arial"/>
          <w:b w:val="0"/>
          <w:color w:val="auto"/>
          <w:sz w:val="28"/>
          <w:szCs w:val="36"/>
          <w:highlight w:val="none"/>
        </w:rPr>
        <w:t>拟投入本项目人员配备情况表</w:t>
      </w:r>
      <w:bookmarkEnd w:id="124"/>
    </w:p>
    <w:p>
      <w:pPr>
        <w:spacing w:before="156" w:beforeLines="50" w:after="156" w:afterLines="50" w:line="400" w:lineRule="exact"/>
        <w:rPr>
          <w:rFonts w:hint="default" w:ascii="Arial" w:hAnsi="Arial" w:eastAsia="宋体" w:cs="Arial"/>
          <w:b/>
          <w:bCs/>
          <w:color w:val="auto"/>
          <w:sz w:val="30"/>
          <w:highlight w:val="none"/>
        </w:rPr>
      </w:pPr>
      <w:r>
        <w:rPr>
          <w:rFonts w:hint="default" w:ascii="Arial" w:hAnsi="Arial" w:eastAsia="宋体" w:cs="Arial"/>
          <w:b/>
          <w:color w:val="auto"/>
          <w:szCs w:val="21"/>
          <w:highlight w:val="none"/>
        </w:rPr>
        <w:t xml:space="preserve">项目名称：                            </w:t>
      </w:r>
      <w:r>
        <w:rPr>
          <w:rFonts w:hint="default" w:ascii="Arial" w:hAnsi="Arial" w:eastAsia="宋体" w:cs="Arial"/>
          <w:b/>
          <w:color w:val="auto"/>
          <w:sz w:val="24"/>
          <w:highlight w:val="none"/>
        </w:rPr>
        <w:t xml:space="preserve">                 </w:t>
      </w:r>
      <w:r>
        <w:rPr>
          <w:rFonts w:hint="default" w:ascii="Arial" w:hAnsi="Arial" w:eastAsia="宋体" w:cs="Arial"/>
          <w:b/>
          <w:color w:val="auto"/>
          <w:szCs w:val="21"/>
          <w:highlight w:val="none"/>
        </w:rPr>
        <w:t xml:space="preserve">项目编号： </w:t>
      </w:r>
    </w:p>
    <w:tbl>
      <w:tblPr>
        <w:tblStyle w:val="3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850"/>
        <w:gridCol w:w="851"/>
        <w:gridCol w:w="850"/>
        <w:gridCol w:w="993"/>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trPr>
        <w:tc>
          <w:tcPr>
            <w:tcW w:w="1135" w:type="dxa"/>
            <w:tcBorders>
              <w:top w:val="single" w:color="auto" w:sz="12" w:space="0"/>
              <w:left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姓名</w:t>
            </w:r>
          </w:p>
        </w:tc>
        <w:tc>
          <w:tcPr>
            <w:tcW w:w="1559" w:type="dxa"/>
            <w:tcBorders>
              <w:top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本项目主要工作</w:t>
            </w:r>
          </w:p>
        </w:tc>
        <w:tc>
          <w:tcPr>
            <w:tcW w:w="850" w:type="dxa"/>
            <w:tcBorders>
              <w:top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年龄</w:t>
            </w:r>
          </w:p>
        </w:tc>
        <w:tc>
          <w:tcPr>
            <w:tcW w:w="851" w:type="dxa"/>
            <w:tcBorders>
              <w:top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性别</w:t>
            </w:r>
          </w:p>
        </w:tc>
        <w:tc>
          <w:tcPr>
            <w:tcW w:w="850" w:type="dxa"/>
            <w:tcBorders>
              <w:top w:val="single" w:color="auto" w:sz="12" w:space="0"/>
              <w:bottom w:val="single" w:color="auto" w:sz="12" w:space="0"/>
              <w:right w:val="single" w:color="auto" w:sz="4"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职称/职务</w:t>
            </w:r>
          </w:p>
        </w:tc>
        <w:tc>
          <w:tcPr>
            <w:tcW w:w="993" w:type="dxa"/>
            <w:tcBorders>
              <w:top w:val="single" w:color="auto" w:sz="12" w:space="0"/>
              <w:left w:val="single" w:color="auto" w:sz="4"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专业/</w:t>
            </w:r>
          </w:p>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年限</w:t>
            </w:r>
          </w:p>
        </w:tc>
        <w:tc>
          <w:tcPr>
            <w:tcW w:w="2973" w:type="dxa"/>
            <w:tcBorders>
              <w:top w:val="single" w:color="auto" w:sz="12" w:space="0"/>
              <w:bottom w:val="single" w:color="auto" w:sz="12" w:space="0"/>
              <w:right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是否有上岗证、资格证书等介绍（或另附简历）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top w:val="single" w:color="auto" w:sz="12" w:space="0"/>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tcBorders>
              <w:top w:val="single" w:color="auto" w:sz="12" w:space="0"/>
            </w:tcBorders>
            <w:noWrap w:val="0"/>
            <w:vAlign w:val="center"/>
          </w:tcPr>
          <w:p>
            <w:pPr>
              <w:pStyle w:val="129"/>
              <w:pBdr>
                <w:left w:val="none" w:color="auto" w:sz="0" w:space="0"/>
                <w:bottom w:val="none" w:color="auto" w:sz="0" w:space="0"/>
                <w:right w:val="none" w:color="auto" w:sz="0" w:space="0"/>
              </w:pBdr>
              <w:spacing w:before="0" w:beforeAutospacing="0" w:after="0" w:afterAutospacing="0" w:line="400" w:lineRule="atLeast"/>
              <w:textAlignment w:val="auto"/>
              <w:rPr>
                <w:rFonts w:hint="default" w:ascii="Arial" w:hAnsi="Arial" w:eastAsia="宋体" w:cs="Arial"/>
                <w:color w:val="auto"/>
                <w:highlight w:val="none"/>
              </w:rPr>
            </w:pPr>
          </w:p>
        </w:tc>
        <w:tc>
          <w:tcPr>
            <w:tcW w:w="850" w:type="dxa"/>
            <w:tcBorders>
              <w:top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851" w:type="dxa"/>
            <w:tcBorders>
              <w:top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850" w:type="dxa"/>
            <w:tcBorders>
              <w:top w:val="single" w:color="auto" w:sz="12" w:space="0"/>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top w:val="single" w:color="auto" w:sz="12" w:space="0"/>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top w:val="single" w:color="auto" w:sz="12" w:space="0"/>
              <w:left w:val="single" w:color="auto" w:sz="4" w:space="0"/>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pStyle w:val="19"/>
              <w:spacing w:line="400" w:lineRule="atLeast"/>
              <w:ind w:left="5250"/>
              <w:rPr>
                <w:rFonts w:hint="default" w:ascii="Arial" w:hAnsi="Arial"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bl>
    <w:p>
      <w:pPr>
        <w:pStyle w:val="25"/>
        <w:spacing w:line="400" w:lineRule="exact"/>
        <w:rPr>
          <w:rFonts w:hint="default" w:ascii="Arial" w:hAnsi="Arial" w:eastAsia="宋体" w:cs="Arial"/>
          <w:b w:val="0"/>
          <w:color w:val="auto"/>
          <w:highlight w:val="none"/>
        </w:rPr>
      </w:pPr>
      <w:r>
        <w:rPr>
          <w:rFonts w:hint="default" w:ascii="Arial" w:hAnsi="Arial" w:eastAsia="宋体" w:cs="Arial"/>
          <w:b w:val="0"/>
          <w:color w:val="auto"/>
          <w:highlight w:val="none"/>
        </w:rPr>
        <w:t>注： 1.本表人员随表提供身份证、毕业证书、有资格证书的应随表提交职称、资格证书等（扫描件加盖电子签章）。</w:t>
      </w:r>
    </w:p>
    <w:p>
      <w:pPr>
        <w:spacing w:after="156" w:afterLines="50" w:line="400" w:lineRule="exact"/>
        <w:ind w:left="4620" w:leftChars="2200"/>
        <w:rPr>
          <w:rFonts w:hint="default" w:ascii="Arial" w:hAnsi="Arial" w:eastAsia="宋体" w:cs="Arial"/>
          <w:color w:val="auto"/>
          <w:szCs w:val="21"/>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投标供应商全称（盖章）：  </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25" w:name="_Toc33801655"/>
      <w:bookmarkStart w:id="126" w:name="_Toc40429195"/>
      <w:r>
        <w:rPr>
          <w:rFonts w:hint="default" w:ascii="Arial" w:hAnsi="Arial" w:eastAsia="宋体" w:cs="Arial"/>
          <w:b w:val="0"/>
          <w:color w:val="auto"/>
          <w:sz w:val="28"/>
          <w:szCs w:val="36"/>
          <w:highlight w:val="none"/>
        </w:rPr>
        <w:t xml:space="preserve">附件七  </w:t>
      </w:r>
      <w:bookmarkEnd w:id="125"/>
      <w:r>
        <w:rPr>
          <w:rFonts w:hint="default" w:ascii="Arial" w:hAnsi="Arial" w:eastAsia="宋体" w:cs="Arial"/>
          <w:b w:val="0"/>
          <w:color w:val="auto"/>
          <w:sz w:val="28"/>
          <w:szCs w:val="36"/>
          <w:highlight w:val="none"/>
        </w:rPr>
        <w:t>投标供应商201</w:t>
      </w:r>
      <w:r>
        <w:rPr>
          <w:rFonts w:hint="default" w:ascii="Arial" w:hAnsi="Arial" w:eastAsia="宋体" w:cs="Arial"/>
          <w:b w:val="0"/>
          <w:color w:val="auto"/>
          <w:sz w:val="28"/>
          <w:szCs w:val="36"/>
          <w:highlight w:val="none"/>
          <w:lang w:val="en-US" w:eastAsia="zh-CN"/>
        </w:rPr>
        <w:t>8</w:t>
      </w:r>
      <w:r>
        <w:rPr>
          <w:rFonts w:hint="default" w:ascii="Arial" w:hAnsi="Arial" w:eastAsia="宋体" w:cs="Arial"/>
          <w:b w:val="0"/>
          <w:color w:val="auto"/>
          <w:sz w:val="28"/>
          <w:szCs w:val="36"/>
          <w:highlight w:val="none"/>
        </w:rPr>
        <w:t>年1月以来同类业绩一览表</w:t>
      </w:r>
      <w:bookmarkEnd w:id="126"/>
    </w:p>
    <w:p>
      <w:pPr>
        <w:spacing w:before="312" w:beforeLines="100" w:after="156" w:afterLines="50"/>
        <w:ind w:right="-11"/>
        <w:rPr>
          <w:rFonts w:hint="default" w:ascii="Arial" w:hAnsi="Arial" w:eastAsia="宋体" w:cs="Arial"/>
          <w:b/>
          <w:bCs/>
          <w:color w:val="auto"/>
          <w:sz w:val="30"/>
          <w:highlight w:val="none"/>
        </w:rPr>
      </w:pPr>
      <w:r>
        <w:rPr>
          <w:rFonts w:hint="default" w:ascii="Arial" w:hAnsi="Arial" w:eastAsia="宋体" w:cs="Arial"/>
          <w:b/>
          <w:color w:val="auto"/>
          <w:szCs w:val="21"/>
          <w:highlight w:val="none"/>
        </w:rPr>
        <w:t>项目名称：                                         项目编号：</w:t>
      </w:r>
    </w:p>
    <w:tbl>
      <w:tblPr>
        <w:tblStyle w:val="34"/>
        <w:tblW w:w="0" w:type="auto"/>
        <w:tblInd w:w="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2859"/>
        <w:gridCol w:w="1549"/>
        <w:gridCol w:w="1234"/>
        <w:gridCol w:w="1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用户名称</w:t>
            </w:r>
          </w:p>
        </w:tc>
        <w:tc>
          <w:tcPr>
            <w:tcW w:w="285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地址、联系电话</w:t>
            </w:r>
          </w:p>
        </w:tc>
        <w:tc>
          <w:tcPr>
            <w:tcW w:w="154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合同起止时间</w:t>
            </w:r>
          </w:p>
        </w:tc>
        <w:tc>
          <w:tcPr>
            <w:tcW w:w="1234"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合同金额</w:t>
            </w:r>
          </w:p>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（万元）</w:t>
            </w:r>
          </w:p>
        </w:tc>
        <w:tc>
          <w:tcPr>
            <w:tcW w:w="134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服务内容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bl>
    <w:p>
      <w:pPr>
        <w:rPr>
          <w:rFonts w:hint="default" w:ascii="Arial" w:hAnsi="Arial" w:eastAsia="宋体" w:cs="Arial"/>
          <w:color w:val="auto"/>
          <w:highlight w:val="none"/>
        </w:rPr>
      </w:pPr>
      <w:r>
        <w:rPr>
          <w:rFonts w:hint="default" w:ascii="Arial" w:hAnsi="Arial" w:eastAsia="宋体" w:cs="Arial"/>
          <w:color w:val="auto"/>
          <w:highlight w:val="none"/>
        </w:rPr>
        <w:t>注：1、合同有效性认定：</w:t>
      </w:r>
      <w:r>
        <w:rPr>
          <w:rFonts w:hint="default" w:ascii="Arial" w:hAnsi="Arial" w:eastAsia="宋体" w:cs="Arial"/>
          <w:bCs/>
          <w:color w:val="auto"/>
          <w:kern w:val="28"/>
          <w:highlight w:val="none"/>
        </w:rPr>
        <w:t>提供合同复印件扫描件加盖电子签章。</w:t>
      </w:r>
    </w:p>
    <w:p>
      <w:pPr>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2、业绩认定时间以合同签订时间为准。</w:t>
      </w:r>
    </w:p>
    <w:p>
      <w:pPr>
        <w:spacing w:line="360" w:lineRule="auto"/>
        <w:rPr>
          <w:rFonts w:hint="default" w:ascii="Arial" w:hAnsi="Arial" w:eastAsia="宋体" w:cs="Arial"/>
          <w:color w:val="auto"/>
          <w:szCs w:val="21"/>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after="156" w:afterLines="50" w:line="400" w:lineRule="exact"/>
        <w:rPr>
          <w:rFonts w:hint="default" w:ascii="Arial" w:hAnsi="Arial" w:eastAsia="宋体" w:cs="Arial"/>
          <w:color w:val="auto"/>
          <w:szCs w:val="21"/>
          <w:highlight w:val="none"/>
        </w:rPr>
      </w:pPr>
    </w:p>
    <w:bookmarkEnd w:id="114"/>
    <w:bookmarkEnd w:id="115"/>
    <w:bookmarkEnd w:id="116"/>
    <w:bookmarkEnd w:id="117"/>
    <w:bookmarkEnd w:id="118"/>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27" w:name="_Toc40429196"/>
      <w:r>
        <w:rPr>
          <w:rFonts w:hint="default" w:ascii="Arial" w:hAnsi="Arial" w:eastAsia="宋体" w:cs="Arial"/>
          <w:b w:val="0"/>
          <w:color w:val="auto"/>
          <w:sz w:val="28"/>
          <w:szCs w:val="36"/>
          <w:highlight w:val="none"/>
        </w:rPr>
        <w:t>附件八  开标一览表</w:t>
      </w:r>
      <w:bookmarkEnd w:id="74"/>
      <w:bookmarkEnd w:id="75"/>
      <w:bookmarkEnd w:id="76"/>
      <w:bookmarkEnd w:id="77"/>
      <w:bookmarkEnd w:id="78"/>
      <w:bookmarkEnd w:id="79"/>
      <w:bookmarkEnd w:id="127"/>
    </w:p>
    <w:p>
      <w:pPr>
        <w:pStyle w:val="6"/>
        <w:spacing w:line="400" w:lineRule="exact"/>
        <w:ind w:firstLine="0"/>
        <w:rPr>
          <w:rFonts w:hint="default" w:ascii="Arial" w:hAnsi="Arial" w:eastAsia="宋体" w:cs="Arial"/>
          <w:color w:val="auto"/>
          <w:highlight w:val="none"/>
        </w:rPr>
      </w:pPr>
      <w:bookmarkStart w:id="128" w:name="_Toc5852"/>
      <w:bookmarkStart w:id="129" w:name="_Toc28178"/>
      <w:bookmarkStart w:id="130" w:name="_Toc3059"/>
      <w:bookmarkStart w:id="131" w:name="_Toc4916"/>
      <w:bookmarkStart w:id="132" w:name="_Toc31004"/>
      <w:bookmarkStart w:id="133" w:name="_Toc28708"/>
      <w:bookmarkStart w:id="134" w:name="_Toc419811114"/>
      <w:r>
        <w:rPr>
          <w:rFonts w:hint="default" w:ascii="Arial" w:hAnsi="Arial" w:eastAsia="宋体" w:cs="Arial"/>
          <w:b/>
          <w:color w:val="auto"/>
          <w:highlight w:val="none"/>
        </w:rPr>
        <w:t xml:space="preserve">  项目编号：</w:t>
      </w:r>
      <w:r>
        <w:rPr>
          <w:rFonts w:hint="default" w:ascii="Arial" w:hAnsi="Arial" w:eastAsia="宋体" w:cs="Arial"/>
          <w:color w:val="auto"/>
          <w:highlight w:val="none"/>
        </w:rPr>
        <w:t xml:space="preserve">                                              </w:t>
      </w:r>
      <w:r>
        <w:rPr>
          <w:rFonts w:hint="default" w:ascii="Arial" w:hAnsi="Arial" w:eastAsia="宋体" w:cs="Arial"/>
          <w:b/>
          <w:color w:val="auto"/>
          <w:highlight w:val="none"/>
        </w:rPr>
        <w:t>（价格单位：人民币元）</w:t>
      </w:r>
    </w:p>
    <w:tbl>
      <w:tblPr>
        <w:tblStyle w:val="34"/>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56"/>
        <w:gridCol w:w="3199"/>
        <w:gridCol w:w="31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1" w:hRule="atLeast"/>
          <w:jc w:val="center"/>
        </w:trPr>
        <w:tc>
          <w:tcPr>
            <w:tcW w:w="3456" w:type="dxa"/>
            <w:noWrap w:val="0"/>
            <w:vAlign w:val="center"/>
          </w:tcPr>
          <w:p>
            <w:pPr>
              <w:spacing w:line="360" w:lineRule="auto"/>
              <w:ind w:right="-21" w:rightChars="-10"/>
              <w:jc w:val="center"/>
              <w:rPr>
                <w:rFonts w:hint="default" w:ascii="Arial" w:hAnsi="Arial" w:eastAsia="宋体" w:cs="Arial"/>
                <w:color w:val="auto"/>
                <w:sz w:val="24"/>
                <w:highlight w:val="none"/>
              </w:rPr>
            </w:pPr>
            <w:r>
              <w:rPr>
                <w:rFonts w:hint="default" w:ascii="Arial" w:hAnsi="Arial" w:eastAsia="宋体" w:cs="Arial"/>
                <w:color w:val="auto"/>
                <w:sz w:val="24"/>
                <w:highlight w:val="none"/>
              </w:rPr>
              <w:t>项目名称</w:t>
            </w:r>
          </w:p>
        </w:tc>
        <w:tc>
          <w:tcPr>
            <w:tcW w:w="3199" w:type="dxa"/>
            <w:noWrap w:val="0"/>
            <w:vAlign w:val="center"/>
          </w:tcPr>
          <w:p>
            <w:pPr>
              <w:spacing w:line="360" w:lineRule="auto"/>
              <w:ind w:right="-21" w:rightChars="-1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服务期</w:t>
            </w:r>
          </w:p>
        </w:tc>
        <w:tc>
          <w:tcPr>
            <w:tcW w:w="3199" w:type="dxa"/>
            <w:noWrap w:val="0"/>
            <w:vAlign w:val="center"/>
          </w:tcPr>
          <w:p>
            <w:pPr>
              <w:spacing w:line="360" w:lineRule="auto"/>
              <w:ind w:right="-21" w:rightChars="-1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项目负责人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456" w:type="dxa"/>
            <w:noWrap w:val="0"/>
            <w:vAlign w:val="center"/>
          </w:tcPr>
          <w:p>
            <w:pPr>
              <w:spacing w:line="360" w:lineRule="auto"/>
              <w:ind w:right="-21" w:rightChars="-10"/>
              <w:jc w:val="center"/>
              <w:rPr>
                <w:rFonts w:hint="default" w:ascii="Arial" w:hAnsi="Arial" w:eastAsia="宋体" w:cs="Arial"/>
                <w:color w:val="auto"/>
                <w:sz w:val="28"/>
                <w:highlight w:val="none"/>
                <w:lang w:eastAsia="zh-CN"/>
              </w:rPr>
            </w:pPr>
            <w:r>
              <w:rPr>
                <w:rFonts w:hint="default" w:ascii="Arial" w:hAnsi="Arial" w:eastAsia="宋体" w:cs="Arial"/>
                <w:color w:val="auto"/>
                <w:highlight w:val="none"/>
                <w:lang w:eastAsia="zh-CN"/>
              </w:rPr>
              <w:t>瑞安市公安局**辅助人员劳务服务</w:t>
            </w:r>
          </w:p>
        </w:tc>
        <w:tc>
          <w:tcPr>
            <w:tcW w:w="3199" w:type="dxa"/>
            <w:noWrap w:val="0"/>
            <w:vAlign w:val="center"/>
          </w:tcPr>
          <w:p>
            <w:pPr>
              <w:spacing w:line="360" w:lineRule="auto"/>
              <w:ind w:right="-21" w:rightChars="-10"/>
              <w:jc w:val="center"/>
              <w:rPr>
                <w:rFonts w:hint="default" w:ascii="Arial" w:hAnsi="Arial" w:eastAsia="宋体" w:cs="Arial"/>
                <w:color w:val="auto"/>
                <w:sz w:val="28"/>
                <w:highlight w:val="none"/>
              </w:rPr>
            </w:pPr>
          </w:p>
        </w:tc>
        <w:tc>
          <w:tcPr>
            <w:tcW w:w="3199" w:type="dxa"/>
            <w:noWrap w:val="0"/>
            <w:vAlign w:val="center"/>
          </w:tcPr>
          <w:p>
            <w:pPr>
              <w:spacing w:line="360" w:lineRule="auto"/>
              <w:ind w:right="-21" w:rightChars="-10"/>
              <w:jc w:val="center"/>
              <w:rPr>
                <w:rFonts w:hint="default" w:ascii="Arial" w:hAnsi="Arial" w:eastAsia="宋体" w:cs="Arial"/>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456" w:type="dxa"/>
            <w:noWrap w:val="0"/>
            <w:vAlign w:val="center"/>
          </w:tcPr>
          <w:p>
            <w:pPr>
              <w:spacing w:line="360" w:lineRule="auto"/>
              <w:ind w:right="-21" w:rightChars="-10"/>
              <w:jc w:val="center"/>
              <w:rPr>
                <w:rFonts w:hint="default" w:ascii="Arial" w:hAnsi="Arial" w:eastAsia="宋体" w:cs="Arial"/>
                <w:color w:val="auto"/>
                <w:highlight w:val="none"/>
              </w:rPr>
            </w:pPr>
            <w:r>
              <w:rPr>
                <w:rFonts w:hint="default" w:ascii="Arial" w:hAnsi="Arial" w:eastAsia="宋体" w:cs="Arial"/>
                <w:color w:val="auto"/>
                <w:highlight w:val="none"/>
              </w:rPr>
              <w:t>投标报价</w:t>
            </w:r>
          </w:p>
        </w:tc>
        <w:tc>
          <w:tcPr>
            <w:tcW w:w="6398" w:type="dxa"/>
            <w:gridSpan w:val="2"/>
            <w:noWrap w:val="0"/>
            <w:vAlign w:val="center"/>
          </w:tcPr>
          <w:p>
            <w:pPr>
              <w:pStyle w:val="19"/>
              <w:spacing w:line="360" w:lineRule="auto"/>
              <w:ind w:right="-21" w:rightChars="-10"/>
              <w:rPr>
                <w:rFonts w:hint="default" w:ascii="Arial" w:hAnsi="Arial" w:eastAsia="宋体" w:cs="Arial"/>
                <w:color w:val="auto"/>
                <w:highlight w:val="none"/>
              </w:rPr>
            </w:pPr>
            <w:r>
              <w:rPr>
                <w:rFonts w:hint="default" w:ascii="Arial" w:hAnsi="Arial" w:eastAsia="宋体" w:cs="Arial"/>
                <w:b/>
                <w:color w:val="auto"/>
                <w:sz w:val="28"/>
                <w:szCs w:val="28"/>
                <w:highlight w:val="none"/>
              </w:rPr>
              <w:t>（大写）：        元/人·月</w:t>
            </w:r>
          </w:p>
          <w:p>
            <w:pPr>
              <w:spacing w:line="360" w:lineRule="auto"/>
              <w:ind w:right="-21" w:rightChars="-10"/>
              <w:rPr>
                <w:rFonts w:hint="default" w:ascii="Arial" w:hAnsi="Arial" w:eastAsia="宋体" w:cs="Arial"/>
                <w:color w:val="auto"/>
                <w:sz w:val="28"/>
                <w:highlight w:val="none"/>
              </w:rPr>
            </w:pPr>
            <w:r>
              <w:rPr>
                <w:rFonts w:hint="default" w:ascii="Arial" w:hAnsi="Arial" w:eastAsia="宋体" w:cs="Arial"/>
                <w:b/>
                <w:color w:val="auto"/>
                <w:sz w:val="28"/>
                <w:szCs w:val="28"/>
                <w:highlight w:val="none"/>
              </w:rPr>
              <w:t>￥:            元/人·月</w:t>
            </w:r>
          </w:p>
        </w:tc>
      </w:tr>
    </w:tbl>
    <w:p>
      <w:pPr>
        <w:widowControl w:val="0"/>
        <w:tabs>
          <w:tab w:val="left" w:pos="540"/>
        </w:tabs>
        <w:snapToGrid w:val="0"/>
        <w:spacing w:line="360" w:lineRule="auto"/>
        <w:jc w:val="both"/>
        <w:rPr>
          <w:rFonts w:hint="default" w:ascii="Arial" w:hAnsi="Arial" w:eastAsia="宋体" w:cs="Arial"/>
          <w:b/>
          <w:color w:val="auto"/>
          <w:szCs w:val="21"/>
          <w:highlight w:val="none"/>
          <w:u w:val="wave"/>
        </w:rPr>
      </w:pPr>
      <w:r>
        <w:rPr>
          <w:rFonts w:hint="default" w:ascii="Arial" w:hAnsi="Arial" w:eastAsia="宋体" w:cs="Arial"/>
          <w:b/>
          <w:color w:val="auto"/>
          <w:szCs w:val="21"/>
          <w:highlight w:val="none"/>
          <w:u w:val="wave"/>
        </w:rPr>
        <w:t>注：▲本项目管理费设有最高限价为50元/人·月，超过最高限价的将做无效投标处理。</w:t>
      </w:r>
    </w:p>
    <w:p>
      <w:pPr>
        <w:rPr>
          <w:rFonts w:hint="default" w:ascii="Arial" w:hAnsi="Arial" w:eastAsia="宋体" w:cs="Arial"/>
          <w:color w:val="auto"/>
          <w:highlight w:val="none"/>
        </w:rPr>
      </w:pPr>
    </w:p>
    <w:p>
      <w:pPr>
        <w:spacing w:before="312" w:beforeLines="100" w:after="312" w:afterLines="100" w:line="400" w:lineRule="atLeast"/>
        <w:ind w:left="4620" w:leftChars="2200"/>
        <w:rPr>
          <w:rFonts w:hint="default" w:ascii="Arial" w:hAnsi="Arial" w:eastAsia="宋体" w:cs="Arial"/>
          <w:color w:val="auto"/>
          <w:szCs w:val="21"/>
          <w:highlight w:val="none"/>
        </w:rPr>
      </w:pPr>
    </w:p>
    <w:p>
      <w:pPr>
        <w:spacing w:before="312" w:beforeLines="100" w:after="312" w:afterLines="100" w:line="400" w:lineRule="atLeas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before="312" w:beforeLines="100" w:after="312" w:afterLines="100" w:line="400" w:lineRule="atLeast"/>
        <w:ind w:left="4620" w:leftChars="2200" w:firstLine="1890" w:firstLineChars="9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日期：     </w:t>
      </w: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35" w:name="_Toc474156095"/>
      <w:bookmarkStart w:id="136" w:name="_Toc454832218"/>
      <w:bookmarkStart w:id="137" w:name="_Toc33452999"/>
      <w:bookmarkStart w:id="138" w:name="_Toc40429197"/>
      <w:r>
        <w:rPr>
          <w:rFonts w:hint="default" w:ascii="Arial" w:hAnsi="Arial" w:eastAsia="宋体" w:cs="Arial"/>
          <w:b w:val="0"/>
          <w:color w:val="auto"/>
          <w:sz w:val="28"/>
          <w:szCs w:val="36"/>
          <w:highlight w:val="none"/>
        </w:rPr>
        <w:t xml:space="preserve">附件九  </w:t>
      </w:r>
      <w:bookmarkEnd w:id="135"/>
      <w:bookmarkEnd w:id="136"/>
      <w:r>
        <w:rPr>
          <w:rFonts w:hint="default" w:ascii="Arial" w:hAnsi="Arial" w:eastAsia="宋体" w:cs="Arial"/>
          <w:b w:val="0"/>
          <w:color w:val="auto"/>
          <w:sz w:val="28"/>
          <w:szCs w:val="36"/>
          <w:highlight w:val="none"/>
        </w:rPr>
        <w:t xml:space="preserve"> 报价明细表</w:t>
      </w:r>
      <w:bookmarkEnd w:id="137"/>
      <w:bookmarkEnd w:id="138"/>
    </w:p>
    <w:p>
      <w:pPr>
        <w:rPr>
          <w:rFonts w:hint="default" w:ascii="Arial" w:hAnsi="Arial" w:eastAsia="宋体" w:cs="Arial"/>
          <w:color w:val="auto"/>
          <w:szCs w:val="21"/>
          <w:highlight w:val="none"/>
        </w:rPr>
      </w:pPr>
      <w:r>
        <w:rPr>
          <w:rFonts w:hint="default" w:ascii="Arial" w:hAnsi="Arial" w:eastAsia="宋体" w:cs="Arial"/>
          <w:b/>
          <w:color w:val="auto"/>
          <w:szCs w:val="21"/>
          <w:highlight w:val="none"/>
        </w:rPr>
        <w:t>项目名称：</w:t>
      </w:r>
      <w:r>
        <w:rPr>
          <w:rFonts w:hint="default" w:ascii="Arial" w:hAnsi="Arial" w:eastAsia="宋体" w:cs="Arial"/>
          <w:color w:val="auto"/>
          <w:szCs w:val="21"/>
          <w:highlight w:val="none"/>
        </w:rPr>
        <w:t xml:space="preserve">                                           </w:t>
      </w:r>
      <w:r>
        <w:rPr>
          <w:rFonts w:hint="default" w:ascii="Arial" w:hAnsi="Arial" w:eastAsia="宋体" w:cs="Arial"/>
          <w:b/>
          <w:color w:val="auto"/>
          <w:szCs w:val="21"/>
          <w:highlight w:val="none"/>
        </w:rPr>
        <w:t xml:space="preserve">项目编号: </w:t>
      </w:r>
      <w:r>
        <w:rPr>
          <w:rFonts w:hint="default" w:ascii="Arial" w:hAnsi="Arial" w:eastAsia="宋体" w:cs="Arial"/>
          <w:color w:val="auto"/>
          <w:szCs w:val="21"/>
          <w:highlight w:val="none"/>
        </w:rPr>
        <w:t xml:space="preserve">   </w:t>
      </w:r>
    </w:p>
    <w:tbl>
      <w:tblPr>
        <w:tblStyle w:val="34"/>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193"/>
        <w:gridCol w:w="1265"/>
        <w:gridCol w:w="1285"/>
        <w:gridCol w:w="1359"/>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72" w:type="dxa"/>
            <w:tcBorders>
              <w:top w:val="single" w:color="auto" w:sz="12" w:space="0"/>
              <w:left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序号</w:t>
            </w:r>
          </w:p>
        </w:tc>
        <w:tc>
          <w:tcPr>
            <w:tcW w:w="2193"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费用名称</w:t>
            </w:r>
          </w:p>
        </w:tc>
        <w:tc>
          <w:tcPr>
            <w:tcW w:w="1265"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数量</w:t>
            </w:r>
          </w:p>
        </w:tc>
        <w:tc>
          <w:tcPr>
            <w:tcW w:w="1285"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单价</w:t>
            </w:r>
          </w:p>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（含税）</w:t>
            </w:r>
          </w:p>
        </w:tc>
        <w:tc>
          <w:tcPr>
            <w:tcW w:w="1359"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合价</w:t>
            </w:r>
          </w:p>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（含税）</w:t>
            </w:r>
          </w:p>
        </w:tc>
        <w:tc>
          <w:tcPr>
            <w:tcW w:w="2102" w:type="dxa"/>
            <w:tcBorders>
              <w:top w:val="single" w:color="auto" w:sz="12" w:space="0"/>
              <w:bottom w:val="single" w:color="auto" w:sz="12" w:space="0"/>
              <w:right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2" w:type="dxa"/>
            <w:tcBorders>
              <w:left w:val="single" w:color="auto" w:sz="12" w:space="0"/>
            </w:tcBorders>
            <w:noWrap w:val="0"/>
            <w:vAlign w:val="center"/>
          </w:tcPr>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2193" w:type="dxa"/>
            <w:noWrap w:val="0"/>
            <w:vAlign w:val="center"/>
          </w:tcPr>
          <w:p>
            <w:pPr>
              <w:rPr>
                <w:rFonts w:hint="default" w:ascii="Arial" w:hAnsi="Arial" w:eastAsia="宋体" w:cs="Arial"/>
                <w:color w:val="auto"/>
                <w:szCs w:val="21"/>
                <w:highlight w:val="none"/>
              </w:rPr>
            </w:pPr>
          </w:p>
        </w:tc>
        <w:tc>
          <w:tcPr>
            <w:tcW w:w="1265" w:type="dxa"/>
            <w:noWrap w:val="0"/>
            <w:vAlign w:val="center"/>
          </w:tcPr>
          <w:p>
            <w:pPr>
              <w:ind w:right="-11"/>
              <w:jc w:val="center"/>
              <w:rPr>
                <w:rFonts w:hint="default" w:ascii="Arial" w:hAnsi="Arial" w:eastAsia="宋体" w:cs="Arial"/>
                <w:color w:val="auto"/>
                <w:szCs w:val="21"/>
                <w:highlight w:val="none"/>
              </w:rPr>
            </w:pPr>
          </w:p>
        </w:tc>
        <w:tc>
          <w:tcPr>
            <w:tcW w:w="1285" w:type="dxa"/>
            <w:noWrap w:val="0"/>
            <w:vAlign w:val="center"/>
          </w:tcPr>
          <w:p>
            <w:pPr>
              <w:ind w:right="-11"/>
              <w:jc w:val="center"/>
              <w:rPr>
                <w:rFonts w:hint="default" w:ascii="Arial" w:hAnsi="Arial" w:eastAsia="宋体" w:cs="Arial"/>
                <w:color w:val="auto"/>
                <w:szCs w:val="21"/>
                <w:highlight w:val="none"/>
              </w:rPr>
            </w:pPr>
          </w:p>
        </w:tc>
        <w:tc>
          <w:tcPr>
            <w:tcW w:w="1359" w:type="dxa"/>
            <w:noWrap w:val="0"/>
            <w:vAlign w:val="center"/>
          </w:tcPr>
          <w:p>
            <w:pPr>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72" w:type="dxa"/>
            <w:tcBorders>
              <w:left w:val="single" w:color="auto" w:sz="12" w:space="0"/>
            </w:tcBorders>
            <w:noWrap w:val="0"/>
            <w:vAlign w:val="center"/>
          </w:tcPr>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2</w:t>
            </w:r>
          </w:p>
        </w:tc>
        <w:tc>
          <w:tcPr>
            <w:tcW w:w="2193" w:type="dxa"/>
            <w:noWrap w:val="0"/>
            <w:vAlign w:val="center"/>
          </w:tcPr>
          <w:p>
            <w:pPr>
              <w:rPr>
                <w:rFonts w:hint="default" w:ascii="Arial" w:hAnsi="Arial" w:eastAsia="宋体" w:cs="Arial"/>
                <w:color w:val="auto"/>
                <w:szCs w:val="21"/>
                <w:highlight w:val="none"/>
              </w:rPr>
            </w:pPr>
          </w:p>
        </w:tc>
        <w:tc>
          <w:tcPr>
            <w:tcW w:w="1265" w:type="dxa"/>
            <w:noWrap w:val="0"/>
            <w:vAlign w:val="center"/>
          </w:tcPr>
          <w:p>
            <w:pPr>
              <w:ind w:right="-11"/>
              <w:jc w:val="center"/>
              <w:rPr>
                <w:rFonts w:hint="default" w:ascii="Arial" w:hAnsi="Arial" w:eastAsia="宋体" w:cs="Arial"/>
                <w:color w:val="auto"/>
                <w:szCs w:val="21"/>
                <w:highlight w:val="none"/>
              </w:rPr>
            </w:pPr>
          </w:p>
        </w:tc>
        <w:tc>
          <w:tcPr>
            <w:tcW w:w="1285" w:type="dxa"/>
            <w:noWrap w:val="0"/>
            <w:vAlign w:val="center"/>
          </w:tcPr>
          <w:p>
            <w:pPr>
              <w:ind w:right="-11"/>
              <w:jc w:val="center"/>
              <w:rPr>
                <w:rFonts w:hint="default" w:ascii="Arial" w:hAnsi="Arial" w:eastAsia="宋体" w:cs="Arial"/>
                <w:color w:val="auto"/>
                <w:szCs w:val="21"/>
                <w:highlight w:val="none"/>
              </w:rPr>
            </w:pPr>
          </w:p>
        </w:tc>
        <w:tc>
          <w:tcPr>
            <w:tcW w:w="1359" w:type="dxa"/>
            <w:noWrap w:val="0"/>
            <w:vAlign w:val="center"/>
          </w:tcPr>
          <w:p>
            <w:pPr>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72" w:type="dxa"/>
            <w:tcBorders>
              <w:left w:val="single" w:color="auto" w:sz="12" w:space="0"/>
            </w:tcBorders>
            <w:noWrap w:val="0"/>
            <w:vAlign w:val="center"/>
          </w:tcPr>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3</w:t>
            </w:r>
          </w:p>
        </w:tc>
        <w:tc>
          <w:tcPr>
            <w:tcW w:w="2193" w:type="dxa"/>
            <w:noWrap w:val="0"/>
            <w:vAlign w:val="center"/>
          </w:tcPr>
          <w:p>
            <w:pPr>
              <w:rPr>
                <w:rFonts w:hint="default" w:ascii="Arial" w:hAnsi="Arial" w:eastAsia="宋体" w:cs="Arial"/>
                <w:color w:val="auto"/>
                <w:szCs w:val="21"/>
                <w:highlight w:val="none"/>
              </w:rPr>
            </w:pPr>
          </w:p>
        </w:tc>
        <w:tc>
          <w:tcPr>
            <w:tcW w:w="1265" w:type="dxa"/>
            <w:noWrap w:val="0"/>
            <w:vAlign w:val="center"/>
          </w:tcPr>
          <w:p>
            <w:pPr>
              <w:ind w:right="-11"/>
              <w:jc w:val="center"/>
              <w:rPr>
                <w:rFonts w:hint="default" w:ascii="Arial" w:hAnsi="Arial" w:eastAsia="宋体" w:cs="Arial"/>
                <w:color w:val="auto"/>
                <w:szCs w:val="21"/>
                <w:highlight w:val="none"/>
              </w:rPr>
            </w:pPr>
          </w:p>
        </w:tc>
        <w:tc>
          <w:tcPr>
            <w:tcW w:w="1285" w:type="dxa"/>
            <w:noWrap w:val="0"/>
            <w:vAlign w:val="center"/>
          </w:tcPr>
          <w:p>
            <w:pPr>
              <w:ind w:right="-11"/>
              <w:jc w:val="center"/>
              <w:rPr>
                <w:rFonts w:hint="default" w:ascii="Arial" w:hAnsi="Arial" w:eastAsia="宋体" w:cs="Arial"/>
                <w:color w:val="auto"/>
                <w:szCs w:val="21"/>
                <w:highlight w:val="none"/>
              </w:rPr>
            </w:pPr>
          </w:p>
        </w:tc>
        <w:tc>
          <w:tcPr>
            <w:tcW w:w="1359" w:type="dxa"/>
            <w:noWrap w:val="0"/>
            <w:vAlign w:val="center"/>
          </w:tcPr>
          <w:p>
            <w:pPr>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415" w:type="dxa"/>
            <w:gridSpan w:val="4"/>
            <w:tcBorders>
              <w:left w:val="single" w:color="auto" w:sz="12" w:space="0"/>
              <w:bottom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合计管理费综合单价</w:t>
            </w:r>
          </w:p>
        </w:tc>
        <w:tc>
          <w:tcPr>
            <w:tcW w:w="3461" w:type="dxa"/>
            <w:gridSpan w:val="2"/>
            <w:tcBorders>
              <w:bottom w:val="single" w:color="auto" w:sz="12" w:space="0"/>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bl>
    <w:p>
      <w:pPr>
        <w:widowControl/>
        <w:spacing w:line="360" w:lineRule="exact"/>
        <w:jc w:val="left"/>
        <w:rPr>
          <w:rFonts w:hint="default" w:ascii="Arial" w:hAnsi="Arial" w:eastAsia="宋体" w:cs="Arial"/>
          <w:color w:val="auto"/>
          <w:highlight w:val="none"/>
        </w:rPr>
      </w:pPr>
    </w:p>
    <w:p>
      <w:pPr>
        <w:widowControl/>
        <w:numPr>
          <w:ilvl w:val="0"/>
          <w:numId w:val="32"/>
        </w:numPr>
        <w:spacing w:line="360" w:lineRule="exact"/>
        <w:ind w:left="142" w:hanging="142"/>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此表中的合计管理费综合单价应与附件八 “开标一览表”中投标报价相一致。</w:t>
      </w:r>
    </w:p>
    <w:p>
      <w:pPr>
        <w:widowControl/>
        <w:numPr>
          <w:ilvl w:val="0"/>
          <w:numId w:val="32"/>
        </w:numPr>
        <w:spacing w:line="360" w:lineRule="exact"/>
        <w:ind w:left="142" w:hanging="142"/>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不提供此表格将被视为没有实质性响应招标文件，其投标将被否决。</w:t>
      </w:r>
    </w:p>
    <w:p>
      <w:pPr>
        <w:widowControl/>
        <w:jc w:val="left"/>
        <w:rPr>
          <w:rFonts w:hint="default" w:ascii="Arial" w:hAnsi="Arial" w:eastAsia="宋体" w:cs="Arial"/>
          <w:color w:val="auto"/>
          <w:highlight w:val="none"/>
        </w:rPr>
      </w:pPr>
    </w:p>
    <w:p>
      <w:pPr>
        <w:spacing w:line="440" w:lineRule="exact"/>
        <w:ind w:firstLine="4412" w:firstLineChars="2101"/>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投标供应商全称（盖章）：</w:t>
      </w:r>
    </w:p>
    <w:p>
      <w:pPr>
        <w:spacing w:line="440" w:lineRule="exact"/>
        <w:ind w:firstLine="3992" w:firstLineChars="1901"/>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line="440" w:lineRule="exact"/>
        <w:ind w:firstLine="3992" w:firstLineChars="1901"/>
        <w:rPr>
          <w:rFonts w:hint="default" w:ascii="Arial" w:hAnsi="Arial" w:eastAsia="宋体" w:cs="Arial"/>
          <w:color w:val="auto"/>
          <w:szCs w:val="21"/>
          <w:highlight w:val="none"/>
        </w:rPr>
      </w:pPr>
      <w:r>
        <w:rPr>
          <w:rFonts w:hint="default" w:ascii="Arial" w:hAnsi="Arial" w:eastAsia="宋体" w:cs="Arial"/>
          <w:color w:val="auto"/>
          <w:szCs w:val="21"/>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39" w:name="_Toc40429198"/>
      <w:r>
        <w:rPr>
          <w:rFonts w:hint="default" w:ascii="Arial" w:hAnsi="Arial" w:eastAsia="宋体" w:cs="Arial"/>
          <w:b w:val="0"/>
          <w:color w:val="auto"/>
          <w:sz w:val="28"/>
          <w:szCs w:val="36"/>
          <w:highlight w:val="none"/>
        </w:rPr>
        <w:t>附件十    中小企业声明函</w:t>
      </w:r>
      <w:bookmarkEnd w:id="128"/>
      <w:bookmarkEnd w:id="129"/>
      <w:bookmarkEnd w:id="130"/>
      <w:bookmarkEnd w:id="131"/>
      <w:r>
        <w:rPr>
          <w:rFonts w:hint="default" w:ascii="Arial" w:hAnsi="Arial" w:eastAsia="宋体" w:cs="Arial"/>
          <w:color w:val="auto"/>
          <w:sz w:val="24"/>
          <w:highlight w:val="none"/>
        </w:rPr>
        <w:t>（如有）</w:t>
      </w:r>
      <w:bookmarkEnd w:id="139"/>
    </w:p>
    <w:p>
      <w:pPr>
        <w:spacing w:before="100" w:beforeAutospacing="1" w:after="100" w:afterAutospacing="1" w:line="440" w:lineRule="atLeast"/>
        <w:jc w:val="center"/>
        <w:rPr>
          <w:rFonts w:hint="default" w:ascii="Arial" w:hAnsi="Arial" w:eastAsia="宋体" w:cs="Arial"/>
          <w:color w:val="auto"/>
          <w:szCs w:val="21"/>
          <w:highlight w:val="none"/>
        </w:rPr>
      </w:pP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本公司（联合体）郑重声明，根据《政府采购促进中小</w:t>
      </w:r>
      <w:r>
        <w:rPr>
          <w:rFonts w:hint="default" w:ascii="Arial" w:hAnsi="Arial" w:eastAsia="宋体" w:cs="Arial"/>
          <w:color w:val="auto"/>
          <w:spacing w:val="-11"/>
          <w:szCs w:val="21"/>
          <w:highlight w:val="none"/>
        </w:rPr>
        <w:t>企业发展管理办法》（财库</w:t>
      </w:r>
      <w:r>
        <w:rPr>
          <w:rFonts w:hint="default" w:ascii="Arial" w:hAnsi="Arial" w:eastAsia="宋体" w:cs="Arial"/>
          <w:color w:val="auto"/>
          <w:spacing w:val="2"/>
          <w:szCs w:val="21"/>
          <w:highlight w:val="none"/>
        </w:rPr>
        <w:t>﹝</w:t>
      </w:r>
      <w:r>
        <w:rPr>
          <w:rFonts w:hint="default" w:ascii="Arial" w:hAnsi="Arial" w:eastAsia="宋体" w:cs="Arial"/>
          <w:color w:val="auto"/>
          <w:spacing w:val="1"/>
          <w:szCs w:val="21"/>
          <w:highlight w:val="none"/>
        </w:rPr>
        <w:t>2020</w:t>
      </w:r>
      <w:r>
        <w:rPr>
          <w:rFonts w:hint="default" w:ascii="Arial" w:hAnsi="Arial" w:eastAsia="宋体" w:cs="Arial"/>
          <w:color w:val="auto"/>
          <w:spacing w:val="4"/>
          <w:szCs w:val="21"/>
          <w:highlight w:val="none"/>
        </w:rPr>
        <w:t>﹞</w:t>
      </w:r>
      <w:r>
        <w:rPr>
          <w:rFonts w:hint="default" w:ascii="Arial" w:hAnsi="Arial" w:eastAsia="宋体" w:cs="Arial"/>
          <w:color w:val="auto"/>
          <w:spacing w:val="1"/>
          <w:szCs w:val="21"/>
          <w:highlight w:val="none"/>
        </w:rPr>
        <w:t>46</w:t>
      </w:r>
      <w:r>
        <w:rPr>
          <w:rFonts w:hint="default" w:ascii="Arial" w:hAnsi="Arial" w:eastAsia="宋体" w:cs="Arial"/>
          <w:color w:val="auto"/>
          <w:spacing w:val="2"/>
          <w:szCs w:val="21"/>
          <w:highlight w:val="none"/>
        </w:rPr>
        <w:t xml:space="preserve"> </w:t>
      </w:r>
      <w:r>
        <w:rPr>
          <w:rFonts w:hint="default" w:ascii="Arial" w:hAnsi="Arial" w:eastAsia="宋体" w:cs="Arial"/>
          <w:color w:val="auto"/>
          <w:spacing w:val="3"/>
          <w:szCs w:val="21"/>
          <w:highlight w:val="none"/>
        </w:rPr>
        <w:t>号）的规定，本公司</w:t>
      </w:r>
      <w:r>
        <w:rPr>
          <w:rFonts w:hint="default" w:ascii="Arial" w:hAnsi="Arial" w:eastAsia="宋体" w:cs="Arial"/>
          <w:color w:val="auto"/>
          <w:szCs w:val="21"/>
          <w:highlight w:val="none"/>
        </w:rPr>
        <w:t>（联合体）参加</w:t>
      </w:r>
      <w:r>
        <w:rPr>
          <w:rFonts w:hint="default" w:ascii="Arial" w:hAnsi="Arial" w:eastAsia="宋体" w:cs="Arial"/>
          <w:color w:val="auto"/>
          <w:szCs w:val="21"/>
          <w:highlight w:val="none"/>
          <w:u w:val="single"/>
        </w:rPr>
        <w:t xml:space="preserve">  （单位名称）   </w:t>
      </w:r>
      <w:r>
        <w:rPr>
          <w:rFonts w:hint="default" w:ascii="Arial" w:hAnsi="Arial" w:eastAsia="宋体" w:cs="Arial"/>
          <w:color w:val="auto"/>
          <w:spacing w:val="-1"/>
          <w:szCs w:val="21"/>
          <w:highlight w:val="none"/>
        </w:rPr>
        <w:t>的</w:t>
      </w:r>
      <w:r>
        <w:rPr>
          <w:rFonts w:hint="default" w:ascii="Arial" w:hAnsi="Arial" w:eastAsia="宋体" w:cs="Arial"/>
          <w:color w:val="auto"/>
          <w:szCs w:val="21"/>
          <w:highlight w:val="none"/>
          <w:u w:val="single"/>
        </w:rPr>
        <w:t xml:space="preserve">（项目名称）       </w:t>
      </w:r>
      <w:r>
        <w:rPr>
          <w:rFonts w:hint="default" w:ascii="Arial" w:hAnsi="Arial" w:eastAsia="宋体" w:cs="Arial"/>
          <w:color w:val="auto"/>
          <w:szCs w:val="21"/>
          <w:highlight w:val="none"/>
        </w:rPr>
        <w:t>采购活动，</w:t>
      </w:r>
      <w:r>
        <w:rPr>
          <w:rFonts w:hint="default" w:ascii="Arial" w:hAnsi="Arial" w:eastAsia="宋体" w:cs="Arial"/>
          <w:color w:val="auto"/>
          <w:spacing w:val="-1"/>
          <w:szCs w:val="21"/>
          <w:highlight w:val="none"/>
        </w:rPr>
        <w:t>服务全部由符合政策要求的中小企业承接。相关企业（含联合体中的中小企业、签订分包意向协议的中小企业）的具体情</w:t>
      </w:r>
      <w:r>
        <w:rPr>
          <w:rFonts w:hint="default" w:ascii="Arial" w:hAnsi="Arial" w:eastAsia="宋体" w:cs="Arial"/>
          <w:color w:val="auto"/>
          <w:szCs w:val="21"/>
          <w:highlight w:val="none"/>
        </w:rPr>
        <w:t>况如下：</w:t>
      </w: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1. </w:t>
      </w:r>
      <w:r>
        <w:rPr>
          <w:rFonts w:hint="default" w:ascii="Arial" w:hAnsi="Arial" w:eastAsia="宋体" w:cs="Arial"/>
          <w:color w:val="auto"/>
          <w:szCs w:val="21"/>
          <w:highlight w:val="none"/>
          <w:u w:val="single"/>
        </w:rPr>
        <w:t xml:space="preserve">（标的名称）    </w:t>
      </w:r>
      <w:r>
        <w:rPr>
          <w:rFonts w:hint="default" w:ascii="Arial" w:hAnsi="Arial" w:eastAsia="宋体" w:cs="Arial"/>
          <w:color w:val="auto"/>
          <w:szCs w:val="21"/>
          <w:highlight w:val="none"/>
        </w:rPr>
        <w:t>，属于</w:t>
      </w:r>
      <w:r>
        <w:rPr>
          <w:rFonts w:hint="default" w:ascii="Arial" w:hAnsi="Arial" w:eastAsia="宋体" w:cs="Arial"/>
          <w:color w:val="auto"/>
          <w:szCs w:val="21"/>
          <w:highlight w:val="none"/>
          <w:u w:val="single"/>
        </w:rPr>
        <w:t xml:space="preserve">（采购文件中明确的所属行业）   </w:t>
      </w:r>
      <w:r>
        <w:rPr>
          <w:rFonts w:hint="default" w:ascii="Arial" w:hAnsi="Arial" w:eastAsia="宋体" w:cs="Arial"/>
          <w:color w:val="auto"/>
          <w:szCs w:val="21"/>
          <w:highlight w:val="none"/>
        </w:rPr>
        <w:t>；承建（承接）企业为</w:t>
      </w:r>
      <w:r>
        <w:rPr>
          <w:rFonts w:hint="default" w:ascii="Arial" w:hAnsi="Arial" w:eastAsia="宋体" w:cs="Arial"/>
          <w:color w:val="auto"/>
          <w:szCs w:val="21"/>
          <w:highlight w:val="none"/>
          <w:u w:val="single"/>
        </w:rPr>
        <w:t xml:space="preserve">（企业名称）      </w:t>
      </w:r>
      <w:r>
        <w:rPr>
          <w:rFonts w:hint="default" w:ascii="Arial" w:hAnsi="Arial" w:eastAsia="宋体" w:cs="Arial"/>
          <w:color w:val="auto"/>
          <w:szCs w:val="21"/>
          <w:highlight w:val="none"/>
        </w:rPr>
        <w:t>，从业人员</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人，营业收入为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万元，资产总额为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万元，属于</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（中型企业、小型企业或微型企业）；</w:t>
      </w: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2. </w:t>
      </w:r>
      <w:r>
        <w:rPr>
          <w:rFonts w:hint="default" w:ascii="Arial" w:hAnsi="Arial" w:eastAsia="宋体" w:cs="Arial"/>
          <w:color w:val="auto"/>
          <w:szCs w:val="21"/>
          <w:highlight w:val="none"/>
          <w:u w:val="single"/>
        </w:rPr>
        <w:t xml:space="preserve">（标的名称）    </w:t>
      </w:r>
      <w:r>
        <w:rPr>
          <w:rFonts w:hint="default" w:ascii="Arial" w:hAnsi="Arial" w:eastAsia="宋体" w:cs="Arial"/>
          <w:color w:val="auto"/>
          <w:szCs w:val="21"/>
          <w:highlight w:val="none"/>
        </w:rPr>
        <w:t>，属于</w:t>
      </w:r>
      <w:r>
        <w:rPr>
          <w:rFonts w:hint="default" w:ascii="Arial" w:hAnsi="Arial" w:eastAsia="宋体" w:cs="Arial"/>
          <w:color w:val="auto"/>
          <w:szCs w:val="21"/>
          <w:highlight w:val="none"/>
          <w:u w:val="single"/>
        </w:rPr>
        <w:t xml:space="preserve">（采购文件中明确的所属行业）   </w:t>
      </w:r>
      <w:r>
        <w:rPr>
          <w:rFonts w:hint="default" w:ascii="Arial" w:hAnsi="Arial" w:eastAsia="宋体" w:cs="Arial"/>
          <w:color w:val="auto"/>
          <w:szCs w:val="21"/>
          <w:highlight w:val="none"/>
        </w:rPr>
        <w:t>；承建（承接）企业为</w:t>
      </w:r>
      <w:r>
        <w:rPr>
          <w:rFonts w:hint="default" w:ascii="Arial" w:hAnsi="Arial" w:eastAsia="宋体" w:cs="Arial"/>
          <w:color w:val="auto"/>
          <w:szCs w:val="21"/>
          <w:highlight w:val="none"/>
          <w:u w:val="single"/>
        </w:rPr>
        <w:t xml:space="preserve">（企业名称）      </w:t>
      </w:r>
      <w:r>
        <w:rPr>
          <w:rFonts w:hint="default" w:ascii="Arial" w:hAnsi="Arial" w:eastAsia="宋体" w:cs="Arial"/>
          <w:color w:val="auto"/>
          <w:szCs w:val="21"/>
          <w:highlight w:val="none"/>
        </w:rPr>
        <w:t>，从业人员</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人，营业收入为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万元，资产总额为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万元，属于</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 xml:space="preserve">（中型企业、小型企业或微型企业）； </w:t>
      </w:r>
    </w:p>
    <w:p>
      <w:pPr>
        <w:spacing w:line="360" w:lineRule="auto"/>
        <w:ind w:left="641" w:firstLine="420" w:firstLineChars="200"/>
        <w:rPr>
          <w:rFonts w:hint="default" w:ascii="Arial" w:hAnsi="Arial" w:eastAsia="宋体" w:cs="Arial"/>
          <w:color w:val="auto"/>
          <w:szCs w:val="21"/>
          <w:highlight w:val="none"/>
        </w:rPr>
      </w:pP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w:t>
      </w:r>
    </w:p>
    <w:p>
      <w:pPr>
        <w:spacing w:line="360" w:lineRule="auto"/>
        <w:rPr>
          <w:rFonts w:hint="default" w:ascii="Arial" w:hAnsi="Arial" w:eastAsia="宋体" w:cs="Arial"/>
          <w:color w:val="auto"/>
          <w:highlight w:val="none"/>
        </w:rPr>
      </w:pP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以上企业，不属于大企业的分支机构，不存在控股股东为大企业的情形，也不存在与大企业的负责人为同一人的情形。</w:t>
      </w: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本企业对上述声明内容的真实性负责。如有虚假，将依法承担相应责任。</w:t>
      </w:r>
    </w:p>
    <w:p>
      <w:pPr>
        <w:spacing w:before="223" w:line="329" w:lineRule="exact"/>
        <w:ind w:left="3840"/>
        <w:rPr>
          <w:rFonts w:hint="default" w:ascii="Arial" w:hAnsi="Arial" w:eastAsia="宋体" w:cs="Arial"/>
          <w:color w:val="auto"/>
          <w:spacing w:val="-18"/>
          <w:szCs w:val="21"/>
          <w:highlight w:val="none"/>
        </w:rPr>
      </w:pPr>
    </w:p>
    <w:p>
      <w:pPr>
        <w:spacing w:before="223" w:line="329" w:lineRule="exact"/>
        <w:ind w:left="3840"/>
        <w:rPr>
          <w:rFonts w:hint="default" w:ascii="Arial" w:hAnsi="Arial" w:eastAsia="宋体" w:cs="Arial"/>
          <w:color w:val="auto"/>
          <w:szCs w:val="21"/>
          <w:highlight w:val="none"/>
        </w:rPr>
      </w:pPr>
      <w:r>
        <w:rPr>
          <w:rFonts w:hint="default" w:ascii="Arial" w:hAnsi="Arial" w:eastAsia="宋体" w:cs="Arial"/>
          <w:color w:val="auto"/>
          <w:szCs w:val="21"/>
          <w:highlight w:val="none"/>
        </w:rPr>
        <w:t>磋商供应商</w:t>
      </w:r>
      <w:r>
        <w:rPr>
          <w:rFonts w:hint="default" w:ascii="Arial" w:hAnsi="Arial" w:eastAsia="宋体" w:cs="Arial"/>
          <w:color w:val="auto"/>
          <w:spacing w:val="-18"/>
          <w:szCs w:val="21"/>
          <w:highlight w:val="none"/>
        </w:rPr>
        <w:t>（盖章）：</w:t>
      </w:r>
    </w:p>
    <w:p>
      <w:pPr>
        <w:spacing w:before="211" w:line="329" w:lineRule="exact"/>
        <w:ind w:left="3840"/>
        <w:rPr>
          <w:rFonts w:hint="default" w:ascii="Arial" w:hAnsi="Arial" w:eastAsia="宋体" w:cs="Arial"/>
          <w:color w:val="auto"/>
          <w:spacing w:val="-1"/>
          <w:szCs w:val="21"/>
          <w:highlight w:val="none"/>
        </w:rPr>
      </w:pPr>
      <w:r>
        <w:rPr>
          <w:rFonts w:hint="default" w:ascii="Arial" w:hAnsi="Arial" w:eastAsia="宋体" w:cs="Arial"/>
          <w:color w:val="auto"/>
          <w:szCs w:val="21"/>
          <w:highlight w:val="none"/>
        </w:rPr>
        <w:t>日</w:t>
      </w:r>
      <w:r>
        <w:rPr>
          <w:rFonts w:hint="default" w:ascii="Arial" w:hAnsi="Arial" w:eastAsia="宋体" w:cs="Arial"/>
          <w:color w:val="auto"/>
          <w:spacing w:val="-9"/>
          <w:szCs w:val="21"/>
          <w:highlight w:val="none"/>
        </w:rPr>
        <w:t xml:space="preserve"> </w:t>
      </w:r>
      <w:r>
        <w:rPr>
          <w:rFonts w:hint="default" w:ascii="Arial" w:hAnsi="Arial" w:eastAsia="宋体" w:cs="Arial"/>
          <w:color w:val="auto"/>
          <w:spacing w:val="-1"/>
          <w:szCs w:val="21"/>
          <w:highlight w:val="none"/>
        </w:rPr>
        <w:t>期：</w:t>
      </w:r>
    </w:p>
    <w:p>
      <w:pPr>
        <w:spacing w:line="360" w:lineRule="auto"/>
        <w:ind w:firstLine="413" w:firstLineChars="196"/>
        <w:rPr>
          <w:rFonts w:hint="default" w:ascii="Arial" w:hAnsi="Arial" w:eastAsia="宋体" w:cs="Arial"/>
          <w:b/>
          <w:color w:val="auto"/>
          <w:highlight w:val="none"/>
        </w:rPr>
      </w:pPr>
    </w:p>
    <w:p>
      <w:pPr>
        <w:spacing w:before="312" w:beforeLines="100" w:after="312" w:afterLines="100" w:line="400" w:lineRule="atLeast"/>
        <w:ind w:left="4620" w:leftChars="2200" w:firstLine="210" w:firstLineChars="1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w:t>
      </w:r>
    </w:p>
    <w:p>
      <w:pPr>
        <w:spacing w:before="312" w:beforeLines="100" w:after="312" w:afterLines="100" w:line="400" w:lineRule="atLeast"/>
        <w:ind w:left="4620" w:leftChars="2200" w:firstLine="210" w:firstLineChars="100"/>
        <w:rPr>
          <w:rFonts w:hint="default" w:ascii="Arial" w:hAnsi="Arial" w:eastAsia="宋体" w:cs="Arial"/>
          <w:color w:val="auto"/>
          <w:szCs w:val="21"/>
          <w:highlight w:val="none"/>
        </w:rPr>
      </w:pPr>
    </w:p>
    <w:p>
      <w:pPr>
        <w:spacing w:before="312" w:beforeLines="100" w:after="312" w:afterLines="100" w:line="40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color w:val="auto"/>
          <w:highlight w:val="none"/>
        </w:rPr>
      </w:pPr>
      <w:bookmarkStart w:id="140" w:name="_Toc21778"/>
      <w:bookmarkStart w:id="141" w:name="_Toc18485"/>
      <w:bookmarkStart w:id="142" w:name="_Toc10662"/>
      <w:bookmarkStart w:id="143" w:name="_Toc24714"/>
      <w:bookmarkStart w:id="144" w:name="_Toc3018"/>
      <w:bookmarkStart w:id="145" w:name="_Toc40429199"/>
      <w:r>
        <w:rPr>
          <w:rFonts w:hint="default" w:ascii="Arial" w:hAnsi="Arial" w:eastAsia="宋体" w:cs="Arial"/>
          <w:b w:val="0"/>
          <w:color w:val="auto"/>
          <w:sz w:val="28"/>
          <w:szCs w:val="36"/>
          <w:highlight w:val="none"/>
        </w:rPr>
        <w:t>附件十一    残疾人福利性单位声明函</w:t>
      </w:r>
      <w:bookmarkEnd w:id="140"/>
      <w:bookmarkEnd w:id="141"/>
      <w:bookmarkEnd w:id="142"/>
      <w:bookmarkEnd w:id="143"/>
      <w:bookmarkEnd w:id="144"/>
      <w:r>
        <w:rPr>
          <w:rFonts w:hint="default" w:ascii="Arial" w:hAnsi="Arial" w:eastAsia="宋体" w:cs="Arial"/>
          <w:color w:val="auto"/>
          <w:sz w:val="24"/>
          <w:highlight w:val="none"/>
        </w:rPr>
        <w:t>（如有）</w:t>
      </w:r>
      <w:bookmarkEnd w:id="145"/>
    </w:p>
    <w:p>
      <w:pPr>
        <w:spacing w:line="588" w:lineRule="exact"/>
        <w:rPr>
          <w:rFonts w:hint="default" w:ascii="Arial" w:hAnsi="Arial" w:eastAsia="宋体" w:cs="Arial"/>
          <w:b/>
          <w:color w:val="auto"/>
          <w:spacing w:val="6"/>
          <w:sz w:val="30"/>
          <w:szCs w:val="30"/>
          <w:highlight w:val="none"/>
        </w:rPr>
      </w:pPr>
    </w:p>
    <w:p>
      <w:pPr>
        <w:spacing w:line="588"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本单位对上述声明的真实性负责。如有虚假，将依法承担相应责任。</w:t>
      </w:r>
    </w:p>
    <w:p>
      <w:pPr>
        <w:spacing w:line="588" w:lineRule="exact"/>
        <w:ind w:firstLine="624" w:firstLineChars="200"/>
        <w:rPr>
          <w:rFonts w:hint="default" w:ascii="Arial" w:hAnsi="Arial" w:eastAsia="宋体" w:cs="Arial"/>
          <w:color w:val="auto"/>
          <w:spacing w:val="6"/>
          <w:sz w:val="30"/>
          <w:szCs w:val="30"/>
          <w:highlight w:val="none"/>
        </w:rPr>
      </w:pPr>
    </w:p>
    <w:p>
      <w:pPr>
        <w:spacing w:line="588" w:lineRule="exact"/>
        <w:ind w:firstLine="624" w:firstLineChars="200"/>
        <w:rPr>
          <w:rFonts w:hint="default" w:ascii="Arial" w:hAnsi="Arial" w:eastAsia="宋体" w:cs="Arial"/>
          <w:color w:val="auto"/>
          <w:spacing w:val="6"/>
          <w:sz w:val="30"/>
          <w:szCs w:val="30"/>
          <w:highlight w:val="none"/>
        </w:rPr>
      </w:pPr>
    </w:p>
    <w:p>
      <w:pPr>
        <w:rPr>
          <w:rFonts w:hint="default" w:ascii="Arial" w:hAnsi="Arial" w:eastAsia="宋体" w:cs="Arial"/>
          <w:color w:val="auto"/>
          <w:highlight w:val="none"/>
        </w:rPr>
      </w:pPr>
      <w:r>
        <w:rPr>
          <w:rFonts w:hint="default" w:ascii="Arial" w:hAnsi="Arial" w:eastAsia="宋体" w:cs="Arial"/>
          <w:color w:val="auto"/>
          <w:spacing w:val="6"/>
          <w:sz w:val="30"/>
          <w:szCs w:val="30"/>
          <w:highlight w:val="none"/>
        </w:rPr>
        <w:t xml:space="preserve">                        </w:t>
      </w:r>
    </w:p>
    <w:p>
      <w:pPr>
        <w:spacing w:line="480" w:lineRule="auto"/>
        <w:ind w:firstLine="4830" w:firstLineChars="2300"/>
        <w:rPr>
          <w:rFonts w:hint="default" w:ascii="Arial" w:hAnsi="Arial" w:eastAsia="宋体" w:cs="Arial"/>
          <w:color w:val="auto"/>
          <w:highlight w:val="none"/>
        </w:rPr>
      </w:pPr>
      <w:r>
        <w:rPr>
          <w:rFonts w:hint="default" w:ascii="Arial" w:hAnsi="Arial" w:eastAsia="宋体" w:cs="Arial"/>
          <w:color w:val="auto"/>
          <w:szCs w:val="21"/>
          <w:highlight w:val="none"/>
        </w:rPr>
        <w:t>投标供应商全称（盖章）</w:t>
      </w:r>
      <w:r>
        <w:rPr>
          <w:rFonts w:hint="default" w:ascii="Arial" w:hAnsi="Arial" w:eastAsia="宋体" w:cs="Arial"/>
          <w:color w:val="auto"/>
          <w:highlight w:val="none"/>
        </w:rPr>
        <w:t>：</w:t>
      </w:r>
    </w:p>
    <w:p>
      <w:pPr>
        <w:spacing w:before="312" w:beforeLines="100" w:after="312" w:afterLines="100" w:line="400" w:lineRule="atLeast"/>
        <w:ind w:left="4620" w:leftChars="2200" w:firstLine="210" w:firstLineChars="1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日期：   </w:t>
      </w: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numPr>
          <w:ilvl w:val="0"/>
          <w:numId w:val="33"/>
        </w:numPr>
        <w:tabs>
          <w:tab w:val="left" w:pos="420"/>
          <w:tab w:val="clear" w:pos="1244"/>
        </w:tabs>
        <w:spacing w:before="100" w:beforeAutospacing="1" w:after="100" w:afterAutospacing="1" w:line="432" w:lineRule="auto"/>
        <w:ind w:hanging="1244"/>
        <w:rPr>
          <w:rFonts w:hint="default" w:ascii="Arial" w:hAnsi="Arial" w:eastAsia="宋体" w:cs="Arial"/>
          <w:b/>
          <w:color w:val="auto"/>
          <w:szCs w:val="21"/>
          <w:highlight w:val="none"/>
        </w:rPr>
      </w:pPr>
      <w:r>
        <w:rPr>
          <w:rFonts w:hint="default" w:ascii="Arial" w:hAnsi="Arial" w:eastAsia="宋体" w:cs="Arial"/>
          <w:b/>
          <w:color w:val="auto"/>
          <w:szCs w:val="21"/>
          <w:highlight w:val="none"/>
        </w:rPr>
        <w:t>残疾人福利性单位视同小型、微型企业，享受价格扣除。</w:t>
      </w:r>
    </w:p>
    <w:p>
      <w:pPr>
        <w:numPr>
          <w:ilvl w:val="0"/>
          <w:numId w:val="33"/>
        </w:numPr>
        <w:tabs>
          <w:tab w:val="left" w:pos="420"/>
          <w:tab w:val="clear" w:pos="1244"/>
        </w:tabs>
        <w:spacing w:before="100" w:beforeAutospacing="1" w:after="100" w:afterAutospacing="1" w:line="432" w:lineRule="auto"/>
        <w:ind w:hanging="1244"/>
        <w:rPr>
          <w:rFonts w:hint="default" w:ascii="Arial" w:hAnsi="Arial" w:eastAsia="宋体" w:cs="Arial"/>
          <w:b/>
          <w:color w:val="auto"/>
          <w:szCs w:val="21"/>
          <w:highlight w:val="none"/>
        </w:rPr>
      </w:pPr>
      <w:r>
        <w:rPr>
          <w:rFonts w:hint="default" w:ascii="Arial" w:hAnsi="Arial" w:eastAsia="宋体" w:cs="Arial"/>
          <w:b/>
          <w:color w:val="auto"/>
          <w:szCs w:val="21"/>
          <w:highlight w:val="none"/>
        </w:rPr>
        <w:t>残疾人福利性单位属于小型、微型企业的，不重复享受政策。</w:t>
      </w:r>
    </w:p>
    <w:p>
      <w:pPr>
        <w:numPr>
          <w:ilvl w:val="0"/>
          <w:numId w:val="33"/>
        </w:numPr>
        <w:tabs>
          <w:tab w:val="left" w:pos="420"/>
          <w:tab w:val="clear" w:pos="1244"/>
        </w:tabs>
        <w:spacing w:before="100" w:beforeAutospacing="1" w:after="100" w:afterAutospacing="1" w:line="432" w:lineRule="auto"/>
        <w:ind w:left="4" w:hanging="4"/>
        <w:rPr>
          <w:rFonts w:hint="default" w:ascii="Arial" w:hAnsi="Arial" w:eastAsia="宋体" w:cs="Arial"/>
          <w:b/>
          <w:color w:val="auto"/>
          <w:szCs w:val="21"/>
          <w:highlight w:val="none"/>
        </w:rPr>
      </w:pPr>
      <w:r>
        <w:rPr>
          <w:rFonts w:hint="default" w:ascii="Arial" w:hAnsi="Arial" w:eastAsia="宋体" w:cs="Arial"/>
          <w:b/>
          <w:color w:val="auto"/>
          <w:szCs w:val="21"/>
          <w:highlight w:val="none"/>
        </w:rPr>
        <w:t>如中标供应商声明为残疾人福利性单位，本声明函将随中标结果同时公告，接受社会监督。</w:t>
      </w:r>
    </w:p>
    <w:p>
      <w:pPr>
        <w:tabs>
          <w:tab w:val="left" w:pos="420"/>
        </w:tabs>
        <w:spacing w:before="100" w:beforeAutospacing="1" w:after="100" w:afterAutospacing="1" w:line="432" w:lineRule="auto"/>
        <w:ind w:left="4"/>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w:t>
      </w:r>
    </w:p>
    <w:bookmarkEnd w:id="132"/>
    <w:bookmarkEnd w:id="133"/>
    <w:bookmarkEnd w:id="134"/>
    <w:p>
      <w:pPr>
        <w:pStyle w:val="2"/>
        <w:keepNext w:val="0"/>
        <w:keepLines w:val="0"/>
        <w:pageBreakBefore/>
        <w:tabs>
          <w:tab w:val="left" w:pos="840"/>
        </w:tabs>
        <w:spacing w:before="156" w:beforeLines="50" w:after="0" w:line="400" w:lineRule="atLeast"/>
        <w:jc w:val="center"/>
        <w:rPr>
          <w:rFonts w:hint="default" w:ascii="Arial" w:hAnsi="Arial" w:eastAsia="宋体" w:cs="Arial"/>
          <w:color w:val="auto"/>
          <w:sz w:val="28"/>
          <w:szCs w:val="36"/>
          <w:highlight w:val="none"/>
        </w:rPr>
      </w:pPr>
      <w:bookmarkStart w:id="146" w:name="_Toc40429200"/>
      <w:r>
        <w:rPr>
          <w:rFonts w:hint="default" w:ascii="Arial" w:hAnsi="Arial" w:eastAsia="宋体" w:cs="Arial"/>
          <w:color w:val="auto"/>
          <w:sz w:val="28"/>
          <w:szCs w:val="36"/>
          <w:highlight w:val="none"/>
        </w:rPr>
        <w:t>第六部分  评标办法</w:t>
      </w:r>
      <w:bookmarkEnd w:id="80"/>
      <w:bookmarkEnd w:id="81"/>
      <w:bookmarkEnd w:id="146"/>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根据《中华人民共和国政府采购法》和《政府采购货物和服务招标投标管理办法》等相关法规和本项目招标文件，特制定本办法。</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一、 评标原则</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供应商不得以任何方式干扰招投标工作的进行，一经发现其投标文件将被否决。对落标单位，评标委员会不作任何落标解释。</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本次评标采取百分制综合评分的方法。评标应遵循公平、公正、科学、择优的原则推荐备选中标供应商。</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二、评标组织</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评标工作由采购代理机构组建的评标委员会负责，评标过程由有关部门负责指导监督。评标委员会由有关专家组成，成员人数为五人及以上单数，其中技术方面的专家将不少于总数的三分之二。</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三、评标程序</w:t>
      </w:r>
    </w:p>
    <w:p>
      <w:pPr>
        <w:spacing w:line="340"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1、技术、商务评分：由各评审专家按评标细则，采用记名方式各自评分，此项评分为全部有效评分的算术平均值。如果一份评分表中某一项评分，超过评分细则所规定的分值范围，则该张打分表无效。</w:t>
      </w:r>
    </w:p>
    <w:p>
      <w:pPr>
        <w:spacing w:line="340"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2、报价评分：评分应在报价口径一致的评标价基础上进行。评标价应在最终报价的基础上，按照招标文件约定的因素和方法进行计算。凡属招标文件原因造成报价范围或报价口径不一致的，应予以扣除。但因投标供应商自身失误造成多算，少算或漏算，不得调整。评分由评标委员会对投标文件的报价进行仔细查阅、分析与计算，并指定专人复核。</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color w:val="auto"/>
          <w:highlight w:val="none"/>
        </w:rPr>
        <w:t>3、评标委员会应根据审查情况和评标结果提交评标报告。</w:t>
      </w:r>
      <w:r>
        <w:rPr>
          <w:rFonts w:hint="default" w:ascii="Arial" w:hAnsi="Arial" w:eastAsia="宋体" w:cs="Arial"/>
          <w:bCs/>
          <w:color w:val="auto"/>
          <w:kern w:val="28"/>
          <w:highlight w:val="none"/>
        </w:rPr>
        <w:t xml:space="preserve"> </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四、评标办法</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1、</w:t>
      </w:r>
      <w:r>
        <w:rPr>
          <w:rFonts w:hint="default" w:ascii="Arial" w:hAnsi="Arial" w:eastAsia="宋体" w:cs="Arial"/>
          <w:color w:val="auto"/>
          <w:highlight w:val="none"/>
        </w:rPr>
        <w:t>本评标办法采取综合评分法（百分制法）。</w:t>
      </w:r>
    </w:p>
    <w:p>
      <w:pPr>
        <w:spacing w:line="340" w:lineRule="exact"/>
        <w:ind w:firstLine="420" w:firstLineChars="200"/>
        <w:rPr>
          <w:rFonts w:hint="default" w:ascii="Arial" w:hAnsi="Arial" w:eastAsia="宋体" w:cs="Arial"/>
          <w:color w:val="auto"/>
          <w:highlight w:val="none"/>
        </w:rPr>
      </w:pPr>
      <w:r>
        <w:rPr>
          <w:rFonts w:hint="default" w:ascii="Arial" w:hAnsi="Arial" w:eastAsia="宋体" w:cs="Arial"/>
          <w:bCs/>
          <w:color w:val="auto"/>
          <w:kern w:val="28"/>
          <w:highlight w:val="none"/>
        </w:rPr>
        <w:t>2、</w:t>
      </w:r>
      <w:r>
        <w:rPr>
          <w:rFonts w:hint="default" w:ascii="Arial" w:hAnsi="Arial" w:eastAsia="宋体" w:cs="Arial"/>
          <w:color w:val="auto"/>
          <w:highlight w:val="none"/>
        </w:rPr>
        <w:t>评审方法：本评标办法采取综合评分法（百分制法），招标人首先对投标文件进行资格性检查，评标委员会对资格性审查合格的投标文件进行符合性检查，再对资格性和符合性审查均合格的供应商进入技术、商务文件评审，最后进行报价文件评审。评标结束后，评标委员会将根据投标供应商的合计得分（技术、商务文件、报价文件分开打分，最后两部分得分相加）由高到低确定一个预选中标供应商（得分高者），其他有效供应商按合计得分由高到低依次为备选中标供应商，并出具评审报告。合计得分相同的，按投标报价由低到高顺序排列；合计得分且投标报价相同的，则按技术、商务文件得分高低顺序排列；若所有得分均相同，则由招标人在所有得分均相同者中随机抽取其中一名为名次优先者。招标人应对评标委员会所推荐的中标候选人的情况进行必要的核实，并经公示后无异议的，依法予以确认中标供应商</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color w:val="auto"/>
          <w:highlight w:val="none"/>
        </w:rPr>
        <w:t>经资格性检查和符合性检查后，开、评标期间出现符合专业条件的投标供应商或者对招标文件作出实质响应的投标供应商（有效投标供应商）不足三家，或投标供应商的报价均超过采购预算，按政府采购法律法规有关规定，依法继续进行或转为其它政府采购方式进行采购，或宣布本次招标失败，重新组织招标</w:t>
      </w:r>
      <w:r>
        <w:rPr>
          <w:rFonts w:hint="default" w:ascii="Arial" w:hAnsi="Arial" w:eastAsia="宋体" w:cs="Arial"/>
          <w:bCs/>
          <w:color w:val="auto"/>
          <w:kern w:val="28"/>
          <w:highlight w:val="none"/>
        </w:rPr>
        <w:t>。</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五、决标办法</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采购代理机构对评标报告充分评议研究后，以技术、商务文件和报价文件合计分值的从高到低向招标人推荐排名次序的候选人，并提交书面评标报告。如中标供应商在中标后不履行合同或否决已承诺的有关条款，则视为其违约，并同时从备选的候选人中选择中标供应商。</w:t>
      </w:r>
    </w:p>
    <w:p>
      <w:pPr>
        <w:spacing w:line="35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 xml:space="preserve">六、评标细则 </w:t>
      </w:r>
    </w:p>
    <w:tbl>
      <w:tblPr>
        <w:tblStyle w:val="34"/>
        <w:tblW w:w="101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49"/>
        <w:gridCol w:w="910"/>
        <w:gridCol w:w="2690"/>
        <w:gridCol w:w="4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35" w:type="dxa"/>
            <w:noWrap w:val="0"/>
            <w:vAlign w:val="center"/>
          </w:tcPr>
          <w:p>
            <w:pPr>
              <w:spacing w:line="32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序号</w:t>
            </w:r>
          </w:p>
        </w:tc>
        <w:tc>
          <w:tcPr>
            <w:tcW w:w="1449" w:type="dxa"/>
            <w:noWrap w:val="0"/>
            <w:vAlign w:val="center"/>
          </w:tcPr>
          <w:p>
            <w:pPr>
              <w:spacing w:line="320" w:lineRule="exact"/>
              <w:ind w:right="3"/>
              <w:jc w:val="center"/>
              <w:rPr>
                <w:rFonts w:hint="default" w:ascii="Arial" w:hAnsi="Arial" w:eastAsia="宋体" w:cs="Arial"/>
                <w:color w:val="auto"/>
                <w:szCs w:val="21"/>
                <w:highlight w:val="none"/>
              </w:rPr>
            </w:pPr>
            <w:r>
              <w:rPr>
                <w:rFonts w:hint="default" w:ascii="Arial" w:hAnsi="Arial" w:eastAsia="宋体" w:cs="Arial"/>
                <w:color w:val="auto"/>
                <w:highlight w:val="none"/>
              </w:rPr>
              <w:t>评标类型</w:t>
            </w:r>
          </w:p>
        </w:tc>
        <w:tc>
          <w:tcPr>
            <w:tcW w:w="3600" w:type="dxa"/>
            <w:gridSpan w:val="2"/>
            <w:noWrap w:val="0"/>
            <w:vAlign w:val="center"/>
          </w:tcPr>
          <w:p>
            <w:pPr>
              <w:spacing w:line="320" w:lineRule="exact"/>
              <w:ind w:right="3"/>
              <w:jc w:val="center"/>
              <w:rPr>
                <w:rFonts w:hint="default" w:ascii="Arial" w:hAnsi="Arial" w:eastAsia="宋体" w:cs="Arial"/>
                <w:color w:val="auto"/>
                <w:sz w:val="24"/>
                <w:szCs w:val="24"/>
                <w:highlight w:val="none"/>
              </w:rPr>
            </w:pPr>
            <w:r>
              <w:rPr>
                <w:rFonts w:hint="default" w:ascii="Arial" w:hAnsi="Arial" w:eastAsia="宋体" w:cs="Arial"/>
                <w:color w:val="auto"/>
                <w:highlight w:val="none"/>
              </w:rPr>
              <w:t>评标内容</w:t>
            </w:r>
          </w:p>
        </w:tc>
        <w:tc>
          <w:tcPr>
            <w:tcW w:w="4383" w:type="dxa"/>
            <w:noWrap w:val="0"/>
            <w:vAlign w:val="center"/>
          </w:tcPr>
          <w:p>
            <w:pPr>
              <w:pStyle w:val="6"/>
              <w:spacing w:line="320" w:lineRule="exact"/>
              <w:ind w:firstLine="0"/>
              <w:jc w:val="center"/>
              <w:rPr>
                <w:rFonts w:hint="default" w:ascii="Arial" w:hAnsi="Arial" w:eastAsia="宋体" w:cs="Arial"/>
                <w:color w:val="auto"/>
                <w:sz w:val="24"/>
                <w:szCs w:val="24"/>
                <w:highlight w:val="none"/>
              </w:rPr>
            </w:pPr>
            <w:r>
              <w:rPr>
                <w:rFonts w:hint="default" w:ascii="Arial" w:hAnsi="Arial" w:eastAsia="宋体" w:cs="Arial"/>
                <w:color w:val="auto"/>
                <w:sz w:val="24"/>
                <w:szCs w:val="24"/>
                <w:highlight w:val="none"/>
              </w:rPr>
              <w:t>评标标准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735" w:type="dxa"/>
            <w:vMerge w:val="restart"/>
            <w:noWrap w:val="0"/>
            <w:vAlign w:val="center"/>
          </w:tcPr>
          <w:p>
            <w:pPr>
              <w:spacing w:line="320" w:lineRule="exact"/>
              <w:ind w:right="3"/>
              <w:jc w:val="center"/>
              <w:rPr>
                <w:rFonts w:hint="default" w:ascii="Arial" w:hAnsi="Arial" w:eastAsia="宋体" w:cs="Arial"/>
                <w:color w:val="auto"/>
                <w:spacing w:val="4"/>
                <w:szCs w:val="21"/>
                <w:highlight w:val="none"/>
              </w:rPr>
            </w:pPr>
            <w:r>
              <w:rPr>
                <w:rFonts w:hint="default" w:ascii="Arial" w:hAnsi="Arial" w:eastAsia="宋体" w:cs="Arial"/>
                <w:color w:val="auto"/>
                <w:spacing w:val="4"/>
                <w:szCs w:val="21"/>
                <w:highlight w:val="none"/>
              </w:rPr>
              <w:t>1</w:t>
            </w:r>
          </w:p>
        </w:tc>
        <w:tc>
          <w:tcPr>
            <w:tcW w:w="1449" w:type="dxa"/>
            <w:vMerge w:val="restart"/>
            <w:noWrap w:val="0"/>
            <w:vAlign w:val="center"/>
          </w:tcPr>
          <w:p>
            <w:pPr>
              <w:spacing w:line="320" w:lineRule="exact"/>
              <w:ind w:right="3"/>
              <w:jc w:val="center"/>
              <w:rPr>
                <w:rFonts w:hint="default" w:ascii="Arial" w:hAnsi="Arial" w:eastAsia="宋体" w:cs="Arial"/>
                <w:b/>
                <w:color w:val="auto"/>
                <w:spacing w:val="4"/>
                <w:szCs w:val="21"/>
                <w:highlight w:val="none"/>
              </w:rPr>
            </w:pPr>
            <w:r>
              <w:rPr>
                <w:rFonts w:hint="default" w:ascii="Arial" w:hAnsi="Arial" w:eastAsia="宋体" w:cs="Arial"/>
                <w:b/>
                <w:bCs/>
                <w:color w:val="auto"/>
                <w:kern w:val="28"/>
                <w:highlight w:val="none"/>
              </w:rPr>
              <w:t>资格性检查</w:t>
            </w: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符合《中华人民共和国政府采购法》第二十二条规定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pacing w:val="4"/>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bCs/>
                <w:color w:val="auto"/>
                <w:kern w:val="28"/>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特定资格</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符合招标文件要求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735" w:type="dxa"/>
            <w:vMerge w:val="restart"/>
            <w:noWrap w:val="0"/>
            <w:vAlign w:val="center"/>
          </w:tcPr>
          <w:p>
            <w:pPr>
              <w:spacing w:line="32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2</w:t>
            </w:r>
          </w:p>
        </w:tc>
        <w:tc>
          <w:tcPr>
            <w:tcW w:w="1449" w:type="dxa"/>
            <w:vMerge w:val="restart"/>
            <w:noWrap w:val="0"/>
            <w:vAlign w:val="center"/>
          </w:tcPr>
          <w:p>
            <w:pPr>
              <w:spacing w:line="320" w:lineRule="exact"/>
              <w:ind w:right="3"/>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符合</w:t>
            </w:r>
            <w:r>
              <w:rPr>
                <w:rFonts w:hint="default" w:ascii="Arial" w:hAnsi="Arial" w:eastAsia="宋体" w:cs="Arial"/>
                <w:b/>
                <w:bCs/>
                <w:color w:val="auto"/>
                <w:kern w:val="28"/>
                <w:highlight w:val="none"/>
              </w:rPr>
              <w:t>性检查</w:t>
            </w: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供应商名称</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与营业执照（或事业单位法人证书或执业许可证等证明文件或个体工商户营业执照或自然人身份证明）一致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2"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color w:val="auto"/>
                <w:szCs w:val="21"/>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投标函签字盖章</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有法定代表人(或其授权代表)签字或盖章并加盖电子签章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color w:val="auto"/>
                <w:szCs w:val="21"/>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投标文件编制</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投标文件编制符合招标文件的要求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color w:val="auto"/>
                <w:szCs w:val="21"/>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highlight w:val="none"/>
              </w:rPr>
              <w:t>投标文件的有效期</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不少于90日历天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35"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3</w:t>
            </w:r>
          </w:p>
        </w:tc>
        <w:tc>
          <w:tcPr>
            <w:tcW w:w="1449" w:type="dxa"/>
            <w:noWrap w:val="0"/>
            <w:vAlign w:val="center"/>
          </w:tcPr>
          <w:p>
            <w:pPr>
              <w:spacing w:line="360" w:lineRule="exact"/>
              <w:ind w:right="3"/>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无效标条款</w:t>
            </w:r>
          </w:p>
        </w:tc>
        <w:tc>
          <w:tcPr>
            <w:tcW w:w="7983" w:type="dxa"/>
            <w:gridSpan w:val="3"/>
            <w:noWrap w:val="0"/>
            <w:vAlign w:val="center"/>
          </w:tcPr>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投标不是固定价或投标报价超过最高限价的；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投标有效期不足的；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单价与总价不相符，又不接受评标委员会修正的报价或投标明显不合理而投标供应商不能合理说明的；</w:t>
            </w:r>
          </w:p>
          <w:p>
            <w:pPr>
              <w:numPr>
                <w:ilvl w:val="0"/>
                <w:numId w:val="34"/>
              </w:numPr>
              <w:tabs>
                <w:tab w:val="left" w:pos="0"/>
                <w:tab w:val="left" w:pos="425"/>
                <w:tab w:val="left" w:pos="1276"/>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 xml:space="preserve">投标文件中需签字或盖章的地方未加盖投标供应商单位全称的电子签章，或未经法定代表人或其授权代表签字或盖章； </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授权代表未取得有效的法定代表人授权委托书的；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不具备招标文件中规定资格要求的；</w:t>
            </w:r>
          </w:p>
          <w:p>
            <w:pPr>
              <w:numPr>
                <w:ilvl w:val="0"/>
                <w:numId w:val="34"/>
              </w:numPr>
              <w:tabs>
                <w:tab w:val="left" w:pos="0"/>
                <w:tab w:val="left" w:pos="425"/>
                <w:tab w:val="left" w:pos="1276"/>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评标委员会认为投标文件未实质性响应招标文件要求的；</w:t>
            </w:r>
          </w:p>
          <w:p>
            <w:pPr>
              <w:numPr>
                <w:ilvl w:val="0"/>
                <w:numId w:val="34"/>
              </w:numPr>
              <w:tabs>
                <w:tab w:val="left" w:pos="0"/>
                <w:tab w:val="left" w:pos="425"/>
                <w:tab w:val="left" w:pos="1276"/>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服务/技术要求不满足招标内容实质性内容及商务有重大偏离或保留的；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电子投标文件解密失败的，且未在规定时间内提交备份响应文件的；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仅提交“备份投标文件”的；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未按规定提供关于《中华人民共和国政府采购法》第二十二条规定的承诺函的；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单位负责人为同一人或存在直接控股、管理关系的不同供应商，则所涉供应商投标均为无效；</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投标文件中含有招标人不能接受的附加条件的；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存在串标、抬标或弄虚作假情况的；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不符合法律、法规和招标文件规定的其他实质性要求的。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35"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4</w:t>
            </w:r>
          </w:p>
        </w:tc>
        <w:tc>
          <w:tcPr>
            <w:tcW w:w="1449" w:type="dxa"/>
            <w:noWrap w:val="0"/>
            <w:vAlign w:val="center"/>
          </w:tcPr>
          <w:p>
            <w:pPr>
              <w:spacing w:line="360" w:lineRule="exact"/>
              <w:ind w:right="6"/>
              <w:jc w:val="center"/>
              <w:rPr>
                <w:rFonts w:hint="default" w:ascii="Arial" w:hAnsi="Arial" w:eastAsia="宋体" w:cs="Arial"/>
                <w:b/>
                <w:color w:val="auto"/>
                <w:szCs w:val="21"/>
                <w:highlight w:val="none"/>
              </w:rPr>
            </w:pPr>
            <w:r>
              <w:rPr>
                <w:rFonts w:hint="default" w:ascii="Arial" w:hAnsi="Arial" w:eastAsia="宋体" w:cs="Arial"/>
                <w:b/>
                <w:bCs/>
                <w:color w:val="auto"/>
                <w:kern w:val="28"/>
                <w:highlight w:val="none"/>
              </w:rPr>
              <w:t>技术、商务文件</w:t>
            </w:r>
          </w:p>
        </w:tc>
        <w:tc>
          <w:tcPr>
            <w:tcW w:w="7983" w:type="dxa"/>
            <w:gridSpan w:val="3"/>
            <w:noWrap w:val="0"/>
            <w:vAlign w:val="center"/>
          </w:tcPr>
          <w:p>
            <w:pPr>
              <w:spacing w:line="360" w:lineRule="exact"/>
              <w:ind w:left="316" w:right="6" w:hanging="316" w:hangingChars="150"/>
              <w:jc w:val="center"/>
              <w:rPr>
                <w:rFonts w:hint="default" w:ascii="Arial" w:hAnsi="Arial" w:eastAsia="宋体" w:cs="Arial"/>
                <w:b/>
                <w:color w:val="auto"/>
                <w:szCs w:val="21"/>
                <w:highlight w:val="none"/>
              </w:rPr>
            </w:pPr>
            <w:r>
              <w:rPr>
                <w:rFonts w:hint="default" w:ascii="Arial" w:hAnsi="Arial" w:eastAsia="宋体" w:cs="Arial"/>
                <w:b/>
                <w:bCs/>
                <w:color w:val="auto"/>
                <w:kern w:val="28"/>
                <w:highlight w:val="none"/>
              </w:rPr>
              <w:t>合计90分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35"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序号</w:t>
            </w:r>
          </w:p>
        </w:tc>
        <w:tc>
          <w:tcPr>
            <w:tcW w:w="1449" w:type="dxa"/>
            <w:noWrap w:val="0"/>
            <w:vAlign w:val="center"/>
          </w:tcPr>
          <w:p>
            <w:pPr>
              <w:spacing w:line="360" w:lineRule="exact"/>
              <w:ind w:left="-50"/>
              <w:jc w:val="center"/>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评分内容</w:t>
            </w:r>
          </w:p>
        </w:tc>
        <w:tc>
          <w:tcPr>
            <w:tcW w:w="910"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highlight w:val="none"/>
              </w:rPr>
              <w:t>分值</w:t>
            </w:r>
          </w:p>
        </w:tc>
        <w:tc>
          <w:tcPr>
            <w:tcW w:w="7073" w:type="dxa"/>
            <w:gridSpan w:val="2"/>
            <w:noWrap w:val="0"/>
            <w:vAlign w:val="center"/>
          </w:tcPr>
          <w:p>
            <w:pPr>
              <w:spacing w:line="360" w:lineRule="exact"/>
              <w:ind w:left="360" w:right="6" w:hanging="360" w:hangingChars="150"/>
              <w:jc w:val="center"/>
              <w:rPr>
                <w:rFonts w:hint="default" w:ascii="Arial" w:hAnsi="Arial" w:eastAsia="宋体" w:cs="Arial"/>
                <w:color w:val="auto"/>
                <w:szCs w:val="21"/>
                <w:highlight w:val="none"/>
              </w:rPr>
            </w:pPr>
            <w:r>
              <w:rPr>
                <w:rFonts w:hint="default" w:ascii="Arial" w:hAnsi="Arial" w:eastAsia="宋体" w:cs="Arial"/>
                <w:color w:val="auto"/>
                <w:sz w:val="24"/>
                <w:szCs w:val="24"/>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pacing w:val="4"/>
                <w:szCs w:val="21"/>
                <w:highlight w:val="none"/>
              </w:rPr>
            </w:pPr>
            <w:r>
              <w:rPr>
                <w:rFonts w:hint="default" w:ascii="Arial" w:hAnsi="Arial" w:eastAsia="宋体" w:cs="Arial"/>
                <w:color w:val="auto"/>
                <w:spacing w:val="4"/>
                <w:sz w:val="21"/>
                <w:szCs w:val="21"/>
                <w:highlight w:val="none"/>
                <w:lang w:val="en-US" w:eastAsia="zh-CN"/>
              </w:rPr>
              <w:t>4</w:t>
            </w:r>
            <w:r>
              <w:rPr>
                <w:rFonts w:hint="default" w:ascii="Arial" w:hAnsi="Arial" w:eastAsia="宋体" w:cs="Arial"/>
                <w:color w:val="auto"/>
                <w:spacing w:val="4"/>
                <w:sz w:val="21"/>
                <w:szCs w:val="21"/>
                <w:highlight w:val="none"/>
                <w:lang w:eastAsia="zh-CN"/>
              </w:rPr>
              <w:t>.</w:t>
            </w:r>
            <w:r>
              <w:rPr>
                <w:rFonts w:hint="default" w:ascii="Arial" w:hAnsi="Arial" w:eastAsia="宋体" w:cs="Arial"/>
                <w:color w:val="auto"/>
                <w:spacing w:val="4"/>
                <w:sz w:val="21"/>
                <w:szCs w:val="21"/>
                <w:highlight w:val="none"/>
              </w:rPr>
              <w:t>1</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bCs/>
                <w:color w:val="auto"/>
                <w:kern w:val="28"/>
                <w:szCs w:val="21"/>
                <w:highlight w:val="none"/>
              </w:rPr>
            </w:pPr>
            <w:r>
              <w:rPr>
                <w:rFonts w:hint="default" w:ascii="Arial" w:hAnsi="Arial" w:eastAsia="宋体" w:cs="Arial"/>
                <w:snapToGrid w:val="0"/>
                <w:color w:val="auto"/>
                <w:spacing w:val="0"/>
                <w:kern w:val="0"/>
                <w:sz w:val="21"/>
                <w:szCs w:val="21"/>
                <w:highlight w:val="none"/>
              </w:rPr>
              <w:t>供应商综合情况</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szCs w:val="21"/>
                <w:highlight w:val="none"/>
              </w:rPr>
            </w:pPr>
            <w:r>
              <w:rPr>
                <w:rFonts w:hint="default" w:ascii="Arial" w:hAnsi="Arial" w:eastAsia="宋体" w:cs="Arial"/>
                <w:color w:val="auto"/>
                <w:sz w:val="21"/>
                <w:szCs w:val="21"/>
                <w:highlight w:val="none"/>
              </w:rPr>
              <w:t>0-</w:t>
            </w:r>
            <w:r>
              <w:rPr>
                <w:rFonts w:hint="default" w:ascii="Arial" w:hAnsi="Arial" w:eastAsia="宋体" w:cs="Arial"/>
                <w:color w:val="auto"/>
                <w:sz w:val="21"/>
                <w:szCs w:val="21"/>
                <w:highlight w:val="none"/>
                <w:lang w:val="en-US" w:eastAsia="zh-CN"/>
              </w:rPr>
              <w:t>18</w:t>
            </w:r>
            <w:r>
              <w:rPr>
                <w:rFonts w:hint="default" w:ascii="Arial" w:hAnsi="Arial" w:eastAsia="宋体" w:cs="Arial"/>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企业组织机构的设置情况及内部管理制度由专家自主评分，满分3分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供应商具备完善的党组织的，提供上级党组织证明材料的可得2分。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供应商具备完善工会组织的，提供上级工会组织证明材料的可得2分。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u w:val="none"/>
              </w:rPr>
            </w:pPr>
            <w:r>
              <w:rPr>
                <w:rFonts w:hint="default" w:ascii="Arial" w:hAnsi="Arial" w:eastAsia="宋体" w:cs="Arial"/>
                <w:color w:val="auto"/>
                <w:highlight w:val="none"/>
                <w:u w:val="none"/>
              </w:rPr>
              <w:t>企业荣誉：每取得一次省级及以上荣誉的得</w:t>
            </w:r>
            <w:r>
              <w:rPr>
                <w:rFonts w:hint="default" w:ascii="Arial" w:hAnsi="Arial" w:eastAsia="宋体" w:cs="Arial"/>
                <w:color w:val="auto"/>
                <w:highlight w:val="none"/>
                <w:u w:val="none"/>
                <w:lang w:val="en-US" w:eastAsia="zh-CN"/>
              </w:rPr>
              <w:t>1</w:t>
            </w:r>
            <w:r>
              <w:rPr>
                <w:rFonts w:hint="default" w:ascii="Arial" w:hAnsi="Arial" w:eastAsia="宋体" w:cs="Arial"/>
                <w:color w:val="auto"/>
                <w:highlight w:val="none"/>
                <w:u w:val="none"/>
              </w:rPr>
              <w:t>分，满分</w:t>
            </w:r>
            <w:r>
              <w:rPr>
                <w:rFonts w:hint="default" w:ascii="Arial" w:hAnsi="Arial" w:eastAsia="宋体" w:cs="Arial"/>
                <w:color w:val="auto"/>
                <w:highlight w:val="none"/>
                <w:u w:val="none"/>
                <w:lang w:val="en-US" w:eastAsia="zh-CN"/>
              </w:rPr>
              <w:t>2</w:t>
            </w:r>
            <w:r>
              <w:rPr>
                <w:rFonts w:hint="default" w:ascii="Arial" w:hAnsi="Arial" w:eastAsia="宋体" w:cs="Arial"/>
                <w:color w:val="auto"/>
                <w:highlight w:val="none"/>
                <w:u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rPr>
              <w:t>通过ISO9001质量管理体系认证，并获得有效证书（</w:t>
            </w:r>
            <w:r>
              <w:rPr>
                <w:rFonts w:hint="default" w:ascii="Arial" w:hAnsi="Arial" w:eastAsia="宋体" w:cs="Arial"/>
                <w:color w:val="auto"/>
                <w:highlight w:val="none"/>
                <w:lang w:val="en-US" w:eastAsia="zh-CN"/>
              </w:rPr>
              <w:t>2</w:t>
            </w:r>
            <w:r>
              <w:rPr>
                <w:rFonts w:hint="default" w:ascii="Arial" w:hAnsi="Arial" w:eastAsia="宋体" w:cs="Arial"/>
                <w:color w:val="auto"/>
                <w:highlight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rPr>
              <w:t>通过OHASA18000职业健康及安全体系认证，并获得有效证书（</w:t>
            </w:r>
            <w:r>
              <w:rPr>
                <w:rFonts w:hint="default" w:ascii="Arial" w:hAnsi="Arial" w:eastAsia="宋体" w:cs="Arial"/>
                <w:color w:val="auto"/>
                <w:highlight w:val="none"/>
                <w:lang w:val="en-US" w:eastAsia="zh-CN"/>
              </w:rPr>
              <w:t>1</w:t>
            </w:r>
            <w:r>
              <w:rPr>
                <w:rFonts w:hint="default" w:ascii="Arial" w:hAnsi="Arial" w:eastAsia="宋体" w:cs="Arial"/>
                <w:color w:val="auto"/>
                <w:highlight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rPr>
              <w:t>通过ISO14001环境管理体系认证，并获得有效证书（</w:t>
            </w:r>
            <w:r>
              <w:rPr>
                <w:rFonts w:hint="default" w:ascii="Arial" w:hAnsi="Arial" w:eastAsia="宋体" w:cs="Arial"/>
                <w:color w:val="auto"/>
                <w:highlight w:val="none"/>
                <w:lang w:val="en-US" w:eastAsia="zh-CN"/>
              </w:rPr>
              <w:t>1</w:t>
            </w:r>
            <w:r>
              <w:rPr>
                <w:rFonts w:hint="default" w:ascii="Arial" w:hAnsi="Arial" w:eastAsia="宋体" w:cs="Arial"/>
                <w:color w:val="auto"/>
                <w:highlight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bCs/>
                <w:color w:val="auto"/>
                <w:kern w:val="28"/>
                <w:sz w:val="21"/>
                <w:szCs w:val="21"/>
                <w:highlight w:val="none"/>
                <w:lang w:val="en-US" w:eastAsia="zh-CN"/>
              </w:rPr>
            </w:pPr>
            <w:r>
              <w:rPr>
                <w:rFonts w:hint="default" w:ascii="Arial" w:hAnsi="Arial" w:eastAsia="宋体" w:cs="Arial"/>
                <w:bCs/>
                <w:color w:val="auto"/>
                <w:kern w:val="28"/>
                <w:sz w:val="21"/>
                <w:szCs w:val="21"/>
                <w:highlight w:val="none"/>
                <w:lang w:val="en-US" w:eastAsia="zh-CN"/>
              </w:rPr>
              <w:t>配备法律顾问得2分（外聘人员需提供与对方单位的长期合作协议及个人的执业证书，单位自有法务部门的需提供人员任职文件、劳动协议及执业证书等）</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1"/>
                <w:highlight w:val="none"/>
              </w:rPr>
            </w:pPr>
            <w:r>
              <w:rPr>
                <w:rFonts w:hint="default" w:ascii="Arial" w:hAnsi="Arial" w:eastAsia="宋体" w:cs="Arial"/>
                <w:snapToGrid w:val="0"/>
                <w:color w:val="auto"/>
                <w:szCs w:val="21"/>
                <w:highlight w:val="none"/>
              </w:rPr>
              <w:t>具有省级及以上行业协会颁发的企业信用等级评定五星级(或五A级)得3分，具有四星(或四A级)得2分，具有3星(或三A级)得1分。（注：</w:t>
            </w:r>
            <w:r>
              <w:rPr>
                <w:rFonts w:hint="default" w:ascii="Arial" w:hAnsi="Arial" w:eastAsia="宋体" w:cs="Arial"/>
                <w:snapToGrid w:val="0"/>
                <w:color w:val="auto"/>
                <w:szCs w:val="21"/>
                <w:highlight w:val="none"/>
                <w:lang w:val="en-US" w:eastAsia="zh-CN"/>
              </w:rPr>
              <w:t>如证书中注明行业或范围需为人力资源行业，其他不相关行业不予认可；</w:t>
            </w:r>
            <w:r>
              <w:rPr>
                <w:rFonts w:hint="default" w:ascii="Arial" w:hAnsi="Arial" w:eastAsia="宋体" w:cs="Arial"/>
                <w:snapToGrid w:val="0"/>
                <w:color w:val="auto"/>
                <w:szCs w:val="21"/>
                <w:highlight w:val="none"/>
              </w:rPr>
              <w:t>其他第三方认证公司出具的未注明行业或范围的企业信用等级认定根据上述星级或等级同等评分，如企业信用等级认定注明适用行业或范围于本项目不相关的不予认可）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pacing w:val="4"/>
                <w:szCs w:val="21"/>
                <w:highlight w:val="none"/>
              </w:rPr>
            </w:pPr>
            <w:r>
              <w:rPr>
                <w:rFonts w:hint="default" w:ascii="Arial" w:hAnsi="Arial" w:eastAsia="宋体" w:cs="Arial"/>
                <w:color w:val="auto"/>
                <w:sz w:val="21"/>
                <w:szCs w:val="21"/>
                <w:highlight w:val="none"/>
                <w:lang w:val="en-US" w:eastAsia="zh-CN"/>
              </w:rPr>
              <w:t>4</w:t>
            </w:r>
            <w:r>
              <w:rPr>
                <w:rFonts w:hint="default" w:ascii="Arial" w:hAnsi="Arial" w:eastAsia="宋体" w:cs="Arial"/>
                <w:color w:val="auto"/>
                <w:sz w:val="21"/>
                <w:szCs w:val="21"/>
                <w:highlight w:val="none"/>
                <w:lang w:eastAsia="zh-CN"/>
              </w:rPr>
              <w:t>.</w:t>
            </w:r>
            <w:r>
              <w:rPr>
                <w:rFonts w:hint="default" w:ascii="Arial" w:hAnsi="Arial" w:eastAsia="宋体" w:cs="Arial"/>
                <w:color w:val="auto"/>
                <w:sz w:val="21"/>
                <w:szCs w:val="21"/>
                <w:highlight w:val="none"/>
              </w:rPr>
              <w:t>2</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color w:val="auto"/>
                <w:highlight w:val="none"/>
              </w:rPr>
            </w:pPr>
            <w:r>
              <w:rPr>
                <w:rFonts w:hint="default" w:ascii="Arial" w:hAnsi="Arial" w:eastAsia="宋体" w:cs="Arial"/>
                <w:snapToGrid w:val="0"/>
                <w:color w:val="auto"/>
                <w:spacing w:val="0"/>
                <w:kern w:val="0"/>
                <w:sz w:val="21"/>
                <w:szCs w:val="21"/>
                <w:highlight w:val="none"/>
              </w:rPr>
              <w:t>业绩</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highlight w:val="none"/>
              </w:rPr>
            </w:pPr>
            <w:r>
              <w:rPr>
                <w:rFonts w:hint="default" w:ascii="Arial" w:hAnsi="Arial" w:eastAsia="宋体" w:cs="Arial"/>
                <w:color w:val="auto"/>
                <w:sz w:val="21"/>
                <w:szCs w:val="21"/>
                <w:highlight w:val="none"/>
              </w:rPr>
              <w:t>0-</w:t>
            </w:r>
            <w:r>
              <w:rPr>
                <w:rFonts w:hint="default" w:ascii="Arial" w:hAnsi="Arial" w:eastAsia="宋体" w:cs="Arial"/>
                <w:color w:val="auto"/>
                <w:sz w:val="21"/>
                <w:szCs w:val="21"/>
                <w:highlight w:val="none"/>
                <w:lang w:val="en-US" w:eastAsia="zh-CN"/>
              </w:rPr>
              <w:t>5</w:t>
            </w:r>
            <w:r>
              <w:rPr>
                <w:rFonts w:hint="default" w:ascii="Arial" w:hAnsi="Arial" w:eastAsia="宋体" w:cs="Arial"/>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根据投标人201</w:t>
            </w:r>
            <w:r>
              <w:rPr>
                <w:rFonts w:hint="default" w:ascii="Arial" w:hAnsi="Arial" w:eastAsia="宋体" w:cs="Arial"/>
                <w:color w:val="auto"/>
                <w:sz w:val="21"/>
                <w:szCs w:val="21"/>
                <w:highlight w:val="none"/>
                <w:lang w:val="en-US" w:eastAsia="zh-CN"/>
              </w:rPr>
              <w:t>8</w:t>
            </w:r>
            <w:r>
              <w:rPr>
                <w:rFonts w:hint="default" w:ascii="Arial" w:hAnsi="Arial" w:eastAsia="宋体" w:cs="Arial"/>
                <w:color w:val="auto"/>
                <w:sz w:val="21"/>
                <w:szCs w:val="21"/>
                <w:highlight w:val="none"/>
              </w:rPr>
              <w:t>年以来</w:t>
            </w:r>
            <w:r>
              <w:rPr>
                <w:rFonts w:hint="default" w:ascii="Arial" w:hAnsi="Arial" w:eastAsia="宋体" w:cs="Arial"/>
                <w:color w:val="auto"/>
                <w:sz w:val="21"/>
                <w:szCs w:val="21"/>
                <w:highlight w:val="none"/>
                <w:lang w:val="en-US" w:eastAsia="zh-CN"/>
              </w:rPr>
              <w:t>每具有1个劳务派遣业</w:t>
            </w:r>
            <w:r>
              <w:rPr>
                <w:rFonts w:hint="default" w:ascii="Arial" w:hAnsi="Arial" w:eastAsia="宋体" w:cs="Arial"/>
                <w:color w:val="auto"/>
                <w:sz w:val="21"/>
                <w:szCs w:val="21"/>
                <w:highlight w:val="none"/>
              </w:rPr>
              <w:t>绩</w:t>
            </w:r>
            <w:r>
              <w:rPr>
                <w:rFonts w:hint="default" w:ascii="Arial" w:hAnsi="Arial" w:eastAsia="宋体" w:cs="Arial"/>
                <w:color w:val="auto"/>
                <w:sz w:val="21"/>
                <w:szCs w:val="21"/>
                <w:highlight w:val="none"/>
                <w:lang w:val="en-US" w:eastAsia="zh-CN"/>
              </w:rPr>
              <w:t>得1分，满分5分</w:t>
            </w:r>
            <w:r>
              <w:rPr>
                <w:rFonts w:hint="default" w:ascii="Arial" w:hAnsi="Arial" w:eastAsia="宋体" w:cs="Arial"/>
                <w:color w:val="auto"/>
                <w:sz w:val="21"/>
                <w:szCs w:val="21"/>
                <w:highlight w:val="none"/>
              </w:rPr>
              <w:t>。</w:t>
            </w:r>
          </w:p>
          <w:p>
            <w:pPr>
              <w:pStyle w:val="18"/>
              <w:keepNext w:val="0"/>
              <w:keepLines w:val="0"/>
              <w:pageBreakBefore w:val="0"/>
              <w:kinsoku/>
              <w:wordWrap/>
              <w:overflowPunct/>
              <w:topLinePunct w:val="0"/>
              <w:autoSpaceDE/>
              <w:autoSpaceDN/>
              <w:bidi w:val="0"/>
              <w:adjustRightInd w:val="0"/>
              <w:snapToGrid w:val="0"/>
              <w:spacing w:line="240" w:lineRule="auto"/>
              <w:textAlignment w:val="auto"/>
              <w:rPr>
                <w:rFonts w:hint="default" w:ascii="Arial" w:hAnsi="Arial" w:eastAsia="宋体" w:cs="Arial"/>
                <w:bCs/>
                <w:color w:val="auto"/>
                <w:kern w:val="28"/>
                <w:highlight w:val="none"/>
              </w:rPr>
            </w:pPr>
            <w:r>
              <w:rPr>
                <w:rFonts w:hint="default" w:ascii="Arial" w:hAnsi="Arial" w:eastAsia="宋体" w:cs="Arial"/>
                <w:color w:val="auto"/>
                <w:sz w:val="21"/>
                <w:szCs w:val="21"/>
                <w:highlight w:val="none"/>
              </w:rPr>
              <w:t>注：</w:t>
            </w:r>
            <w:r>
              <w:rPr>
                <w:rFonts w:hint="default" w:ascii="Arial" w:hAnsi="Arial" w:eastAsia="宋体" w:cs="Arial"/>
                <w:snapToGrid w:val="0"/>
                <w:color w:val="auto"/>
                <w:kern w:val="0"/>
                <w:sz w:val="21"/>
                <w:szCs w:val="21"/>
                <w:highlight w:val="none"/>
                <w:lang w:val="en-US" w:eastAsia="zh-CN"/>
              </w:rPr>
              <w:t>需提供中标通知书、</w:t>
            </w:r>
            <w:r>
              <w:rPr>
                <w:rFonts w:hint="default" w:ascii="Arial" w:hAnsi="Arial" w:eastAsia="宋体" w:cs="Arial"/>
                <w:snapToGrid w:val="0"/>
                <w:color w:val="auto"/>
                <w:kern w:val="0"/>
                <w:sz w:val="21"/>
                <w:szCs w:val="21"/>
                <w:highlight w:val="none"/>
              </w:rPr>
              <w:t>合同</w:t>
            </w:r>
            <w:r>
              <w:rPr>
                <w:rFonts w:hint="default" w:ascii="Arial" w:hAnsi="Arial" w:eastAsia="宋体" w:cs="Arial"/>
                <w:snapToGrid w:val="0"/>
                <w:color w:val="auto"/>
                <w:kern w:val="0"/>
                <w:sz w:val="21"/>
                <w:szCs w:val="21"/>
                <w:highlight w:val="none"/>
                <w:lang w:val="en-US" w:eastAsia="zh-CN"/>
              </w:rPr>
              <w:t>复印件、服务期内任一一期的发票复印件及</w:t>
            </w:r>
            <w:r>
              <w:rPr>
                <w:rFonts w:hint="default" w:ascii="Arial" w:hAnsi="Arial" w:eastAsia="宋体" w:cs="Arial"/>
                <w:snapToGrid w:val="0"/>
                <w:color w:val="auto"/>
                <w:spacing w:val="0"/>
                <w:kern w:val="0"/>
                <w:sz w:val="21"/>
                <w:szCs w:val="21"/>
                <w:highlight w:val="none"/>
              </w:rPr>
              <w:t>业主</w:t>
            </w:r>
            <w:r>
              <w:rPr>
                <w:rFonts w:hint="default" w:ascii="Arial" w:hAnsi="Arial" w:eastAsia="宋体" w:cs="Arial"/>
                <w:snapToGrid w:val="0"/>
                <w:color w:val="auto"/>
                <w:spacing w:val="0"/>
                <w:kern w:val="0"/>
                <w:sz w:val="21"/>
                <w:szCs w:val="21"/>
                <w:highlight w:val="none"/>
                <w:lang w:eastAsia="zh-CN"/>
              </w:rPr>
              <w:t>“</w:t>
            </w:r>
            <w:r>
              <w:rPr>
                <w:rFonts w:hint="default" w:ascii="Arial" w:hAnsi="Arial" w:eastAsia="宋体" w:cs="Arial"/>
                <w:snapToGrid w:val="0"/>
                <w:color w:val="auto"/>
                <w:spacing w:val="0"/>
                <w:kern w:val="0"/>
                <w:sz w:val="21"/>
                <w:szCs w:val="21"/>
                <w:highlight w:val="none"/>
                <w:lang w:val="en-US" w:eastAsia="zh-CN"/>
              </w:rPr>
              <w:t>满意”</w:t>
            </w:r>
            <w:r>
              <w:rPr>
                <w:rFonts w:hint="default" w:ascii="Arial" w:hAnsi="Arial" w:eastAsia="宋体" w:cs="Arial"/>
                <w:snapToGrid w:val="0"/>
                <w:color w:val="auto"/>
                <w:spacing w:val="0"/>
                <w:kern w:val="0"/>
                <w:sz w:val="21"/>
                <w:szCs w:val="21"/>
                <w:highlight w:val="none"/>
              </w:rPr>
              <w:t>评价书</w:t>
            </w:r>
            <w:r>
              <w:rPr>
                <w:rFonts w:hint="default" w:ascii="Arial" w:hAnsi="Arial" w:eastAsia="宋体" w:cs="Arial"/>
                <w:snapToGrid w:val="0"/>
                <w:color w:val="auto"/>
                <w:spacing w:val="0"/>
                <w:kern w:val="0"/>
                <w:sz w:val="21"/>
                <w:szCs w:val="21"/>
                <w:highlight w:val="none"/>
                <w:u w:val="single"/>
                <w:lang w:eastAsia="zh-CN"/>
              </w:rPr>
              <w:t>（</w:t>
            </w:r>
            <w:r>
              <w:rPr>
                <w:rFonts w:hint="default" w:ascii="Arial" w:hAnsi="Arial" w:eastAsia="宋体" w:cs="Arial"/>
                <w:snapToGrid w:val="0"/>
                <w:color w:val="auto"/>
                <w:spacing w:val="0"/>
                <w:kern w:val="0"/>
                <w:sz w:val="21"/>
                <w:szCs w:val="21"/>
                <w:highlight w:val="none"/>
                <w:u w:val="single"/>
                <w:lang w:val="en-US" w:eastAsia="zh-CN"/>
              </w:rPr>
              <w:t>评价书需单位负责人签字、加盖公章）</w:t>
            </w:r>
            <w:r>
              <w:rPr>
                <w:rFonts w:hint="default" w:ascii="Arial" w:hAnsi="Arial" w:eastAsia="宋体" w:cs="Arial"/>
                <w:snapToGrid w:val="0"/>
                <w:color w:val="auto"/>
                <w:spacing w:val="0"/>
                <w:kern w:val="0"/>
                <w:sz w:val="21"/>
                <w:szCs w:val="21"/>
                <w:highlight w:val="none"/>
                <w:u w:val="single"/>
                <w:lang w:eastAsia="zh-CN"/>
              </w:rPr>
              <w:t>，</w:t>
            </w:r>
            <w:r>
              <w:rPr>
                <w:rFonts w:hint="default" w:ascii="Arial" w:hAnsi="Arial" w:eastAsia="宋体" w:cs="Arial"/>
                <w:snapToGrid w:val="0"/>
                <w:color w:val="auto"/>
                <w:spacing w:val="0"/>
                <w:kern w:val="0"/>
                <w:sz w:val="21"/>
                <w:szCs w:val="21"/>
                <w:highlight w:val="none"/>
                <w:lang w:val="en-US" w:eastAsia="zh-CN"/>
              </w:rPr>
              <w:t>以上资料不齐全的业绩不予认可</w:t>
            </w:r>
            <w:r>
              <w:rPr>
                <w:rFonts w:hint="default" w:ascii="Arial" w:hAnsi="Arial" w:eastAsia="宋体" w:cs="Arial"/>
                <w:snapToGrid w:val="0"/>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4.3</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snapToGrid w:val="0"/>
                <w:color w:val="auto"/>
                <w:spacing w:val="0"/>
                <w:kern w:val="0"/>
                <w:sz w:val="21"/>
                <w:szCs w:val="21"/>
                <w:highlight w:val="none"/>
                <w:lang w:val="en-US" w:eastAsia="zh-CN"/>
              </w:rPr>
            </w:pPr>
            <w:r>
              <w:rPr>
                <w:rFonts w:hint="default" w:ascii="Arial" w:hAnsi="Arial" w:eastAsia="宋体" w:cs="Arial"/>
                <w:snapToGrid w:val="0"/>
                <w:color w:val="auto"/>
                <w:spacing w:val="0"/>
                <w:kern w:val="0"/>
                <w:sz w:val="21"/>
                <w:szCs w:val="21"/>
                <w:highlight w:val="none"/>
                <w:lang w:val="en-US" w:eastAsia="zh-CN"/>
              </w:rPr>
              <w:t>对本项目的总体认知及理解</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sz w:val="21"/>
                <w:szCs w:val="22"/>
                <w:highlight w:val="none"/>
                <w:lang w:val="en-US" w:eastAsia="zh-CN" w:bidi="ar-SA"/>
              </w:rPr>
            </w:pPr>
            <w:r>
              <w:rPr>
                <w:rFonts w:hint="default" w:ascii="Arial" w:hAnsi="Arial" w:eastAsia="宋体" w:cs="Arial"/>
                <w:color w:val="auto"/>
                <w:sz w:val="21"/>
                <w:szCs w:val="21"/>
                <w:highlight w:val="none"/>
              </w:rPr>
              <w:t>0-</w:t>
            </w:r>
            <w:r>
              <w:rPr>
                <w:rFonts w:hint="default" w:ascii="Arial" w:hAnsi="Arial" w:eastAsia="宋体" w:cs="Arial"/>
                <w:color w:val="auto"/>
                <w:sz w:val="21"/>
                <w:szCs w:val="21"/>
                <w:highlight w:val="none"/>
                <w:lang w:val="en-US" w:eastAsia="zh-CN"/>
              </w:rPr>
              <w:t>10</w:t>
            </w:r>
            <w:r>
              <w:rPr>
                <w:rFonts w:hint="default" w:ascii="Arial" w:hAnsi="Arial" w:eastAsia="宋体" w:cs="Arial"/>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根据投标人针对本项目的总体认知及理解情况，由专家自主评分，满分5分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根据投标人承接本项目优势和针对性举措情况，由专家自主评分，满分5分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41"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4.4</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snapToGrid w:val="0"/>
                <w:color w:val="auto"/>
                <w:spacing w:val="0"/>
                <w:kern w:val="0"/>
                <w:sz w:val="21"/>
                <w:szCs w:val="21"/>
                <w:highlight w:val="none"/>
                <w:lang w:val="en-US" w:eastAsia="zh-CN"/>
              </w:rPr>
            </w:pPr>
            <w:r>
              <w:rPr>
                <w:rFonts w:hint="default" w:ascii="Arial" w:hAnsi="Arial" w:eastAsia="宋体" w:cs="Arial"/>
                <w:snapToGrid w:val="0"/>
                <w:color w:val="auto"/>
                <w:spacing w:val="0"/>
                <w:kern w:val="0"/>
                <w:sz w:val="21"/>
                <w:szCs w:val="21"/>
                <w:highlight w:val="none"/>
                <w:lang w:val="en-US" w:eastAsia="zh-CN"/>
              </w:rPr>
              <w:t>项目实施方案</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0~36</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针对本项目的重点和难点分析、解决措施，由专家自主评分，满分5分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针对本项目的突发事情处理机制及方案，由专家自主评分，满分3分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项目实施过程中与采购人之间的对接方案情况（含项目实施过程中人员招录、离职、档案管理等的对接流程及管理方案），由专家自主评分，满分5分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针对本项目的机构设置情况及监督管理机制情况，由专家自主评分，满分2分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针对本项目拟投入的场地（含管理、办公、培训等）情况，由专家自主评分，满分3分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针对本项目拟投入的人员（包括管理人员、专职或派驻服务人员的数量、职称、教育经历等）情况，由专家自主评分，满分5分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针对本项目拟投入的设备情况，由专家自主评分，满分3分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针对本项目财务报销和财政资金拔付存在迟滞性，投标人需先行垫付工资及福利费，投标人的资金保障措施，由专家自主评分，满分5分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bCs/>
                <w:color w:val="auto"/>
                <w:kern w:val="28"/>
                <w:sz w:val="21"/>
                <w:szCs w:val="21"/>
                <w:highlight w:val="none"/>
                <w:lang w:val="en-US" w:eastAsia="zh-CN"/>
              </w:rPr>
            </w:pPr>
            <w:r>
              <w:rPr>
                <w:rFonts w:hint="default" w:ascii="Arial" w:hAnsi="Arial" w:eastAsia="宋体" w:cs="Arial"/>
                <w:color w:val="auto"/>
                <w:sz w:val="21"/>
                <w:szCs w:val="21"/>
                <w:highlight w:val="none"/>
                <w:u w:val="none"/>
                <w:lang w:val="en-US" w:eastAsia="zh-CN"/>
              </w:rPr>
              <w:t>针对本项目拟派遣员工的人事代理、工伤等权益保障措施，由专家自主评分，满分5分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4.5</w:t>
            </w:r>
          </w:p>
        </w:tc>
        <w:tc>
          <w:tcPr>
            <w:tcW w:w="1449" w:type="dxa"/>
            <w:noWrap w:val="0"/>
            <w:vAlign w:val="center"/>
          </w:tcPr>
          <w:p>
            <w:pPr>
              <w:keepNext w:val="0"/>
              <w:keepLines w:val="0"/>
              <w:pageBreakBefore w:val="0"/>
              <w:kinsoku/>
              <w:wordWrap/>
              <w:overflowPunct/>
              <w:topLinePunct w:val="0"/>
              <w:autoSpaceDE/>
              <w:autoSpaceDN/>
              <w:bidi w:val="0"/>
              <w:adjustRightInd/>
              <w:spacing w:line="240" w:lineRule="auto"/>
              <w:ind w:left="-50" w:leftChars="0"/>
              <w:jc w:val="center"/>
              <w:textAlignment w:val="auto"/>
              <w:outlineLvl w:val="9"/>
              <w:rPr>
                <w:rFonts w:hint="default" w:ascii="Arial" w:hAnsi="Arial" w:eastAsia="宋体" w:cs="Arial"/>
                <w:snapToGrid w:val="0"/>
                <w:color w:val="auto"/>
                <w:spacing w:val="0"/>
                <w:kern w:val="0"/>
                <w:sz w:val="21"/>
                <w:szCs w:val="21"/>
                <w:highlight w:val="none"/>
                <w:lang w:val="en-US" w:eastAsia="zh-CN"/>
              </w:rPr>
            </w:pPr>
            <w:r>
              <w:rPr>
                <w:rFonts w:hint="default" w:ascii="Arial" w:hAnsi="Arial" w:eastAsia="宋体" w:cs="Arial"/>
                <w:color w:val="auto"/>
                <w:sz w:val="21"/>
                <w:szCs w:val="21"/>
                <w:highlight w:val="none"/>
                <w:lang w:val="en-US" w:eastAsia="zh-CN"/>
              </w:rPr>
              <w:t>人身意外险投保情况</w:t>
            </w:r>
          </w:p>
        </w:tc>
        <w:tc>
          <w:tcPr>
            <w:tcW w:w="910"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Arial" w:hAnsi="Arial" w:eastAsia="宋体" w:cs="Arial"/>
                <w:color w:val="auto"/>
                <w:sz w:val="21"/>
                <w:szCs w:val="21"/>
                <w:highlight w:val="none"/>
              </w:rPr>
            </w:pPr>
            <w:r>
              <w:rPr>
                <w:rFonts w:hint="default" w:ascii="Arial" w:hAnsi="Arial" w:eastAsia="宋体" w:cs="Arial"/>
                <w:bCs/>
                <w:color w:val="auto"/>
                <w:sz w:val="21"/>
                <w:szCs w:val="21"/>
                <w:highlight w:val="none"/>
              </w:rPr>
              <w:t>0-</w:t>
            </w:r>
            <w:r>
              <w:rPr>
                <w:rFonts w:hint="default" w:ascii="Arial" w:hAnsi="Arial" w:eastAsia="宋体" w:cs="Arial"/>
                <w:color w:val="auto"/>
                <w:sz w:val="21"/>
                <w:szCs w:val="21"/>
                <w:highlight w:val="none"/>
                <w:lang w:val="en-US" w:eastAsia="zh-CN"/>
              </w:rPr>
              <w:t>5</w:t>
            </w:r>
            <w:r>
              <w:rPr>
                <w:rFonts w:hint="default" w:ascii="Arial" w:hAnsi="Arial" w:eastAsia="宋体" w:cs="Arial"/>
                <w:bCs/>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根据投标人拟投保的人身意外险的保险额度、保险范围（尤其是重大人身伤亡承保范围）、理赔额度及条件、保费金额及保费的性价比等，由专家自主评分，满分5分。</w:t>
            </w:r>
          </w:p>
          <w:p>
            <w:pPr>
              <w:keepNext w:val="0"/>
              <w:keepLines w:val="0"/>
              <w:pageBreakBefore w:val="0"/>
              <w:widowControl w:val="0"/>
              <w:numPr>
                <w:ilvl w:val="0"/>
                <w:numId w:val="0"/>
              </w:numPr>
              <w:tabs>
                <w:tab w:val="left" w:pos="509"/>
              </w:tabs>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注：需提供与保险公司的意向合作协议，保险保费承诺等证明材料，证明材料需保险公司盖章。相关评审内容无相关证明材料或说明的不得分。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Cs w:val="21"/>
                <w:highlight w:val="none"/>
              </w:rPr>
            </w:pPr>
            <w:r>
              <w:rPr>
                <w:rFonts w:hint="default" w:ascii="Arial" w:hAnsi="Arial" w:eastAsia="宋体" w:cs="Arial"/>
                <w:color w:val="auto"/>
                <w:sz w:val="21"/>
                <w:szCs w:val="21"/>
                <w:highlight w:val="none"/>
                <w:lang w:val="en-US" w:eastAsia="zh-CN"/>
              </w:rPr>
              <w:t>4.6</w:t>
            </w:r>
          </w:p>
        </w:tc>
        <w:tc>
          <w:tcPr>
            <w:tcW w:w="1449" w:type="dxa"/>
            <w:noWrap w:val="0"/>
            <w:vAlign w:val="center"/>
          </w:tcPr>
          <w:p>
            <w:pPr>
              <w:keepNext w:val="0"/>
              <w:keepLines w:val="0"/>
              <w:pageBreakBefore w:val="0"/>
              <w:kinsoku/>
              <w:wordWrap/>
              <w:overflowPunct/>
              <w:topLinePunct w:val="0"/>
              <w:autoSpaceDE/>
              <w:autoSpaceDN/>
              <w:bidi w:val="0"/>
              <w:adjustRightInd/>
              <w:spacing w:line="240" w:lineRule="auto"/>
              <w:ind w:left="-50" w:leftChars="0"/>
              <w:jc w:val="center"/>
              <w:textAlignment w:val="auto"/>
              <w:outlineLvl w:val="9"/>
              <w:rPr>
                <w:rFonts w:hint="default" w:ascii="Arial" w:hAnsi="Arial" w:eastAsia="宋体" w:cs="Arial"/>
                <w:color w:val="auto"/>
                <w:highlight w:val="none"/>
              </w:rPr>
            </w:pPr>
            <w:r>
              <w:rPr>
                <w:rFonts w:hint="default" w:ascii="Arial" w:hAnsi="Arial" w:eastAsia="宋体" w:cs="Arial"/>
                <w:color w:val="auto"/>
                <w:sz w:val="21"/>
                <w:szCs w:val="21"/>
                <w:highlight w:val="none"/>
              </w:rPr>
              <w:t>本项目员工培训计划及内容</w:t>
            </w:r>
          </w:p>
        </w:tc>
        <w:tc>
          <w:tcPr>
            <w:tcW w:w="910"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Arial" w:hAnsi="Arial" w:eastAsia="宋体" w:cs="Arial"/>
                <w:color w:val="auto"/>
                <w:szCs w:val="21"/>
                <w:highlight w:val="none"/>
              </w:rPr>
            </w:pPr>
            <w:r>
              <w:rPr>
                <w:rFonts w:hint="default" w:ascii="Arial" w:hAnsi="Arial" w:eastAsia="宋体" w:cs="Arial"/>
                <w:bCs/>
                <w:color w:val="auto"/>
                <w:sz w:val="21"/>
                <w:szCs w:val="21"/>
                <w:highlight w:val="none"/>
              </w:rPr>
              <w:t>0-</w:t>
            </w:r>
            <w:r>
              <w:rPr>
                <w:rFonts w:hint="default" w:ascii="Arial" w:hAnsi="Arial" w:eastAsia="宋体" w:cs="Arial"/>
                <w:color w:val="auto"/>
                <w:sz w:val="21"/>
                <w:szCs w:val="21"/>
                <w:highlight w:val="none"/>
                <w:lang w:val="en-US" w:eastAsia="zh-CN"/>
              </w:rPr>
              <w:t>8</w:t>
            </w:r>
            <w:r>
              <w:rPr>
                <w:rFonts w:hint="default" w:ascii="Arial" w:hAnsi="Arial" w:eastAsia="宋体" w:cs="Arial"/>
                <w:bCs/>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2"/>
                <w:highlight w:val="none"/>
                <w:u w:val="none"/>
                <w:lang w:val="en-US" w:eastAsia="zh-CN"/>
              </w:rPr>
            </w:pPr>
            <w:r>
              <w:rPr>
                <w:rFonts w:hint="default" w:ascii="Arial" w:hAnsi="Arial" w:eastAsia="宋体" w:cs="Arial"/>
                <w:color w:val="auto"/>
                <w:szCs w:val="22"/>
                <w:highlight w:val="none"/>
                <w:u w:val="none"/>
                <w:lang w:val="en-US" w:eastAsia="zh-CN"/>
              </w:rPr>
              <w:t>根据员工培训计划及内容，由评标专家自主评分，满分2分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2"/>
                <w:highlight w:val="none"/>
                <w:u w:val="none"/>
                <w:lang w:val="en-US" w:eastAsia="zh-CN"/>
              </w:rPr>
            </w:pPr>
            <w:r>
              <w:rPr>
                <w:rFonts w:hint="default" w:ascii="Arial" w:hAnsi="Arial" w:eastAsia="宋体" w:cs="Arial"/>
                <w:color w:val="auto"/>
                <w:szCs w:val="22"/>
                <w:highlight w:val="none"/>
                <w:u w:val="none"/>
                <w:lang w:val="en-US" w:eastAsia="zh-CN"/>
              </w:rPr>
              <w:t>根据投标人拟投入培训设施的位置、规模及是否自有等情况，由评标专家自主评分，满分3分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1"/>
                <w:highlight w:val="none"/>
                <w:u w:val="none"/>
              </w:rPr>
            </w:pPr>
            <w:r>
              <w:rPr>
                <w:rFonts w:hint="default" w:ascii="Arial" w:hAnsi="Arial" w:eastAsia="宋体" w:cs="Arial"/>
                <w:color w:val="auto"/>
                <w:szCs w:val="22"/>
                <w:highlight w:val="none"/>
                <w:u w:val="none"/>
                <w:lang w:val="en-US" w:eastAsia="zh-CN"/>
              </w:rPr>
              <w:t>根据投标人拟投入培训人员的资历、专业等情况，由评标专家自主评分，满分3分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lang w:val="en-US" w:eastAsia="zh-CN"/>
              </w:rPr>
              <w:t>4.7</w:t>
            </w:r>
          </w:p>
        </w:tc>
        <w:tc>
          <w:tcPr>
            <w:tcW w:w="1449"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color w:val="auto"/>
                <w:highlight w:val="none"/>
              </w:rPr>
            </w:pPr>
            <w:r>
              <w:rPr>
                <w:rFonts w:hint="default" w:ascii="Arial" w:hAnsi="Arial" w:eastAsia="宋体" w:cs="Arial"/>
                <w:bCs/>
                <w:color w:val="auto"/>
                <w:sz w:val="21"/>
                <w:szCs w:val="21"/>
                <w:highlight w:val="none"/>
              </w:rPr>
              <w:t>承诺或优惠情况</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highlight w:val="none"/>
              </w:rPr>
            </w:pPr>
            <w:r>
              <w:rPr>
                <w:rFonts w:hint="default" w:ascii="Arial" w:hAnsi="Arial" w:eastAsia="宋体" w:cs="Arial"/>
                <w:bCs/>
                <w:color w:val="auto"/>
                <w:sz w:val="21"/>
                <w:szCs w:val="21"/>
                <w:highlight w:val="none"/>
              </w:rPr>
              <w:t>0-</w:t>
            </w:r>
            <w:r>
              <w:rPr>
                <w:rFonts w:hint="default" w:ascii="Arial" w:hAnsi="Arial" w:eastAsia="宋体" w:cs="Arial"/>
                <w:bCs/>
                <w:color w:val="auto"/>
                <w:sz w:val="21"/>
                <w:szCs w:val="21"/>
                <w:highlight w:val="none"/>
                <w:lang w:val="en-US" w:eastAsia="zh-CN"/>
              </w:rPr>
              <w:t>8</w:t>
            </w:r>
            <w:r>
              <w:rPr>
                <w:rFonts w:hint="default" w:ascii="Arial" w:hAnsi="Arial" w:eastAsia="宋体" w:cs="Arial"/>
                <w:bCs/>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bCs/>
                <w:color w:val="auto"/>
                <w:sz w:val="21"/>
                <w:szCs w:val="21"/>
                <w:highlight w:val="none"/>
                <w:u w:val="none"/>
                <w:lang w:eastAsia="zh-CN"/>
              </w:rPr>
            </w:pPr>
            <w:r>
              <w:rPr>
                <w:rFonts w:hint="default" w:ascii="Arial" w:hAnsi="Arial" w:eastAsia="宋体" w:cs="Arial"/>
                <w:bCs/>
                <w:color w:val="auto"/>
                <w:sz w:val="21"/>
                <w:szCs w:val="21"/>
                <w:highlight w:val="none"/>
                <w:u w:val="none"/>
              </w:rPr>
              <w:t>根据投标人对采购人的</w:t>
            </w:r>
            <w:r>
              <w:rPr>
                <w:rFonts w:hint="default" w:ascii="Arial" w:hAnsi="Arial" w:eastAsia="宋体" w:cs="Arial"/>
                <w:bCs/>
                <w:color w:val="auto"/>
                <w:sz w:val="21"/>
                <w:szCs w:val="21"/>
                <w:highlight w:val="none"/>
                <w:u w:val="none"/>
                <w:lang w:val="en-US" w:eastAsia="zh-CN"/>
              </w:rPr>
              <w:t>服务</w:t>
            </w:r>
            <w:r>
              <w:rPr>
                <w:rFonts w:hint="default" w:ascii="Arial" w:hAnsi="Arial" w:eastAsia="宋体" w:cs="Arial"/>
                <w:bCs/>
                <w:color w:val="auto"/>
                <w:sz w:val="21"/>
                <w:szCs w:val="21"/>
                <w:highlight w:val="none"/>
                <w:u w:val="none"/>
              </w:rPr>
              <w:t>承诺情况，</w:t>
            </w:r>
            <w:r>
              <w:rPr>
                <w:rFonts w:hint="default" w:ascii="Arial" w:hAnsi="Arial" w:eastAsia="宋体" w:cs="Arial"/>
                <w:bCs/>
                <w:color w:val="auto"/>
                <w:sz w:val="21"/>
                <w:szCs w:val="21"/>
                <w:highlight w:val="none"/>
                <w:u w:val="none"/>
                <w:lang w:eastAsia="zh-CN"/>
              </w:rPr>
              <w:t>由专家自主评分，满分</w:t>
            </w:r>
            <w:r>
              <w:rPr>
                <w:rFonts w:hint="default" w:ascii="Arial" w:hAnsi="Arial" w:eastAsia="宋体" w:cs="Arial"/>
                <w:bCs/>
                <w:color w:val="auto"/>
                <w:sz w:val="21"/>
                <w:szCs w:val="21"/>
                <w:highlight w:val="none"/>
                <w:u w:val="none"/>
                <w:lang w:val="en-US" w:eastAsia="zh-CN"/>
              </w:rPr>
              <w:t>4分</w:t>
            </w:r>
            <w:r>
              <w:rPr>
                <w:rFonts w:hint="default" w:ascii="Arial" w:hAnsi="Arial" w:eastAsia="宋体" w:cs="Arial"/>
                <w:bCs/>
                <w:color w:val="auto"/>
                <w:sz w:val="21"/>
                <w:szCs w:val="21"/>
                <w:highlight w:val="none"/>
                <w:u w:val="none"/>
                <w:lang w:eastAsia="zh-CN"/>
              </w:rPr>
              <w:t>。</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1"/>
                <w:highlight w:val="none"/>
                <w:u w:val="none"/>
              </w:rPr>
            </w:pPr>
            <w:r>
              <w:rPr>
                <w:rFonts w:hint="default" w:ascii="Arial" w:hAnsi="Arial" w:eastAsia="宋体" w:cs="Arial"/>
                <w:bCs/>
                <w:color w:val="auto"/>
                <w:sz w:val="21"/>
                <w:szCs w:val="21"/>
                <w:highlight w:val="none"/>
                <w:u w:val="none"/>
              </w:rPr>
              <w:t>根据投标人对</w:t>
            </w:r>
            <w:r>
              <w:rPr>
                <w:rFonts w:hint="default" w:ascii="Arial" w:hAnsi="Arial" w:eastAsia="宋体" w:cs="Arial"/>
                <w:bCs/>
                <w:color w:val="auto"/>
                <w:sz w:val="21"/>
                <w:szCs w:val="21"/>
                <w:highlight w:val="none"/>
                <w:u w:val="none"/>
                <w:lang w:val="en-US" w:eastAsia="zh-CN"/>
              </w:rPr>
              <w:t>实际</w:t>
            </w:r>
            <w:r>
              <w:rPr>
                <w:rFonts w:hint="default" w:ascii="Arial" w:hAnsi="Arial" w:eastAsia="宋体" w:cs="Arial"/>
                <w:bCs/>
                <w:color w:val="auto"/>
                <w:sz w:val="21"/>
                <w:szCs w:val="21"/>
                <w:highlight w:val="none"/>
                <w:u w:val="none"/>
              </w:rPr>
              <w:t>优惠</w:t>
            </w:r>
            <w:r>
              <w:rPr>
                <w:rFonts w:hint="default" w:ascii="Arial" w:hAnsi="Arial" w:eastAsia="宋体" w:cs="Arial"/>
                <w:bCs/>
                <w:color w:val="auto"/>
                <w:sz w:val="21"/>
                <w:szCs w:val="21"/>
                <w:highlight w:val="none"/>
                <w:u w:val="none"/>
                <w:lang w:val="en-US" w:eastAsia="zh-CN"/>
              </w:rPr>
              <w:t>及延伸服务</w:t>
            </w:r>
            <w:r>
              <w:rPr>
                <w:rFonts w:hint="default" w:ascii="Arial" w:hAnsi="Arial" w:eastAsia="宋体" w:cs="Arial"/>
                <w:bCs/>
                <w:color w:val="auto"/>
                <w:sz w:val="21"/>
                <w:szCs w:val="21"/>
                <w:highlight w:val="none"/>
                <w:u w:val="none"/>
              </w:rPr>
              <w:t>情况，</w:t>
            </w:r>
            <w:r>
              <w:rPr>
                <w:rFonts w:hint="default" w:ascii="Arial" w:hAnsi="Arial" w:eastAsia="宋体" w:cs="Arial"/>
                <w:bCs/>
                <w:color w:val="auto"/>
                <w:sz w:val="21"/>
                <w:szCs w:val="21"/>
                <w:highlight w:val="none"/>
                <w:u w:val="none"/>
                <w:lang w:eastAsia="zh-CN"/>
              </w:rPr>
              <w:t>由专家自主评分，满分</w:t>
            </w:r>
            <w:r>
              <w:rPr>
                <w:rFonts w:hint="default" w:ascii="Arial" w:hAnsi="Arial" w:eastAsia="宋体" w:cs="Arial"/>
                <w:bCs/>
                <w:color w:val="auto"/>
                <w:sz w:val="21"/>
                <w:szCs w:val="21"/>
                <w:highlight w:val="none"/>
                <w:u w:val="none"/>
                <w:lang w:val="en-US" w:eastAsia="zh-CN"/>
              </w:rPr>
              <w:t>4分</w:t>
            </w:r>
            <w:r>
              <w:rPr>
                <w:rFonts w:hint="default" w:ascii="Arial" w:hAnsi="Arial" w:eastAsia="宋体" w:cs="Arial"/>
                <w:bCs/>
                <w:color w:val="auto"/>
                <w:sz w:val="21"/>
                <w:szCs w:val="21"/>
                <w:highlight w:val="none"/>
                <w:u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w:t>
            </w:r>
          </w:p>
        </w:tc>
        <w:tc>
          <w:tcPr>
            <w:tcW w:w="2359" w:type="dxa"/>
            <w:gridSpan w:val="2"/>
            <w:noWrap w:val="0"/>
            <w:vAlign w:val="center"/>
          </w:tcPr>
          <w:p>
            <w:pPr>
              <w:jc w:val="center"/>
              <w:rPr>
                <w:rFonts w:hint="default" w:ascii="Arial" w:hAnsi="Arial" w:eastAsia="宋体" w:cs="Arial"/>
                <w:i/>
                <w:color w:val="auto"/>
                <w:szCs w:val="21"/>
                <w:highlight w:val="none"/>
              </w:rPr>
            </w:pPr>
            <w:r>
              <w:rPr>
                <w:rFonts w:hint="default" w:ascii="Arial" w:hAnsi="Arial" w:eastAsia="宋体" w:cs="Arial"/>
                <w:bCs/>
                <w:color w:val="auto"/>
                <w:kern w:val="28"/>
                <w:highlight w:val="none"/>
              </w:rPr>
              <w:t>报价文件</w:t>
            </w:r>
          </w:p>
        </w:tc>
        <w:tc>
          <w:tcPr>
            <w:tcW w:w="7073" w:type="dxa"/>
            <w:gridSpan w:val="2"/>
            <w:noWrap w:val="0"/>
            <w:vAlign w:val="center"/>
          </w:tcPr>
          <w:p>
            <w:pPr>
              <w:jc w:val="center"/>
              <w:rPr>
                <w:rFonts w:hint="default" w:ascii="Arial" w:hAnsi="Arial" w:eastAsia="宋体" w:cs="Arial"/>
                <w:b/>
                <w:i/>
                <w:color w:val="auto"/>
                <w:szCs w:val="21"/>
                <w:highlight w:val="none"/>
              </w:rPr>
            </w:pPr>
            <w:r>
              <w:rPr>
                <w:rFonts w:hint="default" w:ascii="Arial" w:hAnsi="Arial" w:eastAsia="宋体" w:cs="Arial"/>
                <w:b/>
                <w:bCs/>
                <w:color w:val="auto"/>
                <w:kern w:val="28"/>
                <w:highlight w:val="none"/>
              </w:rPr>
              <w:t>合计10分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20"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5.1</w:t>
            </w:r>
          </w:p>
        </w:tc>
        <w:tc>
          <w:tcPr>
            <w:tcW w:w="9432" w:type="dxa"/>
            <w:gridSpan w:val="4"/>
            <w:noWrap w:val="0"/>
            <w:vAlign w:val="center"/>
          </w:tcPr>
          <w:p>
            <w:pPr>
              <w:snapToGrid w:val="0"/>
              <w:spacing w:before="156" w:beforeLines="50" w:line="360" w:lineRule="exact"/>
              <w:rPr>
                <w:rFonts w:hint="default" w:ascii="Arial" w:hAnsi="Arial" w:eastAsia="宋体" w:cs="Arial"/>
                <w:b/>
                <w:snapToGrid w:val="0"/>
                <w:color w:val="auto"/>
                <w:highlight w:val="none"/>
              </w:rPr>
            </w:pPr>
            <w:r>
              <w:rPr>
                <w:rFonts w:hint="default" w:ascii="Arial" w:hAnsi="Arial" w:eastAsia="宋体" w:cs="Arial"/>
                <w:b/>
                <w:color w:val="auto"/>
                <w:highlight w:val="none"/>
              </w:rPr>
              <w:t>报价的初评</w:t>
            </w:r>
          </w:p>
          <w:p>
            <w:pPr>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报价文件开标后评标专家组成员对各投标供应商的报价进行审查。</w:t>
            </w:r>
          </w:p>
          <w:p>
            <w:pPr>
              <w:numPr>
                <w:ilvl w:val="0"/>
                <w:numId w:val="36"/>
              </w:numPr>
              <w:tabs>
                <w:tab w:val="left" w:pos="420"/>
                <w:tab w:val="left" w:pos="1134"/>
                <w:tab w:val="clear" w:pos="360"/>
              </w:tabs>
              <w:spacing w:line="360" w:lineRule="exact"/>
              <w:ind w:left="134" w:firstLine="575"/>
              <w:rPr>
                <w:rFonts w:hint="default" w:ascii="Arial" w:hAnsi="Arial" w:eastAsia="宋体" w:cs="Arial"/>
                <w:snapToGrid w:val="0"/>
                <w:color w:val="auto"/>
                <w:highlight w:val="none"/>
              </w:rPr>
            </w:pPr>
            <w:r>
              <w:rPr>
                <w:rFonts w:hint="default" w:ascii="Arial" w:hAnsi="Arial" w:eastAsia="宋体" w:cs="Arial"/>
                <w:snapToGrid w:val="0"/>
                <w:color w:val="auto"/>
                <w:highlight w:val="none"/>
              </w:rPr>
              <w:t>报价文件中有无差错(遗漏或多计)或存在严重不平衡报价；</w:t>
            </w:r>
          </w:p>
          <w:p>
            <w:pPr>
              <w:numPr>
                <w:ilvl w:val="0"/>
                <w:numId w:val="36"/>
              </w:numPr>
              <w:tabs>
                <w:tab w:val="left" w:pos="420"/>
                <w:tab w:val="left" w:pos="1134"/>
                <w:tab w:val="clear" w:pos="360"/>
              </w:tabs>
              <w:spacing w:line="360" w:lineRule="exact"/>
              <w:ind w:left="134" w:firstLine="575"/>
              <w:jc w:val="lef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付款方式和进度是否响应招标要求；</w:t>
            </w:r>
          </w:p>
          <w:p>
            <w:pPr>
              <w:numPr>
                <w:ilvl w:val="0"/>
                <w:numId w:val="36"/>
              </w:numPr>
              <w:tabs>
                <w:tab w:val="left" w:pos="420"/>
                <w:tab w:val="left" w:pos="1134"/>
                <w:tab w:val="clear" w:pos="360"/>
              </w:tabs>
              <w:spacing w:line="360" w:lineRule="exact"/>
              <w:ind w:left="134" w:firstLine="575"/>
              <w:jc w:val="lef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是否提出与招标文件中的合同条款相悖的要求，如：重新划分风险，增加业主责任范围，减少投标供应商义务，或提出不同的验收和计量办法不同的纠纷和质量事故处理办法，或对合同条款有重要保留等；工期(交货期)、质量目标是否满足招标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6"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5.2</w:t>
            </w:r>
          </w:p>
        </w:tc>
        <w:tc>
          <w:tcPr>
            <w:tcW w:w="9432" w:type="dxa"/>
            <w:gridSpan w:val="4"/>
            <w:noWrap w:val="0"/>
            <w:vAlign w:val="center"/>
          </w:tcPr>
          <w:p>
            <w:pPr>
              <w:snapToGrid w:val="0"/>
              <w:spacing w:before="156" w:beforeLines="50" w:line="360" w:lineRule="exact"/>
              <w:rPr>
                <w:rFonts w:hint="default" w:ascii="Arial" w:hAnsi="Arial" w:eastAsia="宋体" w:cs="Arial"/>
                <w:b/>
                <w:color w:val="auto"/>
                <w:highlight w:val="none"/>
              </w:rPr>
            </w:pPr>
            <w:r>
              <w:rPr>
                <w:rFonts w:hint="default" w:ascii="Arial" w:hAnsi="Arial" w:eastAsia="宋体" w:cs="Arial"/>
                <w:b/>
                <w:color w:val="auto"/>
                <w:highlight w:val="none"/>
              </w:rPr>
              <w:t>评标价的确定：</w:t>
            </w:r>
          </w:p>
          <w:p>
            <w:pPr>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初审时发现价格计算有误，将按下述原则修正：</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开标时投标文件中开标一览表内容与投标文件中明细表内容不一致的，以开标一览表为准。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大写金额和小写金额不一致的，以大写金额为准；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单价金额小数点或者百分比有明显错位的，以开标一览表的总价为准，并修正单价。</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rPr>
            </w:pPr>
            <w:r>
              <w:rPr>
                <w:rFonts w:hint="default" w:ascii="Arial" w:hAnsi="Arial" w:eastAsia="宋体" w:cs="Arial"/>
                <w:color w:val="auto"/>
                <w:highlight w:val="none"/>
                <w:u w:val="wave"/>
              </w:rPr>
              <w:t>总价金额与按单价汇总金额不一致的，以单价金额计算结果为准。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rPr>
              <w:t>开标时投标文件中投标单价与下浮率的计算结果不一致的，以下浮率为计算依据，调整投标单价。</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如投标文件正本与副本表示的有差别，以正本为准，修正副本。</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如以文字表示的数据与数字表示的有差别，以文字为准修正数字。</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▲如投标供应商缺漏项价格比例达到投标报价的5%（含）以上时，属于商务重大偏离，评标委员会将对其投标按无效标处理。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如投标供应商的投标文件前后矛盾，评委会将做出不利于投标供应商的修正。</w:t>
            </w:r>
          </w:p>
          <w:p>
            <w:pPr>
              <w:tabs>
                <w:tab w:val="left" w:pos="426"/>
                <w:tab w:val="left" w:pos="993"/>
              </w:tabs>
              <w:snapToGrid w:val="0"/>
              <w:spacing w:line="360" w:lineRule="exact"/>
              <w:rPr>
                <w:rFonts w:hint="default" w:ascii="Arial" w:hAnsi="Arial" w:eastAsia="宋体" w:cs="Arial"/>
                <w:color w:val="auto"/>
                <w:highlight w:val="none"/>
              </w:rPr>
            </w:pPr>
            <w:r>
              <w:rPr>
                <w:rFonts w:hint="default" w:ascii="Arial" w:hAnsi="Arial" w:eastAsia="宋体" w:cs="Arial"/>
                <w:color w:val="auto"/>
                <w:highlight w:val="none"/>
                <w:u w:val="wave"/>
              </w:rPr>
              <w:t>注（1）~（4）同时出现两种以上不一致的，按照前款规定的顺序修正。修正后的报价按照相关法律规定经投标供应商确认后产生约束力，投标供应商不确认的，其投标无效。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5.3</w:t>
            </w:r>
          </w:p>
        </w:tc>
        <w:tc>
          <w:tcPr>
            <w:tcW w:w="9432" w:type="dxa"/>
            <w:gridSpan w:val="4"/>
            <w:noWrap w:val="0"/>
            <w:vAlign w:val="center"/>
          </w:tcPr>
          <w:p>
            <w:pPr>
              <w:snapToGrid w:val="0"/>
              <w:spacing w:line="360" w:lineRule="exact"/>
              <w:rPr>
                <w:rFonts w:hint="default" w:ascii="Arial" w:hAnsi="Arial" w:eastAsia="宋体" w:cs="Arial"/>
                <w:b/>
                <w:color w:val="auto"/>
                <w:highlight w:val="none"/>
              </w:rPr>
            </w:pPr>
            <w:r>
              <w:rPr>
                <w:rFonts w:hint="default" w:ascii="Arial" w:hAnsi="Arial" w:eastAsia="宋体" w:cs="Arial"/>
                <w:b/>
                <w:color w:val="auto"/>
                <w:highlight w:val="none"/>
              </w:rPr>
              <w:t>合同价的确定：</w:t>
            </w:r>
          </w:p>
          <w:p>
            <w:pPr>
              <w:spacing w:line="360" w:lineRule="exact"/>
              <w:rPr>
                <w:rFonts w:hint="default" w:ascii="Arial" w:hAnsi="Arial" w:eastAsia="宋体" w:cs="Arial"/>
                <w:i/>
                <w:color w:val="auto"/>
                <w:szCs w:val="21"/>
                <w:highlight w:val="none"/>
              </w:rPr>
            </w:pPr>
            <w:r>
              <w:rPr>
                <w:rFonts w:hint="default" w:ascii="Arial" w:hAnsi="Arial" w:eastAsia="宋体" w:cs="Arial"/>
                <w:color w:val="auto"/>
                <w:highlight w:val="none"/>
              </w:rPr>
              <w:t>投标文件任何有缺漏项报价的，包括漏项产生的费用，如果中标，将以不利于投标供应商利益调整合同价格。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46"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5.4</w:t>
            </w:r>
          </w:p>
        </w:tc>
        <w:tc>
          <w:tcPr>
            <w:tcW w:w="9432" w:type="dxa"/>
            <w:gridSpan w:val="4"/>
            <w:noWrap w:val="0"/>
            <w:vAlign w:val="center"/>
          </w:tcPr>
          <w:p>
            <w:pPr>
              <w:pStyle w:val="28"/>
              <w:spacing w:before="156" w:beforeLines="50" w:line="360" w:lineRule="exact"/>
              <w:ind w:left="316" w:leftChars="0" w:hanging="316" w:hangingChars="150"/>
              <w:rPr>
                <w:rFonts w:hint="default" w:ascii="Arial" w:hAnsi="Arial" w:eastAsia="宋体" w:cs="Arial"/>
                <w:b/>
                <w:snapToGrid w:val="0"/>
                <w:color w:val="auto"/>
                <w:highlight w:val="none"/>
              </w:rPr>
            </w:pPr>
            <w:r>
              <w:rPr>
                <w:rFonts w:hint="default" w:ascii="Arial" w:hAnsi="Arial" w:eastAsia="宋体" w:cs="Arial"/>
                <w:b/>
                <w:color w:val="auto"/>
                <w:highlight w:val="none"/>
              </w:rPr>
              <w:t xml:space="preserve">报价得分： </w:t>
            </w:r>
          </w:p>
          <w:p>
            <w:pPr>
              <w:snapToGrid w:val="0"/>
              <w:spacing w:line="360" w:lineRule="exact"/>
              <w:rPr>
                <w:rFonts w:hint="default" w:ascii="Arial" w:hAnsi="Arial" w:eastAsia="宋体" w:cs="Arial"/>
                <w:b/>
                <w:snapToGrid w:val="0"/>
                <w:color w:val="auto"/>
                <w:highlight w:val="none"/>
              </w:rPr>
            </w:pPr>
            <w:r>
              <w:rPr>
                <w:rFonts w:hint="default" w:ascii="Arial" w:hAnsi="Arial" w:eastAsia="宋体" w:cs="Arial"/>
                <w:color w:val="auto"/>
                <w:highlight w:val="none"/>
              </w:rPr>
              <w:t>进入报价程序的全部有效投标供应商中的最低评标价作为评分基准值。投标供应商报价与基准值对比，计算出报价评分值：</w:t>
            </w:r>
          </w:p>
          <w:p>
            <w:pPr>
              <w:numPr>
                <w:ilvl w:val="0"/>
                <w:numId w:val="38"/>
              </w:numPr>
              <w:tabs>
                <w:tab w:val="left" w:pos="435"/>
                <w:tab w:val="left" w:pos="1134"/>
              </w:tabs>
              <w:snapToGrid w:val="0"/>
              <w:spacing w:line="360" w:lineRule="exact"/>
              <w:ind w:left="435" w:firstLine="274"/>
              <w:rPr>
                <w:rFonts w:hint="default" w:ascii="Arial" w:hAnsi="Arial" w:eastAsia="宋体" w:cs="Arial"/>
                <w:color w:val="auto"/>
                <w:highlight w:val="none"/>
              </w:rPr>
            </w:pPr>
            <w:r>
              <w:rPr>
                <w:rFonts w:hint="default" w:ascii="Arial" w:hAnsi="Arial" w:eastAsia="宋体" w:cs="Arial"/>
                <w:color w:val="auto"/>
                <w:highlight w:val="none"/>
              </w:rPr>
              <w:t>全部有效投标供应商中的最低评标价作为评标基准价。</w:t>
            </w:r>
          </w:p>
          <w:p>
            <w:pPr>
              <w:numPr>
                <w:ilvl w:val="0"/>
                <w:numId w:val="38"/>
              </w:numPr>
              <w:tabs>
                <w:tab w:val="left" w:pos="435"/>
                <w:tab w:val="left" w:pos="1134"/>
              </w:tabs>
              <w:snapToGrid w:val="0"/>
              <w:spacing w:line="360" w:lineRule="exact"/>
              <w:ind w:left="435" w:firstLine="274"/>
              <w:rPr>
                <w:rFonts w:hint="default" w:ascii="Arial" w:hAnsi="Arial" w:eastAsia="宋体" w:cs="Arial"/>
                <w:color w:val="auto"/>
                <w:highlight w:val="none"/>
              </w:rPr>
            </w:pPr>
            <w:r>
              <w:rPr>
                <w:rFonts w:hint="default" w:ascii="Arial" w:hAnsi="Arial" w:eastAsia="宋体" w:cs="Arial"/>
                <w:color w:val="auto"/>
                <w:highlight w:val="none"/>
              </w:rPr>
              <w:t>各投标供应商评标价与评标基准价对比，计算各投标供应商的报价得分：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等于评标基准价的得满分10分；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其他投标供应商的报价得分按下面公式计算得出：投标供应商的报价得分=（评标基准价/评标价）×10分；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如投标报价超过财政预算价的，则该投标供应商的投标文件作无效标处理；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商务报价得分计算保留小数2位，第三位四舍五入。</w:t>
            </w:r>
          </w:p>
          <w:p>
            <w:pPr>
              <w:tabs>
                <w:tab w:val="left" w:pos="982"/>
              </w:tabs>
              <w:snapToGrid w:val="0"/>
              <w:spacing w:line="360" w:lineRule="exact"/>
              <w:rPr>
                <w:rFonts w:hint="default" w:ascii="Arial" w:hAnsi="Arial" w:eastAsia="宋体" w:cs="Arial"/>
                <w:b/>
                <w:color w:val="auto"/>
                <w:szCs w:val="21"/>
                <w:highlight w:val="none"/>
              </w:rPr>
            </w:pPr>
            <w:r>
              <w:rPr>
                <w:rFonts w:hint="default" w:ascii="Arial" w:hAnsi="Arial" w:eastAsia="宋体" w:cs="Arial"/>
                <w:b/>
                <w:color w:val="auto"/>
                <w:szCs w:val="21"/>
                <w:highlight w:val="none"/>
              </w:rPr>
              <w:t>1、依据《政府采购促进中小企业</w:t>
            </w:r>
            <w:r>
              <w:rPr>
                <w:rFonts w:hint="default" w:ascii="Arial" w:hAnsi="Arial" w:eastAsia="宋体" w:cs="Arial"/>
                <w:b/>
                <w:color w:val="auto"/>
                <w:szCs w:val="21"/>
                <w:highlight w:val="none"/>
                <w:lang w:eastAsia="zh-CN"/>
              </w:rPr>
              <w:t>发展管理办法</w:t>
            </w:r>
            <w:r>
              <w:rPr>
                <w:rFonts w:hint="default" w:ascii="Arial" w:hAnsi="Arial" w:eastAsia="宋体" w:cs="Arial"/>
                <w:b/>
                <w:color w:val="auto"/>
                <w:szCs w:val="21"/>
                <w:highlight w:val="none"/>
              </w:rPr>
              <w:t>》（财库</w:t>
            </w:r>
            <w:r>
              <w:rPr>
                <w:rFonts w:hint="default" w:ascii="Arial" w:hAnsi="Arial" w:eastAsia="宋体" w:cs="Arial"/>
                <w:b/>
                <w:color w:val="auto"/>
                <w:szCs w:val="21"/>
                <w:highlight w:val="none"/>
                <w:lang w:eastAsia="zh-CN"/>
              </w:rPr>
              <w:t>【2020】46号</w:t>
            </w:r>
            <w:r>
              <w:rPr>
                <w:rFonts w:hint="default" w:ascii="Arial" w:hAnsi="Arial" w:eastAsia="宋体" w:cs="Arial"/>
                <w:b/>
                <w:color w:val="auto"/>
                <w:szCs w:val="21"/>
                <w:highlight w:val="none"/>
              </w:rPr>
              <w:t>）文件及《财政部、司法部关于政府采购支持监狱企业发展有关问题的通知》（财库〔2014〕68号）文件，对小型和微型企业的价格给予6%～10%的扣除，用扣除后的价格参与评审。监狱企业视同小型、微型企业。本项目的扣除比例为：小型、微型企业扣除</w:t>
            </w:r>
            <w:r>
              <w:rPr>
                <w:rFonts w:hint="default" w:ascii="Arial" w:hAnsi="Arial" w:eastAsia="宋体" w:cs="Arial"/>
                <w:b/>
                <w:color w:val="auto"/>
                <w:szCs w:val="21"/>
                <w:highlight w:val="none"/>
                <w:u w:val="single"/>
              </w:rPr>
              <w:t xml:space="preserve">_6 </w:t>
            </w:r>
            <w:r>
              <w:rPr>
                <w:rFonts w:hint="default" w:ascii="Arial" w:hAnsi="Arial" w:eastAsia="宋体" w:cs="Arial"/>
                <w:b/>
                <w:color w:val="auto"/>
                <w:szCs w:val="21"/>
                <w:highlight w:val="none"/>
              </w:rPr>
              <w:t>%。小型和微型企业是指投标文件中提供中小企业声明函且符合《政府采购促进中小企业</w:t>
            </w:r>
            <w:r>
              <w:rPr>
                <w:rFonts w:hint="default" w:ascii="Arial" w:hAnsi="Arial" w:eastAsia="宋体" w:cs="Arial"/>
                <w:b/>
                <w:color w:val="auto"/>
                <w:szCs w:val="21"/>
                <w:highlight w:val="none"/>
                <w:lang w:eastAsia="zh-CN"/>
              </w:rPr>
              <w:t>发展管理办法</w:t>
            </w:r>
            <w:r>
              <w:rPr>
                <w:rFonts w:hint="default" w:ascii="Arial" w:hAnsi="Arial" w:eastAsia="宋体" w:cs="Arial"/>
                <w:b/>
                <w:color w:val="auto"/>
                <w:szCs w:val="21"/>
                <w:highlight w:val="none"/>
              </w:rPr>
              <w:t>》（财库</w:t>
            </w:r>
            <w:r>
              <w:rPr>
                <w:rFonts w:hint="default" w:ascii="Arial" w:hAnsi="Arial" w:eastAsia="宋体" w:cs="Arial"/>
                <w:b/>
                <w:color w:val="auto"/>
                <w:szCs w:val="21"/>
                <w:highlight w:val="none"/>
                <w:lang w:eastAsia="zh-CN"/>
              </w:rPr>
              <w:t>【2020】46号</w:t>
            </w:r>
            <w:r>
              <w:rPr>
                <w:rFonts w:hint="default" w:ascii="Arial" w:hAnsi="Arial" w:eastAsia="宋体" w:cs="Arial"/>
                <w:b/>
                <w:color w:val="auto"/>
                <w:szCs w:val="21"/>
                <w:highlight w:val="none"/>
              </w:rPr>
              <w:t>）规定的要求并符合《工业和信息化部、国家统计局、国家发展和改革委员会、财政部关于印发中小企业划型标准规定的通知》（工信部联企业〔2011〕300号）规定的小、微企业的划型标准规定。监狱企业参加政府采购活动时，应当提供由省级以上监狱管理局、戒毒管理局（含新疆生产建设兵团）出具的属于监狱企业的证明文件。</w:t>
            </w:r>
          </w:p>
          <w:p>
            <w:pPr>
              <w:tabs>
                <w:tab w:val="left" w:pos="982"/>
              </w:tabs>
              <w:snapToGrid w:val="0"/>
              <w:spacing w:line="360" w:lineRule="exact"/>
              <w:rPr>
                <w:rFonts w:hint="default" w:ascii="Arial" w:hAnsi="Arial" w:eastAsia="宋体" w:cs="Arial"/>
                <w:snapToGrid w:val="0"/>
                <w:color w:val="auto"/>
                <w:highlight w:val="none"/>
              </w:rPr>
            </w:pPr>
            <w:r>
              <w:rPr>
                <w:rFonts w:hint="default" w:ascii="Arial" w:hAnsi="Arial" w:eastAsia="宋体" w:cs="Arial"/>
                <w:b/>
                <w:color w:val="auto"/>
                <w:szCs w:val="21"/>
                <w:highlight w:val="none"/>
              </w:rPr>
              <w:t>2、</w:t>
            </w:r>
            <w:r>
              <w:rPr>
                <w:rFonts w:hint="default" w:ascii="Arial" w:hAnsi="Arial" w:eastAsia="宋体" w:cs="Arial"/>
                <w:color w:val="auto"/>
                <w:szCs w:val="21"/>
                <w:highlight w:val="none"/>
              </w:rPr>
              <w:t>根据浙财采监〔2012〕11号文件，在投标截止时间之前已注册并加入“浙江省政府采购投标人库”且符合财政部、工业和信息化部《关于印发〈政府采购促进中小企业</w:t>
            </w:r>
            <w:r>
              <w:rPr>
                <w:rFonts w:hint="default" w:ascii="Arial" w:hAnsi="Arial" w:eastAsia="宋体" w:cs="Arial"/>
                <w:color w:val="auto"/>
                <w:szCs w:val="21"/>
                <w:highlight w:val="none"/>
                <w:lang w:eastAsia="zh-CN"/>
              </w:rPr>
              <w:t>发展管理办法</w:t>
            </w:r>
            <w:r>
              <w:rPr>
                <w:rFonts w:hint="default" w:ascii="Arial" w:hAnsi="Arial" w:eastAsia="宋体" w:cs="Arial"/>
                <w:color w:val="auto"/>
                <w:szCs w:val="21"/>
                <w:highlight w:val="none"/>
              </w:rPr>
              <w:t>〉的通知》（财库</w:t>
            </w:r>
            <w:r>
              <w:rPr>
                <w:rFonts w:hint="default" w:ascii="Arial" w:hAnsi="Arial" w:eastAsia="宋体" w:cs="Arial"/>
                <w:color w:val="auto"/>
                <w:szCs w:val="21"/>
                <w:highlight w:val="none"/>
                <w:lang w:eastAsia="zh-CN"/>
              </w:rPr>
              <w:t>【2020】46号</w:t>
            </w:r>
            <w:r>
              <w:rPr>
                <w:rFonts w:hint="default" w:ascii="Arial" w:hAnsi="Arial" w:eastAsia="宋体" w:cs="Arial"/>
                <w:color w:val="auto"/>
                <w:szCs w:val="21"/>
                <w:highlight w:val="none"/>
              </w:rPr>
              <w:t>，以下简称《暂行办法》）规定的中小企业（含微型企业）条件的，在参加本项目投标活动时可享受《暂行办法》规定的优惠政策。</w:t>
            </w:r>
          </w:p>
        </w:tc>
      </w:tr>
    </w:tbl>
    <w:p>
      <w:pPr>
        <w:pStyle w:val="28"/>
        <w:spacing w:before="156" w:beforeLines="50" w:line="375" w:lineRule="atLeast"/>
        <w:ind w:left="315" w:leftChars="0" w:hanging="315" w:hangingChars="150"/>
        <w:rPr>
          <w:rFonts w:hint="default" w:ascii="Arial" w:hAnsi="Arial" w:eastAsia="宋体" w:cs="Arial"/>
          <w:bCs/>
          <w:color w:val="auto"/>
          <w:highlight w:val="none"/>
        </w:rPr>
      </w:pPr>
      <w:r>
        <w:rPr>
          <w:rFonts w:hint="default" w:ascii="Arial" w:hAnsi="Arial" w:eastAsia="宋体" w:cs="Arial"/>
          <w:color w:val="auto"/>
          <w:kern w:val="28"/>
          <w:highlight w:val="none"/>
        </w:rPr>
        <w:t xml:space="preserve">   </w:t>
      </w:r>
      <w:r>
        <w:rPr>
          <w:rFonts w:hint="default" w:ascii="Arial" w:hAnsi="Arial" w:eastAsia="宋体" w:cs="Arial"/>
          <w:b/>
          <w:bCs/>
          <w:color w:val="auto"/>
          <w:sz w:val="24"/>
          <w:highlight w:val="none"/>
        </w:rPr>
        <w:t>七、投标供应商义务</w:t>
      </w:r>
    </w:p>
    <w:p>
      <w:pPr>
        <w:snapToGrid w:val="0"/>
        <w:spacing w:line="360" w:lineRule="exact"/>
        <w:ind w:left="680" w:leftChars="324" w:firstLine="420" w:firstLineChars="200"/>
        <w:rPr>
          <w:rFonts w:hint="default" w:ascii="Arial" w:hAnsi="Arial" w:eastAsia="宋体" w:cs="Arial"/>
          <w:b/>
          <w:bCs/>
          <w:snapToGrid w:val="0"/>
          <w:color w:val="auto"/>
          <w:szCs w:val="21"/>
          <w:highlight w:val="none"/>
        </w:rPr>
      </w:pPr>
      <w:r>
        <w:rPr>
          <w:rFonts w:hint="default" w:ascii="Arial" w:hAnsi="Arial" w:eastAsia="宋体" w:cs="Arial"/>
          <w:color w:val="auto"/>
          <w:szCs w:val="21"/>
          <w:highlight w:val="none"/>
        </w:rPr>
        <w:t>投标供应商应随时随地答复评标委员会的询标，解答包括有关的商务、技术问题等。评标结束，所有评标资料存瑞安市公共资源交易中心备查。</w:t>
      </w:r>
    </w:p>
    <w:p>
      <w:pPr>
        <w:snapToGrid w:val="0"/>
        <w:spacing w:line="400" w:lineRule="exact"/>
        <w:ind w:firstLine="422" w:firstLineChars="200"/>
        <w:rPr>
          <w:rFonts w:hint="default" w:ascii="Arial" w:hAnsi="Arial" w:eastAsia="宋体" w:cs="Arial"/>
          <w:b/>
          <w:bCs/>
          <w:snapToGrid w:val="0"/>
          <w:color w:val="auto"/>
          <w:szCs w:val="21"/>
          <w:highlight w:val="none"/>
        </w:rPr>
      </w:pPr>
      <w:r>
        <w:rPr>
          <w:rFonts w:hint="default" w:ascii="Arial" w:hAnsi="Arial" w:eastAsia="宋体" w:cs="Arial"/>
          <w:b/>
          <w:bCs/>
          <w:snapToGrid w:val="0"/>
          <w:color w:val="auto"/>
          <w:szCs w:val="21"/>
          <w:highlight w:val="none"/>
        </w:rPr>
        <w:t>未尽事宜按有关法律法规规定执行。</w:t>
      </w:r>
    </w:p>
    <w:bookmarkEnd w:id="40"/>
    <w:bookmarkEnd w:id="41"/>
    <w:bookmarkEnd w:id="42"/>
    <w:bookmarkEnd w:id="43"/>
    <w:bookmarkEnd w:id="44"/>
    <w:p>
      <w:pPr>
        <w:pStyle w:val="2"/>
        <w:keepNext w:val="0"/>
        <w:keepLines w:val="0"/>
        <w:pageBreakBefore/>
        <w:spacing w:before="312" w:beforeLines="100" w:after="312" w:afterLines="100" w:line="240" w:lineRule="auto"/>
        <w:jc w:val="left"/>
        <w:rPr>
          <w:rFonts w:hint="default" w:ascii="Arial" w:hAnsi="Arial" w:eastAsia="宋体" w:cs="Arial"/>
          <w:color w:val="auto"/>
          <w:sz w:val="28"/>
          <w:szCs w:val="36"/>
          <w:highlight w:val="none"/>
        </w:rPr>
      </w:pPr>
      <w:bookmarkStart w:id="147" w:name="_Toc40429201"/>
      <w:bookmarkStart w:id="148" w:name="_Toc25455"/>
      <w:bookmarkStart w:id="149" w:name="_Toc28163"/>
      <w:bookmarkStart w:id="150" w:name="_Toc17187"/>
      <w:bookmarkStart w:id="151" w:name="_Toc25741878"/>
      <w:r>
        <w:rPr>
          <w:rFonts w:hint="default" w:ascii="Arial" w:hAnsi="Arial" w:eastAsia="宋体" w:cs="Arial"/>
          <w:color w:val="auto"/>
          <w:sz w:val="28"/>
          <w:szCs w:val="36"/>
          <w:highlight w:val="none"/>
        </w:rPr>
        <w:t>附表</w:t>
      </w:r>
      <w:bookmarkEnd w:id="147"/>
      <w:r>
        <w:rPr>
          <w:rFonts w:hint="default" w:ascii="Arial" w:hAnsi="Arial" w:eastAsia="宋体" w:cs="Arial"/>
          <w:color w:val="auto"/>
          <w:sz w:val="28"/>
          <w:szCs w:val="36"/>
          <w:highlight w:val="none"/>
        </w:rPr>
        <w:t xml:space="preserve">  </w:t>
      </w:r>
    </w:p>
    <w:p>
      <w:pPr>
        <w:jc w:val="center"/>
        <w:rPr>
          <w:rFonts w:hint="default" w:ascii="Arial" w:hAnsi="Arial" w:eastAsia="宋体" w:cs="Arial"/>
          <w:b/>
          <w:color w:val="auto"/>
          <w:sz w:val="28"/>
          <w:szCs w:val="28"/>
          <w:highlight w:val="none"/>
        </w:rPr>
      </w:pPr>
      <w:r>
        <w:rPr>
          <w:rFonts w:hint="default" w:ascii="Arial" w:hAnsi="Arial" w:eastAsia="宋体" w:cs="Arial"/>
          <w:b/>
          <w:color w:val="auto"/>
          <w:sz w:val="28"/>
          <w:szCs w:val="28"/>
          <w:highlight w:val="none"/>
        </w:rPr>
        <w:t>政府采购活动现场确认声明书</w:t>
      </w:r>
    </w:p>
    <w:p>
      <w:pPr>
        <w:pStyle w:val="130"/>
        <w:snapToGrid w:val="0"/>
        <w:spacing w:line="500" w:lineRule="exact"/>
        <w:rPr>
          <w:rFonts w:hint="default" w:ascii="Arial" w:hAnsi="Arial" w:eastAsia="宋体" w:cs="Arial"/>
          <w:b/>
          <w:color w:val="auto"/>
          <w:szCs w:val="21"/>
          <w:highlight w:val="none"/>
        </w:rPr>
      </w:pPr>
      <w:r>
        <w:rPr>
          <w:rFonts w:hint="default" w:ascii="Arial" w:hAnsi="Arial" w:eastAsia="宋体" w:cs="Arial"/>
          <w:color w:val="auto"/>
          <w:kern w:val="0"/>
          <w:szCs w:val="21"/>
          <w:highlight w:val="none"/>
          <w:u w:val="single"/>
        </w:rPr>
        <w:t>浙江省建设工程设备招标有限公司</w:t>
      </w:r>
      <w:r>
        <w:rPr>
          <w:rFonts w:hint="default" w:ascii="Arial" w:hAnsi="Arial" w:eastAsia="宋体" w:cs="Arial"/>
          <w:color w:val="auto"/>
          <w:kern w:val="0"/>
          <w:szCs w:val="21"/>
          <w:highlight w:val="none"/>
        </w:rPr>
        <w:t>（采购代理机构名称）：</w:t>
      </w:r>
    </w:p>
    <w:p>
      <w:pPr>
        <w:pStyle w:val="130"/>
        <w:snapToGrid w:val="0"/>
        <w:spacing w:line="460" w:lineRule="exact"/>
        <w:ind w:left="19" w:leftChars="9" w:firstLine="415" w:firstLineChars="187"/>
        <w:rPr>
          <w:rFonts w:hint="default" w:ascii="Arial" w:hAnsi="Arial" w:eastAsia="宋体" w:cs="Arial"/>
          <w:color w:val="auto"/>
          <w:spacing w:val="6"/>
          <w:szCs w:val="21"/>
          <w:highlight w:val="none"/>
        </w:rPr>
      </w:pPr>
      <w:r>
        <w:rPr>
          <w:rFonts w:hint="default" w:ascii="Arial" w:hAnsi="Arial" w:eastAsia="宋体" w:cs="Arial"/>
          <w:color w:val="auto"/>
          <w:spacing w:val="6"/>
          <w:szCs w:val="21"/>
          <w:highlight w:val="none"/>
        </w:rPr>
        <w:t>本人</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（授权代表姓名），经由</w:t>
      </w:r>
      <w:r>
        <w:rPr>
          <w:rFonts w:hint="default" w:ascii="Arial" w:hAnsi="Arial" w:eastAsia="宋体" w:cs="Arial"/>
          <w:color w:val="auto"/>
          <w:spacing w:val="6"/>
          <w:szCs w:val="21"/>
          <w:highlight w:val="none"/>
          <w:u w:val="single"/>
        </w:rPr>
        <w:t xml:space="preserve">                              （单位）</w:t>
      </w:r>
      <w:r>
        <w:rPr>
          <w:rFonts w:hint="default" w:ascii="Arial" w:hAnsi="Arial" w:eastAsia="宋体" w:cs="Arial"/>
          <w:color w:val="auto"/>
          <w:spacing w:val="6"/>
          <w:szCs w:val="21"/>
          <w:highlight w:val="none"/>
        </w:rPr>
        <w:t>负责人</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（法定代表人）合法授权参加</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（编号：</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 xml:space="preserve">）政府采购活动，经与本单位法人代表（负责人）联系确认，现就有关公平竞争事项郑重声明如下： </w:t>
      </w:r>
    </w:p>
    <w:p>
      <w:pPr>
        <w:pStyle w:val="128"/>
        <w:widowControl/>
        <w:numPr>
          <w:ilvl w:val="0"/>
          <w:numId w:val="40"/>
        </w:numPr>
        <w:snapToGrid w:val="0"/>
        <w:spacing w:line="460" w:lineRule="exact"/>
        <w:ind w:firstLine="396" w:firstLineChars="189"/>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本单位与采购人之间 □不存在利害关系 □存在下列利害关系</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w:t>
      </w:r>
    </w:p>
    <w:p>
      <w:pPr>
        <w:pStyle w:val="128"/>
        <w:widowControl/>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A.投资关系    B.行政隶属关系    C.业务指导关系</w:t>
      </w:r>
    </w:p>
    <w:p>
      <w:pPr>
        <w:pStyle w:val="128"/>
        <w:widowControl/>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D.其他可能</w:t>
      </w:r>
      <w:r>
        <w:rPr>
          <w:rFonts w:hint="default" w:ascii="Arial" w:hAnsi="Arial" w:eastAsia="宋体" w:cs="Arial"/>
          <w:color w:val="auto"/>
          <w:szCs w:val="21"/>
          <w:highlight w:val="none"/>
        </w:rPr>
        <w:t>影响采购公正的</w:t>
      </w:r>
      <w:r>
        <w:rPr>
          <w:rFonts w:hint="default" w:ascii="Arial" w:hAnsi="Arial" w:eastAsia="宋体" w:cs="Arial"/>
          <w:color w:val="auto"/>
          <w:kern w:val="0"/>
          <w:szCs w:val="21"/>
          <w:highlight w:val="none"/>
        </w:rPr>
        <w:t>利害关系</w:t>
      </w:r>
      <w:r>
        <w:rPr>
          <w:rFonts w:hint="default" w:ascii="Arial" w:hAnsi="Arial" w:eastAsia="宋体" w:cs="Arial"/>
          <w:color w:val="auto"/>
          <w:kern w:val="0"/>
          <w:szCs w:val="21"/>
          <w:highlight w:val="none"/>
          <w:u w:val="single"/>
        </w:rPr>
        <w:t xml:space="preserve">（如有，请如实说明）                 </w:t>
      </w:r>
      <w:r>
        <w:rPr>
          <w:rFonts w:hint="default" w:ascii="Arial" w:hAnsi="Arial" w:eastAsia="宋体" w:cs="Arial"/>
          <w:color w:val="auto"/>
          <w:kern w:val="0"/>
          <w:szCs w:val="21"/>
          <w:highlight w:val="none"/>
        </w:rPr>
        <w:t>。</w:t>
      </w:r>
    </w:p>
    <w:p>
      <w:pPr>
        <w:pStyle w:val="128"/>
        <w:widowControl/>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spacing w:val="6"/>
          <w:szCs w:val="21"/>
          <w:highlight w:val="none"/>
        </w:rPr>
        <w:t xml:space="preserve">   二、</w:t>
      </w:r>
      <w:r>
        <w:rPr>
          <w:rFonts w:hint="default" w:ascii="Arial" w:hAnsi="Arial" w:eastAsia="宋体" w:cs="Arial"/>
          <w:color w:val="auto"/>
          <w:kern w:val="0"/>
          <w:szCs w:val="21"/>
          <w:highlight w:val="none"/>
        </w:rPr>
        <w:t>现已清楚知道参加本项目采购活动的其他所有供应商名称，本单位 □与其他所有供应商之间均不存在利害关系 □与</w:t>
      </w:r>
      <w:r>
        <w:rPr>
          <w:rFonts w:hint="default" w:ascii="Arial" w:hAnsi="Arial" w:eastAsia="宋体" w:cs="Arial"/>
          <w:color w:val="auto"/>
          <w:kern w:val="0"/>
          <w:szCs w:val="21"/>
          <w:highlight w:val="none"/>
          <w:u w:val="single"/>
        </w:rPr>
        <w:t xml:space="preserve">           （供应商名称）</w:t>
      </w:r>
      <w:r>
        <w:rPr>
          <w:rFonts w:hint="default" w:ascii="Arial" w:hAnsi="Arial" w:eastAsia="宋体" w:cs="Arial"/>
          <w:color w:val="auto"/>
          <w:kern w:val="0"/>
          <w:szCs w:val="21"/>
          <w:highlight w:val="none"/>
        </w:rPr>
        <w:t>之间存在下列利害关系</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A.法定代表人或负责人或实际控制人是同一人</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kern w:val="0"/>
          <w:szCs w:val="21"/>
          <w:highlight w:val="none"/>
        </w:rPr>
        <w:t xml:space="preserve">  B.法定代表人或负责人或实际控制人是夫妻关系</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kern w:val="0"/>
          <w:szCs w:val="21"/>
          <w:highlight w:val="none"/>
        </w:rPr>
        <w:t xml:space="preserve">  C.法定代表人或负责人或实际控制人是直系血亲关系</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kern w:val="0"/>
          <w:szCs w:val="21"/>
          <w:highlight w:val="none"/>
        </w:rPr>
        <w:t xml:space="preserve">  D.法定代表人或负责人或实际控制人存在三代以内旁系血亲关系</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E.法定代表人或负责人或实际控制人存在近姻亲关系</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F.法定代表人或负责人或实际控制人存在股份控制或实际控制关系</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G.存在共同直接或间接投资设立子公司、联营企业和合营企业情况</w:t>
      </w:r>
    </w:p>
    <w:p>
      <w:pPr>
        <w:pStyle w:val="130"/>
        <w:snapToGrid w:val="0"/>
        <w:spacing w:line="460" w:lineRule="exact"/>
        <w:rPr>
          <w:rFonts w:hint="default" w:ascii="Arial" w:hAnsi="Arial" w:eastAsia="宋体" w:cs="Arial"/>
          <w:color w:val="auto"/>
          <w:szCs w:val="21"/>
          <w:highlight w:val="none"/>
        </w:rPr>
      </w:pPr>
      <w:r>
        <w:rPr>
          <w:rFonts w:hint="default" w:ascii="Arial" w:hAnsi="Arial" w:eastAsia="宋体" w:cs="Arial"/>
          <w:color w:val="auto"/>
          <w:kern w:val="0"/>
          <w:szCs w:val="21"/>
          <w:highlight w:val="none"/>
        </w:rPr>
        <w:t xml:space="preserve">  H.存在分级代理或代销关系、同一生产制造商关系、</w:t>
      </w:r>
      <w:r>
        <w:rPr>
          <w:rFonts w:hint="default" w:ascii="Arial" w:hAnsi="Arial" w:eastAsia="宋体" w:cs="Arial"/>
          <w:color w:val="auto"/>
          <w:szCs w:val="21"/>
          <w:highlight w:val="none"/>
        </w:rPr>
        <w:t>管理关系、重要业务（占主营业务收入50%以上）或重要财务往来关系（如融资）等其他实质性控制关系</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szCs w:val="21"/>
          <w:highlight w:val="none"/>
        </w:rPr>
        <w:t xml:space="preserve">  I</w:t>
      </w:r>
      <w:r>
        <w:rPr>
          <w:rFonts w:hint="default" w:ascii="Arial" w:hAnsi="Arial" w:eastAsia="宋体" w:cs="Arial"/>
          <w:color w:val="auto"/>
          <w:kern w:val="0"/>
          <w:szCs w:val="21"/>
          <w:highlight w:val="none"/>
        </w:rPr>
        <w:t>.</w:t>
      </w:r>
      <w:r>
        <w:rPr>
          <w:rFonts w:hint="default" w:ascii="Arial" w:hAnsi="Arial" w:eastAsia="宋体" w:cs="Arial"/>
          <w:color w:val="auto"/>
          <w:szCs w:val="21"/>
          <w:highlight w:val="none"/>
        </w:rPr>
        <w:t>其他利害关系情况</w:t>
      </w:r>
      <w:r>
        <w:rPr>
          <w:rFonts w:hint="default" w:ascii="Arial" w:hAnsi="Arial" w:eastAsia="宋体" w:cs="Arial"/>
          <w:color w:val="auto"/>
          <w:szCs w:val="21"/>
          <w:highlight w:val="none"/>
          <w:u w:val="single"/>
        </w:rPr>
        <w:t xml:space="preserve">                              </w:t>
      </w:r>
      <w:r>
        <w:rPr>
          <w:rFonts w:hint="default" w:ascii="Arial" w:hAnsi="Arial" w:eastAsia="宋体" w:cs="Arial"/>
          <w:color w:val="auto"/>
          <w:kern w:val="0"/>
          <w:szCs w:val="21"/>
          <w:highlight w:val="none"/>
        </w:rPr>
        <w:t>。</w:t>
      </w:r>
    </w:p>
    <w:p>
      <w:pPr>
        <w:pStyle w:val="128"/>
        <w:widowControl/>
        <w:numPr>
          <w:ilvl w:val="0"/>
          <w:numId w:val="41"/>
        </w:numPr>
        <w:snapToGrid w:val="0"/>
        <w:spacing w:line="460" w:lineRule="exact"/>
        <w:ind w:firstLine="396" w:firstLineChars="189"/>
        <w:rPr>
          <w:rFonts w:hint="default" w:ascii="Arial" w:hAnsi="Arial" w:eastAsia="宋体" w:cs="Arial"/>
          <w:color w:val="auto"/>
          <w:kern w:val="0"/>
          <w:szCs w:val="21"/>
          <w:highlight w:val="none"/>
        </w:rPr>
      </w:pPr>
      <w:r>
        <w:rPr>
          <w:rFonts w:hint="default" w:ascii="Arial" w:hAnsi="Arial" w:eastAsia="宋体" w:cs="Arial"/>
          <w:color w:val="auto"/>
          <w:szCs w:val="21"/>
          <w:highlight w:val="none"/>
        </w:rPr>
        <w:t>现已清楚知道并</w:t>
      </w:r>
      <w:r>
        <w:rPr>
          <w:rFonts w:hint="default" w:ascii="Arial" w:hAnsi="Arial" w:eastAsia="宋体" w:cs="Arial"/>
          <w:color w:val="auto"/>
          <w:kern w:val="0"/>
          <w:szCs w:val="21"/>
          <w:highlight w:val="none"/>
        </w:rPr>
        <w:t>严格遵守政府采购法律法规和现场纪律。</w:t>
      </w:r>
    </w:p>
    <w:p>
      <w:pPr>
        <w:pStyle w:val="128"/>
        <w:widowControl/>
        <w:numPr>
          <w:ilvl w:val="0"/>
          <w:numId w:val="41"/>
        </w:numPr>
        <w:snapToGrid w:val="0"/>
        <w:spacing w:line="460" w:lineRule="exact"/>
        <w:ind w:firstLine="396" w:firstLineChars="189"/>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我发现</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供应商之间存在或可能存在上述第二条第</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项利害关系。</w:t>
      </w:r>
    </w:p>
    <w:p>
      <w:pPr>
        <w:pStyle w:val="130"/>
        <w:snapToGrid w:val="0"/>
        <w:spacing w:line="500" w:lineRule="exact"/>
        <w:ind w:firstLine="4410" w:firstLineChars="2100"/>
        <w:rPr>
          <w:rFonts w:hint="default" w:ascii="Arial" w:hAnsi="Arial" w:eastAsia="宋体" w:cs="Arial"/>
          <w:color w:val="auto"/>
          <w:szCs w:val="21"/>
          <w:highlight w:val="none"/>
        </w:rPr>
      </w:pPr>
      <w:r>
        <w:rPr>
          <w:rFonts w:hint="default" w:ascii="Arial" w:hAnsi="Arial" w:eastAsia="宋体" w:cs="Arial"/>
          <w:color w:val="auto"/>
          <w:szCs w:val="21"/>
          <w:highlight w:val="none"/>
        </w:rPr>
        <w:t>供应商代表签名：</w:t>
      </w:r>
    </w:p>
    <w:p>
      <w:pPr>
        <w:pStyle w:val="130"/>
        <w:snapToGrid w:val="0"/>
        <w:spacing w:line="500" w:lineRule="exact"/>
        <w:ind w:firstLine="4830" w:firstLineChars="2300"/>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2021</w:t>
      </w:r>
      <w:r>
        <w:rPr>
          <w:rFonts w:hint="default" w:ascii="Arial" w:hAnsi="Arial" w:eastAsia="宋体" w:cs="Arial"/>
          <w:color w:val="auto"/>
          <w:szCs w:val="21"/>
          <w:highlight w:val="none"/>
        </w:rPr>
        <w:t>年   月   日</w:t>
      </w:r>
    </w:p>
    <w:p>
      <w:pPr>
        <w:pStyle w:val="130"/>
        <w:snapToGrid w:val="0"/>
        <w:spacing w:line="500" w:lineRule="exact"/>
        <w:ind w:firstLine="4830" w:firstLineChars="2300"/>
        <w:rPr>
          <w:rFonts w:hint="default" w:ascii="Arial" w:hAnsi="Arial" w:eastAsia="宋体" w:cs="Arial"/>
          <w:color w:val="auto"/>
          <w:szCs w:val="21"/>
          <w:highlight w:val="none"/>
        </w:rPr>
      </w:pPr>
    </w:p>
    <w:p>
      <w:pPr>
        <w:pStyle w:val="16"/>
        <w:ind w:left="0" w:leftChars="0"/>
        <w:rPr>
          <w:rFonts w:hint="default" w:ascii="Arial" w:hAnsi="Arial" w:eastAsia="宋体" w:cs="Arial"/>
          <w:b/>
          <w:color w:val="auto"/>
          <w:szCs w:val="21"/>
          <w:highlight w:val="none"/>
        </w:rPr>
      </w:pPr>
      <w:r>
        <w:rPr>
          <w:rFonts w:hint="default" w:ascii="Arial" w:hAnsi="Arial" w:eastAsia="宋体" w:cs="Arial"/>
          <w:b/>
          <w:bCs/>
          <w:color w:val="auto"/>
          <w:szCs w:val="21"/>
          <w:highlight w:val="none"/>
        </w:rPr>
        <w:t>注：响应文件解密结束后，各供应商签署《政府采购活动现场确认声明书》，并</w:t>
      </w:r>
      <w:r>
        <w:rPr>
          <w:rFonts w:hint="default" w:ascii="Arial" w:hAnsi="Arial" w:eastAsia="宋体" w:cs="Arial"/>
          <w:b/>
          <w:color w:val="auto"/>
          <w:szCs w:val="21"/>
          <w:highlight w:val="none"/>
          <w:lang w:bidi="ar"/>
        </w:rPr>
        <w:t>在规定时间内</w:t>
      </w:r>
      <w:r>
        <w:rPr>
          <w:rFonts w:hint="default" w:ascii="Arial" w:hAnsi="Arial" w:eastAsia="宋体" w:cs="Arial"/>
          <w:b/>
          <w:bCs/>
          <w:color w:val="auto"/>
          <w:szCs w:val="21"/>
          <w:highlight w:val="none"/>
        </w:rPr>
        <w:t>以扫描件方式发送至采购代理机构指定电子邮箱。</w:t>
      </w:r>
      <w:bookmarkEnd w:id="148"/>
      <w:bookmarkEnd w:id="149"/>
      <w:bookmarkEnd w:id="150"/>
      <w:bookmarkEnd w:id="151"/>
    </w:p>
    <w:sectPr>
      <w:footerReference r:id="rId9" w:type="first"/>
      <w:headerReference r:id="rId7" w:type="default"/>
      <w:footerReference r:id="rId8" w:type="default"/>
      <w:pgSz w:w="11906" w:h="16838"/>
      <w:pgMar w:top="1134" w:right="1417" w:bottom="1134" w:left="1417"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80E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47</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QDDc8oBAACcAwAADgAAAGRycy9lMm9Eb2MueG1srVPNjtMwEL4j8Q6W 79RpEaiKmq5A1SIkBEjLPoDr2I0l/8njNukLwBtw4sKd5+pzMHaSLiyXPXBxxjPjb+b7ZrK5Gawh JxlBe9fQ5aKiRDrhW+0ODb3/cvtiTQkk7lpuvJMNPUugN9vnzzZ9qOXKd960MhIEcVD3oaFdSqFm DEQnLYeFD9JhUPloecJrPLA28h7RrWGrqnrNeh/bEL2QAOjdjUE6IcanAHqltJA7L45WujSiRml4 QkrQ6QB0W7pVSor0SSmQiZiGItNUTiyC9j6fbLvh9SHy0GkxtcCf0sIjTpZrh0WvUDueODlG/Q+U 1SJ68CothLdsJFIUQRbL6pE2dx0PsnBBqSFcRYf/Bys+nj5HotuGvqTEcYsDv3z/dvnx6/LzK1lW q1dZoT5AjYl3AVPT8NYPuDezH9CZiQ8q2vxFSgTjqO/5qq8cEhH50Xq1XlcYEhibL4jPHp6HCOmd 9JZko6ERB1h05acPkMbUOSVXc/5WG1OGaNxfDsTMHpZ7H3vMVhr2w0Ro79sz8ulx9g11uOqUmPcO pc1rMhtxNvazcQxRH7qyR7kehDfHhE2U3nKFEXYqjEMr7KYFy1vx571kPfxU299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nQDDc8oBAACcAwAADgAAAAAAAAABACAAAAAeAQAAZHJzL2Uyb0Rv Yy54bWxQSwUGAAAAAAYABgBZAQAAWgU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TmtqcsBAACcAwAADgAAAGRycy9lMm9Eb2MueG1srVPNjtMwEL4j8Q6W 79RphVZV1HQFqhYhIUBaeADXsRtL/pPHbdIXgDfgxIU7z9XnYOwk3WW57IGLM54ZfzPfN5PN7WAN OckI2ruGLhcVJdIJ32p3aOjXL3ev1pRA4q7lxjvZ0LMEert9+WLTh1qufOdNKyNBEAd1HxrapRRq xkB00nJY+CAdBpWPlie8xgNrI+8R3Rq2qqob1vvYhuiFBEDvbgzSCTE+B9ArpYXceXG00qURNUrD E1KCTgeg29KtUlKkT0qBTMQ0FJmmcmIRtPf5ZNsNrw+Rh06LqQX+nBaecLJcOyx6hdrxxMkx6n+g rBbRg1dpIbxlI5GiCLJYVk+0ue94kIULSg3hKjr8P1jx8fQ5Et029DUljlsc+OXH98vP35df38iy Wt1khfoANSbeB0xNw1s/4N7MfkBnJj6oaPMXKRGMo77nq75ySETkR+vVel1hSGBsviA+e3geIqR3 0luSjYZGHGDRlZ8+QBpT55Rczfk7bUwZonF/ORAze1jufewxW2nYDxOhvW/PyKfH2TfU4apTYt47 lDavyWzE2djPxjFEfejKHuV6EN4cEzZRessVRtipMA6tsJsWLG/F43vJeviptn8A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G05ranLAQAAnAMAAA4AAAAAAAAAAQAgAAAAHgEAAGRycy9lMm9E b2MueG1sUEsFBgAAAAAGAAYAWQEAAFsFA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jc w:val="left"/>
      <w:rPr>
        <w:rFonts w:ascii="宋体" w:hAnsi="宋体"/>
        <w:sz w:val="15"/>
      </w:rPr>
    </w:pPr>
    <w:r>
      <w:rPr>
        <w:rFonts w:hint="eastAsia" w:ascii="宋体" w:hAnsi="宋体"/>
        <w:sz w:val="21"/>
        <w:szCs w:val="24"/>
      </w:rPr>
      <w:t xml:space="preserve">瑞安市政府采购文件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4"/>
      <w:tblW w:w="0" w:type="auto"/>
      <w:tblInd w:w="0"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4442"/>
      <w:gridCol w:w="4628"/>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13" w:type="dxa"/>
          <w:bottom w:w="0" w:type="dxa"/>
          <w:right w:w="113" w:type="dxa"/>
        </w:tblCellMar>
      </w:tblPrEx>
      <w:trPr>
        <w:wBefore w:w="0" w:type="dxa"/>
        <w:trHeight w:val="427" w:hRule="atLeast"/>
      </w:trPr>
      <w:tc>
        <w:tcPr>
          <w:tcW w:w="4442" w:type="dxa"/>
          <w:noWrap w:val="0"/>
          <w:tcMar>
            <w:left w:w="0" w:type="dxa"/>
            <w:right w:w="0" w:type="dxa"/>
          </w:tcMar>
          <w:vAlign w:val="center"/>
        </w:tcPr>
        <w:p>
          <w:pPr>
            <w:rPr>
              <w:rFonts w:ascii="楷体_GB2312" w:eastAsia="楷体_GB2312"/>
              <w:b/>
              <w:sz w:val="24"/>
              <w:szCs w:val="24"/>
            </w:rPr>
          </w:pPr>
          <w:r>
            <w:rPr>
              <w:rFonts w:hint="eastAsia" w:ascii="楷体_GB2312" w:eastAsia="楷体_GB2312"/>
              <w:b/>
              <w:sz w:val="24"/>
              <w:szCs w:val="24"/>
            </w:rPr>
            <w:t>瑞安市政府招标文件</w:t>
          </w:r>
        </w:p>
      </w:tc>
      <w:tc>
        <w:tcPr>
          <w:tcW w:w="4628" w:type="dxa"/>
          <w:noWrap w:val="0"/>
          <w:vAlign w:val="center"/>
        </w:tcPr>
        <w:p>
          <w:pPr>
            <w:wordWrap w:val="0"/>
            <w:ind w:right="-2"/>
            <w:jc w:val="right"/>
            <w:rPr>
              <w:rFonts w:ascii="宋体" w:hAnsi="宋体"/>
              <w:szCs w:val="21"/>
            </w:rPr>
          </w:pPr>
          <w:r>
            <w:rPr>
              <w:rFonts w:hint="eastAsia" w:ascii="宋体" w:hAnsi="宋体"/>
              <w:szCs w:val="21"/>
            </w:rPr>
            <w:t xml:space="preserve"> </w:t>
          </w:r>
        </w:p>
      </w:tc>
    </w:tr>
  </w:tbl>
  <w:p>
    <w:pPr>
      <w:rPr>
        <w:rFonts w:ascii="宋体" w:hAnsi="宋体"/>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EDB9E7"/>
    <w:multiLevelType w:val="singleLevel"/>
    <w:tmpl w:val="A2EDB9E7"/>
    <w:lvl w:ilvl="0" w:tentative="0">
      <w:start w:val="1"/>
      <w:numFmt w:val="decimal"/>
      <w:suff w:val="nothing"/>
      <w:lvlText w:val="%1、"/>
      <w:lvlJc w:val="left"/>
    </w:lvl>
  </w:abstractNum>
  <w:abstractNum w:abstractNumId="1">
    <w:nsid w:val="B831E06F"/>
    <w:multiLevelType w:val="singleLevel"/>
    <w:tmpl w:val="B831E06F"/>
    <w:lvl w:ilvl="0" w:tentative="0">
      <w:start w:val="1"/>
      <w:numFmt w:val="decimal"/>
      <w:suff w:val="space"/>
      <w:lvlText w:val="%1)"/>
      <w:lvlJc w:val="left"/>
      <w:pPr>
        <w:ind w:left="105" w:firstLine="0"/>
      </w:pPr>
    </w:lvl>
  </w:abstractNum>
  <w:abstractNum w:abstractNumId="2">
    <w:nsid w:val="C870AE46"/>
    <w:multiLevelType w:val="singleLevel"/>
    <w:tmpl w:val="C870AE46"/>
    <w:lvl w:ilvl="0" w:tentative="0">
      <w:start w:val="1"/>
      <w:numFmt w:val="decimal"/>
      <w:lvlText w:val="（%1）"/>
      <w:lvlJc w:val="left"/>
      <w:pPr>
        <w:ind w:left="1555" w:hanging="420"/>
      </w:pPr>
      <w:rPr>
        <w:rFonts w:hint="eastAsia" w:ascii="宋体" w:hAnsi="宋体" w:eastAsia="宋体"/>
        <w:color w:val="auto"/>
        <w:sz w:val="21"/>
        <w:szCs w:val="21"/>
        <w:lang w:val="en-US"/>
      </w:rPr>
    </w:lvl>
  </w:abstractNum>
  <w:abstractNum w:abstractNumId="3">
    <w:nsid w:val="D0C748BF"/>
    <w:multiLevelType w:val="singleLevel"/>
    <w:tmpl w:val="D0C748BF"/>
    <w:lvl w:ilvl="0" w:tentative="0">
      <w:start w:val="1"/>
      <w:numFmt w:val="decimal"/>
      <w:suff w:val="nothing"/>
      <w:lvlText w:val="%1．"/>
      <w:lvlJc w:val="left"/>
      <w:pPr>
        <w:ind w:left="0" w:firstLine="400"/>
      </w:pPr>
      <w:rPr>
        <w:rFonts w:hint="default" w:ascii="宋体" w:hAnsi="宋体" w:eastAsia="宋体"/>
        <w:b w:val="0"/>
      </w:rPr>
    </w:lvl>
  </w:abstractNum>
  <w:abstractNum w:abstractNumId="4">
    <w:nsid w:val="D522A3DA"/>
    <w:multiLevelType w:val="singleLevel"/>
    <w:tmpl w:val="D522A3DA"/>
    <w:lvl w:ilvl="0" w:tentative="0">
      <w:start w:val="1"/>
      <w:numFmt w:val="decimal"/>
      <w:suff w:val="nothing"/>
      <w:lvlText w:val="%1、"/>
      <w:lvlJc w:val="left"/>
    </w:lvl>
  </w:abstractNum>
  <w:abstractNum w:abstractNumId="5">
    <w:nsid w:val="0000000D"/>
    <w:multiLevelType w:val="multilevel"/>
    <w:tmpl w:val="0000000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F"/>
    <w:multiLevelType w:val="multilevel"/>
    <w:tmpl w:val="0000000F"/>
    <w:lvl w:ilvl="0" w:tentative="0">
      <w:start w:val="1"/>
      <w:numFmt w:val="decimal"/>
      <w:lvlText w:val="%1."/>
      <w:lvlJc w:val="left"/>
      <w:pPr>
        <w:tabs>
          <w:tab w:val="left" w:pos="425"/>
        </w:tabs>
        <w:ind w:left="425" w:hanging="425"/>
      </w:pPr>
      <w:rPr>
        <w:rFonts w:hint="default" w:ascii="宋体" w:hAnsi="宋体" w:eastAsia="宋体"/>
        <w:b/>
        <w:i w:val="0"/>
        <w:sz w:val="21"/>
        <w:szCs w:val="21"/>
      </w:rPr>
    </w:lvl>
    <w:lvl w:ilvl="1" w:tentative="0">
      <w:start w:val="1"/>
      <w:numFmt w:val="decimal"/>
      <w:lvlText w:val="%1.%2"/>
      <w:lvlJc w:val="left"/>
      <w:pPr>
        <w:tabs>
          <w:tab w:val="left" w:pos="992"/>
        </w:tabs>
        <w:ind w:left="992" w:hanging="567"/>
      </w:pPr>
      <w:rPr>
        <w:rFonts w:hint="default"/>
        <w:b w:val="0"/>
        <w:i w:val="0"/>
        <w:sz w:val="21"/>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0"/>
    <w:multiLevelType w:val="multilevel"/>
    <w:tmpl w:val="00000010"/>
    <w:lvl w:ilvl="0" w:tentative="0">
      <w:start w:val="1"/>
      <w:numFmt w:val="decimal"/>
      <w:lvlText w:val="%1."/>
      <w:lvlJc w:val="left"/>
      <w:pPr>
        <w:tabs>
          <w:tab w:val="left" w:pos="956"/>
        </w:tabs>
        <w:ind w:left="956"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8">
    <w:nsid w:val="00000013"/>
    <w:multiLevelType w:val="multilevel"/>
    <w:tmpl w:val="00000013"/>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00000016"/>
    <w:multiLevelType w:val="multilevel"/>
    <w:tmpl w:val="00000016"/>
    <w:lvl w:ilvl="0" w:tentative="0">
      <w:start w:val="1"/>
      <w:numFmt w:val="chineseCountingThousand"/>
      <w:pStyle w:val="131"/>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pStyle w:val="119"/>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8"/>
    <w:multiLevelType w:val="multilevel"/>
    <w:tmpl w:val="00000018"/>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9"/>
    <w:multiLevelType w:val="multilevel"/>
    <w:tmpl w:val="0000001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4754A80"/>
    <w:multiLevelType w:val="singleLevel"/>
    <w:tmpl w:val="04754A80"/>
    <w:lvl w:ilvl="0" w:tentative="0">
      <w:start w:val="1"/>
      <w:numFmt w:val="chineseCounting"/>
      <w:suff w:val="nothing"/>
      <w:lvlText w:val="%1、"/>
      <w:lvlJc w:val="left"/>
      <w:rPr>
        <w:rFonts w:hint="eastAsia"/>
      </w:rPr>
    </w:lvl>
  </w:abstractNum>
  <w:abstractNum w:abstractNumId="13">
    <w:nsid w:val="04C35775"/>
    <w:multiLevelType w:val="singleLevel"/>
    <w:tmpl w:val="04C35775"/>
    <w:lvl w:ilvl="0" w:tentative="0">
      <w:start w:val="1"/>
      <w:numFmt w:val="decimal"/>
      <w:lvlText w:val="%1."/>
      <w:lvlJc w:val="left"/>
      <w:pPr>
        <w:ind w:left="425" w:hanging="425"/>
      </w:pPr>
      <w:rPr>
        <w:rFonts w:hint="default"/>
      </w:rPr>
    </w:lvl>
  </w:abstractNum>
  <w:abstractNum w:abstractNumId="14">
    <w:nsid w:val="0BA619D4"/>
    <w:multiLevelType w:val="multilevel"/>
    <w:tmpl w:val="0BA619D4"/>
    <w:lvl w:ilvl="0" w:tentative="0">
      <w:start w:val="1"/>
      <w:numFmt w:val="decimal"/>
      <w:lvlText w:val="%1)"/>
      <w:lvlJc w:val="left"/>
      <w:pPr>
        <w:tabs>
          <w:tab w:val="left" w:pos="1260"/>
        </w:tabs>
        <w:ind w:left="1260" w:hanging="420"/>
      </w:pPr>
    </w:lvl>
    <w:lvl w:ilvl="1" w:tentative="0">
      <w:start w:val="1"/>
      <w:numFmt w:val="decimal"/>
      <w:lvlText w:val="%2）"/>
      <w:lvlJc w:val="left"/>
      <w:pPr>
        <w:ind w:left="1620" w:hanging="360"/>
      </w:pPr>
      <w:rPr>
        <w:rFonts w:hint="default"/>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5">
    <w:nsid w:val="0C607F92"/>
    <w:multiLevelType w:val="multilevel"/>
    <w:tmpl w:val="0C607F92"/>
    <w:lvl w:ilvl="0" w:tentative="0">
      <w:start w:val="1"/>
      <w:numFmt w:val="decimal"/>
      <w:lvlText w:val="2.%1"/>
      <w:lvlJc w:val="left"/>
      <w:pPr>
        <w:ind w:left="1129" w:hanging="420"/>
      </w:pPr>
      <w:rPr>
        <w:rFonts w:hint="eastAsia"/>
        <w:color w:val="auto"/>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6">
    <w:nsid w:val="1759A82E"/>
    <w:multiLevelType w:val="singleLevel"/>
    <w:tmpl w:val="1759A82E"/>
    <w:lvl w:ilvl="0" w:tentative="0">
      <w:start w:val="1"/>
      <w:numFmt w:val="decimal"/>
      <w:suff w:val="nothing"/>
      <w:lvlText w:val="%1．"/>
      <w:lvlJc w:val="left"/>
      <w:pPr>
        <w:ind w:left="25" w:firstLine="400"/>
      </w:pPr>
      <w:rPr>
        <w:rFonts w:hint="default"/>
      </w:rPr>
    </w:lvl>
  </w:abstractNum>
  <w:abstractNum w:abstractNumId="17">
    <w:nsid w:val="18936314"/>
    <w:multiLevelType w:val="multilevel"/>
    <w:tmpl w:val="18936314"/>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lvl>
    <w:lvl w:ilvl="5" w:tentative="0">
      <w:start w:val="2"/>
      <w:numFmt w:val="decimal"/>
      <w:lvlText w:val="%6、"/>
      <w:lvlJc w:val="left"/>
      <w:pPr>
        <w:tabs>
          <w:tab w:val="left" w:pos="780"/>
        </w:tabs>
        <w:ind w:left="780" w:hanging="360"/>
      </w:pPr>
      <w:rPr>
        <w:rFonts w:hint="eastAsia" w:ascii="宋体" w:hAnsi="宋体" w:eastAsia="宋体"/>
        <w:b/>
        <w:color w:val="000000"/>
        <w:sz w:val="21"/>
        <w:szCs w:val="21"/>
      </w:rPr>
    </w:lvl>
    <w:lvl w:ilvl="6" w:tentative="0">
      <w:start w:val="1"/>
      <w:numFmt w:val="decimal"/>
      <w:lvlText w:val="（%7）"/>
      <w:lvlJc w:val="left"/>
      <w:pPr>
        <w:tabs>
          <w:tab w:val="left" w:pos="1560"/>
        </w:tabs>
        <w:ind w:left="1560" w:hanging="720"/>
      </w:pPr>
      <w:rPr>
        <w:rFonts w:hint="default"/>
        <w:b w:val="0"/>
      </w:rPr>
    </w:lvl>
    <w:lvl w:ilvl="7" w:tentative="0">
      <w:start w:val="3"/>
      <w:numFmt w:val="japaneseCounting"/>
      <w:lvlText w:val="（%8）"/>
      <w:lvlJc w:val="left"/>
      <w:pPr>
        <w:tabs>
          <w:tab w:val="left" w:pos="825"/>
        </w:tabs>
        <w:ind w:left="825" w:hanging="720"/>
      </w:pPr>
      <w:rPr>
        <w:rFonts w:hint="default"/>
      </w:rPr>
    </w:lvl>
    <w:lvl w:ilvl="8" w:tentative="0">
      <w:start w:val="1"/>
      <w:numFmt w:val="lowerRoman"/>
      <w:lvlText w:val="%9."/>
      <w:lvlJc w:val="right"/>
      <w:pPr>
        <w:tabs>
          <w:tab w:val="left" w:pos="3360"/>
        </w:tabs>
        <w:ind w:left="3360" w:hanging="420"/>
      </w:pPr>
    </w:lvl>
  </w:abstractNum>
  <w:abstractNum w:abstractNumId="18">
    <w:nsid w:val="25D46149"/>
    <w:multiLevelType w:val="multilevel"/>
    <w:tmpl w:val="25D46149"/>
    <w:lvl w:ilvl="0" w:tentative="0">
      <w:start w:val="1"/>
      <w:numFmt w:val="chineseCountingThousand"/>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decimal"/>
      <w:lvlText w:val="%5、"/>
      <w:lvlJc w:val="left"/>
      <w:pPr>
        <w:ind w:left="2310" w:hanging="420"/>
      </w:pPr>
      <w:rPr>
        <w:rFonts w:ascii="宋体" w:hAnsi="宋体" w:eastAsia="宋体" w:cs="Times New Roman"/>
      </w:r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9">
    <w:nsid w:val="26084B11"/>
    <w:multiLevelType w:val="singleLevel"/>
    <w:tmpl w:val="26084B11"/>
    <w:lvl w:ilvl="0" w:tentative="0">
      <w:start w:val="1"/>
      <w:numFmt w:val="decimal"/>
      <w:lvlText w:val="%1．"/>
      <w:lvlJc w:val="left"/>
      <w:pPr>
        <w:ind w:left="420" w:hanging="420"/>
      </w:pPr>
      <w:rPr>
        <w:rFonts w:hint="default" w:ascii="宋体" w:hAnsi="宋体" w:eastAsia="宋体"/>
        <w:b w:val="0"/>
      </w:rPr>
    </w:lvl>
  </w:abstractNum>
  <w:abstractNum w:abstractNumId="20">
    <w:nsid w:val="27291909"/>
    <w:multiLevelType w:val="multilevel"/>
    <w:tmpl w:val="27291909"/>
    <w:lvl w:ilvl="0" w:tentative="0">
      <w:start w:val="1"/>
      <w:numFmt w:val="decimal"/>
      <w:lvlText w:val="%1."/>
      <w:lvlJc w:val="left"/>
      <w:pPr>
        <w:tabs>
          <w:tab w:val="left" w:pos="851"/>
        </w:tabs>
        <w:ind w:left="851" w:hanging="851"/>
      </w:pPr>
      <w:rPr>
        <w:rFonts w:hint="default" w:ascii="Arial" w:hAnsi="Arial" w:eastAsia="仿宋_GB2312" w:cs="Arial"/>
        <w:b/>
        <w:i w:val="0"/>
        <w:sz w:val="24"/>
      </w:rPr>
    </w:lvl>
    <w:lvl w:ilvl="1" w:tentative="0">
      <w:start w:val="1"/>
      <w:numFmt w:val="decimal"/>
      <w:lvlText w:val="%1.%2"/>
      <w:lvlJc w:val="left"/>
      <w:pPr>
        <w:tabs>
          <w:tab w:val="left" w:pos="851"/>
        </w:tabs>
        <w:ind w:left="851" w:hanging="851"/>
      </w:pPr>
      <w:rPr>
        <w:rFonts w:hint="default" w:ascii="Arial" w:hAnsi="Arial" w:eastAsia="仿宋_GB2312" w:cs="Arial"/>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21">
    <w:nsid w:val="277D2D47"/>
    <w:multiLevelType w:val="multilevel"/>
    <w:tmpl w:val="277D2D47"/>
    <w:lvl w:ilvl="0" w:tentative="0">
      <w:start w:val="1"/>
      <w:numFmt w:val="japaneseCounting"/>
      <w:lvlText w:val="%1、"/>
      <w:lvlJc w:val="left"/>
      <w:pPr>
        <w:ind w:left="450" w:hanging="450"/>
      </w:pPr>
      <w:rPr>
        <w:rFonts w:hint="default" w:ascii="宋体" w:hAnsi="宋体" w:cs="宋体"/>
        <w:b/>
        <w:sz w:val="21"/>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5C576AD"/>
    <w:multiLevelType w:val="multilevel"/>
    <w:tmpl w:val="35C576AD"/>
    <w:lvl w:ilvl="0" w:tentative="0">
      <w:start w:val="1"/>
      <w:numFmt w:val="decimal"/>
      <w:lvlText w:val="%1．"/>
      <w:lvlJc w:val="left"/>
      <w:pPr>
        <w:ind w:left="1019" w:hanging="735"/>
      </w:pPr>
      <w:rPr>
        <w:rFonts w:hint="default"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377F33A3"/>
    <w:multiLevelType w:val="singleLevel"/>
    <w:tmpl w:val="377F33A3"/>
    <w:lvl w:ilvl="0" w:tentative="0">
      <w:start w:val="1"/>
      <w:numFmt w:val="decimal"/>
      <w:lvlText w:val="%1)"/>
      <w:lvlJc w:val="left"/>
      <w:pPr>
        <w:ind w:left="1554" w:hanging="420"/>
      </w:pPr>
      <w:rPr>
        <w:rFonts w:hint="default" w:ascii="宋体" w:hAnsi="宋体" w:eastAsia="宋体"/>
      </w:rPr>
    </w:lvl>
  </w:abstractNum>
  <w:abstractNum w:abstractNumId="24">
    <w:nsid w:val="3AD3761E"/>
    <w:multiLevelType w:val="multilevel"/>
    <w:tmpl w:val="3AD3761E"/>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3AD83824"/>
    <w:multiLevelType w:val="multilevel"/>
    <w:tmpl w:val="3AD83824"/>
    <w:lvl w:ilvl="0" w:tentative="0">
      <w:start w:val="1"/>
      <w:numFmt w:val="bullet"/>
      <w:lvlText w:val=""/>
      <w:lvlJc w:val="left"/>
      <w:pPr>
        <w:tabs>
          <w:tab w:val="left" w:pos="1260"/>
        </w:tabs>
        <w:ind w:left="1701" w:hanging="340"/>
      </w:pPr>
      <w:rPr>
        <w:rFonts w:hint="default" w:ascii="Wingdings" w:hAnsi="Wingdings"/>
        <w:u w:val="none"/>
      </w:rPr>
    </w:lvl>
    <w:lvl w:ilvl="1" w:tentative="0">
      <w:start w:val="1"/>
      <w:numFmt w:val="lowerLetter"/>
      <w:lvlText w:val="%2)"/>
      <w:lvlJc w:val="left"/>
      <w:pPr>
        <w:tabs>
          <w:tab w:val="left" w:pos="436"/>
        </w:tabs>
        <w:ind w:left="436" w:hanging="420"/>
      </w:pPr>
    </w:lvl>
    <w:lvl w:ilvl="2" w:tentative="0">
      <w:start w:val="1"/>
      <w:numFmt w:val="lowerRoman"/>
      <w:lvlText w:val="%3."/>
      <w:lvlJc w:val="right"/>
      <w:pPr>
        <w:tabs>
          <w:tab w:val="left" w:pos="856"/>
        </w:tabs>
        <w:ind w:left="856" w:hanging="420"/>
      </w:pPr>
    </w:lvl>
    <w:lvl w:ilvl="3" w:tentative="0">
      <w:start w:val="1"/>
      <w:numFmt w:val="decimal"/>
      <w:lvlText w:val="%4."/>
      <w:lvlJc w:val="left"/>
      <w:pPr>
        <w:tabs>
          <w:tab w:val="left" w:pos="1276"/>
        </w:tabs>
        <w:ind w:left="1276" w:hanging="420"/>
      </w:pPr>
    </w:lvl>
    <w:lvl w:ilvl="4" w:tentative="0">
      <w:start w:val="1"/>
      <w:numFmt w:val="lowerLetter"/>
      <w:lvlText w:val="%5)"/>
      <w:lvlJc w:val="left"/>
      <w:pPr>
        <w:tabs>
          <w:tab w:val="left" w:pos="1696"/>
        </w:tabs>
        <w:ind w:left="1696" w:hanging="420"/>
      </w:pPr>
    </w:lvl>
    <w:lvl w:ilvl="5" w:tentative="0">
      <w:start w:val="1"/>
      <w:numFmt w:val="lowerRoman"/>
      <w:lvlText w:val="%6."/>
      <w:lvlJc w:val="right"/>
      <w:pPr>
        <w:tabs>
          <w:tab w:val="left" w:pos="2116"/>
        </w:tabs>
        <w:ind w:left="2116" w:hanging="420"/>
      </w:pPr>
    </w:lvl>
    <w:lvl w:ilvl="6" w:tentative="0">
      <w:start w:val="1"/>
      <w:numFmt w:val="decimal"/>
      <w:lvlText w:val="%7."/>
      <w:lvlJc w:val="left"/>
      <w:pPr>
        <w:tabs>
          <w:tab w:val="left" w:pos="2536"/>
        </w:tabs>
        <w:ind w:left="2536" w:hanging="420"/>
      </w:pPr>
    </w:lvl>
    <w:lvl w:ilvl="7" w:tentative="0">
      <w:start w:val="1"/>
      <w:numFmt w:val="lowerLetter"/>
      <w:lvlText w:val="%8)"/>
      <w:lvlJc w:val="left"/>
      <w:pPr>
        <w:tabs>
          <w:tab w:val="left" w:pos="2956"/>
        </w:tabs>
        <w:ind w:left="2956" w:hanging="420"/>
      </w:pPr>
    </w:lvl>
    <w:lvl w:ilvl="8" w:tentative="0">
      <w:start w:val="1"/>
      <w:numFmt w:val="lowerRoman"/>
      <w:lvlText w:val="%9."/>
      <w:lvlJc w:val="right"/>
      <w:pPr>
        <w:tabs>
          <w:tab w:val="left" w:pos="3376"/>
        </w:tabs>
        <w:ind w:left="3376" w:hanging="420"/>
      </w:pPr>
    </w:lvl>
  </w:abstractNum>
  <w:abstractNum w:abstractNumId="26">
    <w:nsid w:val="3B2022C7"/>
    <w:multiLevelType w:val="singleLevel"/>
    <w:tmpl w:val="3B2022C7"/>
    <w:lvl w:ilvl="0" w:tentative="0">
      <w:start w:val="1"/>
      <w:numFmt w:val="decimal"/>
      <w:suff w:val="nothing"/>
      <w:lvlText w:val="%1、"/>
      <w:lvlJc w:val="left"/>
    </w:lvl>
  </w:abstractNum>
  <w:abstractNum w:abstractNumId="27">
    <w:nsid w:val="3B851EDF"/>
    <w:multiLevelType w:val="multilevel"/>
    <w:tmpl w:val="3B851EDF"/>
    <w:lvl w:ilvl="0" w:tentative="0">
      <w:start w:val="1"/>
      <w:numFmt w:val="bullet"/>
      <w:lvlText w:val=""/>
      <w:lvlJc w:val="left"/>
      <w:pPr>
        <w:ind w:left="760" w:hanging="420"/>
      </w:pPr>
      <w:rPr>
        <w:rFonts w:hint="default" w:ascii="Wingdings" w:hAnsi="Wingdings"/>
      </w:rPr>
    </w:lvl>
    <w:lvl w:ilvl="1" w:tentative="0">
      <w:start w:val="1"/>
      <w:numFmt w:val="decimal"/>
      <w:lvlText w:val="（%2）"/>
      <w:lvlJc w:val="left"/>
      <w:pPr>
        <w:ind w:left="1180" w:hanging="420"/>
      </w:pPr>
      <w:rPr>
        <w:rFonts w:hint="eastAsia" w:ascii="宋体" w:hAnsi="宋体" w:eastAsia="宋体"/>
      </w:rPr>
    </w:lvl>
    <w:lvl w:ilvl="2" w:tentative="0">
      <w:start w:val="1"/>
      <w:numFmt w:val="bullet"/>
      <w:lvlText w:val=""/>
      <w:lvlJc w:val="left"/>
      <w:pPr>
        <w:ind w:left="1600" w:hanging="420"/>
      </w:pPr>
      <w:rPr>
        <w:rFonts w:hint="default" w:ascii="Wingdings" w:hAnsi="Wingdings"/>
      </w:rPr>
    </w:lvl>
    <w:lvl w:ilvl="3" w:tentative="0">
      <w:start w:val="1"/>
      <w:numFmt w:val="bullet"/>
      <w:lvlText w:val=""/>
      <w:lvlJc w:val="left"/>
      <w:pPr>
        <w:ind w:left="2020" w:hanging="420"/>
      </w:pPr>
      <w:rPr>
        <w:rFonts w:hint="default" w:ascii="Wingdings" w:hAnsi="Wingdings"/>
      </w:rPr>
    </w:lvl>
    <w:lvl w:ilvl="4" w:tentative="0">
      <w:start w:val="1"/>
      <w:numFmt w:val="bullet"/>
      <w:lvlText w:val=""/>
      <w:lvlJc w:val="left"/>
      <w:pPr>
        <w:ind w:left="2440" w:hanging="420"/>
      </w:pPr>
      <w:rPr>
        <w:rFonts w:hint="default" w:ascii="Wingdings" w:hAnsi="Wingdings"/>
      </w:rPr>
    </w:lvl>
    <w:lvl w:ilvl="5" w:tentative="0">
      <w:start w:val="1"/>
      <w:numFmt w:val="bullet"/>
      <w:lvlText w:val=""/>
      <w:lvlJc w:val="left"/>
      <w:pPr>
        <w:ind w:left="2860" w:hanging="420"/>
      </w:pPr>
      <w:rPr>
        <w:rFonts w:hint="default" w:ascii="Wingdings" w:hAnsi="Wingdings"/>
      </w:rPr>
    </w:lvl>
    <w:lvl w:ilvl="6" w:tentative="0">
      <w:start w:val="1"/>
      <w:numFmt w:val="bullet"/>
      <w:lvlText w:val=""/>
      <w:lvlJc w:val="left"/>
      <w:pPr>
        <w:ind w:left="3280" w:hanging="420"/>
      </w:pPr>
      <w:rPr>
        <w:rFonts w:hint="default" w:ascii="Wingdings" w:hAnsi="Wingdings"/>
      </w:rPr>
    </w:lvl>
    <w:lvl w:ilvl="7" w:tentative="0">
      <w:start w:val="1"/>
      <w:numFmt w:val="bullet"/>
      <w:lvlText w:val=""/>
      <w:lvlJc w:val="left"/>
      <w:pPr>
        <w:ind w:left="3700" w:hanging="420"/>
      </w:pPr>
      <w:rPr>
        <w:rFonts w:hint="default" w:ascii="Wingdings" w:hAnsi="Wingdings"/>
      </w:rPr>
    </w:lvl>
    <w:lvl w:ilvl="8" w:tentative="0">
      <w:start w:val="1"/>
      <w:numFmt w:val="bullet"/>
      <w:lvlText w:val=""/>
      <w:lvlJc w:val="left"/>
      <w:pPr>
        <w:ind w:left="4120" w:hanging="420"/>
      </w:pPr>
      <w:rPr>
        <w:rFonts w:hint="default" w:ascii="Wingdings" w:hAnsi="Wingdings"/>
      </w:rPr>
    </w:lvl>
  </w:abstractNum>
  <w:abstractNum w:abstractNumId="28">
    <w:nsid w:val="42C534A2"/>
    <w:multiLevelType w:val="multilevel"/>
    <w:tmpl w:val="42C534A2"/>
    <w:lvl w:ilvl="0" w:tentative="0">
      <w:start w:val="1"/>
      <w:numFmt w:val="decimal"/>
      <w:lvlText w:val="%1）"/>
      <w:lvlJc w:val="left"/>
      <w:pPr>
        <w:ind w:left="865" w:hanging="420"/>
      </w:pPr>
    </w:lvl>
    <w:lvl w:ilvl="1" w:tentative="0">
      <w:start w:val="1"/>
      <w:numFmt w:val="lowerLetter"/>
      <w:lvlText w:val="%2)"/>
      <w:lvlJc w:val="left"/>
      <w:pPr>
        <w:ind w:left="1285" w:hanging="420"/>
      </w:pPr>
    </w:lvl>
    <w:lvl w:ilvl="2" w:tentative="0">
      <w:start w:val="1"/>
      <w:numFmt w:val="lowerRoman"/>
      <w:lvlText w:val="%3."/>
      <w:lvlJc w:val="right"/>
      <w:pPr>
        <w:ind w:left="1705" w:hanging="420"/>
      </w:pPr>
    </w:lvl>
    <w:lvl w:ilvl="3" w:tentative="0">
      <w:start w:val="1"/>
      <w:numFmt w:val="decimal"/>
      <w:lvlText w:val="%4."/>
      <w:lvlJc w:val="left"/>
      <w:pPr>
        <w:ind w:left="2125" w:hanging="420"/>
      </w:pPr>
    </w:lvl>
    <w:lvl w:ilvl="4" w:tentative="0">
      <w:start w:val="1"/>
      <w:numFmt w:val="lowerLetter"/>
      <w:lvlText w:val="%5)"/>
      <w:lvlJc w:val="left"/>
      <w:pPr>
        <w:ind w:left="2545" w:hanging="420"/>
      </w:pPr>
    </w:lvl>
    <w:lvl w:ilvl="5" w:tentative="0">
      <w:start w:val="1"/>
      <w:numFmt w:val="lowerRoman"/>
      <w:lvlText w:val="%6."/>
      <w:lvlJc w:val="right"/>
      <w:pPr>
        <w:ind w:left="2965" w:hanging="420"/>
      </w:pPr>
    </w:lvl>
    <w:lvl w:ilvl="6" w:tentative="0">
      <w:start w:val="1"/>
      <w:numFmt w:val="decimal"/>
      <w:lvlText w:val="%7."/>
      <w:lvlJc w:val="left"/>
      <w:pPr>
        <w:ind w:left="3385" w:hanging="420"/>
      </w:pPr>
    </w:lvl>
    <w:lvl w:ilvl="7" w:tentative="0">
      <w:start w:val="1"/>
      <w:numFmt w:val="lowerLetter"/>
      <w:lvlText w:val="%8)"/>
      <w:lvlJc w:val="left"/>
      <w:pPr>
        <w:ind w:left="3805" w:hanging="420"/>
      </w:pPr>
    </w:lvl>
    <w:lvl w:ilvl="8" w:tentative="0">
      <w:start w:val="1"/>
      <w:numFmt w:val="lowerRoman"/>
      <w:lvlText w:val="%9."/>
      <w:lvlJc w:val="right"/>
      <w:pPr>
        <w:ind w:left="4225" w:hanging="420"/>
      </w:pPr>
    </w:lvl>
  </w:abstractNum>
  <w:abstractNum w:abstractNumId="29">
    <w:nsid w:val="48F880D5"/>
    <w:multiLevelType w:val="singleLevel"/>
    <w:tmpl w:val="48F880D5"/>
    <w:lvl w:ilvl="0" w:tentative="0">
      <w:start w:val="1"/>
      <w:numFmt w:val="decimal"/>
      <w:lvlText w:val="%1)"/>
      <w:lvlJc w:val="left"/>
      <w:pPr>
        <w:ind w:left="425" w:hanging="425"/>
      </w:pPr>
      <w:rPr>
        <w:rFonts w:hint="default" w:ascii="宋体" w:hAnsi="宋体" w:eastAsia="宋体"/>
        <w:b w:val="0"/>
      </w:rPr>
    </w:lvl>
  </w:abstractNum>
  <w:abstractNum w:abstractNumId="30">
    <w:nsid w:val="4C575F4B"/>
    <w:multiLevelType w:val="singleLevel"/>
    <w:tmpl w:val="4C575F4B"/>
    <w:lvl w:ilvl="0" w:tentative="0">
      <w:start w:val="1"/>
      <w:numFmt w:val="decimal"/>
      <w:lvlText w:val="（%1）"/>
      <w:lvlJc w:val="left"/>
      <w:pPr>
        <w:ind w:left="420" w:hanging="420"/>
      </w:pPr>
      <w:rPr>
        <w:rFonts w:hint="eastAsia" w:ascii="宋体" w:hAnsi="宋体" w:eastAsia="宋体"/>
        <w:color w:val="auto"/>
        <w:sz w:val="21"/>
        <w:szCs w:val="21"/>
        <w:lang w:val="en-US"/>
      </w:rPr>
    </w:lvl>
  </w:abstractNum>
  <w:abstractNum w:abstractNumId="31">
    <w:nsid w:val="51FD2C09"/>
    <w:multiLevelType w:val="multilevel"/>
    <w:tmpl w:val="51FD2C09"/>
    <w:lvl w:ilvl="0" w:tentative="0">
      <w:start w:val="1"/>
      <w:numFmt w:val="decimal"/>
      <w:lvlText w:val="%1．"/>
      <w:lvlJc w:val="left"/>
      <w:pPr>
        <w:ind w:left="1019" w:hanging="735"/>
      </w:pPr>
      <w:rPr>
        <w:rFonts w:hint="default"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54F403B5"/>
    <w:multiLevelType w:val="singleLevel"/>
    <w:tmpl w:val="54F403B5"/>
    <w:lvl w:ilvl="0" w:tentative="0">
      <w:start w:val="1"/>
      <w:numFmt w:val="chineseCounting"/>
      <w:suff w:val="nothing"/>
      <w:lvlText w:val="%1、"/>
      <w:lvlJc w:val="left"/>
    </w:lvl>
  </w:abstractNum>
  <w:abstractNum w:abstractNumId="33">
    <w:nsid w:val="557FD3DA"/>
    <w:multiLevelType w:val="singleLevel"/>
    <w:tmpl w:val="557FD3DA"/>
    <w:lvl w:ilvl="0" w:tentative="0">
      <w:start w:val="3"/>
      <w:numFmt w:val="chineseCounting"/>
      <w:suff w:val="nothing"/>
      <w:lvlText w:val="%1、"/>
      <w:lvlJc w:val="left"/>
    </w:lvl>
  </w:abstractNum>
  <w:abstractNum w:abstractNumId="34">
    <w:nsid w:val="5A1B8D0C"/>
    <w:multiLevelType w:val="singleLevel"/>
    <w:tmpl w:val="5A1B8D0C"/>
    <w:lvl w:ilvl="0" w:tentative="0">
      <w:start w:val="1"/>
      <w:numFmt w:val="decimal"/>
      <w:suff w:val="nothing"/>
      <w:lvlText w:val="%1．"/>
      <w:lvlJc w:val="left"/>
      <w:pPr>
        <w:ind w:left="26" w:firstLine="400"/>
      </w:pPr>
      <w:rPr>
        <w:rFonts w:hint="default"/>
      </w:rPr>
    </w:lvl>
  </w:abstractNum>
  <w:abstractNum w:abstractNumId="35">
    <w:nsid w:val="5C403BA4"/>
    <w:multiLevelType w:val="multilevel"/>
    <w:tmpl w:val="5C403BA4"/>
    <w:lvl w:ilvl="0" w:tentative="0">
      <w:start w:val="1"/>
      <w:numFmt w:val="decimal"/>
      <w:lvlText w:val="%1）"/>
      <w:lvlJc w:val="left"/>
      <w:pPr>
        <w:ind w:left="445" w:hanging="420"/>
      </w:pPr>
    </w:lvl>
    <w:lvl w:ilvl="1" w:tentative="0">
      <w:start w:val="1"/>
      <w:numFmt w:val="lowerLetter"/>
      <w:lvlText w:val="%2)"/>
      <w:lvlJc w:val="left"/>
      <w:pPr>
        <w:ind w:left="865" w:hanging="420"/>
      </w:pPr>
    </w:lvl>
    <w:lvl w:ilvl="2" w:tentative="0">
      <w:start w:val="1"/>
      <w:numFmt w:val="lowerRoman"/>
      <w:lvlText w:val="%3."/>
      <w:lvlJc w:val="right"/>
      <w:pPr>
        <w:ind w:left="1285" w:hanging="420"/>
      </w:pPr>
    </w:lvl>
    <w:lvl w:ilvl="3" w:tentative="0">
      <w:start w:val="1"/>
      <w:numFmt w:val="decimal"/>
      <w:lvlText w:val="%4."/>
      <w:lvlJc w:val="left"/>
      <w:pPr>
        <w:ind w:left="1705" w:hanging="420"/>
      </w:pPr>
    </w:lvl>
    <w:lvl w:ilvl="4" w:tentative="0">
      <w:start w:val="1"/>
      <w:numFmt w:val="lowerLetter"/>
      <w:lvlText w:val="%5)"/>
      <w:lvlJc w:val="left"/>
      <w:pPr>
        <w:ind w:left="2125" w:hanging="420"/>
      </w:pPr>
    </w:lvl>
    <w:lvl w:ilvl="5" w:tentative="0">
      <w:start w:val="1"/>
      <w:numFmt w:val="lowerRoman"/>
      <w:lvlText w:val="%6."/>
      <w:lvlJc w:val="right"/>
      <w:pPr>
        <w:ind w:left="2545" w:hanging="420"/>
      </w:pPr>
    </w:lvl>
    <w:lvl w:ilvl="6" w:tentative="0">
      <w:start w:val="1"/>
      <w:numFmt w:val="decimal"/>
      <w:lvlText w:val="%7."/>
      <w:lvlJc w:val="left"/>
      <w:pPr>
        <w:ind w:left="2965" w:hanging="420"/>
      </w:pPr>
    </w:lvl>
    <w:lvl w:ilvl="7" w:tentative="0">
      <w:start w:val="1"/>
      <w:numFmt w:val="lowerLetter"/>
      <w:lvlText w:val="%8)"/>
      <w:lvlJc w:val="left"/>
      <w:pPr>
        <w:ind w:left="3385" w:hanging="420"/>
      </w:pPr>
    </w:lvl>
    <w:lvl w:ilvl="8" w:tentative="0">
      <w:start w:val="1"/>
      <w:numFmt w:val="lowerRoman"/>
      <w:lvlText w:val="%9."/>
      <w:lvlJc w:val="right"/>
      <w:pPr>
        <w:ind w:left="3805" w:hanging="420"/>
      </w:pPr>
    </w:lvl>
  </w:abstractNum>
  <w:abstractNum w:abstractNumId="36">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37">
    <w:nsid w:val="639642AD"/>
    <w:multiLevelType w:val="multilevel"/>
    <w:tmpl w:val="639642AD"/>
    <w:lvl w:ilvl="0" w:tentative="0">
      <w:start w:val="1"/>
      <w:numFmt w:val="decimal"/>
      <w:lvlText w:val="%1."/>
      <w:lvlJc w:val="left"/>
      <w:pPr>
        <w:ind w:left="421" w:hanging="420"/>
      </w:pPr>
      <w:rPr>
        <w:b w:val="0"/>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38">
    <w:nsid w:val="6CE73474"/>
    <w:multiLevelType w:val="multilevel"/>
    <w:tmpl w:val="6CE73474"/>
    <w:lvl w:ilvl="0" w:tentative="0">
      <w:start w:val="1"/>
      <w:numFmt w:val="decimal"/>
      <w:lvlText w:val="%1."/>
      <w:lvlJc w:val="left"/>
      <w:pPr>
        <w:ind w:left="421" w:hanging="420"/>
      </w:pPr>
      <w:rPr>
        <w:b w:val="0"/>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39">
    <w:nsid w:val="72555085"/>
    <w:multiLevelType w:val="singleLevel"/>
    <w:tmpl w:val="72555085"/>
    <w:lvl w:ilvl="0" w:tentative="0">
      <w:start w:val="1"/>
      <w:numFmt w:val="decimal"/>
      <w:suff w:val="nothing"/>
      <w:lvlText w:val="%1、"/>
      <w:lvlJc w:val="left"/>
    </w:lvl>
  </w:abstractNum>
  <w:abstractNum w:abstractNumId="40">
    <w:nsid w:val="73A02125"/>
    <w:multiLevelType w:val="multilevel"/>
    <w:tmpl w:val="73A02125"/>
    <w:lvl w:ilvl="0" w:tentative="0">
      <w:start w:val="1"/>
      <w:numFmt w:val="decimal"/>
      <w:lvlText w:val="%1."/>
      <w:lvlJc w:val="left"/>
      <w:pPr>
        <w:ind w:left="421" w:hanging="420"/>
      </w:pPr>
      <w:rPr>
        <w:b w:val="0"/>
      </w:rPr>
    </w:lvl>
    <w:lvl w:ilvl="1" w:tentative="0">
      <w:start w:val="1"/>
      <w:numFmt w:val="decimal"/>
      <w:lvlText w:val="（%2）"/>
      <w:lvlJc w:val="left"/>
      <w:pPr>
        <w:ind w:left="1141" w:hanging="720"/>
      </w:pPr>
      <w:rPr>
        <w:rFonts w:hint="default"/>
      </w:r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num w:numId="1">
    <w:abstractNumId w:val="9"/>
  </w:num>
  <w:num w:numId="2">
    <w:abstractNumId w:val="21"/>
  </w:num>
  <w:num w:numId="3">
    <w:abstractNumId w:val="4"/>
  </w:num>
  <w:num w:numId="4">
    <w:abstractNumId w:val="34"/>
  </w:num>
  <w:num w:numId="5">
    <w:abstractNumId w:val="3"/>
  </w:num>
  <w:num w:numId="6">
    <w:abstractNumId w:val="31"/>
  </w:num>
  <w:num w:numId="7">
    <w:abstractNumId w:val="22"/>
  </w:num>
  <w:num w:numId="8">
    <w:abstractNumId w:val="5"/>
  </w:num>
  <w:num w:numId="9">
    <w:abstractNumId w:val="26"/>
  </w:num>
  <w:num w:numId="10">
    <w:abstractNumId w:val="38"/>
  </w:num>
  <w:num w:numId="11">
    <w:abstractNumId w:val="37"/>
  </w:num>
  <w:num w:numId="12">
    <w:abstractNumId w:val="40"/>
  </w:num>
  <w:num w:numId="13">
    <w:abstractNumId w:val="16"/>
  </w:num>
  <w:num w:numId="14">
    <w:abstractNumId w:val="35"/>
  </w:num>
  <w:num w:numId="15">
    <w:abstractNumId w:val="28"/>
  </w:num>
  <w:num w:numId="16">
    <w:abstractNumId w:val="19"/>
  </w:num>
  <w:num w:numId="17">
    <w:abstractNumId w:val="7"/>
  </w:num>
  <w:num w:numId="18">
    <w:abstractNumId w:val="8"/>
  </w:num>
  <w:num w:numId="19">
    <w:abstractNumId w:val="17"/>
  </w:num>
  <w:num w:numId="20">
    <w:abstractNumId w:val="23"/>
  </w:num>
  <w:num w:numId="21">
    <w:abstractNumId w:val="30"/>
  </w:num>
  <w:num w:numId="22">
    <w:abstractNumId w:val="2"/>
  </w:num>
  <w:num w:numId="23">
    <w:abstractNumId w:val="20"/>
  </w:num>
  <w:num w:numId="24">
    <w:abstractNumId w:val="14"/>
  </w:num>
  <w:num w:numId="25">
    <w:abstractNumId w:val="12"/>
  </w:num>
  <w:num w:numId="26">
    <w:abstractNumId w:val="0"/>
  </w:num>
  <w:num w:numId="27">
    <w:abstractNumId w:val="18"/>
  </w:num>
  <w:num w:numId="28">
    <w:abstractNumId w:val="1"/>
  </w:num>
  <w:num w:numId="29">
    <w:abstractNumId w:val="39"/>
  </w:num>
  <w:num w:numId="30">
    <w:abstractNumId w:val="6"/>
  </w:num>
  <w:num w:numId="31">
    <w:abstractNumId w:val="24"/>
  </w:num>
  <w:num w:numId="32">
    <w:abstractNumId w:val="13"/>
  </w:num>
  <w:num w:numId="33">
    <w:abstractNumId w:val="36"/>
  </w:num>
  <w:num w:numId="34">
    <w:abstractNumId w:val="29"/>
  </w:num>
  <w:num w:numId="35">
    <w:abstractNumId w:val="25"/>
  </w:num>
  <w:num w:numId="36">
    <w:abstractNumId w:val="11"/>
  </w:num>
  <w:num w:numId="37">
    <w:abstractNumId w:val="27"/>
  </w:num>
  <w:num w:numId="38">
    <w:abstractNumId w:val="10"/>
  </w:num>
  <w:num w:numId="39">
    <w:abstractNumId w:val="15"/>
  </w:num>
  <w:num w:numId="40">
    <w:abstractNumId w:val="3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B9"/>
    <w:rsid w:val="00004F3F"/>
    <w:rsid w:val="00005431"/>
    <w:rsid w:val="00007067"/>
    <w:rsid w:val="00011B76"/>
    <w:rsid w:val="000127CE"/>
    <w:rsid w:val="00013CF5"/>
    <w:rsid w:val="00013F21"/>
    <w:rsid w:val="00020BB9"/>
    <w:rsid w:val="000213A0"/>
    <w:rsid w:val="000230C3"/>
    <w:rsid w:val="000267DB"/>
    <w:rsid w:val="0002682A"/>
    <w:rsid w:val="00031055"/>
    <w:rsid w:val="00032884"/>
    <w:rsid w:val="00032CB5"/>
    <w:rsid w:val="000330DF"/>
    <w:rsid w:val="000330E8"/>
    <w:rsid w:val="0003523E"/>
    <w:rsid w:val="00040451"/>
    <w:rsid w:val="0004066D"/>
    <w:rsid w:val="00041002"/>
    <w:rsid w:val="00042DED"/>
    <w:rsid w:val="00042E44"/>
    <w:rsid w:val="00045709"/>
    <w:rsid w:val="00045C41"/>
    <w:rsid w:val="00052255"/>
    <w:rsid w:val="0005366B"/>
    <w:rsid w:val="00054A05"/>
    <w:rsid w:val="0005582C"/>
    <w:rsid w:val="000572BA"/>
    <w:rsid w:val="00063154"/>
    <w:rsid w:val="000643CC"/>
    <w:rsid w:val="00064414"/>
    <w:rsid w:val="00064560"/>
    <w:rsid w:val="00064E72"/>
    <w:rsid w:val="00067C42"/>
    <w:rsid w:val="00073270"/>
    <w:rsid w:val="00075585"/>
    <w:rsid w:val="00080A1A"/>
    <w:rsid w:val="00080AC8"/>
    <w:rsid w:val="00082416"/>
    <w:rsid w:val="00085363"/>
    <w:rsid w:val="000860B2"/>
    <w:rsid w:val="000876BD"/>
    <w:rsid w:val="0009199D"/>
    <w:rsid w:val="00091FC4"/>
    <w:rsid w:val="00093565"/>
    <w:rsid w:val="000936D8"/>
    <w:rsid w:val="000A2CED"/>
    <w:rsid w:val="000A5AFD"/>
    <w:rsid w:val="000B057C"/>
    <w:rsid w:val="000B5857"/>
    <w:rsid w:val="000B660D"/>
    <w:rsid w:val="000C16C1"/>
    <w:rsid w:val="000C26EC"/>
    <w:rsid w:val="000C3DE9"/>
    <w:rsid w:val="000C5549"/>
    <w:rsid w:val="000C582C"/>
    <w:rsid w:val="000C72DB"/>
    <w:rsid w:val="000C732E"/>
    <w:rsid w:val="000D053E"/>
    <w:rsid w:val="000D0678"/>
    <w:rsid w:val="000D113E"/>
    <w:rsid w:val="000D2C4A"/>
    <w:rsid w:val="000D4C1B"/>
    <w:rsid w:val="000D5205"/>
    <w:rsid w:val="000D5F16"/>
    <w:rsid w:val="000D7E3C"/>
    <w:rsid w:val="000E1104"/>
    <w:rsid w:val="000E229C"/>
    <w:rsid w:val="000E3176"/>
    <w:rsid w:val="000E4A8F"/>
    <w:rsid w:val="000E6865"/>
    <w:rsid w:val="000E6CBD"/>
    <w:rsid w:val="000E7392"/>
    <w:rsid w:val="000F28EC"/>
    <w:rsid w:val="000F5932"/>
    <w:rsid w:val="000F6A62"/>
    <w:rsid w:val="000F6E4A"/>
    <w:rsid w:val="000F74E6"/>
    <w:rsid w:val="000F7847"/>
    <w:rsid w:val="00100528"/>
    <w:rsid w:val="001012FC"/>
    <w:rsid w:val="00101B83"/>
    <w:rsid w:val="00101E4F"/>
    <w:rsid w:val="00104903"/>
    <w:rsid w:val="001066C2"/>
    <w:rsid w:val="0011084D"/>
    <w:rsid w:val="001112F9"/>
    <w:rsid w:val="00111D9D"/>
    <w:rsid w:val="00113B6B"/>
    <w:rsid w:val="001173CB"/>
    <w:rsid w:val="001175CE"/>
    <w:rsid w:val="001224FC"/>
    <w:rsid w:val="0012785E"/>
    <w:rsid w:val="0013237F"/>
    <w:rsid w:val="001347C0"/>
    <w:rsid w:val="0013741F"/>
    <w:rsid w:val="001376BD"/>
    <w:rsid w:val="00137FB4"/>
    <w:rsid w:val="0014187C"/>
    <w:rsid w:val="0014402A"/>
    <w:rsid w:val="00145580"/>
    <w:rsid w:val="001477B0"/>
    <w:rsid w:val="00147CDA"/>
    <w:rsid w:val="00150384"/>
    <w:rsid w:val="00151EED"/>
    <w:rsid w:val="00152D83"/>
    <w:rsid w:val="00153FA4"/>
    <w:rsid w:val="001609CC"/>
    <w:rsid w:val="00162049"/>
    <w:rsid w:val="00162EEB"/>
    <w:rsid w:val="001639F5"/>
    <w:rsid w:val="0016720A"/>
    <w:rsid w:val="0017227A"/>
    <w:rsid w:val="00176382"/>
    <w:rsid w:val="00181D6C"/>
    <w:rsid w:val="0018302F"/>
    <w:rsid w:val="00186D4B"/>
    <w:rsid w:val="00190F0A"/>
    <w:rsid w:val="0019367B"/>
    <w:rsid w:val="001A1B4D"/>
    <w:rsid w:val="001A33D7"/>
    <w:rsid w:val="001A5CB6"/>
    <w:rsid w:val="001A7CD9"/>
    <w:rsid w:val="001B3A28"/>
    <w:rsid w:val="001B4246"/>
    <w:rsid w:val="001B42D8"/>
    <w:rsid w:val="001B6B2E"/>
    <w:rsid w:val="001B7059"/>
    <w:rsid w:val="001C1289"/>
    <w:rsid w:val="001C3536"/>
    <w:rsid w:val="001C6111"/>
    <w:rsid w:val="001D0596"/>
    <w:rsid w:val="001D0E13"/>
    <w:rsid w:val="001D1BFD"/>
    <w:rsid w:val="001D2C6B"/>
    <w:rsid w:val="001D7269"/>
    <w:rsid w:val="001E0970"/>
    <w:rsid w:val="001E1D0C"/>
    <w:rsid w:val="001E2664"/>
    <w:rsid w:val="001E2E10"/>
    <w:rsid w:val="001F6E9C"/>
    <w:rsid w:val="002004B4"/>
    <w:rsid w:val="00201425"/>
    <w:rsid w:val="00201AFD"/>
    <w:rsid w:val="00202B78"/>
    <w:rsid w:val="00203C4C"/>
    <w:rsid w:val="00205D9B"/>
    <w:rsid w:val="00205EE5"/>
    <w:rsid w:val="00211805"/>
    <w:rsid w:val="00211A2A"/>
    <w:rsid w:val="002138C8"/>
    <w:rsid w:val="00222441"/>
    <w:rsid w:val="00223023"/>
    <w:rsid w:val="002258BB"/>
    <w:rsid w:val="00226567"/>
    <w:rsid w:val="002305EE"/>
    <w:rsid w:val="00230D29"/>
    <w:rsid w:val="00232385"/>
    <w:rsid w:val="00232B4B"/>
    <w:rsid w:val="00233211"/>
    <w:rsid w:val="0023631F"/>
    <w:rsid w:val="00237ACC"/>
    <w:rsid w:val="00241ACA"/>
    <w:rsid w:val="00252106"/>
    <w:rsid w:val="0025442E"/>
    <w:rsid w:val="00265C1B"/>
    <w:rsid w:val="0026671F"/>
    <w:rsid w:val="00270467"/>
    <w:rsid w:val="002712CC"/>
    <w:rsid w:val="00274C1D"/>
    <w:rsid w:val="002843E4"/>
    <w:rsid w:val="0028707F"/>
    <w:rsid w:val="00293F66"/>
    <w:rsid w:val="002A5AA8"/>
    <w:rsid w:val="002A60B3"/>
    <w:rsid w:val="002A686A"/>
    <w:rsid w:val="002B1CE8"/>
    <w:rsid w:val="002B37B3"/>
    <w:rsid w:val="002B43E2"/>
    <w:rsid w:val="002B440B"/>
    <w:rsid w:val="002B52FE"/>
    <w:rsid w:val="002C216F"/>
    <w:rsid w:val="002C3921"/>
    <w:rsid w:val="002C4652"/>
    <w:rsid w:val="002C7DAE"/>
    <w:rsid w:val="002D2785"/>
    <w:rsid w:val="002D3A14"/>
    <w:rsid w:val="002D50C6"/>
    <w:rsid w:val="002D6E85"/>
    <w:rsid w:val="002D7E92"/>
    <w:rsid w:val="002D7FF1"/>
    <w:rsid w:val="002E01B0"/>
    <w:rsid w:val="002E2996"/>
    <w:rsid w:val="002E46AA"/>
    <w:rsid w:val="002E6171"/>
    <w:rsid w:val="002F07EC"/>
    <w:rsid w:val="002F1317"/>
    <w:rsid w:val="002F1E3D"/>
    <w:rsid w:val="002F2FAE"/>
    <w:rsid w:val="002F34D3"/>
    <w:rsid w:val="002F500C"/>
    <w:rsid w:val="002F7E12"/>
    <w:rsid w:val="00302960"/>
    <w:rsid w:val="00306D0A"/>
    <w:rsid w:val="003075AC"/>
    <w:rsid w:val="00311356"/>
    <w:rsid w:val="00311E84"/>
    <w:rsid w:val="00312D99"/>
    <w:rsid w:val="0031402B"/>
    <w:rsid w:val="003152CA"/>
    <w:rsid w:val="0032150A"/>
    <w:rsid w:val="00321BD2"/>
    <w:rsid w:val="003234D7"/>
    <w:rsid w:val="00323BAC"/>
    <w:rsid w:val="00324100"/>
    <w:rsid w:val="0033242F"/>
    <w:rsid w:val="00333181"/>
    <w:rsid w:val="00340369"/>
    <w:rsid w:val="00340A9E"/>
    <w:rsid w:val="003435EE"/>
    <w:rsid w:val="003437D7"/>
    <w:rsid w:val="00345D2E"/>
    <w:rsid w:val="00346AEE"/>
    <w:rsid w:val="00350AE5"/>
    <w:rsid w:val="00352E2D"/>
    <w:rsid w:val="00353887"/>
    <w:rsid w:val="00353C75"/>
    <w:rsid w:val="00355095"/>
    <w:rsid w:val="003624CE"/>
    <w:rsid w:val="00363CDB"/>
    <w:rsid w:val="00363F39"/>
    <w:rsid w:val="0036410F"/>
    <w:rsid w:val="0036527B"/>
    <w:rsid w:val="00366F33"/>
    <w:rsid w:val="00370870"/>
    <w:rsid w:val="0037101F"/>
    <w:rsid w:val="0037187D"/>
    <w:rsid w:val="00373D0F"/>
    <w:rsid w:val="00374231"/>
    <w:rsid w:val="00375DB4"/>
    <w:rsid w:val="00377F63"/>
    <w:rsid w:val="003812AA"/>
    <w:rsid w:val="00381381"/>
    <w:rsid w:val="00382065"/>
    <w:rsid w:val="00384857"/>
    <w:rsid w:val="00387963"/>
    <w:rsid w:val="00390802"/>
    <w:rsid w:val="00392664"/>
    <w:rsid w:val="003943D6"/>
    <w:rsid w:val="00394ACA"/>
    <w:rsid w:val="003A0C91"/>
    <w:rsid w:val="003A22B5"/>
    <w:rsid w:val="003A2499"/>
    <w:rsid w:val="003A2AE9"/>
    <w:rsid w:val="003A4F89"/>
    <w:rsid w:val="003A546D"/>
    <w:rsid w:val="003A72BB"/>
    <w:rsid w:val="003A74FC"/>
    <w:rsid w:val="003B0F2B"/>
    <w:rsid w:val="003B28EA"/>
    <w:rsid w:val="003B3621"/>
    <w:rsid w:val="003B3CC9"/>
    <w:rsid w:val="003B4B55"/>
    <w:rsid w:val="003B5BE0"/>
    <w:rsid w:val="003B5D0D"/>
    <w:rsid w:val="003C79D4"/>
    <w:rsid w:val="003C7D1D"/>
    <w:rsid w:val="003D03F8"/>
    <w:rsid w:val="003D1F04"/>
    <w:rsid w:val="003D2913"/>
    <w:rsid w:val="003D2A01"/>
    <w:rsid w:val="003D7A23"/>
    <w:rsid w:val="003D7A47"/>
    <w:rsid w:val="003E0A64"/>
    <w:rsid w:val="003E251F"/>
    <w:rsid w:val="003E3B82"/>
    <w:rsid w:val="003E599E"/>
    <w:rsid w:val="003F3B43"/>
    <w:rsid w:val="003F42AA"/>
    <w:rsid w:val="003F4FB2"/>
    <w:rsid w:val="003F6A6A"/>
    <w:rsid w:val="004019C3"/>
    <w:rsid w:val="004055C0"/>
    <w:rsid w:val="0040579C"/>
    <w:rsid w:val="00406E31"/>
    <w:rsid w:val="004078E6"/>
    <w:rsid w:val="0041030B"/>
    <w:rsid w:val="00412ACF"/>
    <w:rsid w:val="0041364E"/>
    <w:rsid w:val="00413888"/>
    <w:rsid w:val="004173CD"/>
    <w:rsid w:val="004176E3"/>
    <w:rsid w:val="00424070"/>
    <w:rsid w:val="00425104"/>
    <w:rsid w:val="00430193"/>
    <w:rsid w:val="0043118C"/>
    <w:rsid w:val="0043188B"/>
    <w:rsid w:val="00432154"/>
    <w:rsid w:val="00433345"/>
    <w:rsid w:val="00437F32"/>
    <w:rsid w:val="00440502"/>
    <w:rsid w:val="0044266E"/>
    <w:rsid w:val="0044444A"/>
    <w:rsid w:val="004469C2"/>
    <w:rsid w:val="00446B63"/>
    <w:rsid w:val="00446FC4"/>
    <w:rsid w:val="00450775"/>
    <w:rsid w:val="00450B0D"/>
    <w:rsid w:val="004535FF"/>
    <w:rsid w:val="00454FEA"/>
    <w:rsid w:val="0045535F"/>
    <w:rsid w:val="00457B0D"/>
    <w:rsid w:val="004612C9"/>
    <w:rsid w:val="00463D33"/>
    <w:rsid w:val="00465486"/>
    <w:rsid w:val="00466AC3"/>
    <w:rsid w:val="004728BE"/>
    <w:rsid w:val="004738D1"/>
    <w:rsid w:val="0047450A"/>
    <w:rsid w:val="004751BE"/>
    <w:rsid w:val="00477419"/>
    <w:rsid w:val="004927F4"/>
    <w:rsid w:val="004928C2"/>
    <w:rsid w:val="004965D0"/>
    <w:rsid w:val="004968A0"/>
    <w:rsid w:val="00496958"/>
    <w:rsid w:val="004A10D9"/>
    <w:rsid w:val="004A1489"/>
    <w:rsid w:val="004A1FB9"/>
    <w:rsid w:val="004A2CA9"/>
    <w:rsid w:val="004A402C"/>
    <w:rsid w:val="004B0AEA"/>
    <w:rsid w:val="004B5A91"/>
    <w:rsid w:val="004B5D3E"/>
    <w:rsid w:val="004B6021"/>
    <w:rsid w:val="004B7158"/>
    <w:rsid w:val="004B76A0"/>
    <w:rsid w:val="004C5F95"/>
    <w:rsid w:val="004D0283"/>
    <w:rsid w:val="004D10FC"/>
    <w:rsid w:val="004D438C"/>
    <w:rsid w:val="004D5AFD"/>
    <w:rsid w:val="004E051C"/>
    <w:rsid w:val="004E6046"/>
    <w:rsid w:val="004E669C"/>
    <w:rsid w:val="004F170B"/>
    <w:rsid w:val="004F2CC7"/>
    <w:rsid w:val="004F2F96"/>
    <w:rsid w:val="004F34A4"/>
    <w:rsid w:val="004F70DB"/>
    <w:rsid w:val="004F7B3B"/>
    <w:rsid w:val="00501E5F"/>
    <w:rsid w:val="00503A0D"/>
    <w:rsid w:val="00503BE5"/>
    <w:rsid w:val="005067B0"/>
    <w:rsid w:val="00507389"/>
    <w:rsid w:val="00510053"/>
    <w:rsid w:val="00511D9C"/>
    <w:rsid w:val="005122D3"/>
    <w:rsid w:val="00512A31"/>
    <w:rsid w:val="00512C3E"/>
    <w:rsid w:val="0051408C"/>
    <w:rsid w:val="00514D80"/>
    <w:rsid w:val="005158CF"/>
    <w:rsid w:val="00516F4B"/>
    <w:rsid w:val="00524167"/>
    <w:rsid w:val="00527AB3"/>
    <w:rsid w:val="00530586"/>
    <w:rsid w:val="00532B8B"/>
    <w:rsid w:val="005345E7"/>
    <w:rsid w:val="005353EE"/>
    <w:rsid w:val="0053554D"/>
    <w:rsid w:val="00536EAA"/>
    <w:rsid w:val="00537439"/>
    <w:rsid w:val="00541504"/>
    <w:rsid w:val="0054272F"/>
    <w:rsid w:val="00544301"/>
    <w:rsid w:val="00544519"/>
    <w:rsid w:val="0055046C"/>
    <w:rsid w:val="00550DEF"/>
    <w:rsid w:val="005515D2"/>
    <w:rsid w:val="00554BC3"/>
    <w:rsid w:val="005602EF"/>
    <w:rsid w:val="005625EA"/>
    <w:rsid w:val="00563162"/>
    <w:rsid w:val="0056340F"/>
    <w:rsid w:val="00565079"/>
    <w:rsid w:val="00566FC5"/>
    <w:rsid w:val="00572300"/>
    <w:rsid w:val="00572EA8"/>
    <w:rsid w:val="00574517"/>
    <w:rsid w:val="00581205"/>
    <w:rsid w:val="005828ED"/>
    <w:rsid w:val="0058585D"/>
    <w:rsid w:val="005858DA"/>
    <w:rsid w:val="00587678"/>
    <w:rsid w:val="005956B3"/>
    <w:rsid w:val="005957B2"/>
    <w:rsid w:val="005977B2"/>
    <w:rsid w:val="005A088E"/>
    <w:rsid w:val="005A1243"/>
    <w:rsid w:val="005A56E9"/>
    <w:rsid w:val="005A66A5"/>
    <w:rsid w:val="005A752C"/>
    <w:rsid w:val="005B187C"/>
    <w:rsid w:val="005B64B8"/>
    <w:rsid w:val="005B65D7"/>
    <w:rsid w:val="005B76F0"/>
    <w:rsid w:val="005C2A2E"/>
    <w:rsid w:val="005C612A"/>
    <w:rsid w:val="005D5666"/>
    <w:rsid w:val="005E4205"/>
    <w:rsid w:val="005F3E69"/>
    <w:rsid w:val="005F4B57"/>
    <w:rsid w:val="005F5B82"/>
    <w:rsid w:val="005F65FB"/>
    <w:rsid w:val="00602227"/>
    <w:rsid w:val="00604A6D"/>
    <w:rsid w:val="006052D9"/>
    <w:rsid w:val="00610452"/>
    <w:rsid w:val="00612540"/>
    <w:rsid w:val="00612B0B"/>
    <w:rsid w:val="00616267"/>
    <w:rsid w:val="006166EE"/>
    <w:rsid w:val="00616DC1"/>
    <w:rsid w:val="00620618"/>
    <w:rsid w:val="00620F02"/>
    <w:rsid w:val="00620F53"/>
    <w:rsid w:val="00622262"/>
    <w:rsid w:val="0062319C"/>
    <w:rsid w:val="006237A9"/>
    <w:rsid w:val="0062630D"/>
    <w:rsid w:val="006278B9"/>
    <w:rsid w:val="006332F5"/>
    <w:rsid w:val="0063338A"/>
    <w:rsid w:val="006354E5"/>
    <w:rsid w:val="006375D1"/>
    <w:rsid w:val="006400F5"/>
    <w:rsid w:val="006406CA"/>
    <w:rsid w:val="00640EDE"/>
    <w:rsid w:val="00646B1E"/>
    <w:rsid w:val="00647E54"/>
    <w:rsid w:val="00650AA9"/>
    <w:rsid w:val="006516E5"/>
    <w:rsid w:val="00653C95"/>
    <w:rsid w:val="0065402E"/>
    <w:rsid w:val="006550AB"/>
    <w:rsid w:val="0065513A"/>
    <w:rsid w:val="006561BA"/>
    <w:rsid w:val="00657793"/>
    <w:rsid w:val="006631F2"/>
    <w:rsid w:val="0066328A"/>
    <w:rsid w:val="00664865"/>
    <w:rsid w:val="0066599B"/>
    <w:rsid w:val="00665FF4"/>
    <w:rsid w:val="00667B76"/>
    <w:rsid w:val="00667CD1"/>
    <w:rsid w:val="00672322"/>
    <w:rsid w:val="006745B2"/>
    <w:rsid w:val="0067485A"/>
    <w:rsid w:val="00675B9A"/>
    <w:rsid w:val="00676359"/>
    <w:rsid w:val="006767CE"/>
    <w:rsid w:val="0067702D"/>
    <w:rsid w:val="00684BC0"/>
    <w:rsid w:val="00685084"/>
    <w:rsid w:val="00686EE0"/>
    <w:rsid w:val="00692C60"/>
    <w:rsid w:val="006940B1"/>
    <w:rsid w:val="006949D6"/>
    <w:rsid w:val="006964D6"/>
    <w:rsid w:val="006A02A8"/>
    <w:rsid w:val="006A2C5C"/>
    <w:rsid w:val="006A3564"/>
    <w:rsid w:val="006A48A7"/>
    <w:rsid w:val="006A58F2"/>
    <w:rsid w:val="006A6054"/>
    <w:rsid w:val="006A63C6"/>
    <w:rsid w:val="006A6BFE"/>
    <w:rsid w:val="006A7370"/>
    <w:rsid w:val="006B11EC"/>
    <w:rsid w:val="006B1AC5"/>
    <w:rsid w:val="006B1C08"/>
    <w:rsid w:val="006B38B2"/>
    <w:rsid w:val="006B3EF1"/>
    <w:rsid w:val="006B520C"/>
    <w:rsid w:val="006C0294"/>
    <w:rsid w:val="006C39B9"/>
    <w:rsid w:val="006C3DC7"/>
    <w:rsid w:val="006C4617"/>
    <w:rsid w:val="006C4756"/>
    <w:rsid w:val="006C4A0A"/>
    <w:rsid w:val="006C6B0B"/>
    <w:rsid w:val="006C6DA0"/>
    <w:rsid w:val="006C7237"/>
    <w:rsid w:val="006D23CE"/>
    <w:rsid w:val="006D4BB3"/>
    <w:rsid w:val="006D6F29"/>
    <w:rsid w:val="006D7B11"/>
    <w:rsid w:val="006E23FC"/>
    <w:rsid w:val="006E4BD4"/>
    <w:rsid w:val="006E4FCE"/>
    <w:rsid w:val="006E5FA4"/>
    <w:rsid w:val="006E73BD"/>
    <w:rsid w:val="006E7CCD"/>
    <w:rsid w:val="006F1568"/>
    <w:rsid w:val="006F4505"/>
    <w:rsid w:val="006F4E82"/>
    <w:rsid w:val="006F5F43"/>
    <w:rsid w:val="007001EA"/>
    <w:rsid w:val="007037DF"/>
    <w:rsid w:val="00704FEC"/>
    <w:rsid w:val="00705001"/>
    <w:rsid w:val="00705F47"/>
    <w:rsid w:val="00707FAC"/>
    <w:rsid w:val="0071069D"/>
    <w:rsid w:val="00711660"/>
    <w:rsid w:val="00711854"/>
    <w:rsid w:val="00712113"/>
    <w:rsid w:val="00720EFB"/>
    <w:rsid w:val="0072133A"/>
    <w:rsid w:val="00722176"/>
    <w:rsid w:val="007250AD"/>
    <w:rsid w:val="00726E0F"/>
    <w:rsid w:val="0072728A"/>
    <w:rsid w:val="007276C0"/>
    <w:rsid w:val="00730E07"/>
    <w:rsid w:val="0073212A"/>
    <w:rsid w:val="00734BC8"/>
    <w:rsid w:val="00736029"/>
    <w:rsid w:val="007366EC"/>
    <w:rsid w:val="00737462"/>
    <w:rsid w:val="00737AF2"/>
    <w:rsid w:val="0074652B"/>
    <w:rsid w:val="007529A1"/>
    <w:rsid w:val="00756005"/>
    <w:rsid w:val="007576FB"/>
    <w:rsid w:val="007627B7"/>
    <w:rsid w:val="00763A8F"/>
    <w:rsid w:val="00766FC9"/>
    <w:rsid w:val="007705ED"/>
    <w:rsid w:val="00774A5A"/>
    <w:rsid w:val="00775338"/>
    <w:rsid w:val="0078607E"/>
    <w:rsid w:val="00786B8C"/>
    <w:rsid w:val="00787025"/>
    <w:rsid w:val="007874D3"/>
    <w:rsid w:val="00787845"/>
    <w:rsid w:val="0079226E"/>
    <w:rsid w:val="0079369E"/>
    <w:rsid w:val="00793F3A"/>
    <w:rsid w:val="007945BF"/>
    <w:rsid w:val="007A1205"/>
    <w:rsid w:val="007A218C"/>
    <w:rsid w:val="007A41ED"/>
    <w:rsid w:val="007A4920"/>
    <w:rsid w:val="007A7FC0"/>
    <w:rsid w:val="007B41EE"/>
    <w:rsid w:val="007B4380"/>
    <w:rsid w:val="007C1030"/>
    <w:rsid w:val="007C28DD"/>
    <w:rsid w:val="007C6262"/>
    <w:rsid w:val="007C6CE2"/>
    <w:rsid w:val="007D1A34"/>
    <w:rsid w:val="007D1FAB"/>
    <w:rsid w:val="007D44A8"/>
    <w:rsid w:val="007D7F50"/>
    <w:rsid w:val="007E1A3D"/>
    <w:rsid w:val="007E2C1D"/>
    <w:rsid w:val="007E3163"/>
    <w:rsid w:val="007E3660"/>
    <w:rsid w:val="007E4688"/>
    <w:rsid w:val="007E5744"/>
    <w:rsid w:val="007E76F5"/>
    <w:rsid w:val="007E7891"/>
    <w:rsid w:val="007F35A8"/>
    <w:rsid w:val="007F61FB"/>
    <w:rsid w:val="007F71C0"/>
    <w:rsid w:val="007F7C17"/>
    <w:rsid w:val="00800F0A"/>
    <w:rsid w:val="008026F8"/>
    <w:rsid w:val="008039B9"/>
    <w:rsid w:val="00803C2A"/>
    <w:rsid w:val="008044A8"/>
    <w:rsid w:val="0080618A"/>
    <w:rsid w:val="00806AAD"/>
    <w:rsid w:val="00806AE7"/>
    <w:rsid w:val="0081186F"/>
    <w:rsid w:val="00811C6C"/>
    <w:rsid w:val="0081260C"/>
    <w:rsid w:val="008126C9"/>
    <w:rsid w:val="00813FBB"/>
    <w:rsid w:val="00814A54"/>
    <w:rsid w:val="00815A06"/>
    <w:rsid w:val="00815C47"/>
    <w:rsid w:val="008179DE"/>
    <w:rsid w:val="00817B2A"/>
    <w:rsid w:val="00822452"/>
    <w:rsid w:val="008250D9"/>
    <w:rsid w:val="0082623B"/>
    <w:rsid w:val="0082638C"/>
    <w:rsid w:val="00826A9D"/>
    <w:rsid w:val="008271DF"/>
    <w:rsid w:val="008314C7"/>
    <w:rsid w:val="00833174"/>
    <w:rsid w:val="00836B96"/>
    <w:rsid w:val="00836CDC"/>
    <w:rsid w:val="008400A5"/>
    <w:rsid w:val="008411A9"/>
    <w:rsid w:val="00844201"/>
    <w:rsid w:val="0085227A"/>
    <w:rsid w:val="0085284F"/>
    <w:rsid w:val="008639AF"/>
    <w:rsid w:val="00863B8D"/>
    <w:rsid w:val="00864F28"/>
    <w:rsid w:val="00866074"/>
    <w:rsid w:val="008707F5"/>
    <w:rsid w:val="008721A9"/>
    <w:rsid w:val="00874D5E"/>
    <w:rsid w:val="00877030"/>
    <w:rsid w:val="008779EF"/>
    <w:rsid w:val="008825AF"/>
    <w:rsid w:val="008837AE"/>
    <w:rsid w:val="008A492E"/>
    <w:rsid w:val="008A59E2"/>
    <w:rsid w:val="008A5C04"/>
    <w:rsid w:val="008A607D"/>
    <w:rsid w:val="008A7087"/>
    <w:rsid w:val="008A75B7"/>
    <w:rsid w:val="008B230E"/>
    <w:rsid w:val="008B2E08"/>
    <w:rsid w:val="008B37F7"/>
    <w:rsid w:val="008B3E27"/>
    <w:rsid w:val="008B6DE7"/>
    <w:rsid w:val="008C0BD1"/>
    <w:rsid w:val="008C1CEC"/>
    <w:rsid w:val="008C2F87"/>
    <w:rsid w:val="008D03F4"/>
    <w:rsid w:val="008D0F42"/>
    <w:rsid w:val="008D1F19"/>
    <w:rsid w:val="008D2476"/>
    <w:rsid w:val="008D25C5"/>
    <w:rsid w:val="008D4F4E"/>
    <w:rsid w:val="008D5961"/>
    <w:rsid w:val="008D6562"/>
    <w:rsid w:val="008D7AAD"/>
    <w:rsid w:val="008E0676"/>
    <w:rsid w:val="008E1704"/>
    <w:rsid w:val="008E3EFF"/>
    <w:rsid w:val="008E41F8"/>
    <w:rsid w:val="008F0D88"/>
    <w:rsid w:val="008F1A8D"/>
    <w:rsid w:val="008F236A"/>
    <w:rsid w:val="008F2673"/>
    <w:rsid w:val="008F67D5"/>
    <w:rsid w:val="008F731A"/>
    <w:rsid w:val="00900ACA"/>
    <w:rsid w:val="00901B2B"/>
    <w:rsid w:val="00901C35"/>
    <w:rsid w:val="00903ACD"/>
    <w:rsid w:val="00906035"/>
    <w:rsid w:val="009107D2"/>
    <w:rsid w:val="00913E27"/>
    <w:rsid w:val="00916BA8"/>
    <w:rsid w:val="00916DD6"/>
    <w:rsid w:val="0092073F"/>
    <w:rsid w:val="00922A93"/>
    <w:rsid w:val="00922C27"/>
    <w:rsid w:val="00926297"/>
    <w:rsid w:val="009274FB"/>
    <w:rsid w:val="00930A8C"/>
    <w:rsid w:val="00932BCC"/>
    <w:rsid w:val="00933D60"/>
    <w:rsid w:val="0093740D"/>
    <w:rsid w:val="00940124"/>
    <w:rsid w:val="00944A7F"/>
    <w:rsid w:val="00946B9A"/>
    <w:rsid w:val="00946FB2"/>
    <w:rsid w:val="009516E8"/>
    <w:rsid w:val="00951D7D"/>
    <w:rsid w:val="00952334"/>
    <w:rsid w:val="00954497"/>
    <w:rsid w:val="00954C20"/>
    <w:rsid w:val="0095502A"/>
    <w:rsid w:val="0095567E"/>
    <w:rsid w:val="00955A59"/>
    <w:rsid w:val="009639E4"/>
    <w:rsid w:val="00965EB8"/>
    <w:rsid w:val="00970043"/>
    <w:rsid w:val="00977CD0"/>
    <w:rsid w:val="00980374"/>
    <w:rsid w:val="0098332F"/>
    <w:rsid w:val="009837A3"/>
    <w:rsid w:val="00984E81"/>
    <w:rsid w:val="00985CFC"/>
    <w:rsid w:val="00990F41"/>
    <w:rsid w:val="0099102C"/>
    <w:rsid w:val="00991E38"/>
    <w:rsid w:val="009942D8"/>
    <w:rsid w:val="009953A4"/>
    <w:rsid w:val="00995D64"/>
    <w:rsid w:val="00996EB7"/>
    <w:rsid w:val="009A0CA3"/>
    <w:rsid w:val="009A10DB"/>
    <w:rsid w:val="009A2BED"/>
    <w:rsid w:val="009B4DA3"/>
    <w:rsid w:val="009B72F4"/>
    <w:rsid w:val="009C219C"/>
    <w:rsid w:val="009C2BF4"/>
    <w:rsid w:val="009C2E64"/>
    <w:rsid w:val="009C488E"/>
    <w:rsid w:val="009D44BC"/>
    <w:rsid w:val="009D5078"/>
    <w:rsid w:val="009E00D6"/>
    <w:rsid w:val="009E0749"/>
    <w:rsid w:val="009E1374"/>
    <w:rsid w:val="009E3CE4"/>
    <w:rsid w:val="009E4440"/>
    <w:rsid w:val="009E722A"/>
    <w:rsid w:val="009F1057"/>
    <w:rsid w:val="009F11B1"/>
    <w:rsid w:val="009F420F"/>
    <w:rsid w:val="009F52E0"/>
    <w:rsid w:val="00A030D1"/>
    <w:rsid w:val="00A03937"/>
    <w:rsid w:val="00A04298"/>
    <w:rsid w:val="00A108B6"/>
    <w:rsid w:val="00A1333B"/>
    <w:rsid w:val="00A159D7"/>
    <w:rsid w:val="00A1607B"/>
    <w:rsid w:val="00A161D0"/>
    <w:rsid w:val="00A2419E"/>
    <w:rsid w:val="00A26D0B"/>
    <w:rsid w:val="00A30D50"/>
    <w:rsid w:val="00A318CC"/>
    <w:rsid w:val="00A32A6C"/>
    <w:rsid w:val="00A331D9"/>
    <w:rsid w:val="00A343B0"/>
    <w:rsid w:val="00A378CE"/>
    <w:rsid w:val="00A40EE9"/>
    <w:rsid w:val="00A43BF5"/>
    <w:rsid w:val="00A43CDE"/>
    <w:rsid w:val="00A44D35"/>
    <w:rsid w:val="00A45208"/>
    <w:rsid w:val="00A467EF"/>
    <w:rsid w:val="00A512C0"/>
    <w:rsid w:val="00A53B1A"/>
    <w:rsid w:val="00A53F52"/>
    <w:rsid w:val="00A550BF"/>
    <w:rsid w:val="00A622FB"/>
    <w:rsid w:val="00A64F3E"/>
    <w:rsid w:val="00A65369"/>
    <w:rsid w:val="00A66B2F"/>
    <w:rsid w:val="00A676E3"/>
    <w:rsid w:val="00A67DF3"/>
    <w:rsid w:val="00A722E7"/>
    <w:rsid w:val="00A73208"/>
    <w:rsid w:val="00A82E4B"/>
    <w:rsid w:val="00A84086"/>
    <w:rsid w:val="00A841D9"/>
    <w:rsid w:val="00A84ADE"/>
    <w:rsid w:val="00A851B1"/>
    <w:rsid w:val="00A85B68"/>
    <w:rsid w:val="00A85EB1"/>
    <w:rsid w:val="00A8766C"/>
    <w:rsid w:val="00A87BAF"/>
    <w:rsid w:val="00A917C3"/>
    <w:rsid w:val="00A93315"/>
    <w:rsid w:val="00A97988"/>
    <w:rsid w:val="00AA30C4"/>
    <w:rsid w:val="00AA3146"/>
    <w:rsid w:val="00AA4BDD"/>
    <w:rsid w:val="00AA733D"/>
    <w:rsid w:val="00AB08A8"/>
    <w:rsid w:val="00AB56A7"/>
    <w:rsid w:val="00AB647C"/>
    <w:rsid w:val="00AC3693"/>
    <w:rsid w:val="00AC5B19"/>
    <w:rsid w:val="00AC76A9"/>
    <w:rsid w:val="00AD11F8"/>
    <w:rsid w:val="00AD18E1"/>
    <w:rsid w:val="00AD3513"/>
    <w:rsid w:val="00AD4F61"/>
    <w:rsid w:val="00AE5594"/>
    <w:rsid w:val="00AE6C00"/>
    <w:rsid w:val="00AE6EA5"/>
    <w:rsid w:val="00AF23D0"/>
    <w:rsid w:val="00AF24E5"/>
    <w:rsid w:val="00AF2A3F"/>
    <w:rsid w:val="00AF4C9A"/>
    <w:rsid w:val="00AF5894"/>
    <w:rsid w:val="00AF7A85"/>
    <w:rsid w:val="00B00308"/>
    <w:rsid w:val="00B00D95"/>
    <w:rsid w:val="00B01588"/>
    <w:rsid w:val="00B04226"/>
    <w:rsid w:val="00B045A8"/>
    <w:rsid w:val="00B106FC"/>
    <w:rsid w:val="00B10AE5"/>
    <w:rsid w:val="00B10CBC"/>
    <w:rsid w:val="00B11938"/>
    <w:rsid w:val="00B14138"/>
    <w:rsid w:val="00B1419B"/>
    <w:rsid w:val="00B142DD"/>
    <w:rsid w:val="00B172BC"/>
    <w:rsid w:val="00B2029E"/>
    <w:rsid w:val="00B20F4E"/>
    <w:rsid w:val="00B21294"/>
    <w:rsid w:val="00B30C68"/>
    <w:rsid w:val="00B3395A"/>
    <w:rsid w:val="00B33FCF"/>
    <w:rsid w:val="00B348D0"/>
    <w:rsid w:val="00B363E2"/>
    <w:rsid w:val="00B4187B"/>
    <w:rsid w:val="00B44B24"/>
    <w:rsid w:val="00B52E41"/>
    <w:rsid w:val="00B55803"/>
    <w:rsid w:val="00B572BA"/>
    <w:rsid w:val="00B601A5"/>
    <w:rsid w:val="00B61FE2"/>
    <w:rsid w:val="00B624DE"/>
    <w:rsid w:val="00B63ADD"/>
    <w:rsid w:val="00B64C18"/>
    <w:rsid w:val="00B66016"/>
    <w:rsid w:val="00B707D8"/>
    <w:rsid w:val="00B718E0"/>
    <w:rsid w:val="00B731CE"/>
    <w:rsid w:val="00B75244"/>
    <w:rsid w:val="00B76DC0"/>
    <w:rsid w:val="00B840C7"/>
    <w:rsid w:val="00B851A4"/>
    <w:rsid w:val="00B85278"/>
    <w:rsid w:val="00B94D6B"/>
    <w:rsid w:val="00B96216"/>
    <w:rsid w:val="00B977E2"/>
    <w:rsid w:val="00B97A30"/>
    <w:rsid w:val="00BA1867"/>
    <w:rsid w:val="00BA30DC"/>
    <w:rsid w:val="00BB1374"/>
    <w:rsid w:val="00BB3A9F"/>
    <w:rsid w:val="00BB4316"/>
    <w:rsid w:val="00BC0D20"/>
    <w:rsid w:val="00BC3601"/>
    <w:rsid w:val="00BC54DC"/>
    <w:rsid w:val="00BC65FD"/>
    <w:rsid w:val="00BC7930"/>
    <w:rsid w:val="00BD0117"/>
    <w:rsid w:val="00BD147A"/>
    <w:rsid w:val="00BD46A1"/>
    <w:rsid w:val="00BD6759"/>
    <w:rsid w:val="00BD759A"/>
    <w:rsid w:val="00BD7840"/>
    <w:rsid w:val="00BE0827"/>
    <w:rsid w:val="00BE1E2F"/>
    <w:rsid w:val="00BE3135"/>
    <w:rsid w:val="00BE4256"/>
    <w:rsid w:val="00BE6C7B"/>
    <w:rsid w:val="00BE6C83"/>
    <w:rsid w:val="00BF1B0F"/>
    <w:rsid w:val="00BF461A"/>
    <w:rsid w:val="00BF57EB"/>
    <w:rsid w:val="00C01935"/>
    <w:rsid w:val="00C03108"/>
    <w:rsid w:val="00C049B7"/>
    <w:rsid w:val="00C10A62"/>
    <w:rsid w:val="00C115FF"/>
    <w:rsid w:val="00C128E1"/>
    <w:rsid w:val="00C14FD7"/>
    <w:rsid w:val="00C174CA"/>
    <w:rsid w:val="00C23D91"/>
    <w:rsid w:val="00C2474F"/>
    <w:rsid w:val="00C24AD0"/>
    <w:rsid w:val="00C26D2D"/>
    <w:rsid w:val="00C27A5C"/>
    <w:rsid w:val="00C31F8B"/>
    <w:rsid w:val="00C32235"/>
    <w:rsid w:val="00C34A22"/>
    <w:rsid w:val="00C35B64"/>
    <w:rsid w:val="00C37D70"/>
    <w:rsid w:val="00C41DFA"/>
    <w:rsid w:val="00C42ED5"/>
    <w:rsid w:val="00C437D4"/>
    <w:rsid w:val="00C4630C"/>
    <w:rsid w:val="00C46B7E"/>
    <w:rsid w:val="00C46FDA"/>
    <w:rsid w:val="00C52544"/>
    <w:rsid w:val="00C53B32"/>
    <w:rsid w:val="00C56881"/>
    <w:rsid w:val="00C56EC5"/>
    <w:rsid w:val="00C575D0"/>
    <w:rsid w:val="00C606E3"/>
    <w:rsid w:val="00C613F0"/>
    <w:rsid w:val="00C63328"/>
    <w:rsid w:val="00C639B6"/>
    <w:rsid w:val="00C64BB9"/>
    <w:rsid w:val="00C65E3E"/>
    <w:rsid w:val="00C70469"/>
    <w:rsid w:val="00C7054B"/>
    <w:rsid w:val="00C70801"/>
    <w:rsid w:val="00C70CF0"/>
    <w:rsid w:val="00C70FA5"/>
    <w:rsid w:val="00C74615"/>
    <w:rsid w:val="00C74D23"/>
    <w:rsid w:val="00C76F83"/>
    <w:rsid w:val="00C77FD8"/>
    <w:rsid w:val="00C80522"/>
    <w:rsid w:val="00C905E4"/>
    <w:rsid w:val="00C93F16"/>
    <w:rsid w:val="00C94A1F"/>
    <w:rsid w:val="00C953DD"/>
    <w:rsid w:val="00C95B37"/>
    <w:rsid w:val="00CA2178"/>
    <w:rsid w:val="00CA31E5"/>
    <w:rsid w:val="00CA345F"/>
    <w:rsid w:val="00CB05CA"/>
    <w:rsid w:val="00CB37DB"/>
    <w:rsid w:val="00CB5AEB"/>
    <w:rsid w:val="00CB6B52"/>
    <w:rsid w:val="00CC16D5"/>
    <w:rsid w:val="00CC5525"/>
    <w:rsid w:val="00CC5922"/>
    <w:rsid w:val="00CC734E"/>
    <w:rsid w:val="00CD22CC"/>
    <w:rsid w:val="00CD46B0"/>
    <w:rsid w:val="00CD5A2C"/>
    <w:rsid w:val="00CD6F14"/>
    <w:rsid w:val="00CD7E49"/>
    <w:rsid w:val="00CE12EF"/>
    <w:rsid w:val="00CE1FAD"/>
    <w:rsid w:val="00CE2979"/>
    <w:rsid w:val="00CE4D3D"/>
    <w:rsid w:val="00CE5C18"/>
    <w:rsid w:val="00CF06C9"/>
    <w:rsid w:val="00CF21DE"/>
    <w:rsid w:val="00CF2FC0"/>
    <w:rsid w:val="00CF3A4F"/>
    <w:rsid w:val="00CF3B2E"/>
    <w:rsid w:val="00CF3DDC"/>
    <w:rsid w:val="00CF4788"/>
    <w:rsid w:val="00CF4E9E"/>
    <w:rsid w:val="00D0431F"/>
    <w:rsid w:val="00D04F5C"/>
    <w:rsid w:val="00D06897"/>
    <w:rsid w:val="00D07ACA"/>
    <w:rsid w:val="00D07D87"/>
    <w:rsid w:val="00D110CA"/>
    <w:rsid w:val="00D134F1"/>
    <w:rsid w:val="00D2105D"/>
    <w:rsid w:val="00D211AE"/>
    <w:rsid w:val="00D24687"/>
    <w:rsid w:val="00D25AF6"/>
    <w:rsid w:val="00D26CA4"/>
    <w:rsid w:val="00D279E8"/>
    <w:rsid w:val="00D31BE9"/>
    <w:rsid w:val="00D36FFC"/>
    <w:rsid w:val="00D3783A"/>
    <w:rsid w:val="00D4235C"/>
    <w:rsid w:val="00D439AD"/>
    <w:rsid w:val="00D444B3"/>
    <w:rsid w:val="00D44F02"/>
    <w:rsid w:val="00D467D9"/>
    <w:rsid w:val="00D51726"/>
    <w:rsid w:val="00D54293"/>
    <w:rsid w:val="00D54EB5"/>
    <w:rsid w:val="00D603F5"/>
    <w:rsid w:val="00D60D14"/>
    <w:rsid w:val="00D62DF9"/>
    <w:rsid w:val="00D64CCC"/>
    <w:rsid w:val="00D7240A"/>
    <w:rsid w:val="00D732D9"/>
    <w:rsid w:val="00D75C89"/>
    <w:rsid w:val="00D75DC0"/>
    <w:rsid w:val="00D77C86"/>
    <w:rsid w:val="00D8049D"/>
    <w:rsid w:val="00D84094"/>
    <w:rsid w:val="00D879BC"/>
    <w:rsid w:val="00D90695"/>
    <w:rsid w:val="00D960E6"/>
    <w:rsid w:val="00D963CB"/>
    <w:rsid w:val="00D975F4"/>
    <w:rsid w:val="00DA0982"/>
    <w:rsid w:val="00DA1E35"/>
    <w:rsid w:val="00DA5162"/>
    <w:rsid w:val="00DA5C23"/>
    <w:rsid w:val="00DA6B1F"/>
    <w:rsid w:val="00DB0F73"/>
    <w:rsid w:val="00DB367E"/>
    <w:rsid w:val="00DB5434"/>
    <w:rsid w:val="00DB75EC"/>
    <w:rsid w:val="00DC00FF"/>
    <w:rsid w:val="00DC369A"/>
    <w:rsid w:val="00DC5A04"/>
    <w:rsid w:val="00DC5CEB"/>
    <w:rsid w:val="00DC789B"/>
    <w:rsid w:val="00DD08A3"/>
    <w:rsid w:val="00DD364A"/>
    <w:rsid w:val="00DD50B8"/>
    <w:rsid w:val="00DD58D9"/>
    <w:rsid w:val="00DD77A8"/>
    <w:rsid w:val="00DE3A63"/>
    <w:rsid w:val="00DE47FD"/>
    <w:rsid w:val="00DE574A"/>
    <w:rsid w:val="00DE772A"/>
    <w:rsid w:val="00DF4AB1"/>
    <w:rsid w:val="00DF5665"/>
    <w:rsid w:val="00DF6B4A"/>
    <w:rsid w:val="00E004B9"/>
    <w:rsid w:val="00E053CC"/>
    <w:rsid w:val="00E05E23"/>
    <w:rsid w:val="00E0627E"/>
    <w:rsid w:val="00E07586"/>
    <w:rsid w:val="00E10261"/>
    <w:rsid w:val="00E10F8E"/>
    <w:rsid w:val="00E115E5"/>
    <w:rsid w:val="00E142DC"/>
    <w:rsid w:val="00E15DD5"/>
    <w:rsid w:val="00E1609E"/>
    <w:rsid w:val="00E24695"/>
    <w:rsid w:val="00E26090"/>
    <w:rsid w:val="00E26103"/>
    <w:rsid w:val="00E30D14"/>
    <w:rsid w:val="00E3100A"/>
    <w:rsid w:val="00E32400"/>
    <w:rsid w:val="00E34285"/>
    <w:rsid w:val="00E35067"/>
    <w:rsid w:val="00E37167"/>
    <w:rsid w:val="00E376F7"/>
    <w:rsid w:val="00E40219"/>
    <w:rsid w:val="00E41714"/>
    <w:rsid w:val="00E47C3D"/>
    <w:rsid w:val="00E5192A"/>
    <w:rsid w:val="00E54AB4"/>
    <w:rsid w:val="00E57F60"/>
    <w:rsid w:val="00E61D2A"/>
    <w:rsid w:val="00E62B9C"/>
    <w:rsid w:val="00E70996"/>
    <w:rsid w:val="00E722AE"/>
    <w:rsid w:val="00E73C3B"/>
    <w:rsid w:val="00E75623"/>
    <w:rsid w:val="00E8076F"/>
    <w:rsid w:val="00E8077B"/>
    <w:rsid w:val="00E858BE"/>
    <w:rsid w:val="00E86732"/>
    <w:rsid w:val="00E8688F"/>
    <w:rsid w:val="00EA1D04"/>
    <w:rsid w:val="00EA1DDD"/>
    <w:rsid w:val="00EA2430"/>
    <w:rsid w:val="00EA3915"/>
    <w:rsid w:val="00EA4154"/>
    <w:rsid w:val="00EA5EF3"/>
    <w:rsid w:val="00EB5E95"/>
    <w:rsid w:val="00EB605A"/>
    <w:rsid w:val="00EB7973"/>
    <w:rsid w:val="00EC22C8"/>
    <w:rsid w:val="00EC2552"/>
    <w:rsid w:val="00EC2841"/>
    <w:rsid w:val="00EC3B31"/>
    <w:rsid w:val="00EC4624"/>
    <w:rsid w:val="00EC7D41"/>
    <w:rsid w:val="00ED1B4E"/>
    <w:rsid w:val="00ED2A15"/>
    <w:rsid w:val="00ED32E2"/>
    <w:rsid w:val="00ED4DBC"/>
    <w:rsid w:val="00ED6AD2"/>
    <w:rsid w:val="00ED7E2E"/>
    <w:rsid w:val="00EE037D"/>
    <w:rsid w:val="00EE19F1"/>
    <w:rsid w:val="00EE24CF"/>
    <w:rsid w:val="00EE2579"/>
    <w:rsid w:val="00EE6429"/>
    <w:rsid w:val="00EE7053"/>
    <w:rsid w:val="00EF0139"/>
    <w:rsid w:val="00EF3D91"/>
    <w:rsid w:val="00EF3F78"/>
    <w:rsid w:val="00EF6228"/>
    <w:rsid w:val="00EF7AC8"/>
    <w:rsid w:val="00F00336"/>
    <w:rsid w:val="00F048DC"/>
    <w:rsid w:val="00F064BC"/>
    <w:rsid w:val="00F071B9"/>
    <w:rsid w:val="00F0754E"/>
    <w:rsid w:val="00F12418"/>
    <w:rsid w:val="00F14FB2"/>
    <w:rsid w:val="00F24B70"/>
    <w:rsid w:val="00F2660D"/>
    <w:rsid w:val="00F30344"/>
    <w:rsid w:val="00F32076"/>
    <w:rsid w:val="00F32378"/>
    <w:rsid w:val="00F36687"/>
    <w:rsid w:val="00F36A2F"/>
    <w:rsid w:val="00F41507"/>
    <w:rsid w:val="00F46C90"/>
    <w:rsid w:val="00F476D0"/>
    <w:rsid w:val="00F52A87"/>
    <w:rsid w:val="00F55E0A"/>
    <w:rsid w:val="00F57A2C"/>
    <w:rsid w:val="00F57D3E"/>
    <w:rsid w:val="00F6012D"/>
    <w:rsid w:val="00F67F04"/>
    <w:rsid w:val="00F7051B"/>
    <w:rsid w:val="00F71206"/>
    <w:rsid w:val="00F7178F"/>
    <w:rsid w:val="00F71BE7"/>
    <w:rsid w:val="00F7462A"/>
    <w:rsid w:val="00F754E8"/>
    <w:rsid w:val="00F7683E"/>
    <w:rsid w:val="00F84154"/>
    <w:rsid w:val="00F85BC6"/>
    <w:rsid w:val="00F931E2"/>
    <w:rsid w:val="00F95643"/>
    <w:rsid w:val="00F9777D"/>
    <w:rsid w:val="00FA081C"/>
    <w:rsid w:val="00FA17E1"/>
    <w:rsid w:val="00FA3262"/>
    <w:rsid w:val="00FA3B15"/>
    <w:rsid w:val="00FA5068"/>
    <w:rsid w:val="00FB00B3"/>
    <w:rsid w:val="00FB0DD9"/>
    <w:rsid w:val="00FB0FCD"/>
    <w:rsid w:val="00FB2AD6"/>
    <w:rsid w:val="00FB390A"/>
    <w:rsid w:val="00FB59F7"/>
    <w:rsid w:val="00FC1B21"/>
    <w:rsid w:val="00FD0C03"/>
    <w:rsid w:val="00FD68D6"/>
    <w:rsid w:val="00FD6D3B"/>
    <w:rsid w:val="00FD7674"/>
    <w:rsid w:val="00FE373D"/>
    <w:rsid w:val="00FE6028"/>
    <w:rsid w:val="00FE6897"/>
    <w:rsid w:val="00FF054D"/>
    <w:rsid w:val="00FF1ECE"/>
    <w:rsid w:val="00FF5196"/>
    <w:rsid w:val="01106134"/>
    <w:rsid w:val="01113887"/>
    <w:rsid w:val="01815371"/>
    <w:rsid w:val="01A32EE1"/>
    <w:rsid w:val="02CC0286"/>
    <w:rsid w:val="02CC7C36"/>
    <w:rsid w:val="02E7397E"/>
    <w:rsid w:val="02F648F7"/>
    <w:rsid w:val="033F555E"/>
    <w:rsid w:val="036F4380"/>
    <w:rsid w:val="037D571B"/>
    <w:rsid w:val="03903EDC"/>
    <w:rsid w:val="03AE6866"/>
    <w:rsid w:val="03E77CC4"/>
    <w:rsid w:val="042C1D21"/>
    <w:rsid w:val="04883B4D"/>
    <w:rsid w:val="051E0912"/>
    <w:rsid w:val="05335B13"/>
    <w:rsid w:val="0582268A"/>
    <w:rsid w:val="05A476BE"/>
    <w:rsid w:val="06184D91"/>
    <w:rsid w:val="06726E5D"/>
    <w:rsid w:val="06B9371C"/>
    <w:rsid w:val="078A3274"/>
    <w:rsid w:val="07972940"/>
    <w:rsid w:val="07B12193"/>
    <w:rsid w:val="07FD0529"/>
    <w:rsid w:val="08B732BE"/>
    <w:rsid w:val="090455E8"/>
    <w:rsid w:val="09500D96"/>
    <w:rsid w:val="09823246"/>
    <w:rsid w:val="09890D03"/>
    <w:rsid w:val="09950D67"/>
    <w:rsid w:val="0A0A511E"/>
    <w:rsid w:val="0A4B5B40"/>
    <w:rsid w:val="0AC0422D"/>
    <w:rsid w:val="0AE30145"/>
    <w:rsid w:val="0B6B6039"/>
    <w:rsid w:val="0BC55AF4"/>
    <w:rsid w:val="0C017411"/>
    <w:rsid w:val="0C200F9B"/>
    <w:rsid w:val="0C53442A"/>
    <w:rsid w:val="0CE51CA1"/>
    <w:rsid w:val="0D3A7AF5"/>
    <w:rsid w:val="0D4A5EC1"/>
    <w:rsid w:val="0D6B2F26"/>
    <w:rsid w:val="0D767117"/>
    <w:rsid w:val="0DBF6F08"/>
    <w:rsid w:val="0E0B445B"/>
    <w:rsid w:val="0E7B0020"/>
    <w:rsid w:val="0EE76DB1"/>
    <w:rsid w:val="0F094F01"/>
    <w:rsid w:val="0F271E91"/>
    <w:rsid w:val="101E1A48"/>
    <w:rsid w:val="1063131E"/>
    <w:rsid w:val="107B1F8D"/>
    <w:rsid w:val="109B6143"/>
    <w:rsid w:val="10B27F7D"/>
    <w:rsid w:val="11062F46"/>
    <w:rsid w:val="11183182"/>
    <w:rsid w:val="11344C55"/>
    <w:rsid w:val="113963C1"/>
    <w:rsid w:val="117B5716"/>
    <w:rsid w:val="11822006"/>
    <w:rsid w:val="11C35819"/>
    <w:rsid w:val="11CC23DA"/>
    <w:rsid w:val="11FC6676"/>
    <w:rsid w:val="13041294"/>
    <w:rsid w:val="1324691C"/>
    <w:rsid w:val="13AF4AC8"/>
    <w:rsid w:val="13F34ACE"/>
    <w:rsid w:val="13FE089B"/>
    <w:rsid w:val="14183B51"/>
    <w:rsid w:val="14741F82"/>
    <w:rsid w:val="14C316C0"/>
    <w:rsid w:val="14E7711E"/>
    <w:rsid w:val="1528669F"/>
    <w:rsid w:val="15881E4F"/>
    <w:rsid w:val="158C22E5"/>
    <w:rsid w:val="15BB3E72"/>
    <w:rsid w:val="15CC580D"/>
    <w:rsid w:val="164C3CEE"/>
    <w:rsid w:val="16C8615D"/>
    <w:rsid w:val="16C90205"/>
    <w:rsid w:val="16D31D19"/>
    <w:rsid w:val="17432FF1"/>
    <w:rsid w:val="17542066"/>
    <w:rsid w:val="17A7338F"/>
    <w:rsid w:val="17AF0F58"/>
    <w:rsid w:val="17B2781B"/>
    <w:rsid w:val="17FB16F2"/>
    <w:rsid w:val="17FE1BE4"/>
    <w:rsid w:val="186D64AB"/>
    <w:rsid w:val="18B20B16"/>
    <w:rsid w:val="18DD0C37"/>
    <w:rsid w:val="19E472DF"/>
    <w:rsid w:val="19FB2F01"/>
    <w:rsid w:val="1B505BC7"/>
    <w:rsid w:val="1B9803CE"/>
    <w:rsid w:val="1C302C53"/>
    <w:rsid w:val="1C4E6F52"/>
    <w:rsid w:val="1C5A3E63"/>
    <w:rsid w:val="1CF274A1"/>
    <w:rsid w:val="1D310380"/>
    <w:rsid w:val="1DF24321"/>
    <w:rsid w:val="1E0E5411"/>
    <w:rsid w:val="1E7B0933"/>
    <w:rsid w:val="1EAB253E"/>
    <w:rsid w:val="1F7E265A"/>
    <w:rsid w:val="1F9D6DB0"/>
    <w:rsid w:val="1FA279FC"/>
    <w:rsid w:val="200B53BD"/>
    <w:rsid w:val="203E6C63"/>
    <w:rsid w:val="204F4CE6"/>
    <w:rsid w:val="20A3724D"/>
    <w:rsid w:val="20AA06CC"/>
    <w:rsid w:val="20D023B2"/>
    <w:rsid w:val="20D46F2B"/>
    <w:rsid w:val="21436DF2"/>
    <w:rsid w:val="215265FB"/>
    <w:rsid w:val="21A909DF"/>
    <w:rsid w:val="22620B1A"/>
    <w:rsid w:val="226A57B8"/>
    <w:rsid w:val="229E4D2B"/>
    <w:rsid w:val="22B452E7"/>
    <w:rsid w:val="22DF6447"/>
    <w:rsid w:val="233732E7"/>
    <w:rsid w:val="23831EA1"/>
    <w:rsid w:val="23DD2B94"/>
    <w:rsid w:val="2426552C"/>
    <w:rsid w:val="24333740"/>
    <w:rsid w:val="24960CF1"/>
    <w:rsid w:val="24A718BD"/>
    <w:rsid w:val="24AB4C4C"/>
    <w:rsid w:val="2516106F"/>
    <w:rsid w:val="254029EC"/>
    <w:rsid w:val="25445655"/>
    <w:rsid w:val="256E4219"/>
    <w:rsid w:val="25805181"/>
    <w:rsid w:val="25DE7BE8"/>
    <w:rsid w:val="25E8502A"/>
    <w:rsid w:val="26B80F25"/>
    <w:rsid w:val="2714186D"/>
    <w:rsid w:val="27A12DBA"/>
    <w:rsid w:val="28AD7B6A"/>
    <w:rsid w:val="28D144E3"/>
    <w:rsid w:val="291F5CEE"/>
    <w:rsid w:val="29286663"/>
    <w:rsid w:val="29BC34FD"/>
    <w:rsid w:val="2A2917C3"/>
    <w:rsid w:val="2A7F3BE3"/>
    <w:rsid w:val="2B6F3D65"/>
    <w:rsid w:val="2B883587"/>
    <w:rsid w:val="2B994E9D"/>
    <w:rsid w:val="2C225973"/>
    <w:rsid w:val="2C303448"/>
    <w:rsid w:val="2C655690"/>
    <w:rsid w:val="2CA324F1"/>
    <w:rsid w:val="2CC50F8D"/>
    <w:rsid w:val="2CEC427A"/>
    <w:rsid w:val="2D3856DC"/>
    <w:rsid w:val="2D595506"/>
    <w:rsid w:val="2E551C75"/>
    <w:rsid w:val="2E8542D6"/>
    <w:rsid w:val="2EC504F9"/>
    <w:rsid w:val="2EDF5219"/>
    <w:rsid w:val="2FC84322"/>
    <w:rsid w:val="2FF05C84"/>
    <w:rsid w:val="30717D8C"/>
    <w:rsid w:val="30E06041"/>
    <w:rsid w:val="314E63C6"/>
    <w:rsid w:val="31957F08"/>
    <w:rsid w:val="31A77BC5"/>
    <w:rsid w:val="320335ED"/>
    <w:rsid w:val="32281B2C"/>
    <w:rsid w:val="323D1E85"/>
    <w:rsid w:val="32620236"/>
    <w:rsid w:val="326E0133"/>
    <w:rsid w:val="32745A66"/>
    <w:rsid w:val="32915BD5"/>
    <w:rsid w:val="32C438A6"/>
    <w:rsid w:val="32CA1D0A"/>
    <w:rsid w:val="333B5E40"/>
    <w:rsid w:val="3358455D"/>
    <w:rsid w:val="3371304E"/>
    <w:rsid w:val="33C628C7"/>
    <w:rsid w:val="34140E66"/>
    <w:rsid w:val="345D03FA"/>
    <w:rsid w:val="347B2445"/>
    <w:rsid w:val="35036FEC"/>
    <w:rsid w:val="354F1221"/>
    <w:rsid w:val="3555309B"/>
    <w:rsid w:val="355902F2"/>
    <w:rsid w:val="355B0290"/>
    <w:rsid w:val="35712531"/>
    <w:rsid w:val="357946BD"/>
    <w:rsid w:val="35831336"/>
    <w:rsid w:val="35DA1EC7"/>
    <w:rsid w:val="360464C0"/>
    <w:rsid w:val="361240AE"/>
    <w:rsid w:val="36295795"/>
    <w:rsid w:val="36BB514C"/>
    <w:rsid w:val="36DC2357"/>
    <w:rsid w:val="37850BB7"/>
    <w:rsid w:val="380265EC"/>
    <w:rsid w:val="382172F9"/>
    <w:rsid w:val="38463D67"/>
    <w:rsid w:val="38621BA2"/>
    <w:rsid w:val="389F6445"/>
    <w:rsid w:val="38B42740"/>
    <w:rsid w:val="38DF7323"/>
    <w:rsid w:val="390F7DD7"/>
    <w:rsid w:val="391140D6"/>
    <w:rsid w:val="397E5EB3"/>
    <w:rsid w:val="39D218EB"/>
    <w:rsid w:val="3A096292"/>
    <w:rsid w:val="3A5A62AC"/>
    <w:rsid w:val="3B4B7D33"/>
    <w:rsid w:val="3B52045F"/>
    <w:rsid w:val="3B6735A2"/>
    <w:rsid w:val="3B9419B9"/>
    <w:rsid w:val="3C4720F4"/>
    <w:rsid w:val="3C4B2F73"/>
    <w:rsid w:val="3C6C7D25"/>
    <w:rsid w:val="3CC6540F"/>
    <w:rsid w:val="3DCF63C6"/>
    <w:rsid w:val="3E2D3326"/>
    <w:rsid w:val="3E591EB2"/>
    <w:rsid w:val="3E5E5BF8"/>
    <w:rsid w:val="3E927A2C"/>
    <w:rsid w:val="3EEE43E3"/>
    <w:rsid w:val="3EF50C07"/>
    <w:rsid w:val="3EF575B6"/>
    <w:rsid w:val="3FC457F7"/>
    <w:rsid w:val="3FD71C33"/>
    <w:rsid w:val="3FDE65F3"/>
    <w:rsid w:val="3FE34C01"/>
    <w:rsid w:val="3FE862FB"/>
    <w:rsid w:val="3FF67F40"/>
    <w:rsid w:val="40134126"/>
    <w:rsid w:val="405834AE"/>
    <w:rsid w:val="40BA5643"/>
    <w:rsid w:val="40C86820"/>
    <w:rsid w:val="40DA72C1"/>
    <w:rsid w:val="40DF03D6"/>
    <w:rsid w:val="41D07866"/>
    <w:rsid w:val="41EA6630"/>
    <w:rsid w:val="42347386"/>
    <w:rsid w:val="42DE54F5"/>
    <w:rsid w:val="42EA0614"/>
    <w:rsid w:val="432127FA"/>
    <w:rsid w:val="43995203"/>
    <w:rsid w:val="43CE088A"/>
    <w:rsid w:val="44291F4D"/>
    <w:rsid w:val="4467255E"/>
    <w:rsid w:val="44833725"/>
    <w:rsid w:val="44901F37"/>
    <w:rsid w:val="44A95BD0"/>
    <w:rsid w:val="44D86389"/>
    <w:rsid w:val="45125F7E"/>
    <w:rsid w:val="454040D5"/>
    <w:rsid w:val="4557344D"/>
    <w:rsid w:val="45754305"/>
    <w:rsid w:val="45792B73"/>
    <w:rsid w:val="45CB2940"/>
    <w:rsid w:val="4637777E"/>
    <w:rsid w:val="467438E1"/>
    <w:rsid w:val="46A078EC"/>
    <w:rsid w:val="46FC7967"/>
    <w:rsid w:val="46FE2242"/>
    <w:rsid w:val="47006DDF"/>
    <w:rsid w:val="470D5FE6"/>
    <w:rsid w:val="471A5365"/>
    <w:rsid w:val="472C6263"/>
    <w:rsid w:val="481E6E4C"/>
    <w:rsid w:val="486D71FE"/>
    <w:rsid w:val="4876750A"/>
    <w:rsid w:val="48BA0136"/>
    <w:rsid w:val="48F9496F"/>
    <w:rsid w:val="49387C84"/>
    <w:rsid w:val="49926016"/>
    <w:rsid w:val="49C1485A"/>
    <w:rsid w:val="4A384B9D"/>
    <w:rsid w:val="4AB93625"/>
    <w:rsid w:val="4AC32341"/>
    <w:rsid w:val="4B945695"/>
    <w:rsid w:val="4BAC58F5"/>
    <w:rsid w:val="4BF21DCC"/>
    <w:rsid w:val="4C191EC0"/>
    <w:rsid w:val="4C3D2140"/>
    <w:rsid w:val="4C8E1FF9"/>
    <w:rsid w:val="4C9A5F96"/>
    <w:rsid w:val="4CBE5954"/>
    <w:rsid w:val="4CE27DB3"/>
    <w:rsid w:val="4D0640BC"/>
    <w:rsid w:val="4DA65320"/>
    <w:rsid w:val="4DEB632E"/>
    <w:rsid w:val="4EBA3C33"/>
    <w:rsid w:val="4F281A00"/>
    <w:rsid w:val="4F6F5570"/>
    <w:rsid w:val="4FF16428"/>
    <w:rsid w:val="502D3A73"/>
    <w:rsid w:val="504C1BD9"/>
    <w:rsid w:val="50D26AC9"/>
    <w:rsid w:val="50DC451C"/>
    <w:rsid w:val="50E31AE7"/>
    <w:rsid w:val="5149263E"/>
    <w:rsid w:val="517D1ED4"/>
    <w:rsid w:val="51837EC7"/>
    <w:rsid w:val="5185002C"/>
    <w:rsid w:val="51D658AA"/>
    <w:rsid w:val="523D45B7"/>
    <w:rsid w:val="525A79CF"/>
    <w:rsid w:val="52841617"/>
    <w:rsid w:val="52954080"/>
    <w:rsid w:val="52AD2A47"/>
    <w:rsid w:val="52D20435"/>
    <w:rsid w:val="52F02E14"/>
    <w:rsid w:val="52F83F00"/>
    <w:rsid w:val="533B35CB"/>
    <w:rsid w:val="5353635F"/>
    <w:rsid w:val="53652D12"/>
    <w:rsid w:val="53964A7C"/>
    <w:rsid w:val="5415732F"/>
    <w:rsid w:val="54BB7C55"/>
    <w:rsid w:val="555F2020"/>
    <w:rsid w:val="556E72A6"/>
    <w:rsid w:val="55B029DF"/>
    <w:rsid w:val="55C63648"/>
    <w:rsid w:val="562A5006"/>
    <w:rsid w:val="562F2C5A"/>
    <w:rsid w:val="571479F7"/>
    <w:rsid w:val="5716575C"/>
    <w:rsid w:val="572E1B08"/>
    <w:rsid w:val="57AC35FC"/>
    <w:rsid w:val="57CD633D"/>
    <w:rsid w:val="583D4A4B"/>
    <w:rsid w:val="58691B3A"/>
    <w:rsid w:val="586D424A"/>
    <w:rsid w:val="58983878"/>
    <w:rsid w:val="59E94EA5"/>
    <w:rsid w:val="5A2541BF"/>
    <w:rsid w:val="5A707AB2"/>
    <w:rsid w:val="5A9E7AA3"/>
    <w:rsid w:val="5AFA0EE0"/>
    <w:rsid w:val="5B5A28B1"/>
    <w:rsid w:val="5BF86250"/>
    <w:rsid w:val="5C5E46C6"/>
    <w:rsid w:val="5C7712DE"/>
    <w:rsid w:val="5CBF1327"/>
    <w:rsid w:val="5DAA28AC"/>
    <w:rsid w:val="5DB01171"/>
    <w:rsid w:val="5DDF0493"/>
    <w:rsid w:val="5DE04451"/>
    <w:rsid w:val="5E1E62F3"/>
    <w:rsid w:val="5E65576F"/>
    <w:rsid w:val="5E7B0621"/>
    <w:rsid w:val="5E8E47AC"/>
    <w:rsid w:val="5ED807BE"/>
    <w:rsid w:val="5EFF99E4"/>
    <w:rsid w:val="5F500C6D"/>
    <w:rsid w:val="5F775ADC"/>
    <w:rsid w:val="5FD03B77"/>
    <w:rsid w:val="5FF7CC1C"/>
    <w:rsid w:val="5FF84E2C"/>
    <w:rsid w:val="6006482D"/>
    <w:rsid w:val="600719BE"/>
    <w:rsid w:val="600F3D49"/>
    <w:rsid w:val="603D2BB7"/>
    <w:rsid w:val="607B2985"/>
    <w:rsid w:val="61B0262B"/>
    <w:rsid w:val="61E47638"/>
    <w:rsid w:val="61F372A9"/>
    <w:rsid w:val="620827C5"/>
    <w:rsid w:val="62155D61"/>
    <w:rsid w:val="622A23E9"/>
    <w:rsid w:val="624A57FB"/>
    <w:rsid w:val="625D38B0"/>
    <w:rsid w:val="62914844"/>
    <w:rsid w:val="63714F2B"/>
    <w:rsid w:val="63AF814B"/>
    <w:rsid w:val="6424693C"/>
    <w:rsid w:val="64412F09"/>
    <w:rsid w:val="644761FE"/>
    <w:rsid w:val="646942C4"/>
    <w:rsid w:val="64B57869"/>
    <w:rsid w:val="658E6A5E"/>
    <w:rsid w:val="66077077"/>
    <w:rsid w:val="66470B3E"/>
    <w:rsid w:val="66DF7D3A"/>
    <w:rsid w:val="66EA15B1"/>
    <w:rsid w:val="67022B97"/>
    <w:rsid w:val="670E08B7"/>
    <w:rsid w:val="675E48F7"/>
    <w:rsid w:val="67B669F5"/>
    <w:rsid w:val="67E976AE"/>
    <w:rsid w:val="6817303B"/>
    <w:rsid w:val="681D2FD1"/>
    <w:rsid w:val="682A411B"/>
    <w:rsid w:val="68727C97"/>
    <w:rsid w:val="687D775B"/>
    <w:rsid w:val="687E0F52"/>
    <w:rsid w:val="68883139"/>
    <w:rsid w:val="689E7012"/>
    <w:rsid w:val="68D65AFE"/>
    <w:rsid w:val="698D3C91"/>
    <w:rsid w:val="69BA394D"/>
    <w:rsid w:val="6A1F0B3D"/>
    <w:rsid w:val="6A531AD9"/>
    <w:rsid w:val="6A8063A9"/>
    <w:rsid w:val="6B6457B5"/>
    <w:rsid w:val="6BE27C5A"/>
    <w:rsid w:val="6BEA5986"/>
    <w:rsid w:val="6C705E48"/>
    <w:rsid w:val="6CB827E4"/>
    <w:rsid w:val="6CE13663"/>
    <w:rsid w:val="6D9BFF4E"/>
    <w:rsid w:val="6E2E5BB8"/>
    <w:rsid w:val="6E745B74"/>
    <w:rsid w:val="6E8D1A24"/>
    <w:rsid w:val="6EFDE14C"/>
    <w:rsid w:val="6F2503A8"/>
    <w:rsid w:val="6F2F0F33"/>
    <w:rsid w:val="6F577F6C"/>
    <w:rsid w:val="6FDA5736"/>
    <w:rsid w:val="6FEF5CE3"/>
    <w:rsid w:val="708B6DC7"/>
    <w:rsid w:val="709061C8"/>
    <w:rsid w:val="711F6FC8"/>
    <w:rsid w:val="71A55152"/>
    <w:rsid w:val="723B1493"/>
    <w:rsid w:val="72474810"/>
    <w:rsid w:val="733C377D"/>
    <w:rsid w:val="7374056D"/>
    <w:rsid w:val="738D7DDD"/>
    <w:rsid w:val="73B24097"/>
    <w:rsid w:val="73B46D8F"/>
    <w:rsid w:val="73B4814A"/>
    <w:rsid w:val="740363D3"/>
    <w:rsid w:val="742E1E17"/>
    <w:rsid w:val="746F1759"/>
    <w:rsid w:val="7484797D"/>
    <w:rsid w:val="74A4511D"/>
    <w:rsid w:val="74DA04F1"/>
    <w:rsid w:val="75012AA8"/>
    <w:rsid w:val="75520ECD"/>
    <w:rsid w:val="756D4B01"/>
    <w:rsid w:val="75745334"/>
    <w:rsid w:val="75892427"/>
    <w:rsid w:val="75D2175C"/>
    <w:rsid w:val="761D63B6"/>
    <w:rsid w:val="762C69D1"/>
    <w:rsid w:val="76B420BF"/>
    <w:rsid w:val="76E102E1"/>
    <w:rsid w:val="77A835E0"/>
    <w:rsid w:val="77B21CDD"/>
    <w:rsid w:val="78121EEC"/>
    <w:rsid w:val="782B2265"/>
    <w:rsid w:val="78456A33"/>
    <w:rsid w:val="78FB01D9"/>
    <w:rsid w:val="79096989"/>
    <w:rsid w:val="799E2C15"/>
    <w:rsid w:val="79F03C79"/>
    <w:rsid w:val="7A1F6EBB"/>
    <w:rsid w:val="7A382DE3"/>
    <w:rsid w:val="7A54483F"/>
    <w:rsid w:val="7A68041A"/>
    <w:rsid w:val="7AF41D4C"/>
    <w:rsid w:val="7C386F02"/>
    <w:rsid w:val="7C483E93"/>
    <w:rsid w:val="7D77342B"/>
    <w:rsid w:val="7DF7BE28"/>
    <w:rsid w:val="7DFB7ACD"/>
    <w:rsid w:val="7DFDF8D7"/>
    <w:rsid w:val="7E171E94"/>
    <w:rsid w:val="7E483CE7"/>
    <w:rsid w:val="7E601D35"/>
    <w:rsid w:val="7EE958EE"/>
    <w:rsid w:val="7F3B22C0"/>
    <w:rsid w:val="7F3B8211"/>
    <w:rsid w:val="7F6BF903"/>
    <w:rsid w:val="7F975A70"/>
    <w:rsid w:val="7FA2093D"/>
    <w:rsid w:val="7FBF0A92"/>
    <w:rsid w:val="ACE534A2"/>
    <w:rsid w:val="B3DD7480"/>
    <w:rsid w:val="BDCF601B"/>
    <w:rsid w:val="CFFF66BC"/>
    <w:rsid w:val="D6FFE1E2"/>
    <w:rsid w:val="DB7B9D4F"/>
    <w:rsid w:val="DB7F4FEF"/>
    <w:rsid w:val="DD751FC0"/>
    <w:rsid w:val="DDD60D17"/>
    <w:rsid w:val="DF7F74E1"/>
    <w:rsid w:val="EEBD27A5"/>
    <w:rsid w:val="EED7149E"/>
    <w:rsid w:val="EF6F7BB2"/>
    <w:rsid w:val="F5FEC8DF"/>
    <w:rsid w:val="F70ED57B"/>
    <w:rsid w:val="F7BFED95"/>
    <w:rsid w:val="FA7E0622"/>
    <w:rsid w:val="FB7F2FD2"/>
    <w:rsid w:val="FBA51DE4"/>
    <w:rsid w:val="FCBF617E"/>
    <w:rsid w:val="FDDFED8D"/>
    <w:rsid w:val="FDFB4887"/>
    <w:rsid w:val="FDFF30A8"/>
    <w:rsid w:val="FEFC4D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semiHidden="0" w:name="table of figures"/>
    <w:lsdException w:uiPriority="99" w:name="envelope address"/>
    <w:lsdException w:uiPriority="99" w:name="envelope return"/>
    <w:lsdException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semiHidden="0"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44"/>
    <w:qFormat/>
    <w:uiPriority w:val="0"/>
    <w:pPr>
      <w:keepNext/>
      <w:keepLines/>
      <w:spacing w:before="340" w:after="330" w:line="576" w:lineRule="auto"/>
      <w:outlineLvl w:val="0"/>
    </w:pPr>
    <w:rPr>
      <w:rFonts w:ascii="Calibri" w:hAnsi="Calibri"/>
      <w:b/>
      <w:kern w:val="44"/>
      <w:sz w:val="44"/>
    </w:rPr>
  </w:style>
  <w:style w:type="paragraph" w:styleId="3">
    <w:name w:val="heading 2"/>
    <w:basedOn w:val="2"/>
    <w:next w:val="4"/>
    <w:link w:val="45"/>
    <w:qFormat/>
    <w:uiPriority w:val="0"/>
    <w:pPr>
      <w:keepNext/>
      <w:keepLines/>
      <w:spacing w:before="260" w:after="260" w:line="416" w:lineRule="auto"/>
      <w:outlineLvl w:val="1"/>
    </w:pPr>
    <w:rPr>
      <w:rFonts w:ascii="Cambria" w:hAnsi="Cambria"/>
      <w:bCs/>
      <w:kern w:val="2"/>
      <w:sz w:val="32"/>
      <w:szCs w:val="32"/>
    </w:rPr>
  </w:style>
  <w:style w:type="paragraph" w:styleId="4">
    <w:name w:val="heading 3"/>
    <w:basedOn w:val="1"/>
    <w:next w:val="1"/>
    <w:link w:val="46"/>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6"/>
    <w:link w:val="47"/>
    <w:qFormat/>
    <w:uiPriority w:val="0"/>
    <w:pPr>
      <w:autoSpaceDE w:val="0"/>
      <w:autoSpaceDN w:val="0"/>
      <w:adjustRightInd w:val="0"/>
      <w:snapToGrid w:val="0"/>
      <w:spacing w:line="360" w:lineRule="auto"/>
      <w:outlineLvl w:val="3"/>
    </w:pPr>
    <w:rPr>
      <w:rFonts w:ascii="宋体" w:hAnsi="Arial"/>
      <w:color w:val="000000"/>
      <w:kern w:val="0"/>
      <w:szCs w:val="20"/>
    </w:rPr>
  </w:style>
  <w:style w:type="paragraph" w:styleId="7">
    <w:name w:val="heading 5"/>
    <w:basedOn w:val="1"/>
    <w:next w:val="6"/>
    <w:link w:val="49"/>
    <w:qFormat/>
    <w:uiPriority w:val="0"/>
    <w:pPr>
      <w:keepNext/>
      <w:autoSpaceDE w:val="0"/>
      <w:autoSpaceDN w:val="0"/>
      <w:adjustRightInd w:val="0"/>
      <w:snapToGrid w:val="0"/>
      <w:spacing w:before="280" w:after="290" w:line="376" w:lineRule="auto"/>
      <w:outlineLvl w:val="4"/>
    </w:pPr>
    <w:rPr>
      <w:rFonts w:ascii="宋体"/>
      <w:b/>
      <w:color w:val="000000"/>
      <w:kern w:val="0"/>
      <w:sz w:val="28"/>
      <w:szCs w:val="20"/>
    </w:rPr>
  </w:style>
  <w:style w:type="paragraph" w:styleId="8">
    <w:name w:val="heading 6"/>
    <w:basedOn w:val="1"/>
    <w:next w:val="6"/>
    <w:link w:val="50"/>
    <w:qFormat/>
    <w:uiPriority w:val="0"/>
    <w:pPr>
      <w:keepNext/>
      <w:autoSpaceDE w:val="0"/>
      <w:autoSpaceDN w:val="0"/>
      <w:adjustRightInd w:val="0"/>
      <w:snapToGrid w:val="0"/>
      <w:spacing w:before="240" w:after="64" w:line="320" w:lineRule="auto"/>
      <w:outlineLvl w:val="5"/>
    </w:pPr>
    <w:rPr>
      <w:rFonts w:ascii="Arial" w:hAnsi="Arial" w:eastAsia="黑体"/>
      <w:b/>
      <w:color w:val="000000"/>
      <w:kern w:val="0"/>
      <w:sz w:val="24"/>
      <w:szCs w:val="20"/>
    </w:rPr>
  </w:style>
  <w:style w:type="paragraph" w:styleId="9">
    <w:name w:val="heading 7"/>
    <w:basedOn w:val="1"/>
    <w:next w:val="6"/>
    <w:link w:val="51"/>
    <w:qFormat/>
    <w:uiPriority w:val="0"/>
    <w:pPr>
      <w:keepNext/>
      <w:autoSpaceDE w:val="0"/>
      <w:autoSpaceDN w:val="0"/>
      <w:adjustRightInd w:val="0"/>
      <w:snapToGrid w:val="0"/>
      <w:spacing w:before="240" w:after="64" w:line="320" w:lineRule="auto"/>
      <w:outlineLvl w:val="6"/>
    </w:pPr>
    <w:rPr>
      <w:rFonts w:ascii="宋体"/>
      <w:b/>
      <w:color w:val="000000"/>
      <w:kern w:val="0"/>
      <w:sz w:val="24"/>
      <w:szCs w:val="20"/>
    </w:rPr>
  </w:style>
  <w:style w:type="paragraph" w:styleId="10">
    <w:name w:val="heading 8"/>
    <w:basedOn w:val="1"/>
    <w:next w:val="6"/>
    <w:link w:val="52"/>
    <w:qFormat/>
    <w:uiPriority w:val="0"/>
    <w:pPr>
      <w:keepNext/>
      <w:autoSpaceDE w:val="0"/>
      <w:autoSpaceDN w:val="0"/>
      <w:adjustRightInd w:val="0"/>
      <w:snapToGrid w:val="0"/>
      <w:spacing w:before="240" w:after="64" w:line="320" w:lineRule="auto"/>
      <w:outlineLvl w:val="7"/>
    </w:pPr>
    <w:rPr>
      <w:rFonts w:ascii="Arial" w:hAnsi="Arial" w:eastAsia="黑体"/>
      <w:color w:val="000000"/>
      <w:kern w:val="0"/>
      <w:sz w:val="24"/>
      <w:szCs w:val="20"/>
    </w:rPr>
  </w:style>
  <w:style w:type="paragraph" w:styleId="11">
    <w:name w:val="heading 9"/>
    <w:basedOn w:val="1"/>
    <w:next w:val="6"/>
    <w:link w:val="53"/>
    <w:qFormat/>
    <w:uiPriority w:val="0"/>
    <w:pPr>
      <w:keepNext/>
      <w:autoSpaceDE w:val="0"/>
      <w:autoSpaceDN w:val="0"/>
      <w:adjustRightInd w:val="0"/>
      <w:snapToGrid w:val="0"/>
      <w:spacing w:before="240" w:after="64" w:line="320" w:lineRule="auto"/>
      <w:outlineLvl w:val="8"/>
    </w:pPr>
    <w:rPr>
      <w:rFonts w:ascii="Arial" w:hAnsi="Arial" w:eastAsia="黑体"/>
      <w:color w:val="000000"/>
      <w:kern w:val="0"/>
      <w:szCs w:val="20"/>
    </w:rPr>
  </w:style>
  <w:style w:type="character" w:default="1" w:styleId="36">
    <w:name w:val="Default Paragraph Font"/>
    <w:uiPriority w:val="0"/>
    <w:rPr>
      <w:rFonts w:ascii="Calibri" w:hAnsi="Calibri" w:eastAsia="宋体" w:cs="Times New Roman"/>
    </w:rPr>
  </w:style>
  <w:style w:type="table" w:default="1" w:styleId="34">
    <w:name w:val="Normal Table"/>
    <w:uiPriority w:val="0"/>
    <w:rPr>
      <w:rFonts w:ascii="Calibri" w:hAnsi="Calibri" w:eastAsia="宋体" w:cs="Times New Roman"/>
    </w:rPr>
    <w:tblPr>
      <w:tblStyle w:val="34"/>
      <w:tblCellMar>
        <w:top w:w="0" w:type="dxa"/>
        <w:left w:w="108" w:type="dxa"/>
        <w:bottom w:w="0" w:type="dxa"/>
        <w:right w:w="108" w:type="dxa"/>
      </w:tblCellMar>
    </w:tblPr>
  </w:style>
  <w:style w:type="paragraph" w:styleId="6">
    <w:name w:val="Normal Indent"/>
    <w:basedOn w:val="1"/>
    <w:link w:val="48"/>
    <w:qFormat/>
    <w:uiPriority w:val="0"/>
    <w:pPr>
      <w:ind w:firstLine="420"/>
    </w:pPr>
    <w:rPr>
      <w:rFonts w:ascii="Calibri" w:hAnsi="Calibri"/>
    </w:rPr>
  </w:style>
  <w:style w:type="paragraph" w:styleId="12">
    <w:name w:val="Document Map"/>
    <w:basedOn w:val="1"/>
    <w:link w:val="54"/>
    <w:uiPriority w:val="0"/>
    <w:pPr>
      <w:widowControl/>
      <w:shd w:val="clear" w:color="auto" w:fill="000080"/>
      <w:jc w:val="left"/>
    </w:pPr>
    <w:rPr>
      <w:kern w:val="0"/>
      <w:szCs w:val="20"/>
    </w:rPr>
  </w:style>
  <w:style w:type="paragraph" w:styleId="13">
    <w:name w:val="annotation text"/>
    <w:basedOn w:val="1"/>
    <w:link w:val="55"/>
    <w:uiPriority w:val="0"/>
    <w:pPr>
      <w:widowControl/>
      <w:jc w:val="left"/>
    </w:pPr>
    <w:rPr>
      <w:kern w:val="0"/>
      <w:szCs w:val="20"/>
    </w:rPr>
  </w:style>
  <w:style w:type="paragraph" w:styleId="14">
    <w:name w:val="Body Text"/>
    <w:basedOn w:val="1"/>
    <w:next w:val="15"/>
    <w:link w:val="56"/>
    <w:uiPriority w:val="0"/>
    <w:pPr>
      <w:spacing w:line="360" w:lineRule="auto"/>
    </w:pPr>
    <w:rPr>
      <w:rFonts w:ascii="楷体_GB2312" w:hAnsi="Calibri" w:eastAsia="楷体_GB2312"/>
      <w:sz w:val="32"/>
    </w:rPr>
  </w:style>
  <w:style w:type="paragraph" w:styleId="15">
    <w:name w:val="Body Text First Indent"/>
    <w:basedOn w:val="1"/>
    <w:uiPriority w:val="0"/>
    <w:pPr>
      <w:spacing w:beforeLines="50" w:after="120" w:afterLines="50"/>
      <w:ind w:firstLine="480" w:firstLineChars="200"/>
    </w:pPr>
    <w:rPr>
      <w:rFonts w:eastAsia="宋体"/>
      <w:b/>
      <w:spacing w:val="0"/>
      <w:kern w:val="0"/>
      <w:sz w:val="24"/>
      <w:szCs w:val="24"/>
    </w:rPr>
  </w:style>
  <w:style w:type="paragraph" w:styleId="16">
    <w:name w:val="Body Text Indent"/>
    <w:basedOn w:val="1"/>
    <w:next w:val="1"/>
    <w:link w:val="57"/>
    <w:uiPriority w:val="0"/>
    <w:pPr>
      <w:spacing w:after="120"/>
      <w:ind w:left="420" w:leftChars="200"/>
    </w:pPr>
    <w:rPr>
      <w:rFonts w:ascii="Calibri" w:hAnsi="Calibri"/>
    </w:rPr>
  </w:style>
  <w:style w:type="paragraph" w:styleId="17">
    <w:name w:val="Block Text"/>
    <w:basedOn w:val="1"/>
    <w:qFormat/>
    <w:uiPriority w:val="99"/>
    <w:pPr>
      <w:spacing w:after="120"/>
      <w:ind w:left="1440" w:leftChars="700" w:right="1440" w:rightChars="700"/>
    </w:pPr>
    <w:rPr>
      <w:rFonts w:ascii="Calibri" w:hAnsi="Calibri"/>
    </w:rPr>
  </w:style>
  <w:style w:type="paragraph" w:styleId="18">
    <w:name w:val="Plain Text"/>
    <w:basedOn w:val="1"/>
    <w:link w:val="58"/>
    <w:qFormat/>
    <w:uiPriority w:val="0"/>
    <w:rPr>
      <w:rFonts w:ascii="宋体" w:hAnsi="Courier New"/>
    </w:rPr>
  </w:style>
  <w:style w:type="paragraph" w:styleId="19">
    <w:name w:val="Date"/>
    <w:basedOn w:val="1"/>
    <w:next w:val="1"/>
    <w:link w:val="59"/>
    <w:qFormat/>
    <w:uiPriority w:val="0"/>
    <w:rPr>
      <w:rFonts w:ascii="宋体" w:hAnsi="Calibri"/>
      <w:sz w:val="24"/>
    </w:rPr>
  </w:style>
  <w:style w:type="paragraph" w:styleId="20">
    <w:name w:val="Body Text Indent 2"/>
    <w:basedOn w:val="1"/>
    <w:link w:val="60"/>
    <w:uiPriority w:val="0"/>
    <w:pPr>
      <w:widowControl/>
      <w:spacing w:line="360" w:lineRule="auto"/>
      <w:ind w:left="784"/>
      <w:jc w:val="left"/>
    </w:pPr>
    <w:rPr>
      <w:kern w:val="0"/>
      <w:szCs w:val="20"/>
    </w:rPr>
  </w:style>
  <w:style w:type="paragraph" w:styleId="21">
    <w:name w:val="Balloon Text"/>
    <w:basedOn w:val="1"/>
    <w:link w:val="61"/>
    <w:uiPriority w:val="0"/>
    <w:pPr>
      <w:widowControl/>
      <w:jc w:val="left"/>
    </w:pPr>
    <w:rPr>
      <w:kern w:val="0"/>
      <w:sz w:val="18"/>
      <w:szCs w:val="18"/>
    </w:rPr>
  </w:style>
  <w:style w:type="paragraph" w:styleId="22">
    <w:name w:val="footer"/>
    <w:basedOn w:val="1"/>
    <w:link w:val="62"/>
    <w:uiPriority w:val="99"/>
    <w:pPr>
      <w:tabs>
        <w:tab w:val="center" w:pos="4153"/>
        <w:tab w:val="right" w:pos="8306"/>
      </w:tabs>
      <w:snapToGrid w:val="0"/>
      <w:jc w:val="left"/>
    </w:pPr>
    <w:rPr>
      <w:rFonts w:ascii="Calibri" w:hAnsi="Calibri"/>
      <w:sz w:val="18"/>
    </w:rPr>
  </w:style>
  <w:style w:type="paragraph" w:styleId="23">
    <w:name w:val="header"/>
    <w:basedOn w:val="1"/>
    <w:link w:val="6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4">
    <w:name w:val="Signature"/>
    <w:basedOn w:val="1"/>
    <w:qFormat/>
    <w:uiPriority w:val="0"/>
    <w:pPr>
      <w:ind w:left="100" w:leftChars="2100"/>
    </w:pPr>
  </w:style>
  <w:style w:type="paragraph" w:styleId="25">
    <w:name w:val="toc 1"/>
    <w:basedOn w:val="1"/>
    <w:next w:val="1"/>
    <w:uiPriority w:val="39"/>
    <w:pPr>
      <w:tabs>
        <w:tab w:val="left" w:pos="945"/>
        <w:tab w:val="right" w:leader="middleDot" w:pos="8948"/>
      </w:tabs>
      <w:spacing w:before="120" w:after="120"/>
    </w:pPr>
    <w:rPr>
      <w:rFonts w:ascii="Calibri" w:hAnsi="Calibri" w:eastAsia="宋体" w:cs="Times New Roman"/>
      <w:b/>
      <w:bCs/>
      <w:caps/>
      <w:szCs w:val="21"/>
    </w:rPr>
  </w:style>
  <w:style w:type="paragraph" w:styleId="26">
    <w:name w:val="List"/>
    <w:basedOn w:val="1"/>
    <w:qFormat/>
    <w:uiPriority w:val="0"/>
    <w:pPr>
      <w:ind w:left="200" w:hanging="200" w:hangingChars="200"/>
    </w:pPr>
    <w:rPr>
      <w:rFonts w:ascii="Calibri" w:hAnsi="Calibri"/>
      <w:sz w:val="28"/>
      <w:szCs w:val="24"/>
    </w:rPr>
  </w:style>
  <w:style w:type="paragraph" w:styleId="27">
    <w:name w:val="Body Text Indent 3"/>
    <w:basedOn w:val="1"/>
    <w:link w:val="64"/>
    <w:uiPriority w:val="0"/>
    <w:pPr>
      <w:widowControl/>
      <w:spacing w:after="120"/>
      <w:ind w:left="420" w:leftChars="200"/>
      <w:jc w:val="left"/>
    </w:pPr>
    <w:rPr>
      <w:kern w:val="0"/>
      <w:sz w:val="16"/>
      <w:szCs w:val="16"/>
    </w:rPr>
  </w:style>
  <w:style w:type="paragraph" w:styleId="28">
    <w:name w:val="table of figures"/>
    <w:basedOn w:val="1"/>
    <w:next w:val="1"/>
    <w:uiPriority w:val="0"/>
    <w:pPr>
      <w:ind w:left="840" w:leftChars="200" w:hanging="420" w:hangingChars="200"/>
    </w:pPr>
    <w:rPr>
      <w:rFonts w:ascii="Calibri" w:hAnsi="Calibri" w:eastAsia="宋体" w:cs="Times New Roman"/>
    </w:rPr>
  </w:style>
  <w:style w:type="paragraph" w:styleId="29">
    <w:name w:val="toc 2"/>
    <w:basedOn w:val="1"/>
    <w:next w:val="1"/>
    <w:uiPriority w:val="39"/>
    <w:pPr>
      <w:tabs>
        <w:tab w:val="right" w:leader="middleDot" w:pos="8948"/>
      </w:tabs>
      <w:spacing w:before="60" w:after="60"/>
      <w:ind w:left="210"/>
    </w:pPr>
    <w:rPr>
      <w:rFonts w:ascii="Calibri" w:hAnsi="Calibri" w:eastAsia="宋体" w:cs="Times New Roman"/>
      <w:smallCaps/>
    </w:rPr>
  </w:style>
  <w:style w:type="paragraph" w:styleId="30">
    <w:name w:val="Body Text 2"/>
    <w:basedOn w:val="1"/>
    <w:link w:val="65"/>
    <w:uiPriority w:val="0"/>
    <w:pPr>
      <w:jc w:val="center"/>
    </w:pPr>
    <w:rPr>
      <w:rFonts w:ascii="宋体" w:hAnsi="宋体"/>
      <w:sz w:val="44"/>
      <w:szCs w:val="24"/>
    </w:rPr>
  </w:style>
  <w:style w:type="paragraph" w:styleId="31">
    <w:name w:val="Normal (Web)"/>
    <w:basedOn w:val="1"/>
    <w:qFormat/>
    <w:uiPriority w:val="99"/>
    <w:pPr>
      <w:widowControl/>
      <w:spacing w:before="100" w:beforeAutospacing="1" w:after="100" w:afterAutospacing="1"/>
      <w:jc w:val="left"/>
    </w:pPr>
    <w:rPr>
      <w:rFonts w:ascii="Arial Unicode MS" w:hAnsi="Arial Unicode MS" w:eastAsia="Times New Roman" w:cs="Times New Roman"/>
      <w:color w:val="000000"/>
      <w:kern w:val="0"/>
      <w:sz w:val="24"/>
      <w:szCs w:val="24"/>
    </w:rPr>
  </w:style>
  <w:style w:type="paragraph" w:styleId="32">
    <w:name w:val="annotation subject"/>
    <w:basedOn w:val="13"/>
    <w:next w:val="13"/>
    <w:link w:val="66"/>
    <w:uiPriority w:val="0"/>
    <w:rPr>
      <w:b/>
      <w:bCs/>
    </w:rPr>
  </w:style>
  <w:style w:type="paragraph" w:styleId="33">
    <w:name w:val="Body Text First Indent 2"/>
    <w:basedOn w:val="16"/>
    <w:link w:val="67"/>
    <w:unhideWhenUsed/>
    <w:uiPriority w:val="99"/>
    <w:pPr>
      <w:ind w:firstLine="420" w:firstLineChars="200"/>
    </w:pPr>
    <w:rPr>
      <w:rFonts w:ascii="Times New Roman" w:hAnsi="Times New Roman"/>
    </w:rPr>
  </w:style>
  <w:style w:type="table" w:styleId="35">
    <w:name w:val="Table Grid"/>
    <w:basedOn w:val="34"/>
    <w:uiPriority w:val="59"/>
    <w:rPr>
      <w:rFonts w:ascii="Calibri" w:hAnsi="Calibri" w:eastAsia="宋体" w:cs="Times New Roman"/>
    </w:rPr>
    <w:tblPr>
      <w:tblStyle w:val="3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rFonts w:ascii="Calibri" w:hAnsi="Calibri" w:eastAsia="宋体" w:cs="Times New Roman"/>
      <w:b/>
      <w:bCs/>
    </w:rPr>
  </w:style>
  <w:style w:type="character" w:styleId="38">
    <w:name w:val="page number"/>
    <w:uiPriority w:val="0"/>
    <w:rPr>
      <w:rFonts w:ascii="Calibri" w:hAnsi="Calibri" w:eastAsia="宋体" w:cs="Times New Roman"/>
    </w:rPr>
  </w:style>
  <w:style w:type="character" w:styleId="39">
    <w:name w:val="FollowedHyperlink"/>
    <w:uiPriority w:val="99"/>
    <w:rPr>
      <w:rFonts w:ascii="Calibri" w:hAnsi="Calibri" w:eastAsia="宋体" w:cs="Times New Roman"/>
      <w:color w:val="800080"/>
      <w:u w:val="single"/>
    </w:rPr>
  </w:style>
  <w:style w:type="character" w:styleId="40">
    <w:name w:val="Emphasis"/>
    <w:qFormat/>
    <w:uiPriority w:val="20"/>
    <w:rPr>
      <w:rFonts w:ascii="Calibri" w:hAnsi="Calibri" w:eastAsia="宋体" w:cs="Times New Roman"/>
    </w:rPr>
  </w:style>
  <w:style w:type="character" w:styleId="41">
    <w:name w:val="line number"/>
    <w:uiPriority w:val="0"/>
    <w:rPr>
      <w:rFonts w:ascii="Calibri" w:hAnsi="Calibri" w:eastAsia="宋体" w:cs="Times New Roman"/>
    </w:rPr>
  </w:style>
  <w:style w:type="character" w:styleId="42">
    <w:name w:val="Hyperlink"/>
    <w:uiPriority w:val="99"/>
    <w:rPr>
      <w:rFonts w:ascii="Calibri" w:hAnsi="Calibri" w:eastAsia="宋体" w:cs="Times New Roman"/>
      <w:color w:val="0563C1"/>
      <w:u w:val="single"/>
    </w:rPr>
  </w:style>
  <w:style w:type="character" w:styleId="43">
    <w:name w:val="annotation reference"/>
    <w:uiPriority w:val="0"/>
    <w:rPr>
      <w:rFonts w:ascii="Calibri" w:hAnsi="Calibri" w:eastAsia="宋体" w:cs="Times New Roman"/>
      <w:sz w:val="21"/>
      <w:szCs w:val="21"/>
    </w:rPr>
  </w:style>
  <w:style w:type="character" w:customStyle="1" w:styleId="44">
    <w:name w:val="标题 1 字符"/>
    <w:link w:val="2"/>
    <w:uiPriority w:val="0"/>
    <w:rPr>
      <w:rFonts w:ascii="Calibri" w:hAnsi="Calibri" w:eastAsia="宋体" w:cs="Times New Roman"/>
      <w:b/>
      <w:kern w:val="44"/>
      <w:sz w:val="44"/>
      <w:szCs w:val="22"/>
    </w:rPr>
  </w:style>
  <w:style w:type="character" w:customStyle="1" w:styleId="45">
    <w:name w:val="标题 2 字符"/>
    <w:link w:val="3"/>
    <w:uiPriority w:val="0"/>
    <w:rPr>
      <w:rFonts w:ascii="Cambria" w:hAnsi="Cambria" w:eastAsia="宋体" w:cs="Times New Roman"/>
      <w:b/>
      <w:bCs/>
      <w:kern w:val="2"/>
      <w:sz w:val="32"/>
      <w:szCs w:val="32"/>
    </w:rPr>
  </w:style>
  <w:style w:type="character" w:customStyle="1" w:styleId="46">
    <w:name w:val="标题 3 字符"/>
    <w:link w:val="4"/>
    <w:uiPriority w:val="0"/>
    <w:rPr>
      <w:rFonts w:ascii="Calibri" w:hAnsi="Calibri" w:eastAsia="宋体" w:cs="Times New Roman"/>
      <w:b/>
      <w:bCs/>
      <w:kern w:val="2"/>
      <w:sz w:val="32"/>
      <w:szCs w:val="32"/>
    </w:rPr>
  </w:style>
  <w:style w:type="character" w:customStyle="1" w:styleId="47">
    <w:name w:val="标题 4 字符"/>
    <w:link w:val="5"/>
    <w:uiPriority w:val="0"/>
    <w:rPr>
      <w:rFonts w:ascii="宋体" w:hAnsi="Arial" w:eastAsia="宋体" w:cs="Times New Roman"/>
      <w:snapToGrid/>
      <w:color w:val="000000"/>
      <w:sz w:val="21"/>
    </w:rPr>
  </w:style>
  <w:style w:type="character" w:customStyle="1" w:styleId="48">
    <w:name w:val="正文缩进 字符"/>
    <w:link w:val="6"/>
    <w:uiPriority w:val="0"/>
    <w:rPr>
      <w:rFonts w:ascii="Calibri" w:hAnsi="Calibri" w:eastAsia="宋体" w:cs="Times New Roman"/>
      <w:kern w:val="2"/>
      <w:sz w:val="21"/>
      <w:szCs w:val="22"/>
    </w:rPr>
  </w:style>
  <w:style w:type="character" w:customStyle="1" w:styleId="49">
    <w:name w:val="标题 5 字符"/>
    <w:link w:val="7"/>
    <w:uiPriority w:val="0"/>
    <w:rPr>
      <w:rFonts w:ascii="宋体" w:hAnsi="Times New Roman" w:eastAsia="宋体" w:cs="Times New Roman"/>
      <w:b/>
      <w:snapToGrid/>
      <w:color w:val="000000"/>
      <w:sz w:val="28"/>
    </w:rPr>
  </w:style>
  <w:style w:type="character" w:customStyle="1" w:styleId="50">
    <w:name w:val="标题 6 字符"/>
    <w:link w:val="8"/>
    <w:uiPriority w:val="0"/>
    <w:rPr>
      <w:rFonts w:ascii="Arial" w:hAnsi="Arial" w:eastAsia="黑体" w:cs="Times New Roman"/>
      <w:b/>
      <w:snapToGrid/>
      <w:color w:val="000000"/>
      <w:sz w:val="24"/>
    </w:rPr>
  </w:style>
  <w:style w:type="character" w:customStyle="1" w:styleId="51">
    <w:name w:val="标题 7 字符"/>
    <w:link w:val="9"/>
    <w:uiPriority w:val="0"/>
    <w:rPr>
      <w:rFonts w:ascii="宋体" w:hAnsi="Times New Roman" w:eastAsia="宋体" w:cs="Times New Roman"/>
      <w:b/>
      <w:snapToGrid/>
      <w:color w:val="000000"/>
      <w:sz w:val="24"/>
    </w:rPr>
  </w:style>
  <w:style w:type="character" w:customStyle="1" w:styleId="52">
    <w:name w:val="标题 8 字符"/>
    <w:link w:val="10"/>
    <w:uiPriority w:val="0"/>
    <w:rPr>
      <w:rFonts w:ascii="Arial" w:hAnsi="Arial" w:eastAsia="黑体" w:cs="Times New Roman"/>
      <w:snapToGrid/>
      <w:color w:val="000000"/>
      <w:sz w:val="24"/>
    </w:rPr>
  </w:style>
  <w:style w:type="character" w:customStyle="1" w:styleId="53">
    <w:name w:val="标题 9 字符"/>
    <w:link w:val="11"/>
    <w:uiPriority w:val="0"/>
    <w:rPr>
      <w:rFonts w:ascii="Arial" w:hAnsi="Arial" w:eastAsia="黑体" w:cs="Times New Roman"/>
      <w:snapToGrid/>
      <w:color w:val="000000"/>
      <w:sz w:val="21"/>
    </w:rPr>
  </w:style>
  <w:style w:type="character" w:customStyle="1" w:styleId="54">
    <w:name w:val="文档结构图 字符"/>
    <w:link w:val="12"/>
    <w:uiPriority w:val="0"/>
    <w:rPr>
      <w:rFonts w:ascii="Times New Roman" w:hAnsi="Times New Roman" w:eastAsia="宋体" w:cs="Times New Roman"/>
      <w:sz w:val="21"/>
      <w:shd w:val="clear" w:color="auto" w:fill="000080"/>
    </w:rPr>
  </w:style>
  <w:style w:type="character" w:customStyle="1" w:styleId="55">
    <w:name w:val="批注文字 字符"/>
    <w:link w:val="13"/>
    <w:uiPriority w:val="0"/>
    <w:rPr>
      <w:rFonts w:ascii="Times New Roman" w:hAnsi="Times New Roman" w:eastAsia="宋体" w:cs="Times New Roman"/>
      <w:sz w:val="21"/>
    </w:rPr>
  </w:style>
  <w:style w:type="character" w:customStyle="1" w:styleId="56">
    <w:name w:val="正文文本 字符"/>
    <w:link w:val="14"/>
    <w:uiPriority w:val="0"/>
    <w:rPr>
      <w:rFonts w:ascii="楷体_GB2312" w:hAnsi="Calibri" w:eastAsia="楷体_GB2312" w:cs="Times New Roman"/>
      <w:kern w:val="2"/>
      <w:sz w:val="32"/>
      <w:szCs w:val="22"/>
    </w:rPr>
  </w:style>
  <w:style w:type="character" w:customStyle="1" w:styleId="57">
    <w:name w:val="正文文本缩进 字符"/>
    <w:link w:val="16"/>
    <w:uiPriority w:val="0"/>
    <w:rPr>
      <w:rFonts w:ascii="Calibri" w:hAnsi="Calibri" w:eastAsia="宋体" w:cs="Times New Roman"/>
      <w:kern w:val="2"/>
      <w:sz w:val="21"/>
      <w:szCs w:val="22"/>
    </w:rPr>
  </w:style>
  <w:style w:type="character" w:customStyle="1" w:styleId="58">
    <w:name w:val="纯文本 字符"/>
    <w:link w:val="18"/>
    <w:uiPriority w:val="0"/>
    <w:rPr>
      <w:rFonts w:ascii="宋体" w:hAnsi="Courier New" w:eastAsia="宋体" w:cs="Times New Roman"/>
      <w:kern w:val="2"/>
      <w:sz w:val="21"/>
      <w:szCs w:val="22"/>
    </w:rPr>
  </w:style>
  <w:style w:type="character" w:customStyle="1" w:styleId="59">
    <w:name w:val="日期 字符"/>
    <w:link w:val="19"/>
    <w:uiPriority w:val="0"/>
    <w:rPr>
      <w:rFonts w:ascii="宋体" w:hAnsi="Calibri" w:eastAsia="宋体" w:cs="Times New Roman"/>
      <w:kern w:val="2"/>
      <w:sz w:val="24"/>
      <w:szCs w:val="22"/>
    </w:rPr>
  </w:style>
  <w:style w:type="character" w:customStyle="1" w:styleId="60">
    <w:name w:val="正文文本缩进 2 字符"/>
    <w:link w:val="20"/>
    <w:uiPriority w:val="0"/>
    <w:rPr>
      <w:rFonts w:ascii="Times New Roman" w:hAnsi="Times New Roman" w:eastAsia="宋体" w:cs="Times New Roman"/>
      <w:sz w:val="21"/>
    </w:rPr>
  </w:style>
  <w:style w:type="character" w:customStyle="1" w:styleId="61">
    <w:name w:val="批注框文本 字符"/>
    <w:link w:val="21"/>
    <w:uiPriority w:val="0"/>
    <w:rPr>
      <w:rFonts w:ascii="Times New Roman" w:hAnsi="Times New Roman" w:eastAsia="宋体" w:cs="Times New Roman"/>
      <w:sz w:val="18"/>
      <w:szCs w:val="18"/>
    </w:rPr>
  </w:style>
  <w:style w:type="character" w:customStyle="1" w:styleId="62">
    <w:name w:val="页脚 字符"/>
    <w:link w:val="22"/>
    <w:uiPriority w:val="99"/>
    <w:rPr>
      <w:rFonts w:ascii="Calibri" w:hAnsi="Calibri" w:eastAsia="宋体" w:cs="Times New Roman"/>
      <w:kern w:val="2"/>
      <w:sz w:val="18"/>
      <w:szCs w:val="22"/>
    </w:rPr>
  </w:style>
  <w:style w:type="character" w:customStyle="1" w:styleId="63">
    <w:name w:val="页眉 字符"/>
    <w:link w:val="23"/>
    <w:uiPriority w:val="99"/>
    <w:rPr>
      <w:rFonts w:ascii="Times New Roman" w:hAnsi="Times New Roman" w:eastAsia="宋体" w:cs="Times New Roman"/>
      <w:kern w:val="2"/>
      <w:sz w:val="18"/>
      <w:szCs w:val="22"/>
    </w:rPr>
  </w:style>
  <w:style w:type="character" w:customStyle="1" w:styleId="64">
    <w:name w:val="正文文本缩进 3 字符"/>
    <w:link w:val="27"/>
    <w:uiPriority w:val="0"/>
    <w:rPr>
      <w:rFonts w:ascii="Times New Roman" w:hAnsi="Times New Roman" w:eastAsia="宋体" w:cs="Times New Roman"/>
      <w:sz w:val="16"/>
      <w:szCs w:val="16"/>
    </w:rPr>
  </w:style>
  <w:style w:type="character" w:customStyle="1" w:styleId="65">
    <w:name w:val="正文文本 2 字符"/>
    <w:link w:val="30"/>
    <w:uiPriority w:val="0"/>
    <w:rPr>
      <w:rFonts w:ascii="宋体" w:hAnsi="宋体" w:eastAsia="宋体" w:cs="Times New Roman"/>
      <w:kern w:val="2"/>
      <w:sz w:val="44"/>
      <w:szCs w:val="24"/>
    </w:rPr>
  </w:style>
  <w:style w:type="character" w:customStyle="1" w:styleId="66">
    <w:name w:val="批注主题 字符"/>
    <w:link w:val="32"/>
    <w:uiPriority w:val="0"/>
    <w:rPr>
      <w:rFonts w:ascii="Times New Roman" w:hAnsi="Times New Roman" w:eastAsia="宋体" w:cs="Times New Roman"/>
      <w:b/>
      <w:bCs/>
      <w:sz w:val="21"/>
    </w:rPr>
  </w:style>
  <w:style w:type="character" w:customStyle="1" w:styleId="67">
    <w:name w:val="正文首行缩进 2 字符"/>
    <w:basedOn w:val="57"/>
    <w:link w:val="33"/>
    <w:semiHidden/>
    <w:uiPriority w:val="99"/>
  </w:style>
  <w:style w:type="character" w:customStyle="1" w:styleId="68">
    <w:name w:val="纯文本 Char1"/>
    <w:uiPriority w:val="0"/>
    <w:rPr>
      <w:rFonts w:ascii="宋体" w:hAnsi="Courier New" w:eastAsia="宋体"/>
      <w:kern w:val="2"/>
      <w:sz w:val="21"/>
      <w:lang w:val="en-US" w:eastAsia="zh-CN" w:bidi="ar-SA"/>
    </w:rPr>
  </w:style>
  <w:style w:type="character" w:customStyle="1" w:styleId="69">
    <w:name w:val="Para head"/>
    <w:uiPriority w:val="0"/>
    <w:rPr>
      <w:rFonts w:ascii="Arial" w:hAnsi="Arial" w:eastAsia="Times New Roman" w:cs="Times New Roman"/>
      <w:sz w:val="20"/>
    </w:rPr>
  </w:style>
  <w:style w:type="character" w:customStyle="1" w:styleId="70">
    <w:name w:val="h Char"/>
    <w:qFormat/>
    <w:uiPriority w:val="0"/>
    <w:rPr>
      <w:sz w:val="18"/>
    </w:rPr>
  </w:style>
  <w:style w:type="character" w:customStyle="1" w:styleId="71">
    <w:name w:val="表正文 Char"/>
    <w:aliases w:val="正文非缩进 Char,正文不缩进 Char,特点 Char,段1 Char,标题4 Char,特点标题 Char,ALT+Z Char,四号 Char,缩进 Char,正文（段落文字） Char,正文编号 Char,Justified Char,plain paragraph Char,pp Char,Block text Char,t Char,BODY TEXT Char,text Char,sp Char,sbs Char,block text Char,bt4 Char"/>
    <w:uiPriority w:val="0"/>
    <w:rPr>
      <w:rFonts w:ascii="Times New Roman" w:hAnsi="Times New Roman" w:eastAsia="宋体" w:cs="Times New Roman"/>
      <w:sz w:val="21"/>
    </w:rPr>
  </w:style>
  <w:style w:type="character" w:customStyle="1" w:styleId="72">
    <w:name w:val="正文缩进 Char1"/>
    <w:uiPriority w:val="0"/>
    <w:rPr>
      <w:rFonts w:eastAsia="宋体"/>
      <w:sz w:val="21"/>
      <w:lang w:val="en-US" w:eastAsia="zh-CN" w:bidi="ar-SA"/>
    </w:rPr>
  </w:style>
  <w:style w:type="character" w:customStyle="1" w:styleId="73">
    <w:name w:val="批注框文本 Char1"/>
    <w:uiPriority w:val="0"/>
    <w:rPr>
      <w:rFonts w:ascii="Calibri" w:hAnsi="Calibri" w:eastAsia="宋体" w:cs="Times New Roman"/>
      <w:kern w:val="2"/>
      <w:sz w:val="18"/>
      <w:szCs w:val="18"/>
    </w:rPr>
  </w:style>
  <w:style w:type="character" w:customStyle="1" w:styleId="74">
    <w:name w:val="font51"/>
    <w:uiPriority w:val="0"/>
    <w:rPr>
      <w:rFonts w:hint="eastAsia" w:ascii="微软雅黑" w:hAnsi="微软雅黑" w:eastAsia="微软雅黑" w:cs="微软雅黑"/>
      <w:color w:val="000000"/>
      <w:sz w:val="18"/>
      <w:szCs w:val="18"/>
      <w:u w:val="none"/>
    </w:rPr>
  </w:style>
  <w:style w:type="character" w:customStyle="1" w:styleId="75">
    <w:name w:val="正文缩进 Char"/>
    <w:uiPriority w:val="0"/>
    <w:rPr>
      <w:rFonts w:ascii="Times New Roman" w:hAnsi="Times New Roman"/>
      <w:sz w:val="21"/>
    </w:rPr>
  </w:style>
  <w:style w:type="character" w:customStyle="1" w:styleId="76">
    <w:name w:val="unnamed51"/>
    <w:uiPriority w:val="0"/>
    <w:rPr>
      <w:rFonts w:ascii="Calibri" w:hAnsi="Calibri" w:eastAsia="宋体" w:cs="Times New Roman"/>
      <w:sz w:val="22"/>
      <w:szCs w:val="22"/>
    </w:rPr>
  </w:style>
  <w:style w:type="character" w:customStyle="1" w:styleId="77">
    <w:name w:val="未处理的提及"/>
    <w:unhideWhenUsed/>
    <w:uiPriority w:val="99"/>
    <w:rPr>
      <w:rFonts w:ascii="Calibri" w:hAnsi="Calibri" w:eastAsia="宋体" w:cs="Times New Roman"/>
      <w:color w:val="605E5C"/>
      <w:shd w:val="clear" w:color="auto" w:fill="E1DFDD"/>
    </w:rPr>
  </w:style>
  <w:style w:type="character" w:customStyle="1" w:styleId="78">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ascii="Calibri" w:hAnsi="Calibri" w:eastAsia="宋体" w:cs="Times New Roman"/>
      <w:sz w:val="21"/>
      <w:lang w:val="en-US" w:eastAsia="zh-CN" w:bidi="ar-SA"/>
    </w:rPr>
  </w:style>
  <w:style w:type="paragraph" w:customStyle="1" w:styleId="79">
    <w:name w:val="Char3"/>
    <w:basedOn w:val="1"/>
    <w:uiPriority w:val="0"/>
    <w:rPr>
      <w:rFonts w:ascii="Times New Roman" w:hAnsi="Times New Roman" w:eastAsia="宋体" w:cs="Times New Roman"/>
      <w:szCs w:val="24"/>
    </w:rPr>
  </w:style>
  <w:style w:type="paragraph" w:customStyle="1" w:styleId="80">
    <w:name w:val="Char Char Char Char Char Char Char"/>
    <w:basedOn w:val="1"/>
    <w:uiPriority w:val="0"/>
    <w:rPr>
      <w:rFonts w:ascii="仿宋_GB2312" w:hAnsi="Times New Roman" w:eastAsia="仿宋_GB2312" w:cs="Times New Roman"/>
      <w:b/>
      <w:sz w:val="32"/>
      <w:szCs w:val="32"/>
    </w:rPr>
  </w:style>
  <w:style w:type="paragraph" w:customStyle="1" w:styleId="81">
    <w:name w:val="列出段落2"/>
    <w:basedOn w:val="1"/>
    <w:uiPriority w:val="0"/>
    <w:pPr>
      <w:ind w:firstLine="420" w:firstLineChars="200"/>
    </w:pPr>
    <w:rPr>
      <w:rFonts w:ascii="Calibri" w:hAnsi="Calibri" w:eastAsia="宋体" w:cs="Times New Roman"/>
    </w:rPr>
  </w:style>
  <w:style w:type="paragraph" w:customStyle="1" w:styleId="82">
    <w:name w:val="Char Char Char"/>
    <w:basedOn w:val="1"/>
    <w:uiPriority w:val="0"/>
    <w:rPr>
      <w:rFonts w:ascii="Times New Roman" w:hAnsi="Times New Roman" w:eastAsia="宋体" w:cs="Times New Roman"/>
      <w:szCs w:val="20"/>
    </w:rPr>
  </w:style>
  <w:style w:type="paragraph" w:styleId="83">
    <w:name w:val="List Paragraph"/>
    <w:basedOn w:val="1"/>
    <w:qFormat/>
    <w:uiPriority w:val="34"/>
    <w:pPr>
      <w:ind w:firstLine="420" w:firstLineChars="200"/>
    </w:pPr>
  </w:style>
  <w:style w:type="paragraph" w:customStyle="1" w:styleId="84">
    <w:name w:val=" Char Char18"/>
    <w:basedOn w:val="1"/>
    <w:qFormat/>
    <w:uiPriority w:val="0"/>
    <w:rPr>
      <w:szCs w:val="24"/>
    </w:rPr>
  </w:style>
  <w:style w:type="paragraph" w:customStyle="1" w:styleId="85">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 w:val="24"/>
      <w:szCs w:val="24"/>
      <w:lang w:eastAsia="en-US"/>
    </w:rPr>
  </w:style>
  <w:style w:type="paragraph" w:customStyle="1" w:styleId="86">
    <w:name w:val="样式1"/>
    <w:basedOn w:val="1"/>
    <w:uiPriority w:val="0"/>
    <w:pPr>
      <w:spacing w:before="120" w:after="120" w:line="300" w:lineRule="auto"/>
    </w:pPr>
    <w:rPr>
      <w:rFonts w:ascii="宋体" w:hAnsi="宋体" w:eastAsia="宋体" w:cs="Times New Roman"/>
      <w:b/>
      <w:sz w:val="24"/>
      <w:szCs w:val="20"/>
    </w:rPr>
  </w:style>
  <w:style w:type="paragraph" w:customStyle="1" w:styleId="87">
    <w:name w:val="table_1stline"/>
    <w:basedOn w:val="1"/>
    <w:uiPriority w:val="0"/>
    <w:pPr>
      <w:widowControl/>
      <w:spacing w:before="120"/>
      <w:jc w:val="left"/>
    </w:pPr>
    <w:rPr>
      <w:rFonts w:ascii="Times New Roman" w:hAnsi="Times New Roman" w:eastAsia="宋体" w:cs="Times New Roman"/>
      <w:bCs/>
      <w:kern w:val="0"/>
      <w:sz w:val="20"/>
      <w:szCs w:val="20"/>
      <w:lang w:val="de-DE" w:eastAsia="de-DE"/>
    </w:rPr>
  </w:style>
  <w:style w:type="paragraph" w:customStyle="1" w:styleId="88">
    <w:name w:val="Char Char"/>
    <w:basedOn w:val="1"/>
    <w:qFormat/>
    <w:uiPriority w:val="0"/>
    <w:rPr>
      <w:rFonts w:ascii="仿宋_GB2312" w:eastAsia="仿宋_GB2312"/>
      <w:b/>
      <w:sz w:val="32"/>
      <w:szCs w:val="32"/>
    </w:rPr>
  </w:style>
  <w:style w:type="paragraph" w:customStyle="1" w:styleId="89">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 w:type="paragraph" w:customStyle="1" w:styleId="90">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14"/>
      <w:szCs w:val="14"/>
      <w:lang w:eastAsia="en-US"/>
    </w:rPr>
  </w:style>
  <w:style w:type="paragraph" w:customStyle="1" w:styleId="91">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 w:val="14"/>
      <w:szCs w:val="14"/>
      <w:lang w:eastAsia="en-US"/>
    </w:rPr>
  </w:style>
  <w:style w:type="paragraph" w:customStyle="1" w:styleId="92">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93">
    <w:name w:val="xl7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4">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4"/>
      <w:szCs w:val="24"/>
      <w:lang w:eastAsia="en-US"/>
    </w:rPr>
  </w:style>
  <w:style w:type="paragraph" w:customStyle="1" w:styleId="95">
    <w:name w:val="彩色列表 - 强调文字颜色 11"/>
    <w:basedOn w:val="1"/>
    <w:qFormat/>
    <w:uiPriority w:val="99"/>
    <w:pPr>
      <w:widowControl/>
      <w:ind w:firstLine="420" w:firstLineChars="200"/>
      <w:jc w:val="left"/>
    </w:pPr>
    <w:rPr>
      <w:rFonts w:ascii="Calibri" w:hAnsi="Calibri"/>
      <w:kern w:val="0"/>
      <w:szCs w:val="20"/>
    </w:rPr>
  </w:style>
  <w:style w:type="paragraph" w:customStyle="1" w:styleId="96">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 w:val="24"/>
      <w:szCs w:val="24"/>
      <w:lang w:eastAsia="en-US"/>
    </w:rPr>
  </w:style>
  <w:style w:type="paragraph" w:customStyle="1" w:styleId="97">
    <w:name w:val=" Char2"/>
    <w:basedOn w:val="1"/>
    <w:uiPriority w:val="0"/>
    <w:rPr>
      <w:rFonts w:ascii="仿宋_GB2312" w:hAnsi="Times New Roman" w:eastAsia="仿宋_GB2312"/>
      <w:b/>
      <w:sz w:val="32"/>
      <w:szCs w:val="32"/>
    </w:rPr>
  </w:style>
  <w:style w:type="paragraph" w:customStyle="1" w:styleId="98">
    <w:name w:val=" Char Char Char Char Char Char Char Char Char Char Char Char Char Char Char Char"/>
    <w:basedOn w:val="1"/>
    <w:qFormat/>
    <w:uiPriority w:val="0"/>
    <w:pPr>
      <w:tabs>
        <w:tab w:val="left" w:pos="360"/>
      </w:tabs>
    </w:pPr>
    <w:rPr>
      <w:rFonts w:ascii="Calibri" w:hAnsi="Calibri"/>
      <w:szCs w:val="20"/>
    </w:rPr>
  </w:style>
  <w:style w:type="paragraph" w:customStyle="1" w:styleId="99">
    <w:name w:val="_Style 3"/>
    <w:basedOn w:val="1"/>
    <w:qFormat/>
    <w:uiPriority w:val="1"/>
    <w:pPr>
      <w:ind w:firstLine="420" w:firstLineChars="200"/>
    </w:pPr>
    <w:rPr>
      <w:rFonts w:ascii="Calibri" w:hAnsi="Calibri" w:eastAsia="宋体" w:cs="Times New Roman"/>
    </w:rPr>
  </w:style>
  <w:style w:type="paragraph" w:customStyle="1" w:styleId="100">
    <w:name w:val="font7"/>
    <w:basedOn w:val="1"/>
    <w:uiPriority w:val="0"/>
    <w:pPr>
      <w:widowControl/>
      <w:spacing w:before="100" w:beforeAutospacing="1" w:after="100" w:afterAutospacing="1"/>
      <w:jc w:val="left"/>
    </w:pPr>
    <w:rPr>
      <w:rFonts w:hint="eastAsia" w:ascii="宋体" w:hAnsi="宋体" w:eastAsia="宋体" w:cs="Courier New"/>
      <w:kern w:val="0"/>
      <w:szCs w:val="21"/>
      <w:lang w:eastAsia="en-US"/>
    </w:rPr>
  </w:style>
  <w:style w:type="paragraph" w:customStyle="1" w:styleId="101">
    <w:name w:val="目录文字"/>
    <w:basedOn w:val="1"/>
    <w:uiPriority w:val="0"/>
    <w:pPr>
      <w:widowControl/>
      <w:spacing w:line="480" w:lineRule="auto"/>
      <w:jc w:val="left"/>
    </w:pPr>
    <w:rPr>
      <w:rFonts w:ascii="宋体" w:hAnsi="宋体" w:eastAsia="宋体" w:cs="Times New Roman"/>
      <w:kern w:val="0"/>
      <w:sz w:val="24"/>
      <w:szCs w:val="20"/>
    </w:rPr>
  </w:style>
  <w:style w:type="paragraph" w:customStyle="1" w:styleId="102">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Cs w:val="21"/>
      <w:lang w:eastAsia="en-US"/>
    </w:rPr>
  </w:style>
  <w:style w:type="paragraph" w:customStyle="1" w:styleId="103">
    <w:name w:val="正文2"/>
    <w:basedOn w:val="1"/>
    <w:uiPriority w:val="0"/>
    <w:pPr>
      <w:spacing w:before="156" w:line="360" w:lineRule="auto"/>
      <w:ind w:firstLine="510" w:firstLineChars="200"/>
    </w:pPr>
    <w:rPr>
      <w:rFonts w:ascii="Calibri" w:hAnsi="Calibri" w:eastAsia="宋体" w:cs="Times New Roman"/>
      <w:sz w:val="24"/>
    </w:rPr>
  </w:style>
  <w:style w:type="paragraph" w:customStyle="1" w:styleId="104">
    <w:name w:val="保留正文"/>
    <w:basedOn w:val="14"/>
    <w:uiPriority w:val="0"/>
    <w:pPr>
      <w:keepNext/>
      <w:spacing w:after="160" w:line="240" w:lineRule="auto"/>
    </w:pPr>
    <w:rPr>
      <w:rFonts w:ascii="Times New Roman" w:hAnsi="Times New Roman" w:eastAsia="宋体" w:cs="Times New Roman"/>
      <w:sz w:val="21"/>
      <w:szCs w:val="24"/>
    </w:rPr>
  </w:style>
  <w:style w:type="paragraph" w:customStyle="1" w:styleId="105">
    <w:name w:val="font0"/>
    <w:basedOn w:val="1"/>
    <w:uiPriority w:val="0"/>
    <w:pPr>
      <w:widowControl/>
      <w:spacing w:before="100" w:beforeAutospacing="1" w:after="100" w:afterAutospacing="1"/>
      <w:jc w:val="left"/>
    </w:pPr>
    <w:rPr>
      <w:rFonts w:hint="eastAsia" w:ascii="宋体" w:hAnsi="宋体" w:eastAsia="宋体" w:cs="Courier New"/>
      <w:kern w:val="0"/>
      <w:sz w:val="24"/>
      <w:szCs w:val="24"/>
      <w:lang w:eastAsia="en-US"/>
    </w:rPr>
  </w:style>
  <w:style w:type="paragraph" w:customStyle="1" w:styleId="106">
    <w:name w:val="表文字"/>
    <w:basedOn w:val="6"/>
    <w:uiPriority w:val="0"/>
    <w:pPr>
      <w:overflowPunct w:val="0"/>
      <w:autoSpaceDE w:val="0"/>
      <w:autoSpaceDN w:val="0"/>
      <w:adjustRightInd w:val="0"/>
      <w:snapToGrid w:val="0"/>
      <w:spacing w:line="360" w:lineRule="auto"/>
      <w:ind w:firstLine="0"/>
    </w:pPr>
    <w:rPr>
      <w:rFonts w:ascii="Calibri" w:hAnsi="Calibri" w:eastAsia="幼圆" w:cs="Times New Roman"/>
      <w:kern w:val="28"/>
    </w:rPr>
  </w:style>
  <w:style w:type="paragraph" w:customStyle="1" w:styleId="107">
    <w:name w:val="菲页1"/>
    <w:basedOn w:val="3"/>
    <w:uiPriority w:val="0"/>
    <w:pPr>
      <w:widowControl/>
      <w:jc w:val="center"/>
    </w:pPr>
    <w:rPr>
      <w:rFonts w:ascii="黑体" w:hAnsi="宋体" w:eastAsia="黑体" w:cs="Times New Roman"/>
      <w:b w:val="0"/>
      <w:color w:val="000000"/>
      <w:kern w:val="0"/>
      <w:sz w:val="52"/>
    </w:rPr>
  </w:style>
  <w:style w:type="paragraph" w:customStyle="1" w:styleId="108">
    <w:name w:val="表内文字"/>
    <w:basedOn w:val="1"/>
    <w:uiPriority w:val="0"/>
    <w:pPr>
      <w:spacing w:line="500" w:lineRule="atLeast"/>
      <w:jc w:val="center"/>
    </w:pPr>
    <w:rPr>
      <w:rFonts w:ascii="Arial" w:hAnsi="Arial" w:eastAsia="楷体_GB2312" w:cs="Times New Roman"/>
      <w:sz w:val="28"/>
    </w:rPr>
  </w:style>
  <w:style w:type="paragraph" w:customStyle="1" w:styleId="109">
    <w:name w:val="正文ok"/>
    <w:qFormat/>
    <w:uiPriority w:val="0"/>
    <w:pPr>
      <w:spacing w:line="360" w:lineRule="auto"/>
      <w:ind w:firstLine="200" w:firstLineChars="200"/>
    </w:pPr>
    <w:rPr>
      <w:rFonts w:ascii="宋体"/>
      <w:sz w:val="24"/>
      <w:lang w:val="en-US" w:eastAsia="zh-CN" w:bidi="ar-SA"/>
    </w:rPr>
  </w:style>
  <w:style w:type="paragraph" w:customStyle="1" w:styleId="11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Cs w:val="21"/>
      <w:lang w:eastAsia="en-US"/>
    </w:rPr>
  </w:style>
  <w:style w:type="paragraph" w:customStyle="1" w:styleId="111">
    <w:name w:val="目录"/>
    <w:basedOn w:val="1"/>
    <w:uiPriority w:val="0"/>
    <w:pPr>
      <w:widowControl/>
      <w:jc w:val="center"/>
    </w:pPr>
    <w:rPr>
      <w:rFonts w:hint="eastAsia" w:ascii="宋体" w:hAnsi="Times New Roman" w:eastAsia="宋体" w:cs="Times New Roman"/>
      <w:b/>
      <w:kern w:val="0"/>
      <w:sz w:val="36"/>
      <w:szCs w:val="20"/>
    </w:rPr>
  </w:style>
  <w:style w:type="paragraph" w:customStyle="1" w:styleId="112">
    <w:name w:val="列出段落1"/>
    <w:basedOn w:val="1"/>
    <w:qFormat/>
    <w:uiPriority w:val="99"/>
    <w:pPr>
      <w:ind w:firstLine="420" w:firstLineChars="200"/>
    </w:pPr>
    <w:rPr>
      <w:rFonts w:ascii="Calibri" w:hAnsi="Calibri" w:eastAsia="宋体" w:cs="Times New Roman"/>
    </w:rPr>
  </w:style>
  <w:style w:type="paragraph" w:customStyle="1" w:styleId="113">
    <w:name w:val="font5"/>
    <w:basedOn w:val="1"/>
    <w:uiPriority w:val="0"/>
    <w:pPr>
      <w:widowControl/>
      <w:spacing w:before="100" w:beforeAutospacing="1" w:after="100" w:afterAutospacing="1"/>
      <w:jc w:val="left"/>
    </w:pPr>
    <w:rPr>
      <w:rFonts w:hint="eastAsia" w:ascii="宋体" w:hAnsi="宋体" w:eastAsia="宋体" w:cs="Courier New"/>
      <w:kern w:val="0"/>
      <w:sz w:val="18"/>
      <w:szCs w:val="18"/>
      <w:lang w:eastAsia="en-US"/>
    </w:rPr>
  </w:style>
  <w:style w:type="paragraph" w:customStyle="1" w:styleId="114">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0"/>
      <w:szCs w:val="20"/>
      <w:lang w:eastAsia="en-US"/>
    </w:rPr>
  </w:style>
  <w:style w:type="paragraph" w:customStyle="1" w:styleId="115">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18"/>
      <w:szCs w:val="18"/>
    </w:rPr>
  </w:style>
  <w:style w:type="paragraph" w:customStyle="1" w:styleId="116">
    <w:name w:val="段"/>
    <w:uiPriority w:val="0"/>
    <w:pPr>
      <w:autoSpaceDE w:val="0"/>
      <w:autoSpaceDN w:val="0"/>
      <w:ind w:firstLine="200" w:firstLineChars="200"/>
      <w:jc w:val="both"/>
    </w:pPr>
    <w:rPr>
      <w:rFonts w:ascii="宋体"/>
      <w:sz w:val="21"/>
      <w:szCs w:val="22"/>
      <w:lang w:val="en-US" w:eastAsia="zh-CN" w:bidi="ar-SA"/>
    </w:rPr>
  </w:style>
  <w:style w:type="paragraph" w:customStyle="1" w:styleId="117">
    <w:name w:val="Char Char Char Char Char Char Char Char Char Char Char Char Char Char Char Char Char Char Char"/>
    <w:basedOn w:val="1"/>
    <w:uiPriority w:val="0"/>
    <w:rPr>
      <w:rFonts w:ascii="Times New Roman" w:hAnsi="Times New Roman" w:eastAsia="宋体" w:cs="Times New Roman"/>
      <w:kern w:val="0"/>
      <w:szCs w:val="20"/>
    </w:rPr>
  </w:style>
  <w:style w:type="paragraph" w:customStyle="1" w:styleId="118">
    <w:name w:val="正文_13"/>
    <w:qFormat/>
    <w:uiPriority w:val="0"/>
    <w:pPr>
      <w:widowControl w:val="0"/>
      <w:jc w:val="both"/>
    </w:pPr>
    <w:rPr>
      <w:kern w:val="2"/>
      <w:sz w:val="21"/>
      <w:szCs w:val="24"/>
      <w:lang w:val="en-US" w:eastAsia="zh-CN" w:bidi="ar-SA"/>
    </w:rPr>
  </w:style>
  <w:style w:type="paragraph" w:customStyle="1" w:styleId="119">
    <w:name w:val="菲页2"/>
    <w:basedOn w:val="4"/>
    <w:uiPriority w:val="0"/>
    <w:pPr>
      <w:widowControl/>
      <w:numPr>
        <w:ilvl w:val="2"/>
        <w:numId w:val="1"/>
      </w:numPr>
      <w:tabs>
        <w:tab w:val="left" w:pos="2040"/>
      </w:tabs>
      <w:spacing w:before="120" w:after="120" w:line="360" w:lineRule="auto"/>
      <w:jc w:val="center"/>
    </w:pPr>
    <w:rPr>
      <w:rFonts w:ascii="黑体" w:hAnsi="宋体" w:eastAsia="黑体" w:cs="Times New Roman"/>
      <w:b w:val="0"/>
      <w:bCs w:val="0"/>
      <w:kern w:val="0"/>
      <w:sz w:val="44"/>
      <w:szCs w:val="20"/>
    </w:rPr>
  </w:style>
  <w:style w:type="paragraph" w:customStyle="1" w:styleId="120">
    <w:name w:val="正文1"/>
    <w:uiPriority w:val="0"/>
    <w:pPr>
      <w:widowControl w:val="0"/>
      <w:adjustRightInd w:val="0"/>
      <w:spacing w:line="312" w:lineRule="atLeast"/>
      <w:jc w:val="both"/>
      <w:textAlignment w:val="baseline"/>
    </w:pPr>
    <w:rPr>
      <w:rFonts w:ascii="宋体"/>
      <w:sz w:val="34"/>
      <w:lang w:val="en-US" w:eastAsia="zh-CN" w:bidi="ar-SA"/>
    </w:rPr>
  </w:style>
  <w:style w:type="paragraph" w:customStyle="1" w:styleId="121">
    <w:name w:val="xl55"/>
    <w:basedOn w:val="1"/>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22">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s="Times New Roman"/>
      <w:kern w:val="0"/>
      <w:sz w:val="16"/>
      <w:szCs w:val="16"/>
      <w:lang w:eastAsia="en-US"/>
    </w:rPr>
  </w:style>
  <w:style w:type="paragraph" w:customStyle="1" w:styleId="123">
    <w:name w:val="font8"/>
    <w:basedOn w:val="1"/>
    <w:uiPriority w:val="0"/>
    <w:pPr>
      <w:widowControl/>
      <w:spacing w:before="100" w:beforeAutospacing="1" w:after="100" w:afterAutospacing="1"/>
      <w:jc w:val="left"/>
    </w:pPr>
    <w:rPr>
      <w:rFonts w:ascii="Times New Roman" w:hAnsi="Times New Roman" w:eastAsia="Arial Unicode MS" w:cs="Times New Roman"/>
      <w:kern w:val="0"/>
      <w:sz w:val="24"/>
      <w:szCs w:val="24"/>
      <w:lang w:eastAsia="en-US"/>
    </w:rPr>
  </w:style>
  <w:style w:type="paragraph" w:customStyle="1" w:styleId="124">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s="Times New Roman"/>
      <w:kern w:val="0"/>
      <w:sz w:val="24"/>
      <w:szCs w:val="24"/>
      <w:lang w:eastAsia="en-US"/>
    </w:rPr>
  </w:style>
  <w:style w:type="paragraph" w:customStyle="1" w:styleId="125">
    <w:name w:val="Char Char Char Char Char Char Char1"/>
    <w:basedOn w:val="1"/>
    <w:uiPriority w:val="0"/>
    <w:rPr>
      <w:rFonts w:ascii="宋体" w:hAnsi="宋体" w:eastAsia="宋体" w:cs="宋体"/>
      <w:color w:val="FF0000"/>
      <w:kern w:val="0"/>
      <w:szCs w:val="21"/>
    </w:rPr>
  </w:style>
  <w:style w:type="paragraph" w:customStyle="1" w:styleId="126">
    <w:name w:val="表格文字"/>
    <w:basedOn w:val="18"/>
    <w:next w:val="14"/>
    <w:qFormat/>
    <w:uiPriority w:val="0"/>
    <w:pPr>
      <w:adjustRightInd w:val="0"/>
      <w:spacing w:line="420" w:lineRule="atLeast"/>
      <w:textAlignment w:val="baseline"/>
    </w:pPr>
    <w:rPr>
      <w:szCs w:val="24"/>
    </w:rPr>
  </w:style>
  <w:style w:type="paragraph" w:customStyle="1" w:styleId="127">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Cs w:val="21"/>
      <w:lang w:eastAsia="en-US"/>
    </w:rPr>
  </w:style>
  <w:style w:type="paragraph" w:customStyle="1" w:styleId="128">
    <w:name w:val="Normal"/>
    <w:uiPriority w:val="0"/>
    <w:pPr>
      <w:widowControl w:val="0"/>
      <w:jc w:val="both"/>
    </w:pPr>
    <w:rPr>
      <w:rFonts w:hint="eastAsia"/>
      <w:kern w:val="2"/>
      <w:sz w:val="21"/>
      <w:lang w:val="en-US" w:eastAsia="zh-CN" w:bidi="ar-SA"/>
    </w:rPr>
  </w:style>
  <w:style w:type="paragraph" w:customStyle="1" w:styleId="12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Times New Roman"/>
      <w:kern w:val="0"/>
      <w:sz w:val="24"/>
      <w:szCs w:val="24"/>
    </w:rPr>
  </w:style>
  <w:style w:type="paragraph" w:customStyle="1" w:styleId="130">
    <w:name w:val="Plain Text"/>
    <w:basedOn w:val="128"/>
    <w:uiPriority w:val="0"/>
    <w:pPr>
      <w:widowControl/>
      <w:jc w:val="left"/>
    </w:pPr>
    <w:rPr>
      <w:rFonts w:ascii="宋体" w:hAnsi="Courier New"/>
    </w:rPr>
  </w:style>
  <w:style w:type="paragraph" w:customStyle="1" w:styleId="131">
    <w:name w:val="菲页(卷)"/>
    <w:basedOn w:val="2"/>
    <w:next w:val="120"/>
    <w:uiPriority w:val="0"/>
    <w:pPr>
      <w:keepLines w:val="0"/>
      <w:widowControl/>
      <w:numPr>
        <w:ilvl w:val="0"/>
        <w:numId w:val="1"/>
      </w:numPr>
      <w:tabs>
        <w:tab w:val="left" w:pos="1200"/>
      </w:tabs>
      <w:spacing w:before="0" w:after="0" w:line="240" w:lineRule="auto"/>
      <w:jc w:val="center"/>
      <w:outlineLvl w:val="1"/>
    </w:pPr>
    <w:rPr>
      <w:rFonts w:ascii="黑体" w:hAnsi="Times New Roman" w:eastAsia="黑体" w:cs="Times New Roman"/>
      <w:b w:val="0"/>
      <w:kern w:val="0"/>
      <w:sz w:val="52"/>
      <w:szCs w:val="20"/>
    </w:rPr>
  </w:style>
  <w:style w:type="paragraph" w:customStyle="1" w:styleId="132">
    <w:name w:val="Char2"/>
    <w:basedOn w:val="1"/>
    <w:uiPriority w:val="0"/>
    <w:rPr>
      <w:rFonts w:ascii="仿宋_GB2312" w:eastAsia="仿宋_GB2312"/>
      <w:b/>
      <w:sz w:val="32"/>
      <w:szCs w:val="32"/>
    </w:rPr>
  </w:style>
  <w:style w:type="paragraph" w:customStyle="1" w:styleId="133">
    <w:name w:val="font6"/>
    <w:basedOn w:val="1"/>
    <w:uiPriority w:val="0"/>
    <w:pPr>
      <w:widowControl/>
      <w:spacing w:before="100" w:beforeAutospacing="1" w:after="100" w:afterAutospacing="1"/>
      <w:jc w:val="left"/>
    </w:pPr>
    <w:rPr>
      <w:rFonts w:ascii="Times New Roman" w:hAnsi="Times New Roman" w:eastAsia="Arial Unicode MS" w:cs="Times New Roman"/>
      <w:kern w:val="0"/>
      <w:szCs w:val="21"/>
      <w:lang w:eastAsia="en-US"/>
    </w:rPr>
  </w:style>
  <w:style w:type="paragraph" w:customStyle="1" w:styleId="134">
    <w:name w:val="正文－恩普"/>
    <w:basedOn w:val="6"/>
    <w:uiPriority w:val="0"/>
    <w:pPr>
      <w:spacing w:line="360" w:lineRule="auto"/>
      <w:ind w:firstLine="200" w:firstLineChars="200"/>
    </w:pPr>
    <w:rPr>
      <w:rFonts w:ascii="Times New Roman" w:hAnsi="Times New Roman" w:eastAsia="宋体" w:cs="Times New Roman"/>
      <w:sz w:val="24"/>
      <w:szCs w:val="24"/>
    </w:rPr>
  </w:style>
  <w:style w:type="paragraph" w:customStyle="1" w:styleId="135">
    <w:name w:val="列出段落3"/>
    <w:basedOn w:val="1"/>
    <w:qFormat/>
    <w:uiPriority w:val="99"/>
    <w:pPr>
      <w:ind w:firstLine="420" w:firstLineChars="200"/>
    </w:pPr>
    <w:rPr>
      <w:rFonts w:ascii="Calibri" w:hAnsi="Calibri" w:eastAsia="宋体" w:cs="Times New Roman"/>
    </w:rPr>
  </w:style>
  <w:style w:type="paragraph" w:customStyle="1" w:styleId="136">
    <w:name w:val="_Style 1"/>
    <w:basedOn w:val="1"/>
    <w:qFormat/>
    <w:uiPriority w:val="34"/>
    <w:pPr>
      <w:widowControl/>
      <w:ind w:firstLine="420" w:firstLineChars="200"/>
      <w:jc w:val="left"/>
    </w:pPr>
    <w:rPr>
      <w:rFonts w:ascii="Calibri" w:hAnsi="Calibri"/>
      <w:kern w:val="0"/>
    </w:rPr>
  </w:style>
  <w:style w:type="paragraph" w:customStyle="1" w:styleId="137">
    <w:name w:val="PP 行"/>
    <w:basedOn w:val="24"/>
    <w:qFormat/>
    <w:uiPriority w:val="0"/>
    <w:pPr>
      <w:widowControl w:val="0"/>
      <w:spacing w:line="460" w:lineRule="exact"/>
      <w:ind w:firstLine="200" w:firstLineChars="200"/>
      <w:jc w:val="both"/>
    </w:pPr>
    <w:rPr>
      <w:spacing w:val="12"/>
      <w:kern w:val="2"/>
      <w:sz w:val="24"/>
    </w:rPr>
  </w:style>
  <w:style w:type="paragraph" w:customStyle="1" w:styleId="138">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22"/>
    </w:rPr>
  </w:style>
  <w:style w:type="paragraph" w:customStyle="1" w:styleId="139">
    <w:name w:val="Indent a)"/>
    <w:basedOn w:val="1"/>
    <w:uiPriority w:val="0"/>
    <w:pPr>
      <w:widowControl/>
      <w:tabs>
        <w:tab w:val="left" w:pos="1843"/>
        <w:tab w:val="right" w:pos="9072"/>
      </w:tabs>
      <w:suppressAutoHyphens/>
      <w:spacing w:line="360" w:lineRule="auto"/>
      <w:ind w:right="-21" w:rightChars="-10" w:firstLine="420" w:firstLineChars="200"/>
    </w:pPr>
    <w:rPr>
      <w:rFonts w:ascii="宋体" w:hAnsi="宋体" w:eastAsia="宋体" w:cs="Times New Roman"/>
      <w:color w:val="000000"/>
      <w:szCs w:val="20"/>
    </w:rPr>
  </w:style>
  <w:style w:type="paragraph" w:customStyle="1" w:styleId="140">
    <w:name w:val="附件"/>
    <w:basedOn w:val="2"/>
    <w:uiPriority w:val="0"/>
    <w:pPr>
      <w:keepNext w:val="0"/>
      <w:keepLines w:val="0"/>
      <w:pageBreakBefore/>
      <w:tabs>
        <w:tab w:val="left" w:pos="840"/>
      </w:tabs>
      <w:adjustRightInd w:val="0"/>
      <w:snapToGrid w:val="0"/>
      <w:spacing w:before="312" w:beforeLines="100" w:after="312" w:afterLines="100" w:line="240" w:lineRule="auto"/>
      <w:jc w:val="center"/>
    </w:pPr>
    <w:rPr>
      <w:rFonts w:ascii="宋体" w:hAnsi="宋体" w:eastAsia="宋体" w:cs="Times New Roman"/>
      <w:sz w:val="28"/>
      <w:szCs w:val="36"/>
    </w:rPr>
  </w:style>
  <w:style w:type="paragraph" w:customStyle="1" w:styleId="141">
    <w:name w:val="Char1"/>
    <w:basedOn w:val="1"/>
    <w:uiPriority w:val="0"/>
    <w:pPr>
      <w:widowControl/>
      <w:jc w:val="left"/>
    </w:pPr>
    <w:rPr>
      <w:rFonts w:ascii="Times New Roman" w:hAnsi="Times New Roman" w:eastAsia="宋体" w:cs="Times New Roman"/>
      <w:kern w:val="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header4.xml" Type="http://schemas.openxmlformats.org/officeDocument/2006/relationships/head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6062</Words>
  <Characters>34558</Characters>
  <Lines>287</Lines>
  <Paragraphs>81</Paragraphs>
  <TotalTime>36</TotalTime>
  <ScaleCrop>false</ScaleCrop>
  <LinksUpToDate>false</LinksUpToDate>
  <CharactersWithSpaces>40539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2020-04-14T00:16:00Z</dcterms:created>
  <dc:creator>ry12</dc:creator>
  <cp:lastModifiedBy>WPS_1701756769</cp:lastModifiedBy>
  <cp:lastPrinted>2020-06-18T06:39:00Z</cp:lastPrinted>
  <dcterms:modified xsi:type="dcterms:W3CDTF">2024-02-22T09:10:29Z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4DADC1FF9DAD4570B1C3A8CB380B6D68_13</vt:lpwstr>
  </property>
</Properties>
</file>