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b/>
          <w:sz w:val="44"/>
        </w:rPr>
      </w:pPr>
      <w:bookmarkStart w:id="106" w:name="_GoBack"/>
      <w:bookmarkEnd w:id="106"/>
      <w:r>
        <w:rPr>
          <w:rFonts w:hint="eastAsia" w:ascii="宋体" w:hAnsi="宋体"/>
          <w:b/>
          <w:sz w:val="44"/>
        </w:rPr>
        <w:t xml:space="preserve"> </w:t>
      </w:r>
      <w:r>
        <w:rPr>
          <w:rFonts w:ascii="宋体" w:hAnsi="宋体"/>
          <w:b/>
          <w:sz w:val="44"/>
        </w:rPr>
        <w:t xml:space="preserve"> </w:t>
      </w:r>
    </w:p>
    <w:p>
      <w:pPr>
        <w:spacing w:line="360" w:lineRule="auto"/>
        <w:jc w:val="center"/>
        <w:rPr>
          <w:rFonts w:hint="eastAsia" w:ascii="宋体" w:hAnsi="宋体"/>
          <w:b/>
          <w:sz w:val="48"/>
          <w:szCs w:val="48"/>
        </w:rPr>
      </w:pPr>
      <w:r>
        <w:rPr>
          <w:rFonts w:hint="eastAsia" w:ascii="宋体" w:hAnsi="宋体"/>
          <w:b/>
          <w:sz w:val="48"/>
          <w:szCs w:val="48"/>
        </w:rPr>
        <w:t>镇海区全区社会治安视频监控系统（2021年度）统筹运维服务项目</w:t>
      </w:r>
    </w:p>
    <w:p>
      <w:pPr>
        <w:spacing w:line="360" w:lineRule="auto"/>
        <w:jc w:val="center"/>
        <w:rPr>
          <w:rFonts w:hint="eastAsia" w:ascii="宋体" w:hAnsi="宋体"/>
          <w:b/>
          <w:sz w:val="36"/>
          <w:szCs w:val="36"/>
        </w:rPr>
      </w:pPr>
    </w:p>
    <w:p>
      <w:pPr>
        <w:spacing w:line="360" w:lineRule="auto"/>
        <w:jc w:val="center"/>
        <w:rPr>
          <w:rFonts w:ascii="宋体" w:hAnsi="宋体"/>
          <w:b/>
          <w:sz w:val="36"/>
          <w:szCs w:val="36"/>
        </w:rPr>
      </w:pPr>
      <w:r>
        <w:rPr>
          <w:rFonts w:hint="eastAsia" w:ascii="宋体" w:hAnsi="宋体"/>
          <w:b/>
          <w:sz w:val="36"/>
          <w:szCs w:val="36"/>
        </w:rPr>
        <w:t>【服务类】</w:t>
      </w:r>
    </w:p>
    <w:p>
      <w:pPr>
        <w:spacing w:line="360" w:lineRule="auto"/>
        <w:jc w:val="center"/>
        <w:rPr>
          <w:rFonts w:hint="eastAsia" w:ascii="宋体" w:hAnsi="宋体"/>
          <w:b/>
          <w:sz w:val="36"/>
          <w:szCs w:val="36"/>
        </w:rPr>
      </w:pPr>
    </w:p>
    <w:p>
      <w:pPr>
        <w:spacing w:line="360" w:lineRule="auto"/>
        <w:jc w:val="center"/>
        <w:rPr>
          <w:rFonts w:ascii="宋体" w:hAnsi="宋体"/>
          <w:b/>
          <w:sz w:val="72"/>
        </w:rPr>
      </w:pPr>
      <w:r>
        <w:rPr>
          <w:rFonts w:hint="eastAsia" w:ascii="宋体" w:hAnsi="宋体"/>
          <w:b/>
          <w:sz w:val="72"/>
        </w:rPr>
        <w:t>公开采购文件</w:t>
      </w:r>
    </w:p>
    <w:p>
      <w:pPr>
        <w:spacing w:line="360" w:lineRule="auto"/>
        <w:jc w:val="center"/>
        <w:rPr>
          <w:rFonts w:ascii="宋体" w:hAnsi="宋体"/>
          <w:b/>
          <w:sz w:val="44"/>
        </w:rPr>
      </w:pPr>
    </w:p>
    <w:p>
      <w:pPr>
        <w:spacing w:line="360" w:lineRule="auto"/>
        <w:rPr>
          <w:rFonts w:ascii="宋体" w:hAnsi="宋体"/>
          <w:b/>
          <w:sz w:val="44"/>
        </w:rPr>
      </w:pPr>
    </w:p>
    <w:tbl>
      <w:tblPr>
        <w:tblStyle w:val="52"/>
        <w:tblW w:w="0" w:type="auto"/>
        <w:tblInd w:w="0" w:type="dxa"/>
        <w:tblLayout w:type="fixed"/>
        <w:tblCellMar>
          <w:top w:w="0" w:type="dxa"/>
          <w:left w:w="108" w:type="dxa"/>
          <w:bottom w:w="0" w:type="dxa"/>
          <w:right w:w="108" w:type="dxa"/>
        </w:tblCellMar>
      </w:tblPr>
      <w:tblGrid>
        <w:gridCol w:w="2093"/>
        <w:gridCol w:w="7229"/>
      </w:tblGrid>
      <w:tr>
        <w:tblPrEx>
          <w:tblCellMar>
            <w:top w:w="0" w:type="dxa"/>
            <w:left w:w="108" w:type="dxa"/>
            <w:bottom w:w="0" w:type="dxa"/>
            <w:right w:w="108" w:type="dxa"/>
          </w:tblCellMar>
        </w:tblPrEx>
        <w:trPr>
          <w:wBefore w:w="0" w:type="dxa"/>
          <w:trHeight w:val="737" w:hRule="atLeast"/>
        </w:trPr>
        <w:tc>
          <w:tcPr>
            <w:tcW w:w="2093" w:type="dxa"/>
            <w:noWrap w:val="0"/>
            <w:vAlign w:val="center"/>
          </w:tcPr>
          <w:p>
            <w:pPr>
              <w:rPr>
                <w:rFonts w:ascii="宋体" w:hAnsi="宋体"/>
                <w:b/>
                <w:sz w:val="32"/>
                <w:szCs w:val="32"/>
              </w:rPr>
            </w:pPr>
            <w:r>
              <w:rPr>
                <w:rFonts w:hint="eastAsia" w:ascii="宋体" w:hAnsi="宋体"/>
                <w:b/>
                <w:sz w:val="32"/>
                <w:szCs w:val="32"/>
              </w:rPr>
              <w:t>采购编号：</w:t>
            </w:r>
          </w:p>
        </w:tc>
        <w:tc>
          <w:tcPr>
            <w:tcW w:w="7229" w:type="dxa"/>
            <w:noWrap w:val="0"/>
            <w:vAlign w:val="center"/>
          </w:tcPr>
          <w:p>
            <w:pPr>
              <w:rPr>
                <w:rFonts w:hint="eastAsia" w:ascii="宋体" w:hAnsi="宋体"/>
                <w:b/>
                <w:sz w:val="32"/>
                <w:szCs w:val="32"/>
              </w:rPr>
            </w:pPr>
            <w:r>
              <w:rPr>
                <w:rFonts w:hint="eastAsia" w:ascii="宋体" w:hAnsi="宋体"/>
                <w:b/>
                <w:sz w:val="32"/>
                <w:szCs w:val="32"/>
              </w:rPr>
              <w:t>GTCG2020048</w:t>
            </w:r>
          </w:p>
        </w:tc>
      </w:tr>
      <w:tr>
        <w:tblPrEx>
          <w:tblCellMar>
            <w:top w:w="0" w:type="dxa"/>
            <w:left w:w="108" w:type="dxa"/>
            <w:bottom w:w="0" w:type="dxa"/>
            <w:right w:w="108" w:type="dxa"/>
          </w:tblCellMar>
        </w:tblPrEx>
        <w:trPr>
          <w:wBefore w:w="0" w:type="dxa"/>
          <w:trHeight w:val="737" w:hRule="atLeast"/>
        </w:trPr>
        <w:tc>
          <w:tcPr>
            <w:tcW w:w="2093" w:type="dxa"/>
            <w:noWrap w:val="0"/>
            <w:vAlign w:val="center"/>
          </w:tcPr>
          <w:p>
            <w:pPr>
              <w:rPr>
                <w:rFonts w:ascii="宋体" w:hAnsi="宋体"/>
                <w:b/>
                <w:sz w:val="32"/>
                <w:szCs w:val="32"/>
              </w:rPr>
            </w:pPr>
            <w:r>
              <w:rPr>
                <w:rFonts w:hint="eastAsia" w:ascii="宋体" w:hAnsi="宋体"/>
                <w:b/>
                <w:sz w:val="32"/>
                <w:szCs w:val="32"/>
              </w:rPr>
              <w:t>项目名称：</w:t>
            </w:r>
          </w:p>
        </w:tc>
        <w:tc>
          <w:tcPr>
            <w:tcW w:w="7229" w:type="dxa"/>
            <w:noWrap w:val="0"/>
            <w:vAlign w:val="center"/>
          </w:tcPr>
          <w:p>
            <w:pPr>
              <w:jc w:val="left"/>
              <w:rPr>
                <w:rFonts w:hint="eastAsia" w:ascii="宋体" w:hAnsi="宋体"/>
                <w:b/>
                <w:sz w:val="32"/>
                <w:szCs w:val="32"/>
              </w:rPr>
            </w:pPr>
            <w:r>
              <w:rPr>
                <w:rFonts w:hint="eastAsia" w:ascii="宋体" w:hAnsi="宋体"/>
                <w:b/>
                <w:sz w:val="32"/>
                <w:szCs w:val="32"/>
              </w:rPr>
              <w:t>镇海区全区社会治安视频监控系统（2021年度）统筹运维服务项目</w:t>
            </w:r>
          </w:p>
        </w:tc>
      </w:tr>
      <w:tr>
        <w:tblPrEx>
          <w:tblCellMar>
            <w:top w:w="0" w:type="dxa"/>
            <w:left w:w="108" w:type="dxa"/>
            <w:bottom w:w="0" w:type="dxa"/>
            <w:right w:w="108" w:type="dxa"/>
          </w:tblCellMar>
        </w:tblPrEx>
        <w:trPr>
          <w:wBefore w:w="0" w:type="dxa"/>
          <w:trHeight w:val="737" w:hRule="atLeast"/>
        </w:trPr>
        <w:tc>
          <w:tcPr>
            <w:tcW w:w="2093" w:type="dxa"/>
            <w:noWrap w:val="0"/>
            <w:vAlign w:val="center"/>
          </w:tcPr>
          <w:p>
            <w:pPr>
              <w:rPr>
                <w:rFonts w:ascii="宋体" w:hAnsi="宋体"/>
                <w:b/>
                <w:sz w:val="32"/>
                <w:szCs w:val="32"/>
              </w:rPr>
            </w:pPr>
            <w:r>
              <w:rPr>
                <w:rFonts w:hint="eastAsia" w:ascii="宋体" w:hAnsi="宋体"/>
                <w:b/>
                <w:sz w:val="32"/>
                <w:szCs w:val="32"/>
              </w:rPr>
              <w:t>采购单位：</w:t>
            </w:r>
          </w:p>
        </w:tc>
        <w:tc>
          <w:tcPr>
            <w:tcW w:w="7229" w:type="dxa"/>
            <w:noWrap w:val="0"/>
            <w:vAlign w:val="center"/>
          </w:tcPr>
          <w:p>
            <w:pPr>
              <w:rPr>
                <w:rFonts w:hint="eastAsia" w:ascii="宋体" w:hAnsi="宋体"/>
                <w:b/>
                <w:sz w:val="32"/>
                <w:szCs w:val="32"/>
              </w:rPr>
            </w:pPr>
            <w:r>
              <w:rPr>
                <w:rFonts w:hint="eastAsia" w:ascii="宋体" w:hAnsi="宋体"/>
                <w:b/>
                <w:sz w:val="32"/>
                <w:szCs w:val="32"/>
              </w:rPr>
              <w:t>宁波市公安局镇海分局</w:t>
            </w:r>
          </w:p>
        </w:tc>
      </w:tr>
      <w:tr>
        <w:tblPrEx>
          <w:tblCellMar>
            <w:top w:w="0" w:type="dxa"/>
            <w:left w:w="108" w:type="dxa"/>
            <w:bottom w:w="0" w:type="dxa"/>
            <w:right w:w="108" w:type="dxa"/>
          </w:tblCellMar>
        </w:tblPrEx>
        <w:trPr>
          <w:wBefore w:w="0" w:type="dxa"/>
          <w:trHeight w:val="737" w:hRule="atLeast"/>
        </w:trPr>
        <w:tc>
          <w:tcPr>
            <w:tcW w:w="2093" w:type="dxa"/>
            <w:noWrap w:val="0"/>
            <w:vAlign w:val="center"/>
          </w:tcPr>
          <w:p>
            <w:pPr>
              <w:rPr>
                <w:rFonts w:ascii="宋体" w:hAnsi="宋体"/>
                <w:b/>
                <w:sz w:val="32"/>
                <w:szCs w:val="32"/>
              </w:rPr>
            </w:pPr>
            <w:r>
              <w:rPr>
                <w:rFonts w:hint="eastAsia" w:ascii="宋体" w:hAnsi="宋体"/>
                <w:b/>
                <w:sz w:val="32"/>
                <w:szCs w:val="32"/>
              </w:rPr>
              <w:t>代理机构：</w:t>
            </w:r>
          </w:p>
        </w:tc>
        <w:tc>
          <w:tcPr>
            <w:tcW w:w="7229" w:type="dxa"/>
            <w:noWrap w:val="0"/>
            <w:vAlign w:val="center"/>
          </w:tcPr>
          <w:p>
            <w:pPr>
              <w:rPr>
                <w:rFonts w:ascii="宋体" w:hAnsi="宋体"/>
                <w:b/>
                <w:sz w:val="32"/>
                <w:szCs w:val="32"/>
              </w:rPr>
            </w:pPr>
            <w:r>
              <w:rPr>
                <w:rFonts w:hint="eastAsia" w:ascii="宋体" w:hAnsi="宋体"/>
                <w:b/>
                <w:sz w:val="32"/>
                <w:szCs w:val="32"/>
              </w:rPr>
              <w:t>宁波市镇海国泰工程建设投资管理咨询有限公司</w:t>
            </w:r>
          </w:p>
        </w:tc>
      </w:tr>
    </w:tbl>
    <w:p>
      <w:pPr>
        <w:ind w:firstLine="442" w:firstLineChars="100"/>
        <w:rPr>
          <w:rFonts w:ascii="宋体" w:hAnsi="宋体"/>
          <w:b/>
          <w:sz w:val="44"/>
        </w:rPr>
      </w:pPr>
    </w:p>
    <w:p>
      <w:pPr>
        <w:spacing w:line="360" w:lineRule="auto"/>
        <w:jc w:val="center"/>
        <w:rPr>
          <w:rFonts w:ascii="宋体" w:hAnsi="宋体"/>
          <w:b/>
          <w:snapToGrid w:val="0"/>
          <w:kern w:val="0"/>
          <w:sz w:val="36"/>
        </w:rPr>
      </w:pPr>
      <w:r>
        <w:rPr>
          <w:rFonts w:hint="eastAsia" w:ascii="宋体" w:hAnsi="宋体"/>
          <w:snapToGrid w:val="0"/>
          <w:kern w:val="0"/>
          <w:sz w:val="36"/>
        </w:rPr>
        <w:t>二0二0年十二月</w:t>
      </w:r>
    </w:p>
    <w:p>
      <w:pPr>
        <w:rPr>
          <w:rFonts w:ascii="宋体" w:hAnsi="宋体"/>
          <w:bCs/>
          <w:sz w:val="36"/>
        </w:rPr>
        <w:sectPr>
          <w:headerReference r:id="rId3" w:type="default"/>
          <w:footerReference r:id="rId4" w:type="default"/>
          <w:footerReference r:id="rId5" w:type="even"/>
          <w:pgSz w:w="11906" w:h="16838"/>
          <w:pgMar w:top="1440" w:right="1797" w:bottom="1588" w:left="1797" w:header="851" w:footer="992" w:gutter="0"/>
          <w:pgNumType w:start="1"/>
          <w:cols w:space="720" w:num="1"/>
          <w:titlePg/>
        </w:sectPr>
      </w:pPr>
    </w:p>
    <w:p>
      <w:pPr>
        <w:jc w:val="center"/>
        <w:rPr>
          <w:rFonts w:ascii="宋体" w:hAnsi="宋体"/>
          <w:b/>
          <w:sz w:val="44"/>
        </w:rPr>
      </w:pPr>
    </w:p>
    <w:p>
      <w:pPr>
        <w:jc w:val="center"/>
        <w:rPr>
          <w:rFonts w:ascii="宋体" w:hAnsi="宋体"/>
          <w:b/>
          <w:sz w:val="44"/>
        </w:rPr>
      </w:pPr>
    </w:p>
    <w:p>
      <w:pPr>
        <w:spacing w:before="120" w:beforeLines="50"/>
        <w:jc w:val="center"/>
        <w:rPr>
          <w:rFonts w:ascii="宋体" w:hAnsi="宋体"/>
          <w:b/>
          <w:sz w:val="32"/>
          <w:szCs w:val="32"/>
        </w:rPr>
      </w:pPr>
      <w:r>
        <w:rPr>
          <w:rFonts w:hint="eastAsia" w:ascii="宋体" w:hAnsi="宋体"/>
          <w:b/>
          <w:sz w:val="32"/>
          <w:szCs w:val="32"/>
        </w:rPr>
        <w:t>镇海区全区社会治安视频监控系统（2021年度）统筹运维服务项目</w:t>
      </w:r>
    </w:p>
    <w:p>
      <w:pPr>
        <w:tabs>
          <w:tab w:val="left" w:pos="6480"/>
        </w:tabs>
        <w:jc w:val="center"/>
        <w:rPr>
          <w:rFonts w:ascii="宋体" w:hAnsi="宋体"/>
          <w:b/>
          <w:sz w:val="48"/>
        </w:rPr>
      </w:pPr>
    </w:p>
    <w:p>
      <w:pPr>
        <w:spacing w:before="120" w:beforeLines="50"/>
        <w:jc w:val="center"/>
        <w:rPr>
          <w:rFonts w:ascii="宋体" w:hAnsi="宋体"/>
          <w:sz w:val="52"/>
          <w:szCs w:val="52"/>
        </w:rPr>
      </w:pPr>
      <w:r>
        <w:rPr>
          <w:rFonts w:hint="eastAsia" w:ascii="宋体" w:hAnsi="宋体"/>
          <w:sz w:val="52"/>
          <w:szCs w:val="52"/>
        </w:rPr>
        <w:t>公开采购文件</w:t>
      </w:r>
    </w:p>
    <w:p>
      <w:pPr>
        <w:spacing w:line="680" w:lineRule="exact"/>
        <w:ind w:right="239" w:rightChars="114"/>
        <w:jc w:val="center"/>
        <w:rPr>
          <w:rFonts w:hint="eastAsia" w:ascii="宋体" w:hAnsi="宋体"/>
          <w:sz w:val="28"/>
          <w:szCs w:val="28"/>
        </w:rPr>
      </w:pPr>
    </w:p>
    <w:p>
      <w:pPr>
        <w:spacing w:line="680" w:lineRule="exact"/>
        <w:ind w:right="239" w:rightChars="114"/>
        <w:jc w:val="center"/>
        <w:rPr>
          <w:rFonts w:ascii="宋体" w:hAnsi="宋体"/>
          <w:sz w:val="28"/>
          <w:szCs w:val="28"/>
          <w:u w:val="single"/>
        </w:rPr>
      </w:pPr>
      <w:r>
        <w:rPr>
          <w:rFonts w:hint="eastAsia" w:ascii="宋体" w:hAnsi="宋体"/>
          <w:sz w:val="28"/>
          <w:szCs w:val="28"/>
        </w:rPr>
        <w:t>采购编号：</w:t>
      </w:r>
      <w:r>
        <w:rPr>
          <w:rFonts w:hint="eastAsia" w:ascii="宋体" w:hAnsi="宋体"/>
          <w:sz w:val="28"/>
          <w:szCs w:val="28"/>
          <w:u w:val="single"/>
        </w:rPr>
        <w:t>GTCG2020048</w:t>
      </w:r>
    </w:p>
    <w:p>
      <w:pPr>
        <w:spacing w:line="840" w:lineRule="exact"/>
        <w:rPr>
          <w:rFonts w:ascii="宋体" w:hAnsi="宋体"/>
          <w:sz w:val="28"/>
          <w:szCs w:val="28"/>
        </w:rPr>
      </w:pPr>
    </w:p>
    <w:p>
      <w:pPr>
        <w:pStyle w:val="26"/>
        <w:snapToGrid w:val="0"/>
        <w:spacing w:line="360" w:lineRule="auto"/>
        <w:rPr>
          <w:rFonts w:hAnsi="宋体"/>
          <w:b/>
          <w:bCs/>
          <w:w w:val="95"/>
          <w:sz w:val="28"/>
          <w:szCs w:val="28"/>
        </w:rPr>
      </w:pPr>
      <w:r>
        <w:rPr>
          <w:rFonts w:hint="eastAsia" w:hAnsi="宋体"/>
          <w:sz w:val="28"/>
          <w:szCs w:val="28"/>
        </w:rPr>
        <w:t>采  购</w:t>
      </w:r>
      <w:r>
        <w:rPr>
          <w:rFonts w:hAnsi="宋体"/>
          <w:sz w:val="28"/>
          <w:szCs w:val="28"/>
        </w:rPr>
        <w:t xml:space="preserve">   </w:t>
      </w:r>
      <w:r>
        <w:rPr>
          <w:rFonts w:hint="eastAsia" w:hAnsi="宋体"/>
          <w:sz w:val="28"/>
          <w:szCs w:val="28"/>
        </w:rPr>
        <w:t>人：</w:t>
      </w:r>
      <w:r>
        <w:rPr>
          <w:rFonts w:hint="eastAsia" w:hAnsi="宋体"/>
          <w:sz w:val="28"/>
          <w:szCs w:val="28"/>
          <w:u w:val="single"/>
        </w:rPr>
        <w:t>宁波市公安局镇海分局（盖章）</w:t>
      </w:r>
    </w:p>
    <w:p>
      <w:pPr>
        <w:spacing w:line="360" w:lineRule="auto"/>
        <w:rPr>
          <w:rFonts w:ascii="宋体" w:hAnsi="宋体"/>
          <w:sz w:val="28"/>
          <w:szCs w:val="28"/>
        </w:rPr>
      </w:pPr>
    </w:p>
    <w:p>
      <w:pPr>
        <w:spacing w:line="360" w:lineRule="auto"/>
        <w:rPr>
          <w:rFonts w:ascii="宋体" w:hAnsi="宋体"/>
          <w:sz w:val="28"/>
          <w:szCs w:val="28"/>
        </w:rPr>
      </w:pPr>
      <w:r>
        <w:rPr>
          <w:rFonts w:hint="eastAsia" w:ascii="宋体" w:hAnsi="宋体"/>
          <w:sz w:val="28"/>
          <w:szCs w:val="28"/>
        </w:rPr>
        <w:t>法定代表人（签字或盖章）：</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spacing w:line="840" w:lineRule="exact"/>
        <w:rPr>
          <w:rFonts w:ascii="宋体" w:hAnsi="宋体"/>
          <w:sz w:val="28"/>
          <w:szCs w:val="28"/>
        </w:rPr>
      </w:pPr>
    </w:p>
    <w:p>
      <w:pPr>
        <w:spacing w:line="840" w:lineRule="exact"/>
        <w:rPr>
          <w:rFonts w:ascii="宋体" w:hAnsi="宋体"/>
          <w:sz w:val="28"/>
          <w:szCs w:val="28"/>
        </w:rPr>
      </w:pPr>
      <w:r>
        <w:rPr>
          <w:rFonts w:hint="eastAsia" w:ascii="宋体" w:hAnsi="宋体"/>
          <w:sz w:val="28"/>
          <w:szCs w:val="28"/>
        </w:rPr>
        <w:t>代理单位：</w:t>
      </w:r>
      <w:r>
        <w:rPr>
          <w:rFonts w:hint="eastAsia" w:ascii="宋体" w:hAnsi="宋体"/>
          <w:sz w:val="28"/>
          <w:szCs w:val="28"/>
          <w:u w:val="single"/>
        </w:rPr>
        <w:t>宁波市镇海国泰工程建设投资管理咨询有限公司（盖章）</w:t>
      </w:r>
    </w:p>
    <w:p>
      <w:pPr>
        <w:spacing w:line="360" w:lineRule="auto"/>
        <w:rPr>
          <w:rFonts w:ascii="宋体" w:hAnsi="宋体"/>
          <w:sz w:val="28"/>
          <w:szCs w:val="28"/>
        </w:rPr>
      </w:pPr>
    </w:p>
    <w:p>
      <w:pPr>
        <w:spacing w:line="360" w:lineRule="auto"/>
        <w:rPr>
          <w:rFonts w:ascii="宋体" w:hAnsi="宋体"/>
          <w:sz w:val="28"/>
          <w:szCs w:val="28"/>
        </w:rPr>
      </w:pPr>
      <w:r>
        <w:rPr>
          <w:rFonts w:hint="eastAsia" w:ascii="宋体" w:hAnsi="宋体"/>
          <w:sz w:val="28"/>
          <w:szCs w:val="28"/>
        </w:rPr>
        <w:t>法定代表人（签字或盖章）：</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jc w:val="left"/>
        <w:rPr>
          <w:rFonts w:ascii="宋体" w:hAnsi="宋体"/>
          <w:sz w:val="28"/>
          <w:szCs w:val="28"/>
        </w:rPr>
      </w:pPr>
    </w:p>
    <w:p>
      <w:pPr>
        <w:jc w:val="left"/>
        <w:rPr>
          <w:rFonts w:ascii="宋体" w:hAnsi="宋体"/>
          <w:sz w:val="28"/>
          <w:szCs w:val="28"/>
        </w:rPr>
      </w:pPr>
    </w:p>
    <w:p>
      <w:pPr>
        <w:jc w:val="left"/>
        <w:rPr>
          <w:rFonts w:ascii="宋体" w:hAnsi="宋体"/>
          <w:sz w:val="28"/>
          <w:szCs w:val="28"/>
        </w:rPr>
      </w:pPr>
    </w:p>
    <w:p>
      <w:pPr>
        <w:jc w:val="left"/>
        <w:rPr>
          <w:rFonts w:ascii="宋体" w:hAnsi="宋体"/>
          <w:sz w:val="28"/>
          <w:szCs w:val="28"/>
        </w:rPr>
      </w:pPr>
      <w:r>
        <w:rPr>
          <w:rFonts w:hint="eastAsia" w:ascii="宋体" w:hAnsi="宋体"/>
          <w:sz w:val="28"/>
          <w:szCs w:val="28"/>
        </w:rPr>
        <w:t>采购文件编制日期：</w:t>
      </w:r>
      <w:r>
        <w:rPr>
          <w:rFonts w:hint="eastAsia" w:ascii="宋体" w:hAnsi="宋体"/>
          <w:sz w:val="28"/>
          <w:szCs w:val="28"/>
          <w:u w:val="single"/>
        </w:rPr>
        <w:t>2020</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u w:val="single"/>
        </w:rPr>
        <w:t>12</w:t>
      </w:r>
      <w:r>
        <w:rPr>
          <w:rFonts w:ascii="宋体" w:hAnsi="宋体"/>
          <w:sz w:val="28"/>
          <w:szCs w:val="28"/>
          <w:u w:val="single"/>
        </w:rPr>
        <w:t xml:space="preserve"> </w:t>
      </w:r>
      <w:r>
        <w:rPr>
          <w:rFonts w:hint="eastAsia" w:ascii="宋体" w:hAnsi="宋体"/>
          <w:sz w:val="28"/>
          <w:szCs w:val="28"/>
        </w:rPr>
        <w:t>月</w:t>
      </w:r>
    </w:p>
    <w:p>
      <w:pPr>
        <w:jc w:val="center"/>
        <w:rPr>
          <w:rFonts w:ascii="宋体" w:hAnsi="宋体"/>
          <w:sz w:val="24"/>
        </w:rPr>
      </w:pPr>
    </w:p>
    <w:p>
      <w:pPr>
        <w:jc w:val="center"/>
        <w:rPr>
          <w:rFonts w:hint="eastAsia" w:ascii="宋体" w:hAnsi="宋体"/>
          <w:b/>
          <w:sz w:val="44"/>
        </w:rPr>
      </w:pPr>
    </w:p>
    <w:p>
      <w:pPr>
        <w:jc w:val="center"/>
        <w:rPr>
          <w:rFonts w:hint="eastAsia" w:ascii="宋体" w:hAnsi="宋体"/>
          <w:b/>
          <w:sz w:val="44"/>
        </w:rPr>
      </w:pPr>
    </w:p>
    <w:p>
      <w:pPr>
        <w:jc w:val="center"/>
        <w:rPr>
          <w:rFonts w:hint="eastAsia" w:ascii="宋体" w:hAnsi="宋体"/>
          <w:b/>
          <w:sz w:val="44"/>
        </w:rPr>
      </w:pPr>
    </w:p>
    <w:p>
      <w:pPr>
        <w:jc w:val="center"/>
        <w:rPr>
          <w:rFonts w:hint="eastAsia" w:ascii="宋体" w:hAnsi="宋体"/>
          <w:b/>
          <w:sz w:val="44"/>
        </w:rPr>
      </w:pPr>
    </w:p>
    <w:p>
      <w:pPr>
        <w:jc w:val="center"/>
        <w:rPr>
          <w:rFonts w:hint="eastAsia" w:ascii="宋体" w:hAnsi="宋体"/>
          <w:b/>
          <w:sz w:val="44"/>
        </w:rPr>
      </w:pPr>
    </w:p>
    <w:p>
      <w:pPr>
        <w:jc w:val="center"/>
        <w:rPr>
          <w:rFonts w:hint="eastAsia" w:ascii="宋体" w:hAnsi="宋体"/>
          <w:b/>
          <w:sz w:val="44"/>
        </w:rPr>
      </w:pPr>
    </w:p>
    <w:p>
      <w:pPr>
        <w:jc w:val="center"/>
        <w:rPr>
          <w:rFonts w:hint="eastAsia" w:ascii="宋体" w:hAnsi="宋体"/>
          <w:b/>
          <w:color w:val="auto"/>
          <w:sz w:val="44"/>
        </w:rPr>
      </w:pPr>
    </w:p>
    <w:p>
      <w:pPr>
        <w:jc w:val="center"/>
        <w:rPr>
          <w:rFonts w:hint="eastAsia" w:ascii="宋体" w:hAnsi="宋体"/>
          <w:b/>
          <w:color w:val="auto"/>
          <w:sz w:val="44"/>
        </w:rPr>
      </w:pPr>
    </w:p>
    <w:p>
      <w:pPr>
        <w:jc w:val="center"/>
        <w:rPr>
          <w:rFonts w:hint="eastAsia" w:ascii="宋体" w:hAnsi="宋体"/>
          <w:b/>
          <w:color w:val="auto"/>
          <w:sz w:val="44"/>
        </w:rPr>
      </w:pPr>
    </w:p>
    <w:p>
      <w:pPr>
        <w:jc w:val="center"/>
        <w:rPr>
          <w:rFonts w:ascii="宋体" w:hAnsi="宋体"/>
          <w:b/>
          <w:color w:val="auto"/>
          <w:sz w:val="44"/>
        </w:rPr>
      </w:pPr>
      <w:r>
        <w:rPr>
          <w:rFonts w:hint="eastAsia" w:ascii="宋体" w:hAnsi="宋体"/>
          <w:b/>
          <w:color w:val="auto"/>
          <w:sz w:val="44"/>
        </w:rPr>
        <w:t>目录</w:t>
      </w:r>
    </w:p>
    <w:p>
      <w:pPr>
        <w:spacing w:line="500" w:lineRule="exact"/>
        <w:jc w:val="center"/>
        <w:rPr>
          <w:rFonts w:ascii="宋体" w:hAnsi="宋体"/>
          <w:b/>
          <w:color w:val="auto"/>
          <w:sz w:val="44"/>
        </w:rPr>
      </w:pPr>
    </w:p>
    <w:p>
      <w:pPr>
        <w:pStyle w:val="35"/>
        <w:rPr>
          <w:rFonts w:ascii="宋体" w:hAnsi="宋体"/>
          <w:color w:val="auto"/>
          <w:sz w:val="22"/>
          <w:szCs w:val="22"/>
          <w:lang w:val="en-US" w:eastAsia="zh-CN"/>
        </w:rPr>
      </w:pPr>
      <w:r>
        <w:rPr>
          <w:rFonts w:ascii="宋体" w:hAnsi="宋体"/>
          <w:color w:val="auto"/>
          <w:sz w:val="24"/>
        </w:rPr>
        <w:fldChar w:fldCharType="begin"/>
      </w:r>
      <w:r>
        <w:rPr>
          <w:rFonts w:ascii="宋体" w:hAnsi="宋体"/>
          <w:color w:val="auto"/>
          <w:sz w:val="24"/>
        </w:rPr>
        <w:instrText xml:space="preserve"> TOC \o "1-1" \h \z \u </w:instrText>
      </w:r>
      <w:r>
        <w:rPr>
          <w:rFonts w:ascii="宋体" w:hAnsi="宋体"/>
          <w:color w:val="auto"/>
          <w:sz w:val="24"/>
        </w:rPr>
        <w:fldChar w:fldCharType="separate"/>
      </w:r>
      <w:r>
        <w:rPr>
          <w:rFonts w:ascii="宋体" w:hAnsi="宋体"/>
          <w:color w:val="auto"/>
          <w:sz w:val="22"/>
          <w:szCs w:val="22"/>
        </w:rPr>
        <w:fldChar w:fldCharType="begin"/>
      </w:r>
      <w:r>
        <w:rPr>
          <w:rStyle w:val="62"/>
          <w:rFonts w:ascii="宋体" w:hAnsi="宋体"/>
          <w:color w:val="auto"/>
          <w:sz w:val="22"/>
          <w:szCs w:val="22"/>
        </w:rPr>
        <w:instrText xml:space="preserve"> </w:instrText>
      </w:r>
      <w:r>
        <w:rPr>
          <w:rFonts w:ascii="宋体" w:hAnsi="宋体"/>
          <w:color w:val="auto"/>
          <w:sz w:val="22"/>
          <w:szCs w:val="22"/>
        </w:rPr>
        <w:instrText xml:space="preserve">HYPERLINK \l "_Toc14965744"</w:instrText>
      </w:r>
      <w:r>
        <w:rPr>
          <w:rStyle w:val="62"/>
          <w:rFonts w:ascii="宋体" w:hAnsi="宋体"/>
          <w:color w:val="auto"/>
          <w:sz w:val="22"/>
          <w:szCs w:val="22"/>
        </w:rPr>
        <w:instrText xml:space="preserve"> </w:instrText>
      </w:r>
      <w:r>
        <w:rPr>
          <w:rFonts w:ascii="宋体" w:hAnsi="宋体"/>
          <w:color w:val="auto"/>
          <w:sz w:val="22"/>
          <w:szCs w:val="22"/>
        </w:rPr>
        <w:fldChar w:fldCharType="separate"/>
      </w:r>
      <w:r>
        <w:rPr>
          <w:rStyle w:val="62"/>
          <w:rFonts w:hint="eastAsia" w:ascii="宋体" w:hAnsi="宋体"/>
          <w:color w:val="auto"/>
          <w:sz w:val="22"/>
          <w:szCs w:val="22"/>
        </w:rPr>
        <w:t>第一部分</w:t>
      </w:r>
      <w:r>
        <w:rPr>
          <w:rStyle w:val="62"/>
          <w:rFonts w:ascii="宋体" w:hAnsi="宋体"/>
          <w:color w:val="auto"/>
          <w:sz w:val="22"/>
          <w:szCs w:val="22"/>
        </w:rPr>
        <w:t xml:space="preserve"> </w:t>
      </w:r>
      <w:r>
        <w:rPr>
          <w:rStyle w:val="62"/>
          <w:rFonts w:hint="eastAsia" w:ascii="宋体" w:hAnsi="宋体"/>
          <w:color w:val="auto"/>
          <w:sz w:val="22"/>
          <w:szCs w:val="22"/>
        </w:rPr>
        <w:t>采购</w:t>
      </w:r>
      <w:bookmarkStart w:id="0" w:name="_Hlt17369482"/>
      <w:r>
        <w:rPr>
          <w:rStyle w:val="62"/>
          <w:rFonts w:hint="eastAsia" w:ascii="宋体" w:hAnsi="宋体"/>
          <w:color w:val="auto"/>
          <w:sz w:val="22"/>
          <w:szCs w:val="22"/>
        </w:rPr>
        <w:t>公</w:t>
      </w:r>
      <w:bookmarkEnd w:id="0"/>
      <w:r>
        <w:rPr>
          <w:rStyle w:val="62"/>
          <w:rFonts w:hint="eastAsia" w:ascii="宋体" w:hAnsi="宋体"/>
          <w:color w:val="auto"/>
          <w:sz w:val="22"/>
          <w:szCs w:val="22"/>
        </w:rPr>
        <w:t>告</w:t>
      </w:r>
      <w:r>
        <w:rPr>
          <w:rFonts w:ascii="宋体" w:hAnsi="宋体"/>
          <w:color w:val="auto"/>
          <w:sz w:val="22"/>
          <w:szCs w:val="22"/>
        </w:rPr>
        <w:tab/>
      </w:r>
      <w:r>
        <w:rPr>
          <w:rFonts w:ascii="宋体" w:hAnsi="宋体"/>
          <w:color w:val="auto"/>
          <w:sz w:val="22"/>
          <w:szCs w:val="22"/>
        </w:rPr>
        <w:fldChar w:fldCharType="begin"/>
      </w:r>
      <w:r>
        <w:rPr>
          <w:rFonts w:ascii="宋体" w:hAnsi="宋体"/>
          <w:color w:val="auto"/>
          <w:sz w:val="22"/>
          <w:szCs w:val="22"/>
        </w:rPr>
        <w:instrText xml:space="preserve"> PAGEREF _Toc14965744 \h </w:instrText>
      </w:r>
      <w:r>
        <w:rPr>
          <w:rFonts w:ascii="宋体" w:hAnsi="宋体"/>
          <w:color w:val="auto"/>
          <w:sz w:val="22"/>
          <w:szCs w:val="22"/>
        </w:rPr>
        <w:fldChar w:fldCharType="separate"/>
      </w:r>
      <w:r>
        <w:rPr>
          <w:rFonts w:ascii="宋体" w:hAnsi="宋体"/>
          <w:color w:val="auto"/>
          <w:sz w:val="22"/>
          <w:szCs w:val="22"/>
        </w:rPr>
        <w:t>4</w:t>
      </w:r>
      <w:r>
        <w:rPr>
          <w:rFonts w:ascii="宋体" w:hAnsi="宋体"/>
          <w:color w:val="auto"/>
          <w:sz w:val="22"/>
          <w:szCs w:val="22"/>
        </w:rPr>
        <w:fldChar w:fldCharType="end"/>
      </w:r>
      <w:r>
        <w:rPr>
          <w:rFonts w:ascii="宋体" w:hAnsi="宋体"/>
          <w:color w:val="auto"/>
          <w:sz w:val="22"/>
          <w:szCs w:val="22"/>
        </w:rPr>
        <w:fldChar w:fldCharType="end"/>
      </w:r>
    </w:p>
    <w:p>
      <w:pPr>
        <w:pStyle w:val="35"/>
        <w:rPr>
          <w:rFonts w:ascii="宋体" w:hAnsi="宋体"/>
          <w:color w:val="auto"/>
          <w:sz w:val="22"/>
          <w:szCs w:val="22"/>
          <w:lang w:val="en-US" w:eastAsia="zh-CN"/>
        </w:rPr>
      </w:pPr>
      <w:r>
        <w:rPr>
          <w:rFonts w:ascii="宋体" w:hAnsi="宋体"/>
          <w:color w:val="auto"/>
          <w:sz w:val="22"/>
          <w:szCs w:val="22"/>
        </w:rPr>
        <w:fldChar w:fldCharType="begin"/>
      </w:r>
      <w:r>
        <w:rPr>
          <w:rStyle w:val="62"/>
          <w:rFonts w:ascii="宋体" w:hAnsi="宋体"/>
          <w:color w:val="auto"/>
          <w:sz w:val="22"/>
          <w:szCs w:val="22"/>
        </w:rPr>
        <w:instrText xml:space="preserve"> </w:instrText>
      </w:r>
      <w:r>
        <w:rPr>
          <w:rFonts w:ascii="宋体" w:hAnsi="宋体"/>
          <w:color w:val="auto"/>
          <w:sz w:val="22"/>
          <w:szCs w:val="22"/>
        </w:rPr>
        <w:instrText xml:space="preserve">HYPERLINK \l "_Toc14965745"</w:instrText>
      </w:r>
      <w:r>
        <w:rPr>
          <w:rStyle w:val="62"/>
          <w:rFonts w:ascii="宋体" w:hAnsi="宋体"/>
          <w:color w:val="auto"/>
          <w:sz w:val="22"/>
          <w:szCs w:val="22"/>
        </w:rPr>
        <w:instrText xml:space="preserve"> </w:instrText>
      </w:r>
      <w:r>
        <w:rPr>
          <w:rFonts w:ascii="宋体" w:hAnsi="宋体"/>
          <w:color w:val="auto"/>
          <w:sz w:val="22"/>
          <w:szCs w:val="22"/>
        </w:rPr>
        <w:fldChar w:fldCharType="separate"/>
      </w:r>
      <w:r>
        <w:rPr>
          <w:rStyle w:val="62"/>
          <w:rFonts w:hint="eastAsia" w:ascii="宋体" w:hAnsi="宋体"/>
          <w:color w:val="auto"/>
          <w:sz w:val="22"/>
          <w:szCs w:val="22"/>
        </w:rPr>
        <w:t>第二部分</w:t>
      </w:r>
      <w:r>
        <w:rPr>
          <w:rStyle w:val="62"/>
          <w:rFonts w:ascii="宋体" w:hAnsi="宋体"/>
          <w:color w:val="auto"/>
          <w:sz w:val="22"/>
          <w:szCs w:val="22"/>
        </w:rPr>
        <w:t xml:space="preserve"> </w:t>
      </w:r>
      <w:r>
        <w:rPr>
          <w:rStyle w:val="62"/>
          <w:rFonts w:hint="eastAsia" w:ascii="宋体" w:hAnsi="宋体"/>
          <w:color w:val="auto"/>
          <w:sz w:val="22"/>
          <w:szCs w:val="22"/>
        </w:rPr>
        <w:t>采购内容及要求</w:t>
      </w:r>
      <w:r>
        <w:rPr>
          <w:rFonts w:ascii="宋体" w:hAnsi="宋体"/>
          <w:color w:val="auto"/>
          <w:sz w:val="22"/>
          <w:szCs w:val="22"/>
        </w:rPr>
        <w:tab/>
      </w:r>
      <w:r>
        <w:rPr>
          <w:rFonts w:ascii="宋体" w:hAnsi="宋体"/>
          <w:color w:val="auto"/>
          <w:sz w:val="22"/>
          <w:szCs w:val="22"/>
        </w:rPr>
        <w:fldChar w:fldCharType="begin"/>
      </w:r>
      <w:r>
        <w:rPr>
          <w:rFonts w:ascii="宋体" w:hAnsi="宋体"/>
          <w:color w:val="auto"/>
          <w:sz w:val="22"/>
          <w:szCs w:val="22"/>
        </w:rPr>
        <w:instrText xml:space="preserve"> PAGEREF _Toc14965745 \h </w:instrText>
      </w:r>
      <w:r>
        <w:rPr>
          <w:rFonts w:ascii="宋体" w:hAnsi="宋体"/>
          <w:color w:val="auto"/>
          <w:sz w:val="22"/>
          <w:szCs w:val="22"/>
        </w:rPr>
        <w:fldChar w:fldCharType="separate"/>
      </w:r>
      <w:r>
        <w:rPr>
          <w:rFonts w:ascii="宋体" w:hAnsi="宋体"/>
          <w:color w:val="auto"/>
          <w:sz w:val="22"/>
          <w:szCs w:val="22"/>
        </w:rPr>
        <w:t>8</w:t>
      </w:r>
      <w:r>
        <w:rPr>
          <w:rFonts w:ascii="宋体" w:hAnsi="宋体"/>
          <w:color w:val="auto"/>
          <w:sz w:val="22"/>
          <w:szCs w:val="22"/>
        </w:rPr>
        <w:fldChar w:fldCharType="end"/>
      </w:r>
      <w:r>
        <w:rPr>
          <w:rFonts w:ascii="宋体" w:hAnsi="宋体"/>
          <w:color w:val="auto"/>
          <w:sz w:val="22"/>
          <w:szCs w:val="22"/>
        </w:rPr>
        <w:fldChar w:fldCharType="end"/>
      </w:r>
    </w:p>
    <w:p>
      <w:pPr>
        <w:pStyle w:val="35"/>
        <w:rPr>
          <w:rFonts w:ascii="宋体" w:hAnsi="宋体"/>
          <w:color w:val="auto"/>
          <w:sz w:val="22"/>
          <w:szCs w:val="22"/>
          <w:lang w:val="en-US" w:eastAsia="zh-CN"/>
        </w:rPr>
      </w:pPr>
      <w:r>
        <w:rPr>
          <w:rFonts w:ascii="宋体" w:hAnsi="宋体"/>
          <w:color w:val="auto"/>
          <w:sz w:val="22"/>
          <w:szCs w:val="22"/>
        </w:rPr>
        <w:fldChar w:fldCharType="begin"/>
      </w:r>
      <w:r>
        <w:rPr>
          <w:rStyle w:val="62"/>
          <w:rFonts w:ascii="宋体" w:hAnsi="宋体"/>
          <w:color w:val="auto"/>
          <w:sz w:val="22"/>
          <w:szCs w:val="22"/>
        </w:rPr>
        <w:instrText xml:space="preserve"> </w:instrText>
      </w:r>
      <w:r>
        <w:rPr>
          <w:rFonts w:ascii="宋体" w:hAnsi="宋体"/>
          <w:color w:val="auto"/>
          <w:sz w:val="22"/>
          <w:szCs w:val="22"/>
        </w:rPr>
        <w:instrText xml:space="preserve">HYPERLINK \l "_Toc14965746"</w:instrText>
      </w:r>
      <w:r>
        <w:rPr>
          <w:rStyle w:val="62"/>
          <w:rFonts w:ascii="宋体" w:hAnsi="宋体"/>
          <w:color w:val="auto"/>
          <w:sz w:val="22"/>
          <w:szCs w:val="22"/>
        </w:rPr>
        <w:instrText xml:space="preserve"> </w:instrText>
      </w:r>
      <w:r>
        <w:rPr>
          <w:rFonts w:ascii="宋体" w:hAnsi="宋体"/>
          <w:color w:val="auto"/>
          <w:sz w:val="22"/>
          <w:szCs w:val="22"/>
        </w:rPr>
        <w:fldChar w:fldCharType="separate"/>
      </w:r>
      <w:r>
        <w:rPr>
          <w:rStyle w:val="62"/>
          <w:rFonts w:hint="eastAsia" w:ascii="宋体" w:hAnsi="宋体"/>
          <w:color w:val="auto"/>
          <w:sz w:val="22"/>
          <w:szCs w:val="22"/>
        </w:rPr>
        <w:t>第三部分</w:t>
      </w:r>
      <w:r>
        <w:rPr>
          <w:rStyle w:val="62"/>
          <w:rFonts w:ascii="宋体" w:hAnsi="宋体"/>
          <w:color w:val="auto"/>
          <w:sz w:val="22"/>
          <w:szCs w:val="22"/>
        </w:rPr>
        <w:t xml:space="preserve"> </w:t>
      </w:r>
      <w:r>
        <w:rPr>
          <w:rStyle w:val="62"/>
          <w:rFonts w:hint="eastAsia" w:ascii="宋体" w:hAnsi="宋体"/>
          <w:color w:val="auto"/>
          <w:sz w:val="22"/>
          <w:szCs w:val="22"/>
        </w:rPr>
        <w:t>投标资料表</w:t>
      </w:r>
      <w:r>
        <w:rPr>
          <w:rFonts w:ascii="宋体" w:hAnsi="宋体"/>
          <w:color w:val="auto"/>
          <w:sz w:val="22"/>
          <w:szCs w:val="22"/>
        </w:rPr>
        <w:tab/>
      </w:r>
      <w:r>
        <w:rPr>
          <w:rFonts w:hint="eastAsia" w:ascii="宋体" w:hAnsi="宋体"/>
          <w:color w:val="auto"/>
          <w:sz w:val="22"/>
          <w:szCs w:val="22"/>
          <w:lang w:eastAsia="zh-CN"/>
        </w:rPr>
        <w:t>19</w:t>
      </w:r>
      <w:r>
        <w:rPr>
          <w:rFonts w:ascii="宋体" w:hAnsi="宋体"/>
          <w:color w:val="auto"/>
          <w:sz w:val="22"/>
          <w:szCs w:val="22"/>
        </w:rPr>
        <w:fldChar w:fldCharType="end"/>
      </w:r>
    </w:p>
    <w:p>
      <w:pPr>
        <w:pStyle w:val="35"/>
        <w:rPr>
          <w:rFonts w:ascii="宋体" w:hAnsi="宋体"/>
          <w:color w:val="auto"/>
          <w:sz w:val="22"/>
          <w:szCs w:val="22"/>
          <w:lang w:val="en-US" w:eastAsia="zh-CN"/>
        </w:rPr>
      </w:pPr>
      <w:r>
        <w:rPr>
          <w:rFonts w:ascii="宋体" w:hAnsi="宋体"/>
          <w:color w:val="auto"/>
          <w:sz w:val="22"/>
          <w:szCs w:val="22"/>
        </w:rPr>
        <w:fldChar w:fldCharType="begin"/>
      </w:r>
      <w:r>
        <w:rPr>
          <w:rStyle w:val="62"/>
          <w:rFonts w:ascii="宋体" w:hAnsi="宋体"/>
          <w:color w:val="auto"/>
          <w:sz w:val="22"/>
          <w:szCs w:val="22"/>
        </w:rPr>
        <w:instrText xml:space="preserve"> </w:instrText>
      </w:r>
      <w:r>
        <w:rPr>
          <w:rFonts w:ascii="宋体" w:hAnsi="宋体"/>
          <w:color w:val="auto"/>
          <w:sz w:val="22"/>
          <w:szCs w:val="22"/>
        </w:rPr>
        <w:instrText xml:space="preserve">HYPERLINK \l "_Toc14965747"</w:instrText>
      </w:r>
      <w:r>
        <w:rPr>
          <w:rStyle w:val="62"/>
          <w:rFonts w:ascii="宋体" w:hAnsi="宋体"/>
          <w:color w:val="auto"/>
          <w:sz w:val="22"/>
          <w:szCs w:val="22"/>
        </w:rPr>
        <w:instrText xml:space="preserve"> </w:instrText>
      </w:r>
      <w:r>
        <w:rPr>
          <w:rFonts w:ascii="宋体" w:hAnsi="宋体"/>
          <w:color w:val="auto"/>
          <w:sz w:val="22"/>
          <w:szCs w:val="22"/>
        </w:rPr>
        <w:fldChar w:fldCharType="separate"/>
      </w:r>
      <w:r>
        <w:rPr>
          <w:rStyle w:val="62"/>
          <w:rFonts w:hint="eastAsia" w:ascii="宋体" w:hAnsi="宋体"/>
          <w:color w:val="auto"/>
          <w:sz w:val="22"/>
          <w:szCs w:val="22"/>
        </w:rPr>
        <w:t>第四部分</w:t>
      </w:r>
      <w:r>
        <w:rPr>
          <w:rStyle w:val="62"/>
          <w:rFonts w:ascii="宋体" w:hAnsi="宋体"/>
          <w:color w:val="auto"/>
          <w:sz w:val="22"/>
          <w:szCs w:val="22"/>
        </w:rPr>
        <w:t xml:space="preserve"> </w:t>
      </w:r>
      <w:r>
        <w:rPr>
          <w:rStyle w:val="62"/>
          <w:rFonts w:hint="eastAsia" w:ascii="宋体" w:hAnsi="宋体"/>
          <w:color w:val="auto"/>
          <w:sz w:val="22"/>
          <w:szCs w:val="22"/>
        </w:rPr>
        <w:t>评</w:t>
      </w:r>
      <w:bookmarkStart w:id="1" w:name="_Hlt17360277"/>
      <w:r>
        <w:rPr>
          <w:rStyle w:val="62"/>
          <w:rFonts w:hint="eastAsia" w:ascii="宋体" w:hAnsi="宋体"/>
          <w:color w:val="auto"/>
          <w:sz w:val="22"/>
          <w:szCs w:val="22"/>
        </w:rPr>
        <w:t>标</w:t>
      </w:r>
      <w:bookmarkEnd w:id="1"/>
      <w:r>
        <w:rPr>
          <w:rStyle w:val="62"/>
          <w:rFonts w:hint="eastAsia" w:ascii="宋体" w:hAnsi="宋体"/>
          <w:color w:val="auto"/>
          <w:sz w:val="22"/>
          <w:szCs w:val="22"/>
        </w:rPr>
        <w:t>标准</w:t>
      </w:r>
      <w:r>
        <w:rPr>
          <w:rFonts w:ascii="宋体" w:hAnsi="宋体"/>
          <w:color w:val="auto"/>
          <w:sz w:val="22"/>
          <w:szCs w:val="22"/>
        </w:rPr>
        <w:tab/>
      </w:r>
      <w:r>
        <w:rPr>
          <w:rFonts w:hint="eastAsia" w:ascii="宋体" w:hAnsi="宋体"/>
          <w:color w:val="auto"/>
          <w:sz w:val="22"/>
          <w:szCs w:val="22"/>
          <w:lang w:eastAsia="zh-CN"/>
        </w:rPr>
        <w:t>24</w:t>
      </w:r>
      <w:r>
        <w:rPr>
          <w:rFonts w:ascii="宋体" w:hAnsi="宋体"/>
          <w:color w:val="auto"/>
          <w:sz w:val="22"/>
          <w:szCs w:val="22"/>
        </w:rPr>
        <w:fldChar w:fldCharType="end"/>
      </w:r>
    </w:p>
    <w:p>
      <w:pPr>
        <w:pStyle w:val="35"/>
        <w:rPr>
          <w:rFonts w:ascii="宋体" w:hAnsi="宋体"/>
          <w:color w:val="auto"/>
          <w:sz w:val="22"/>
          <w:szCs w:val="22"/>
          <w:lang w:val="en-US" w:eastAsia="zh-CN"/>
        </w:rPr>
      </w:pPr>
      <w:r>
        <w:rPr>
          <w:rFonts w:ascii="宋体" w:hAnsi="宋体"/>
          <w:color w:val="auto"/>
          <w:sz w:val="22"/>
          <w:szCs w:val="22"/>
        </w:rPr>
        <w:fldChar w:fldCharType="begin"/>
      </w:r>
      <w:r>
        <w:rPr>
          <w:rStyle w:val="62"/>
          <w:rFonts w:ascii="宋体" w:hAnsi="宋体"/>
          <w:color w:val="auto"/>
          <w:sz w:val="22"/>
          <w:szCs w:val="22"/>
        </w:rPr>
        <w:instrText xml:space="preserve"> </w:instrText>
      </w:r>
      <w:r>
        <w:rPr>
          <w:rFonts w:ascii="宋体" w:hAnsi="宋体"/>
          <w:color w:val="auto"/>
          <w:sz w:val="22"/>
          <w:szCs w:val="22"/>
        </w:rPr>
        <w:instrText xml:space="preserve">HYPERLINK \l "_Toc14965748"</w:instrText>
      </w:r>
      <w:r>
        <w:rPr>
          <w:rStyle w:val="62"/>
          <w:rFonts w:ascii="宋体" w:hAnsi="宋体"/>
          <w:color w:val="auto"/>
          <w:sz w:val="22"/>
          <w:szCs w:val="22"/>
        </w:rPr>
        <w:instrText xml:space="preserve"> </w:instrText>
      </w:r>
      <w:r>
        <w:rPr>
          <w:rFonts w:ascii="宋体" w:hAnsi="宋体"/>
          <w:color w:val="auto"/>
          <w:sz w:val="22"/>
          <w:szCs w:val="22"/>
        </w:rPr>
        <w:fldChar w:fldCharType="separate"/>
      </w:r>
      <w:r>
        <w:rPr>
          <w:rStyle w:val="62"/>
          <w:rFonts w:hint="eastAsia" w:ascii="宋体" w:hAnsi="宋体"/>
          <w:color w:val="auto"/>
          <w:sz w:val="22"/>
          <w:szCs w:val="22"/>
        </w:rPr>
        <w:t>第五部分</w:t>
      </w:r>
      <w:r>
        <w:rPr>
          <w:rStyle w:val="62"/>
          <w:rFonts w:ascii="宋体" w:hAnsi="宋体"/>
          <w:color w:val="auto"/>
          <w:sz w:val="22"/>
          <w:szCs w:val="22"/>
        </w:rPr>
        <w:t xml:space="preserve"> </w:t>
      </w:r>
      <w:r>
        <w:rPr>
          <w:rStyle w:val="62"/>
          <w:rFonts w:hint="eastAsia" w:ascii="宋体" w:hAnsi="宋体"/>
          <w:color w:val="auto"/>
          <w:sz w:val="22"/>
          <w:szCs w:val="22"/>
        </w:rPr>
        <w:t>主要合同条款</w:t>
      </w:r>
      <w:r>
        <w:rPr>
          <w:rFonts w:ascii="宋体" w:hAnsi="宋体"/>
          <w:color w:val="auto"/>
          <w:sz w:val="22"/>
          <w:szCs w:val="22"/>
        </w:rPr>
        <w:tab/>
      </w:r>
      <w:r>
        <w:rPr>
          <w:rFonts w:hint="eastAsia" w:ascii="宋体" w:hAnsi="宋体"/>
          <w:color w:val="auto"/>
          <w:sz w:val="22"/>
          <w:szCs w:val="22"/>
          <w:lang w:eastAsia="zh-CN"/>
        </w:rPr>
        <w:t>30</w:t>
      </w:r>
      <w:r>
        <w:rPr>
          <w:rFonts w:ascii="宋体" w:hAnsi="宋体"/>
          <w:color w:val="auto"/>
          <w:sz w:val="22"/>
          <w:szCs w:val="22"/>
        </w:rPr>
        <w:fldChar w:fldCharType="end"/>
      </w:r>
    </w:p>
    <w:p>
      <w:pPr>
        <w:pStyle w:val="35"/>
        <w:rPr>
          <w:rFonts w:ascii="宋体" w:hAnsi="宋体"/>
          <w:color w:val="auto"/>
          <w:sz w:val="22"/>
          <w:szCs w:val="22"/>
          <w:lang w:val="en-US" w:eastAsia="zh-CN"/>
        </w:rPr>
      </w:pPr>
      <w:r>
        <w:rPr>
          <w:rFonts w:ascii="宋体" w:hAnsi="宋体"/>
          <w:color w:val="auto"/>
          <w:sz w:val="22"/>
          <w:szCs w:val="22"/>
        </w:rPr>
        <w:fldChar w:fldCharType="begin"/>
      </w:r>
      <w:r>
        <w:rPr>
          <w:rStyle w:val="62"/>
          <w:rFonts w:ascii="宋体" w:hAnsi="宋体"/>
          <w:color w:val="auto"/>
          <w:sz w:val="22"/>
          <w:szCs w:val="22"/>
        </w:rPr>
        <w:instrText xml:space="preserve"> </w:instrText>
      </w:r>
      <w:r>
        <w:rPr>
          <w:rFonts w:ascii="宋体" w:hAnsi="宋体"/>
          <w:color w:val="auto"/>
          <w:sz w:val="22"/>
          <w:szCs w:val="22"/>
        </w:rPr>
        <w:instrText xml:space="preserve">HYPERLINK \l "_Toc14965749"</w:instrText>
      </w:r>
      <w:r>
        <w:rPr>
          <w:rStyle w:val="62"/>
          <w:rFonts w:ascii="宋体" w:hAnsi="宋体"/>
          <w:color w:val="auto"/>
          <w:sz w:val="22"/>
          <w:szCs w:val="22"/>
        </w:rPr>
        <w:instrText xml:space="preserve"> </w:instrText>
      </w:r>
      <w:r>
        <w:rPr>
          <w:rFonts w:ascii="宋体" w:hAnsi="宋体"/>
          <w:color w:val="auto"/>
          <w:sz w:val="22"/>
          <w:szCs w:val="22"/>
        </w:rPr>
        <w:fldChar w:fldCharType="separate"/>
      </w:r>
      <w:r>
        <w:rPr>
          <w:rStyle w:val="62"/>
          <w:rFonts w:hint="eastAsia" w:ascii="宋体" w:hAnsi="宋体"/>
          <w:color w:val="auto"/>
          <w:sz w:val="22"/>
          <w:szCs w:val="22"/>
        </w:rPr>
        <w:t>第六部分</w:t>
      </w:r>
      <w:r>
        <w:rPr>
          <w:rStyle w:val="62"/>
          <w:rFonts w:ascii="宋体" w:hAnsi="宋体"/>
          <w:color w:val="auto"/>
          <w:sz w:val="22"/>
          <w:szCs w:val="22"/>
        </w:rPr>
        <w:t xml:space="preserve"> </w:t>
      </w:r>
      <w:r>
        <w:rPr>
          <w:rStyle w:val="62"/>
          <w:rFonts w:hint="eastAsia" w:ascii="宋体" w:hAnsi="宋体"/>
          <w:color w:val="auto"/>
          <w:sz w:val="22"/>
          <w:szCs w:val="22"/>
        </w:rPr>
        <w:t>投标人须知</w:t>
      </w:r>
      <w:r>
        <w:rPr>
          <w:rFonts w:ascii="宋体" w:hAnsi="宋体"/>
          <w:color w:val="auto"/>
          <w:sz w:val="22"/>
          <w:szCs w:val="22"/>
        </w:rPr>
        <w:tab/>
      </w:r>
      <w:bookmarkStart w:id="2" w:name="_Hlt41404410"/>
      <w:bookmarkEnd w:id="2"/>
      <w:bookmarkStart w:id="3" w:name="_Hlt41404409"/>
      <w:bookmarkEnd w:id="3"/>
      <w:r>
        <w:rPr>
          <w:rFonts w:ascii="宋体" w:hAnsi="宋体"/>
          <w:color w:val="auto"/>
          <w:sz w:val="22"/>
          <w:szCs w:val="22"/>
        </w:rPr>
        <w:fldChar w:fldCharType="begin"/>
      </w:r>
      <w:r>
        <w:rPr>
          <w:rFonts w:ascii="宋体" w:hAnsi="宋体"/>
          <w:color w:val="auto"/>
          <w:sz w:val="22"/>
          <w:szCs w:val="22"/>
        </w:rPr>
        <w:instrText xml:space="preserve"> PAGEREF _Toc14965749 \h </w:instrText>
      </w:r>
      <w:r>
        <w:rPr>
          <w:rFonts w:ascii="宋体" w:hAnsi="宋体"/>
          <w:color w:val="auto"/>
          <w:sz w:val="22"/>
          <w:szCs w:val="22"/>
        </w:rPr>
        <w:fldChar w:fldCharType="separate"/>
      </w:r>
      <w:r>
        <w:rPr>
          <w:rFonts w:ascii="宋体" w:hAnsi="宋体"/>
          <w:color w:val="auto"/>
          <w:sz w:val="22"/>
          <w:szCs w:val="22"/>
        </w:rPr>
        <w:t>37</w:t>
      </w:r>
      <w:r>
        <w:rPr>
          <w:rFonts w:ascii="宋体" w:hAnsi="宋体"/>
          <w:color w:val="auto"/>
          <w:sz w:val="22"/>
          <w:szCs w:val="22"/>
        </w:rPr>
        <w:fldChar w:fldCharType="end"/>
      </w:r>
      <w:r>
        <w:rPr>
          <w:rFonts w:ascii="宋体" w:hAnsi="宋体"/>
          <w:color w:val="auto"/>
          <w:sz w:val="22"/>
          <w:szCs w:val="22"/>
        </w:rPr>
        <w:fldChar w:fldCharType="end"/>
      </w:r>
    </w:p>
    <w:p>
      <w:pPr>
        <w:pStyle w:val="35"/>
        <w:rPr>
          <w:rFonts w:ascii="宋体" w:hAnsi="宋体"/>
          <w:color w:val="auto"/>
          <w:szCs w:val="22"/>
          <w:lang w:val="en-US" w:eastAsia="zh-CN"/>
        </w:rPr>
      </w:pPr>
      <w:r>
        <w:rPr>
          <w:rFonts w:ascii="宋体" w:hAnsi="宋体"/>
          <w:color w:val="auto"/>
          <w:sz w:val="22"/>
          <w:szCs w:val="22"/>
        </w:rPr>
        <w:fldChar w:fldCharType="begin"/>
      </w:r>
      <w:r>
        <w:rPr>
          <w:rStyle w:val="62"/>
          <w:rFonts w:ascii="宋体" w:hAnsi="宋体"/>
          <w:color w:val="auto"/>
          <w:sz w:val="22"/>
          <w:szCs w:val="22"/>
        </w:rPr>
        <w:instrText xml:space="preserve"> </w:instrText>
      </w:r>
      <w:r>
        <w:rPr>
          <w:rFonts w:ascii="宋体" w:hAnsi="宋体"/>
          <w:color w:val="auto"/>
          <w:sz w:val="22"/>
          <w:szCs w:val="22"/>
        </w:rPr>
        <w:instrText xml:space="preserve">HYPERLINK \l "_Toc14965750"</w:instrText>
      </w:r>
      <w:r>
        <w:rPr>
          <w:rStyle w:val="62"/>
          <w:rFonts w:ascii="宋体" w:hAnsi="宋体"/>
          <w:color w:val="auto"/>
          <w:sz w:val="22"/>
          <w:szCs w:val="22"/>
        </w:rPr>
        <w:instrText xml:space="preserve"> </w:instrText>
      </w:r>
      <w:r>
        <w:rPr>
          <w:rFonts w:ascii="宋体" w:hAnsi="宋体"/>
          <w:color w:val="auto"/>
          <w:sz w:val="22"/>
          <w:szCs w:val="22"/>
        </w:rPr>
        <w:fldChar w:fldCharType="separate"/>
      </w:r>
      <w:r>
        <w:rPr>
          <w:rStyle w:val="62"/>
          <w:rFonts w:hint="eastAsia" w:ascii="宋体" w:hAnsi="宋体"/>
          <w:color w:val="auto"/>
          <w:sz w:val="22"/>
          <w:szCs w:val="22"/>
        </w:rPr>
        <w:t>第七部分</w:t>
      </w:r>
      <w:r>
        <w:rPr>
          <w:rStyle w:val="62"/>
          <w:rFonts w:ascii="宋体" w:hAnsi="宋体"/>
          <w:color w:val="auto"/>
          <w:sz w:val="22"/>
          <w:szCs w:val="22"/>
        </w:rPr>
        <w:t xml:space="preserve"> </w:t>
      </w:r>
      <w:r>
        <w:rPr>
          <w:rStyle w:val="62"/>
          <w:rFonts w:hint="eastAsia" w:ascii="宋体" w:hAnsi="宋体"/>
          <w:color w:val="auto"/>
          <w:sz w:val="22"/>
          <w:szCs w:val="22"/>
        </w:rPr>
        <w:t>投标文件格式</w:t>
      </w:r>
      <w:r>
        <w:rPr>
          <w:rFonts w:ascii="宋体" w:hAnsi="宋体"/>
          <w:color w:val="auto"/>
          <w:sz w:val="22"/>
          <w:szCs w:val="22"/>
        </w:rPr>
        <w:tab/>
      </w:r>
      <w:r>
        <w:rPr>
          <w:rFonts w:ascii="宋体" w:hAnsi="宋体"/>
          <w:color w:val="auto"/>
          <w:sz w:val="22"/>
          <w:szCs w:val="22"/>
        </w:rPr>
        <w:fldChar w:fldCharType="begin"/>
      </w:r>
      <w:r>
        <w:rPr>
          <w:rFonts w:ascii="宋体" w:hAnsi="宋体"/>
          <w:color w:val="auto"/>
          <w:sz w:val="22"/>
          <w:szCs w:val="22"/>
        </w:rPr>
        <w:instrText xml:space="preserve"> PAGEREF _Toc14965750 \h </w:instrText>
      </w:r>
      <w:r>
        <w:rPr>
          <w:rFonts w:ascii="宋体" w:hAnsi="宋体"/>
          <w:color w:val="auto"/>
          <w:sz w:val="22"/>
          <w:szCs w:val="22"/>
        </w:rPr>
        <w:fldChar w:fldCharType="separate"/>
      </w:r>
      <w:r>
        <w:rPr>
          <w:rFonts w:ascii="宋体" w:hAnsi="宋体"/>
          <w:color w:val="auto"/>
          <w:sz w:val="22"/>
          <w:szCs w:val="22"/>
        </w:rPr>
        <w:t>54</w:t>
      </w:r>
      <w:r>
        <w:rPr>
          <w:rFonts w:ascii="宋体" w:hAnsi="宋体"/>
          <w:color w:val="auto"/>
          <w:sz w:val="22"/>
          <w:szCs w:val="22"/>
        </w:rPr>
        <w:fldChar w:fldCharType="end"/>
      </w:r>
      <w:r>
        <w:rPr>
          <w:rFonts w:ascii="宋体" w:hAnsi="宋体"/>
          <w:color w:val="auto"/>
          <w:sz w:val="22"/>
          <w:szCs w:val="22"/>
        </w:rPr>
        <w:fldChar w:fldCharType="end"/>
      </w:r>
    </w:p>
    <w:p>
      <w:pPr>
        <w:rPr>
          <w:rFonts w:ascii="宋体" w:hAnsi="宋体"/>
          <w:color w:val="auto"/>
          <w:sz w:val="24"/>
        </w:rPr>
      </w:pPr>
      <w:r>
        <w:rPr>
          <w:rFonts w:ascii="宋体" w:hAnsi="宋体"/>
          <w:color w:val="auto"/>
          <w:sz w:val="24"/>
        </w:rPr>
        <w:fldChar w:fldCharType="end"/>
      </w: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sectPr>
          <w:headerReference r:id="rId6" w:type="default"/>
          <w:pgSz w:w="11906" w:h="16838"/>
          <w:pgMar w:top="1134" w:right="1021" w:bottom="1134" w:left="1021" w:header="737" w:footer="851" w:gutter="0"/>
          <w:cols w:space="720" w:num="1"/>
        </w:sectPr>
      </w:pPr>
    </w:p>
    <w:p>
      <w:pPr>
        <w:pStyle w:val="49"/>
        <w:rPr>
          <w:rFonts w:ascii="宋体" w:hAnsi="宋体"/>
          <w:color w:val="auto"/>
        </w:rPr>
      </w:pPr>
      <w:bookmarkStart w:id="4" w:name="_Toc14965610"/>
      <w:bookmarkStart w:id="5" w:name="_Toc14965744"/>
      <w:bookmarkStart w:id="6" w:name="_Toc393025319"/>
      <w:r>
        <w:rPr>
          <w:rFonts w:hint="eastAsia" w:ascii="宋体" w:hAnsi="宋体"/>
          <w:color w:val="auto"/>
        </w:rPr>
        <w:t>第一部分 采购公告</w:t>
      </w:r>
      <w:bookmarkEnd w:id="4"/>
      <w:bookmarkEnd w:id="5"/>
      <w:bookmarkEnd w:id="6"/>
    </w:p>
    <w:p>
      <w:pPr>
        <w:spacing w:line="460" w:lineRule="exact"/>
        <w:ind w:firstLine="440" w:firstLineChars="200"/>
        <w:rPr>
          <w:rFonts w:ascii="宋体" w:hAnsi="宋体"/>
          <w:color w:val="auto"/>
          <w:sz w:val="22"/>
          <w:szCs w:val="22"/>
        </w:rPr>
      </w:pPr>
      <w:r>
        <w:rPr>
          <w:rFonts w:hint="eastAsia" w:ascii="宋体" w:hAnsi="宋体"/>
          <w:color w:val="auto"/>
          <w:sz w:val="22"/>
          <w:szCs w:val="22"/>
        </w:rPr>
        <w:t>根据</w:t>
      </w:r>
      <w:r>
        <w:rPr>
          <w:rFonts w:hint="eastAsia" w:ascii="宋体" w:hAnsi="宋体"/>
          <w:color w:val="auto"/>
          <w:sz w:val="22"/>
          <w:szCs w:val="22"/>
          <w:u w:val="single"/>
        </w:rPr>
        <w:t>宁波市镇海区政府采购办公室</w:t>
      </w:r>
      <w:r>
        <w:rPr>
          <w:rFonts w:hint="eastAsia" w:ascii="宋体" w:hAnsi="宋体"/>
          <w:color w:val="auto"/>
          <w:sz w:val="22"/>
          <w:szCs w:val="22"/>
        </w:rPr>
        <w:t>下达的政府采购计划，宁波市镇海国泰工程建设投资管理咨询有限公司受</w:t>
      </w:r>
      <w:r>
        <w:rPr>
          <w:rFonts w:hint="eastAsia" w:ascii="宋体" w:hAnsi="宋体"/>
          <w:color w:val="auto"/>
          <w:sz w:val="22"/>
          <w:szCs w:val="22"/>
          <w:u w:val="single"/>
        </w:rPr>
        <w:t>宁波市公安局镇海分局</w:t>
      </w:r>
      <w:r>
        <w:rPr>
          <w:rFonts w:hint="eastAsia" w:ascii="宋体" w:hAnsi="宋体"/>
          <w:color w:val="auto"/>
          <w:sz w:val="22"/>
          <w:szCs w:val="22"/>
        </w:rPr>
        <w:t>的委托，就本采购编号下的服务进行国内公开采购，现邀请合格的投标人提交密封投标。</w:t>
      </w:r>
    </w:p>
    <w:p>
      <w:pPr>
        <w:spacing w:line="460" w:lineRule="exact"/>
        <w:ind w:firstLine="442" w:firstLineChars="200"/>
        <w:rPr>
          <w:rFonts w:hint="eastAsia" w:ascii="宋体" w:hAnsi="宋体"/>
          <w:color w:val="auto"/>
          <w:sz w:val="22"/>
          <w:szCs w:val="22"/>
        </w:rPr>
      </w:pPr>
      <w:r>
        <w:rPr>
          <w:rFonts w:hint="eastAsia" w:ascii="宋体" w:hAnsi="宋体" w:cs="Arial"/>
          <w:b/>
          <w:bCs/>
          <w:color w:val="auto"/>
          <w:sz w:val="22"/>
          <w:szCs w:val="22"/>
        </w:rPr>
        <w:t>一、项目名称</w:t>
      </w:r>
      <w:r>
        <w:rPr>
          <w:rFonts w:hint="eastAsia" w:ascii="宋体" w:hAnsi="宋体" w:cs="Arial"/>
          <w:bCs/>
          <w:color w:val="auto"/>
          <w:sz w:val="22"/>
          <w:szCs w:val="22"/>
        </w:rPr>
        <w:t>：镇海区全区社会治安视频监控系统（2021年度）统筹运维服务项目</w:t>
      </w:r>
    </w:p>
    <w:p>
      <w:pPr>
        <w:tabs>
          <w:tab w:val="center" w:pos="5143"/>
        </w:tabs>
        <w:spacing w:line="460" w:lineRule="exact"/>
        <w:ind w:firstLine="442" w:firstLineChars="200"/>
        <w:rPr>
          <w:rFonts w:hint="eastAsia" w:ascii="宋体" w:hAnsi="宋体" w:cs="Arial"/>
          <w:color w:val="auto"/>
          <w:sz w:val="22"/>
          <w:szCs w:val="22"/>
        </w:rPr>
      </w:pPr>
      <w:r>
        <w:rPr>
          <w:rFonts w:hint="eastAsia" w:ascii="宋体" w:hAnsi="宋体" w:cs="Arial"/>
          <w:b/>
          <w:bCs/>
          <w:color w:val="auto"/>
          <w:sz w:val="22"/>
          <w:szCs w:val="22"/>
        </w:rPr>
        <w:t>二、采购编号</w:t>
      </w:r>
      <w:r>
        <w:rPr>
          <w:rFonts w:hint="eastAsia" w:ascii="宋体" w:hAnsi="宋体" w:cs="Arial"/>
          <w:color w:val="auto"/>
          <w:sz w:val="22"/>
          <w:szCs w:val="22"/>
        </w:rPr>
        <w:t>：GTCG2020048</w:t>
      </w:r>
    </w:p>
    <w:p>
      <w:pPr>
        <w:tabs>
          <w:tab w:val="center" w:pos="5143"/>
        </w:tabs>
        <w:spacing w:line="460" w:lineRule="exact"/>
        <w:ind w:firstLine="442" w:firstLineChars="200"/>
        <w:rPr>
          <w:rFonts w:ascii="宋体" w:hAnsi="宋体" w:cs="Arial"/>
          <w:b/>
          <w:bCs/>
          <w:color w:val="auto"/>
          <w:sz w:val="22"/>
          <w:szCs w:val="22"/>
        </w:rPr>
      </w:pPr>
      <w:r>
        <w:rPr>
          <w:rFonts w:hint="eastAsia" w:ascii="宋体" w:hAnsi="宋体" w:cs="Arial"/>
          <w:b/>
          <w:bCs/>
          <w:color w:val="auto"/>
          <w:sz w:val="22"/>
          <w:szCs w:val="22"/>
        </w:rPr>
        <w:t>三、采购方式：</w:t>
      </w:r>
      <w:r>
        <w:rPr>
          <w:rFonts w:hint="eastAsia" w:ascii="宋体" w:hAnsi="宋体" w:cs="Arial"/>
          <w:bCs/>
          <w:color w:val="auto"/>
          <w:sz w:val="22"/>
          <w:szCs w:val="22"/>
        </w:rPr>
        <w:t>公开采购</w:t>
      </w:r>
    </w:p>
    <w:p>
      <w:pPr>
        <w:tabs>
          <w:tab w:val="center" w:pos="5143"/>
        </w:tabs>
        <w:spacing w:line="460" w:lineRule="exact"/>
        <w:ind w:firstLine="442" w:firstLineChars="200"/>
        <w:rPr>
          <w:rFonts w:hint="eastAsia" w:ascii="宋体" w:hAnsi="宋体" w:cs="Arial"/>
          <w:bCs/>
          <w:color w:val="auto"/>
          <w:sz w:val="22"/>
          <w:szCs w:val="22"/>
        </w:rPr>
      </w:pPr>
      <w:r>
        <w:rPr>
          <w:rFonts w:hint="eastAsia" w:ascii="宋体" w:hAnsi="宋体" w:cs="Arial"/>
          <w:b/>
          <w:bCs/>
          <w:color w:val="auto"/>
          <w:sz w:val="22"/>
          <w:szCs w:val="22"/>
        </w:rPr>
        <w:t>四、服务期限：</w:t>
      </w:r>
      <w:r>
        <w:rPr>
          <w:rFonts w:hint="eastAsia" w:ascii="宋体" w:hAnsi="宋体" w:cs="Arial"/>
          <w:bCs/>
          <w:color w:val="auto"/>
          <w:sz w:val="22"/>
          <w:szCs w:val="22"/>
        </w:rPr>
        <w:t>本项目服务期限为一年，</w:t>
      </w:r>
      <w:r>
        <w:rPr>
          <w:rFonts w:hint="eastAsia" w:ascii="宋体" w:hAnsi="宋体"/>
          <w:bCs/>
          <w:color w:val="auto"/>
          <w:sz w:val="22"/>
          <w:szCs w:val="22"/>
        </w:rPr>
        <w:t>其中前二个月为试用期，试用期内若考核不合格</w:t>
      </w:r>
      <w:r>
        <w:rPr>
          <w:rFonts w:hint="eastAsia" w:ascii="宋体" w:hAnsi="宋体"/>
          <w:color w:val="auto"/>
          <w:sz w:val="22"/>
          <w:szCs w:val="22"/>
        </w:rPr>
        <w:t>采购人有权单方解除合同。</w:t>
      </w:r>
    </w:p>
    <w:p>
      <w:pPr>
        <w:tabs>
          <w:tab w:val="center" w:pos="5143"/>
        </w:tabs>
        <w:spacing w:line="460" w:lineRule="exact"/>
        <w:ind w:firstLine="442" w:firstLineChars="200"/>
        <w:rPr>
          <w:rFonts w:hint="eastAsia" w:ascii="宋体" w:hAnsi="宋体" w:cs="Arial"/>
          <w:b/>
          <w:bCs/>
          <w:color w:val="auto"/>
          <w:sz w:val="22"/>
          <w:szCs w:val="22"/>
        </w:rPr>
      </w:pPr>
      <w:r>
        <w:rPr>
          <w:rFonts w:hint="eastAsia" w:ascii="宋体" w:hAnsi="宋体" w:cs="Arial"/>
          <w:b/>
          <w:bCs/>
          <w:color w:val="auto"/>
          <w:sz w:val="22"/>
          <w:szCs w:val="22"/>
        </w:rPr>
        <w:t>五、采购服务内容：</w:t>
      </w:r>
      <w:r>
        <w:rPr>
          <w:rFonts w:hint="eastAsia" w:ascii="宋体" w:hAnsi="宋体" w:cs="宋体"/>
          <w:color w:val="auto"/>
          <w:sz w:val="22"/>
          <w:szCs w:val="22"/>
        </w:rPr>
        <w:t>通过引进运维服务单位，建设完善的运维体系，保证故障的及时发现、维修。通过设备的定期维护，保障系统全时段正常运行</w:t>
      </w:r>
      <w:r>
        <w:rPr>
          <w:rFonts w:hint="eastAsia" w:ascii="宋体" w:hAnsi="宋体" w:cs="Arial"/>
          <w:bCs/>
          <w:color w:val="auto"/>
          <w:sz w:val="22"/>
          <w:szCs w:val="22"/>
        </w:rPr>
        <w:t>。</w:t>
      </w:r>
    </w:p>
    <w:p>
      <w:pPr>
        <w:tabs>
          <w:tab w:val="center" w:pos="5143"/>
        </w:tabs>
        <w:spacing w:line="460" w:lineRule="exact"/>
        <w:ind w:firstLine="442" w:firstLineChars="200"/>
        <w:rPr>
          <w:rFonts w:hint="eastAsia" w:ascii="宋体" w:hAnsi="宋体" w:cs="Arial"/>
          <w:b/>
          <w:bCs/>
          <w:color w:val="auto"/>
          <w:sz w:val="22"/>
          <w:szCs w:val="22"/>
        </w:rPr>
      </w:pPr>
      <w:r>
        <w:rPr>
          <w:rFonts w:hint="eastAsia" w:ascii="宋体" w:hAnsi="宋体" w:cs="Arial"/>
          <w:b/>
          <w:bCs/>
          <w:color w:val="auto"/>
          <w:sz w:val="22"/>
          <w:szCs w:val="22"/>
        </w:rPr>
        <w:t>六、采购服务规模：</w:t>
      </w:r>
      <w:r>
        <w:rPr>
          <w:rFonts w:hint="eastAsia" w:ascii="宋体" w:hAnsi="宋体" w:cs="Arial"/>
          <w:bCs/>
          <w:color w:val="auto"/>
          <w:sz w:val="22"/>
          <w:szCs w:val="22"/>
        </w:rPr>
        <w:t>镇海区全区社会治安视频监控系统。</w:t>
      </w:r>
    </w:p>
    <w:p>
      <w:pPr>
        <w:tabs>
          <w:tab w:val="center" w:pos="5143"/>
        </w:tabs>
        <w:spacing w:line="460" w:lineRule="exact"/>
        <w:ind w:firstLine="442" w:firstLineChars="200"/>
        <w:rPr>
          <w:rFonts w:hint="eastAsia" w:ascii="宋体" w:hAnsi="宋体" w:cs="Arial"/>
          <w:bCs/>
          <w:color w:val="auto"/>
          <w:sz w:val="22"/>
          <w:szCs w:val="22"/>
        </w:rPr>
      </w:pPr>
      <w:r>
        <w:rPr>
          <w:rFonts w:hint="eastAsia" w:ascii="宋体" w:hAnsi="宋体" w:cs="Arial"/>
          <w:b/>
          <w:bCs/>
          <w:color w:val="auto"/>
          <w:sz w:val="22"/>
          <w:szCs w:val="22"/>
        </w:rPr>
        <w:t>七、年度服务费上限价：</w:t>
      </w:r>
      <w:r>
        <w:rPr>
          <w:rFonts w:hint="eastAsia" w:ascii="宋体" w:hAnsi="宋体" w:cs="Arial"/>
          <w:bCs/>
          <w:color w:val="auto"/>
          <w:sz w:val="22"/>
          <w:szCs w:val="22"/>
        </w:rPr>
        <w:t>180万元人民币/年。</w:t>
      </w:r>
    </w:p>
    <w:p>
      <w:pPr>
        <w:tabs>
          <w:tab w:val="center" w:pos="5143"/>
        </w:tabs>
        <w:spacing w:line="460" w:lineRule="exact"/>
        <w:ind w:firstLine="442" w:firstLineChars="200"/>
        <w:rPr>
          <w:rFonts w:ascii="宋体" w:hAnsi="宋体" w:cs="Arial"/>
          <w:b/>
          <w:bCs/>
          <w:color w:val="auto"/>
          <w:sz w:val="22"/>
          <w:szCs w:val="22"/>
        </w:rPr>
      </w:pPr>
      <w:r>
        <w:rPr>
          <w:rFonts w:hint="eastAsia" w:ascii="宋体" w:hAnsi="宋体" w:cs="Arial"/>
          <w:b/>
          <w:bCs/>
          <w:color w:val="auto"/>
          <w:sz w:val="22"/>
          <w:szCs w:val="22"/>
        </w:rPr>
        <w:t>八</w:t>
      </w:r>
      <w:r>
        <w:rPr>
          <w:rFonts w:ascii="宋体" w:hAnsi="宋体" w:cs="Arial"/>
          <w:b/>
          <w:bCs/>
          <w:color w:val="auto"/>
          <w:sz w:val="22"/>
          <w:szCs w:val="22"/>
        </w:rPr>
        <w:t>、</w:t>
      </w:r>
      <w:r>
        <w:rPr>
          <w:rFonts w:hint="eastAsia" w:ascii="宋体" w:hAnsi="宋体" w:cs="Arial"/>
          <w:b/>
          <w:bCs/>
          <w:color w:val="auto"/>
          <w:sz w:val="22"/>
          <w:szCs w:val="22"/>
        </w:rPr>
        <w:t>合格投标人的资格要求（本项目采用资格后审）</w:t>
      </w:r>
    </w:p>
    <w:p>
      <w:pPr>
        <w:spacing w:line="460" w:lineRule="exact"/>
        <w:ind w:firstLine="446" w:firstLineChars="202"/>
        <w:rPr>
          <w:rFonts w:ascii="宋体" w:hAnsi="宋体"/>
          <w:b/>
          <w:color w:val="auto"/>
          <w:sz w:val="22"/>
          <w:szCs w:val="22"/>
        </w:rPr>
      </w:pPr>
      <w:r>
        <w:rPr>
          <w:rFonts w:hint="eastAsia" w:ascii="宋体" w:hAnsi="宋体"/>
          <w:b/>
          <w:color w:val="auto"/>
          <w:sz w:val="22"/>
          <w:szCs w:val="22"/>
        </w:rPr>
        <w:t>(一)、投标人</w:t>
      </w:r>
      <w:r>
        <w:rPr>
          <w:rFonts w:ascii="宋体" w:hAnsi="宋体"/>
          <w:b/>
          <w:color w:val="auto"/>
          <w:sz w:val="22"/>
          <w:szCs w:val="22"/>
        </w:rPr>
        <w:t>一般资格</w:t>
      </w:r>
      <w:r>
        <w:rPr>
          <w:rFonts w:hint="eastAsia" w:ascii="宋体" w:hAnsi="宋体"/>
          <w:b/>
          <w:color w:val="auto"/>
          <w:sz w:val="22"/>
          <w:szCs w:val="22"/>
        </w:rPr>
        <w:t>条件</w:t>
      </w:r>
    </w:p>
    <w:p>
      <w:pPr>
        <w:spacing w:line="460" w:lineRule="exact"/>
        <w:ind w:firstLine="440" w:firstLineChars="200"/>
        <w:rPr>
          <w:rFonts w:ascii="宋体" w:hAnsi="宋体"/>
          <w:color w:val="auto"/>
          <w:sz w:val="22"/>
          <w:szCs w:val="22"/>
        </w:rPr>
      </w:pPr>
      <w:r>
        <w:rPr>
          <w:rFonts w:ascii="宋体" w:hAnsi="宋体"/>
          <w:color w:val="auto"/>
          <w:sz w:val="22"/>
          <w:szCs w:val="22"/>
        </w:rPr>
        <w:t>1</w:t>
      </w:r>
      <w:r>
        <w:rPr>
          <w:rFonts w:hint="eastAsia" w:ascii="宋体" w:hAnsi="宋体"/>
          <w:color w:val="auto"/>
          <w:sz w:val="22"/>
          <w:szCs w:val="22"/>
        </w:rPr>
        <w:t>、符合《中华人民共和国政府采购法》第二十二条和浙财采监【2013】24号《关于规范政府采购供应商资格设定及资格审查的通知》第六条规定；</w:t>
      </w:r>
    </w:p>
    <w:p>
      <w:pPr>
        <w:spacing w:line="460" w:lineRule="exact"/>
        <w:ind w:firstLine="440" w:firstLineChars="200"/>
        <w:rPr>
          <w:rFonts w:ascii="宋体" w:hAnsi="宋体"/>
          <w:color w:val="auto"/>
          <w:sz w:val="22"/>
          <w:szCs w:val="22"/>
        </w:rPr>
      </w:pPr>
      <w:r>
        <w:rPr>
          <w:rFonts w:ascii="宋体" w:hAnsi="宋体"/>
          <w:color w:val="auto"/>
          <w:sz w:val="22"/>
          <w:szCs w:val="22"/>
        </w:rPr>
        <w:t>2</w:t>
      </w:r>
      <w:r>
        <w:rPr>
          <w:rFonts w:hint="eastAsia" w:ascii="宋体" w:hAnsi="宋体"/>
          <w:color w:val="auto"/>
          <w:sz w:val="22"/>
          <w:szCs w:val="22"/>
        </w:rPr>
        <w:t>、投标人未被列入“信用中国”网站(www.creditchina.gov.cn)中的“失信被执行人或重大税收违法案件当事人名单或政府采购严重违法失信名单”，不处于中国政府采购网(www.ccgp.gov.cn)“政府采购严重违法失信行为记录名单”处罚结果确定为禁止参加政府采购活动期间。（以采购代理机构于投标截止日当天在信用中国网站及中国政府采购网查询结果为准；若在开标当天因不可抗力事件导致无法查询且一时无法恢复查询的，可在中标公示期间对中标候选人进行事后查询。中标候选人被列入失信被执行人、重大税收违法案件当事人名单或政府采购严重违法失信名单、政府采购严重违法失信行为记录名单处罚结果确定为禁止参加政府采购活动期间的，采购人将依法取消其中标资格）。</w:t>
      </w:r>
    </w:p>
    <w:p>
      <w:pPr>
        <w:spacing w:line="460" w:lineRule="exact"/>
        <w:ind w:firstLine="440" w:firstLineChars="200"/>
        <w:rPr>
          <w:rFonts w:hint="eastAsia" w:ascii="宋体" w:hAnsi="宋体"/>
          <w:color w:val="auto"/>
          <w:sz w:val="22"/>
          <w:szCs w:val="22"/>
        </w:rPr>
      </w:pPr>
      <w:r>
        <w:rPr>
          <w:rFonts w:ascii="宋体" w:hAnsi="宋体"/>
          <w:color w:val="auto"/>
          <w:sz w:val="22"/>
          <w:szCs w:val="22"/>
        </w:rPr>
        <w:t>3</w:t>
      </w:r>
      <w:r>
        <w:rPr>
          <w:rFonts w:hint="eastAsia" w:ascii="宋体" w:hAnsi="宋体"/>
          <w:color w:val="auto"/>
          <w:sz w:val="22"/>
          <w:szCs w:val="22"/>
        </w:rPr>
        <w:t>、单位负责人为同一人或者存在直接控股、管理关系的不同投标人，不得参加同一合同项下的政府采购活动。</w:t>
      </w:r>
    </w:p>
    <w:p>
      <w:pPr>
        <w:spacing w:line="460" w:lineRule="exact"/>
        <w:ind w:firstLine="446" w:firstLineChars="202"/>
        <w:rPr>
          <w:rFonts w:ascii="宋体" w:hAnsi="宋体"/>
          <w:b/>
          <w:color w:val="auto"/>
          <w:sz w:val="22"/>
          <w:szCs w:val="22"/>
        </w:rPr>
      </w:pPr>
      <w:r>
        <w:rPr>
          <w:rFonts w:hint="eastAsia" w:ascii="宋体" w:hAnsi="宋体"/>
          <w:b/>
          <w:color w:val="auto"/>
          <w:sz w:val="22"/>
          <w:szCs w:val="22"/>
        </w:rPr>
        <w:t xml:space="preserve"> (二)、投标人的特定条件：</w:t>
      </w:r>
    </w:p>
    <w:p>
      <w:pPr>
        <w:spacing w:line="460" w:lineRule="exact"/>
        <w:ind w:firstLine="440" w:firstLineChars="200"/>
        <w:rPr>
          <w:rFonts w:hint="eastAsia" w:ascii="宋体" w:hAnsi="宋体"/>
          <w:color w:val="auto"/>
          <w:sz w:val="22"/>
          <w:szCs w:val="22"/>
        </w:rPr>
      </w:pPr>
      <w:r>
        <w:rPr>
          <w:rFonts w:hint="eastAsia" w:ascii="宋体" w:hAnsi="宋体"/>
          <w:color w:val="auto"/>
          <w:sz w:val="22"/>
          <w:szCs w:val="22"/>
        </w:rPr>
        <w:t>1、具备独立法人资格，本项目</w:t>
      </w:r>
      <w:r>
        <w:rPr>
          <w:rFonts w:hint="eastAsia" w:ascii="宋体" w:hAnsi="宋体"/>
          <w:color w:val="auto"/>
          <w:sz w:val="22"/>
          <w:szCs w:val="22"/>
          <w:u w:val="single"/>
        </w:rPr>
        <w:t xml:space="preserve"> 不 </w:t>
      </w:r>
      <w:r>
        <w:rPr>
          <w:rFonts w:hint="eastAsia" w:ascii="宋体" w:hAnsi="宋体"/>
          <w:color w:val="auto"/>
          <w:sz w:val="22"/>
          <w:szCs w:val="22"/>
        </w:rPr>
        <w:t>接受联合体形式投标；</w:t>
      </w:r>
    </w:p>
    <w:p>
      <w:pPr>
        <w:spacing w:line="460" w:lineRule="exact"/>
        <w:ind w:firstLine="440" w:firstLineChars="200"/>
        <w:rPr>
          <w:rFonts w:hint="eastAsia" w:ascii="宋体" w:hAnsi="宋体"/>
          <w:color w:val="auto"/>
          <w:sz w:val="22"/>
          <w:szCs w:val="22"/>
        </w:rPr>
      </w:pPr>
      <w:r>
        <w:rPr>
          <w:rFonts w:hint="eastAsia" w:ascii="宋体" w:hAnsi="宋体"/>
          <w:color w:val="auto"/>
          <w:sz w:val="22"/>
          <w:szCs w:val="22"/>
        </w:rPr>
        <w:t>2、本项目不允许转包与分包。</w:t>
      </w:r>
    </w:p>
    <w:p>
      <w:pPr>
        <w:spacing w:line="460" w:lineRule="exact"/>
        <w:ind w:firstLine="442" w:firstLineChars="200"/>
        <w:rPr>
          <w:rFonts w:hint="eastAsia" w:ascii="宋体" w:hAnsi="宋体"/>
          <w:color w:val="auto"/>
          <w:sz w:val="22"/>
          <w:szCs w:val="22"/>
        </w:rPr>
      </w:pPr>
      <w:r>
        <w:rPr>
          <w:rFonts w:hint="eastAsia" w:ascii="宋体" w:hAnsi="宋体"/>
          <w:b/>
          <w:color w:val="auto"/>
          <w:sz w:val="22"/>
          <w:szCs w:val="22"/>
        </w:rPr>
        <w:t>九</w:t>
      </w:r>
      <w:r>
        <w:rPr>
          <w:rFonts w:ascii="宋体" w:hAnsi="宋体"/>
          <w:b/>
          <w:color w:val="auto"/>
          <w:sz w:val="22"/>
          <w:szCs w:val="22"/>
        </w:rPr>
        <w:t>、</w:t>
      </w:r>
      <w:r>
        <w:rPr>
          <w:rFonts w:hint="eastAsia" w:ascii="宋体" w:hAnsi="宋体"/>
          <w:b/>
          <w:color w:val="auto"/>
          <w:sz w:val="22"/>
          <w:szCs w:val="22"/>
        </w:rPr>
        <w:t>获取采购文件的时间期限、地点、方式及</w:t>
      </w:r>
      <w:r>
        <w:rPr>
          <w:rFonts w:ascii="宋体" w:hAnsi="宋体"/>
          <w:b/>
          <w:color w:val="auto"/>
          <w:sz w:val="22"/>
          <w:szCs w:val="22"/>
        </w:rPr>
        <w:t>售价</w:t>
      </w:r>
    </w:p>
    <w:p>
      <w:pPr>
        <w:spacing w:line="460" w:lineRule="exact"/>
        <w:ind w:firstLine="440" w:firstLineChars="200"/>
        <w:rPr>
          <w:rFonts w:ascii="宋体" w:hAnsi="宋体"/>
          <w:color w:val="auto"/>
          <w:sz w:val="22"/>
          <w:szCs w:val="22"/>
        </w:rPr>
      </w:pPr>
      <w:r>
        <w:rPr>
          <w:rFonts w:hint="eastAsia" w:ascii="宋体" w:hAnsi="宋体"/>
          <w:color w:val="auto"/>
          <w:sz w:val="22"/>
          <w:szCs w:val="22"/>
        </w:rPr>
        <w:t>1、获取采购文件的时间期限：自公告发布时间至2020年12月</w:t>
      </w:r>
      <w:r>
        <w:rPr>
          <w:rFonts w:hint="eastAsia" w:ascii="宋体" w:hAnsi="宋体"/>
          <w:color w:val="auto"/>
          <w:sz w:val="22"/>
          <w:szCs w:val="22"/>
          <w:lang w:val="en-US" w:eastAsia="zh-CN"/>
        </w:rPr>
        <w:t>23</w:t>
      </w:r>
      <w:r>
        <w:rPr>
          <w:rFonts w:hint="eastAsia" w:ascii="宋体" w:hAnsi="宋体"/>
          <w:color w:val="auto"/>
          <w:sz w:val="22"/>
          <w:szCs w:val="22"/>
        </w:rPr>
        <w:t>日</w:t>
      </w:r>
      <w:r>
        <w:rPr>
          <w:rFonts w:hint="eastAsia" w:ascii="宋体" w:hAnsi="宋体"/>
          <w:color w:val="auto"/>
          <w:sz w:val="22"/>
          <w:szCs w:val="22"/>
          <w:lang w:val="en-US" w:eastAsia="zh-CN"/>
        </w:rPr>
        <w:t>23</w:t>
      </w:r>
      <w:r>
        <w:rPr>
          <w:rFonts w:hint="eastAsia" w:ascii="宋体" w:hAnsi="宋体"/>
          <w:color w:val="auto"/>
          <w:sz w:val="22"/>
          <w:szCs w:val="22"/>
        </w:rPr>
        <w:t>时</w:t>
      </w:r>
      <w:r>
        <w:rPr>
          <w:rFonts w:hint="eastAsia" w:ascii="宋体" w:hAnsi="宋体"/>
          <w:color w:val="auto"/>
          <w:sz w:val="22"/>
          <w:szCs w:val="22"/>
          <w:lang w:val="en-US" w:eastAsia="zh-CN"/>
        </w:rPr>
        <w:t>59</w:t>
      </w:r>
      <w:r>
        <w:rPr>
          <w:rFonts w:hint="eastAsia" w:ascii="宋体" w:hAnsi="宋体"/>
          <w:color w:val="auto"/>
          <w:sz w:val="22"/>
          <w:szCs w:val="22"/>
        </w:rPr>
        <w:t>分止；</w:t>
      </w:r>
    </w:p>
    <w:p>
      <w:pPr>
        <w:spacing w:line="460" w:lineRule="exact"/>
        <w:ind w:firstLine="440" w:firstLineChars="200"/>
        <w:rPr>
          <w:rFonts w:ascii="宋体" w:hAnsi="宋体"/>
          <w:color w:val="auto"/>
          <w:sz w:val="22"/>
          <w:szCs w:val="22"/>
        </w:rPr>
      </w:pPr>
      <w:r>
        <w:rPr>
          <w:rFonts w:ascii="宋体" w:hAnsi="宋体"/>
          <w:color w:val="auto"/>
          <w:sz w:val="22"/>
          <w:szCs w:val="22"/>
        </w:rPr>
        <w:t>2</w:t>
      </w:r>
      <w:r>
        <w:rPr>
          <w:rFonts w:hint="eastAsia" w:ascii="宋体" w:hAnsi="宋体"/>
          <w:color w:val="auto"/>
          <w:sz w:val="22"/>
          <w:szCs w:val="22"/>
        </w:rPr>
        <w:t>、获取采购文件的地点：浙江政府采购网本项目公告附件；</w:t>
      </w:r>
    </w:p>
    <w:p>
      <w:pPr>
        <w:spacing w:line="460" w:lineRule="exact"/>
        <w:ind w:firstLine="440" w:firstLineChars="200"/>
        <w:rPr>
          <w:rFonts w:ascii="宋体" w:hAnsi="宋体"/>
          <w:color w:val="auto"/>
          <w:sz w:val="22"/>
          <w:szCs w:val="22"/>
        </w:rPr>
      </w:pPr>
      <w:r>
        <w:rPr>
          <w:rFonts w:ascii="宋体" w:hAnsi="宋体"/>
          <w:color w:val="auto"/>
          <w:sz w:val="22"/>
          <w:szCs w:val="22"/>
        </w:rPr>
        <w:t>3</w:t>
      </w:r>
      <w:r>
        <w:rPr>
          <w:rFonts w:hint="eastAsia" w:ascii="宋体" w:hAnsi="宋体"/>
          <w:color w:val="auto"/>
          <w:sz w:val="22"/>
          <w:szCs w:val="22"/>
        </w:rPr>
        <w:t>、获取采购文件方式：在线获取，投标人直接登陆“浙江政府采购云平台”（http://zfcg.czt.zj.gov.cn/）以潜在供应商的名义下载电子采购文件(</w:t>
      </w:r>
      <w:r>
        <w:rPr>
          <w:rFonts w:hint="eastAsia" w:ascii="宋体" w:hAnsi="宋体"/>
          <w:b/>
          <w:color w:val="auto"/>
          <w:sz w:val="22"/>
          <w:szCs w:val="22"/>
        </w:rPr>
        <w:t>以游客</w:t>
      </w:r>
      <w:r>
        <w:rPr>
          <w:rFonts w:ascii="宋体" w:hAnsi="宋体"/>
          <w:b/>
          <w:color w:val="auto"/>
          <w:sz w:val="22"/>
          <w:szCs w:val="22"/>
        </w:rPr>
        <w:t>名义获取的采购文件不予认可，其投标视作无效投标</w:t>
      </w:r>
      <w:r>
        <w:rPr>
          <w:rFonts w:hint="eastAsia" w:ascii="宋体" w:hAnsi="宋体"/>
          <w:color w:val="auto"/>
          <w:sz w:val="22"/>
          <w:szCs w:val="22"/>
        </w:rPr>
        <w:t>)：</w:t>
      </w:r>
    </w:p>
    <w:p>
      <w:pPr>
        <w:spacing w:line="460" w:lineRule="exact"/>
        <w:ind w:firstLine="440" w:firstLineChars="200"/>
        <w:rPr>
          <w:rFonts w:ascii="宋体" w:hAnsi="宋体"/>
          <w:color w:val="auto"/>
          <w:sz w:val="22"/>
          <w:szCs w:val="22"/>
        </w:rPr>
      </w:pPr>
      <w:r>
        <w:rPr>
          <w:rFonts w:hint="eastAsia" w:ascii="宋体" w:hAnsi="宋体"/>
          <w:color w:val="auto"/>
          <w:sz w:val="22"/>
          <w:szCs w:val="22"/>
        </w:rPr>
        <w:t>（1）根据《浙江省政府采购供应商注册及诚信管理暂行办法》规定，在“政府采购云平台”（www.zcygov.cn）或“浙江政府采购网”（ http://zfcg.czt.zj.gov.cn/）注册的投标人获取路径：【用户登录】—【项目采购】—【获取采购文件】；</w:t>
      </w:r>
    </w:p>
    <w:p>
      <w:pPr>
        <w:spacing w:line="460" w:lineRule="exact"/>
        <w:ind w:firstLine="440" w:firstLineChars="200"/>
        <w:rPr>
          <w:rFonts w:ascii="宋体" w:hAnsi="宋体"/>
          <w:color w:val="auto"/>
          <w:sz w:val="22"/>
          <w:szCs w:val="22"/>
        </w:rPr>
      </w:pPr>
      <w:r>
        <w:rPr>
          <w:rFonts w:hint="eastAsia" w:ascii="宋体" w:hAnsi="宋体"/>
          <w:color w:val="auto"/>
          <w:sz w:val="22"/>
          <w:szCs w:val="22"/>
        </w:rPr>
        <w:t>（2）未注册投标人获取路径：【商家入驻】—完成政府采购供应商入驻注册—【项目采购】—【获取采购文件】，请注意注册所需时间。</w:t>
      </w:r>
    </w:p>
    <w:p>
      <w:pPr>
        <w:spacing w:line="460" w:lineRule="exact"/>
        <w:ind w:firstLine="440" w:firstLineChars="200"/>
        <w:rPr>
          <w:rFonts w:ascii="宋体" w:hAnsi="宋体"/>
          <w:color w:val="auto"/>
          <w:sz w:val="22"/>
          <w:szCs w:val="22"/>
        </w:rPr>
      </w:pPr>
      <w:r>
        <w:rPr>
          <w:rFonts w:hint="eastAsia" w:ascii="宋体" w:hAnsi="宋体"/>
          <w:color w:val="auto"/>
          <w:sz w:val="22"/>
          <w:szCs w:val="22"/>
        </w:rPr>
        <w:t>注册流程：</w:t>
      </w:r>
      <w:r>
        <w:rPr>
          <w:rFonts w:ascii="宋体" w:hAnsi="宋体"/>
          <w:color w:val="auto"/>
          <w:sz w:val="22"/>
          <w:szCs w:val="22"/>
        </w:rPr>
        <w:fldChar w:fldCharType="begin"/>
      </w:r>
      <w:r>
        <w:rPr>
          <w:rFonts w:ascii="宋体" w:hAnsi="宋体"/>
          <w:color w:val="auto"/>
          <w:sz w:val="22"/>
          <w:szCs w:val="22"/>
        </w:rPr>
        <w:instrText xml:space="preserve"> HYPERLINK "</w:instrText>
      </w:r>
      <w:r>
        <w:rPr>
          <w:rFonts w:hint="eastAsia" w:ascii="宋体" w:hAnsi="宋体"/>
          <w:color w:val="auto"/>
          <w:sz w:val="22"/>
          <w:szCs w:val="22"/>
        </w:rPr>
        <w:instrText xml:space="preserve">https://ms.zcygov.cn/pages/register</w:instrText>
      </w:r>
      <w:r>
        <w:rPr>
          <w:rFonts w:ascii="宋体" w:hAnsi="宋体"/>
          <w:color w:val="auto"/>
          <w:sz w:val="22"/>
          <w:szCs w:val="22"/>
        </w:rPr>
        <w:instrText xml:space="preserve">" </w:instrText>
      </w:r>
      <w:r>
        <w:rPr>
          <w:rFonts w:ascii="宋体" w:hAnsi="宋体"/>
          <w:color w:val="auto"/>
          <w:sz w:val="22"/>
          <w:szCs w:val="22"/>
        </w:rPr>
        <w:fldChar w:fldCharType="separate"/>
      </w:r>
      <w:r>
        <w:rPr>
          <w:rStyle w:val="62"/>
          <w:rFonts w:hint="eastAsia" w:ascii="宋体" w:hAnsi="宋体"/>
          <w:color w:val="auto"/>
          <w:sz w:val="22"/>
          <w:szCs w:val="22"/>
        </w:rPr>
        <w:t>https://ms.zcygov.cn/pages/register</w:t>
      </w:r>
      <w:r>
        <w:rPr>
          <w:rFonts w:ascii="宋体" w:hAnsi="宋体"/>
          <w:color w:val="auto"/>
          <w:sz w:val="22"/>
          <w:szCs w:val="22"/>
        </w:rPr>
        <w:fldChar w:fldCharType="end"/>
      </w:r>
      <w:r>
        <w:rPr>
          <w:rFonts w:hint="eastAsia" w:ascii="宋体" w:hAnsi="宋体"/>
          <w:color w:val="auto"/>
          <w:sz w:val="22"/>
          <w:szCs w:val="22"/>
        </w:rPr>
        <w:t>?</w:t>
      </w:r>
      <w:r>
        <w:rPr>
          <w:rFonts w:ascii="宋体" w:hAnsi="宋体"/>
          <w:color w:val="auto"/>
          <w:sz w:val="22"/>
          <w:szCs w:val="22"/>
        </w:rPr>
        <w:t xml:space="preserve">    </w:t>
      </w:r>
      <w:r>
        <w:rPr>
          <w:rFonts w:hint="eastAsia" w:ascii="宋体" w:hAnsi="宋体"/>
          <w:color w:val="auto"/>
          <w:sz w:val="22"/>
          <w:szCs w:val="22"/>
        </w:rPr>
        <w:t>注册咨询电话：400-881-7190</w:t>
      </w:r>
    </w:p>
    <w:p>
      <w:pPr>
        <w:spacing w:line="460" w:lineRule="exact"/>
        <w:ind w:firstLine="440" w:firstLineChars="200"/>
        <w:rPr>
          <w:rFonts w:ascii="宋体" w:hAnsi="宋体"/>
          <w:color w:val="auto"/>
          <w:sz w:val="22"/>
          <w:szCs w:val="22"/>
        </w:rPr>
      </w:pPr>
      <w:r>
        <w:rPr>
          <w:rFonts w:hint="eastAsia" w:ascii="宋体" w:hAnsi="宋体"/>
          <w:color w:val="auto"/>
          <w:sz w:val="22"/>
          <w:szCs w:val="22"/>
        </w:rPr>
        <w:t>（3）未在规定期限内或未按规定方式获取采购文件的，其投标均视为无效，并不得对采购文件提起质疑投诉。</w:t>
      </w:r>
    </w:p>
    <w:p>
      <w:pPr>
        <w:spacing w:line="460" w:lineRule="exact"/>
        <w:ind w:firstLine="440" w:firstLineChars="200"/>
        <w:rPr>
          <w:rFonts w:ascii="宋体" w:hAnsi="宋体"/>
          <w:color w:val="auto"/>
          <w:sz w:val="22"/>
          <w:szCs w:val="22"/>
        </w:rPr>
      </w:pPr>
      <w:r>
        <w:rPr>
          <w:rFonts w:hint="eastAsia" w:ascii="宋体" w:hAnsi="宋体"/>
          <w:color w:val="auto"/>
          <w:sz w:val="22"/>
          <w:szCs w:val="22"/>
        </w:rPr>
        <w:t>提示：采购公告附件内的采购文件（或采购需求）仅供阅览使用，投标人只有在“政府采购云平台”完成获取采购文件申请并下载了采购文件后才视作依法获得完整的采购文件及所包含的采购需求（法律法规所指的投标人获取采购文件时间以投标人完成获取采购文件申请后下载采购文件的时间为准）。</w:t>
      </w:r>
    </w:p>
    <w:p>
      <w:pPr>
        <w:spacing w:line="460" w:lineRule="exact"/>
        <w:ind w:firstLine="440" w:firstLineChars="200"/>
        <w:rPr>
          <w:rFonts w:hint="eastAsia" w:ascii="宋体" w:hAnsi="宋体"/>
          <w:color w:val="auto"/>
          <w:sz w:val="22"/>
          <w:szCs w:val="22"/>
        </w:rPr>
      </w:pPr>
      <w:r>
        <w:rPr>
          <w:rFonts w:hint="eastAsia" w:ascii="宋体" w:hAnsi="宋体"/>
          <w:color w:val="auto"/>
          <w:sz w:val="22"/>
          <w:szCs w:val="22"/>
        </w:rPr>
        <w:t>4、</w:t>
      </w:r>
      <w:r>
        <w:rPr>
          <w:rFonts w:hint="eastAsia" w:ascii="宋体" w:hAnsi="宋体" w:cs="Arial"/>
          <w:color w:val="auto"/>
          <w:sz w:val="22"/>
          <w:szCs w:val="22"/>
        </w:rPr>
        <w:t>采购文件免费获取。</w:t>
      </w:r>
    </w:p>
    <w:p>
      <w:pPr>
        <w:spacing w:line="460" w:lineRule="exact"/>
        <w:ind w:firstLine="442" w:firstLineChars="200"/>
        <w:rPr>
          <w:rFonts w:ascii="宋体" w:hAnsi="宋体"/>
          <w:color w:val="auto"/>
          <w:sz w:val="22"/>
          <w:szCs w:val="22"/>
        </w:rPr>
      </w:pPr>
      <w:r>
        <w:rPr>
          <w:rFonts w:hint="eastAsia" w:ascii="宋体" w:hAnsi="宋体"/>
          <w:b/>
          <w:color w:val="auto"/>
          <w:sz w:val="22"/>
          <w:szCs w:val="22"/>
        </w:rPr>
        <w:t>十、投标保证金</w:t>
      </w:r>
      <w:r>
        <w:rPr>
          <w:rFonts w:ascii="宋体" w:hAnsi="宋体"/>
          <w:color w:val="auto"/>
          <w:sz w:val="22"/>
          <w:szCs w:val="22"/>
        </w:rPr>
        <w:t xml:space="preserve"> </w:t>
      </w:r>
    </w:p>
    <w:p>
      <w:pPr>
        <w:spacing w:line="460" w:lineRule="exact"/>
        <w:ind w:firstLine="440" w:firstLineChars="200"/>
        <w:rPr>
          <w:rFonts w:ascii="宋体" w:hAnsi="宋体"/>
          <w:b/>
          <w:color w:val="auto"/>
          <w:sz w:val="22"/>
          <w:szCs w:val="22"/>
        </w:rPr>
      </w:pPr>
      <w:r>
        <w:rPr>
          <w:rFonts w:hint="eastAsia" w:ascii="宋体" w:hAnsi="宋体"/>
          <w:color w:val="auto"/>
          <w:sz w:val="22"/>
          <w:szCs w:val="22"/>
        </w:rPr>
        <w:t>本项目投标保证金为人民币</w:t>
      </w:r>
      <w:r>
        <w:rPr>
          <w:rFonts w:hint="eastAsia" w:ascii="宋体" w:hAnsi="宋体"/>
          <w:color w:val="auto"/>
          <w:sz w:val="22"/>
          <w:szCs w:val="22"/>
          <w:u w:val="single"/>
        </w:rPr>
        <w:t xml:space="preserve"> </w:t>
      </w:r>
      <w:r>
        <w:rPr>
          <w:rFonts w:ascii="宋体" w:hAnsi="宋体"/>
          <w:b/>
          <w:color w:val="auto"/>
          <w:sz w:val="22"/>
          <w:szCs w:val="22"/>
          <w:u w:val="single"/>
        </w:rPr>
        <w:t xml:space="preserve"> /   </w:t>
      </w:r>
      <w:r>
        <w:rPr>
          <w:rFonts w:hint="eastAsia" w:ascii="宋体" w:hAnsi="宋体"/>
          <w:color w:val="auto"/>
          <w:sz w:val="22"/>
          <w:szCs w:val="22"/>
        </w:rPr>
        <w:t>元（本项目不适用）。</w:t>
      </w:r>
      <w:r>
        <w:rPr>
          <w:rFonts w:ascii="宋体" w:hAnsi="宋体"/>
          <w:b/>
          <w:color w:val="auto"/>
          <w:sz w:val="22"/>
          <w:szCs w:val="22"/>
        </w:rPr>
        <w:t xml:space="preserve"> </w:t>
      </w:r>
    </w:p>
    <w:p>
      <w:pPr>
        <w:spacing w:line="460" w:lineRule="exact"/>
        <w:ind w:firstLine="442" w:firstLineChars="200"/>
        <w:rPr>
          <w:rFonts w:hint="eastAsia" w:ascii="宋体" w:hAnsi="宋体"/>
          <w:color w:val="auto"/>
          <w:sz w:val="22"/>
          <w:szCs w:val="22"/>
        </w:rPr>
      </w:pPr>
      <w:r>
        <w:rPr>
          <w:rFonts w:hint="eastAsia" w:ascii="宋体" w:hAnsi="宋体"/>
          <w:b/>
          <w:color w:val="auto"/>
          <w:sz w:val="22"/>
          <w:szCs w:val="22"/>
        </w:rPr>
        <w:t>十一、投标截止时间</w:t>
      </w:r>
    </w:p>
    <w:p>
      <w:pPr>
        <w:spacing w:line="460" w:lineRule="exact"/>
        <w:ind w:firstLine="440" w:firstLineChars="200"/>
        <w:rPr>
          <w:rFonts w:ascii="宋体" w:hAnsi="宋体"/>
          <w:color w:val="auto"/>
          <w:sz w:val="22"/>
          <w:szCs w:val="22"/>
        </w:rPr>
      </w:pPr>
      <w:r>
        <w:rPr>
          <w:rFonts w:hint="eastAsia" w:ascii="宋体" w:hAnsi="宋体"/>
          <w:color w:val="auto"/>
          <w:sz w:val="22"/>
          <w:szCs w:val="22"/>
        </w:rPr>
        <w:t>1、投标人应于</w:t>
      </w:r>
      <w:r>
        <w:rPr>
          <w:rFonts w:hint="eastAsia" w:ascii="宋体" w:hAnsi="宋体"/>
          <w:b/>
          <w:color w:val="auto"/>
          <w:sz w:val="22"/>
          <w:szCs w:val="22"/>
          <w:u w:val="single"/>
        </w:rPr>
        <w:t>2020年12月</w:t>
      </w:r>
      <w:r>
        <w:rPr>
          <w:rFonts w:hint="eastAsia" w:ascii="宋体" w:hAnsi="宋体"/>
          <w:b/>
          <w:color w:val="auto"/>
          <w:sz w:val="22"/>
          <w:szCs w:val="22"/>
          <w:u w:val="single"/>
          <w:lang w:val="en-US" w:eastAsia="zh-CN"/>
        </w:rPr>
        <w:t>28</w:t>
      </w:r>
      <w:r>
        <w:rPr>
          <w:rFonts w:hint="eastAsia" w:ascii="宋体" w:hAnsi="宋体"/>
          <w:b/>
          <w:color w:val="auto"/>
          <w:sz w:val="22"/>
          <w:szCs w:val="22"/>
          <w:u w:val="single"/>
        </w:rPr>
        <w:t>日13时30分</w:t>
      </w:r>
      <w:r>
        <w:rPr>
          <w:rFonts w:hint="eastAsia" w:ascii="宋体" w:hAnsi="宋体"/>
          <w:color w:val="auto"/>
          <w:sz w:val="22"/>
          <w:szCs w:val="22"/>
        </w:rPr>
        <w:t>(北京时间)前将电子</w:t>
      </w:r>
      <w:r>
        <w:rPr>
          <w:rFonts w:ascii="宋体" w:hAnsi="宋体"/>
          <w:color w:val="auto"/>
          <w:sz w:val="22"/>
          <w:szCs w:val="22"/>
        </w:rPr>
        <w:t>加密</w:t>
      </w:r>
      <w:r>
        <w:rPr>
          <w:rFonts w:hint="eastAsia" w:ascii="宋体" w:hAnsi="宋体"/>
          <w:color w:val="auto"/>
          <w:sz w:val="22"/>
          <w:szCs w:val="22"/>
        </w:rPr>
        <w:t>文件上传到“政采云”平台，逾期</w:t>
      </w:r>
      <w:r>
        <w:rPr>
          <w:rFonts w:ascii="宋体" w:hAnsi="宋体"/>
          <w:color w:val="auto"/>
          <w:sz w:val="22"/>
          <w:szCs w:val="22"/>
        </w:rPr>
        <w:t>上传或上传不成功的，其投标无效。</w:t>
      </w:r>
    </w:p>
    <w:p>
      <w:pPr>
        <w:spacing w:line="460" w:lineRule="exact"/>
        <w:ind w:firstLine="440" w:firstLineChars="200"/>
        <w:rPr>
          <w:rFonts w:ascii="宋体" w:hAnsi="宋体" w:cs="Arial"/>
          <w:bCs/>
          <w:color w:val="auto"/>
          <w:sz w:val="22"/>
          <w:szCs w:val="22"/>
        </w:rPr>
      </w:pPr>
      <w:r>
        <w:rPr>
          <w:rFonts w:ascii="宋体" w:hAnsi="宋体"/>
          <w:color w:val="auto"/>
          <w:sz w:val="22"/>
          <w:szCs w:val="22"/>
        </w:rPr>
        <w:t>2</w:t>
      </w:r>
      <w:r>
        <w:rPr>
          <w:rFonts w:hint="eastAsia" w:ascii="宋体" w:hAnsi="宋体"/>
          <w:color w:val="auto"/>
          <w:sz w:val="22"/>
          <w:szCs w:val="22"/>
        </w:rPr>
        <w:t>、投标人还</w:t>
      </w:r>
      <w:r>
        <w:rPr>
          <w:rFonts w:ascii="宋体" w:hAnsi="宋体"/>
          <w:color w:val="auto"/>
          <w:sz w:val="22"/>
          <w:szCs w:val="22"/>
        </w:rPr>
        <w:t>可以</w:t>
      </w:r>
      <w:r>
        <w:rPr>
          <w:rFonts w:hint="eastAsia" w:ascii="宋体" w:hAnsi="宋体"/>
          <w:color w:val="auto"/>
          <w:sz w:val="22"/>
          <w:szCs w:val="22"/>
        </w:rPr>
        <w:t>通过邮寄或现场</w:t>
      </w:r>
      <w:r>
        <w:rPr>
          <w:rFonts w:ascii="宋体" w:hAnsi="宋体"/>
          <w:color w:val="auto"/>
          <w:sz w:val="22"/>
          <w:szCs w:val="22"/>
        </w:rPr>
        <w:t>递交方式</w:t>
      </w:r>
      <w:r>
        <w:rPr>
          <w:rFonts w:hint="eastAsia" w:ascii="宋体" w:hAnsi="宋体" w:cs="Arial"/>
          <w:bCs/>
          <w:color w:val="auto"/>
          <w:sz w:val="22"/>
          <w:szCs w:val="22"/>
        </w:rPr>
        <w:t>递交“备份电子投标文件”或“纸质投标文件”，采用</w:t>
      </w:r>
      <w:r>
        <w:rPr>
          <w:rFonts w:ascii="宋体" w:hAnsi="宋体" w:cs="Arial"/>
          <w:bCs/>
          <w:color w:val="auto"/>
          <w:sz w:val="22"/>
          <w:szCs w:val="22"/>
        </w:rPr>
        <w:t>现场</w:t>
      </w:r>
      <w:r>
        <w:rPr>
          <w:rFonts w:ascii="宋体" w:hAnsi="宋体"/>
          <w:color w:val="auto"/>
          <w:sz w:val="22"/>
          <w:szCs w:val="22"/>
        </w:rPr>
        <w:t>递交方式</w:t>
      </w:r>
      <w:r>
        <w:rPr>
          <w:rFonts w:hint="eastAsia" w:ascii="宋体" w:hAnsi="宋体"/>
          <w:color w:val="auto"/>
          <w:sz w:val="22"/>
          <w:szCs w:val="22"/>
        </w:rPr>
        <w:t>的</w:t>
      </w:r>
      <w:r>
        <w:rPr>
          <w:rFonts w:ascii="宋体" w:hAnsi="宋体"/>
          <w:color w:val="auto"/>
          <w:sz w:val="22"/>
          <w:szCs w:val="22"/>
        </w:rPr>
        <w:t>请</w:t>
      </w:r>
      <w:r>
        <w:rPr>
          <w:rFonts w:hint="eastAsia" w:ascii="宋体" w:hAnsi="宋体"/>
          <w:color w:val="auto"/>
          <w:sz w:val="22"/>
          <w:szCs w:val="22"/>
        </w:rPr>
        <w:t>于上述投标截止时间前</w:t>
      </w:r>
      <w:r>
        <w:rPr>
          <w:rFonts w:ascii="宋体" w:hAnsi="宋体"/>
          <w:color w:val="auto"/>
          <w:sz w:val="22"/>
          <w:szCs w:val="22"/>
        </w:rPr>
        <w:t>递交至</w:t>
      </w:r>
      <w:r>
        <w:rPr>
          <w:rFonts w:hint="eastAsia" w:ascii="宋体" w:hAnsi="宋体"/>
          <w:color w:val="auto"/>
          <w:sz w:val="22"/>
          <w:szCs w:val="22"/>
        </w:rPr>
        <w:t>本</w:t>
      </w:r>
      <w:r>
        <w:rPr>
          <w:rFonts w:ascii="宋体" w:hAnsi="宋体"/>
          <w:color w:val="auto"/>
          <w:sz w:val="22"/>
          <w:szCs w:val="22"/>
        </w:rPr>
        <w:t>项目开标地点，采用邮寄方式的请将</w:t>
      </w:r>
      <w:r>
        <w:rPr>
          <w:rFonts w:hint="eastAsia" w:ascii="宋体" w:hAnsi="宋体" w:cs="Arial"/>
          <w:bCs/>
          <w:color w:val="auto"/>
          <w:sz w:val="22"/>
          <w:szCs w:val="22"/>
        </w:rPr>
        <w:t>“备份电子投标文件”或“纸质投标文件”</w:t>
      </w:r>
      <w:r>
        <w:rPr>
          <w:rFonts w:hint="eastAsia" w:ascii="宋体" w:hAnsi="宋体"/>
          <w:color w:val="auto"/>
          <w:sz w:val="22"/>
          <w:szCs w:val="22"/>
        </w:rPr>
        <w:t xml:space="preserve"> 密封包装并在包装上标注</w:t>
      </w:r>
      <w:r>
        <w:rPr>
          <w:rFonts w:hint="eastAsia" w:ascii="宋体" w:hAnsi="宋体"/>
          <w:b/>
          <w:color w:val="auto"/>
          <w:sz w:val="22"/>
          <w:szCs w:val="22"/>
        </w:rPr>
        <w:t>投标项目名称</w:t>
      </w:r>
      <w:r>
        <w:rPr>
          <w:rFonts w:hint="eastAsia" w:ascii="宋体" w:hAnsi="宋体"/>
          <w:color w:val="auto"/>
          <w:sz w:val="22"/>
          <w:szCs w:val="22"/>
        </w:rPr>
        <w:t>、</w:t>
      </w:r>
      <w:r>
        <w:rPr>
          <w:rFonts w:hint="eastAsia" w:ascii="宋体" w:hAnsi="宋体"/>
          <w:b/>
          <w:color w:val="auto"/>
          <w:sz w:val="22"/>
          <w:szCs w:val="22"/>
        </w:rPr>
        <w:t>投标单位名称</w:t>
      </w:r>
      <w:r>
        <w:rPr>
          <w:rFonts w:hint="eastAsia" w:ascii="宋体" w:hAnsi="宋体"/>
          <w:color w:val="auto"/>
          <w:sz w:val="22"/>
          <w:szCs w:val="22"/>
        </w:rPr>
        <w:t>并加盖公章后于</w:t>
      </w:r>
      <w:r>
        <w:rPr>
          <w:rFonts w:hint="eastAsia" w:ascii="宋体" w:hAnsi="宋体"/>
          <w:b/>
          <w:color w:val="auto"/>
          <w:sz w:val="22"/>
          <w:szCs w:val="22"/>
        </w:rPr>
        <w:t>2020年12月</w:t>
      </w:r>
      <w:r>
        <w:rPr>
          <w:rFonts w:hint="eastAsia" w:ascii="宋体" w:hAnsi="宋体"/>
          <w:b/>
          <w:color w:val="auto"/>
          <w:sz w:val="22"/>
          <w:szCs w:val="22"/>
          <w:lang w:val="en-US" w:eastAsia="zh-CN"/>
        </w:rPr>
        <w:t>28</w:t>
      </w:r>
      <w:r>
        <w:rPr>
          <w:rFonts w:hint="eastAsia" w:ascii="宋体" w:hAnsi="宋体"/>
          <w:b/>
          <w:color w:val="auto"/>
          <w:sz w:val="22"/>
          <w:szCs w:val="22"/>
        </w:rPr>
        <w:t>日13时00分</w:t>
      </w:r>
      <w:r>
        <w:rPr>
          <w:rFonts w:hint="eastAsia" w:ascii="宋体" w:hAnsi="宋体"/>
          <w:color w:val="auto"/>
          <w:sz w:val="22"/>
          <w:szCs w:val="22"/>
        </w:rPr>
        <w:t>(北京时间)前递交至本</w:t>
      </w:r>
      <w:r>
        <w:rPr>
          <w:rFonts w:ascii="宋体" w:hAnsi="宋体"/>
          <w:color w:val="auto"/>
          <w:sz w:val="22"/>
          <w:szCs w:val="22"/>
        </w:rPr>
        <w:t>公告第十</w:t>
      </w:r>
      <w:r>
        <w:rPr>
          <w:rFonts w:hint="eastAsia" w:ascii="宋体" w:hAnsi="宋体"/>
          <w:color w:val="auto"/>
          <w:sz w:val="22"/>
          <w:szCs w:val="22"/>
        </w:rPr>
        <w:t>五</w:t>
      </w:r>
      <w:r>
        <w:rPr>
          <w:rFonts w:ascii="宋体" w:hAnsi="宋体"/>
          <w:color w:val="auto"/>
          <w:sz w:val="22"/>
          <w:szCs w:val="22"/>
        </w:rPr>
        <w:t>条所述</w:t>
      </w:r>
      <w:r>
        <w:rPr>
          <w:rFonts w:hint="eastAsia" w:ascii="宋体" w:hAnsi="宋体"/>
          <w:color w:val="auto"/>
          <w:sz w:val="22"/>
          <w:szCs w:val="22"/>
        </w:rPr>
        <w:t>采购</w:t>
      </w:r>
      <w:r>
        <w:rPr>
          <w:rFonts w:ascii="宋体" w:hAnsi="宋体"/>
          <w:color w:val="auto"/>
          <w:sz w:val="22"/>
          <w:szCs w:val="22"/>
        </w:rPr>
        <w:t>代理机构</w:t>
      </w:r>
      <w:r>
        <w:rPr>
          <w:rFonts w:hint="eastAsia" w:ascii="宋体" w:hAnsi="宋体"/>
          <w:color w:val="auto"/>
          <w:sz w:val="22"/>
          <w:szCs w:val="22"/>
        </w:rPr>
        <w:t>处</w:t>
      </w:r>
      <w:r>
        <w:rPr>
          <w:rFonts w:ascii="宋体" w:hAnsi="宋体"/>
          <w:color w:val="auto"/>
          <w:sz w:val="22"/>
          <w:szCs w:val="22"/>
        </w:rPr>
        <w:t>。</w:t>
      </w:r>
      <w:r>
        <w:rPr>
          <w:rFonts w:hint="eastAsia" w:ascii="宋体" w:hAnsi="宋体"/>
          <w:color w:val="auto"/>
          <w:sz w:val="22"/>
          <w:szCs w:val="22"/>
        </w:rPr>
        <w:t>采购</w:t>
      </w:r>
      <w:r>
        <w:rPr>
          <w:rFonts w:ascii="宋体" w:hAnsi="宋体"/>
          <w:color w:val="auto"/>
          <w:sz w:val="22"/>
          <w:szCs w:val="22"/>
        </w:rPr>
        <w:t>人或采购代理机构拒绝接</w:t>
      </w:r>
      <w:r>
        <w:rPr>
          <w:rFonts w:hint="eastAsia" w:ascii="宋体" w:hAnsi="宋体"/>
          <w:color w:val="auto"/>
          <w:sz w:val="22"/>
          <w:szCs w:val="22"/>
        </w:rPr>
        <w:t>收在</w:t>
      </w:r>
      <w:r>
        <w:rPr>
          <w:rFonts w:ascii="宋体" w:hAnsi="宋体"/>
          <w:color w:val="auto"/>
          <w:sz w:val="22"/>
          <w:szCs w:val="22"/>
        </w:rPr>
        <w:t>本条所述截止时间后</w:t>
      </w:r>
      <w:r>
        <w:rPr>
          <w:rFonts w:hint="eastAsia" w:ascii="宋体" w:hAnsi="宋体"/>
          <w:color w:val="auto"/>
          <w:sz w:val="22"/>
          <w:szCs w:val="22"/>
        </w:rPr>
        <w:t>收到</w:t>
      </w:r>
      <w:r>
        <w:rPr>
          <w:rFonts w:ascii="宋体" w:hAnsi="宋体"/>
          <w:color w:val="auto"/>
          <w:sz w:val="22"/>
          <w:szCs w:val="22"/>
        </w:rPr>
        <w:t>的</w:t>
      </w:r>
      <w:r>
        <w:rPr>
          <w:rFonts w:hint="eastAsia" w:ascii="宋体" w:hAnsi="宋体" w:cs="Arial"/>
          <w:bCs/>
          <w:color w:val="auto"/>
          <w:sz w:val="22"/>
          <w:szCs w:val="22"/>
        </w:rPr>
        <w:t>“备份电子投标文件”或“纸质投标文件”，由此</w:t>
      </w:r>
      <w:r>
        <w:rPr>
          <w:rFonts w:ascii="宋体" w:hAnsi="宋体" w:cs="Arial"/>
          <w:bCs/>
          <w:color w:val="auto"/>
          <w:sz w:val="22"/>
          <w:szCs w:val="22"/>
        </w:rPr>
        <w:t>引起的责任由投标人自行承担。</w:t>
      </w:r>
    </w:p>
    <w:p>
      <w:pPr>
        <w:spacing w:line="460" w:lineRule="exact"/>
        <w:ind w:firstLine="440" w:firstLineChars="200"/>
        <w:rPr>
          <w:rFonts w:hint="eastAsia" w:ascii="宋体" w:hAnsi="宋体"/>
          <w:color w:val="auto"/>
          <w:sz w:val="22"/>
          <w:szCs w:val="22"/>
        </w:rPr>
      </w:pPr>
      <w:r>
        <w:rPr>
          <w:rFonts w:hint="eastAsia" w:ascii="宋体" w:hAnsi="宋体"/>
          <w:color w:val="auto"/>
          <w:sz w:val="22"/>
          <w:szCs w:val="22"/>
        </w:rPr>
        <w:t>（1）“备份电子投标文件”应为</w:t>
      </w:r>
      <w:r>
        <w:rPr>
          <w:rFonts w:ascii="宋体" w:hAnsi="宋体"/>
          <w:color w:val="auto"/>
          <w:sz w:val="22"/>
          <w:szCs w:val="22"/>
        </w:rPr>
        <w:t>投标人</w:t>
      </w:r>
      <w:r>
        <w:rPr>
          <w:rFonts w:hint="eastAsia" w:ascii="宋体" w:hAnsi="宋体" w:cs="Arial"/>
          <w:bCs/>
          <w:color w:val="auto"/>
          <w:sz w:val="22"/>
          <w:szCs w:val="22"/>
        </w:rPr>
        <w:t>通过“政采云”系统</w:t>
      </w:r>
      <w:r>
        <w:rPr>
          <w:rFonts w:ascii="宋体" w:hAnsi="宋体" w:cs="Arial"/>
          <w:bCs/>
          <w:color w:val="auto"/>
          <w:sz w:val="22"/>
          <w:szCs w:val="22"/>
        </w:rPr>
        <w:t>生成的</w:t>
      </w:r>
      <w:r>
        <w:rPr>
          <w:rFonts w:hint="eastAsia" w:ascii="宋体" w:hAnsi="宋体" w:cs="Arial"/>
          <w:bCs/>
          <w:color w:val="auto"/>
          <w:sz w:val="22"/>
          <w:szCs w:val="22"/>
        </w:rPr>
        <w:t>本</w:t>
      </w:r>
      <w:r>
        <w:rPr>
          <w:rFonts w:ascii="宋体" w:hAnsi="宋体" w:cs="Arial"/>
          <w:bCs/>
          <w:color w:val="auto"/>
          <w:sz w:val="22"/>
          <w:szCs w:val="22"/>
        </w:rPr>
        <w:t>项目</w:t>
      </w:r>
      <w:r>
        <w:rPr>
          <w:rFonts w:hint="eastAsia" w:ascii="宋体" w:hAnsi="宋体" w:cs="Arial"/>
          <w:bCs/>
          <w:color w:val="auto"/>
          <w:sz w:val="22"/>
          <w:szCs w:val="22"/>
        </w:rPr>
        <w:t>“</w:t>
      </w:r>
      <w:r>
        <w:rPr>
          <w:rFonts w:hint="eastAsia" w:ascii="宋体" w:hAnsi="宋体"/>
          <w:color w:val="auto"/>
          <w:sz w:val="22"/>
          <w:szCs w:val="22"/>
        </w:rPr>
        <w:t>电子加密投标文件</w:t>
      </w:r>
      <w:r>
        <w:rPr>
          <w:rFonts w:hint="eastAsia" w:ascii="宋体" w:hAnsi="宋体" w:cs="Arial"/>
          <w:bCs/>
          <w:color w:val="auto"/>
          <w:sz w:val="22"/>
          <w:szCs w:val="22"/>
        </w:rPr>
        <w:t>”</w:t>
      </w:r>
      <w:r>
        <w:rPr>
          <w:rFonts w:hint="eastAsia" w:ascii="宋体" w:hAnsi="宋体"/>
          <w:color w:val="auto"/>
          <w:sz w:val="22"/>
          <w:szCs w:val="22"/>
        </w:rPr>
        <w:t>对应</w:t>
      </w:r>
      <w:r>
        <w:rPr>
          <w:rFonts w:ascii="宋体" w:hAnsi="宋体"/>
          <w:color w:val="auto"/>
          <w:sz w:val="22"/>
          <w:szCs w:val="22"/>
        </w:rPr>
        <w:t>的</w:t>
      </w:r>
      <w:r>
        <w:rPr>
          <w:rFonts w:hint="eastAsia" w:ascii="宋体" w:hAnsi="宋体"/>
          <w:color w:val="auto"/>
          <w:sz w:val="22"/>
          <w:szCs w:val="22"/>
        </w:rPr>
        <w:t>数据电文形式的电子文件并以</w:t>
      </w:r>
      <w:r>
        <w:rPr>
          <w:rFonts w:hint="eastAsia" w:ascii="宋体" w:hAnsi="宋体"/>
          <w:b/>
          <w:color w:val="auto"/>
          <w:sz w:val="22"/>
          <w:szCs w:val="22"/>
        </w:rPr>
        <w:t>介质存储</w:t>
      </w:r>
      <w:r>
        <w:rPr>
          <w:rFonts w:ascii="宋体" w:hAnsi="宋体"/>
          <w:b/>
          <w:color w:val="auto"/>
          <w:sz w:val="22"/>
          <w:szCs w:val="22"/>
        </w:rPr>
        <w:t>的方式</w:t>
      </w:r>
      <w:r>
        <w:rPr>
          <w:rFonts w:hint="eastAsia" w:ascii="宋体" w:hAnsi="宋体"/>
          <w:b/>
          <w:color w:val="auto"/>
          <w:sz w:val="22"/>
          <w:szCs w:val="22"/>
        </w:rPr>
        <w:t>(</w:t>
      </w:r>
      <w:r>
        <w:rPr>
          <w:rFonts w:ascii="宋体" w:hAnsi="宋体"/>
          <w:b/>
          <w:color w:val="auto"/>
          <w:sz w:val="22"/>
          <w:szCs w:val="22"/>
        </w:rPr>
        <w:t>U</w:t>
      </w:r>
      <w:r>
        <w:rPr>
          <w:rFonts w:hint="eastAsia" w:ascii="宋体" w:hAnsi="宋体"/>
          <w:b/>
          <w:color w:val="auto"/>
          <w:sz w:val="22"/>
          <w:szCs w:val="22"/>
        </w:rPr>
        <w:t>盘)</w:t>
      </w:r>
      <w:r>
        <w:rPr>
          <w:rFonts w:hint="eastAsia" w:ascii="宋体" w:hAnsi="宋体"/>
          <w:color w:val="auto"/>
          <w:sz w:val="22"/>
          <w:szCs w:val="22"/>
        </w:rPr>
        <w:t xml:space="preserve"> (以下</w:t>
      </w:r>
      <w:r>
        <w:rPr>
          <w:rFonts w:ascii="宋体" w:hAnsi="宋体"/>
          <w:color w:val="auto"/>
          <w:sz w:val="22"/>
          <w:szCs w:val="22"/>
        </w:rPr>
        <w:t>简称</w:t>
      </w:r>
      <w:r>
        <w:rPr>
          <w:rFonts w:ascii="宋体" w:hAnsi="宋体"/>
          <w:b/>
          <w:color w:val="auto"/>
          <w:sz w:val="22"/>
          <w:szCs w:val="22"/>
        </w:rPr>
        <w:t>备份</w:t>
      </w:r>
      <w:r>
        <w:rPr>
          <w:rFonts w:hint="eastAsia" w:ascii="宋体" w:hAnsi="宋体"/>
          <w:b/>
          <w:color w:val="auto"/>
          <w:sz w:val="22"/>
          <w:szCs w:val="22"/>
        </w:rPr>
        <w:t>电子投标</w:t>
      </w:r>
      <w:r>
        <w:rPr>
          <w:rFonts w:ascii="宋体" w:hAnsi="宋体"/>
          <w:b/>
          <w:color w:val="auto"/>
          <w:sz w:val="22"/>
          <w:szCs w:val="22"/>
        </w:rPr>
        <w:t>文件</w:t>
      </w:r>
      <w:r>
        <w:rPr>
          <w:rFonts w:hint="eastAsia" w:ascii="宋体" w:hAnsi="宋体"/>
          <w:color w:val="auto"/>
          <w:sz w:val="22"/>
          <w:szCs w:val="22"/>
        </w:rPr>
        <w:t>)，</w:t>
      </w:r>
      <w:r>
        <w:rPr>
          <w:rFonts w:hint="eastAsia" w:ascii="宋体" w:hAnsi="宋体" w:cs="Arial"/>
          <w:bCs/>
          <w:color w:val="auto"/>
          <w:sz w:val="22"/>
          <w:szCs w:val="22"/>
        </w:rPr>
        <w:t>该“备份电子投标文件”只有</w:t>
      </w:r>
      <w:r>
        <w:rPr>
          <w:rFonts w:ascii="宋体" w:hAnsi="宋体" w:cs="Arial"/>
          <w:bCs/>
          <w:color w:val="auto"/>
          <w:sz w:val="22"/>
          <w:szCs w:val="22"/>
        </w:rPr>
        <w:t>在投标人成功上传</w:t>
      </w:r>
      <w:r>
        <w:rPr>
          <w:rFonts w:hint="eastAsia" w:ascii="宋体" w:hAnsi="宋体" w:cs="Arial"/>
          <w:bCs/>
          <w:color w:val="auto"/>
          <w:sz w:val="22"/>
          <w:szCs w:val="22"/>
        </w:rPr>
        <w:t>“</w:t>
      </w:r>
      <w:r>
        <w:rPr>
          <w:rFonts w:ascii="宋体" w:hAnsi="宋体" w:cs="Arial"/>
          <w:bCs/>
          <w:color w:val="auto"/>
          <w:sz w:val="22"/>
          <w:szCs w:val="22"/>
        </w:rPr>
        <w:t>电子加密投标文件</w:t>
      </w:r>
      <w:r>
        <w:rPr>
          <w:rFonts w:hint="eastAsia" w:ascii="宋体" w:hAnsi="宋体" w:cs="Arial"/>
          <w:bCs/>
          <w:color w:val="auto"/>
          <w:sz w:val="22"/>
          <w:szCs w:val="22"/>
        </w:rPr>
        <w:t>”，但无法读取时或在解密时间内无法解密或解密失败时，方可</w:t>
      </w:r>
      <w:r>
        <w:rPr>
          <w:rFonts w:ascii="宋体" w:hAnsi="宋体" w:cs="Arial"/>
          <w:bCs/>
          <w:color w:val="auto"/>
          <w:sz w:val="22"/>
          <w:szCs w:val="22"/>
        </w:rPr>
        <w:t>调用</w:t>
      </w:r>
      <w:r>
        <w:rPr>
          <w:rFonts w:hint="eastAsia" w:ascii="宋体" w:hAnsi="宋体" w:cs="Arial"/>
          <w:bCs/>
          <w:color w:val="auto"/>
          <w:sz w:val="22"/>
          <w:szCs w:val="22"/>
        </w:rPr>
        <w:t>“备份电子投标文件”，否则不予调用备份电子投标文件。备份电子投标文件损坏</w:t>
      </w:r>
      <w:r>
        <w:rPr>
          <w:rFonts w:ascii="宋体" w:hAnsi="宋体" w:cs="Arial"/>
          <w:bCs/>
          <w:color w:val="auto"/>
          <w:sz w:val="22"/>
          <w:szCs w:val="22"/>
        </w:rPr>
        <w:t>、格式不符等</w:t>
      </w:r>
      <w:r>
        <w:rPr>
          <w:rFonts w:hint="eastAsia" w:ascii="宋体" w:hAnsi="宋体" w:cs="Arial"/>
          <w:bCs/>
          <w:color w:val="auto"/>
          <w:sz w:val="22"/>
          <w:szCs w:val="22"/>
        </w:rPr>
        <w:t>致使异常情况处理失败</w:t>
      </w:r>
      <w:r>
        <w:rPr>
          <w:rFonts w:ascii="宋体" w:hAnsi="宋体" w:cs="Arial"/>
          <w:bCs/>
          <w:color w:val="auto"/>
          <w:sz w:val="22"/>
          <w:szCs w:val="22"/>
        </w:rPr>
        <w:t>的责任</w:t>
      </w:r>
      <w:r>
        <w:rPr>
          <w:rFonts w:hint="eastAsia" w:ascii="宋体" w:hAnsi="宋体" w:cs="Arial"/>
          <w:bCs/>
          <w:color w:val="auto"/>
          <w:sz w:val="22"/>
          <w:szCs w:val="22"/>
        </w:rPr>
        <w:t>由</w:t>
      </w:r>
      <w:r>
        <w:rPr>
          <w:rFonts w:ascii="宋体" w:hAnsi="宋体" w:cs="Arial"/>
          <w:bCs/>
          <w:color w:val="auto"/>
          <w:sz w:val="22"/>
          <w:szCs w:val="22"/>
        </w:rPr>
        <w:t>投标人自行承担</w:t>
      </w:r>
      <w:r>
        <w:rPr>
          <w:rFonts w:hint="eastAsia" w:ascii="宋体" w:hAnsi="宋体" w:cs="Arial"/>
          <w:bCs/>
          <w:color w:val="auto"/>
          <w:sz w:val="22"/>
          <w:szCs w:val="22"/>
        </w:rPr>
        <w:t>。</w:t>
      </w:r>
    </w:p>
    <w:p>
      <w:pPr>
        <w:spacing w:line="460" w:lineRule="exact"/>
        <w:ind w:firstLine="440" w:firstLineChars="200"/>
        <w:rPr>
          <w:rFonts w:ascii="宋体" w:hAnsi="宋体" w:cs="Arial"/>
          <w:bCs/>
          <w:color w:val="auto"/>
          <w:sz w:val="22"/>
          <w:szCs w:val="22"/>
        </w:rPr>
      </w:pPr>
      <w:r>
        <w:rPr>
          <w:rFonts w:hint="eastAsia" w:ascii="宋体" w:hAnsi="宋体"/>
          <w:color w:val="auto"/>
          <w:sz w:val="22"/>
          <w:szCs w:val="22"/>
        </w:rPr>
        <w:t>（2）</w:t>
      </w:r>
      <w:r>
        <w:rPr>
          <w:rFonts w:hint="eastAsia" w:ascii="宋体" w:hAnsi="宋体" w:cs="Arial"/>
          <w:bCs/>
          <w:color w:val="auto"/>
          <w:sz w:val="22"/>
          <w:szCs w:val="22"/>
        </w:rPr>
        <w:t>“纸质投标文件”</w:t>
      </w:r>
      <w:r>
        <w:rPr>
          <w:rFonts w:hint="eastAsia" w:ascii="宋体" w:hAnsi="宋体"/>
          <w:color w:val="auto"/>
          <w:sz w:val="22"/>
          <w:szCs w:val="22"/>
        </w:rPr>
        <w:t>应为本</w:t>
      </w:r>
      <w:r>
        <w:rPr>
          <w:rFonts w:ascii="宋体" w:hAnsi="宋体"/>
          <w:color w:val="auto"/>
          <w:sz w:val="22"/>
          <w:szCs w:val="22"/>
        </w:rPr>
        <w:t>项目</w:t>
      </w:r>
      <w:r>
        <w:rPr>
          <w:rFonts w:hint="eastAsia" w:ascii="宋体" w:hAnsi="宋体" w:cs="Arial"/>
          <w:bCs/>
          <w:color w:val="auto"/>
          <w:sz w:val="22"/>
          <w:szCs w:val="22"/>
        </w:rPr>
        <w:t>“</w:t>
      </w:r>
      <w:r>
        <w:rPr>
          <w:rFonts w:hint="eastAsia" w:ascii="宋体" w:hAnsi="宋体"/>
          <w:color w:val="auto"/>
          <w:sz w:val="22"/>
          <w:szCs w:val="22"/>
        </w:rPr>
        <w:t>电子加密投标文件</w:t>
      </w:r>
      <w:r>
        <w:rPr>
          <w:rFonts w:hint="eastAsia" w:ascii="宋体" w:hAnsi="宋体" w:cs="Arial"/>
          <w:bCs/>
          <w:color w:val="auto"/>
          <w:sz w:val="22"/>
          <w:szCs w:val="22"/>
        </w:rPr>
        <w:t>”的打印件(</w:t>
      </w:r>
      <w:r>
        <w:rPr>
          <w:rFonts w:hint="eastAsia" w:ascii="宋体" w:hAnsi="宋体"/>
          <w:color w:val="auto"/>
          <w:sz w:val="22"/>
          <w:szCs w:val="22"/>
        </w:rPr>
        <w:t>以下</w:t>
      </w:r>
      <w:r>
        <w:rPr>
          <w:rFonts w:ascii="宋体" w:hAnsi="宋体"/>
          <w:color w:val="auto"/>
          <w:sz w:val="22"/>
          <w:szCs w:val="22"/>
        </w:rPr>
        <w:t>简称</w:t>
      </w:r>
      <w:r>
        <w:rPr>
          <w:rFonts w:hint="eastAsia" w:ascii="宋体" w:hAnsi="宋体" w:cs="Arial"/>
          <w:b/>
          <w:bCs/>
          <w:color w:val="auto"/>
          <w:sz w:val="22"/>
          <w:szCs w:val="22"/>
        </w:rPr>
        <w:t>纸质</w:t>
      </w:r>
      <w:r>
        <w:rPr>
          <w:rFonts w:ascii="宋体" w:hAnsi="宋体" w:cs="Arial"/>
          <w:b/>
          <w:bCs/>
          <w:color w:val="auto"/>
          <w:sz w:val="22"/>
          <w:szCs w:val="22"/>
        </w:rPr>
        <w:t>投标文件</w:t>
      </w:r>
      <w:r>
        <w:rPr>
          <w:rFonts w:hint="eastAsia" w:ascii="宋体" w:hAnsi="宋体" w:cs="Arial"/>
          <w:bCs/>
          <w:color w:val="auto"/>
          <w:sz w:val="22"/>
          <w:szCs w:val="22"/>
        </w:rPr>
        <w:t>)，该“纸质投标文件”只有当电子评标无法正常进行时，即转为线下评标时</w:t>
      </w:r>
      <w:r>
        <w:rPr>
          <w:rFonts w:ascii="宋体" w:hAnsi="宋体" w:cs="Arial"/>
          <w:bCs/>
          <w:color w:val="auto"/>
          <w:sz w:val="22"/>
          <w:szCs w:val="22"/>
        </w:rPr>
        <w:t>方可</w:t>
      </w:r>
      <w:r>
        <w:rPr>
          <w:rFonts w:hint="eastAsia" w:ascii="宋体" w:hAnsi="宋体" w:cs="Arial"/>
          <w:bCs/>
          <w:color w:val="auto"/>
          <w:sz w:val="22"/>
          <w:szCs w:val="22"/>
        </w:rPr>
        <w:t>调用</w:t>
      </w:r>
      <w:r>
        <w:rPr>
          <w:rFonts w:ascii="宋体" w:hAnsi="宋体" w:cs="Arial"/>
          <w:bCs/>
          <w:color w:val="auto"/>
          <w:sz w:val="22"/>
          <w:szCs w:val="22"/>
        </w:rPr>
        <w:t>。</w:t>
      </w:r>
      <w:r>
        <w:rPr>
          <w:rFonts w:hint="eastAsia" w:ascii="宋体" w:hAnsi="宋体" w:cs="Arial"/>
          <w:bCs/>
          <w:color w:val="auto"/>
          <w:sz w:val="22"/>
          <w:szCs w:val="22"/>
        </w:rPr>
        <w:t>若在此种情况下，由于投标人未提供或未在截止时间前提供“纸质投标文件”而导致该投标人作投标无效处理等后果由投标人自行承担。</w:t>
      </w:r>
    </w:p>
    <w:p>
      <w:pPr>
        <w:spacing w:line="460" w:lineRule="exact"/>
        <w:ind w:firstLine="440" w:firstLineChars="200"/>
        <w:rPr>
          <w:rFonts w:ascii="宋体" w:hAnsi="宋体" w:cs="Arial"/>
          <w:bCs/>
          <w:color w:val="auto"/>
          <w:sz w:val="22"/>
          <w:szCs w:val="22"/>
        </w:rPr>
      </w:pPr>
      <w:r>
        <w:rPr>
          <w:rFonts w:hint="eastAsia" w:ascii="宋体" w:hAnsi="宋体" w:cs="Arial"/>
          <w:bCs/>
          <w:color w:val="auto"/>
          <w:sz w:val="22"/>
          <w:szCs w:val="22"/>
        </w:rPr>
        <w:t>3、</w:t>
      </w:r>
      <w:r>
        <w:rPr>
          <w:rFonts w:ascii="宋体" w:hAnsi="宋体" w:cs="Arial"/>
          <w:bCs/>
          <w:color w:val="auto"/>
          <w:sz w:val="22"/>
          <w:szCs w:val="22"/>
        </w:rPr>
        <w:t>只有成功</w:t>
      </w:r>
      <w:r>
        <w:rPr>
          <w:rFonts w:hint="eastAsia" w:ascii="宋体" w:hAnsi="宋体" w:cs="Arial"/>
          <w:bCs/>
          <w:color w:val="auto"/>
          <w:sz w:val="22"/>
          <w:szCs w:val="22"/>
        </w:rPr>
        <w:t>上传电子加密投标文件的</w:t>
      </w:r>
      <w:r>
        <w:rPr>
          <w:rFonts w:ascii="宋体" w:hAnsi="宋体" w:cs="Arial"/>
          <w:bCs/>
          <w:color w:val="auto"/>
          <w:sz w:val="22"/>
          <w:szCs w:val="22"/>
        </w:rPr>
        <w:t>投标人</w:t>
      </w:r>
      <w:r>
        <w:rPr>
          <w:rFonts w:hint="eastAsia" w:ascii="宋体" w:hAnsi="宋体" w:cs="Arial"/>
          <w:bCs/>
          <w:color w:val="auto"/>
          <w:sz w:val="22"/>
          <w:szCs w:val="22"/>
        </w:rPr>
        <w:t>方可进入</w:t>
      </w:r>
      <w:r>
        <w:rPr>
          <w:rFonts w:ascii="宋体" w:hAnsi="宋体" w:cs="Arial"/>
          <w:bCs/>
          <w:color w:val="auto"/>
          <w:sz w:val="22"/>
          <w:szCs w:val="22"/>
        </w:rPr>
        <w:t>本条第</w:t>
      </w:r>
      <w:r>
        <w:rPr>
          <w:rFonts w:hint="eastAsia" w:ascii="宋体" w:hAnsi="宋体" w:cs="Arial"/>
          <w:bCs/>
          <w:color w:val="auto"/>
          <w:sz w:val="22"/>
          <w:szCs w:val="22"/>
        </w:rPr>
        <w:t>2款</w:t>
      </w:r>
      <w:r>
        <w:rPr>
          <w:rFonts w:ascii="宋体" w:hAnsi="宋体" w:cs="Arial"/>
          <w:bCs/>
          <w:color w:val="auto"/>
          <w:sz w:val="22"/>
          <w:szCs w:val="22"/>
        </w:rPr>
        <w:t>所述环节，</w:t>
      </w:r>
      <w:r>
        <w:rPr>
          <w:rFonts w:hint="eastAsia" w:ascii="宋体" w:hAnsi="宋体" w:cs="Arial"/>
          <w:bCs/>
          <w:color w:val="auto"/>
          <w:sz w:val="22"/>
          <w:szCs w:val="22"/>
        </w:rPr>
        <w:t>即使在</w:t>
      </w:r>
      <w:r>
        <w:rPr>
          <w:rFonts w:ascii="宋体" w:hAnsi="宋体" w:cs="Arial"/>
          <w:bCs/>
          <w:color w:val="auto"/>
          <w:sz w:val="22"/>
          <w:szCs w:val="22"/>
        </w:rPr>
        <w:t>本采购文件约定的投标截止时间前邮寄</w:t>
      </w:r>
      <w:r>
        <w:rPr>
          <w:rFonts w:hint="eastAsia" w:ascii="宋体" w:hAnsi="宋体" w:cs="Arial"/>
          <w:bCs/>
          <w:color w:val="auto"/>
          <w:sz w:val="22"/>
          <w:szCs w:val="22"/>
        </w:rPr>
        <w:t>或</w:t>
      </w:r>
      <w:r>
        <w:rPr>
          <w:rFonts w:ascii="宋体" w:hAnsi="宋体" w:cs="Arial"/>
          <w:bCs/>
          <w:color w:val="auto"/>
          <w:sz w:val="22"/>
          <w:szCs w:val="22"/>
        </w:rPr>
        <w:t>递交了</w:t>
      </w:r>
      <w:r>
        <w:rPr>
          <w:rFonts w:hint="eastAsia" w:ascii="宋体" w:hAnsi="宋体" w:cs="Arial"/>
          <w:bCs/>
          <w:color w:val="auto"/>
          <w:sz w:val="22"/>
          <w:szCs w:val="22"/>
        </w:rPr>
        <w:t>“备份电子投标文件”或“纸质投标文件”但未在</w:t>
      </w:r>
      <w:r>
        <w:rPr>
          <w:rFonts w:ascii="宋体" w:hAnsi="宋体" w:cs="Arial"/>
          <w:bCs/>
          <w:color w:val="auto"/>
          <w:sz w:val="22"/>
          <w:szCs w:val="22"/>
        </w:rPr>
        <w:t>投标截止时间前</w:t>
      </w:r>
      <w:r>
        <w:rPr>
          <w:rFonts w:hint="eastAsia" w:ascii="宋体" w:hAnsi="宋体" w:cs="Arial"/>
          <w:bCs/>
          <w:color w:val="auto"/>
          <w:sz w:val="22"/>
          <w:szCs w:val="22"/>
        </w:rPr>
        <w:t>成功上传电子加密投标文件者</w:t>
      </w:r>
      <w:r>
        <w:rPr>
          <w:rFonts w:ascii="宋体" w:hAnsi="宋体" w:cs="Arial"/>
          <w:bCs/>
          <w:color w:val="auto"/>
          <w:sz w:val="22"/>
          <w:szCs w:val="22"/>
        </w:rPr>
        <w:t>，其全部投标文件无效。</w:t>
      </w:r>
    </w:p>
    <w:p>
      <w:pPr>
        <w:spacing w:line="460" w:lineRule="exact"/>
        <w:ind w:firstLine="442" w:firstLineChars="200"/>
        <w:rPr>
          <w:rFonts w:ascii="宋体" w:hAnsi="宋体"/>
          <w:b/>
          <w:color w:val="auto"/>
          <w:sz w:val="22"/>
          <w:szCs w:val="22"/>
        </w:rPr>
      </w:pPr>
      <w:r>
        <w:rPr>
          <w:rFonts w:hint="eastAsia" w:ascii="宋体" w:hAnsi="宋体"/>
          <w:b/>
          <w:color w:val="auto"/>
          <w:sz w:val="22"/>
          <w:szCs w:val="22"/>
        </w:rPr>
        <w:t>十二、开标时间及地点：</w:t>
      </w:r>
      <w:r>
        <w:rPr>
          <w:rFonts w:hint="eastAsia" w:ascii="宋体" w:hAnsi="宋体"/>
          <w:color w:val="auto"/>
          <w:sz w:val="22"/>
          <w:szCs w:val="22"/>
        </w:rPr>
        <w:t>定于</w:t>
      </w:r>
      <w:r>
        <w:rPr>
          <w:rFonts w:hint="eastAsia" w:ascii="宋体" w:hAnsi="宋体"/>
          <w:b/>
          <w:color w:val="auto"/>
          <w:sz w:val="22"/>
          <w:szCs w:val="22"/>
          <w:u w:val="single"/>
        </w:rPr>
        <w:t>2020年12月</w:t>
      </w:r>
      <w:r>
        <w:rPr>
          <w:rFonts w:hint="eastAsia" w:ascii="宋体" w:hAnsi="宋体"/>
          <w:b/>
          <w:color w:val="auto"/>
          <w:sz w:val="22"/>
          <w:szCs w:val="22"/>
          <w:u w:val="single"/>
          <w:lang w:val="en-US" w:eastAsia="zh-CN"/>
        </w:rPr>
        <w:t>28</w:t>
      </w:r>
      <w:r>
        <w:rPr>
          <w:rFonts w:hint="eastAsia" w:ascii="宋体" w:hAnsi="宋体"/>
          <w:b/>
          <w:color w:val="auto"/>
          <w:sz w:val="22"/>
          <w:szCs w:val="22"/>
          <w:u w:val="single"/>
        </w:rPr>
        <w:t xml:space="preserve">日13时30分 </w:t>
      </w:r>
      <w:r>
        <w:rPr>
          <w:rFonts w:hint="eastAsia" w:ascii="宋体" w:hAnsi="宋体"/>
          <w:color w:val="auto"/>
          <w:sz w:val="22"/>
          <w:szCs w:val="22"/>
        </w:rPr>
        <w:t>(北京时间)在</w:t>
      </w:r>
      <w:r>
        <w:rPr>
          <w:rFonts w:hint="eastAsia" w:ascii="宋体" w:hAnsi="宋体"/>
          <w:b/>
          <w:color w:val="auto"/>
          <w:sz w:val="22"/>
          <w:szCs w:val="22"/>
          <w:u w:val="single"/>
        </w:rPr>
        <w:t>宁波市镇海区公共资源交易中心</w:t>
      </w:r>
      <w:r>
        <w:rPr>
          <w:rFonts w:hint="eastAsia" w:ascii="宋体" w:hAnsi="宋体"/>
          <w:b/>
          <w:color w:val="auto"/>
          <w:sz w:val="22"/>
          <w:szCs w:val="22"/>
          <w:u w:val="single"/>
          <w:lang w:eastAsia="zh-CN"/>
        </w:rPr>
        <w:t>开标厅二</w:t>
      </w:r>
      <w:r>
        <w:rPr>
          <w:rFonts w:hint="eastAsia" w:ascii="宋体" w:hAnsi="宋体"/>
          <w:b/>
          <w:color w:val="auto"/>
          <w:sz w:val="22"/>
          <w:szCs w:val="22"/>
          <w:u w:val="single"/>
        </w:rPr>
        <w:t>（镇海区骆驼街道金华南路55号）</w:t>
      </w:r>
      <w:r>
        <w:rPr>
          <w:rFonts w:hint="eastAsia" w:ascii="宋体" w:hAnsi="宋体"/>
          <w:color w:val="auto"/>
          <w:sz w:val="22"/>
          <w:szCs w:val="22"/>
        </w:rPr>
        <w:t>开标。本项目为政采云平台电子交易全流程项目</w:t>
      </w:r>
      <w:r>
        <w:rPr>
          <w:rFonts w:ascii="宋体" w:hAnsi="宋体"/>
          <w:color w:val="auto"/>
          <w:sz w:val="22"/>
          <w:szCs w:val="22"/>
        </w:rPr>
        <w:t>，</w:t>
      </w:r>
      <w:r>
        <w:rPr>
          <w:rFonts w:hint="eastAsia" w:ascii="宋体" w:hAnsi="宋体"/>
          <w:color w:val="auto"/>
          <w:sz w:val="22"/>
          <w:szCs w:val="22"/>
        </w:rPr>
        <w:t>投标人无需派代表出席开标会议。“政采云” 系统平台上报名联系人（建议多留个电话号码）开标时间段必须保持通信畅通，以便联系沟通，否则相应后果由投标人自行承担。</w:t>
      </w:r>
    </w:p>
    <w:p>
      <w:pPr>
        <w:spacing w:line="460" w:lineRule="exact"/>
        <w:ind w:firstLine="442" w:firstLineChars="200"/>
        <w:rPr>
          <w:rFonts w:ascii="宋体" w:hAnsi="宋体" w:cs="Arial"/>
          <w:b/>
          <w:bCs/>
          <w:color w:val="auto"/>
          <w:sz w:val="22"/>
          <w:szCs w:val="22"/>
        </w:rPr>
      </w:pPr>
      <w:bookmarkStart w:id="7" w:name="_Toc374321294"/>
      <w:r>
        <w:rPr>
          <w:rFonts w:hint="eastAsia" w:ascii="宋体" w:hAnsi="宋体" w:cs="Arial"/>
          <w:b/>
          <w:bCs/>
          <w:color w:val="auto"/>
          <w:sz w:val="22"/>
          <w:szCs w:val="22"/>
        </w:rPr>
        <w:t>十三、其他事项</w:t>
      </w:r>
    </w:p>
    <w:p>
      <w:pPr>
        <w:spacing w:line="460" w:lineRule="exact"/>
        <w:ind w:firstLine="440" w:firstLineChars="200"/>
        <w:rPr>
          <w:rFonts w:ascii="宋体" w:hAnsi="宋体" w:cs="Arial"/>
          <w:bCs/>
          <w:color w:val="auto"/>
          <w:sz w:val="22"/>
          <w:szCs w:val="22"/>
        </w:rPr>
      </w:pPr>
      <w:r>
        <w:rPr>
          <w:rFonts w:hint="eastAsia" w:ascii="宋体" w:hAnsi="宋体" w:cs="Arial"/>
          <w:bCs/>
          <w:color w:val="auto"/>
          <w:sz w:val="22"/>
          <w:szCs w:val="22"/>
        </w:rPr>
        <w:t>1、投标人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60" w:lineRule="exact"/>
        <w:ind w:firstLine="440" w:firstLineChars="200"/>
        <w:rPr>
          <w:rFonts w:ascii="宋体" w:hAnsi="宋体" w:cs="Arial"/>
          <w:bCs/>
          <w:color w:val="auto"/>
          <w:sz w:val="22"/>
          <w:szCs w:val="22"/>
        </w:rPr>
      </w:pPr>
      <w:r>
        <w:rPr>
          <w:rFonts w:hint="eastAsia" w:ascii="宋体" w:hAnsi="宋体" w:cs="Arial"/>
          <w:bCs/>
          <w:color w:val="auto"/>
          <w:sz w:val="22"/>
          <w:szCs w:val="22"/>
        </w:rPr>
        <w:t>2、投标人在法定质疑期内须一次性提出针对同一采购程序环节的质疑，不符合一次性要求的，对其相应质疑不予答复。</w:t>
      </w:r>
    </w:p>
    <w:p>
      <w:pPr>
        <w:spacing w:line="460" w:lineRule="exact"/>
        <w:ind w:firstLine="440" w:firstLineChars="200"/>
        <w:rPr>
          <w:rFonts w:ascii="宋体" w:hAnsi="宋体" w:cs="Arial"/>
          <w:bCs/>
          <w:color w:val="auto"/>
          <w:sz w:val="22"/>
          <w:szCs w:val="22"/>
        </w:rPr>
      </w:pPr>
      <w:r>
        <w:rPr>
          <w:rFonts w:hint="eastAsia" w:ascii="宋体" w:hAnsi="宋体" w:cs="Arial"/>
          <w:bCs/>
          <w:color w:val="auto"/>
          <w:sz w:val="22"/>
          <w:szCs w:val="22"/>
        </w:rPr>
        <w:t>3、采购人可以对已发出的采购文件进行必要的澄清或者修改，将以“澄清公告”的形式发布在“浙江省政府采购网”政采云平台和宁波公共资源交易网镇海区分网上，投标人应及时登录政采云平台和宁波公共资源交易网镇海区分网查看和下载，未及时查看和下载的责任自负。</w:t>
      </w:r>
    </w:p>
    <w:p>
      <w:pPr>
        <w:spacing w:line="460" w:lineRule="exact"/>
        <w:ind w:firstLine="440" w:firstLineChars="200"/>
        <w:rPr>
          <w:rFonts w:ascii="宋体" w:hAnsi="宋体" w:cs="Arial"/>
          <w:bCs/>
          <w:color w:val="auto"/>
          <w:sz w:val="22"/>
          <w:szCs w:val="22"/>
        </w:rPr>
      </w:pPr>
      <w:r>
        <w:rPr>
          <w:rFonts w:hint="eastAsia" w:ascii="宋体" w:hAnsi="宋体" w:cs="Arial"/>
          <w:bCs/>
          <w:color w:val="auto"/>
          <w:sz w:val="22"/>
          <w:szCs w:val="22"/>
        </w:rPr>
        <w:t>4、采购项目需要落实的政府采购政策：详见采购文件。</w:t>
      </w:r>
    </w:p>
    <w:p>
      <w:pPr>
        <w:spacing w:line="460" w:lineRule="exact"/>
        <w:ind w:firstLine="440" w:firstLineChars="200"/>
        <w:rPr>
          <w:rFonts w:ascii="宋体" w:hAnsi="宋体" w:cs="Arial"/>
          <w:bCs/>
          <w:color w:val="auto"/>
          <w:sz w:val="22"/>
          <w:szCs w:val="22"/>
        </w:rPr>
      </w:pPr>
      <w:r>
        <w:rPr>
          <w:rFonts w:ascii="宋体" w:hAnsi="宋体" w:cs="Arial"/>
          <w:bCs/>
          <w:color w:val="auto"/>
          <w:sz w:val="22"/>
          <w:szCs w:val="22"/>
        </w:rPr>
        <w:t>5</w:t>
      </w:r>
      <w:r>
        <w:rPr>
          <w:rFonts w:hint="eastAsia" w:ascii="宋体" w:hAnsi="宋体" w:cs="Arial"/>
          <w:bCs/>
          <w:color w:val="auto"/>
          <w:sz w:val="22"/>
          <w:szCs w:val="22"/>
        </w:rPr>
        <w:t>、</w:t>
      </w:r>
      <w:r>
        <w:rPr>
          <w:rFonts w:hint="eastAsia" w:ascii="宋体" w:hAnsi="宋体" w:cs="Arial"/>
          <w:b/>
          <w:bCs/>
          <w:color w:val="auto"/>
          <w:sz w:val="22"/>
          <w:szCs w:val="22"/>
        </w:rPr>
        <w:t>投标与开标注意事项</w:t>
      </w:r>
    </w:p>
    <w:p>
      <w:pPr>
        <w:spacing w:line="460" w:lineRule="exact"/>
        <w:ind w:firstLine="440" w:firstLineChars="200"/>
        <w:rPr>
          <w:rFonts w:hint="eastAsia" w:ascii="宋体" w:hAnsi="宋体" w:cs="Arial"/>
          <w:bCs/>
          <w:color w:val="auto"/>
          <w:sz w:val="22"/>
          <w:szCs w:val="22"/>
        </w:rPr>
      </w:pPr>
      <w:r>
        <w:rPr>
          <w:rFonts w:hint="eastAsia" w:ascii="宋体" w:hAnsi="宋体" w:cs="Arial"/>
          <w:bCs/>
          <w:color w:val="auto"/>
          <w:sz w:val="22"/>
          <w:szCs w:val="22"/>
        </w:rPr>
        <w:t>（1）本项目实行网上投标，采用电子投标文件。若投标人参与投标，自行承担投标一切费用。</w:t>
      </w:r>
    </w:p>
    <w:p>
      <w:pPr>
        <w:spacing w:line="460" w:lineRule="exact"/>
        <w:ind w:firstLine="440" w:firstLineChars="200"/>
        <w:rPr>
          <w:rFonts w:ascii="宋体" w:hAnsi="宋体" w:cs="Arial"/>
          <w:bCs/>
          <w:color w:val="auto"/>
          <w:sz w:val="22"/>
          <w:szCs w:val="22"/>
        </w:rPr>
      </w:pPr>
      <w:r>
        <w:rPr>
          <w:rFonts w:hint="eastAsia" w:ascii="宋体" w:hAnsi="宋体" w:cs="Arial"/>
          <w:bCs/>
          <w:color w:val="auto"/>
          <w:sz w:val="22"/>
          <w:szCs w:val="22"/>
        </w:rPr>
        <w:t>（2）标前准备：各投标人应在开标前确保成为浙江省政府采购网正式注册入库供应商，并完成CA数字证书办理。（具体操作详见供应商-CA申领操作指南https://help.zcygov.cn/web/site_2/2018/11-29/2452.html）。因未注册入库、未办理CA数字证书等原因造成无法投标或投标失败等后果由投标人自行承担。</w:t>
      </w:r>
    </w:p>
    <w:p>
      <w:pPr>
        <w:spacing w:line="460" w:lineRule="exact"/>
        <w:ind w:firstLine="440" w:firstLineChars="200"/>
        <w:rPr>
          <w:rFonts w:ascii="宋体" w:hAnsi="宋体" w:cs="Arial"/>
          <w:bCs/>
          <w:color w:val="auto"/>
          <w:sz w:val="22"/>
          <w:szCs w:val="22"/>
        </w:rPr>
      </w:pPr>
      <w:r>
        <w:rPr>
          <w:rFonts w:hint="eastAsia" w:ascii="宋体" w:hAnsi="宋体" w:cs="Arial"/>
          <w:bCs/>
          <w:color w:val="auto"/>
          <w:sz w:val="22"/>
          <w:szCs w:val="22"/>
        </w:rPr>
        <w:t>（3）投标文件制作：</w:t>
      </w:r>
    </w:p>
    <w:p>
      <w:pPr>
        <w:spacing w:line="460" w:lineRule="exact"/>
        <w:ind w:firstLine="440" w:firstLineChars="200"/>
        <w:rPr>
          <w:rFonts w:ascii="宋体" w:hAnsi="宋体" w:cs="Arial"/>
          <w:bCs/>
          <w:color w:val="auto"/>
          <w:sz w:val="22"/>
          <w:szCs w:val="22"/>
        </w:rPr>
      </w:pPr>
      <w:r>
        <w:rPr>
          <w:rFonts w:hint="eastAsia" w:ascii="宋体" w:hAnsi="宋体" w:cs="Arial"/>
          <w:bCs/>
          <w:color w:val="auto"/>
          <w:sz w:val="22"/>
          <w:szCs w:val="22"/>
        </w:rPr>
        <w:t>①应按照本项目采购文件和政采云平台的要求编制、加密并递交投标文件。</w:t>
      </w:r>
      <w:r>
        <w:rPr>
          <w:rFonts w:ascii="宋体" w:hAnsi="宋体" w:cs="Arial"/>
          <w:bCs/>
          <w:color w:val="auto"/>
          <w:sz w:val="22"/>
          <w:szCs w:val="22"/>
        </w:rPr>
        <w:t>若对项目采购电子交易系统操作有疑问，可登录政采云（</w:t>
      </w:r>
      <w:r>
        <w:rPr>
          <w:rFonts w:ascii="宋体" w:hAnsi="宋体" w:cs="Arial"/>
          <w:bCs/>
          <w:color w:val="auto"/>
          <w:sz w:val="22"/>
          <w:szCs w:val="22"/>
        </w:rPr>
        <w:drawing>
          <wp:inline distT="0" distB="0" distL="114300" distR="114300">
            <wp:extent cx="189230" cy="142875"/>
            <wp:effectExtent l="0" t="0" r="1270" b="9525"/>
            <wp:docPr id="1"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GJ$ACOF(TYDYECOKVDYB"/>
                    <pic:cNvPicPr>
                      <a:picLocks noChangeAspect="1"/>
                    </pic:cNvPicPr>
                  </pic:nvPicPr>
                  <pic:blipFill>
                    <a:blip r:embed="rId18"/>
                    <a:stretch>
                      <a:fillRect/>
                    </a:stretch>
                  </pic:blipFill>
                  <pic:spPr>
                    <a:xfrm>
                      <a:off x="0" y="0"/>
                      <a:ext cx="189230" cy="142875"/>
                    </a:xfrm>
                    <a:prstGeom prst="rect">
                      <a:avLst/>
                    </a:prstGeom>
                    <a:noFill/>
                    <a:ln>
                      <a:noFill/>
                    </a:ln>
                  </pic:spPr>
                </pic:pic>
              </a:graphicData>
            </a:graphic>
          </wp:inline>
        </w:drawing>
      </w:r>
      <w:r>
        <w:rPr>
          <w:rFonts w:ascii="宋体" w:hAnsi="宋体" w:cs="Arial"/>
          <w:bCs/>
          <w:color w:val="auto"/>
          <w:sz w:val="22"/>
          <w:szCs w:val="22"/>
        </w:rPr>
        <w:t>https://www.zcygov.cn/），点击右侧咨询小采，获取采小蜜智能服务管家帮助，或拨打政采云服务热线400-881-7190获取热线服务帮助。 CA问题联系电话（人工）：汇信CA 400-888-4636；天谷CA 400-087-8198。</w:t>
      </w:r>
    </w:p>
    <w:p>
      <w:pPr>
        <w:spacing w:line="460" w:lineRule="exact"/>
        <w:ind w:firstLine="440" w:firstLineChars="200"/>
        <w:rPr>
          <w:rFonts w:hint="eastAsia" w:ascii="宋体" w:hAnsi="宋体" w:cs="Arial"/>
          <w:bCs/>
          <w:color w:val="auto"/>
          <w:sz w:val="22"/>
          <w:szCs w:val="22"/>
        </w:rPr>
      </w:pPr>
      <w:r>
        <w:rPr>
          <w:rFonts w:hint="eastAsia" w:ascii="宋体" w:hAnsi="宋体" w:cs="Arial"/>
          <w:bCs/>
          <w:color w:val="auto"/>
          <w:sz w:val="22"/>
          <w:szCs w:val="22"/>
        </w:rPr>
        <w:t>②投标人通过“政采云”平台电子投标工具制作投标文件，电子投标工具请投标人自行前往浙江省政府采购网下载并安装，（下载网址：http://zfcg.czt.zj.gov.cn//bidClientTemplate/2019-05-27/12946.html），投标文件制作具体流程详见政采云供应商-政府采购项目电子交易操作指南。</w:t>
      </w:r>
    </w:p>
    <w:p>
      <w:pPr>
        <w:spacing w:line="460" w:lineRule="exact"/>
        <w:ind w:firstLine="442" w:firstLineChars="200"/>
        <w:rPr>
          <w:rFonts w:hint="eastAsia" w:ascii="宋体" w:hAnsi="宋体" w:cs="Arial"/>
          <w:b/>
          <w:bCs/>
          <w:color w:val="auto"/>
          <w:sz w:val="22"/>
          <w:szCs w:val="22"/>
        </w:rPr>
      </w:pPr>
      <w:r>
        <w:rPr>
          <w:rFonts w:hint="eastAsia" w:ascii="宋体" w:hAnsi="宋体" w:cs="Arial"/>
          <w:b/>
          <w:bCs/>
          <w:color w:val="auto"/>
          <w:sz w:val="22"/>
          <w:szCs w:val="22"/>
        </w:rPr>
        <w:t>十四</w:t>
      </w:r>
      <w:r>
        <w:rPr>
          <w:rFonts w:ascii="宋体" w:hAnsi="宋体" w:cs="Arial"/>
          <w:b/>
          <w:bCs/>
          <w:color w:val="auto"/>
          <w:sz w:val="22"/>
          <w:szCs w:val="22"/>
        </w:rPr>
        <w:t>、</w:t>
      </w:r>
      <w:r>
        <w:rPr>
          <w:rFonts w:hint="eastAsia" w:ascii="宋体" w:hAnsi="宋体" w:cs="Arial"/>
          <w:b/>
          <w:bCs/>
          <w:color w:val="auto"/>
          <w:sz w:val="22"/>
          <w:szCs w:val="22"/>
        </w:rPr>
        <w:t>采购监管及投诉受理单位</w:t>
      </w:r>
    </w:p>
    <w:p>
      <w:pPr>
        <w:spacing w:line="460" w:lineRule="exact"/>
        <w:ind w:firstLine="431" w:firstLineChars="196"/>
        <w:rPr>
          <w:rFonts w:hint="eastAsia" w:ascii="宋体" w:hAnsi="宋体"/>
          <w:color w:val="auto"/>
          <w:sz w:val="22"/>
          <w:szCs w:val="22"/>
        </w:rPr>
      </w:pPr>
      <w:r>
        <w:rPr>
          <w:rFonts w:hint="eastAsia" w:ascii="宋体" w:hAnsi="宋体"/>
          <w:color w:val="auto"/>
          <w:sz w:val="22"/>
          <w:szCs w:val="22"/>
        </w:rPr>
        <w:t>采购监管：宁波市镇海区政府采购办公室</w:t>
      </w:r>
    </w:p>
    <w:p>
      <w:pPr>
        <w:spacing w:line="460" w:lineRule="exact"/>
        <w:ind w:firstLine="431" w:firstLineChars="196"/>
        <w:rPr>
          <w:rFonts w:hint="eastAsia" w:ascii="宋体" w:hAnsi="宋体"/>
          <w:color w:val="auto"/>
          <w:sz w:val="22"/>
          <w:szCs w:val="22"/>
        </w:rPr>
      </w:pPr>
      <w:r>
        <w:rPr>
          <w:rFonts w:hint="eastAsia" w:ascii="宋体" w:hAnsi="宋体"/>
          <w:color w:val="auto"/>
          <w:sz w:val="22"/>
          <w:szCs w:val="22"/>
        </w:rPr>
        <w:t>联系人：金老师    联系电话：0574-</w:t>
      </w:r>
      <w:r>
        <w:rPr>
          <w:rFonts w:ascii="宋体" w:hAnsi="宋体"/>
          <w:color w:val="auto"/>
          <w:sz w:val="22"/>
          <w:szCs w:val="22"/>
        </w:rPr>
        <w:t>89389666</w:t>
      </w:r>
    </w:p>
    <w:p>
      <w:pPr>
        <w:spacing w:line="460" w:lineRule="exact"/>
        <w:ind w:firstLine="433" w:firstLineChars="196"/>
        <w:rPr>
          <w:rFonts w:hint="eastAsia" w:ascii="宋体" w:hAnsi="宋体" w:cs="Arial"/>
          <w:b/>
          <w:bCs/>
          <w:color w:val="auto"/>
          <w:sz w:val="22"/>
          <w:szCs w:val="22"/>
        </w:rPr>
      </w:pPr>
      <w:r>
        <w:rPr>
          <w:rFonts w:hint="eastAsia" w:ascii="宋体" w:hAnsi="宋体" w:cs="Arial"/>
          <w:b/>
          <w:bCs/>
          <w:color w:val="auto"/>
          <w:sz w:val="22"/>
          <w:szCs w:val="22"/>
        </w:rPr>
        <w:t>十五、业务咨询：</w:t>
      </w:r>
    </w:p>
    <w:p>
      <w:pPr>
        <w:spacing w:line="460" w:lineRule="exact"/>
        <w:ind w:firstLine="431" w:firstLineChars="196"/>
        <w:rPr>
          <w:rFonts w:hint="eastAsia" w:ascii="宋体" w:hAnsi="宋体"/>
          <w:color w:val="auto"/>
          <w:sz w:val="22"/>
          <w:szCs w:val="22"/>
        </w:rPr>
      </w:pPr>
      <w:r>
        <w:rPr>
          <w:rFonts w:hint="eastAsia" w:ascii="宋体" w:hAnsi="宋体"/>
          <w:color w:val="auto"/>
          <w:sz w:val="22"/>
          <w:szCs w:val="22"/>
        </w:rPr>
        <w:t>采购代理机构：宁波市镇海国泰工程建设投资管理咨询有限公司</w:t>
      </w:r>
    </w:p>
    <w:p>
      <w:pPr>
        <w:spacing w:line="460" w:lineRule="exact"/>
        <w:ind w:firstLine="431" w:firstLineChars="196"/>
        <w:rPr>
          <w:rFonts w:hint="eastAsia" w:ascii="宋体" w:hAnsi="宋体"/>
          <w:color w:val="auto"/>
          <w:sz w:val="22"/>
          <w:szCs w:val="22"/>
        </w:rPr>
      </w:pPr>
      <w:r>
        <w:rPr>
          <w:rFonts w:hint="eastAsia" w:ascii="宋体" w:hAnsi="宋体"/>
          <w:color w:val="auto"/>
          <w:sz w:val="22"/>
          <w:szCs w:val="22"/>
        </w:rPr>
        <w:t xml:space="preserve">地址：宁波市镇海区骆驼街道锦业街18号镇海大厦10楼     邮编：315202 </w:t>
      </w:r>
    </w:p>
    <w:p>
      <w:pPr>
        <w:spacing w:line="460" w:lineRule="exact"/>
        <w:ind w:firstLine="431" w:firstLineChars="196"/>
        <w:rPr>
          <w:rFonts w:hint="eastAsia" w:ascii="宋体" w:hAnsi="宋体"/>
          <w:color w:val="auto"/>
          <w:sz w:val="22"/>
          <w:szCs w:val="22"/>
        </w:rPr>
      </w:pPr>
      <w:r>
        <w:rPr>
          <w:rFonts w:hint="eastAsia" w:ascii="宋体" w:hAnsi="宋体"/>
          <w:color w:val="auto"/>
          <w:sz w:val="22"/>
          <w:szCs w:val="22"/>
        </w:rPr>
        <w:t>联系人：傅作琪、 蔡煜、石宗杰          联系电话：0574-86279793</w:t>
      </w:r>
    </w:p>
    <w:p>
      <w:pPr>
        <w:spacing w:line="460" w:lineRule="exact"/>
        <w:ind w:firstLine="431" w:firstLineChars="196"/>
        <w:rPr>
          <w:rFonts w:hint="eastAsia" w:ascii="宋体" w:hAnsi="宋体"/>
          <w:color w:val="auto"/>
          <w:sz w:val="22"/>
          <w:szCs w:val="22"/>
        </w:rPr>
      </w:pPr>
      <w:r>
        <w:rPr>
          <w:rFonts w:hint="eastAsia" w:ascii="宋体" w:hAnsi="宋体"/>
          <w:color w:val="auto"/>
          <w:sz w:val="22"/>
          <w:szCs w:val="22"/>
        </w:rPr>
        <w:t>采购人名称：宁波市公安局镇海分局</w:t>
      </w:r>
    </w:p>
    <w:p>
      <w:pPr>
        <w:spacing w:line="460" w:lineRule="exact"/>
        <w:ind w:firstLine="431" w:firstLineChars="196"/>
        <w:rPr>
          <w:rFonts w:hint="eastAsia" w:ascii="宋体" w:hAnsi="宋体"/>
          <w:color w:val="auto"/>
          <w:sz w:val="22"/>
          <w:szCs w:val="22"/>
        </w:rPr>
      </w:pPr>
      <w:r>
        <w:rPr>
          <w:rFonts w:hint="eastAsia" w:ascii="宋体" w:hAnsi="宋体"/>
          <w:color w:val="auto"/>
          <w:sz w:val="22"/>
          <w:szCs w:val="22"/>
        </w:rPr>
        <w:t>地  址：宁波市镇海区招宝山街道中山路4号</w:t>
      </w:r>
    </w:p>
    <w:p>
      <w:pPr>
        <w:spacing w:line="460" w:lineRule="exact"/>
        <w:ind w:firstLine="431" w:firstLineChars="196"/>
        <w:rPr>
          <w:rFonts w:hint="eastAsia" w:ascii="宋体" w:hAnsi="宋体"/>
          <w:color w:val="000000"/>
          <w:sz w:val="22"/>
          <w:szCs w:val="22"/>
        </w:rPr>
      </w:pPr>
      <w:r>
        <w:rPr>
          <w:rFonts w:hint="eastAsia" w:ascii="宋体" w:hAnsi="宋体"/>
          <w:color w:val="000000"/>
          <w:sz w:val="22"/>
          <w:szCs w:val="22"/>
        </w:rPr>
        <w:t>联系人：杨警官        电话： 0574-</w:t>
      </w:r>
      <w:r>
        <w:rPr>
          <w:rFonts w:ascii="宋体" w:hAnsi="宋体"/>
          <w:color w:val="000000"/>
          <w:sz w:val="22"/>
          <w:szCs w:val="22"/>
        </w:rPr>
        <w:t xml:space="preserve"> 86635132</w:t>
      </w:r>
    </w:p>
    <w:p>
      <w:pPr>
        <w:spacing w:line="460" w:lineRule="exact"/>
        <w:jc w:val="right"/>
        <w:rPr>
          <w:rFonts w:hint="eastAsia" w:ascii="宋体" w:hAnsi="宋体"/>
          <w:color w:val="000000"/>
          <w:sz w:val="22"/>
          <w:szCs w:val="22"/>
        </w:rPr>
      </w:pPr>
    </w:p>
    <w:p>
      <w:pPr>
        <w:wordWrap w:val="0"/>
        <w:spacing w:line="460" w:lineRule="exact"/>
        <w:jc w:val="right"/>
        <w:rPr>
          <w:rFonts w:ascii="宋体" w:hAnsi="宋体"/>
          <w:color w:val="000000"/>
          <w:sz w:val="22"/>
          <w:szCs w:val="22"/>
        </w:rPr>
        <w:sectPr>
          <w:headerReference r:id="rId9" w:type="first"/>
          <w:headerReference r:id="rId7" w:type="default"/>
          <w:headerReference r:id="rId8" w:type="even"/>
          <w:pgSz w:w="11906" w:h="16838"/>
          <w:pgMar w:top="1134" w:right="1021" w:bottom="1134" w:left="1021" w:header="737" w:footer="851" w:gutter="0"/>
          <w:cols w:space="720" w:num="1"/>
        </w:sectPr>
      </w:pPr>
      <w:r>
        <w:rPr>
          <w:rFonts w:hint="eastAsia" w:ascii="宋体" w:hAnsi="宋体"/>
          <w:color w:val="000000"/>
          <w:sz w:val="22"/>
          <w:szCs w:val="22"/>
        </w:rPr>
        <w:t>日期：2020年12月</w:t>
      </w:r>
      <w:r>
        <w:rPr>
          <w:rFonts w:hint="eastAsia" w:ascii="宋体" w:hAnsi="宋体"/>
          <w:color w:val="000000"/>
          <w:sz w:val="22"/>
          <w:szCs w:val="22"/>
          <w:lang w:val="en-US" w:eastAsia="zh-CN"/>
        </w:rPr>
        <w:t>4</w:t>
      </w:r>
      <w:r>
        <w:rPr>
          <w:rFonts w:hint="eastAsia" w:ascii="宋体" w:hAnsi="宋体"/>
          <w:color w:val="000000"/>
          <w:sz w:val="22"/>
          <w:szCs w:val="22"/>
        </w:rPr>
        <w:t>日</w:t>
      </w:r>
    </w:p>
    <w:p>
      <w:pPr>
        <w:pStyle w:val="49"/>
        <w:rPr>
          <w:rFonts w:hint="eastAsia" w:ascii="宋体" w:hAnsi="宋体"/>
          <w:lang w:eastAsia="zh-CN"/>
        </w:rPr>
      </w:pPr>
      <w:bookmarkStart w:id="8" w:name="_Toc14965745"/>
      <w:bookmarkStart w:id="9" w:name="_Toc14965611"/>
      <w:bookmarkStart w:id="10" w:name="_Toc374321295"/>
      <w:r>
        <w:rPr>
          <w:rFonts w:hint="eastAsia" w:ascii="宋体" w:hAnsi="宋体"/>
        </w:rPr>
        <w:t>第二部分 采购内容及要求</w:t>
      </w:r>
      <w:bookmarkEnd w:id="8"/>
      <w:bookmarkEnd w:id="9"/>
      <w:bookmarkStart w:id="11" w:name="_Toc210318511"/>
      <w:bookmarkStart w:id="12" w:name="_Toc150741734"/>
    </w:p>
    <w:p>
      <w:pPr>
        <w:pStyle w:val="49"/>
        <w:spacing w:before="0" w:after="0" w:line="360" w:lineRule="auto"/>
        <w:jc w:val="left"/>
        <w:rPr>
          <w:rFonts w:hint="eastAsia" w:ascii="宋体" w:hAnsi="宋体"/>
          <w:sz w:val="22"/>
          <w:szCs w:val="22"/>
          <w:lang w:eastAsia="zh-CN"/>
        </w:rPr>
      </w:pPr>
      <w:r>
        <w:rPr>
          <w:rFonts w:hint="eastAsia" w:ascii="宋体" w:hAnsi="宋体"/>
          <w:sz w:val="22"/>
          <w:szCs w:val="22"/>
          <w:lang w:val="en-US" w:eastAsia="zh-CN"/>
        </w:rPr>
        <w:t>一、</w:t>
      </w:r>
      <w:r>
        <w:rPr>
          <w:rFonts w:hint="eastAsia" w:ascii="宋体" w:hAnsi="宋体"/>
          <w:sz w:val="22"/>
          <w:szCs w:val="22"/>
          <w:lang w:eastAsia="zh-CN"/>
        </w:rPr>
        <w:t>项目概况</w:t>
      </w:r>
    </w:p>
    <w:p>
      <w:pPr>
        <w:spacing w:line="360" w:lineRule="auto"/>
        <w:ind w:firstLine="440" w:firstLineChars="200"/>
        <w:rPr>
          <w:rFonts w:ascii="宋体" w:hAnsi="宋体"/>
          <w:sz w:val="22"/>
          <w:szCs w:val="22"/>
        </w:rPr>
      </w:pPr>
      <w:r>
        <w:rPr>
          <w:rFonts w:ascii="宋体" w:hAnsi="宋体"/>
          <w:sz w:val="22"/>
          <w:szCs w:val="22"/>
        </w:rPr>
        <w:t>镇海区“全区社会治安视频监控系统”于2003年开始，持续分期建设至今。2003至2008年建设的是模拟监控点（标清），2012年开始按《全区社会治安视频监控系统建设和应用三年规划》要求建设数字监控点（高清）。2015年开始对2003至2008年建设的模拟监控点（标清）进行数字化高清改造及运维。2018年开始由镇海电信实施镇海公安智能感知系统建设采购项目，逐步开启全面感知的智慧型应用阶段。</w:t>
      </w:r>
    </w:p>
    <w:p>
      <w:pPr>
        <w:spacing w:line="360" w:lineRule="auto"/>
        <w:ind w:firstLine="440" w:firstLineChars="200"/>
        <w:rPr>
          <w:rFonts w:hint="eastAsia" w:ascii="宋体" w:hAnsi="宋体"/>
          <w:sz w:val="22"/>
          <w:szCs w:val="22"/>
        </w:rPr>
      </w:pPr>
      <w:r>
        <w:rPr>
          <w:rFonts w:ascii="宋体" w:hAnsi="宋体"/>
          <w:sz w:val="22"/>
          <w:szCs w:val="22"/>
        </w:rPr>
        <w:t>综上所述，镇海全区社会治安视频监控系统，经历了从模数结合存控一体、双链双备互控、多业务综合处理、数字视频共享、上传推送协议、全过程审计、基础设施监测等到全高清综合平台、智能感知智慧应用，将云计算与大数据技术真正落实于平安城市建设中，切实解决视频图像在公安行业的应用难题。本</w:t>
      </w:r>
      <w:r>
        <w:rPr>
          <w:rFonts w:hint="eastAsia" w:ascii="宋体" w:hAnsi="宋体"/>
          <w:sz w:val="22"/>
          <w:szCs w:val="22"/>
        </w:rPr>
        <w:t>项目运维服务</w:t>
      </w:r>
      <w:r>
        <w:rPr>
          <w:rFonts w:ascii="宋体" w:hAnsi="宋体"/>
          <w:sz w:val="22"/>
          <w:szCs w:val="22"/>
        </w:rPr>
        <w:t>内容主要包括2003年至今各年份所有在用设备的运维服务，运维对象包括全区社会治安视频监控系统所包含的各项内容，具体包括前端设备、网络平台、硬件平台等几项内容。</w:t>
      </w:r>
    </w:p>
    <w:p>
      <w:pPr>
        <w:spacing w:line="360" w:lineRule="auto"/>
        <w:rPr>
          <w:rFonts w:ascii="宋体" w:hAnsi="宋体"/>
          <w:b/>
          <w:sz w:val="22"/>
          <w:szCs w:val="22"/>
        </w:rPr>
      </w:pPr>
      <w:r>
        <w:rPr>
          <w:rFonts w:hint="eastAsia" w:ascii="宋体" w:hAnsi="宋体"/>
          <w:b/>
          <w:sz w:val="22"/>
          <w:szCs w:val="22"/>
        </w:rPr>
        <w:t>二、</w:t>
      </w:r>
      <w:r>
        <w:rPr>
          <w:rFonts w:ascii="宋体" w:hAnsi="宋体"/>
          <w:b/>
          <w:bCs/>
          <w:sz w:val="22"/>
          <w:szCs w:val="22"/>
        </w:rPr>
        <w:t>运维内容</w:t>
      </w:r>
    </w:p>
    <w:tbl>
      <w:tblPr>
        <w:tblStyle w:val="52"/>
        <w:tblW w:w="8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08"/>
        <w:gridCol w:w="2506"/>
        <w:gridCol w:w="5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08" w:type="dxa"/>
            <w:noWrap w:val="0"/>
            <w:tcMar>
              <w:top w:w="57" w:type="dxa"/>
              <w:left w:w="57" w:type="dxa"/>
              <w:bottom w:w="57" w:type="dxa"/>
              <w:right w:w="57" w:type="dxa"/>
            </w:tcMar>
            <w:vAlign w:val="center"/>
          </w:tcPr>
          <w:p>
            <w:pPr>
              <w:spacing w:line="360" w:lineRule="auto"/>
              <w:jc w:val="center"/>
              <w:rPr>
                <w:rFonts w:ascii="宋体" w:hAnsi="宋体"/>
                <w:b/>
                <w:bCs/>
                <w:sz w:val="22"/>
                <w:szCs w:val="22"/>
              </w:rPr>
            </w:pPr>
            <w:r>
              <w:rPr>
                <w:rFonts w:ascii="宋体" w:hAnsi="宋体"/>
                <w:b/>
                <w:bCs/>
                <w:sz w:val="22"/>
                <w:szCs w:val="22"/>
              </w:rPr>
              <w:t>序号</w:t>
            </w:r>
          </w:p>
        </w:tc>
        <w:tc>
          <w:tcPr>
            <w:tcW w:w="2506" w:type="dxa"/>
            <w:noWrap w:val="0"/>
            <w:tcMar>
              <w:top w:w="57" w:type="dxa"/>
              <w:left w:w="57" w:type="dxa"/>
              <w:bottom w:w="57" w:type="dxa"/>
              <w:right w:w="57" w:type="dxa"/>
            </w:tcMar>
            <w:vAlign w:val="center"/>
          </w:tcPr>
          <w:p>
            <w:pPr>
              <w:spacing w:line="360" w:lineRule="auto"/>
              <w:jc w:val="center"/>
              <w:rPr>
                <w:rFonts w:ascii="宋体" w:hAnsi="宋体"/>
                <w:b/>
                <w:bCs/>
                <w:sz w:val="22"/>
                <w:szCs w:val="22"/>
              </w:rPr>
            </w:pPr>
            <w:r>
              <w:rPr>
                <w:rFonts w:ascii="宋体" w:hAnsi="宋体"/>
                <w:b/>
                <w:bCs/>
                <w:sz w:val="22"/>
                <w:szCs w:val="22"/>
              </w:rPr>
              <w:t>内容</w:t>
            </w:r>
          </w:p>
        </w:tc>
        <w:tc>
          <w:tcPr>
            <w:tcW w:w="5437" w:type="dxa"/>
            <w:noWrap w:val="0"/>
            <w:tcMar>
              <w:top w:w="57" w:type="dxa"/>
              <w:left w:w="57" w:type="dxa"/>
              <w:bottom w:w="57" w:type="dxa"/>
              <w:right w:w="57" w:type="dxa"/>
            </w:tcMar>
            <w:vAlign w:val="center"/>
          </w:tcPr>
          <w:p>
            <w:pPr>
              <w:spacing w:line="360" w:lineRule="auto"/>
              <w:jc w:val="center"/>
              <w:rPr>
                <w:rFonts w:ascii="宋体" w:hAnsi="宋体"/>
                <w:b/>
                <w:bCs/>
                <w:sz w:val="22"/>
                <w:szCs w:val="22"/>
              </w:rPr>
            </w:pPr>
            <w:r>
              <w:rPr>
                <w:rFonts w:ascii="宋体" w:hAnsi="宋体"/>
                <w:b/>
                <w:bCs/>
                <w:sz w:val="22"/>
                <w:szCs w:val="22"/>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08" w:type="dxa"/>
            <w:vMerge w:val="restart"/>
            <w:noWrap w:val="0"/>
            <w:tcMar>
              <w:top w:w="57" w:type="dxa"/>
              <w:left w:w="57" w:type="dxa"/>
              <w:bottom w:w="57" w:type="dxa"/>
              <w:right w:w="57" w:type="dxa"/>
            </w:tcMar>
            <w:vAlign w:val="center"/>
          </w:tcPr>
          <w:p>
            <w:pPr>
              <w:spacing w:line="360" w:lineRule="auto"/>
              <w:jc w:val="center"/>
              <w:rPr>
                <w:rFonts w:ascii="宋体" w:hAnsi="宋体"/>
                <w:sz w:val="22"/>
                <w:szCs w:val="22"/>
              </w:rPr>
            </w:pPr>
            <w:r>
              <w:rPr>
                <w:rFonts w:ascii="宋体" w:hAnsi="宋体"/>
                <w:sz w:val="22"/>
                <w:szCs w:val="22"/>
              </w:rPr>
              <w:t>一</w:t>
            </w:r>
          </w:p>
        </w:tc>
        <w:tc>
          <w:tcPr>
            <w:tcW w:w="2506" w:type="dxa"/>
            <w:vMerge w:val="restart"/>
            <w:noWrap w:val="0"/>
            <w:tcMar>
              <w:top w:w="57" w:type="dxa"/>
              <w:left w:w="57" w:type="dxa"/>
              <w:bottom w:w="57" w:type="dxa"/>
              <w:right w:w="57" w:type="dxa"/>
            </w:tcMar>
            <w:vAlign w:val="center"/>
          </w:tcPr>
          <w:p>
            <w:pPr>
              <w:spacing w:line="360" w:lineRule="auto"/>
              <w:jc w:val="left"/>
              <w:rPr>
                <w:rFonts w:ascii="宋体" w:hAnsi="宋体"/>
                <w:sz w:val="22"/>
                <w:szCs w:val="22"/>
              </w:rPr>
            </w:pPr>
            <w:r>
              <w:rPr>
                <w:rFonts w:ascii="宋体" w:hAnsi="宋体"/>
                <w:sz w:val="22"/>
                <w:szCs w:val="22"/>
              </w:rPr>
              <w:t>各年份老设备（在用）</w:t>
            </w:r>
            <w:r>
              <w:rPr>
                <w:rFonts w:ascii="宋体" w:hAnsi="宋体"/>
                <w:sz w:val="22"/>
                <w:szCs w:val="22"/>
              </w:rPr>
              <w:br w:type="textWrapping"/>
            </w:r>
            <w:r>
              <w:rPr>
                <w:rFonts w:ascii="宋体" w:hAnsi="宋体"/>
                <w:sz w:val="22"/>
                <w:szCs w:val="22"/>
              </w:rPr>
              <w:t>运维服务部分</w:t>
            </w:r>
          </w:p>
        </w:tc>
        <w:tc>
          <w:tcPr>
            <w:tcW w:w="5437" w:type="dxa"/>
            <w:noWrap w:val="0"/>
            <w:tcMar>
              <w:top w:w="57" w:type="dxa"/>
              <w:left w:w="57" w:type="dxa"/>
              <w:bottom w:w="57" w:type="dxa"/>
              <w:right w:w="57" w:type="dxa"/>
            </w:tcMar>
            <w:vAlign w:val="center"/>
          </w:tcPr>
          <w:p>
            <w:pPr>
              <w:spacing w:line="360" w:lineRule="auto"/>
              <w:jc w:val="left"/>
              <w:rPr>
                <w:rFonts w:ascii="宋体" w:hAnsi="宋体"/>
                <w:sz w:val="22"/>
                <w:szCs w:val="22"/>
              </w:rPr>
            </w:pPr>
            <w:r>
              <w:rPr>
                <w:rFonts w:ascii="宋体" w:hAnsi="宋体"/>
                <w:sz w:val="22"/>
                <w:szCs w:val="22"/>
              </w:rPr>
              <w:t>08运维项目（2015年建设完成）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08" w:type="dxa"/>
            <w:vMerge w:val="continue"/>
            <w:noWrap w:val="0"/>
            <w:tcMar>
              <w:top w:w="57" w:type="dxa"/>
              <w:left w:w="57" w:type="dxa"/>
              <w:bottom w:w="57" w:type="dxa"/>
              <w:right w:w="57" w:type="dxa"/>
            </w:tcMar>
            <w:vAlign w:val="center"/>
          </w:tcPr>
          <w:p>
            <w:pPr>
              <w:spacing w:line="360" w:lineRule="auto"/>
              <w:jc w:val="center"/>
              <w:rPr>
                <w:rFonts w:ascii="宋体" w:hAnsi="宋体"/>
                <w:sz w:val="22"/>
                <w:szCs w:val="22"/>
              </w:rPr>
            </w:pPr>
          </w:p>
        </w:tc>
        <w:tc>
          <w:tcPr>
            <w:tcW w:w="2506" w:type="dxa"/>
            <w:vMerge w:val="continue"/>
            <w:noWrap w:val="0"/>
            <w:tcMar>
              <w:top w:w="57" w:type="dxa"/>
              <w:left w:w="57" w:type="dxa"/>
              <w:bottom w:w="57" w:type="dxa"/>
              <w:right w:w="57" w:type="dxa"/>
            </w:tcMar>
            <w:vAlign w:val="center"/>
          </w:tcPr>
          <w:p>
            <w:pPr>
              <w:spacing w:line="360" w:lineRule="auto"/>
              <w:jc w:val="left"/>
              <w:rPr>
                <w:rFonts w:ascii="宋体" w:hAnsi="宋体"/>
                <w:sz w:val="22"/>
                <w:szCs w:val="22"/>
              </w:rPr>
            </w:pPr>
          </w:p>
        </w:tc>
        <w:tc>
          <w:tcPr>
            <w:tcW w:w="5437" w:type="dxa"/>
            <w:noWrap w:val="0"/>
            <w:tcMar>
              <w:top w:w="57" w:type="dxa"/>
              <w:left w:w="57" w:type="dxa"/>
              <w:bottom w:w="57" w:type="dxa"/>
              <w:right w:w="57" w:type="dxa"/>
            </w:tcMar>
            <w:vAlign w:val="center"/>
          </w:tcPr>
          <w:p>
            <w:pPr>
              <w:spacing w:line="360" w:lineRule="auto"/>
              <w:jc w:val="left"/>
              <w:rPr>
                <w:rFonts w:ascii="宋体" w:hAnsi="宋体"/>
                <w:sz w:val="22"/>
                <w:szCs w:val="22"/>
              </w:rPr>
            </w:pPr>
            <w:r>
              <w:rPr>
                <w:rFonts w:ascii="宋体" w:hAnsi="宋体"/>
                <w:sz w:val="22"/>
                <w:szCs w:val="22"/>
              </w:rPr>
              <w:t>各***主控大屏等（除“08运维项目”外各年份完成）</w:t>
            </w:r>
          </w:p>
        </w:tc>
      </w:tr>
    </w:tbl>
    <w:p>
      <w:pPr>
        <w:spacing w:line="360" w:lineRule="auto"/>
        <w:rPr>
          <w:rFonts w:ascii="宋体" w:hAnsi="宋体"/>
          <w:b/>
          <w:sz w:val="22"/>
          <w:szCs w:val="22"/>
        </w:rPr>
      </w:pPr>
      <w:bookmarkStart w:id="13" w:name="_Toc9972"/>
      <w:r>
        <w:rPr>
          <w:rFonts w:hint="eastAsia" w:ascii="宋体" w:hAnsi="宋体"/>
          <w:b/>
          <w:sz w:val="22"/>
          <w:szCs w:val="22"/>
        </w:rPr>
        <w:t>三、</w:t>
      </w:r>
      <w:r>
        <w:rPr>
          <w:rFonts w:ascii="宋体" w:hAnsi="宋体"/>
          <w:b/>
          <w:sz w:val="22"/>
          <w:szCs w:val="22"/>
        </w:rPr>
        <w:t>运维对象</w:t>
      </w:r>
      <w:bookmarkEnd w:id="13"/>
    </w:p>
    <w:p>
      <w:pPr>
        <w:spacing w:line="360" w:lineRule="auto"/>
        <w:ind w:firstLine="440" w:firstLineChars="200"/>
        <w:rPr>
          <w:rFonts w:ascii="宋体" w:hAnsi="宋体"/>
          <w:sz w:val="22"/>
          <w:szCs w:val="22"/>
        </w:rPr>
      </w:pPr>
      <w:r>
        <w:rPr>
          <w:rFonts w:ascii="宋体" w:hAnsi="宋体"/>
          <w:sz w:val="22"/>
          <w:szCs w:val="22"/>
        </w:rPr>
        <w:t>运维对象包括全区社会治安视频监控系统所包含的各项内容，具体包括前端设备、网络平台、硬件平台等几项内容。</w:t>
      </w:r>
    </w:p>
    <w:p>
      <w:pPr>
        <w:spacing w:line="360" w:lineRule="auto"/>
        <w:ind w:firstLine="440" w:firstLineChars="200"/>
        <w:rPr>
          <w:rFonts w:ascii="宋体" w:hAnsi="宋体"/>
          <w:sz w:val="22"/>
          <w:szCs w:val="22"/>
        </w:rPr>
      </w:pPr>
      <w:r>
        <w:rPr>
          <w:rFonts w:hint="eastAsia" w:ascii="宋体" w:hAnsi="宋体"/>
          <w:sz w:val="22"/>
          <w:szCs w:val="22"/>
        </w:rPr>
        <w:t>运营商</w:t>
      </w:r>
      <w:r>
        <w:rPr>
          <w:rFonts w:ascii="宋体" w:hAnsi="宋体"/>
          <w:sz w:val="22"/>
          <w:szCs w:val="22"/>
        </w:rPr>
        <w:t>光纤</w:t>
      </w:r>
      <w:r>
        <w:rPr>
          <w:rFonts w:hint="eastAsia" w:ascii="宋体" w:hAnsi="宋体"/>
          <w:sz w:val="22"/>
          <w:szCs w:val="22"/>
        </w:rPr>
        <w:t>等整个传输链路部分及</w:t>
      </w:r>
      <w:r>
        <w:rPr>
          <w:rFonts w:ascii="宋体" w:hAnsi="宋体"/>
          <w:sz w:val="22"/>
          <w:szCs w:val="22"/>
        </w:rPr>
        <w:t>软件平台、数据</w:t>
      </w:r>
      <w:r>
        <w:rPr>
          <w:rFonts w:hint="eastAsia" w:ascii="宋体" w:hAnsi="宋体"/>
          <w:sz w:val="22"/>
          <w:szCs w:val="22"/>
        </w:rPr>
        <w:t>不在此运维项目范围里面。</w:t>
      </w:r>
    </w:p>
    <w:p>
      <w:pPr>
        <w:spacing w:line="360" w:lineRule="auto"/>
        <w:ind w:firstLine="440" w:firstLineChars="200"/>
        <w:rPr>
          <w:rFonts w:ascii="宋体" w:hAnsi="宋体"/>
          <w:sz w:val="22"/>
          <w:szCs w:val="22"/>
        </w:rPr>
      </w:pPr>
      <w:r>
        <w:rPr>
          <w:rFonts w:ascii="宋体" w:hAnsi="宋体"/>
          <w:sz w:val="22"/>
          <w:szCs w:val="22"/>
        </w:rPr>
        <w:t>1、前端设备：是指前端网络高清摄像机、护罩、云台、支架及其它相关配套附件、立杆、电源等。</w:t>
      </w:r>
    </w:p>
    <w:p>
      <w:pPr>
        <w:spacing w:line="360" w:lineRule="auto"/>
        <w:ind w:firstLine="440" w:firstLineChars="200"/>
        <w:rPr>
          <w:rFonts w:ascii="宋体" w:hAnsi="宋体"/>
          <w:sz w:val="22"/>
          <w:szCs w:val="22"/>
        </w:rPr>
      </w:pPr>
      <w:r>
        <w:rPr>
          <w:rFonts w:ascii="宋体" w:hAnsi="宋体"/>
          <w:sz w:val="22"/>
          <w:szCs w:val="22"/>
        </w:rPr>
        <w:t>2、网络平台：是指为应用系统提供安全网络环境相关的网络设备，如光纤收发器、交换机、防火墙等。</w:t>
      </w:r>
      <w:r>
        <w:rPr>
          <w:rFonts w:hint="eastAsia" w:ascii="宋体" w:hAnsi="宋体"/>
          <w:sz w:val="22"/>
          <w:szCs w:val="22"/>
        </w:rPr>
        <w:t>（</w:t>
      </w:r>
      <w:r>
        <w:rPr>
          <w:rFonts w:ascii="宋体" w:hAnsi="宋体"/>
          <w:sz w:val="22"/>
          <w:szCs w:val="22"/>
        </w:rPr>
        <w:t>光纤</w:t>
      </w:r>
      <w:r>
        <w:rPr>
          <w:rFonts w:hint="eastAsia" w:ascii="宋体" w:hAnsi="宋体"/>
          <w:sz w:val="22"/>
          <w:szCs w:val="22"/>
        </w:rPr>
        <w:t>等整个传输链路部分不在此范围里面）</w:t>
      </w:r>
    </w:p>
    <w:p>
      <w:pPr>
        <w:spacing w:line="360" w:lineRule="auto"/>
        <w:ind w:firstLine="440" w:firstLineChars="200"/>
        <w:rPr>
          <w:rFonts w:ascii="宋体" w:hAnsi="宋体"/>
          <w:sz w:val="22"/>
          <w:szCs w:val="22"/>
        </w:rPr>
      </w:pPr>
      <w:r>
        <w:rPr>
          <w:rFonts w:ascii="宋体" w:hAnsi="宋体"/>
          <w:sz w:val="22"/>
          <w:szCs w:val="22"/>
        </w:rPr>
        <w:t>3、硬件平台：是指构成应用系统的计算机设备，如服务器等。</w:t>
      </w:r>
    </w:p>
    <w:p>
      <w:pPr>
        <w:spacing w:line="360" w:lineRule="auto"/>
        <w:rPr>
          <w:rFonts w:ascii="宋体" w:hAnsi="宋体"/>
          <w:b/>
          <w:sz w:val="22"/>
          <w:szCs w:val="22"/>
        </w:rPr>
      </w:pPr>
      <w:bookmarkStart w:id="14" w:name="_Toc19885"/>
      <w:r>
        <w:rPr>
          <w:rFonts w:hint="eastAsia" w:ascii="宋体" w:hAnsi="宋体"/>
          <w:b/>
          <w:sz w:val="22"/>
          <w:szCs w:val="22"/>
        </w:rPr>
        <w:t>四、</w:t>
      </w:r>
      <w:r>
        <w:rPr>
          <w:rFonts w:ascii="宋体" w:hAnsi="宋体"/>
          <w:b/>
          <w:sz w:val="22"/>
          <w:szCs w:val="22"/>
        </w:rPr>
        <w:t>设备清单</w:t>
      </w:r>
      <w:bookmarkEnd w:id="14"/>
    </w:p>
    <w:p>
      <w:pPr>
        <w:spacing w:line="360" w:lineRule="auto"/>
        <w:ind w:firstLine="2261" w:firstLineChars="1028"/>
        <w:rPr>
          <w:rFonts w:ascii="宋体" w:hAnsi="宋体"/>
          <w:b/>
          <w:sz w:val="22"/>
          <w:szCs w:val="22"/>
        </w:rPr>
      </w:pPr>
      <w:bookmarkStart w:id="15" w:name="_Toc23696"/>
      <w:r>
        <w:rPr>
          <w:rFonts w:hint="eastAsia" w:ascii="宋体" w:hAnsi="宋体"/>
          <w:b/>
          <w:sz w:val="22"/>
          <w:szCs w:val="22"/>
        </w:rPr>
        <w:t>（1）</w:t>
      </w:r>
      <w:r>
        <w:rPr>
          <w:rFonts w:ascii="宋体" w:hAnsi="宋体"/>
          <w:b/>
          <w:sz w:val="22"/>
          <w:szCs w:val="22"/>
        </w:rPr>
        <w:t xml:space="preserve"> 08运维项目（2015年建设完成）</w:t>
      </w:r>
      <w:bookmarkEnd w:id="15"/>
    </w:p>
    <w:tbl>
      <w:tblPr>
        <w:tblStyle w:val="52"/>
        <w:tblW w:w="9219" w:type="dxa"/>
        <w:jc w:val="center"/>
        <w:tblLayout w:type="fixed"/>
        <w:tblCellMar>
          <w:top w:w="0" w:type="dxa"/>
          <w:left w:w="0" w:type="dxa"/>
          <w:bottom w:w="0" w:type="dxa"/>
          <w:right w:w="0" w:type="dxa"/>
        </w:tblCellMar>
      </w:tblPr>
      <w:tblGrid>
        <w:gridCol w:w="669"/>
        <w:gridCol w:w="2992"/>
        <w:gridCol w:w="2183"/>
        <w:gridCol w:w="600"/>
        <w:gridCol w:w="600"/>
        <w:gridCol w:w="1221"/>
        <w:gridCol w:w="954"/>
      </w:tblGrid>
      <w:tr>
        <w:tblPrEx>
          <w:tblCellMar>
            <w:top w:w="0" w:type="dxa"/>
            <w:left w:w="0" w:type="dxa"/>
            <w:bottom w:w="0" w:type="dxa"/>
            <w:right w:w="0" w:type="dxa"/>
          </w:tblCellMar>
        </w:tblPrEx>
        <w:trPr>
          <w:tblHeader/>
          <w:jc w:val="center"/>
        </w:trPr>
        <w:tc>
          <w:tcPr>
            <w:tcW w:w="66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b/>
                <w:color w:val="000000"/>
                <w:sz w:val="22"/>
                <w:szCs w:val="22"/>
              </w:rPr>
            </w:pPr>
            <w:r>
              <w:rPr>
                <w:rStyle w:val="95"/>
                <w:rFonts w:hint="default" w:cs="Times New Roman"/>
                <w:sz w:val="22"/>
                <w:szCs w:val="22"/>
                <w:lang w:bidi="ar"/>
              </w:rPr>
              <w:t>序号</w:t>
            </w:r>
          </w:p>
        </w:tc>
        <w:tc>
          <w:tcPr>
            <w:tcW w:w="299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b/>
                <w:color w:val="000000"/>
                <w:sz w:val="22"/>
                <w:szCs w:val="22"/>
              </w:rPr>
            </w:pPr>
            <w:r>
              <w:rPr>
                <w:rStyle w:val="95"/>
                <w:rFonts w:hint="default" w:cs="Times New Roman"/>
                <w:sz w:val="22"/>
                <w:szCs w:val="22"/>
                <w:lang w:bidi="ar"/>
              </w:rPr>
              <w:t>设备名称</w:t>
            </w:r>
          </w:p>
        </w:tc>
        <w:tc>
          <w:tcPr>
            <w:tcW w:w="218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b/>
                <w:color w:val="000000"/>
                <w:sz w:val="22"/>
                <w:szCs w:val="22"/>
              </w:rPr>
            </w:pPr>
            <w:r>
              <w:rPr>
                <w:rStyle w:val="95"/>
                <w:rFonts w:hint="default" w:cs="Times New Roman"/>
                <w:sz w:val="22"/>
                <w:szCs w:val="22"/>
                <w:lang w:bidi="ar"/>
              </w:rPr>
              <w:t>型号</w:t>
            </w:r>
          </w:p>
        </w:tc>
        <w:tc>
          <w:tcPr>
            <w:tcW w:w="600"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b/>
                <w:color w:val="000000"/>
                <w:sz w:val="22"/>
                <w:szCs w:val="22"/>
              </w:rPr>
            </w:pPr>
            <w:r>
              <w:rPr>
                <w:rStyle w:val="95"/>
                <w:rFonts w:hint="default" w:cs="Times New Roman"/>
                <w:sz w:val="22"/>
                <w:szCs w:val="22"/>
                <w:lang w:bidi="ar"/>
              </w:rPr>
              <w:t>单位</w:t>
            </w:r>
          </w:p>
        </w:tc>
        <w:tc>
          <w:tcPr>
            <w:tcW w:w="600"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b/>
                <w:color w:val="000000"/>
                <w:sz w:val="22"/>
                <w:szCs w:val="22"/>
              </w:rPr>
            </w:pPr>
            <w:r>
              <w:rPr>
                <w:rStyle w:val="95"/>
                <w:rFonts w:hint="default" w:cs="Times New Roman"/>
                <w:sz w:val="22"/>
                <w:szCs w:val="22"/>
                <w:lang w:bidi="ar"/>
              </w:rPr>
              <w:t>数量</w:t>
            </w:r>
          </w:p>
        </w:tc>
        <w:tc>
          <w:tcPr>
            <w:tcW w:w="122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b/>
                <w:color w:val="000000"/>
                <w:sz w:val="22"/>
                <w:szCs w:val="22"/>
              </w:rPr>
            </w:pPr>
            <w:r>
              <w:rPr>
                <w:rStyle w:val="95"/>
                <w:rFonts w:hint="default" w:cs="Times New Roman"/>
                <w:sz w:val="22"/>
                <w:szCs w:val="22"/>
                <w:lang w:bidi="ar"/>
              </w:rPr>
              <w:t>品牌</w:t>
            </w:r>
          </w:p>
        </w:tc>
        <w:tc>
          <w:tcPr>
            <w:tcW w:w="954" w:type="dxa"/>
            <w:tcBorders>
              <w:top w:val="single" w:color="000000" w:sz="4" w:space="0"/>
              <w:left w:val="single" w:color="000000" w:sz="4" w:space="0"/>
              <w:bottom w:val="single" w:color="000000" w:sz="4" w:space="0"/>
              <w:right w:val="single" w:color="auto" w:sz="4" w:space="0"/>
            </w:tcBorders>
            <w:noWrap w:val="0"/>
            <w:tcMar>
              <w:top w:w="0" w:type="dxa"/>
              <w:left w:w="57" w:type="dxa"/>
              <w:right w:w="57" w:type="dxa"/>
            </w:tcMar>
            <w:vAlign w:val="center"/>
          </w:tcPr>
          <w:p>
            <w:pPr>
              <w:widowControl/>
              <w:spacing w:line="360" w:lineRule="auto"/>
              <w:jc w:val="center"/>
              <w:textAlignment w:val="center"/>
              <w:rPr>
                <w:rFonts w:ascii="宋体" w:hAnsi="宋体"/>
                <w:b/>
                <w:color w:val="000000"/>
                <w:sz w:val="22"/>
                <w:szCs w:val="22"/>
              </w:rPr>
            </w:pPr>
            <w:r>
              <w:rPr>
                <w:rStyle w:val="95"/>
                <w:rFonts w:hint="default" w:cs="Times New Roman"/>
                <w:sz w:val="22"/>
                <w:szCs w:val="22"/>
                <w:lang w:bidi="ar"/>
              </w:rPr>
              <w:t>备注</w:t>
            </w:r>
          </w:p>
        </w:tc>
      </w:tr>
      <w:tr>
        <w:tblPrEx>
          <w:tblCellMar>
            <w:top w:w="0" w:type="dxa"/>
            <w:left w:w="0" w:type="dxa"/>
            <w:bottom w:w="0" w:type="dxa"/>
            <w:right w:w="0" w:type="dxa"/>
          </w:tblCellMar>
        </w:tblPrEx>
        <w:trPr>
          <w:jc w:val="center"/>
        </w:trPr>
        <w:tc>
          <w:tcPr>
            <w:tcW w:w="9219" w:type="dxa"/>
            <w:gridSpan w:val="7"/>
            <w:tcBorders>
              <w:top w:val="single" w:color="000000" w:sz="4" w:space="0"/>
              <w:left w:val="single" w:color="000000" w:sz="4" w:space="0"/>
              <w:bottom w:val="single" w:color="000000" w:sz="4" w:space="0"/>
              <w:right w:val="single" w:color="auto" w:sz="4" w:space="0"/>
            </w:tcBorders>
            <w:noWrap/>
            <w:tcMar>
              <w:top w:w="15" w:type="dxa"/>
              <w:left w:w="57" w:type="dxa"/>
              <w:right w:w="57" w:type="dxa"/>
            </w:tcMar>
            <w:vAlign w:val="center"/>
          </w:tcPr>
          <w:p>
            <w:pPr>
              <w:widowControl/>
              <w:spacing w:line="360" w:lineRule="auto"/>
              <w:jc w:val="left"/>
              <w:textAlignment w:val="center"/>
              <w:rPr>
                <w:rFonts w:ascii="宋体" w:hAnsi="宋体"/>
                <w:b/>
                <w:color w:val="000000"/>
                <w:sz w:val="22"/>
                <w:szCs w:val="22"/>
              </w:rPr>
            </w:pPr>
            <w:r>
              <w:rPr>
                <w:rStyle w:val="95"/>
                <w:rFonts w:hint="default" w:cs="Times New Roman"/>
                <w:sz w:val="22"/>
                <w:szCs w:val="22"/>
                <w:lang w:bidi="ar"/>
              </w:rPr>
              <w:t>一、监控点前端设备</w:t>
            </w:r>
          </w:p>
        </w:tc>
      </w:tr>
      <w:tr>
        <w:tblPrEx>
          <w:tblCellMar>
            <w:top w:w="0" w:type="dxa"/>
            <w:left w:w="0" w:type="dxa"/>
            <w:bottom w:w="0" w:type="dxa"/>
            <w:right w:w="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w:t>
            </w:r>
          </w:p>
        </w:tc>
        <w:tc>
          <w:tcPr>
            <w:tcW w:w="2992"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室外130W高清宽动态网络枪机</w:t>
            </w:r>
          </w:p>
        </w:tc>
        <w:tc>
          <w:tcPr>
            <w:tcW w:w="2183"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DS-2CD4010SWD-A</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台</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199</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2</w:t>
            </w:r>
          </w:p>
        </w:tc>
        <w:tc>
          <w:tcPr>
            <w:tcW w:w="2992"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室外130W高清网络快球摄像机</w:t>
            </w:r>
          </w:p>
        </w:tc>
        <w:tc>
          <w:tcPr>
            <w:tcW w:w="2183"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DS-2DF513SP-A</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台</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781</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3</w:t>
            </w:r>
          </w:p>
        </w:tc>
        <w:tc>
          <w:tcPr>
            <w:tcW w:w="2992"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室外200W高清宽动态网络枪机</w:t>
            </w:r>
          </w:p>
        </w:tc>
        <w:tc>
          <w:tcPr>
            <w:tcW w:w="2183"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 xml:space="preserve">DS-2CD4026SP </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台</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10</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4</w:t>
            </w:r>
          </w:p>
        </w:tc>
        <w:tc>
          <w:tcPr>
            <w:tcW w:w="2992"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室外200W高清网络快球摄像机</w:t>
            </w:r>
          </w:p>
        </w:tc>
        <w:tc>
          <w:tcPr>
            <w:tcW w:w="2183"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DS-2DF62SP-A</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台</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10</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5</w:t>
            </w:r>
          </w:p>
        </w:tc>
        <w:tc>
          <w:tcPr>
            <w:tcW w:w="2992"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高清变焦镜头1</w:t>
            </w:r>
          </w:p>
        </w:tc>
        <w:tc>
          <w:tcPr>
            <w:tcW w:w="2183"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TV2712D-MPIR</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个</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199</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6</w:t>
            </w:r>
          </w:p>
        </w:tc>
        <w:tc>
          <w:tcPr>
            <w:tcW w:w="2992"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高清变焦镜头2</w:t>
            </w:r>
          </w:p>
        </w:tc>
        <w:tc>
          <w:tcPr>
            <w:tcW w:w="2183"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HV3816D-8MPIR</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个</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10</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7</w:t>
            </w:r>
          </w:p>
        </w:tc>
        <w:tc>
          <w:tcPr>
            <w:tcW w:w="2992"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枪机稳压电源</w:t>
            </w:r>
          </w:p>
        </w:tc>
        <w:tc>
          <w:tcPr>
            <w:tcW w:w="2183"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定制</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个</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209</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国产</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8</w:t>
            </w:r>
          </w:p>
        </w:tc>
        <w:tc>
          <w:tcPr>
            <w:tcW w:w="2992"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球机稳压电源</w:t>
            </w:r>
          </w:p>
        </w:tc>
        <w:tc>
          <w:tcPr>
            <w:tcW w:w="2183"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定制</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个</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791</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国产</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9</w:t>
            </w:r>
          </w:p>
        </w:tc>
        <w:tc>
          <w:tcPr>
            <w:tcW w:w="2992"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枪式摄像机护罩</w:t>
            </w:r>
          </w:p>
        </w:tc>
        <w:tc>
          <w:tcPr>
            <w:tcW w:w="2183"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DS-1322HZ-C</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只</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209</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10</w:t>
            </w:r>
          </w:p>
        </w:tc>
        <w:tc>
          <w:tcPr>
            <w:tcW w:w="2992"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枪式摄像机支架</w:t>
            </w:r>
          </w:p>
        </w:tc>
        <w:tc>
          <w:tcPr>
            <w:tcW w:w="2183"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DS-1212ZJ</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只</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209</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11</w:t>
            </w:r>
          </w:p>
        </w:tc>
        <w:tc>
          <w:tcPr>
            <w:tcW w:w="2992"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护罩安装万向节</w:t>
            </w:r>
          </w:p>
        </w:tc>
        <w:tc>
          <w:tcPr>
            <w:tcW w:w="2183"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DS-1232ZJ</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个</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209</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国产</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12</w:t>
            </w:r>
          </w:p>
        </w:tc>
        <w:tc>
          <w:tcPr>
            <w:tcW w:w="2992"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球形摄像机吊装支架</w:t>
            </w:r>
          </w:p>
        </w:tc>
        <w:tc>
          <w:tcPr>
            <w:tcW w:w="2183"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DS-1661ZJ</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个</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791</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国产</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13</w:t>
            </w:r>
          </w:p>
        </w:tc>
        <w:tc>
          <w:tcPr>
            <w:tcW w:w="2992"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空开漏电保护器</w:t>
            </w:r>
          </w:p>
        </w:tc>
        <w:tc>
          <w:tcPr>
            <w:tcW w:w="2183"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定制</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个</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1000</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国产</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14</w:t>
            </w:r>
          </w:p>
        </w:tc>
        <w:tc>
          <w:tcPr>
            <w:tcW w:w="2992"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前端设备总电源防浪涌保护器</w:t>
            </w:r>
          </w:p>
        </w:tc>
        <w:tc>
          <w:tcPr>
            <w:tcW w:w="2183"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KDY-20/320/2P</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套</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1000</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科佳</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15</w:t>
            </w:r>
          </w:p>
        </w:tc>
        <w:tc>
          <w:tcPr>
            <w:tcW w:w="2992"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前端[DC12V+RJ45]组合防浪涌避雷器</w:t>
            </w:r>
          </w:p>
        </w:tc>
        <w:tc>
          <w:tcPr>
            <w:tcW w:w="2183"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NKP-TEL-5C-2a</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套</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209</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科佳</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16</w:t>
            </w:r>
          </w:p>
        </w:tc>
        <w:tc>
          <w:tcPr>
            <w:tcW w:w="2992"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前端[AC24V+RJ45]组合防浪涌避雷器</w:t>
            </w:r>
          </w:p>
        </w:tc>
        <w:tc>
          <w:tcPr>
            <w:tcW w:w="2183"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NKP-TEL-5C-2a</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套</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791</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科佳</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17</w:t>
            </w:r>
          </w:p>
        </w:tc>
        <w:tc>
          <w:tcPr>
            <w:tcW w:w="2992"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光纤收发器（百兆带交换）</w:t>
            </w:r>
          </w:p>
        </w:tc>
        <w:tc>
          <w:tcPr>
            <w:tcW w:w="2183"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VDS312/3-SM(U)F-T/R</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对</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1000</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微迪</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18</w:t>
            </w:r>
          </w:p>
        </w:tc>
        <w:tc>
          <w:tcPr>
            <w:tcW w:w="2992"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前端设备连接线缆及钢管</w:t>
            </w:r>
          </w:p>
        </w:tc>
        <w:tc>
          <w:tcPr>
            <w:tcW w:w="2183"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定制</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点</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1000</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国产</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19</w:t>
            </w:r>
          </w:p>
        </w:tc>
        <w:tc>
          <w:tcPr>
            <w:tcW w:w="2992"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监控摄像机立杆</w:t>
            </w:r>
          </w:p>
        </w:tc>
        <w:tc>
          <w:tcPr>
            <w:tcW w:w="2183"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spacing w:line="360" w:lineRule="auto"/>
              <w:jc w:val="left"/>
              <w:rPr>
                <w:rFonts w:ascii="宋体" w:hAnsi="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根</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630</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国产</w:t>
            </w:r>
          </w:p>
        </w:tc>
        <w:tc>
          <w:tcPr>
            <w:tcW w:w="954"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20</w:t>
            </w:r>
          </w:p>
        </w:tc>
        <w:tc>
          <w:tcPr>
            <w:tcW w:w="2992"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监控摄像机立杆</w:t>
            </w:r>
          </w:p>
        </w:tc>
        <w:tc>
          <w:tcPr>
            <w:tcW w:w="2183"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spacing w:line="360" w:lineRule="auto"/>
              <w:jc w:val="left"/>
              <w:rPr>
                <w:rFonts w:ascii="宋体" w:hAnsi="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根</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207</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国产</w:t>
            </w:r>
          </w:p>
        </w:tc>
        <w:tc>
          <w:tcPr>
            <w:tcW w:w="954"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21</w:t>
            </w:r>
          </w:p>
        </w:tc>
        <w:tc>
          <w:tcPr>
            <w:tcW w:w="2992"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监控机箱</w:t>
            </w:r>
          </w:p>
        </w:tc>
        <w:tc>
          <w:tcPr>
            <w:tcW w:w="2183"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spacing w:line="360" w:lineRule="auto"/>
              <w:jc w:val="left"/>
              <w:rPr>
                <w:rFonts w:ascii="宋体" w:hAnsi="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只</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837</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国产</w:t>
            </w:r>
          </w:p>
        </w:tc>
        <w:tc>
          <w:tcPr>
            <w:tcW w:w="954"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22</w:t>
            </w:r>
          </w:p>
        </w:tc>
        <w:tc>
          <w:tcPr>
            <w:tcW w:w="2992"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摄像机立杆基础</w:t>
            </w:r>
          </w:p>
        </w:tc>
        <w:tc>
          <w:tcPr>
            <w:tcW w:w="2183"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spacing w:line="360" w:lineRule="auto"/>
              <w:jc w:val="left"/>
              <w:rPr>
                <w:rFonts w:ascii="宋体" w:hAnsi="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只</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837</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国产</w:t>
            </w:r>
          </w:p>
        </w:tc>
        <w:tc>
          <w:tcPr>
            <w:tcW w:w="954"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23</w:t>
            </w:r>
          </w:p>
        </w:tc>
        <w:tc>
          <w:tcPr>
            <w:tcW w:w="2992"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机箱基础</w:t>
            </w:r>
          </w:p>
        </w:tc>
        <w:tc>
          <w:tcPr>
            <w:tcW w:w="2183"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spacing w:line="360" w:lineRule="auto"/>
              <w:jc w:val="left"/>
              <w:rPr>
                <w:rFonts w:ascii="宋体" w:hAnsi="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只</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837</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国产</w:t>
            </w:r>
          </w:p>
        </w:tc>
        <w:tc>
          <w:tcPr>
            <w:tcW w:w="954" w:type="dxa"/>
            <w:tcBorders>
              <w:top w:val="single" w:color="000000" w:sz="4" w:space="0"/>
              <w:left w:val="single" w:color="000000" w:sz="4" w:space="0"/>
              <w:bottom w:val="single" w:color="000000" w:sz="4" w:space="0"/>
              <w:right w:val="single" w:color="auto"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9219" w:type="dxa"/>
            <w:gridSpan w:val="7"/>
            <w:tcBorders>
              <w:top w:val="single" w:color="000000" w:sz="4" w:space="0"/>
              <w:left w:val="single" w:color="000000" w:sz="4" w:space="0"/>
              <w:bottom w:val="single" w:color="000000" w:sz="4" w:space="0"/>
              <w:right w:val="single" w:color="auto" w:sz="4" w:space="0"/>
            </w:tcBorders>
            <w:noWrap/>
            <w:tcMar>
              <w:top w:w="15" w:type="dxa"/>
              <w:left w:w="57" w:type="dxa"/>
              <w:right w:w="57" w:type="dxa"/>
            </w:tcMar>
            <w:vAlign w:val="center"/>
          </w:tcPr>
          <w:p>
            <w:pPr>
              <w:widowControl/>
              <w:spacing w:line="360" w:lineRule="auto"/>
              <w:jc w:val="left"/>
              <w:textAlignment w:val="center"/>
              <w:rPr>
                <w:rFonts w:ascii="宋体" w:hAnsi="宋体"/>
                <w:b/>
                <w:color w:val="000000"/>
                <w:sz w:val="22"/>
                <w:szCs w:val="22"/>
              </w:rPr>
            </w:pPr>
            <w:r>
              <w:rPr>
                <w:rStyle w:val="95"/>
                <w:rFonts w:hint="default" w:cs="Times New Roman"/>
                <w:sz w:val="22"/>
                <w:szCs w:val="22"/>
                <w:lang w:bidi="ar"/>
              </w:rPr>
              <w:t>二、监控中心设备</w:t>
            </w:r>
          </w:p>
        </w:tc>
      </w:tr>
      <w:tr>
        <w:tblPrEx>
          <w:tblCellMar>
            <w:top w:w="0" w:type="dxa"/>
            <w:left w:w="0" w:type="dxa"/>
            <w:bottom w:w="0" w:type="dxa"/>
            <w:right w:w="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w:t>
            </w:r>
          </w:p>
        </w:tc>
        <w:tc>
          <w:tcPr>
            <w:tcW w:w="2992"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光收发集中插卡式机箱带电源</w:t>
            </w:r>
          </w:p>
        </w:tc>
        <w:tc>
          <w:tcPr>
            <w:tcW w:w="2183"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DV2150</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台</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69</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微迪</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2</w:t>
            </w:r>
          </w:p>
        </w:tc>
        <w:tc>
          <w:tcPr>
            <w:tcW w:w="2992"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接入交换机</w:t>
            </w:r>
          </w:p>
        </w:tc>
        <w:tc>
          <w:tcPr>
            <w:tcW w:w="2183"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LS-S3110-26TP</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台</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47</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H3C</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3</w:t>
            </w:r>
          </w:p>
        </w:tc>
        <w:tc>
          <w:tcPr>
            <w:tcW w:w="2992"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高清流媒体服务器</w:t>
            </w:r>
          </w:p>
        </w:tc>
        <w:tc>
          <w:tcPr>
            <w:tcW w:w="2183"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IS-VSE2326C-BBA</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台</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19</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4</w:t>
            </w:r>
          </w:p>
        </w:tc>
        <w:tc>
          <w:tcPr>
            <w:tcW w:w="2992"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服务器机柜（加深）</w:t>
            </w:r>
          </w:p>
        </w:tc>
        <w:tc>
          <w:tcPr>
            <w:tcW w:w="2183"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SNB6142增强型</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只</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8</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SAFEWELL</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5</w:t>
            </w:r>
          </w:p>
        </w:tc>
        <w:tc>
          <w:tcPr>
            <w:tcW w:w="2992"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光纤尾纤</w:t>
            </w:r>
          </w:p>
        </w:tc>
        <w:tc>
          <w:tcPr>
            <w:tcW w:w="2183"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FC/PC-FC/PC-15M-3.0</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根</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1000</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国产</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6</w:t>
            </w:r>
          </w:p>
        </w:tc>
        <w:tc>
          <w:tcPr>
            <w:tcW w:w="2992"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多用插座</w:t>
            </w:r>
          </w:p>
        </w:tc>
        <w:tc>
          <w:tcPr>
            <w:tcW w:w="2183"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GN-110</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只</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30</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公牛</w:t>
            </w:r>
          </w:p>
        </w:tc>
        <w:tc>
          <w:tcPr>
            <w:tcW w:w="954" w:type="dxa"/>
            <w:tcBorders>
              <w:top w:val="single" w:color="000000" w:sz="4" w:space="0"/>
              <w:left w:val="single" w:color="000000" w:sz="4" w:space="0"/>
              <w:bottom w:val="single" w:color="000000" w:sz="4" w:space="0"/>
              <w:right w:val="single" w:color="auto" w:sz="4" w:space="0"/>
            </w:tcBorders>
            <w:noWrap/>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9219" w:type="dxa"/>
            <w:gridSpan w:val="7"/>
            <w:tcBorders>
              <w:top w:val="single" w:color="000000" w:sz="4" w:space="0"/>
              <w:left w:val="single" w:color="000000" w:sz="4" w:space="0"/>
              <w:bottom w:val="single" w:color="000000" w:sz="4" w:space="0"/>
              <w:right w:val="single" w:color="auto" w:sz="4" w:space="0"/>
            </w:tcBorders>
            <w:noWrap/>
            <w:tcMar>
              <w:top w:w="15" w:type="dxa"/>
              <w:left w:w="57" w:type="dxa"/>
              <w:right w:w="57" w:type="dxa"/>
            </w:tcMar>
            <w:vAlign w:val="center"/>
          </w:tcPr>
          <w:p>
            <w:pPr>
              <w:widowControl/>
              <w:spacing w:line="360" w:lineRule="auto"/>
              <w:jc w:val="left"/>
              <w:textAlignment w:val="center"/>
              <w:rPr>
                <w:rFonts w:ascii="宋体" w:hAnsi="宋体"/>
                <w:b/>
                <w:color w:val="000000"/>
                <w:sz w:val="22"/>
                <w:szCs w:val="22"/>
              </w:rPr>
            </w:pPr>
            <w:r>
              <w:rPr>
                <w:rStyle w:val="95"/>
                <w:rFonts w:hint="default" w:cs="Times New Roman"/>
                <w:sz w:val="22"/>
                <w:szCs w:val="22"/>
                <w:lang w:bidi="ar"/>
              </w:rPr>
              <w:t>三、</w:t>
            </w:r>
            <w:r>
              <w:rPr>
                <w:rStyle w:val="161"/>
                <w:rFonts w:ascii="宋体" w:hAnsi="宋体"/>
                <w:sz w:val="22"/>
                <w:szCs w:val="22"/>
                <w:lang w:bidi="ar"/>
              </w:rPr>
              <w:t>110</w:t>
            </w:r>
            <w:r>
              <w:rPr>
                <w:rStyle w:val="95"/>
                <w:rFonts w:hint="default" w:cs="Times New Roman"/>
                <w:sz w:val="22"/>
                <w:szCs w:val="22"/>
                <w:lang w:bidi="ar"/>
              </w:rPr>
              <w:t>指挥中心大屏设备</w:t>
            </w:r>
          </w:p>
        </w:tc>
      </w:tr>
      <w:tr>
        <w:tblPrEx>
          <w:tblCellMar>
            <w:top w:w="0" w:type="dxa"/>
            <w:left w:w="0" w:type="dxa"/>
            <w:bottom w:w="0" w:type="dxa"/>
            <w:right w:w="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w:t>
            </w:r>
          </w:p>
        </w:tc>
        <w:tc>
          <w:tcPr>
            <w:tcW w:w="2992"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DLP投影显示单元</w:t>
            </w:r>
          </w:p>
        </w:tc>
        <w:tc>
          <w:tcPr>
            <w:tcW w:w="2183"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E-SX505(玻璃复合幕)（内含VTRON Visionpro系列投影机控制模块嵌入式软件V2.0 [简称：投影机控制软件]）</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套</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 xml:space="preserve">18 </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VTRON</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2</w:t>
            </w:r>
          </w:p>
        </w:tc>
        <w:tc>
          <w:tcPr>
            <w:tcW w:w="2992"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显示单元底座</w:t>
            </w:r>
          </w:p>
        </w:tc>
        <w:tc>
          <w:tcPr>
            <w:tcW w:w="2183"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BE05030-1000</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套</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 xml:space="preserve">6 </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VTRON</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3</w:t>
            </w:r>
          </w:p>
        </w:tc>
        <w:tc>
          <w:tcPr>
            <w:tcW w:w="2992"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图像拼接控制器</w:t>
            </w:r>
          </w:p>
        </w:tc>
        <w:tc>
          <w:tcPr>
            <w:tcW w:w="2183"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Digicom HC3000（内含VTRON HC系列多屏处理器拼接处理嵌入式软件V1.0[简称：HC拼接处理软件]）[中文版,输出-21路DVI(3x7)、输入-36路(12路DVI,24路HDMI(1080p),)]附明细</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套</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 xml:space="preserve">1 </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VTRON</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4</w:t>
            </w:r>
          </w:p>
        </w:tc>
        <w:tc>
          <w:tcPr>
            <w:tcW w:w="2992"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数字拼接应用管理系统</w:t>
            </w:r>
          </w:p>
        </w:tc>
        <w:tc>
          <w:tcPr>
            <w:tcW w:w="2183"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V6.0</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套</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 xml:space="preserve">1 </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VTRON</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5</w:t>
            </w:r>
          </w:p>
        </w:tc>
        <w:tc>
          <w:tcPr>
            <w:tcW w:w="2992"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专用线缆</w:t>
            </w:r>
          </w:p>
        </w:tc>
        <w:tc>
          <w:tcPr>
            <w:tcW w:w="2183"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拼接墙系统信号接入线缆(DVI)</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套</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 xml:space="preserve">18 </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VTRON</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6</w:t>
            </w:r>
          </w:p>
        </w:tc>
        <w:tc>
          <w:tcPr>
            <w:tcW w:w="2992"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LED显示屏</w:t>
            </w:r>
          </w:p>
        </w:tc>
        <w:tc>
          <w:tcPr>
            <w:tcW w:w="2183"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LED02</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平方</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 xml:space="preserve">9.4 </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卓光</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7</w:t>
            </w:r>
          </w:p>
        </w:tc>
        <w:tc>
          <w:tcPr>
            <w:tcW w:w="2992"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LED控制系统及相关软件</w:t>
            </w:r>
          </w:p>
        </w:tc>
        <w:tc>
          <w:tcPr>
            <w:tcW w:w="2183"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定制</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套</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 xml:space="preserve">1 </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卓光</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8</w:t>
            </w:r>
          </w:p>
        </w:tc>
        <w:tc>
          <w:tcPr>
            <w:tcW w:w="2992"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控制管理电脑</w:t>
            </w:r>
          </w:p>
        </w:tc>
        <w:tc>
          <w:tcPr>
            <w:tcW w:w="2183"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DELL  3020MT</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台</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 xml:space="preserve">1 </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DELL</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hint="eastAsia" w:ascii="宋体" w:hAnsi="宋体"/>
                <w:color w:val="000000"/>
                <w:kern w:val="0"/>
                <w:sz w:val="22"/>
                <w:szCs w:val="22"/>
                <w:lang w:bidi="ar"/>
              </w:rPr>
              <w:t>9</w:t>
            </w:r>
          </w:p>
        </w:tc>
        <w:tc>
          <w:tcPr>
            <w:tcW w:w="2992"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主控机箱（含电源适配器、风扇等）</w:t>
            </w:r>
          </w:p>
        </w:tc>
        <w:tc>
          <w:tcPr>
            <w:tcW w:w="2183"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DS-B20-STA</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台</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 xml:space="preserve">1 </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hint="eastAsia" w:ascii="宋体" w:hAnsi="宋体"/>
                <w:color w:val="000000"/>
                <w:kern w:val="0"/>
                <w:sz w:val="22"/>
                <w:szCs w:val="22"/>
                <w:lang w:bidi="ar"/>
              </w:rPr>
              <w:t>10</w:t>
            </w:r>
          </w:p>
        </w:tc>
        <w:tc>
          <w:tcPr>
            <w:tcW w:w="2992"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网络接入主控系统</w:t>
            </w:r>
          </w:p>
        </w:tc>
        <w:tc>
          <w:tcPr>
            <w:tcW w:w="2183"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DS-B20-MCU-NP</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块</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 xml:space="preserve">2 </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hint="eastAsia" w:ascii="宋体" w:hAnsi="宋体"/>
                <w:color w:val="000000"/>
                <w:kern w:val="0"/>
                <w:sz w:val="22"/>
                <w:szCs w:val="22"/>
                <w:lang w:bidi="ar"/>
              </w:rPr>
              <w:t>11</w:t>
            </w:r>
          </w:p>
        </w:tc>
        <w:tc>
          <w:tcPr>
            <w:tcW w:w="2992"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高清解码系统</w:t>
            </w:r>
          </w:p>
        </w:tc>
        <w:tc>
          <w:tcPr>
            <w:tcW w:w="2183"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DS-6532HD-B20D</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块</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 xml:space="preserve">3 </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hint="eastAsia" w:ascii="宋体" w:hAnsi="宋体"/>
                <w:color w:val="000000"/>
                <w:kern w:val="0"/>
                <w:sz w:val="22"/>
                <w:szCs w:val="22"/>
                <w:lang w:bidi="ar"/>
              </w:rPr>
              <w:t>12</w:t>
            </w:r>
          </w:p>
        </w:tc>
        <w:tc>
          <w:tcPr>
            <w:tcW w:w="2992"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BNC输入板</w:t>
            </w:r>
          </w:p>
        </w:tc>
        <w:tc>
          <w:tcPr>
            <w:tcW w:w="2183"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DS-6432HF-B20B</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块</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 xml:space="preserve">1 </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hint="eastAsia" w:ascii="宋体" w:hAnsi="宋体"/>
                <w:color w:val="000000"/>
                <w:kern w:val="0"/>
                <w:sz w:val="22"/>
                <w:szCs w:val="22"/>
                <w:lang w:bidi="ar"/>
              </w:rPr>
              <w:t>13</w:t>
            </w:r>
          </w:p>
        </w:tc>
        <w:tc>
          <w:tcPr>
            <w:tcW w:w="2992"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BNC输出板</w:t>
            </w:r>
          </w:p>
        </w:tc>
        <w:tc>
          <w:tcPr>
            <w:tcW w:w="2183"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DS-6532HD-B20B</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块</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 xml:space="preserve">1 </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hint="eastAsia" w:ascii="宋体" w:hAnsi="宋体"/>
                <w:color w:val="000000"/>
                <w:kern w:val="0"/>
                <w:sz w:val="22"/>
                <w:szCs w:val="22"/>
                <w:lang w:bidi="ar"/>
              </w:rPr>
              <w:t>14</w:t>
            </w:r>
          </w:p>
        </w:tc>
        <w:tc>
          <w:tcPr>
            <w:tcW w:w="2992"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服务器板</w:t>
            </w:r>
          </w:p>
        </w:tc>
        <w:tc>
          <w:tcPr>
            <w:tcW w:w="2183"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DS-iVMSE-B20HW</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块</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 xml:space="preserve">1 </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hint="eastAsia" w:ascii="宋体" w:hAnsi="宋体"/>
                <w:color w:val="000000"/>
                <w:kern w:val="0"/>
                <w:sz w:val="22"/>
                <w:szCs w:val="22"/>
                <w:lang w:bidi="ar"/>
              </w:rPr>
              <w:t>15</w:t>
            </w:r>
          </w:p>
        </w:tc>
        <w:tc>
          <w:tcPr>
            <w:tcW w:w="2992"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联网控制器</w:t>
            </w:r>
          </w:p>
        </w:tc>
        <w:tc>
          <w:tcPr>
            <w:tcW w:w="2183"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DS-1808N</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块</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 xml:space="preserve">1 </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hint="eastAsia" w:ascii="宋体" w:hAnsi="宋体"/>
                <w:color w:val="000000"/>
                <w:kern w:val="0"/>
                <w:sz w:val="22"/>
                <w:szCs w:val="22"/>
                <w:lang w:bidi="ar"/>
              </w:rPr>
              <w:t>16</w:t>
            </w:r>
          </w:p>
        </w:tc>
        <w:tc>
          <w:tcPr>
            <w:tcW w:w="2992"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控制键盘（主控/分控）</w:t>
            </w:r>
          </w:p>
        </w:tc>
        <w:tc>
          <w:tcPr>
            <w:tcW w:w="2183"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DS-1600K</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台</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 xml:space="preserve">2 </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hint="eastAsia" w:ascii="宋体" w:hAnsi="宋体"/>
                <w:color w:val="000000"/>
                <w:kern w:val="0"/>
                <w:sz w:val="22"/>
                <w:szCs w:val="22"/>
                <w:lang w:bidi="ar"/>
              </w:rPr>
              <w:t>17</w:t>
            </w:r>
          </w:p>
        </w:tc>
        <w:tc>
          <w:tcPr>
            <w:tcW w:w="2992"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与市局联网网关软件</w:t>
            </w:r>
          </w:p>
        </w:tc>
        <w:tc>
          <w:tcPr>
            <w:tcW w:w="2183"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iVMS-8200</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套</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 xml:space="preserve">1 </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4" w:type="dxa"/>
            <w:tcBorders>
              <w:top w:val="single" w:color="000000" w:sz="4" w:space="0"/>
              <w:left w:val="single" w:color="000000" w:sz="4" w:space="0"/>
              <w:bottom w:val="single" w:color="000000" w:sz="4" w:space="0"/>
              <w:right w:val="single" w:color="auto" w:sz="4" w:space="0"/>
            </w:tcBorders>
            <w:noWrap/>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9219" w:type="dxa"/>
            <w:gridSpan w:val="7"/>
            <w:tcBorders>
              <w:top w:val="single" w:color="000000" w:sz="4" w:space="0"/>
              <w:left w:val="single" w:color="000000" w:sz="4" w:space="0"/>
              <w:bottom w:val="single" w:color="000000" w:sz="4" w:space="0"/>
              <w:right w:val="single" w:color="auto" w:sz="4" w:space="0"/>
            </w:tcBorders>
            <w:noWrap/>
            <w:tcMar>
              <w:top w:w="15" w:type="dxa"/>
              <w:left w:w="57" w:type="dxa"/>
              <w:right w:w="57" w:type="dxa"/>
            </w:tcMar>
            <w:vAlign w:val="center"/>
          </w:tcPr>
          <w:p>
            <w:pPr>
              <w:widowControl/>
              <w:spacing w:line="360" w:lineRule="auto"/>
              <w:jc w:val="left"/>
              <w:textAlignment w:val="center"/>
              <w:rPr>
                <w:rFonts w:ascii="宋体" w:hAnsi="宋体"/>
                <w:b/>
                <w:color w:val="000000"/>
                <w:sz w:val="22"/>
                <w:szCs w:val="22"/>
              </w:rPr>
            </w:pPr>
            <w:r>
              <w:rPr>
                <w:rStyle w:val="95"/>
                <w:rFonts w:hint="default" w:cs="Times New Roman"/>
                <w:sz w:val="22"/>
                <w:szCs w:val="22"/>
                <w:lang w:bidi="ar"/>
              </w:rPr>
              <w:t>五、中心其它设备</w:t>
            </w:r>
          </w:p>
        </w:tc>
      </w:tr>
      <w:tr>
        <w:tblPrEx>
          <w:tblCellMar>
            <w:top w:w="0" w:type="dxa"/>
            <w:left w:w="0" w:type="dxa"/>
            <w:bottom w:w="0" w:type="dxa"/>
            <w:right w:w="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w:t>
            </w:r>
          </w:p>
        </w:tc>
        <w:tc>
          <w:tcPr>
            <w:tcW w:w="2992"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数字终端工作电脑</w:t>
            </w:r>
          </w:p>
        </w:tc>
        <w:tc>
          <w:tcPr>
            <w:tcW w:w="2183"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DELL  3020MT+</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台</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8</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DELL</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669"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2</w:t>
            </w:r>
          </w:p>
        </w:tc>
        <w:tc>
          <w:tcPr>
            <w:tcW w:w="2992"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网络交换机</w:t>
            </w:r>
          </w:p>
        </w:tc>
        <w:tc>
          <w:tcPr>
            <w:tcW w:w="2183"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LS-S3110-26TP</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台</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H3C</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bookmarkEnd w:id="11"/>
      <w:bookmarkEnd w:id="12"/>
    </w:tbl>
    <w:p>
      <w:pPr>
        <w:spacing w:line="360" w:lineRule="auto"/>
        <w:ind w:firstLine="2261" w:firstLineChars="1028"/>
        <w:rPr>
          <w:rFonts w:hint="eastAsia" w:ascii="宋体" w:hAnsi="宋体"/>
          <w:b/>
          <w:sz w:val="22"/>
          <w:szCs w:val="22"/>
        </w:rPr>
      </w:pPr>
      <w:bookmarkStart w:id="16" w:name="_Toc6190"/>
    </w:p>
    <w:p>
      <w:pPr>
        <w:spacing w:line="360" w:lineRule="auto"/>
        <w:ind w:firstLine="2261" w:firstLineChars="1028"/>
        <w:rPr>
          <w:rFonts w:hint="eastAsia" w:ascii="宋体" w:hAnsi="宋体"/>
          <w:b/>
          <w:sz w:val="22"/>
          <w:szCs w:val="22"/>
        </w:rPr>
      </w:pPr>
    </w:p>
    <w:p>
      <w:pPr>
        <w:spacing w:line="360" w:lineRule="auto"/>
        <w:ind w:firstLine="2261" w:firstLineChars="1028"/>
        <w:rPr>
          <w:rFonts w:ascii="宋体" w:hAnsi="宋体"/>
          <w:b/>
          <w:sz w:val="22"/>
          <w:szCs w:val="22"/>
        </w:rPr>
      </w:pPr>
      <w:r>
        <w:rPr>
          <w:rFonts w:hint="eastAsia" w:ascii="宋体" w:hAnsi="宋体"/>
          <w:b/>
          <w:sz w:val="22"/>
          <w:szCs w:val="22"/>
        </w:rPr>
        <w:t>（2）</w:t>
      </w:r>
      <w:r>
        <w:rPr>
          <w:rFonts w:ascii="宋体" w:hAnsi="宋体"/>
          <w:b/>
          <w:sz w:val="22"/>
          <w:szCs w:val="22"/>
        </w:rPr>
        <w:t>各***主控大屏等（除“08运维项目”外各年份完成）</w:t>
      </w:r>
      <w:bookmarkEnd w:id="16"/>
    </w:p>
    <w:tbl>
      <w:tblPr>
        <w:tblStyle w:val="52"/>
        <w:tblW w:w="9271" w:type="dxa"/>
        <w:jc w:val="center"/>
        <w:tblLayout w:type="fixed"/>
        <w:tblCellMar>
          <w:top w:w="0" w:type="dxa"/>
          <w:left w:w="0" w:type="dxa"/>
          <w:bottom w:w="0" w:type="dxa"/>
          <w:right w:w="0" w:type="dxa"/>
        </w:tblCellMar>
      </w:tblPr>
      <w:tblGrid>
        <w:gridCol w:w="724"/>
        <w:gridCol w:w="2673"/>
        <w:gridCol w:w="2501"/>
        <w:gridCol w:w="599"/>
        <w:gridCol w:w="599"/>
        <w:gridCol w:w="1223"/>
        <w:gridCol w:w="952"/>
      </w:tblGrid>
      <w:tr>
        <w:tblPrEx>
          <w:tblCellMar>
            <w:top w:w="0" w:type="dxa"/>
            <w:left w:w="0" w:type="dxa"/>
            <w:bottom w:w="0" w:type="dxa"/>
            <w:right w:w="0" w:type="dxa"/>
          </w:tblCellMar>
        </w:tblPrEx>
        <w:trPr>
          <w:tblHeader/>
          <w:jc w:val="center"/>
        </w:trPr>
        <w:tc>
          <w:tcPr>
            <w:tcW w:w="724" w:type="dxa"/>
            <w:tcBorders>
              <w:top w:val="single" w:color="000000" w:sz="4" w:space="0"/>
              <w:left w:val="single" w:color="000000" w:sz="4" w:space="0"/>
              <w:bottom w:val="single" w:color="auto"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b/>
                <w:color w:val="000000"/>
                <w:sz w:val="22"/>
                <w:szCs w:val="22"/>
              </w:rPr>
            </w:pPr>
            <w:r>
              <w:rPr>
                <w:rStyle w:val="166"/>
                <w:rFonts w:hint="default"/>
                <w:sz w:val="22"/>
                <w:szCs w:val="22"/>
                <w:lang w:bidi="ar"/>
              </w:rPr>
              <w:t>序号</w:t>
            </w:r>
          </w:p>
        </w:tc>
        <w:tc>
          <w:tcPr>
            <w:tcW w:w="2673" w:type="dxa"/>
            <w:tcBorders>
              <w:top w:val="single" w:color="000000" w:sz="4" w:space="0"/>
              <w:left w:val="single" w:color="000000" w:sz="4" w:space="0"/>
              <w:bottom w:val="single" w:color="auto"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b/>
                <w:color w:val="000000"/>
                <w:sz w:val="22"/>
                <w:szCs w:val="22"/>
              </w:rPr>
            </w:pPr>
            <w:r>
              <w:rPr>
                <w:rStyle w:val="166"/>
                <w:rFonts w:hint="default"/>
                <w:sz w:val="22"/>
                <w:szCs w:val="22"/>
                <w:lang w:bidi="ar"/>
              </w:rPr>
              <w:t>设备名称</w:t>
            </w:r>
          </w:p>
        </w:tc>
        <w:tc>
          <w:tcPr>
            <w:tcW w:w="2501" w:type="dxa"/>
            <w:tcBorders>
              <w:top w:val="single" w:color="000000" w:sz="4" w:space="0"/>
              <w:left w:val="single" w:color="000000" w:sz="4" w:space="0"/>
              <w:bottom w:val="single" w:color="auto"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b/>
                <w:color w:val="000000"/>
                <w:sz w:val="22"/>
                <w:szCs w:val="22"/>
              </w:rPr>
            </w:pPr>
            <w:r>
              <w:rPr>
                <w:rStyle w:val="166"/>
                <w:rFonts w:hint="default"/>
                <w:sz w:val="22"/>
                <w:szCs w:val="22"/>
                <w:lang w:bidi="ar"/>
              </w:rPr>
              <w:t>型号</w:t>
            </w:r>
          </w:p>
        </w:tc>
        <w:tc>
          <w:tcPr>
            <w:tcW w:w="599" w:type="dxa"/>
            <w:tcBorders>
              <w:top w:val="single" w:color="000000" w:sz="4" w:space="0"/>
              <w:left w:val="single" w:color="000000" w:sz="4" w:space="0"/>
              <w:bottom w:val="single" w:color="auto"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b/>
                <w:color w:val="000000"/>
                <w:sz w:val="22"/>
                <w:szCs w:val="22"/>
              </w:rPr>
            </w:pPr>
            <w:r>
              <w:rPr>
                <w:rStyle w:val="166"/>
                <w:rFonts w:hint="default"/>
                <w:sz w:val="22"/>
                <w:szCs w:val="22"/>
                <w:lang w:bidi="ar"/>
              </w:rPr>
              <w:t>单位</w:t>
            </w:r>
          </w:p>
        </w:tc>
        <w:tc>
          <w:tcPr>
            <w:tcW w:w="599" w:type="dxa"/>
            <w:tcBorders>
              <w:top w:val="single" w:color="000000" w:sz="4" w:space="0"/>
              <w:left w:val="single" w:color="000000" w:sz="4" w:space="0"/>
              <w:bottom w:val="single" w:color="auto"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b/>
                <w:color w:val="000000"/>
                <w:sz w:val="22"/>
                <w:szCs w:val="22"/>
              </w:rPr>
            </w:pPr>
            <w:r>
              <w:rPr>
                <w:rStyle w:val="166"/>
                <w:rFonts w:hint="default"/>
                <w:sz w:val="22"/>
                <w:szCs w:val="22"/>
                <w:lang w:bidi="ar"/>
              </w:rPr>
              <w:t>数量</w:t>
            </w:r>
          </w:p>
        </w:tc>
        <w:tc>
          <w:tcPr>
            <w:tcW w:w="1223" w:type="dxa"/>
            <w:tcBorders>
              <w:top w:val="single" w:color="000000" w:sz="4" w:space="0"/>
              <w:left w:val="single" w:color="000000" w:sz="4" w:space="0"/>
              <w:bottom w:val="single" w:color="auto"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b/>
                <w:color w:val="000000"/>
                <w:sz w:val="22"/>
                <w:szCs w:val="22"/>
              </w:rPr>
            </w:pPr>
            <w:r>
              <w:rPr>
                <w:rStyle w:val="166"/>
                <w:rFonts w:hint="default"/>
                <w:sz w:val="22"/>
                <w:szCs w:val="22"/>
                <w:lang w:bidi="ar"/>
              </w:rPr>
              <w:t>品牌</w:t>
            </w:r>
          </w:p>
        </w:tc>
        <w:tc>
          <w:tcPr>
            <w:tcW w:w="952" w:type="dxa"/>
            <w:tcBorders>
              <w:top w:val="single" w:color="000000" w:sz="4" w:space="0"/>
              <w:left w:val="single" w:color="000000" w:sz="4" w:space="0"/>
              <w:bottom w:val="single" w:color="auto" w:sz="4" w:space="0"/>
              <w:right w:val="single" w:color="auto" w:sz="4" w:space="0"/>
            </w:tcBorders>
            <w:noWrap w:val="0"/>
            <w:tcMar>
              <w:top w:w="0" w:type="dxa"/>
              <w:left w:w="57" w:type="dxa"/>
              <w:right w:w="57" w:type="dxa"/>
            </w:tcMar>
            <w:vAlign w:val="center"/>
          </w:tcPr>
          <w:p>
            <w:pPr>
              <w:widowControl/>
              <w:spacing w:line="360" w:lineRule="auto"/>
              <w:jc w:val="center"/>
              <w:textAlignment w:val="center"/>
              <w:rPr>
                <w:rFonts w:ascii="宋体" w:hAnsi="宋体"/>
                <w:b/>
                <w:color w:val="000000"/>
                <w:sz w:val="22"/>
                <w:szCs w:val="22"/>
              </w:rPr>
            </w:pPr>
            <w:r>
              <w:rPr>
                <w:rStyle w:val="166"/>
                <w:rFonts w:hint="default"/>
                <w:sz w:val="22"/>
                <w:szCs w:val="22"/>
                <w:lang w:bidi="ar"/>
              </w:rPr>
              <w:t>备注</w:t>
            </w:r>
          </w:p>
        </w:tc>
      </w:tr>
      <w:tr>
        <w:tblPrEx>
          <w:tblCellMar>
            <w:top w:w="0" w:type="dxa"/>
            <w:left w:w="0" w:type="dxa"/>
            <w:bottom w:w="0" w:type="dxa"/>
            <w:right w:w="0" w:type="dxa"/>
          </w:tblCellMar>
        </w:tblPrEx>
        <w:trPr>
          <w:jc w:val="center"/>
        </w:trPr>
        <w:tc>
          <w:tcPr>
            <w:tcW w:w="9271" w:type="dxa"/>
            <w:gridSpan w:val="7"/>
            <w:tcBorders>
              <w:top w:val="single" w:color="auto" w:sz="4" w:space="0"/>
              <w:left w:val="single" w:color="000000" w:sz="4" w:space="0"/>
              <w:bottom w:val="single" w:color="000000" w:sz="4" w:space="0"/>
              <w:right w:val="single" w:color="auto" w:sz="4" w:space="0"/>
            </w:tcBorders>
            <w:noWrap/>
            <w:tcMar>
              <w:top w:w="0" w:type="dxa"/>
              <w:left w:w="57" w:type="dxa"/>
              <w:right w:w="57" w:type="dxa"/>
            </w:tcMar>
            <w:vAlign w:val="center"/>
          </w:tcPr>
          <w:p>
            <w:pPr>
              <w:widowControl/>
              <w:spacing w:line="360" w:lineRule="auto"/>
              <w:jc w:val="left"/>
              <w:textAlignment w:val="center"/>
              <w:rPr>
                <w:rFonts w:ascii="宋体" w:hAnsi="宋体"/>
                <w:b/>
                <w:color w:val="000000"/>
                <w:sz w:val="22"/>
                <w:szCs w:val="22"/>
              </w:rPr>
            </w:pPr>
            <w:r>
              <w:rPr>
                <w:rStyle w:val="166"/>
                <w:rFonts w:hint="default"/>
                <w:sz w:val="22"/>
                <w:szCs w:val="22"/>
                <w:lang w:bidi="ar"/>
              </w:rPr>
              <w:t>一、招宝山***</w:t>
            </w:r>
          </w:p>
        </w:tc>
      </w:tr>
      <w:tr>
        <w:tblPrEx>
          <w:tblCellMar>
            <w:top w:w="0" w:type="dxa"/>
            <w:left w:w="0" w:type="dxa"/>
            <w:bottom w:w="0" w:type="dxa"/>
            <w:right w:w="0" w:type="dxa"/>
          </w:tblCellMar>
        </w:tblPrEx>
        <w:trPr>
          <w:jc w:val="center"/>
        </w:trPr>
        <w:tc>
          <w:tcPr>
            <w:tcW w:w="9271" w:type="dxa"/>
            <w:gridSpan w:val="7"/>
            <w:tcBorders>
              <w:top w:val="single" w:color="000000" w:sz="4" w:space="0"/>
              <w:left w:val="single" w:color="000000" w:sz="4" w:space="0"/>
              <w:bottom w:val="single" w:color="000000" w:sz="4" w:space="0"/>
              <w:right w:val="single" w:color="auto" w:sz="4" w:space="0"/>
            </w:tcBorders>
            <w:noWrap/>
            <w:tcMar>
              <w:top w:w="0" w:type="dxa"/>
              <w:left w:w="57" w:type="dxa"/>
              <w:right w:w="57" w:type="dxa"/>
            </w:tcMar>
            <w:vAlign w:val="center"/>
          </w:tcPr>
          <w:p>
            <w:pPr>
              <w:widowControl/>
              <w:spacing w:line="360" w:lineRule="auto"/>
              <w:jc w:val="center"/>
              <w:textAlignment w:val="center"/>
              <w:rPr>
                <w:rFonts w:ascii="宋体" w:hAnsi="宋体"/>
                <w:b/>
                <w:color w:val="000000"/>
                <w:sz w:val="22"/>
                <w:szCs w:val="22"/>
              </w:rPr>
            </w:pPr>
            <w:r>
              <w:rPr>
                <w:rStyle w:val="166"/>
                <w:rFonts w:hint="default"/>
                <w:sz w:val="22"/>
                <w:szCs w:val="22"/>
                <w:lang w:bidi="ar"/>
              </w:rPr>
              <w:t>（一）主控及大屏</w:t>
            </w: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主控机箱（含电源适配器、风扇等）</w:t>
            </w:r>
          </w:p>
        </w:tc>
        <w:tc>
          <w:tcPr>
            <w:tcW w:w="2501"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DS-B20-STA</w:t>
            </w:r>
          </w:p>
        </w:tc>
        <w:tc>
          <w:tcPr>
            <w:tcW w:w="599"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台</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2" w:type="dxa"/>
            <w:tcBorders>
              <w:top w:val="single" w:color="000000" w:sz="4" w:space="0"/>
              <w:left w:val="single" w:color="000000" w:sz="4" w:space="0"/>
              <w:bottom w:val="single" w:color="000000" w:sz="4" w:space="0"/>
              <w:right w:val="single" w:color="auto"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2</w:t>
            </w:r>
          </w:p>
        </w:tc>
        <w:tc>
          <w:tcPr>
            <w:tcW w:w="2673"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网络接入主控系统</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DS-B20-MCU-NP</w:t>
            </w:r>
          </w:p>
        </w:tc>
        <w:tc>
          <w:tcPr>
            <w:tcW w:w="599"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块</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2</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2"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3</w:t>
            </w:r>
          </w:p>
        </w:tc>
        <w:tc>
          <w:tcPr>
            <w:tcW w:w="2673"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高清解码系统</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DS-6532D-B20WD</w:t>
            </w:r>
          </w:p>
        </w:tc>
        <w:tc>
          <w:tcPr>
            <w:tcW w:w="599"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块</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2</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2"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4</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控制键盘（主控/分控）</w:t>
            </w:r>
          </w:p>
        </w:tc>
        <w:tc>
          <w:tcPr>
            <w:tcW w:w="2501"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DS-1100K</w:t>
            </w:r>
          </w:p>
        </w:tc>
        <w:tc>
          <w:tcPr>
            <w:tcW w:w="599"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台</w:t>
            </w:r>
          </w:p>
        </w:tc>
        <w:tc>
          <w:tcPr>
            <w:tcW w:w="599"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2</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2"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5</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46寸液晶拼接屏</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DS-D2046NH-B/HD</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台</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12</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2"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6</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拼接处理器</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DS-D2046NH-Mod</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台</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12</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2"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7</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46寸模块化框架</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定制</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个</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12</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2"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8</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46寸模块化基座</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定制</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个</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4</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2"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9</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大屏专用线缆</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大屏专用线缆</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套</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12</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国产</w:t>
            </w:r>
          </w:p>
        </w:tc>
        <w:tc>
          <w:tcPr>
            <w:tcW w:w="952"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10</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控制管理电脑</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DELL  3010MT</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台</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DELL</w:t>
            </w:r>
          </w:p>
        </w:tc>
        <w:tc>
          <w:tcPr>
            <w:tcW w:w="952"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11</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网络交换机</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WS-C2918-24TC-C</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台</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2</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Style w:val="68"/>
                <w:rFonts w:hint="default"/>
                <w:sz w:val="22"/>
                <w:szCs w:val="22"/>
                <w:lang w:bidi="ar"/>
              </w:rPr>
              <w:t>思科</w:t>
            </w:r>
          </w:p>
        </w:tc>
        <w:tc>
          <w:tcPr>
            <w:tcW w:w="952"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12</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LED显示屏</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LED02</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平方</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2</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2"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13</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LED控制系统及相关软件</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定制</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套</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2"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14</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机柜（加深）</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SNB6142增强型</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只</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SAFEWELL</w:t>
            </w:r>
          </w:p>
        </w:tc>
        <w:tc>
          <w:tcPr>
            <w:tcW w:w="95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15</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多用插座</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GN-110</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只</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5</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Style w:val="68"/>
                <w:rFonts w:hint="default"/>
                <w:sz w:val="22"/>
                <w:szCs w:val="22"/>
                <w:lang w:bidi="ar"/>
              </w:rPr>
              <w:t>公牛</w:t>
            </w:r>
          </w:p>
        </w:tc>
        <w:tc>
          <w:tcPr>
            <w:tcW w:w="952" w:type="dxa"/>
            <w:tcBorders>
              <w:top w:val="single" w:color="000000" w:sz="4" w:space="0"/>
              <w:left w:val="single" w:color="000000" w:sz="4" w:space="0"/>
              <w:bottom w:val="single" w:color="000000" w:sz="4" w:space="0"/>
              <w:right w:val="single" w:color="auto"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9271" w:type="dxa"/>
            <w:gridSpan w:val="7"/>
            <w:tcBorders>
              <w:top w:val="single" w:color="000000" w:sz="4" w:space="0"/>
              <w:left w:val="single" w:color="000000" w:sz="4" w:space="0"/>
              <w:bottom w:val="single" w:color="000000" w:sz="4" w:space="0"/>
              <w:right w:val="single" w:color="auto" w:sz="4" w:space="0"/>
            </w:tcBorders>
            <w:noWrap/>
            <w:tcMar>
              <w:top w:w="0" w:type="dxa"/>
              <w:left w:w="57" w:type="dxa"/>
              <w:right w:w="57" w:type="dxa"/>
            </w:tcMar>
            <w:vAlign w:val="center"/>
          </w:tcPr>
          <w:p>
            <w:pPr>
              <w:widowControl/>
              <w:spacing w:line="360" w:lineRule="auto"/>
              <w:jc w:val="center"/>
              <w:textAlignment w:val="center"/>
              <w:rPr>
                <w:rFonts w:ascii="宋体" w:hAnsi="宋体"/>
                <w:b/>
                <w:color w:val="000000"/>
                <w:sz w:val="22"/>
                <w:szCs w:val="22"/>
              </w:rPr>
            </w:pPr>
            <w:r>
              <w:rPr>
                <w:rStyle w:val="166"/>
                <w:rFonts w:hint="default"/>
                <w:sz w:val="22"/>
                <w:szCs w:val="22"/>
                <w:lang w:bidi="ar"/>
              </w:rPr>
              <w:t>（二）</w:t>
            </w:r>
            <w:r>
              <w:rPr>
                <w:rStyle w:val="162"/>
                <w:rFonts w:ascii="宋体" w:hAnsi="宋体"/>
                <w:sz w:val="22"/>
                <w:szCs w:val="22"/>
                <w:lang w:bidi="ar"/>
              </w:rPr>
              <w:t>LED</w:t>
            </w:r>
            <w:r>
              <w:rPr>
                <w:rStyle w:val="166"/>
                <w:rFonts w:hint="default"/>
                <w:sz w:val="22"/>
                <w:szCs w:val="22"/>
                <w:lang w:bidi="ar"/>
              </w:rPr>
              <w:t>及一机多屏项目</w:t>
            </w: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电脑信号输入板</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DS-6408HFH-B20V</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套</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2" w:type="dxa"/>
            <w:vMerge w:val="restar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2</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显示控制设备</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T3620Plus</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套</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DELL</w:t>
            </w:r>
          </w:p>
        </w:tc>
        <w:tc>
          <w:tcPr>
            <w:tcW w:w="952" w:type="dxa"/>
            <w:vMerge w:val="continue"/>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spacing w:line="360" w:lineRule="auto"/>
              <w:jc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3</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连接线缆</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VGA/DVI成品线</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条</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8</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国产</w:t>
            </w:r>
          </w:p>
        </w:tc>
        <w:tc>
          <w:tcPr>
            <w:tcW w:w="952" w:type="dxa"/>
            <w:vMerge w:val="continue"/>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spacing w:line="360" w:lineRule="auto"/>
              <w:jc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4</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辅材</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辅材</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批</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国产</w:t>
            </w:r>
          </w:p>
        </w:tc>
        <w:tc>
          <w:tcPr>
            <w:tcW w:w="952" w:type="dxa"/>
            <w:vMerge w:val="continue"/>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spacing w:line="360" w:lineRule="auto"/>
              <w:jc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5</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显示屏屏体</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TLP3</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1.32</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卓光</w:t>
            </w:r>
          </w:p>
        </w:tc>
        <w:tc>
          <w:tcPr>
            <w:tcW w:w="952" w:type="dxa"/>
            <w:vMerge w:val="continue"/>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spacing w:line="360" w:lineRule="auto"/>
              <w:jc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6</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多媒体播放器</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T1</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套</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诺瓦</w:t>
            </w:r>
          </w:p>
        </w:tc>
        <w:tc>
          <w:tcPr>
            <w:tcW w:w="952" w:type="dxa"/>
            <w:vMerge w:val="continue"/>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spacing w:line="360" w:lineRule="auto"/>
              <w:jc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7</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接收卡</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MRV316</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块</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2</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诺瓦</w:t>
            </w:r>
          </w:p>
        </w:tc>
        <w:tc>
          <w:tcPr>
            <w:tcW w:w="952" w:type="dxa"/>
            <w:vMerge w:val="continue"/>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spacing w:line="360" w:lineRule="auto"/>
              <w:jc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8</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系统软件</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ViPlex Express</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套</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诺瓦</w:t>
            </w:r>
          </w:p>
        </w:tc>
        <w:tc>
          <w:tcPr>
            <w:tcW w:w="952" w:type="dxa"/>
            <w:vMerge w:val="continue"/>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spacing w:line="360" w:lineRule="auto"/>
              <w:jc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9</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结构及包边装饰</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定制</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套</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2</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卓光</w:t>
            </w:r>
          </w:p>
        </w:tc>
        <w:tc>
          <w:tcPr>
            <w:tcW w:w="952" w:type="dxa"/>
            <w:vMerge w:val="continue"/>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spacing w:line="360" w:lineRule="auto"/>
              <w:jc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10</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布线</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国标</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套</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2</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国产</w:t>
            </w:r>
          </w:p>
        </w:tc>
        <w:tc>
          <w:tcPr>
            <w:tcW w:w="952" w:type="dxa"/>
            <w:vMerge w:val="continue"/>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spacing w:line="360" w:lineRule="auto"/>
              <w:jc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11</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VGA</w:t>
            </w:r>
            <w:r>
              <w:rPr>
                <w:rStyle w:val="68"/>
                <w:rFonts w:hint="default"/>
                <w:sz w:val="22"/>
                <w:szCs w:val="22"/>
                <w:lang w:bidi="ar"/>
              </w:rPr>
              <w:t>分配器</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spacing w:line="360" w:lineRule="auto"/>
              <w:jc w:val="left"/>
              <w:rPr>
                <w:rFonts w:ascii="宋体" w:hAnsi="宋体"/>
                <w:color w:val="000000"/>
                <w:sz w:val="22"/>
                <w:szCs w:val="22"/>
              </w:rPr>
            </w:pP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台</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4</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国产</w:t>
            </w:r>
          </w:p>
        </w:tc>
        <w:tc>
          <w:tcPr>
            <w:tcW w:w="952" w:type="dxa"/>
            <w:vMerge w:val="continue"/>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spacing w:line="360" w:lineRule="auto"/>
              <w:jc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9271" w:type="dxa"/>
            <w:gridSpan w:val="7"/>
            <w:tcBorders>
              <w:top w:val="single" w:color="000000" w:sz="4" w:space="0"/>
              <w:left w:val="single" w:color="000000" w:sz="4" w:space="0"/>
              <w:bottom w:val="single" w:color="000000" w:sz="4" w:space="0"/>
              <w:right w:val="single" w:color="auto" w:sz="4" w:space="0"/>
            </w:tcBorders>
            <w:noWrap/>
            <w:tcMar>
              <w:top w:w="0" w:type="dxa"/>
              <w:left w:w="57" w:type="dxa"/>
              <w:right w:w="57" w:type="dxa"/>
            </w:tcMar>
            <w:vAlign w:val="center"/>
          </w:tcPr>
          <w:p>
            <w:pPr>
              <w:widowControl/>
              <w:spacing w:line="360" w:lineRule="auto"/>
              <w:jc w:val="left"/>
              <w:textAlignment w:val="center"/>
              <w:rPr>
                <w:rFonts w:ascii="宋体" w:hAnsi="宋体"/>
                <w:b/>
                <w:color w:val="000000"/>
                <w:sz w:val="22"/>
                <w:szCs w:val="22"/>
              </w:rPr>
            </w:pPr>
            <w:r>
              <w:rPr>
                <w:rStyle w:val="166"/>
                <w:rFonts w:hint="default"/>
                <w:sz w:val="22"/>
                <w:szCs w:val="22"/>
                <w:lang w:bidi="ar"/>
              </w:rPr>
              <w:t>二、蛟川***</w:t>
            </w:r>
          </w:p>
        </w:tc>
      </w:tr>
      <w:tr>
        <w:tblPrEx>
          <w:tblCellMar>
            <w:top w:w="0" w:type="dxa"/>
            <w:left w:w="0" w:type="dxa"/>
            <w:bottom w:w="0" w:type="dxa"/>
            <w:right w:w="0" w:type="dxa"/>
          </w:tblCellMar>
        </w:tblPrEx>
        <w:trPr>
          <w:jc w:val="center"/>
        </w:trPr>
        <w:tc>
          <w:tcPr>
            <w:tcW w:w="9271" w:type="dxa"/>
            <w:gridSpan w:val="7"/>
            <w:tcBorders>
              <w:top w:val="single" w:color="000000" w:sz="4" w:space="0"/>
              <w:left w:val="single" w:color="000000" w:sz="4" w:space="0"/>
              <w:bottom w:val="single" w:color="000000" w:sz="4" w:space="0"/>
              <w:right w:val="single" w:color="auto" w:sz="4" w:space="0"/>
            </w:tcBorders>
            <w:noWrap/>
            <w:tcMar>
              <w:top w:w="0" w:type="dxa"/>
              <w:left w:w="57" w:type="dxa"/>
              <w:right w:w="57" w:type="dxa"/>
            </w:tcMar>
            <w:vAlign w:val="center"/>
          </w:tcPr>
          <w:p>
            <w:pPr>
              <w:widowControl/>
              <w:spacing w:line="360" w:lineRule="auto"/>
              <w:jc w:val="center"/>
              <w:textAlignment w:val="center"/>
              <w:rPr>
                <w:rFonts w:ascii="宋体" w:hAnsi="宋体"/>
                <w:b/>
                <w:color w:val="000000"/>
                <w:sz w:val="22"/>
                <w:szCs w:val="22"/>
              </w:rPr>
            </w:pPr>
            <w:r>
              <w:rPr>
                <w:rStyle w:val="166"/>
                <w:rFonts w:hint="default"/>
                <w:sz w:val="22"/>
                <w:szCs w:val="22"/>
                <w:lang w:bidi="ar"/>
              </w:rPr>
              <w:t>（一）主控及大屏</w:t>
            </w: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主控机箱（含电源适配器、风扇等）</w:t>
            </w:r>
          </w:p>
        </w:tc>
        <w:tc>
          <w:tcPr>
            <w:tcW w:w="2501"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DS-B20-STA</w:t>
            </w:r>
          </w:p>
        </w:tc>
        <w:tc>
          <w:tcPr>
            <w:tcW w:w="599"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台</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2"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2</w:t>
            </w:r>
          </w:p>
        </w:tc>
        <w:tc>
          <w:tcPr>
            <w:tcW w:w="2673"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网络接入主控系统</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DS-B20-MCU-NP</w:t>
            </w:r>
          </w:p>
        </w:tc>
        <w:tc>
          <w:tcPr>
            <w:tcW w:w="599"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块</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2</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2"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3</w:t>
            </w:r>
          </w:p>
        </w:tc>
        <w:tc>
          <w:tcPr>
            <w:tcW w:w="2673"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高清解码系统</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DS-6532D-B20WD</w:t>
            </w:r>
          </w:p>
        </w:tc>
        <w:tc>
          <w:tcPr>
            <w:tcW w:w="599"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块</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2</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2"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4</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控制键盘（主控/分控）</w:t>
            </w:r>
          </w:p>
        </w:tc>
        <w:tc>
          <w:tcPr>
            <w:tcW w:w="2501"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DS-1100K</w:t>
            </w:r>
          </w:p>
        </w:tc>
        <w:tc>
          <w:tcPr>
            <w:tcW w:w="599"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台</w:t>
            </w:r>
          </w:p>
        </w:tc>
        <w:tc>
          <w:tcPr>
            <w:tcW w:w="599"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2</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2"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5</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46寸液晶拼接屏</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DS-D2046NL-B/HD</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台</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9</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2"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6</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拼接处理器</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DS-D2046NH-Mod</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台</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9</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2"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7</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46寸模块化框架</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定制</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个</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9</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国产</w:t>
            </w:r>
          </w:p>
        </w:tc>
        <w:tc>
          <w:tcPr>
            <w:tcW w:w="952"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8</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46寸模块化基座</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定制</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个</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3</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国产</w:t>
            </w:r>
          </w:p>
        </w:tc>
        <w:tc>
          <w:tcPr>
            <w:tcW w:w="952"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9</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大屏专用线缆</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大屏专用线缆</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套</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9</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国产</w:t>
            </w:r>
          </w:p>
        </w:tc>
        <w:tc>
          <w:tcPr>
            <w:tcW w:w="952"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10</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LED显示屏</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LED02</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平方</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2</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2"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11</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LED控制系统及相关软件</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定制</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套</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2"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12</w:t>
            </w:r>
          </w:p>
        </w:tc>
        <w:tc>
          <w:tcPr>
            <w:tcW w:w="2673"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网络交换机</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LS-S3110-26TP</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台</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2</w:t>
            </w:r>
          </w:p>
        </w:tc>
        <w:tc>
          <w:tcPr>
            <w:tcW w:w="1223"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H3C</w:t>
            </w:r>
          </w:p>
        </w:tc>
        <w:tc>
          <w:tcPr>
            <w:tcW w:w="952"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13</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机柜（加深）</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SNB6142增强型</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只</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SAFEWELL</w:t>
            </w:r>
          </w:p>
        </w:tc>
        <w:tc>
          <w:tcPr>
            <w:tcW w:w="952"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14</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多用插座</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GN-110</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只</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5</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Style w:val="68"/>
                <w:rFonts w:hint="default"/>
                <w:sz w:val="22"/>
                <w:szCs w:val="22"/>
                <w:lang w:bidi="ar"/>
              </w:rPr>
              <w:t>公牛</w:t>
            </w:r>
          </w:p>
        </w:tc>
        <w:tc>
          <w:tcPr>
            <w:tcW w:w="952" w:type="dxa"/>
            <w:tcBorders>
              <w:top w:val="single" w:color="000000" w:sz="4" w:space="0"/>
              <w:left w:val="single" w:color="000000" w:sz="4" w:space="0"/>
              <w:bottom w:val="single" w:color="000000" w:sz="4" w:space="0"/>
              <w:right w:val="single" w:color="auto"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9271" w:type="dxa"/>
            <w:gridSpan w:val="7"/>
            <w:tcBorders>
              <w:top w:val="single" w:color="000000" w:sz="4" w:space="0"/>
              <w:left w:val="single" w:color="000000" w:sz="4" w:space="0"/>
              <w:bottom w:val="single" w:color="000000" w:sz="4" w:space="0"/>
              <w:right w:val="single" w:color="auto" w:sz="4" w:space="0"/>
            </w:tcBorders>
            <w:noWrap/>
            <w:tcMar>
              <w:top w:w="0" w:type="dxa"/>
              <w:left w:w="57" w:type="dxa"/>
              <w:right w:w="57" w:type="dxa"/>
            </w:tcMar>
            <w:vAlign w:val="center"/>
          </w:tcPr>
          <w:p>
            <w:pPr>
              <w:widowControl/>
              <w:spacing w:line="360" w:lineRule="auto"/>
              <w:jc w:val="center"/>
              <w:textAlignment w:val="center"/>
              <w:rPr>
                <w:rFonts w:ascii="宋体" w:hAnsi="宋体"/>
                <w:b/>
                <w:color w:val="000000"/>
                <w:sz w:val="22"/>
                <w:szCs w:val="22"/>
              </w:rPr>
            </w:pPr>
            <w:r>
              <w:rPr>
                <w:rFonts w:ascii="宋体" w:hAnsi="宋体"/>
                <w:b/>
                <w:color w:val="000000"/>
                <w:kern w:val="0"/>
                <w:sz w:val="22"/>
                <w:szCs w:val="22"/>
                <w:lang w:bidi="ar"/>
              </w:rPr>
              <w:t>（二）一机多屏项目</w:t>
            </w: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电脑信号输入板</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DS-6408HFH-B20V</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套</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2" w:type="dxa"/>
            <w:vMerge w:val="restart"/>
            <w:tcBorders>
              <w:top w:val="single" w:color="000000" w:sz="4" w:space="0"/>
              <w:left w:val="single" w:color="000000" w:sz="4" w:space="0"/>
              <w:bottom w:val="single" w:color="000000" w:sz="4" w:space="0"/>
              <w:right w:val="single" w:color="auto"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2</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显示控制设备</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T3620Plus</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套</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DELL</w:t>
            </w:r>
          </w:p>
        </w:tc>
        <w:tc>
          <w:tcPr>
            <w:tcW w:w="952" w:type="dxa"/>
            <w:vMerge w:val="continue"/>
            <w:tcBorders>
              <w:top w:val="single" w:color="000000" w:sz="4" w:space="0"/>
              <w:left w:val="single" w:color="000000" w:sz="4" w:space="0"/>
              <w:bottom w:val="single" w:color="000000" w:sz="4" w:space="0"/>
              <w:right w:val="single" w:color="auto" w:sz="4" w:space="0"/>
            </w:tcBorders>
            <w:noWrap/>
            <w:tcMar>
              <w:top w:w="0" w:type="dxa"/>
              <w:left w:w="57" w:type="dxa"/>
              <w:right w:w="57" w:type="dxa"/>
            </w:tcMar>
            <w:vAlign w:val="center"/>
          </w:tcPr>
          <w:p>
            <w:pPr>
              <w:spacing w:line="360" w:lineRule="auto"/>
              <w:jc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3</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连接线缆</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VGA/DVI成品线</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条</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8</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国产</w:t>
            </w:r>
          </w:p>
        </w:tc>
        <w:tc>
          <w:tcPr>
            <w:tcW w:w="952" w:type="dxa"/>
            <w:vMerge w:val="continue"/>
            <w:tcBorders>
              <w:top w:val="single" w:color="000000" w:sz="4" w:space="0"/>
              <w:left w:val="single" w:color="000000" w:sz="4" w:space="0"/>
              <w:bottom w:val="single" w:color="000000" w:sz="4" w:space="0"/>
              <w:right w:val="single" w:color="auto" w:sz="4" w:space="0"/>
            </w:tcBorders>
            <w:noWrap/>
            <w:tcMar>
              <w:top w:w="0" w:type="dxa"/>
              <w:left w:w="57" w:type="dxa"/>
              <w:right w:w="57" w:type="dxa"/>
            </w:tcMar>
            <w:vAlign w:val="center"/>
          </w:tcPr>
          <w:p>
            <w:pPr>
              <w:spacing w:line="360" w:lineRule="auto"/>
              <w:jc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4</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辅材</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辅材</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批</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国产</w:t>
            </w:r>
          </w:p>
        </w:tc>
        <w:tc>
          <w:tcPr>
            <w:tcW w:w="952" w:type="dxa"/>
            <w:vMerge w:val="continue"/>
            <w:tcBorders>
              <w:top w:val="single" w:color="000000" w:sz="4" w:space="0"/>
              <w:left w:val="single" w:color="000000" w:sz="4" w:space="0"/>
              <w:bottom w:val="single" w:color="000000" w:sz="4" w:space="0"/>
              <w:right w:val="single" w:color="auto" w:sz="4" w:space="0"/>
            </w:tcBorders>
            <w:noWrap/>
            <w:tcMar>
              <w:top w:w="0" w:type="dxa"/>
              <w:left w:w="57" w:type="dxa"/>
              <w:right w:w="57" w:type="dxa"/>
            </w:tcMar>
            <w:vAlign w:val="center"/>
          </w:tcPr>
          <w:p>
            <w:pPr>
              <w:spacing w:line="360" w:lineRule="auto"/>
              <w:jc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9271" w:type="dxa"/>
            <w:gridSpan w:val="7"/>
            <w:tcBorders>
              <w:top w:val="single" w:color="000000" w:sz="4" w:space="0"/>
              <w:left w:val="single" w:color="000000" w:sz="4" w:space="0"/>
              <w:bottom w:val="single" w:color="000000" w:sz="4" w:space="0"/>
              <w:right w:val="single" w:color="auto" w:sz="4" w:space="0"/>
            </w:tcBorders>
            <w:noWrap/>
            <w:tcMar>
              <w:top w:w="0" w:type="dxa"/>
              <w:left w:w="57" w:type="dxa"/>
              <w:right w:w="57" w:type="dxa"/>
            </w:tcMar>
            <w:vAlign w:val="center"/>
          </w:tcPr>
          <w:p>
            <w:pPr>
              <w:widowControl/>
              <w:spacing w:line="360" w:lineRule="auto"/>
              <w:jc w:val="left"/>
              <w:textAlignment w:val="center"/>
              <w:rPr>
                <w:rFonts w:ascii="宋体" w:hAnsi="宋体"/>
                <w:b/>
                <w:color w:val="000000"/>
                <w:sz w:val="22"/>
                <w:szCs w:val="22"/>
              </w:rPr>
            </w:pPr>
            <w:r>
              <w:rPr>
                <w:rStyle w:val="166"/>
                <w:rFonts w:hint="default"/>
                <w:sz w:val="22"/>
                <w:szCs w:val="22"/>
                <w:lang w:bidi="ar"/>
              </w:rPr>
              <w:t>三、澥浦***</w:t>
            </w: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主控机箱（含电源适配器、风扇等）</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DS-B20-STA</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台</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2"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2</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网络接入主控系统</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DS-B20-MCU-NP</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块</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2</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2"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3</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高清解码系统</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DS-6532D-B20WD</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块</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2</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2"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4</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服务器板</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DS-iVMSE-B20HW</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块</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2"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5</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与原系统联网协议网关</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DS-1808N</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块</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2"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6</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控制键盘（主控/分控）</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DS-1600K</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台</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2</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2"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7</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46寸液晶拼接屏</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DS-D2046NL-B/HD</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台</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9</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2"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8</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拼接处理器</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DS-D2046NH-Mod</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台</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9</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2"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9</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46寸模块化框架</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定制</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个</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9</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国产</w:t>
            </w:r>
          </w:p>
        </w:tc>
        <w:tc>
          <w:tcPr>
            <w:tcW w:w="952"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10</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46寸模块化基座</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定制</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个</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3</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国产</w:t>
            </w:r>
          </w:p>
        </w:tc>
        <w:tc>
          <w:tcPr>
            <w:tcW w:w="952"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11</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大屏专用线缆</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显示屏专用线缆</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套</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9</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国产</w:t>
            </w:r>
          </w:p>
        </w:tc>
        <w:tc>
          <w:tcPr>
            <w:tcW w:w="952"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12</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LED显示屏</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LED02</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平方</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2</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2"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13</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LED控制系统及相关软件</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定制</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套</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2"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14</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机柜（加深）</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SNB6142增强型</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只</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SAFEWELL</w:t>
            </w:r>
          </w:p>
        </w:tc>
        <w:tc>
          <w:tcPr>
            <w:tcW w:w="952"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15</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多用插座</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GN-110</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只</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5</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公牛</w:t>
            </w:r>
          </w:p>
        </w:tc>
        <w:tc>
          <w:tcPr>
            <w:tcW w:w="952" w:type="dxa"/>
            <w:tcBorders>
              <w:top w:val="single" w:color="000000" w:sz="4" w:space="0"/>
              <w:left w:val="single" w:color="000000" w:sz="4" w:space="0"/>
              <w:bottom w:val="single" w:color="000000" w:sz="4" w:space="0"/>
              <w:right w:val="single" w:color="auto"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9271" w:type="dxa"/>
            <w:gridSpan w:val="7"/>
            <w:tcBorders>
              <w:top w:val="single" w:color="000000" w:sz="4" w:space="0"/>
              <w:left w:val="single" w:color="000000" w:sz="4" w:space="0"/>
              <w:bottom w:val="single" w:color="000000" w:sz="4" w:space="0"/>
              <w:right w:val="single" w:color="auto" w:sz="4" w:space="0"/>
            </w:tcBorders>
            <w:noWrap/>
            <w:tcMar>
              <w:top w:w="0" w:type="dxa"/>
              <w:left w:w="57" w:type="dxa"/>
              <w:right w:w="57" w:type="dxa"/>
            </w:tcMar>
            <w:vAlign w:val="center"/>
          </w:tcPr>
          <w:p>
            <w:pPr>
              <w:widowControl/>
              <w:spacing w:line="360" w:lineRule="auto"/>
              <w:jc w:val="left"/>
              <w:textAlignment w:val="center"/>
              <w:rPr>
                <w:rFonts w:ascii="宋体" w:hAnsi="宋体"/>
                <w:b/>
                <w:color w:val="000000"/>
                <w:sz w:val="22"/>
                <w:szCs w:val="22"/>
              </w:rPr>
            </w:pPr>
            <w:r>
              <w:rPr>
                <w:rStyle w:val="166"/>
                <w:rFonts w:hint="default"/>
                <w:sz w:val="22"/>
                <w:szCs w:val="22"/>
                <w:lang w:bidi="ar"/>
              </w:rPr>
              <w:t>四、九龙湖***</w:t>
            </w: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主控机箱（含电源适配器、风扇等）</w:t>
            </w:r>
          </w:p>
        </w:tc>
        <w:tc>
          <w:tcPr>
            <w:tcW w:w="2501"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DS-B20-STA</w:t>
            </w:r>
          </w:p>
        </w:tc>
        <w:tc>
          <w:tcPr>
            <w:tcW w:w="599"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台</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2" w:type="dxa"/>
            <w:tcBorders>
              <w:top w:val="single" w:color="000000" w:sz="4" w:space="0"/>
              <w:left w:val="single" w:color="000000" w:sz="4" w:space="0"/>
              <w:bottom w:val="single" w:color="000000" w:sz="4" w:space="0"/>
              <w:right w:val="single" w:color="auto"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2</w:t>
            </w:r>
          </w:p>
        </w:tc>
        <w:tc>
          <w:tcPr>
            <w:tcW w:w="2673"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网络接入主控系统</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DS-B20-MCU-NP</w:t>
            </w:r>
          </w:p>
        </w:tc>
        <w:tc>
          <w:tcPr>
            <w:tcW w:w="599"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块</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2</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3</w:t>
            </w:r>
          </w:p>
        </w:tc>
        <w:tc>
          <w:tcPr>
            <w:tcW w:w="2673"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高清解码系统</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DS-6532D-B20WD</w:t>
            </w:r>
          </w:p>
        </w:tc>
        <w:tc>
          <w:tcPr>
            <w:tcW w:w="599"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块</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4</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服务器板</w:t>
            </w:r>
          </w:p>
        </w:tc>
        <w:tc>
          <w:tcPr>
            <w:tcW w:w="2501"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DS-iVMSE-B20HW</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套</w:t>
            </w:r>
          </w:p>
        </w:tc>
        <w:tc>
          <w:tcPr>
            <w:tcW w:w="599"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5</w:t>
            </w:r>
          </w:p>
        </w:tc>
        <w:tc>
          <w:tcPr>
            <w:tcW w:w="2673"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与原系统联网协议网关</w:t>
            </w:r>
          </w:p>
        </w:tc>
        <w:tc>
          <w:tcPr>
            <w:tcW w:w="2501"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DS-1808N</w:t>
            </w:r>
          </w:p>
        </w:tc>
        <w:tc>
          <w:tcPr>
            <w:tcW w:w="599"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块</w:t>
            </w:r>
          </w:p>
        </w:tc>
        <w:tc>
          <w:tcPr>
            <w:tcW w:w="599"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6</w:t>
            </w:r>
          </w:p>
        </w:tc>
        <w:tc>
          <w:tcPr>
            <w:tcW w:w="267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控制键盘（主控/分控）</w:t>
            </w:r>
          </w:p>
        </w:tc>
        <w:tc>
          <w:tcPr>
            <w:tcW w:w="2501"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DS-1600K</w:t>
            </w:r>
          </w:p>
        </w:tc>
        <w:tc>
          <w:tcPr>
            <w:tcW w:w="599"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台</w:t>
            </w:r>
          </w:p>
        </w:tc>
        <w:tc>
          <w:tcPr>
            <w:tcW w:w="599"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2</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7</w:t>
            </w:r>
          </w:p>
        </w:tc>
        <w:tc>
          <w:tcPr>
            <w:tcW w:w="2673"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Style w:val="67"/>
                <w:rFonts w:ascii="宋体" w:hAnsi="宋体" w:eastAsia="宋体"/>
                <w:sz w:val="22"/>
                <w:szCs w:val="22"/>
                <w:lang w:bidi="ar"/>
              </w:rPr>
              <w:t>46</w:t>
            </w:r>
            <w:r>
              <w:rPr>
                <w:rFonts w:ascii="宋体" w:hAnsi="宋体"/>
                <w:color w:val="000000"/>
                <w:kern w:val="0"/>
                <w:sz w:val="22"/>
                <w:szCs w:val="22"/>
                <w:lang w:bidi="ar"/>
              </w:rPr>
              <w:t>寸液晶显示屏</w:t>
            </w:r>
          </w:p>
        </w:tc>
        <w:tc>
          <w:tcPr>
            <w:tcW w:w="2501"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DS-2046NL-B/</w:t>
            </w:r>
          </w:p>
        </w:tc>
        <w:tc>
          <w:tcPr>
            <w:tcW w:w="599"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台</w:t>
            </w:r>
          </w:p>
        </w:tc>
        <w:tc>
          <w:tcPr>
            <w:tcW w:w="599"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6</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8</w:t>
            </w:r>
          </w:p>
        </w:tc>
        <w:tc>
          <w:tcPr>
            <w:tcW w:w="2673"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拼接处理器</w:t>
            </w:r>
          </w:p>
        </w:tc>
        <w:tc>
          <w:tcPr>
            <w:tcW w:w="2501"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DS-2046NH-Mod</w:t>
            </w:r>
          </w:p>
        </w:tc>
        <w:tc>
          <w:tcPr>
            <w:tcW w:w="599"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台</w:t>
            </w:r>
          </w:p>
        </w:tc>
        <w:tc>
          <w:tcPr>
            <w:tcW w:w="599"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6</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海康威视</w:t>
            </w:r>
          </w:p>
        </w:tc>
        <w:tc>
          <w:tcPr>
            <w:tcW w:w="95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9</w:t>
            </w:r>
          </w:p>
        </w:tc>
        <w:tc>
          <w:tcPr>
            <w:tcW w:w="2673"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Style w:val="67"/>
                <w:rFonts w:ascii="宋体" w:hAnsi="宋体" w:eastAsia="宋体"/>
                <w:sz w:val="22"/>
                <w:szCs w:val="22"/>
                <w:lang w:bidi="ar"/>
              </w:rPr>
              <w:t>46</w:t>
            </w:r>
            <w:r>
              <w:rPr>
                <w:rFonts w:ascii="宋体" w:hAnsi="宋体"/>
                <w:color w:val="000000"/>
                <w:kern w:val="0"/>
                <w:sz w:val="22"/>
                <w:szCs w:val="22"/>
                <w:lang w:bidi="ar"/>
              </w:rPr>
              <w:t>寸模块化框架</w:t>
            </w:r>
          </w:p>
        </w:tc>
        <w:tc>
          <w:tcPr>
            <w:tcW w:w="2501"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Style w:val="68"/>
                <w:rFonts w:hint="default"/>
                <w:sz w:val="22"/>
                <w:szCs w:val="22"/>
                <w:lang w:bidi="ar"/>
              </w:rPr>
              <w:t>定制</w:t>
            </w:r>
          </w:p>
        </w:tc>
        <w:tc>
          <w:tcPr>
            <w:tcW w:w="599"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个</w:t>
            </w:r>
          </w:p>
        </w:tc>
        <w:tc>
          <w:tcPr>
            <w:tcW w:w="599"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6</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定制</w:t>
            </w:r>
          </w:p>
        </w:tc>
        <w:tc>
          <w:tcPr>
            <w:tcW w:w="95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10</w:t>
            </w:r>
          </w:p>
        </w:tc>
        <w:tc>
          <w:tcPr>
            <w:tcW w:w="2673"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Style w:val="67"/>
                <w:rFonts w:ascii="宋体" w:hAnsi="宋体" w:eastAsia="宋体"/>
                <w:sz w:val="22"/>
                <w:szCs w:val="22"/>
                <w:lang w:bidi="ar"/>
              </w:rPr>
              <w:t>46</w:t>
            </w:r>
            <w:r>
              <w:rPr>
                <w:rFonts w:ascii="宋体" w:hAnsi="宋体"/>
                <w:color w:val="000000"/>
                <w:kern w:val="0"/>
                <w:sz w:val="22"/>
                <w:szCs w:val="22"/>
                <w:lang w:bidi="ar"/>
              </w:rPr>
              <w:t>寸模块化基座</w:t>
            </w:r>
          </w:p>
        </w:tc>
        <w:tc>
          <w:tcPr>
            <w:tcW w:w="2501"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Style w:val="68"/>
                <w:rFonts w:hint="default"/>
                <w:sz w:val="22"/>
                <w:szCs w:val="22"/>
                <w:lang w:bidi="ar"/>
              </w:rPr>
              <w:t>定制</w:t>
            </w:r>
          </w:p>
        </w:tc>
        <w:tc>
          <w:tcPr>
            <w:tcW w:w="599"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个</w:t>
            </w:r>
          </w:p>
        </w:tc>
        <w:tc>
          <w:tcPr>
            <w:tcW w:w="599"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3</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定制</w:t>
            </w:r>
          </w:p>
        </w:tc>
        <w:tc>
          <w:tcPr>
            <w:tcW w:w="95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11</w:t>
            </w:r>
          </w:p>
        </w:tc>
        <w:tc>
          <w:tcPr>
            <w:tcW w:w="2673"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显示屏专用线缆</w:t>
            </w:r>
          </w:p>
        </w:tc>
        <w:tc>
          <w:tcPr>
            <w:tcW w:w="2501"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Style w:val="68"/>
                <w:rFonts w:hint="default"/>
                <w:sz w:val="22"/>
                <w:szCs w:val="22"/>
                <w:lang w:bidi="ar"/>
              </w:rPr>
              <w:t>显示屏专用线缆</w:t>
            </w:r>
          </w:p>
        </w:tc>
        <w:tc>
          <w:tcPr>
            <w:tcW w:w="599"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套</w:t>
            </w:r>
          </w:p>
        </w:tc>
        <w:tc>
          <w:tcPr>
            <w:tcW w:w="599"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6</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定制</w:t>
            </w:r>
          </w:p>
        </w:tc>
        <w:tc>
          <w:tcPr>
            <w:tcW w:w="95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12</w:t>
            </w:r>
          </w:p>
        </w:tc>
        <w:tc>
          <w:tcPr>
            <w:tcW w:w="2673"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Style w:val="67"/>
                <w:rFonts w:ascii="宋体" w:hAnsi="宋体" w:eastAsia="宋体"/>
                <w:sz w:val="22"/>
                <w:szCs w:val="22"/>
                <w:lang w:bidi="ar"/>
              </w:rPr>
              <w:t>LED</w:t>
            </w:r>
            <w:r>
              <w:rPr>
                <w:rFonts w:ascii="宋体" w:hAnsi="宋体"/>
                <w:color w:val="000000"/>
                <w:kern w:val="0"/>
                <w:sz w:val="22"/>
                <w:szCs w:val="22"/>
                <w:lang w:bidi="ar"/>
              </w:rPr>
              <w:t>显示屏</w:t>
            </w:r>
          </w:p>
        </w:tc>
        <w:tc>
          <w:tcPr>
            <w:tcW w:w="2501"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LED02</w:t>
            </w:r>
          </w:p>
        </w:tc>
        <w:tc>
          <w:tcPr>
            <w:tcW w:w="599"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平方</w:t>
            </w:r>
          </w:p>
        </w:tc>
        <w:tc>
          <w:tcPr>
            <w:tcW w:w="599"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2</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定制</w:t>
            </w:r>
          </w:p>
        </w:tc>
        <w:tc>
          <w:tcPr>
            <w:tcW w:w="95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13</w:t>
            </w:r>
          </w:p>
        </w:tc>
        <w:tc>
          <w:tcPr>
            <w:tcW w:w="2673"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Style w:val="67"/>
                <w:rFonts w:ascii="宋体" w:hAnsi="宋体" w:eastAsia="宋体"/>
                <w:sz w:val="22"/>
                <w:szCs w:val="22"/>
                <w:lang w:bidi="ar"/>
              </w:rPr>
              <w:t>LED</w:t>
            </w:r>
            <w:r>
              <w:rPr>
                <w:rFonts w:ascii="宋体" w:hAnsi="宋体"/>
                <w:color w:val="000000"/>
                <w:kern w:val="0"/>
                <w:sz w:val="22"/>
                <w:szCs w:val="22"/>
                <w:lang w:bidi="ar"/>
              </w:rPr>
              <w:t>控制系统及相关软件</w:t>
            </w:r>
          </w:p>
        </w:tc>
        <w:tc>
          <w:tcPr>
            <w:tcW w:w="2501"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Style w:val="68"/>
                <w:rFonts w:hint="default"/>
                <w:sz w:val="22"/>
                <w:szCs w:val="22"/>
                <w:lang w:bidi="ar"/>
              </w:rPr>
              <w:t>定制</w:t>
            </w:r>
          </w:p>
        </w:tc>
        <w:tc>
          <w:tcPr>
            <w:tcW w:w="599"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套</w:t>
            </w:r>
          </w:p>
        </w:tc>
        <w:tc>
          <w:tcPr>
            <w:tcW w:w="599"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定制</w:t>
            </w:r>
          </w:p>
        </w:tc>
        <w:tc>
          <w:tcPr>
            <w:tcW w:w="95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14</w:t>
            </w:r>
          </w:p>
        </w:tc>
        <w:tc>
          <w:tcPr>
            <w:tcW w:w="2673"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机柜（加深）</w:t>
            </w:r>
          </w:p>
        </w:tc>
        <w:tc>
          <w:tcPr>
            <w:tcW w:w="2501"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SNB6142增强型</w:t>
            </w:r>
          </w:p>
        </w:tc>
        <w:tc>
          <w:tcPr>
            <w:tcW w:w="599"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只</w:t>
            </w:r>
          </w:p>
        </w:tc>
        <w:tc>
          <w:tcPr>
            <w:tcW w:w="599"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2</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SAFEWELL</w:t>
            </w:r>
          </w:p>
        </w:tc>
        <w:tc>
          <w:tcPr>
            <w:tcW w:w="95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r>
        <w:tblPrEx>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15</w:t>
            </w:r>
          </w:p>
        </w:tc>
        <w:tc>
          <w:tcPr>
            <w:tcW w:w="2673"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多用插座</w:t>
            </w:r>
          </w:p>
        </w:tc>
        <w:tc>
          <w:tcPr>
            <w:tcW w:w="2501"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left"/>
              <w:textAlignment w:val="center"/>
              <w:rPr>
                <w:rFonts w:ascii="宋体" w:hAnsi="宋体"/>
                <w:color w:val="000000"/>
                <w:sz w:val="22"/>
                <w:szCs w:val="22"/>
              </w:rPr>
            </w:pPr>
            <w:r>
              <w:rPr>
                <w:rFonts w:ascii="宋体" w:hAnsi="宋体"/>
                <w:color w:val="000000"/>
                <w:kern w:val="0"/>
                <w:sz w:val="22"/>
                <w:szCs w:val="22"/>
                <w:lang w:bidi="ar"/>
              </w:rPr>
              <w:t>GN-110</w:t>
            </w:r>
          </w:p>
        </w:tc>
        <w:tc>
          <w:tcPr>
            <w:tcW w:w="599"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只</w:t>
            </w:r>
          </w:p>
        </w:tc>
        <w:tc>
          <w:tcPr>
            <w:tcW w:w="599" w:type="dxa"/>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20</w:t>
            </w:r>
          </w:p>
        </w:tc>
        <w:tc>
          <w:tcPr>
            <w:tcW w:w="1223"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r>
              <w:rPr>
                <w:rFonts w:ascii="宋体" w:hAnsi="宋体"/>
                <w:color w:val="000000"/>
                <w:kern w:val="0"/>
                <w:sz w:val="22"/>
                <w:szCs w:val="22"/>
                <w:lang w:bidi="ar"/>
              </w:rPr>
              <w:t>公牛</w:t>
            </w:r>
          </w:p>
        </w:tc>
        <w:tc>
          <w:tcPr>
            <w:tcW w:w="952" w:type="dxa"/>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widowControl/>
              <w:spacing w:line="360" w:lineRule="auto"/>
              <w:jc w:val="center"/>
              <w:textAlignment w:val="center"/>
              <w:rPr>
                <w:rFonts w:ascii="宋体" w:hAnsi="宋体"/>
                <w:color w:val="000000"/>
                <w:sz w:val="22"/>
                <w:szCs w:val="22"/>
              </w:rPr>
            </w:pPr>
          </w:p>
        </w:tc>
      </w:tr>
    </w:tbl>
    <w:p>
      <w:pPr>
        <w:spacing w:line="360" w:lineRule="auto"/>
        <w:rPr>
          <w:rFonts w:hint="eastAsia" w:ascii="宋体" w:hAnsi="宋体"/>
          <w:b/>
          <w:sz w:val="22"/>
          <w:szCs w:val="22"/>
        </w:rPr>
      </w:pPr>
      <w:bookmarkStart w:id="17" w:name="_Toc6192"/>
      <w:bookmarkStart w:id="18" w:name="_Toc13307"/>
    </w:p>
    <w:p>
      <w:pPr>
        <w:spacing w:line="360" w:lineRule="auto"/>
        <w:rPr>
          <w:rFonts w:ascii="宋体" w:hAnsi="宋体"/>
          <w:b/>
          <w:sz w:val="22"/>
          <w:szCs w:val="22"/>
        </w:rPr>
      </w:pPr>
      <w:r>
        <w:rPr>
          <w:rFonts w:hint="eastAsia" w:ascii="宋体" w:hAnsi="宋体"/>
          <w:b/>
          <w:sz w:val="22"/>
          <w:szCs w:val="22"/>
        </w:rPr>
        <w:t>五、</w:t>
      </w:r>
      <w:r>
        <w:rPr>
          <w:rFonts w:ascii="宋体" w:hAnsi="宋体"/>
          <w:b/>
          <w:sz w:val="22"/>
          <w:szCs w:val="22"/>
        </w:rPr>
        <w:t>运维目标</w:t>
      </w:r>
      <w:bookmarkEnd w:id="17"/>
      <w:bookmarkEnd w:id="18"/>
    </w:p>
    <w:p>
      <w:pPr>
        <w:spacing w:line="360" w:lineRule="auto"/>
        <w:ind w:firstLine="440" w:firstLineChars="200"/>
        <w:rPr>
          <w:rFonts w:ascii="宋体" w:hAnsi="宋体"/>
          <w:sz w:val="22"/>
          <w:szCs w:val="22"/>
        </w:rPr>
      </w:pPr>
      <w:r>
        <w:rPr>
          <w:rFonts w:ascii="宋体" w:hAnsi="宋体"/>
          <w:sz w:val="22"/>
          <w:szCs w:val="22"/>
        </w:rPr>
        <w:t>针对镇海区全区社会治安视频监控系统建设全生命周期各年份</w:t>
      </w:r>
      <w:r>
        <w:rPr>
          <w:rFonts w:hint="eastAsia" w:ascii="宋体" w:hAnsi="宋体"/>
          <w:sz w:val="22"/>
          <w:szCs w:val="22"/>
        </w:rPr>
        <w:t>采购设备中，目前仍需并正在使用的</w:t>
      </w:r>
      <w:r>
        <w:rPr>
          <w:rFonts w:ascii="宋体" w:hAnsi="宋体"/>
          <w:sz w:val="22"/>
          <w:szCs w:val="22"/>
        </w:rPr>
        <w:t>所有设备实施运维服务一年，运行维护期内运维单位负责包括设备的日常清洁、系统的巡检、故障的修复、设备的维修保活、重大活动的保障等。确保在运维期间，系统运行稳定，设备完好率达到上级机关当年的考核标准要求，确保运维范围内设备及系统与全区视频资源共享平台兼容。</w:t>
      </w:r>
      <w:r>
        <w:rPr>
          <w:rFonts w:hint="eastAsia" w:ascii="宋体" w:hAnsi="宋体"/>
          <w:sz w:val="22"/>
          <w:szCs w:val="22"/>
        </w:rPr>
        <w:t>通过运维服务使系统的前端设备完好率月均达到99%及以上</w:t>
      </w:r>
      <w:bookmarkStart w:id="19" w:name="_Toc458435496"/>
      <w:bookmarkStart w:id="20" w:name="_Toc427583175"/>
      <w:bookmarkStart w:id="21" w:name="_Toc458435433"/>
      <w:bookmarkStart w:id="22" w:name="_Toc5037"/>
      <w:r>
        <w:rPr>
          <w:rFonts w:hint="eastAsia" w:ascii="宋体" w:hAnsi="宋体"/>
          <w:sz w:val="22"/>
          <w:szCs w:val="22"/>
        </w:rPr>
        <w:t>。</w:t>
      </w:r>
    </w:p>
    <w:p>
      <w:pPr>
        <w:numPr>
          <w:ilvl w:val="0"/>
          <w:numId w:val="7"/>
        </w:numPr>
        <w:spacing w:line="360" w:lineRule="auto"/>
        <w:rPr>
          <w:rFonts w:hint="eastAsia" w:ascii="宋体" w:hAnsi="宋体"/>
          <w:b/>
          <w:color w:val="000000"/>
          <w:sz w:val="22"/>
          <w:szCs w:val="22"/>
        </w:rPr>
      </w:pPr>
      <w:r>
        <w:rPr>
          <w:rFonts w:ascii="宋体" w:hAnsi="宋体"/>
          <w:b/>
          <w:color w:val="000000"/>
          <w:sz w:val="22"/>
          <w:szCs w:val="22"/>
        </w:rPr>
        <w:t>运维</w:t>
      </w:r>
      <w:r>
        <w:rPr>
          <w:rFonts w:hint="eastAsia" w:ascii="宋体" w:hAnsi="宋体"/>
          <w:b/>
          <w:color w:val="000000"/>
          <w:sz w:val="22"/>
          <w:szCs w:val="22"/>
        </w:rPr>
        <w:t>标准：</w:t>
      </w:r>
    </w:p>
    <w:p>
      <w:pPr>
        <w:spacing w:after="156" w:afterLines="50"/>
        <w:ind w:firstLine="440" w:firstLineChars="200"/>
        <w:rPr>
          <w:b/>
          <w:color w:val="000000"/>
          <w:sz w:val="22"/>
          <w:szCs w:val="22"/>
        </w:rPr>
      </w:pPr>
      <w:bookmarkStart w:id="23" w:name="_Toc427680103"/>
      <w:r>
        <w:rPr>
          <w:b/>
          <w:color w:val="000000"/>
          <w:sz w:val="22"/>
          <w:szCs w:val="22"/>
        </w:rPr>
        <w:t>1、前端</w:t>
      </w:r>
      <w:r>
        <w:rPr>
          <w:rFonts w:hint="eastAsia"/>
          <w:b/>
          <w:color w:val="000000"/>
          <w:sz w:val="22"/>
          <w:szCs w:val="22"/>
        </w:rPr>
        <w:t>设备</w:t>
      </w:r>
      <w:r>
        <w:rPr>
          <w:b/>
          <w:color w:val="000000"/>
          <w:sz w:val="22"/>
          <w:szCs w:val="22"/>
        </w:rPr>
        <w:t>运维标准</w:t>
      </w:r>
      <w:bookmarkEnd w:id="23"/>
    </w:p>
    <w:p>
      <w:pPr>
        <w:spacing w:after="156" w:afterLines="50" w:line="360" w:lineRule="auto"/>
        <w:ind w:firstLine="440" w:firstLineChars="200"/>
        <w:rPr>
          <w:rFonts w:ascii="宋体" w:hAnsi="宋体"/>
          <w:color w:val="000000"/>
          <w:sz w:val="22"/>
          <w:szCs w:val="22"/>
        </w:rPr>
      </w:pPr>
      <w:r>
        <w:rPr>
          <w:rFonts w:ascii="宋体" w:hAnsi="宋体"/>
          <w:color w:val="000000"/>
          <w:sz w:val="22"/>
          <w:szCs w:val="22"/>
        </w:rPr>
        <w:t>前端</w:t>
      </w:r>
      <w:r>
        <w:rPr>
          <w:rFonts w:hint="eastAsia" w:ascii="宋体" w:hAnsi="宋体"/>
          <w:color w:val="000000"/>
          <w:sz w:val="22"/>
          <w:szCs w:val="22"/>
        </w:rPr>
        <w:t>设备</w:t>
      </w:r>
      <w:r>
        <w:rPr>
          <w:rFonts w:ascii="宋体" w:hAnsi="宋体"/>
          <w:color w:val="000000"/>
          <w:sz w:val="22"/>
          <w:szCs w:val="22"/>
        </w:rPr>
        <w:t>运维内容包括但不限于：</w:t>
      </w:r>
    </w:p>
    <w:p>
      <w:pPr>
        <w:spacing w:line="360" w:lineRule="auto"/>
        <w:ind w:firstLine="440" w:firstLineChars="200"/>
        <w:rPr>
          <w:rFonts w:ascii="宋体" w:hAnsi="宋体"/>
          <w:sz w:val="22"/>
          <w:szCs w:val="22"/>
        </w:rPr>
      </w:pPr>
      <w:r>
        <w:rPr>
          <w:rFonts w:ascii="宋体" w:hAnsi="宋体"/>
          <w:color w:val="000000"/>
          <w:sz w:val="22"/>
          <w:szCs w:val="22"/>
        </w:rPr>
        <w:t>1）</w:t>
      </w:r>
      <w:r>
        <w:rPr>
          <w:rFonts w:ascii="宋体" w:hAnsi="宋体"/>
          <w:sz w:val="22"/>
          <w:szCs w:val="22"/>
        </w:rPr>
        <w:t>前端摄像机的镜头清理、设备除尘、位置调整、设备维修及</w:t>
      </w:r>
      <w:r>
        <w:rPr>
          <w:rFonts w:hint="eastAsia" w:ascii="宋体" w:hAnsi="宋体"/>
          <w:sz w:val="22"/>
          <w:szCs w:val="22"/>
        </w:rPr>
        <w:t>保活</w:t>
      </w:r>
      <w:r>
        <w:rPr>
          <w:rFonts w:ascii="宋体" w:hAnsi="宋体"/>
          <w:sz w:val="22"/>
          <w:szCs w:val="22"/>
        </w:rPr>
        <w:t>、故障排除等；</w:t>
      </w:r>
    </w:p>
    <w:p>
      <w:pPr>
        <w:spacing w:line="360" w:lineRule="auto"/>
        <w:ind w:firstLine="440" w:firstLineChars="200"/>
        <w:rPr>
          <w:rFonts w:ascii="宋体" w:hAnsi="宋体"/>
          <w:color w:val="000000"/>
          <w:sz w:val="22"/>
          <w:szCs w:val="22"/>
        </w:rPr>
      </w:pPr>
      <w:r>
        <w:rPr>
          <w:rFonts w:ascii="宋体" w:hAnsi="宋体"/>
          <w:color w:val="000000"/>
          <w:sz w:val="22"/>
          <w:szCs w:val="22"/>
        </w:rPr>
        <w:t>2）球机外罩是否清洁、除尘；</w:t>
      </w:r>
    </w:p>
    <w:p>
      <w:pPr>
        <w:spacing w:line="360" w:lineRule="auto"/>
        <w:ind w:firstLine="440" w:firstLineChars="200"/>
        <w:rPr>
          <w:rFonts w:ascii="宋体" w:hAnsi="宋体"/>
          <w:color w:val="000000"/>
          <w:sz w:val="22"/>
          <w:szCs w:val="22"/>
        </w:rPr>
      </w:pPr>
      <w:r>
        <w:rPr>
          <w:rFonts w:ascii="宋体" w:hAnsi="宋体"/>
          <w:color w:val="000000"/>
          <w:sz w:val="22"/>
          <w:szCs w:val="22"/>
        </w:rPr>
        <w:t>3）检查杆件是否存在、损坏和有障碍物；</w:t>
      </w:r>
    </w:p>
    <w:p>
      <w:pPr>
        <w:spacing w:line="360" w:lineRule="auto"/>
        <w:ind w:firstLine="440" w:firstLineChars="200"/>
        <w:rPr>
          <w:rFonts w:ascii="宋体" w:hAnsi="宋体"/>
          <w:color w:val="000000"/>
          <w:sz w:val="22"/>
          <w:szCs w:val="22"/>
        </w:rPr>
      </w:pPr>
      <w:r>
        <w:rPr>
          <w:rFonts w:ascii="宋体" w:hAnsi="宋体"/>
          <w:color w:val="000000"/>
          <w:sz w:val="22"/>
          <w:szCs w:val="22"/>
        </w:rPr>
        <w:t>4）检查云台、护罩、控制箱是否存在、损坏；</w:t>
      </w:r>
    </w:p>
    <w:p>
      <w:pPr>
        <w:spacing w:line="360" w:lineRule="auto"/>
        <w:ind w:firstLine="440" w:firstLineChars="200"/>
        <w:rPr>
          <w:rFonts w:ascii="宋体" w:hAnsi="宋体"/>
          <w:color w:val="000000"/>
          <w:sz w:val="22"/>
          <w:szCs w:val="22"/>
        </w:rPr>
      </w:pPr>
      <w:r>
        <w:rPr>
          <w:rFonts w:ascii="宋体" w:hAnsi="宋体"/>
          <w:color w:val="000000"/>
          <w:sz w:val="22"/>
          <w:szCs w:val="22"/>
        </w:rPr>
        <w:t>5）对立杆、设备箱等设施的损坏和自然锈迹在必要时进行修复和表面翻新；</w:t>
      </w:r>
    </w:p>
    <w:p>
      <w:pPr>
        <w:spacing w:after="156" w:afterLines="50" w:line="360" w:lineRule="auto"/>
        <w:ind w:firstLine="440" w:firstLineChars="200"/>
        <w:rPr>
          <w:rFonts w:ascii="宋体" w:hAnsi="宋体"/>
          <w:color w:val="000000"/>
          <w:sz w:val="22"/>
          <w:szCs w:val="22"/>
        </w:rPr>
      </w:pPr>
      <w:r>
        <w:rPr>
          <w:rFonts w:ascii="宋体" w:hAnsi="宋体"/>
          <w:color w:val="000000"/>
          <w:sz w:val="22"/>
          <w:szCs w:val="22"/>
        </w:rPr>
        <w:t>6）前端设备的维修保活。</w:t>
      </w:r>
    </w:p>
    <w:p>
      <w:pPr>
        <w:spacing w:after="156" w:afterLines="50" w:line="360" w:lineRule="auto"/>
        <w:ind w:firstLine="440" w:firstLineChars="200"/>
        <w:rPr>
          <w:rFonts w:ascii="宋体" w:hAnsi="宋体"/>
          <w:color w:val="000000"/>
          <w:sz w:val="22"/>
          <w:szCs w:val="22"/>
        </w:rPr>
      </w:pPr>
      <w:r>
        <w:rPr>
          <w:rFonts w:ascii="宋体" w:hAnsi="宋体"/>
          <w:color w:val="000000"/>
          <w:sz w:val="22"/>
          <w:szCs w:val="22"/>
        </w:rPr>
        <w:t>前端摄像机点位每天巡检一次，摄像机和镜头每半月擦拭维护一次，清晰率需月均达到96%以上。其它设备每季度测试检查一遍，确保完好。</w:t>
      </w:r>
    </w:p>
    <w:p>
      <w:pPr>
        <w:spacing w:after="156" w:afterLines="50" w:line="360" w:lineRule="auto"/>
        <w:ind w:firstLine="440" w:firstLineChars="200"/>
        <w:rPr>
          <w:rFonts w:ascii="宋体" w:hAnsi="宋体"/>
          <w:color w:val="000000"/>
          <w:sz w:val="22"/>
          <w:szCs w:val="22"/>
        </w:rPr>
      </w:pPr>
      <w:r>
        <w:rPr>
          <w:rFonts w:ascii="宋体" w:hAnsi="宋体"/>
          <w:color w:val="000000"/>
          <w:sz w:val="22"/>
          <w:szCs w:val="22"/>
        </w:rPr>
        <w:t>运维单位需提供7×24小时响应服务。</w:t>
      </w:r>
    </w:p>
    <w:p>
      <w:pPr>
        <w:spacing w:after="156" w:afterLines="50" w:line="360" w:lineRule="auto"/>
        <w:ind w:firstLine="440" w:firstLineChars="200"/>
        <w:rPr>
          <w:rFonts w:ascii="宋体" w:hAnsi="宋体"/>
          <w:color w:val="000000"/>
          <w:sz w:val="22"/>
          <w:szCs w:val="22"/>
        </w:rPr>
      </w:pPr>
      <w:r>
        <w:rPr>
          <w:rFonts w:ascii="宋体" w:hAnsi="宋体"/>
          <w:color w:val="000000"/>
          <w:sz w:val="22"/>
          <w:szCs w:val="22"/>
        </w:rPr>
        <w:t>到达现场后，前端设备需8小时内修复，故障修复时间均以业主单位申报开始计时，若有特殊情况须经业主单位书面同意方可延长故障排除时间。</w:t>
      </w:r>
    </w:p>
    <w:p>
      <w:pPr>
        <w:spacing w:after="156" w:afterLines="50" w:line="360" w:lineRule="auto"/>
        <w:ind w:firstLine="480" w:firstLineChars="200"/>
        <w:rPr>
          <w:b/>
          <w:color w:val="000000"/>
          <w:sz w:val="24"/>
          <w:szCs w:val="18"/>
        </w:rPr>
      </w:pPr>
      <w:bookmarkStart w:id="24" w:name="_Toc427680104"/>
      <w:r>
        <w:rPr>
          <w:b/>
          <w:color w:val="000000"/>
          <w:sz w:val="24"/>
          <w:szCs w:val="18"/>
        </w:rPr>
        <w:t>2、网络平台运维标准</w:t>
      </w:r>
      <w:bookmarkEnd w:id="24"/>
    </w:p>
    <w:p>
      <w:pPr>
        <w:spacing w:after="156" w:afterLines="50" w:line="360" w:lineRule="auto"/>
        <w:ind w:firstLine="440" w:firstLineChars="200"/>
        <w:rPr>
          <w:rFonts w:ascii="宋体" w:hAnsi="宋体"/>
          <w:color w:val="000000"/>
          <w:sz w:val="22"/>
          <w:szCs w:val="22"/>
        </w:rPr>
      </w:pPr>
      <w:r>
        <w:rPr>
          <w:rFonts w:ascii="宋体" w:hAnsi="宋体"/>
          <w:color w:val="000000"/>
          <w:sz w:val="22"/>
          <w:szCs w:val="22"/>
        </w:rPr>
        <w:t>本项目传输网络架构保持不变，其中，前端到系统的传输及供电由运营商负责，运维单位需要对系统内网络</w:t>
      </w:r>
      <w:r>
        <w:rPr>
          <w:rFonts w:hint="eastAsia" w:ascii="宋体" w:hAnsi="宋体"/>
          <w:color w:val="000000"/>
          <w:sz w:val="22"/>
          <w:szCs w:val="22"/>
        </w:rPr>
        <w:t>平台</w:t>
      </w:r>
      <w:r>
        <w:rPr>
          <w:rFonts w:ascii="宋体" w:hAnsi="宋体"/>
          <w:color w:val="000000"/>
          <w:sz w:val="22"/>
          <w:szCs w:val="22"/>
        </w:rPr>
        <w:t>的运行状况、运行环境进行现状调研、系统分析和评估并</w:t>
      </w:r>
      <w:r>
        <w:rPr>
          <w:rFonts w:hint="eastAsia" w:ascii="宋体" w:hAnsi="宋体"/>
          <w:color w:val="000000"/>
          <w:sz w:val="22"/>
          <w:szCs w:val="22"/>
        </w:rPr>
        <w:t>做好运行维护工作</w:t>
      </w:r>
      <w:r>
        <w:rPr>
          <w:rFonts w:ascii="宋体" w:hAnsi="宋体"/>
          <w:color w:val="000000"/>
          <w:sz w:val="22"/>
          <w:szCs w:val="22"/>
        </w:rPr>
        <w:t>。</w:t>
      </w:r>
    </w:p>
    <w:p>
      <w:pPr>
        <w:spacing w:after="156" w:afterLines="50" w:line="360" w:lineRule="auto"/>
        <w:ind w:firstLine="440" w:firstLineChars="200"/>
        <w:rPr>
          <w:rFonts w:ascii="宋体" w:hAnsi="宋体"/>
          <w:color w:val="000000"/>
          <w:sz w:val="22"/>
          <w:szCs w:val="22"/>
        </w:rPr>
      </w:pPr>
      <w:r>
        <w:rPr>
          <w:rFonts w:ascii="宋体" w:hAnsi="宋体"/>
          <w:color w:val="000000"/>
          <w:sz w:val="22"/>
          <w:szCs w:val="22"/>
        </w:rPr>
        <w:t>网络</w:t>
      </w:r>
      <w:r>
        <w:rPr>
          <w:rFonts w:hint="eastAsia" w:ascii="宋体" w:hAnsi="宋体"/>
          <w:color w:val="000000"/>
          <w:sz w:val="22"/>
          <w:szCs w:val="22"/>
        </w:rPr>
        <w:t>平台</w:t>
      </w:r>
      <w:r>
        <w:rPr>
          <w:rFonts w:ascii="宋体" w:hAnsi="宋体"/>
          <w:color w:val="000000"/>
          <w:sz w:val="22"/>
          <w:szCs w:val="22"/>
        </w:rPr>
        <w:t>运维的内容包括但不限于：</w:t>
      </w:r>
    </w:p>
    <w:p>
      <w:pPr>
        <w:spacing w:line="360" w:lineRule="auto"/>
        <w:ind w:firstLine="440" w:firstLineChars="200"/>
        <w:rPr>
          <w:rFonts w:ascii="宋体" w:hAnsi="宋体"/>
          <w:color w:val="000000"/>
          <w:sz w:val="22"/>
          <w:szCs w:val="22"/>
        </w:rPr>
      </w:pPr>
      <w:r>
        <w:rPr>
          <w:rFonts w:ascii="宋体" w:hAnsi="宋体"/>
          <w:color w:val="000000"/>
          <w:sz w:val="22"/>
          <w:szCs w:val="22"/>
        </w:rPr>
        <w:t>1）光纤收发器等的检测、故障排除、隐患排查；</w:t>
      </w:r>
    </w:p>
    <w:p>
      <w:pPr>
        <w:spacing w:line="360" w:lineRule="auto"/>
        <w:ind w:firstLine="440" w:firstLineChars="200"/>
        <w:rPr>
          <w:rFonts w:ascii="宋体" w:hAnsi="宋体"/>
          <w:color w:val="000000"/>
          <w:sz w:val="22"/>
          <w:szCs w:val="22"/>
        </w:rPr>
      </w:pPr>
      <w:r>
        <w:rPr>
          <w:rFonts w:ascii="宋体" w:hAnsi="宋体"/>
          <w:color w:val="000000"/>
          <w:sz w:val="22"/>
          <w:szCs w:val="22"/>
        </w:rPr>
        <w:t>2）摄像机控制线路</w:t>
      </w:r>
      <w:r>
        <w:rPr>
          <w:rFonts w:hint="eastAsia" w:ascii="宋体" w:hAnsi="宋体"/>
          <w:color w:val="000000"/>
          <w:sz w:val="22"/>
          <w:szCs w:val="22"/>
        </w:rPr>
        <w:t>等</w:t>
      </w:r>
      <w:r>
        <w:rPr>
          <w:rFonts w:ascii="宋体" w:hAnsi="宋体"/>
          <w:color w:val="000000"/>
          <w:sz w:val="22"/>
          <w:szCs w:val="22"/>
        </w:rPr>
        <w:t>电缆是否裸露、破损；</w:t>
      </w:r>
    </w:p>
    <w:p>
      <w:pPr>
        <w:spacing w:line="360" w:lineRule="auto"/>
        <w:ind w:firstLine="440" w:firstLineChars="200"/>
        <w:rPr>
          <w:rFonts w:ascii="宋体" w:hAnsi="宋体"/>
          <w:color w:val="000000"/>
          <w:sz w:val="22"/>
          <w:szCs w:val="22"/>
        </w:rPr>
      </w:pPr>
      <w:r>
        <w:rPr>
          <w:rFonts w:ascii="宋体" w:hAnsi="宋体"/>
          <w:color w:val="000000"/>
          <w:sz w:val="22"/>
          <w:szCs w:val="22"/>
        </w:rPr>
        <w:t>3）所有接口、线路接口的检测；</w:t>
      </w:r>
    </w:p>
    <w:p>
      <w:pPr>
        <w:spacing w:line="360" w:lineRule="auto"/>
        <w:ind w:firstLine="440" w:firstLineChars="200"/>
        <w:rPr>
          <w:rFonts w:ascii="宋体" w:hAnsi="宋体"/>
          <w:color w:val="000000"/>
          <w:sz w:val="22"/>
          <w:szCs w:val="22"/>
        </w:rPr>
      </w:pPr>
      <w:r>
        <w:rPr>
          <w:rFonts w:ascii="宋体" w:hAnsi="宋体"/>
          <w:color w:val="000000"/>
          <w:sz w:val="22"/>
          <w:szCs w:val="22"/>
        </w:rPr>
        <w:t>4）信号是否衰减；</w:t>
      </w:r>
    </w:p>
    <w:p>
      <w:pPr>
        <w:spacing w:line="360" w:lineRule="auto"/>
        <w:ind w:firstLine="440" w:firstLineChars="200"/>
        <w:rPr>
          <w:rFonts w:ascii="宋体" w:hAnsi="宋体"/>
          <w:color w:val="000000"/>
          <w:sz w:val="22"/>
          <w:szCs w:val="22"/>
        </w:rPr>
      </w:pPr>
      <w:r>
        <w:rPr>
          <w:rFonts w:ascii="宋体" w:hAnsi="宋体"/>
          <w:color w:val="000000"/>
          <w:sz w:val="22"/>
          <w:szCs w:val="22"/>
        </w:rPr>
        <w:t>5）传输设备的维修保活；</w:t>
      </w:r>
    </w:p>
    <w:p>
      <w:pPr>
        <w:spacing w:after="156" w:afterLines="50" w:line="360" w:lineRule="auto"/>
        <w:ind w:firstLine="440" w:firstLineChars="200"/>
        <w:rPr>
          <w:rFonts w:ascii="宋体" w:hAnsi="宋体"/>
          <w:color w:val="000000"/>
          <w:sz w:val="22"/>
          <w:szCs w:val="22"/>
        </w:rPr>
      </w:pPr>
      <w:r>
        <w:rPr>
          <w:rFonts w:ascii="宋体" w:hAnsi="宋体"/>
          <w:color w:val="000000"/>
          <w:sz w:val="22"/>
          <w:szCs w:val="22"/>
        </w:rPr>
        <w:t>6）网络设备的运行状态监测。</w:t>
      </w:r>
    </w:p>
    <w:p>
      <w:pPr>
        <w:spacing w:after="156" w:afterLines="50" w:line="360" w:lineRule="auto"/>
        <w:ind w:firstLine="440" w:firstLineChars="200"/>
        <w:rPr>
          <w:rFonts w:ascii="宋体" w:hAnsi="宋体"/>
          <w:color w:val="000000"/>
          <w:sz w:val="22"/>
          <w:szCs w:val="22"/>
        </w:rPr>
      </w:pPr>
      <w:r>
        <w:rPr>
          <w:rFonts w:ascii="宋体" w:hAnsi="宋体"/>
          <w:color w:val="000000"/>
          <w:sz w:val="22"/>
          <w:szCs w:val="22"/>
        </w:rPr>
        <w:t>运维单位需提供7×24小时响应服务。</w:t>
      </w:r>
    </w:p>
    <w:p>
      <w:pPr>
        <w:spacing w:after="156" w:afterLines="50" w:line="360" w:lineRule="auto"/>
        <w:ind w:firstLine="440" w:firstLineChars="200"/>
        <w:rPr>
          <w:color w:val="000000"/>
          <w:sz w:val="22"/>
          <w:szCs w:val="22"/>
        </w:rPr>
      </w:pPr>
      <w:r>
        <w:rPr>
          <w:rFonts w:ascii="宋体" w:hAnsi="宋体"/>
          <w:color w:val="000000"/>
          <w:sz w:val="22"/>
          <w:szCs w:val="22"/>
        </w:rPr>
        <w:t>到达现场后，传输设备需8小时内修复，故障修复时间均以业主单位申报开始计时，若有特殊</w:t>
      </w:r>
      <w:r>
        <w:rPr>
          <w:color w:val="000000"/>
          <w:sz w:val="22"/>
          <w:szCs w:val="22"/>
        </w:rPr>
        <w:t>情况须经业主单位书面同意方可延长故障排除时间。</w:t>
      </w:r>
    </w:p>
    <w:p>
      <w:pPr>
        <w:spacing w:after="156" w:afterLines="50" w:line="360" w:lineRule="auto"/>
        <w:ind w:firstLine="480" w:firstLineChars="200"/>
        <w:rPr>
          <w:b/>
          <w:color w:val="000000"/>
          <w:sz w:val="24"/>
          <w:szCs w:val="18"/>
        </w:rPr>
      </w:pPr>
      <w:bookmarkStart w:id="25" w:name="_Toc427680105"/>
      <w:r>
        <w:rPr>
          <w:b/>
          <w:color w:val="000000"/>
          <w:sz w:val="24"/>
          <w:szCs w:val="18"/>
        </w:rPr>
        <w:t>3、后端设备运维标准</w:t>
      </w:r>
      <w:bookmarkEnd w:id="25"/>
    </w:p>
    <w:p>
      <w:pPr>
        <w:spacing w:after="156" w:afterLines="50" w:line="360" w:lineRule="auto"/>
        <w:ind w:firstLine="440" w:firstLineChars="200"/>
        <w:rPr>
          <w:rFonts w:ascii="宋体" w:hAnsi="宋体"/>
          <w:color w:val="000000"/>
          <w:sz w:val="22"/>
          <w:szCs w:val="22"/>
        </w:rPr>
      </w:pPr>
      <w:r>
        <w:rPr>
          <w:rFonts w:ascii="宋体" w:hAnsi="宋体"/>
          <w:color w:val="000000"/>
          <w:sz w:val="22"/>
          <w:szCs w:val="22"/>
        </w:rPr>
        <w:t>本项目后端</w:t>
      </w:r>
      <w:r>
        <w:rPr>
          <w:rFonts w:hint="eastAsia" w:ascii="宋体" w:hAnsi="宋体"/>
          <w:color w:val="000000"/>
          <w:sz w:val="22"/>
          <w:szCs w:val="22"/>
        </w:rPr>
        <w:t>设备运维包括对硬件平台、</w:t>
      </w:r>
      <w:r>
        <w:rPr>
          <w:rFonts w:ascii="宋体" w:hAnsi="宋体"/>
          <w:color w:val="000000"/>
          <w:sz w:val="22"/>
          <w:szCs w:val="22"/>
        </w:rPr>
        <w:t>110指挥中心</w:t>
      </w:r>
      <w:r>
        <w:rPr>
          <w:rFonts w:hint="eastAsia" w:ascii="宋体" w:hAnsi="宋体"/>
          <w:color w:val="000000"/>
          <w:sz w:val="22"/>
          <w:szCs w:val="22"/>
        </w:rPr>
        <w:t>大屏控制与显示设备进行维护</w:t>
      </w:r>
      <w:r>
        <w:rPr>
          <w:rFonts w:ascii="宋体" w:hAnsi="宋体"/>
          <w:color w:val="000000"/>
          <w:sz w:val="22"/>
          <w:szCs w:val="22"/>
        </w:rPr>
        <w:t>。</w:t>
      </w:r>
    </w:p>
    <w:p>
      <w:pPr>
        <w:spacing w:line="360" w:lineRule="auto"/>
        <w:ind w:firstLine="440" w:firstLineChars="200"/>
        <w:rPr>
          <w:rFonts w:ascii="宋体" w:hAnsi="宋体"/>
          <w:color w:val="000000"/>
          <w:sz w:val="22"/>
          <w:szCs w:val="22"/>
        </w:rPr>
      </w:pPr>
      <w:r>
        <w:rPr>
          <w:rFonts w:ascii="宋体" w:hAnsi="宋体"/>
          <w:color w:val="000000"/>
          <w:sz w:val="22"/>
          <w:szCs w:val="22"/>
        </w:rPr>
        <w:t>1）日常巡检</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3994"/>
        <w:gridCol w:w="3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4" w:type="dxa"/>
            <w:noWrap w:val="0"/>
            <w:tcMar>
              <w:left w:w="57" w:type="dxa"/>
              <w:right w:w="57" w:type="dxa"/>
            </w:tcMar>
            <w:vAlign w:val="center"/>
          </w:tcPr>
          <w:p>
            <w:pPr>
              <w:spacing w:line="360" w:lineRule="auto"/>
              <w:jc w:val="center"/>
              <w:rPr>
                <w:rFonts w:ascii="宋体" w:hAnsi="宋体"/>
                <w:b/>
                <w:color w:val="000000"/>
                <w:sz w:val="22"/>
                <w:szCs w:val="22"/>
              </w:rPr>
            </w:pPr>
            <w:r>
              <w:rPr>
                <w:rFonts w:ascii="宋体" w:hAnsi="宋体"/>
                <w:b/>
                <w:color w:val="000000"/>
                <w:sz w:val="22"/>
                <w:szCs w:val="22"/>
              </w:rPr>
              <w:t>服务对象</w:t>
            </w:r>
          </w:p>
        </w:tc>
        <w:tc>
          <w:tcPr>
            <w:tcW w:w="3994" w:type="dxa"/>
            <w:noWrap w:val="0"/>
            <w:tcMar>
              <w:left w:w="57" w:type="dxa"/>
              <w:right w:w="57" w:type="dxa"/>
            </w:tcMar>
            <w:vAlign w:val="center"/>
          </w:tcPr>
          <w:p>
            <w:pPr>
              <w:spacing w:line="360" w:lineRule="auto"/>
              <w:jc w:val="center"/>
              <w:rPr>
                <w:rFonts w:ascii="宋体" w:hAnsi="宋体"/>
                <w:b/>
                <w:color w:val="000000"/>
                <w:sz w:val="22"/>
                <w:szCs w:val="22"/>
              </w:rPr>
            </w:pPr>
            <w:r>
              <w:rPr>
                <w:rFonts w:ascii="宋体" w:hAnsi="宋体"/>
                <w:b/>
                <w:color w:val="000000"/>
                <w:sz w:val="22"/>
                <w:szCs w:val="22"/>
              </w:rPr>
              <w:t>性能检查内容</w:t>
            </w:r>
          </w:p>
        </w:tc>
        <w:tc>
          <w:tcPr>
            <w:tcW w:w="3306" w:type="dxa"/>
            <w:noWrap w:val="0"/>
            <w:tcMar>
              <w:left w:w="57" w:type="dxa"/>
              <w:right w:w="57" w:type="dxa"/>
            </w:tcMar>
            <w:vAlign w:val="center"/>
          </w:tcPr>
          <w:p>
            <w:pPr>
              <w:spacing w:line="360" w:lineRule="auto"/>
              <w:jc w:val="center"/>
              <w:rPr>
                <w:rFonts w:ascii="宋体" w:hAnsi="宋体"/>
                <w:b/>
                <w:color w:val="000000"/>
                <w:sz w:val="22"/>
                <w:szCs w:val="22"/>
              </w:rPr>
            </w:pPr>
            <w:r>
              <w:rPr>
                <w:rFonts w:ascii="宋体" w:hAnsi="宋体"/>
                <w:b/>
                <w:color w:val="000000"/>
                <w:sz w:val="22"/>
                <w:szCs w:val="22"/>
              </w:rPr>
              <w:t>脆弱性检查内容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4" w:type="dxa"/>
            <w:noWrap w:val="0"/>
            <w:tcMar>
              <w:left w:w="57" w:type="dxa"/>
              <w:right w:w="57" w:type="dxa"/>
            </w:tcMar>
            <w:vAlign w:val="center"/>
          </w:tcPr>
          <w:p>
            <w:pPr>
              <w:spacing w:line="360" w:lineRule="auto"/>
              <w:jc w:val="center"/>
              <w:rPr>
                <w:rFonts w:ascii="宋体" w:hAnsi="宋体"/>
                <w:color w:val="000000"/>
                <w:sz w:val="22"/>
                <w:szCs w:val="22"/>
              </w:rPr>
            </w:pPr>
            <w:r>
              <w:rPr>
                <w:rFonts w:ascii="宋体" w:hAnsi="宋体"/>
                <w:color w:val="000000"/>
                <w:sz w:val="22"/>
                <w:szCs w:val="22"/>
              </w:rPr>
              <w:t>网络及网络设备</w:t>
            </w:r>
          </w:p>
        </w:tc>
        <w:tc>
          <w:tcPr>
            <w:tcW w:w="3994" w:type="dxa"/>
            <w:noWrap w:val="0"/>
            <w:tcMar>
              <w:left w:w="57" w:type="dxa"/>
              <w:right w:w="57" w:type="dxa"/>
            </w:tcMar>
            <w:vAlign w:val="center"/>
          </w:tcPr>
          <w:p>
            <w:pPr>
              <w:spacing w:line="360" w:lineRule="auto"/>
              <w:rPr>
                <w:rFonts w:ascii="宋体" w:hAnsi="宋体"/>
                <w:color w:val="000000"/>
                <w:sz w:val="22"/>
                <w:szCs w:val="22"/>
              </w:rPr>
            </w:pPr>
            <w:r>
              <w:rPr>
                <w:rFonts w:ascii="宋体" w:hAnsi="宋体"/>
                <w:color w:val="000000"/>
                <w:sz w:val="22"/>
                <w:szCs w:val="22"/>
              </w:rPr>
              <w:t>网络设备非业务繁忙期CPU使用峰值情况</w:t>
            </w:r>
          </w:p>
          <w:p>
            <w:pPr>
              <w:spacing w:line="360" w:lineRule="auto"/>
              <w:rPr>
                <w:rFonts w:ascii="宋体" w:hAnsi="宋体"/>
                <w:color w:val="000000"/>
                <w:sz w:val="22"/>
                <w:szCs w:val="22"/>
              </w:rPr>
            </w:pPr>
            <w:r>
              <w:rPr>
                <w:rFonts w:ascii="宋体" w:hAnsi="宋体"/>
                <w:color w:val="000000"/>
                <w:sz w:val="22"/>
                <w:szCs w:val="22"/>
              </w:rPr>
              <w:t>网络设备非业务繁忙期内存使用峰值情况</w:t>
            </w:r>
          </w:p>
          <w:p>
            <w:pPr>
              <w:spacing w:line="360" w:lineRule="auto"/>
              <w:rPr>
                <w:rFonts w:ascii="宋体" w:hAnsi="宋体"/>
                <w:color w:val="000000"/>
                <w:sz w:val="22"/>
                <w:szCs w:val="22"/>
              </w:rPr>
            </w:pPr>
            <w:r>
              <w:rPr>
                <w:rFonts w:ascii="宋体" w:hAnsi="宋体"/>
                <w:color w:val="000000"/>
                <w:sz w:val="22"/>
                <w:szCs w:val="22"/>
              </w:rPr>
              <w:t>设备板卡或模块状态使用情况</w:t>
            </w:r>
          </w:p>
          <w:p>
            <w:pPr>
              <w:spacing w:line="360" w:lineRule="auto"/>
              <w:rPr>
                <w:rFonts w:ascii="宋体" w:hAnsi="宋体"/>
                <w:color w:val="000000"/>
                <w:sz w:val="22"/>
                <w:szCs w:val="22"/>
              </w:rPr>
            </w:pPr>
            <w:r>
              <w:rPr>
                <w:rFonts w:ascii="宋体" w:hAnsi="宋体"/>
                <w:color w:val="000000"/>
                <w:sz w:val="22"/>
                <w:szCs w:val="22"/>
              </w:rPr>
              <w:t>设备机身工作使用情况</w:t>
            </w:r>
          </w:p>
          <w:p>
            <w:pPr>
              <w:spacing w:line="360" w:lineRule="auto"/>
              <w:rPr>
                <w:rFonts w:ascii="宋体" w:hAnsi="宋体"/>
                <w:color w:val="000000"/>
                <w:sz w:val="22"/>
                <w:szCs w:val="22"/>
              </w:rPr>
            </w:pPr>
            <w:r>
              <w:rPr>
                <w:rFonts w:ascii="宋体" w:hAnsi="宋体"/>
                <w:color w:val="000000"/>
                <w:sz w:val="22"/>
                <w:szCs w:val="22"/>
              </w:rPr>
              <w:t>设备机身工作使用情况</w:t>
            </w:r>
          </w:p>
          <w:p>
            <w:pPr>
              <w:spacing w:line="360" w:lineRule="auto"/>
              <w:rPr>
                <w:rFonts w:ascii="宋体" w:hAnsi="宋体"/>
                <w:color w:val="000000"/>
                <w:sz w:val="22"/>
                <w:szCs w:val="22"/>
              </w:rPr>
            </w:pPr>
            <w:r>
              <w:rPr>
                <w:rFonts w:ascii="宋体" w:hAnsi="宋体"/>
                <w:color w:val="000000"/>
                <w:sz w:val="22"/>
                <w:szCs w:val="22"/>
              </w:rPr>
              <w:t>主要端口的利用率</w:t>
            </w:r>
          </w:p>
          <w:p>
            <w:pPr>
              <w:spacing w:line="360" w:lineRule="auto"/>
              <w:rPr>
                <w:rFonts w:ascii="宋体" w:hAnsi="宋体"/>
                <w:color w:val="000000"/>
                <w:sz w:val="22"/>
                <w:szCs w:val="22"/>
              </w:rPr>
            </w:pPr>
            <w:r>
              <w:rPr>
                <w:rFonts w:ascii="宋体" w:hAnsi="宋体"/>
                <w:color w:val="000000"/>
                <w:sz w:val="22"/>
                <w:szCs w:val="22"/>
              </w:rPr>
              <w:t>链路的健康状态，包括IP包传输时延、IP包丢失率、IP包误差率、无效IP包（包括攻击性IP包、欺骗性IP包、垃圾IP包等）</w:t>
            </w:r>
          </w:p>
          <w:p>
            <w:pPr>
              <w:spacing w:line="360" w:lineRule="auto"/>
              <w:rPr>
                <w:rFonts w:ascii="宋体" w:hAnsi="宋体"/>
                <w:color w:val="000000"/>
                <w:sz w:val="22"/>
                <w:szCs w:val="22"/>
              </w:rPr>
            </w:pPr>
            <w:r>
              <w:rPr>
                <w:rFonts w:ascii="宋体" w:hAnsi="宋体"/>
                <w:color w:val="000000"/>
                <w:sz w:val="22"/>
                <w:szCs w:val="22"/>
              </w:rPr>
              <w:t>检查其它的关键指标项，例如各类关键表项、会话连接数等</w:t>
            </w:r>
          </w:p>
        </w:tc>
        <w:tc>
          <w:tcPr>
            <w:tcW w:w="3306" w:type="dxa"/>
            <w:noWrap w:val="0"/>
            <w:tcMar>
              <w:left w:w="57" w:type="dxa"/>
              <w:right w:w="57" w:type="dxa"/>
            </w:tcMar>
            <w:vAlign w:val="center"/>
          </w:tcPr>
          <w:p>
            <w:pPr>
              <w:spacing w:line="360" w:lineRule="auto"/>
              <w:rPr>
                <w:rFonts w:ascii="宋体" w:hAnsi="宋体"/>
                <w:color w:val="000000"/>
                <w:sz w:val="22"/>
                <w:szCs w:val="22"/>
              </w:rPr>
            </w:pPr>
            <w:r>
              <w:rPr>
                <w:rFonts w:ascii="宋体" w:hAnsi="宋体"/>
                <w:color w:val="000000"/>
                <w:sz w:val="22"/>
                <w:szCs w:val="22"/>
              </w:rPr>
              <w:t>是否需要升级系统微码</w:t>
            </w:r>
          </w:p>
          <w:p>
            <w:pPr>
              <w:spacing w:line="360" w:lineRule="auto"/>
              <w:rPr>
                <w:rFonts w:ascii="宋体" w:hAnsi="宋体"/>
                <w:color w:val="000000"/>
                <w:sz w:val="22"/>
                <w:szCs w:val="22"/>
              </w:rPr>
            </w:pPr>
            <w:r>
              <w:rPr>
                <w:rFonts w:ascii="宋体" w:hAnsi="宋体"/>
                <w:color w:val="000000"/>
                <w:sz w:val="22"/>
                <w:szCs w:val="22"/>
              </w:rPr>
              <w:t>设备链路的冗余度要求</w:t>
            </w:r>
          </w:p>
          <w:p>
            <w:pPr>
              <w:spacing w:line="360" w:lineRule="auto"/>
              <w:rPr>
                <w:rFonts w:ascii="宋体" w:hAnsi="宋体"/>
                <w:color w:val="000000"/>
                <w:sz w:val="22"/>
                <w:szCs w:val="22"/>
              </w:rPr>
            </w:pPr>
            <w:r>
              <w:rPr>
                <w:rFonts w:ascii="宋体" w:hAnsi="宋体"/>
                <w:color w:val="000000"/>
                <w:sz w:val="22"/>
                <w:szCs w:val="22"/>
              </w:rPr>
              <w:t>设备链路的冗余度要求</w:t>
            </w:r>
          </w:p>
          <w:p>
            <w:pPr>
              <w:spacing w:line="360" w:lineRule="auto"/>
              <w:rPr>
                <w:rFonts w:ascii="宋体" w:hAnsi="宋体"/>
                <w:color w:val="000000"/>
                <w:sz w:val="22"/>
                <w:szCs w:val="22"/>
              </w:rPr>
            </w:pPr>
            <w:r>
              <w:rPr>
                <w:rFonts w:ascii="宋体" w:hAnsi="宋体"/>
                <w:color w:val="000000"/>
                <w:sz w:val="22"/>
                <w:szCs w:val="22"/>
              </w:rPr>
              <w:t>安全事件周期性整理分析</w:t>
            </w:r>
          </w:p>
          <w:p>
            <w:pPr>
              <w:spacing w:line="360" w:lineRule="auto"/>
              <w:rPr>
                <w:rFonts w:ascii="宋体" w:hAnsi="宋体"/>
                <w:color w:val="000000"/>
                <w:sz w:val="22"/>
                <w:szCs w:val="22"/>
              </w:rPr>
            </w:pPr>
            <w:r>
              <w:rPr>
                <w:rFonts w:ascii="宋体" w:hAnsi="宋体"/>
                <w:color w:val="000000"/>
                <w:sz w:val="22"/>
                <w:szCs w:val="22"/>
              </w:rPr>
              <w:t>设备生命周期评估</w:t>
            </w:r>
          </w:p>
          <w:p>
            <w:pPr>
              <w:spacing w:line="360" w:lineRule="auto"/>
              <w:rPr>
                <w:rFonts w:ascii="宋体" w:hAnsi="宋体"/>
                <w:color w:val="000000"/>
                <w:sz w:val="22"/>
                <w:szCs w:val="22"/>
              </w:rPr>
            </w:pPr>
            <w:r>
              <w:rPr>
                <w:rFonts w:ascii="宋体" w:hAnsi="宋体"/>
                <w:color w:val="000000"/>
                <w:sz w:val="22"/>
                <w:szCs w:val="22"/>
              </w:rPr>
              <w:t>备件可用性周期性检查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4" w:type="dxa"/>
            <w:noWrap w:val="0"/>
            <w:tcMar>
              <w:left w:w="57" w:type="dxa"/>
              <w:right w:w="57" w:type="dxa"/>
            </w:tcMar>
            <w:vAlign w:val="center"/>
          </w:tcPr>
          <w:p>
            <w:pPr>
              <w:spacing w:line="360" w:lineRule="auto"/>
              <w:jc w:val="center"/>
              <w:rPr>
                <w:rFonts w:ascii="宋体" w:hAnsi="宋体"/>
                <w:color w:val="000000"/>
                <w:sz w:val="22"/>
                <w:szCs w:val="22"/>
              </w:rPr>
            </w:pPr>
            <w:r>
              <w:rPr>
                <w:rFonts w:ascii="宋体" w:hAnsi="宋体"/>
                <w:color w:val="000000"/>
                <w:sz w:val="22"/>
                <w:szCs w:val="22"/>
              </w:rPr>
              <w:t>服务器</w:t>
            </w:r>
          </w:p>
        </w:tc>
        <w:tc>
          <w:tcPr>
            <w:tcW w:w="3994" w:type="dxa"/>
            <w:noWrap w:val="0"/>
            <w:tcMar>
              <w:left w:w="57" w:type="dxa"/>
              <w:right w:w="57" w:type="dxa"/>
            </w:tcMar>
            <w:vAlign w:val="center"/>
          </w:tcPr>
          <w:p>
            <w:pPr>
              <w:spacing w:line="360" w:lineRule="auto"/>
              <w:rPr>
                <w:rFonts w:ascii="宋体" w:hAnsi="宋体"/>
                <w:color w:val="000000"/>
                <w:sz w:val="22"/>
                <w:szCs w:val="22"/>
              </w:rPr>
            </w:pPr>
            <w:r>
              <w:rPr>
                <w:rFonts w:ascii="宋体" w:hAnsi="宋体"/>
                <w:color w:val="000000"/>
                <w:sz w:val="22"/>
                <w:szCs w:val="22"/>
              </w:rPr>
              <w:t>服务器CPU扩展性</w:t>
            </w:r>
          </w:p>
          <w:p>
            <w:pPr>
              <w:spacing w:line="360" w:lineRule="auto"/>
              <w:rPr>
                <w:rFonts w:ascii="宋体" w:hAnsi="宋体"/>
                <w:color w:val="000000"/>
                <w:sz w:val="22"/>
                <w:szCs w:val="22"/>
              </w:rPr>
            </w:pPr>
            <w:r>
              <w:rPr>
                <w:rFonts w:ascii="宋体" w:hAnsi="宋体"/>
                <w:color w:val="000000"/>
                <w:sz w:val="22"/>
                <w:szCs w:val="22"/>
              </w:rPr>
              <w:t>服务器内存扩展性</w:t>
            </w:r>
          </w:p>
          <w:p>
            <w:pPr>
              <w:spacing w:line="360" w:lineRule="auto"/>
              <w:rPr>
                <w:rFonts w:ascii="宋体" w:hAnsi="宋体"/>
                <w:color w:val="000000"/>
                <w:sz w:val="22"/>
                <w:szCs w:val="22"/>
              </w:rPr>
            </w:pPr>
            <w:r>
              <w:rPr>
                <w:rFonts w:ascii="宋体" w:hAnsi="宋体"/>
                <w:color w:val="000000"/>
                <w:sz w:val="22"/>
                <w:szCs w:val="22"/>
              </w:rPr>
              <w:t>服务器硬盘扩展性</w:t>
            </w:r>
          </w:p>
          <w:p>
            <w:pPr>
              <w:spacing w:line="360" w:lineRule="auto"/>
              <w:rPr>
                <w:rFonts w:ascii="宋体" w:hAnsi="宋体"/>
                <w:color w:val="000000"/>
                <w:sz w:val="22"/>
                <w:szCs w:val="22"/>
              </w:rPr>
            </w:pPr>
            <w:r>
              <w:rPr>
                <w:rFonts w:ascii="宋体" w:hAnsi="宋体"/>
                <w:color w:val="000000"/>
                <w:sz w:val="22"/>
                <w:szCs w:val="22"/>
              </w:rPr>
              <w:t>服务器PCI卡扩展性</w:t>
            </w:r>
          </w:p>
          <w:p>
            <w:pPr>
              <w:spacing w:line="360" w:lineRule="auto"/>
              <w:rPr>
                <w:rFonts w:ascii="宋体" w:hAnsi="宋体"/>
                <w:color w:val="000000"/>
                <w:sz w:val="22"/>
                <w:szCs w:val="22"/>
              </w:rPr>
            </w:pPr>
            <w:r>
              <w:rPr>
                <w:rFonts w:ascii="宋体" w:hAnsi="宋体"/>
                <w:color w:val="000000"/>
                <w:sz w:val="22"/>
                <w:szCs w:val="22"/>
              </w:rPr>
              <w:t>服务器电源扩展性</w:t>
            </w:r>
          </w:p>
          <w:p>
            <w:pPr>
              <w:spacing w:line="360" w:lineRule="auto"/>
              <w:rPr>
                <w:rFonts w:ascii="宋体" w:hAnsi="宋体"/>
                <w:color w:val="000000"/>
                <w:sz w:val="22"/>
                <w:szCs w:val="22"/>
              </w:rPr>
            </w:pPr>
            <w:r>
              <w:rPr>
                <w:rFonts w:ascii="宋体" w:hAnsi="宋体"/>
                <w:color w:val="000000"/>
                <w:sz w:val="22"/>
                <w:szCs w:val="22"/>
              </w:rPr>
              <w:t>服务器关键部件是否支持在线更换</w:t>
            </w:r>
          </w:p>
        </w:tc>
        <w:tc>
          <w:tcPr>
            <w:tcW w:w="3306" w:type="dxa"/>
            <w:noWrap w:val="0"/>
            <w:tcMar>
              <w:left w:w="57" w:type="dxa"/>
              <w:right w:w="57" w:type="dxa"/>
            </w:tcMar>
            <w:vAlign w:val="center"/>
          </w:tcPr>
          <w:p>
            <w:pPr>
              <w:spacing w:line="360" w:lineRule="auto"/>
              <w:rPr>
                <w:rFonts w:ascii="宋体" w:hAnsi="宋体"/>
                <w:color w:val="000000"/>
                <w:sz w:val="22"/>
                <w:szCs w:val="22"/>
              </w:rPr>
            </w:pPr>
            <w:r>
              <w:rPr>
                <w:rFonts w:ascii="宋体" w:hAnsi="宋体"/>
                <w:color w:val="000000"/>
                <w:sz w:val="22"/>
                <w:szCs w:val="22"/>
              </w:rPr>
              <w:t>服务器关键部件是否满足运行冗余度要求</w:t>
            </w:r>
          </w:p>
          <w:p>
            <w:pPr>
              <w:spacing w:line="360" w:lineRule="auto"/>
              <w:rPr>
                <w:rFonts w:ascii="宋体" w:hAnsi="宋体"/>
                <w:color w:val="000000"/>
                <w:sz w:val="22"/>
                <w:szCs w:val="22"/>
              </w:rPr>
            </w:pPr>
            <w:r>
              <w:rPr>
                <w:rFonts w:ascii="宋体" w:hAnsi="宋体"/>
                <w:color w:val="000000"/>
                <w:sz w:val="22"/>
                <w:szCs w:val="22"/>
              </w:rPr>
              <w:t>服务器关键部件的微码版本是否需要升级</w:t>
            </w:r>
          </w:p>
          <w:p>
            <w:pPr>
              <w:spacing w:line="360" w:lineRule="auto"/>
              <w:rPr>
                <w:rFonts w:ascii="宋体" w:hAnsi="宋体"/>
                <w:color w:val="000000"/>
                <w:sz w:val="22"/>
                <w:szCs w:val="22"/>
              </w:rPr>
            </w:pPr>
            <w:r>
              <w:rPr>
                <w:rFonts w:ascii="宋体" w:hAnsi="宋体"/>
                <w:color w:val="000000"/>
                <w:sz w:val="22"/>
                <w:szCs w:val="22"/>
              </w:rPr>
              <w:t>服务器关键部件链路的冗余度要求</w:t>
            </w:r>
          </w:p>
          <w:p>
            <w:pPr>
              <w:spacing w:line="360" w:lineRule="auto"/>
              <w:rPr>
                <w:rFonts w:ascii="宋体" w:hAnsi="宋体"/>
                <w:color w:val="000000"/>
                <w:sz w:val="22"/>
                <w:szCs w:val="22"/>
              </w:rPr>
            </w:pPr>
            <w:r>
              <w:rPr>
                <w:rFonts w:ascii="宋体" w:hAnsi="宋体"/>
                <w:color w:val="000000"/>
                <w:sz w:val="22"/>
                <w:szCs w:val="22"/>
              </w:rPr>
              <w:t>服务器硬盘是否RAID保护</w:t>
            </w:r>
          </w:p>
        </w:tc>
      </w:tr>
    </w:tbl>
    <w:p>
      <w:pPr>
        <w:spacing w:line="360" w:lineRule="auto"/>
        <w:rPr>
          <w:rFonts w:ascii="宋体" w:hAnsi="宋体"/>
          <w:color w:val="000000"/>
          <w:sz w:val="22"/>
          <w:szCs w:val="22"/>
        </w:rPr>
      </w:pPr>
    </w:p>
    <w:p>
      <w:pPr>
        <w:spacing w:line="360" w:lineRule="auto"/>
        <w:ind w:firstLine="440" w:firstLineChars="200"/>
        <w:rPr>
          <w:rFonts w:ascii="宋体" w:hAnsi="宋体"/>
          <w:color w:val="000000"/>
          <w:sz w:val="22"/>
          <w:szCs w:val="22"/>
        </w:rPr>
      </w:pPr>
      <w:r>
        <w:rPr>
          <w:rFonts w:ascii="宋体" w:hAnsi="宋体"/>
          <w:color w:val="000000"/>
          <w:sz w:val="22"/>
          <w:szCs w:val="22"/>
        </w:rPr>
        <w:t>2）常规作业</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0" w:type="dxa"/>
            <w:noWrap w:val="0"/>
            <w:tcMar>
              <w:left w:w="57" w:type="dxa"/>
              <w:right w:w="57" w:type="dxa"/>
            </w:tcMar>
            <w:vAlign w:val="center"/>
          </w:tcPr>
          <w:p>
            <w:pPr>
              <w:spacing w:line="360" w:lineRule="auto"/>
              <w:jc w:val="center"/>
              <w:rPr>
                <w:rFonts w:ascii="宋体" w:hAnsi="宋体"/>
                <w:b/>
                <w:color w:val="000000"/>
                <w:sz w:val="22"/>
                <w:szCs w:val="22"/>
              </w:rPr>
            </w:pPr>
            <w:r>
              <w:rPr>
                <w:rFonts w:ascii="宋体" w:hAnsi="宋体"/>
                <w:b/>
                <w:color w:val="000000"/>
                <w:sz w:val="22"/>
                <w:szCs w:val="22"/>
              </w:rPr>
              <w:t>服务对象</w:t>
            </w:r>
          </w:p>
        </w:tc>
        <w:tc>
          <w:tcPr>
            <w:tcW w:w="6554" w:type="dxa"/>
            <w:noWrap w:val="0"/>
            <w:tcMar>
              <w:left w:w="57" w:type="dxa"/>
              <w:right w:w="57" w:type="dxa"/>
            </w:tcMar>
            <w:vAlign w:val="center"/>
          </w:tcPr>
          <w:p>
            <w:pPr>
              <w:spacing w:line="360" w:lineRule="auto"/>
              <w:jc w:val="center"/>
              <w:rPr>
                <w:rFonts w:ascii="宋体" w:hAnsi="宋体"/>
                <w:b/>
                <w:color w:val="000000"/>
                <w:sz w:val="22"/>
                <w:szCs w:val="22"/>
              </w:rPr>
            </w:pPr>
            <w:r>
              <w:rPr>
                <w:rFonts w:ascii="宋体" w:hAnsi="宋体"/>
                <w:b/>
                <w:color w:val="000000"/>
                <w:sz w:val="22"/>
                <w:szCs w:val="22"/>
              </w:rPr>
              <w:t>常规作业内容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0" w:type="dxa"/>
            <w:noWrap w:val="0"/>
            <w:tcMar>
              <w:left w:w="57" w:type="dxa"/>
              <w:right w:w="57" w:type="dxa"/>
            </w:tcMar>
            <w:vAlign w:val="center"/>
          </w:tcPr>
          <w:p>
            <w:pPr>
              <w:spacing w:line="360" w:lineRule="auto"/>
              <w:jc w:val="center"/>
              <w:rPr>
                <w:rFonts w:ascii="宋体" w:hAnsi="宋体"/>
                <w:color w:val="000000"/>
                <w:sz w:val="22"/>
                <w:szCs w:val="22"/>
              </w:rPr>
            </w:pPr>
            <w:r>
              <w:rPr>
                <w:rFonts w:ascii="宋体" w:hAnsi="宋体"/>
                <w:color w:val="000000"/>
                <w:sz w:val="22"/>
                <w:szCs w:val="22"/>
              </w:rPr>
              <w:t>网络及网络设备</w:t>
            </w:r>
          </w:p>
        </w:tc>
        <w:tc>
          <w:tcPr>
            <w:tcW w:w="6554" w:type="dxa"/>
            <w:noWrap w:val="0"/>
            <w:tcMar>
              <w:left w:w="57" w:type="dxa"/>
              <w:right w:w="57" w:type="dxa"/>
            </w:tcMar>
            <w:vAlign w:val="center"/>
          </w:tcPr>
          <w:p>
            <w:pPr>
              <w:spacing w:line="360" w:lineRule="auto"/>
              <w:rPr>
                <w:rFonts w:ascii="宋体" w:hAnsi="宋体"/>
                <w:color w:val="000000"/>
                <w:sz w:val="22"/>
                <w:szCs w:val="22"/>
              </w:rPr>
            </w:pPr>
            <w:r>
              <w:rPr>
                <w:rFonts w:ascii="宋体" w:hAnsi="宋体"/>
                <w:color w:val="000000"/>
                <w:sz w:val="22"/>
                <w:szCs w:val="22"/>
              </w:rPr>
              <w:t>设备操作系统软件备份及存档</w:t>
            </w:r>
          </w:p>
          <w:p>
            <w:pPr>
              <w:spacing w:line="360" w:lineRule="auto"/>
              <w:rPr>
                <w:rFonts w:ascii="宋体" w:hAnsi="宋体"/>
                <w:color w:val="000000"/>
                <w:sz w:val="22"/>
                <w:szCs w:val="22"/>
              </w:rPr>
            </w:pPr>
            <w:r>
              <w:rPr>
                <w:rFonts w:ascii="宋体" w:hAnsi="宋体"/>
                <w:color w:val="000000"/>
                <w:sz w:val="22"/>
                <w:szCs w:val="22"/>
              </w:rPr>
              <w:t>系统微码升级</w:t>
            </w:r>
          </w:p>
          <w:p>
            <w:pPr>
              <w:spacing w:line="360" w:lineRule="auto"/>
              <w:rPr>
                <w:rFonts w:ascii="宋体" w:hAnsi="宋体"/>
                <w:color w:val="000000"/>
                <w:sz w:val="22"/>
                <w:szCs w:val="22"/>
              </w:rPr>
            </w:pPr>
            <w:r>
              <w:rPr>
                <w:rFonts w:ascii="宋体" w:hAnsi="宋体"/>
                <w:color w:val="000000"/>
                <w:sz w:val="22"/>
                <w:szCs w:val="22"/>
              </w:rPr>
              <w:t>设备软件配置备份及存档</w:t>
            </w:r>
          </w:p>
          <w:p>
            <w:pPr>
              <w:spacing w:line="360" w:lineRule="auto"/>
              <w:rPr>
                <w:rFonts w:ascii="宋体" w:hAnsi="宋体"/>
                <w:color w:val="000000"/>
                <w:sz w:val="22"/>
                <w:szCs w:val="22"/>
              </w:rPr>
            </w:pPr>
            <w:r>
              <w:rPr>
                <w:rFonts w:ascii="宋体" w:hAnsi="宋体"/>
                <w:color w:val="000000"/>
                <w:sz w:val="22"/>
                <w:szCs w:val="22"/>
              </w:rPr>
              <w:t>监控系统日志备份及存档</w:t>
            </w:r>
          </w:p>
          <w:p>
            <w:pPr>
              <w:spacing w:line="360" w:lineRule="auto"/>
              <w:rPr>
                <w:rFonts w:ascii="宋体" w:hAnsi="宋体"/>
                <w:color w:val="000000"/>
                <w:sz w:val="22"/>
                <w:szCs w:val="22"/>
              </w:rPr>
            </w:pPr>
            <w:r>
              <w:rPr>
                <w:rFonts w:ascii="宋体" w:hAnsi="宋体"/>
                <w:color w:val="000000"/>
                <w:sz w:val="22"/>
                <w:szCs w:val="22"/>
              </w:rPr>
              <w:t>监控系统日志数据分析与报告生成</w:t>
            </w:r>
          </w:p>
          <w:p>
            <w:pPr>
              <w:spacing w:line="360" w:lineRule="auto"/>
              <w:rPr>
                <w:rFonts w:ascii="宋体" w:hAnsi="宋体"/>
                <w:color w:val="000000"/>
                <w:sz w:val="22"/>
                <w:szCs w:val="22"/>
              </w:rPr>
            </w:pPr>
            <w:r>
              <w:rPr>
                <w:rFonts w:ascii="宋体" w:hAnsi="宋体"/>
                <w:color w:val="000000"/>
                <w:sz w:val="22"/>
                <w:szCs w:val="22"/>
              </w:rPr>
              <w:t>网络配置变更文件的审核</w:t>
            </w:r>
          </w:p>
          <w:p>
            <w:pPr>
              <w:spacing w:line="360" w:lineRule="auto"/>
              <w:rPr>
                <w:rFonts w:ascii="宋体" w:hAnsi="宋体"/>
                <w:color w:val="000000"/>
                <w:sz w:val="22"/>
                <w:szCs w:val="22"/>
              </w:rPr>
            </w:pPr>
            <w:r>
              <w:rPr>
                <w:rFonts w:ascii="宋体" w:hAnsi="宋体"/>
                <w:color w:val="000000"/>
                <w:sz w:val="22"/>
                <w:szCs w:val="22"/>
              </w:rPr>
              <w:t>网络配置变更的操作</w:t>
            </w:r>
          </w:p>
          <w:p>
            <w:pPr>
              <w:spacing w:line="360" w:lineRule="auto"/>
              <w:rPr>
                <w:rFonts w:ascii="宋体" w:hAnsi="宋体"/>
                <w:color w:val="000000"/>
                <w:sz w:val="22"/>
                <w:szCs w:val="22"/>
              </w:rPr>
            </w:pPr>
            <w:r>
              <w:rPr>
                <w:rFonts w:ascii="宋体" w:hAnsi="宋体"/>
                <w:color w:val="000000"/>
                <w:sz w:val="22"/>
                <w:szCs w:val="22"/>
              </w:rPr>
              <w:t>网络配置变更的记录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0" w:type="dxa"/>
            <w:noWrap w:val="0"/>
            <w:tcMar>
              <w:left w:w="57" w:type="dxa"/>
              <w:right w:w="57" w:type="dxa"/>
            </w:tcMar>
            <w:vAlign w:val="center"/>
          </w:tcPr>
          <w:p>
            <w:pPr>
              <w:spacing w:line="360" w:lineRule="auto"/>
              <w:jc w:val="center"/>
              <w:rPr>
                <w:rFonts w:ascii="宋体" w:hAnsi="宋体"/>
                <w:color w:val="000000"/>
                <w:sz w:val="22"/>
                <w:szCs w:val="22"/>
              </w:rPr>
            </w:pPr>
            <w:r>
              <w:rPr>
                <w:rFonts w:ascii="宋体" w:hAnsi="宋体"/>
                <w:color w:val="000000"/>
                <w:sz w:val="22"/>
                <w:szCs w:val="22"/>
              </w:rPr>
              <w:t>服务器</w:t>
            </w:r>
          </w:p>
        </w:tc>
        <w:tc>
          <w:tcPr>
            <w:tcW w:w="6554" w:type="dxa"/>
            <w:noWrap w:val="0"/>
            <w:tcMar>
              <w:left w:w="57" w:type="dxa"/>
              <w:right w:w="57" w:type="dxa"/>
            </w:tcMar>
            <w:vAlign w:val="center"/>
          </w:tcPr>
          <w:p>
            <w:pPr>
              <w:spacing w:line="360" w:lineRule="auto"/>
              <w:rPr>
                <w:rFonts w:ascii="宋体" w:hAnsi="宋体"/>
                <w:color w:val="000000"/>
                <w:sz w:val="22"/>
                <w:szCs w:val="22"/>
              </w:rPr>
            </w:pPr>
            <w:r>
              <w:rPr>
                <w:rFonts w:ascii="宋体" w:hAnsi="宋体"/>
                <w:color w:val="000000"/>
                <w:sz w:val="22"/>
                <w:szCs w:val="22"/>
              </w:rPr>
              <w:t>服务器关键部件微码升级</w:t>
            </w:r>
          </w:p>
          <w:p>
            <w:pPr>
              <w:spacing w:line="360" w:lineRule="auto"/>
              <w:rPr>
                <w:rFonts w:ascii="宋体" w:hAnsi="宋体"/>
                <w:color w:val="000000"/>
                <w:sz w:val="22"/>
                <w:szCs w:val="22"/>
              </w:rPr>
            </w:pPr>
            <w:r>
              <w:rPr>
                <w:rFonts w:ascii="宋体" w:hAnsi="宋体"/>
                <w:color w:val="000000"/>
                <w:sz w:val="22"/>
                <w:szCs w:val="22"/>
              </w:rPr>
              <w:t>服务器设备清洁</w:t>
            </w:r>
          </w:p>
          <w:p>
            <w:pPr>
              <w:spacing w:line="360" w:lineRule="auto"/>
              <w:rPr>
                <w:rFonts w:ascii="宋体" w:hAnsi="宋体"/>
                <w:color w:val="000000"/>
                <w:sz w:val="22"/>
                <w:szCs w:val="22"/>
              </w:rPr>
            </w:pPr>
            <w:r>
              <w:rPr>
                <w:rFonts w:ascii="宋体" w:hAnsi="宋体"/>
                <w:color w:val="000000"/>
                <w:sz w:val="22"/>
                <w:szCs w:val="22"/>
              </w:rPr>
              <w:t>服务器输入、输出电压检测</w:t>
            </w:r>
          </w:p>
          <w:p>
            <w:pPr>
              <w:spacing w:line="360" w:lineRule="auto"/>
              <w:rPr>
                <w:rFonts w:ascii="宋体" w:hAnsi="宋体"/>
                <w:color w:val="000000"/>
                <w:sz w:val="22"/>
                <w:szCs w:val="22"/>
              </w:rPr>
            </w:pPr>
            <w:r>
              <w:rPr>
                <w:rFonts w:ascii="宋体" w:hAnsi="宋体"/>
                <w:color w:val="000000"/>
                <w:sz w:val="22"/>
                <w:szCs w:val="22"/>
              </w:rPr>
              <w:t>服务器关键部件指示灯检查</w:t>
            </w:r>
          </w:p>
          <w:p>
            <w:pPr>
              <w:spacing w:line="360" w:lineRule="auto"/>
              <w:rPr>
                <w:rFonts w:ascii="宋体" w:hAnsi="宋体"/>
                <w:color w:val="000000"/>
                <w:sz w:val="22"/>
                <w:szCs w:val="22"/>
              </w:rPr>
            </w:pPr>
            <w:r>
              <w:rPr>
                <w:rFonts w:ascii="宋体" w:hAnsi="宋体"/>
                <w:color w:val="000000"/>
                <w:sz w:val="22"/>
                <w:szCs w:val="22"/>
              </w:rPr>
              <w:t>服务器硬盘RAID配置检查</w:t>
            </w:r>
          </w:p>
        </w:tc>
      </w:tr>
    </w:tbl>
    <w:p>
      <w:pPr>
        <w:spacing w:line="360" w:lineRule="auto"/>
        <w:rPr>
          <w:rFonts w:ascii="宋体" w:hAnsi="宋体"/>
          <w:color w:val="000000"/>
          <w:sz w:val="22"/>
          <w:szCs w:val="22"/>
        </w:rPr>
      </w:pPr>
    </w:p>
    <w:p>
      <w:pPr>
        <w:spacing w:after="156" w:afterLines="50" w:line="360" w:lineRule="auto"/>
        <w:ind w:firstLine="440" w:firstLineChars="200"/>
        <w:rPr>
          <w:rFonts w:ascii="宋体" w:hAnsi="宋体"/>
          <w:color w:val="000000"/>
          <w:sz w:val="22"/>
          <w:szCs w:val="22"/>
        </w:rPr>
      </w:pPr>
      <w:r>
        <w:rPr>
          <w:rFonts w:ascii="宋体" w:hAnsi="宋体"/>
          <w:color w:val="000000"/>
          <w:sz w:val="22"/>
          <w:szCs w:val="22"/>
        </w:rPr>
        <w:t>对于后端设备运维单位需提供7×24小时响应服务。</w:t>
      </w:r>
    </w:p>
    <w:p>
      <w:pPr>
        <w:spacing w:after="156" w:afterLines="50" w:line="360" w:lineRule="auto"/>
        <w:ind w:firstLine="440" w:firstLineChars="200"/>
        <w:rPr>
          <w:color w:val="000000"/>
          <w:sz w:val="22"/>
          <w:szCs w:val="22"/>
        </w:rPr>
      </w:pPr>
      <w:r>
        <w:rPr>
          <w:color w:val="000000"/>
          <w:sz w:val="22"/>
          <w:szCs w:val="22"/>
        </w:rPr>
        <w:t>到达现场后，后端设备8小时内修复，故障修复时间均以业主单位申报开始计时，若有特殊情况须经业主单位书面同意方可延长故障排除时间。</w:t>
      </w:r>
    </w:p>
    <w:p>
      <w:pPr>
        <w:spacing w:line="360" w:lineRule="auto"/>
        <w:rPr>
          <w:rFonts w:hint="eastAsia" w:ascii="宋体" w:hAnsi="宋体" w:cs="宋体"/>
          <w:b/>
          <w:color w:val="000000"/>
          <w:sz w:val="22"/>
          <w:szCs w:val="22"/>
        </w:rPr>
      </w:pPr>
      <w:r>
        <w:rPr>
          <w:rFonts w:hint="eastAsia" w:ascii="宋体" w:hAnsi="宋体" w:cs="宋体"/>
          <w:b/>
          <w:color w:val="000000"/>
          <w:sz w:val="22"/>
          <w:szCs w:val="22"/>
        </w:rPr>
        <w:t>七、运维考核指标</w:t>
      </w:r>
      <w:bookmarkEnd w:id="19"/>
      <w:bookmarkEnd w:id="20"/>
      <w:bookmarkEnd w:id="21"/>
      <w:r>
        <w:rPr>
          <w:rFonts w:hint="eastAsia" w:ascii="宋体" w:hAnsi="宋体" w:cs="宋体"/>
          <w:b/>
          <w:color w:val="000000"/>
          <w:sz w:val="22"/>
          <w:szCs w:val="22"/>
        </w:rPr>
        <w:t>及要求</w:t>
      </w:r>
      <w:bookmarkEnd w:id="22"/>
    </w:p>
    <w:p>
      <w:pPr>
        <w:spacing w:line="360" w:lineRule="auto"/>
        <w:ind w:firstLine="440" w:firstLineChars="200"/>
        <w:rPr>
          <w:rFonts w:hint="eastAsia" w:ascii="宋体" w:hAnsi="宋体" w:cs="宋体"/>
          <w:sz w:val="22"/>
          <w:szCs w:val="22"/>
        </w:rPr>
      </w:pPr>
      <w:bookmarkStart w:id="26" w:name="_Toc414365403"/>
      <w:bookmarkEnd w:id="26"/>
      <w:bookmarkStart w:id="27" w:name="_Toc414259835"/>
      <w:bookmarkEnd w:id="27"/>
      <w:bookmarkStart w:id="28" w:name="_Toc414259836"/>
      <w:bookmarkEnd w:id="28"/>
      <w:bookmarkStart w:id="29" w:name="_Toc414259859"/>
      <w:bookmarkEnd w:id="29"/>
      <w:bookmarkStart w:id="30" w:name="_Toc414259861"/>
      <w:bookmarkEnd w:id="30"/>
      <w:bookmarkStart w:id="31" w:name="_Toc414259840"/>
      <w:bookmarkEnd w:id="31"/>
      <w:bookmarkStart w:id="32" w:name="_Toc414259837"/>
      <w:bookmarkEnd w:id="32"/>
      <w:bookmarkStart w:id="33" w:name="_Toc414365400"/>
      <w:bookmarkEnd w:id="33"/>
      <w:bookmarkStart w:id="34" w:name="_Toc414365399"/>
      <w:bookmarkEnd w:id="34"/>
      <w:bookmarkStart w:id="35" w:name="_Toc414259860"/>
      <w:bookmarkEnd w:id="35"/>
      <w:bookmarkStart w:id="36" w:name="_Toc414365424"/>
      <w:bookmarkEnd w:id="36"/>
      <w:bookmarkStart w:id="37" w:name="_Toc414365398"/>
      <w:bookmarkEnd w:id="37"/>
      <w:bookmarkStart w:id="38" w:name="_Toc414365422"/>
      <w:bookmarkEnd w:id="38"/>
      <w:bookmarkStart w:id="39" w:name="_Toc414259838"/>
      <w:bookmarkEnd w:id="39"/>
      <w:bookmarkStart w:id="40" w:name="_Toc414365423"/>
      <w:bookmarkEnd w:id="40"/>
      <w:bookmarkStart w:id="41" w:name="_Toc414365401"/>
      <w:bookmarkEnd w:id="41"/>
      <w:bookmarkStart w:id="42" w:name="_Toc31647"/>
      <w:r>
        <w:rPr>
          <w:rFonts w:hint="eastAsia" w:ascii="宋体" w:hAnsi="宋体" w:cs="宋体"/>
          <w:sz w:val="22"/>
          <w:szCs w:val="22"/>
        </w:rPr>
        <w:t>1、指标及处置</w:t>
      </w:r>
      <w:bookmarkEnd w:id="42"/>
    </w:p>
    <w:p>
      <w:pPr>
        <w:spacing w:line="360" w:lineRule="auto"/>
        <w:ind w:firstLine="440" w:firstLineChars="200"/>
        <w:rPr>
          <w:rFonts w:hint="eastAsia" w:ascii="宋体" w:hAnsi="宋体" w:cs="宋体"/>
          <w:sz w:val="22"/>
          <w:szCs w:val="22"/>
        </w:rPr>
      </w:pPr>
      <w:r>
        <w:rPr>
          <w:rFonts w:hint="eastAsia" w:ascii="宋体" w:hAnsi="宋体" w:cs="宋体"/>
          <w:sz w:val="22"/>
          <w:szCs w:val="22"/>
        </w:rPr>
        <w:t>1）前端设备完好率≥99%；</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2）前端点位平台上线率≥99%；</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3）重大故障发生次数:0次/年；</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4）常规故障处理时限≤2小时，疑难故障处理时限≤8小时；最长不得超过24小时，因自然灾害等特殊原因的故障除外；</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5）服务电话接通率≥99% (提供7x24小时热线电话，随时响应)；</w:t>
      </w:r>
    </w:p>
    <w:p>
      <w:pPr>
        <w:spacing w:line="36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6）每个月一次的分局维修情况反馈调查，由分局主管人员签字，分局盖章；</w:t>
      </w:r>
    </w:p>
    <w:p>
      <w:pPr>
        <w:spacing w:line="36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7）因维修工作不到位，受到分局各主管部门投诉的，核实后按规定扣款；</w:t>
      </w:r>
    </w:p>
    <w:p>
      <w:pPr>
        <w:spacing w:line="36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8）上级检查结果，凡每月设备及系统维护考核完好率未达到规定的，按规定扣款；</w:t>
      </w:r>
    </w:p>
    <w:p>
      <w:pPr>
        <w:spacing w:line="36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9）应急响应，维护单位需7x24小时专人待命，根据路程，最晚应在30分钟内抵达现场进行应急响应；</w:t>
      </w:r>
    </w:p>
    <w:p>
      <w:pPr>
        <w:spacing w:line="36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10）分局每天会对设备情况进行检查，检查结果会及时通报给维护单位，凡在检查中发现监控故障(包括离线、无视频、图像效果差、树枝遮挡严重、字符及时钟错等)，按实际故障时间予以扣款，低于规定完好率的监控数量实行惩罚性扣款。</w:t>
      </w:r>
    </w:p>
    <w:p>
      <w:pPr>
        <w:spacing w:line="36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故障包含：无图像、图像效果差、树枝遮挡严重、字符及时钟错等。</w:t>
      </w:r>
    </w:p>
    <w:p>
      <w:pPr>
        <w:spacing w:line="360" w:lineRule="auto"/>
        <w:ind w:firstLine="440" w:firstLineChars="200"/>
        <w:rPr>
          <w:rFonts w:hint="eastAsia" w:ascii="宋体" w:hAnsi="宋体" w:cs="宋体"/>
          <w:sz w:val="22"/>
          <w:szCs w:val="22"/>
        </w:rPr>
      </w:pPr>
      <w:bookmarkStart w:id="43" w:name="_Toc30941"/>
      <w:r>
        <w:rPr>
          <w:rFonts w:hint="eastAsia" w:ascii="宋体" w:hAnsi="宋体" w:cs="宋体"/>
          <w:sz w:val="22"/>
          <w:szCs w:val="22"/>
        </w:rPr>
        <w:t>2、</w:t>
      </w:r>
      <w:bookmarkEnd w:id="43"/>
      <w:bookmarkStart w:id="44" w:name="_Toc458435444"/>
      <w:bookmarkStart w:id="45" w:name="_Toc458435507"/>
      <w:bookmarkStart w:id="46" w:name="_Toc21651"/>
      <w:r>
        <w:rPr>
          <w:rFonts w:hint="eastAsia" w:ascii="宋体" w:hAnsi="宋体" w:cs="宋体"/>
          <w:sz w:val="22"/>
          <w:szCs w:val="22"/>
        </w:rPr>
        <w:t>运行维护机构</w:t>
      </w:r>
      <w:bookmarkEnd w:id="44"/>
      <w:bookmarkEnd w:id="45"/>
      <w:bookmarkEnd w:id="46"/>
    </w:p>
    <w:p>
      <w:pPr>
        <w:spacing w:line="360" w:lineRule="auto"/>
        <w:ind w:firstLine="440" w:firstLineChars="200"/>
        <w:rPr>
          <w:rFonts w:hint="eastAsia" w:ascii="宋体" w:hAnsi="宋体" w:cs="宋体"/>
          <w:sz w:val="22"/>
          <w:szCs w:val="22"/>
        </w:rPr>
      </w:pPr>
      <w:r>
        <w:rPr>
          <w:rFonts w:hint="eastAsia" w:ascii="宋体" w:hAnsi="宋体" w:cs="宋体"/>
          <w:sz w:val="22"/>
          <w:szCs w:val="22"/>
        </w:rPr>
        <w:t>项目运维机构为中标单位，负责项目的运维服务。中标单位需成立专门的运维机构，至少配备专职运维人员6名（其中1名常驻）；工程车辆至少2辆，需满足项目需要。</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3、项目运维机构为中标单位，负责对损坏设备或部件进行维修保障。如无法维修的要及时更换。</w:t>
      </w:r>
    </w:p>
    <w:p>
      <w:pPr>
        <w:spacing w:line="360" w:lineRule="auto"/>
        <w:rPr>
          <w:rFonts w:ascii="宋体" w:hAnsi="宋体"/>
          <w:b/>
          <w:sz w:val="22"/>
          <w:szCs w:val="22"/>
        </w:rPr>
      </w:pPr>
      <w:r>
        <w:rPr>
          <w:rFonts w:hint="eastAsia" w:ascii="宋体" w:hAnsi="宋体"/>
          <w:b/>
          <w:sz w:val="22"/>
          <w:szCs w:val="22"/>
        </w:rPr>
        <w:t>八、投标人应根据采购文件所提出的服务要求，综合考虑适应性，选择具有最佳性能价格比的方案前来投标。希望投标方以优良的服务和优惠的价格，充分显示你们的竞争实力。</w:t>
      </w:r>
    </w:p>
    <w:p>
      <w:pPr>
        <w:rPr>
          <w:rFonts w:hint="eastAsia"/>
          <w:sz w:val="22"/>
          <w:szCs w:val="22"/>
        </w:rPr>
      </w:pPr>
    </w:p>
    <w:bookmarkEnd w:id="10"/>
    <w:p>
      <w:pPr>
        <w:spacing w:line="360" w:lineRule="auto"/>
        <w:rPr>
          <w:rFonts w:hint="eastAsia" w:ascii="宋体" w:hAnsi="宋体" w:cs="宋体..鍼笁鍼."/>
          <w:color w:val="000000"/>
          <w:kern w:val="0"/>
          <w:szCs w:val="21"/>
        </w:rPr>
        <w:sectPr>
          <w:headerReference r:id="rId10" w:type="default"/>
          <w:pgSz w:w="11906" w:h="16838"/>
          <w:pgMar w:top="964" w:right="992" w:bottom="1304" w:left="1361" w:header="386" w:footer="992" w:gutter="0"/>
          <w:cols w:space="720" w:num="1"/>
          <w:docGrid w:type="linesAndChars" w:linePitch="312" w:charSpace="0"/>
        </w:sectPr>
      </w:pPr>
      <w:bookmarkStart w:id="47" w:name="_Toc14965615"/>
      <w:bookmarkStart w:id="48" w:name="_Toc14965746"/>
      <w:bookmarkStart w:id="49" w:name="_Toc374321331"/>
      <w:bookmarkStart w:id="50" w:name="_Toc145860630"/>
      <w:bookmarkStart w:id="51" w:name="_Toc28060171"/>
    </w:p>
    <w:p>
      <w:pPr>
        <w:pStyle w:val="49"/>
        <w:ind w:firstLine="3024" w:firstLineChars="945"/>
        <w:jc w:val="both"/>
        <w:rPr>
          <w:rFonts w:ascii="宋体" w:hAnsi="宋体"/>
        </w:rPr>
      </w:pPr>
      <w:r>
        <w:rPr>
          <w:rFonts w:hint="eastAsia" w:ascii="宋体" w:hAnsi="宋体"/>
        </w:rPr>
        <w:t>第三部分 投标资料表</w:t>
      </w:r>
      <w:bookmarkEnd w:id="47"/>
      <w:bookmarkEnd w:id="48"/>
    </w:p>
    <w:tbl>
      <w:tblPr>
        <w:tblStyle w:val="52"/>
        <w:tblW w:w="9923" w:type="dxa"/>
        <w:tblInd w:w="108"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993"/>
        <w:gridCol w:w="8930"/>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505" w:hRule="atLeast"/>
          <w:tblHeader/>
        </w:trPr>
        <w:tc>
          <w:tcPr>
            <w:tcW w:w="993" w:type="dxa"/>
            <w:tcBorders>
              <w:bottom w:val="single" w:color="auto" w:sz="4" w:space="0"/>
            </w:tcBorders>
            <w:noWrap w:val="0"/>
            <w:vAlign w:val="center"/>
          </w:tcPr>
          <w:p>
            <w:pPr>
              <w:spacing w:line="360" w:lineRule="auto"/>
              <w:ind w:left="-108" w:right="-113"/>
              <w:jc w:val="center"/>
              <w:rPr>
                <w:rFonts w:ascii="宋体" w:hAnsi="宋体"/>
                <w:color w:val="000000"/>
                <w:sz w:val="22"/>
                <w:szCs w:val="22"/>
              </w:rPr>
            </w:pPr>
            <w:r>
              <w:rPr>
                <w:rFonts w:hint="eastAsia" w:ascii="宋体" w:hAnsi="宋体"/>
                <w:color w:val="000000"/>
                <w:sz w:val="22"/>
                <w:szCs w:val="22"/>
              </w:rPr>
              <w:t>序号</w:t>
            </w:r>
          </w:p>
        </w:tc>
        <w:tc>
          <w:tcPr>
            <w:tcW w:w="8930" w:type="dxa"/>
            <w:tcBorders>
              <w:bottom w:val="single" w:color="auto" w:sz="4" w:space="0"/>
            </w:tcBorders>
            <w:noWrap w:val="0"/>
            <w:vAlign w:val="center"/>
          </w:tcPr>
          <w:p>
            <w:pPr>
              <w:spacing w:line="360" w:lineRule="auto"/>
              <w:jc w:val="center"/>
              <w:rPr>
                <w:rFonts w:ascii="宋体" w:hAnsi="宋体"/>
                <w:color w:val="000000"/>
                <w:sz w:val="22"/>
                <w:szCs w:val="22"/>
              </w:rPr>
            </w:pPr>
            <w:r>
              <w:rPr>
                <w:rFonts w:ascii="宋体" w:hAnsi="宋体"/>
                <w:color w:val="000000"/>
                <w:sz w:val="22"/>
                <w:szCs w:val="22"/>
              </w:rPr>
              <w:t>条款内容</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1767" w:hRule="atLeast"/>
        </w:trPr>
        <w:tc>
          <w:tcPr>
            <w:tcW w:w="993" w:type="dxa"/>
            <w:tcBorders>
              <w:top w:val="single" w:color="auto" w:sz="2" w:space="0"/>
            </w:tcBorders>
            <w:noWrap w:val="0"/>
            <w:vAlign w:val="center"/>
          </w:tcPr>
          <w:p>
            <w:pPr>
              <w:autoSpaceDE w:val="0"/>
              <w:autoSpaceDN w:val="0"/>
              <w:snapToGrid w:val="0"/>
              <w:spacing w:line="360" w:lineRule="auto"/>
              <w:ind w:left="-95" w:right="-129"/>
              <w:jc w:val="center"/>
              <w:rPr>
                <w:rFonts w:ascii="宋体" w:hAnsi="宋体"/>
                <w:color w:val="000000"/>
                <w:sz w:val="22"/>
                <w:szCs w:val="22"/>
              </w:rPr>
            </w:pPr>
            <w:r>
              <w:rPr>
                <w:rFonts w:ascii="宋体" w:hAnsi="宋体"/>
                <w:color w:val="000000"/>
                <w:sz w:val="22"/>
                <w:szCs w:val="22"/>
              </w:rPr>
              <w:t>1</w:t>
            </w:r>
          </w:p>
        </w:tc>
        <w:tc>
          <w:tcPr>
            <w:tcW w:w="8930" w:type="dxa"/>
            <w:tcBorders>
              <w:top w:val="single" w:color="auto" w:sz="2" w:space="0"/>
            </w:tcBorders>
            <w:noWrap w:val="0"/>
            <w:vAlign w:val="center"/>
          </w:tcPr>
          <w:p>
            <w:pPr>
              <w:spacing w:line="360" w:lineRule="auto"/>
              <w:rPr>
                <w:rFonts w:hint="eastAsia" w:ascii="宋体" w:hAnsi="宋体"/>
                <w:color w:val="000000"/>
                <w:sz w:val="22"/>
                <w:szCs w:val="22"/>
              </w:rPr>
            </w:pPr>
            <w:r>
              <w:rPr>
                <w:rFonts w:ascii="宋体" w:hAnsi="宋体"/>
                <w:color w:val="000000"/>
                <w:sz w:val="22"/>
                <w:szCs w:val="22"/>
              </w:rPr>
              <w:t>采购人名称：</w:t>
            </w:r>
            <w:r>
              <w:rPr>
                <w:rFonts w:hint="eastAsia" w:ascii="宋体" w:hAnsi="宋体"/>
                <w:color w:val="000000"/>
                <w:sz w:val="22"/>
                <w:szCs w:val="22"/>
              </w:rPr>
              <w:t>宁波市公安局镇海分局</w:t>
            </w:r>
          </w:p>
          <w:p>
            <w:pPr>
              <w:spacing w:line="360" w:lineRule="auto"/>
              <w:rPr>
                <w:rFonts w:hint="eastAsia" w:ascii="宋体" w:hAnsi="宋体"/>
                <w:color w:val="000000"/>
                <w:sz w:val="22"/>
                <w:szCs w:val="22"/>
              </w:rPr>
            </w:pPr>
            <w:r>
              <w:rPr>
                <w:rFonts w:ascii="宋体" w:hAnsi="宋体"/>
                <w:color w:val="000000"/>
                <w:sz w:val="22"/>
                <w:szCs w:val="22"/>
              </w:rPr>
              <w:t>联系人</w:t>
            </w:r>
            <w:r>
              <w:rPr>
                <w:rFonts w:hint="eastAsia" w:ascii="宋体" w:hAnsi="宋体"/>
                <w:color w:val="000000"/>
                <w:sz w:val="22"/>
                <w:szCs w:val="22"/>
              </w:rPr>
              <w:t>：</w:t>
            </w:r>
            <w:r>
              <w:rPr>
                <w:rFonts w:hint="eastAsia" w:ascii="宋体" w:hAnsi="宋体"/>
                <w:sz w:val="22"/>
                <w:szCs w:val="22"/>
              </w:rPr>
              <w:t>杨警官   电  话：0574-</w:t>
            </w:r>
            <w:r>
              <w:rPr>
                <w:rFonts w:ascii="宋体" w:hAnsi="宋体"/>
                <w:sz w:val="22"/>
                <w:szCs w:val="22"/>
              </w:rPr>
              <w:t xml:space="preserve"> 86635132</w:t>
            </w:r>
          </w:p>
          <w:p>
            <w:pPr>
              <w:pBdr>
                <w:top w:val="single" w:color="auto" w:sz="2" w:space="1"/>
              </w:pBdr>
              <w:spacing w:line="360" w:lineRule="auto"/>
              <w:rPr>
                <w:rFonts w:ascii="宋体" w:hAnsi="宋体"/>
                <w:color w:val="000000"/>
                <w:sz w:val="22"/>
                <w:szCs w:val="22"/>
              </w:rPr>
            </w:pPr>
            <w:r>
              <w:rPr>
                <w:rFonts w:ascii="宋体" w:hAnsi="宋体"/>
                <w:color w:val="000000"/>
                <w:sz w:val="22"/>
                <w:szCs w:val="22"/>
              </w:rPr>
              <w:t>采购代理机构名称：宁波市镇海国泰工程建设投资管理咨询有限公司</w:t>
            </w:r>
          </w:p>
          <w:p>
            <w:pPr>
              <w:spacing w:line="360" w:lineRule="auto"/>
              <w:rPr>
                <w:rFonts w:ascii="宋体" w:hAnsi="宋体"/>
                <w:color w:val="000000"/>
                <w:sz w:val="22"/>
                <w:szCs w:val="22"/>
              </w:rPr>
            </w:pPr>
            <w:r>
              <w:rPr>
                <w:rFonts w:ascii="宋体" w:hAnsi="宋体"/>
                <w:color w:val="000000"/>
                <w:sz w:val="22"/>
                <w:szCs w:val="22"/>
              </w:rPr>
              <w:t>联系地址：</w:t>
            </w:r>
            <w:r>
              <w:rPr>
                <w:rFonts w:hint="eastAsia" w:ascii="宋体" w:hAnsi="宋体"/>
                <w:color w:val="000000"/>
                <w:sz w:val="22"/>
                <w:szCs w:val="22"/>
              </w:rPr>
              <w:t>宁波市镇海区骆驼街道锦业街18号镇海大厦10楼</w:t>
            </w:r>
          </w:p>
          <w:p>
            <w:pPr>
              <w:spacing w:line="360" w:lineRule="auto"/>
              <w:rPr>
                <w:rFonts w:hint="eastAsia" w:ascii="宋体" w:hAnsi="宋体"/>
                <w:color w:val="000000"/>
                <w:sz w:val="22"/>
                <w:szCs w:val="22"/>
              </w:rPr>
            </w:pPr>
            <w:r>
              <w:rPr>
                <w:rFonts w:ascii="宋体" w:hAnsi="宋体"/>
                <w:color w:val="000000"/>
                <w:sz w:val="22"/>
                <w:szCs w:val="22"/>
              </w:rPr>
              <w:t>联系人：</w:t>
            </w:r>
            <w:r>
              <w:rPr>
                <w:rFonts w:hint="eastAsia" w:ascii="宋体" w:hAnsi="宋体"/>
                <w:color w:val="000000"/>
                <w:sz w:val="22"/>
                <w:szCs w:val="22"/>
              </w:rPr>
              <w:t xml:space="preserve">傅作琪、蔡煜、石宗杰  </w:t>
            </w:r>
          </w:p>
          <w:p>
            <w:pPr>
              <w:spacing w:line="360" w:lineRule="auto"/>
              <w:rPr>
                <w:rFonts w:hint="eastAsia" w:ascii="宋体" w:hAnsi="宋体"/>
                <w:color w:val="000000"/>
                <w:sz w:val="22"/>
                <w:szCs w:val="22"/>
              </w:rPr>
            </w:pPr>
            <w:r>
              <w:rPr>
                <w:rFonts w:ascii="宋体" w:hAnsi="宋体"/>
                <w:color w:val="000000"/>
                <w:sz w:val="22"/>
                <w:szCs w:val="22"/>
              </w:rPr>
              <w:t>电话：0574-</w:t>
            </w:r>
            <w:r>
              <w:rPr>
                <w:rFonts w:hint="eastAsia" w:ascii="宋体" w:hAnsi="宋体"/>
                <w:color w:val="000000"/>
                <w:sz w:val="22"/>
                <w:szCs w:val="22"/>
              </w:rPr>
              <w:t xml:space="preserve">86279793  </w:t>
            </w:r>
          </w:p>
          <w:p>
            <w:pPr>
              <w:spacing w:line="360" w:lineRule="auto"/>
              <w:rPr>
                <w:rFonts w:ascii="宋体" w:hAnsi="宋体"/>
                <w:color w:val="000000"/>
                <w:sz w:val="22"/>
                <w:szCs w:val="22"/>
              </w:rPr>
            </w:pPr>
            <w:r>
              <w:rPr>
                <w:rFonts w:ascii="宋体" w:hAnsi="宋体"/>
                <w:color w:val="000000"/>
                <w:sz w:val="22"/>
                <w:szCs w:val="22"/>
              </w:rPr>
              <w:t>E-mail：</w:t>
            </w:r>
            <w:r>
              <w:rPr>
                <w:rFonts w:hint="eastAsia" w:ascii="宋体" w:hAnsi="宋体"/>
                <w:color w:val="000000"/>
                <w:sz w:val="22"/>
                <w:szCs w:val="22"/>
              </w:rPr>
              <w:t>173921584</w:t>
            </w:r>
            <w:r>
              <w:rPr>
                <w:rFonts w:ascii="宋体" w:hAnsi="宋体"/>
                <w:color w:val="000000"/>
                <w:sz w:val="22"/>
                <w:szCs w:val="22"/>
              </w:rPr>
              <w:t>@</w:t>
            </w:r>
            <w:r>
              <w:rPr>
                <w:rFonts w:hint="eastAsia" w:ascii="宋体" w:hAnsi="宋体"/>
                <w:color w:val="000000"/>
                <w:sz w:val="22"/>
                <w:szCs w:val="22"/>
              </w:rPr>
              <w:t>qq</w:t>
            </w:r>
            <w:r>
              <w:rPr>
                <w:rFonts w:ascii="宋体" w:hAnsi="宋体"/>
                <w:color w:val="000000"/>
                <w:sz w:val="22"/>
                <w:szCs w:val="22"/>
              </w:rPr>
              <w:t>.com</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1400" w:hRule="atLeast"/>
        </w:trPr>
        <w:tc>
          <w:tcPr>
            <w:tcW w:w="993" w:type="dxa"/>
            <w:noWrap w:val="0"/>
            <w:vAlign w:val="center"/>
          </w:tcPr>
          <w:p>
            <w:pPr>
              <w:autoSpaceDE w:val="0"/>
              <w:autoSpaceDN w:val="0"/>
              <w:snapToGrid w:val="0"/>
              <w:spacing w:line="360" w:lineRule="auto"/>
              <w:ind w:left="-95" w:right="-129"/>
              <w:jc w:val="center"/>
              <w:rPr>
                <w:rFonts w:ascii="宋体" w:hAnsi="宋体"/>
                <w:color w:val="000000"/>
                <w:sz w:val="22"/>
                <w:szCs w:val="22"/>
              </w:rPr>
            </w:pPr>
            <w:r>
              <w:rPr>
                <w:rFonts w:hint="eastAsia" w:ascii="宋体" w:hAnsi="宋体"/>
                <w:color w:val="000000"/>
                <w:sz w:val="22"/>
                <w:szCs w:val="22"/>
              </w:rPr>
              <w:t>2</w:t>
            </w:r>
          </w:p>
        </w:tc>
        <w:tc>
          <w:tcPr>
            <w:tcW w:w="8930" w:type="dxa"/>
            <w:noWrap w:val="0"/>
            <w:vAlign w:val="center"/>
          </w:tcPr>
          <w:p>
            <w:pPr>
              <w:spacing w:line="360" w:lineRule="auto"/>
              <w:rPr>
                <w:rFonts w:ascii="宋体" w:hAnsi="宋体"/>
                <w:sz w:val="22"/>
                <w:szCs w:val="22"/>
              </w:rPr>
            </w:pPr>
            <w:r>
              <w:rPr>
                <w:rFonts w:ascii="宋体" w:hAnsi="宋体"/>
                <w:sz w:val="22"/>
                <w:szCs w:val="22"/>
              </w:rPr>
              <w:t>本次采购对合格的投标人的专门规定</w:t>
            </w:r>
            <w:r>
              <w:rPr>
                <w:rFonts w:hint="eastAsia" w:ascii="宋体" w:hAnsi="宋体"/>
                <w:sz w:val="22"/>
                <w:szCs w:val="22"/>
              </w:rPr>
              <w:t>与审查方法</w:t>
            </w:r>
            <w:r>
              <w:rPr>
                <w:rFonts w:ascii="宋体" w:hAnsi="宋体"/>
                <w:sz w:val="22"/>
                <w:szCs w:val="22"/>
              </w:rPr>
              <w:t>：</w:t>
            </w:r>
          </w:p>
          <w:p>
            <w:pPr>
              <w:spacing w:line="360" w:lineRule="auto"/>
              <w:ind w:left="1100" w:hanging="1100" w:hangingChars="500"/>
              <w:jc w:val="left"/>
              <w:rPr>
                <w:rFonts w:hint="eastAsia" w:ascii="宋体" w:hAnsi="宋体"/>
                <w:sz w:val="22"/>
                <w:szCs w:val="22"/>
              </w:rPr>
            </w:pPr>
            <w:r>
              <w:rPr>
                <w:rFonts w:ascii="宋体" w:hAnsi="宋体"/>
                <w:sz w:val="22"/>
                <w:szCs w:val="22"/>
              </w:rPr>
              <w:t>资格标准：</w:t>
            </w:r>
            <w:r>
              <w:rPr>
                <w:rFonts w:hint="eastAsia" w:ascii="宋体" w:hAnsi="宋体"/>
                <w:sz w:val="22"/>
                <w:szCs w:val="22"/>
              </w:rPr>
              <w:t>见第一部分 《采购公告》第八条且</w:t>
            </w:r>
            <w:r>
              <w:rPr>
                <w:rFonts w:ascii="宋体" w:hAnsi="宋体"/>
                <w:sz w:val="22"/>
                <w:szCs w:val="22"/>
              </w:rPr>
              <w:t>合格的投标人应是</w:t>
            </w:r>
            <w:r>
              <w:rPr>
                <w:rFonts w:hint="eastAsia" w:ascii="宋体" w:hAnsi="宋体"/>
                <w:sz w:val="22"/>
                <w:szCs w:val="22"/>
              </w:rPr>
              <w:t>满足本</w:t>
            </w:r>
            <w:r>
              <w:rPr>
                <w:rFonts w:ascii="宋体" w:hAnsi="宋体"/>
                <w:sz w:val="22"/>
                <w:szCs w:val="22"/>
              </w:rPr>
              <w:t>采购文件</w:t>
            </w:r>
            <w:r>
              <w:rPr>
                <w:rFonts w:hint="eastAsia" w:ascii="宋体" w:hAnsi="宋体"/>
                <w:sz w:val="22"/>
                <w:szCs w:val="22"/>
              </w:rPr>
              <w:t xml:space="preserve">第六部分 </w:t>
            </w:r>
          </w:p>
          <w:p>
            <w:pPr>
              <w:spacing w:line="360" w:lineRule="auto"/>
              <w:ind w:left="1100" w:hanging="1100" w:hangingChars="500"/>
              <w:jc w:val="left"/>
              <w:rPr>
                <w:rFonts w:hint="eastAsia" w:ascii="宋体" w:hAnsi="宋体"/>
                <w:sz w:val="22"/>
                <w:szCs w:val="22"/>
              </w:rPr>
            </w:pPr>
            <w:r>
              <w:rPr>
                <w:rFonts w:hint="eastAsia" w:ascii="宋体" w:hAnsi="宋体"/>
                <w:sz w:val="22"/>
                <w:szCs w:val="22"/>
              </w:rPr>
              <w:t>投标人须知2.4</w:t>
            </w:r>
            <w:r>
              <w:rPr>
                <w:rFonts w:ascii="宋体" w:hAnsi="宋体"/>
                <w:sz w:val="22"/>
                <w:szCs w:val="22"/>
              </w:rPr>
              <w:t>~2.5</w:t>
            </w:r>
            <w:r>
              <w:rPr>
                <w:rFonts w:hint="eastAsia" w:ascii="宋体" w:hAnsi="宋体"/>
                <w:sz w:val="22"/>
                <w:szCs w:val="22"/>
              </w:rPr>
              <w:t>条的</w:t>
            </w:r>
            <w:r>
              <w:rPr>
                <w:rFonts w:ascii="宋体" w:hAnsi="宋体"/>
                <w:sz w:val="22"/>
                <w:szCs w:val="22"/>
              </w:rPr>
              <w:t>投标人。</w:t>
            </w:r>
          </w:p>
          <w:p>
            <w:pPr>
              <w:spacing w:line="360" w:lineRule="auto"/>
              <w:rPr>
                <w:rFonts w:ascii="宋体" w:hAnsi="宋体"/>
                <w:color w:val="000000"/>
                <w:sz w:val="22"/>
                <w:szCs w:val="22"/>
              </w:rPr>
            </w:pPr>
            <w:r>
              <w:rPr>
                <w:rFonts w:ascii="宋体" w:hAnsi="宋体"/>
                <w:color w:val="000000"/>
                <w:sz w:val="22"/>
                <w:szCs w:val="22"/>
              </w:rPr>
              <w:t>资格审查方式：</w:t>
            </w:r>
            <w:r>
              <w:rPr>
                <w:rFonts w:hint="eastAsia" w:ascii="宋体" w:hAnsi="宋体"/>
                <w:color w:val="000000"/>
                <w:sz w:val="22"/>
                <w:szCs w:val="22"/>
              </w:rPr>
              <w:t>资格后审</w:t>
            </w:r>
          </w:p>
          <w:p>
            <w:pPr>
              <w:spacing w:line="360" w:lineRule="auto"/>
              <w:rPr>
                <w:rFonts w:ascii="宋体" w:hAnsi="宋体"/>
                <w:color w:val="000000"/>
                <w:sz w:val="22"/>
                <w:szCs w:val="22"/>
              </w:rPr>
            </w:pPr>
            <w:r>
              <w:rPr>
                <w:rFonts w:hint="eastAsia" w:ascii="宋体" w:hAnsi="宋体"/>
                <w:color w:val="000000"/>
                <w:sz w:val="22"/>
                <w:szCs w:val="22"/>
              </w:rPr>
              <w:t>获取采购文件时间</w:t>
            </w:r>
            <w:r>
              <w:rPr>
                <w:rFonts w:ascii="宋体" w:hAnsi="宋体"/>
                <w:color w:val="000000"/>
                <w:sz w:val="22"/>
                <w:szCs w:val="22"/>
              </w:rPr>
              <w:t>：</w:t>
            </w:r>
            <w:r>
              <w:rPr>
                <w:rFonts w:hint="eastAsia" w:ascii="宋体" w:hAnsi="宋体"/>
                <w:color w:val="000000"/>
                <w:sz w:val="22"/>
                <w:szCs w:val="22"/>
              </w:rPr>
              <w:t>见第一部分 《采购公告》第九条</w:t>
            </w:r>
          </w:p>
          <w:p>
            <w:pPr>
              <w:spacing w:line="360" w:lineRule="auto"/>
              <w:rPr>
                <w:rFonts w:ascii="宋体" w:hAnsi="宋体"/>
                <w:color w:val="000000"/>
                <w:sz w:val="22"/>
                <w:szCs w:val="22"/>
              </w:rPr>
            </w:pPr>
            <w:r>
              <w:rPr>
                <w:rFonts w:hint="eastAsia" w:ascii="宋体" w:hAnsi="宋体"/>
                <w:color w:val="000000"/>
                <w:sz w:val="22"/>
                <w:szCs w:val="22"/>
              </w:rPr>
              <w:t>获取采购文件地点</w:t>
            </w:r>
            <w:r>
              <w:rPr>
                <w:rFonts w:ascii="宋体" w:hAnsi="宋体"/>
                <w:color w:val="000000"/>
                <w:sz w:val="22"/>
                <w:szCs w:val="22"/>
              </w:rPr>
              <w:t>：</w:t>
            </w:r>
            <w:r>
              <w:rPr>
                <w:rFonts w:hint="eastAsia" w:ascii="宋体" w:hAnsi="宋体"/>
                <w:color w:val="000000"/>
                <w:sz w:val="22"/>
                <w:szCs w:val="22"/>
              </w:rPr>
              <w:t>见第一部分 《采购公告》第九条</w:t>
            </w:r>
          </w:p>
          <w:p>
            <w:pPr>
              <w:spacing w:line="360" w:lineRule="auto"/>
              <w:rPr>
                <w:rFonts w:hint="eastAsia" w:ascii="宋体" w:hAnsi="宋体"/>
                <w:color w:val="000000"/>
                <w:sz w:val="22"/>
                <w:szCs w:val="22"/>
              </w:rPr>
            </w:pPr>
            <w:r>
              <w:rPr>
                <w:rFonts w:hint="eastAsia" w:ascii="宋体" w:hAnsi="宋体"/>
                <w:color w:val="000000"/>
                <w:sz w:val="22"/>
                <w:szCs w:val="22"/>
              </w:rPr>
              <w:t>获取采购文件方式</w:t>
            </w:r>
            <w:r>
              <w:rPr>
                <w:rFonts w:ascii="宋体" w:hAnsi="宋体"/>
                <w:color w:val="000000"/>
                <w:sz w:val="22"/>
                <w:szCs w:val="22"/>
              </w:rPr>
              <w:t>：</w:t>
            </w:r>
            <w:r>
              <w:rPr>
                <w:rFonts w:hint="eastAsia" w:ascii="宋体" w:hAnsi="宋体"/>
                <w:color w:val="000000"/>
                <w:sz w:val="22"/>
                <w:szCs w:val="22"/>
              </w:rPr>
              <w:t>见第一部分 《采购公告》第九条</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452" w:hRule="atLeast"/>
        </w:trPr>
        <w:tc>
          <w:tcPr>
            <w:tcW w:w="993" w:type="dxa"/>
            <w:noWrap w:val="0"/>
            <w:vAlign w:val="center"/>
          </w:tcPr>
          <w:p>
            <w:pPr>
              <w:autoSpaceDE w:val="0"/>
              <w:autoSpaceDN w:val="0"/>
              <w:snapToGrid w:val="0"/>
              <w:spacing w:line="360" w:lineRule="auto"/>
              <w:ind w:left="-95" w:right="-129"/>
              <w:jc w:val="center"/>
              <w:rPr>
                <w:rFonts w:hint="eastAsia" w:ascii="宋体" w:hAnsi="宋体"/>
                <w:color w:val="000000"/>
                <w:sz w:val="22"/>
                <w:szCs w:val="22"/>
              </w:rPr>
            </w:pPr>
            <w:r>
              <w:rPr>
                <w:rFonts w:ascii="宋体" w:hAnsi="宋体"/>
                <w:color w:val="000000"/>
                <w:sz w:val="22"/>
                <w:szCs w:val="22"/>
              </w:rPr>
              <w:t>3</w:t>
            </w:r>
          </w:p>
        </w:tc>
        <w:tc>
          <w:tcPr>
            <w:tcW w:w="8930" w:type="dxa"/>
            <w:noWrap w:val="0"/>
            <w:vAlign w:val="center"/>
          </w:tcPr>
          <w:p>
            <w:pPr>
              <w:autoSpaceDE w:val="0"/>
              <w:autoSpaceDN w:val="0"/>
              <w:snapToGrid w:val="0"/>
              <w:spacing w:line="360" w:lineRule="auto"/>
              <w:ind w:left="-95" w:right="-129" w:firstLine="110" w:firstLineChars="50"/>
              <w:jc w:val="left"/>
              <w:rPr>
                <w:rFonts w:ascii="宋体" w:hAnsi="宋体"/>
                <w:color w:val="000000"/>
                <w:sz w:val="22"/>
                <w:szCs w:val="22"/>
              </w:rPr>
            </w:pPr>
            <w:r>
              <w:rPr>
                <w:rFonts w:ascii="宋体" w:hAnsi="宋体"/>
                <w:color w:val="000000"/>
                <w:sz w:val="22"/>
                <w:szCs w:val="22"/>
              </w:rPr>
              <w:t>经批准的本次采购方式：公开采购</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452" w:hRule="atLeast"/>
        </w:trPr>
        <w:tc>
          <w:tcPr>
            <w:tcW w:w="993" w:type="dxa"/>
            <w:noWrap w:val="0"/>
            <w:vAlign w:val="center"/>
          </w:tcPr>
          <w:p>
            <w:pPr>
              <w:autoSpaceDE w:val="0"/>
              <w:autoSpaceDN w:val="0"/>
              <w:snapToGrid w:val="0"/>
              <w:spacing w:line="360" w:lineRule="auto"/>
              <w:ind w:left="-95" w:right="-129"/>
              <w:jc w:val="center"/>
              <w:rPr>
                <w:rFonts w:ascii="宋体" w:hAnsi="宋体"/>
                <w:color w:val="000000"/>
                <w:sz w:val="22"/>
                <w:szCs w:val="22"/>
              </w:rPr>
            </w:pPr>
            <w:r>
              <w:rPr>
                <w:rFonts w:ascii="宋体" w:hAnsi="宋体"/>
                <w:color w:val="000000"/>
                <w:sz w:val="22"/>
                <w:szCs w:val="22"/>
              </w:rPr>
              <w:t>4</w:t>
            </w:r>
          </w:p>
        </w:tc>
        <w:tc>
          <w:tcPr>
            <w:tcW w:w="8930" w:type="dxa"/>
            <w:noWrap w:val="0"/>
            <w:vAlign w:val="center"/>
          </w:tcPr>
          <w:p>
            <w:pPr>
              <w:autoSpaceDE w:val="0"/>
              <w:autoSpaceDN w:val="0"/>
              <w:snapToGrid w:val="0"/>
              <w:spacing w:line="360" w:lineRule="auto"/>
              <w:ind w:left="-95" w:right="-129" w:firstLine="110" w:firstLineChars="50"/>
              <w:jc w:val="left"/>
              <w:rPr>
                <w:rFonts w:ascii="宋体" w:hAnsi="宋体"/>
                <w:color w:val="000000"/>
                <w:sz w:val="22"/>
                <w:szCs w:val="22"/>
              </w:rPr>
            </w:pPr>
            <w:r>
              <w:rPr>
                <w:rFonts w:hint="eastAsia" w:ascii="宋体" w:hAnsi="宋体"/>
                <w:color w:val="000000"/>
                <w:sz w:val="22"/>
                <w:szCs w:val="22"/>
              </w:rPr>
              <w:t>采购有关信息发布媒体：http://zfcg.czt.zj.gov.cn//、http://zhenhai.bidding.gov.cn</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452" w:hRule="atLeast"/>
        </w:trPr>
        <w:tc>
          <w:tcPr>
            <w:tcW w:w="993" w:type="dxa"/>
            <w:noWrap w:val="0"/>
            <w:vAlign w:val="center"/>
          </w:tcPr>
          <w:p>
            <w:pPr>
              <w:autoSpaceDE w:val="0"/>
              <w:autoSpaceDN w:val="0"/>
              <w:snapToGrid w:val="0"/>
              <w:spacing w:line="360" w:lineRule="auto"/>
              <w:ind w:left="-95" w:right="-129"/>
              <w:jc w:val="center"/>
              <w:rPr>
                <w:rFonts w:ascii="宋体" w:hAnsi="宋体"/>
                <w:color w:val="000000"/>
                <w:sz w:val="22"/>
                <w:szCs w:val="22"/>
              </w:rPr>
            </w:pPr>
            <w:r>
              <w:rPr>
                <w:rFonts w:ascii="宋体" w:hAnsi="宋体"/>
                <w:color w:val="000000"/>
                <w:sz w:val="22"/>
                <w:szCs w:val="22"/>
              </w:rPr>
              <w:t>5</w:t>
            </w:r>
          </w:p>
        </w:tc>
        <w:tc>
          <w:tcPr>
            <w:tcW w:w="8930" w:type="dxa"/>
            <w:noWrap w:val="0"/>
            <w:vAlign w:val="center"/>
          </w:tcPr>
          <w:p>
            <w:pPr>
              <w:autoSpaceDE w:val="0"/>
              <w:autoSpaceDN w:val="0"/>
              <w:snapToGrid w:val="0"/>
              <w:spacing w:line="360" w:lineRule="auto"/>
              <w:ind w:left="-95" w:right="-129" w:firstLine="110" w:firstLineChars="50"/>
              <w:jc w:val="left"/>
              <w:rPr>
                <w:rFonts w:hint="eastAsia" w:ascii="宋体" w:hAnsi="宋体"/>
                <w:color w:val="000000"/>
                <w:sz w:val="22"/>
                <w:szCs w:val="22"/>
              </w:rPr>
            </w:pPr>
            <w:r>
              <w:rPr>
                <w:rFonts w:hint="eastAsia" w:ascii="宋体" w:hAnsi="宋体"/>
                <w:color w:val="000000"/>
                <w:sz w:val="22"/>
                <w:szCs w:val="22"/>
              </w:rPr>
              <w:t>按采购文件第三部分《投标人须知》的13.1、13.2条款规定；</w:t>
            </w:r>
          </w:p>
          <w:p>
            <w:pPr>
              <w:autoSpaceDE w:val="0"/>
              <w:autoSpaceDN w:val="0"/>
              <w:snapToGrid w:val="0"/>
              <w:spacing w:line="360" w:lineRule="auto"/>
              <w:ind w:left="-95" w:right="-129" w:firstLine="110" w:firstLineChars="50"/>
              <w:jc w:val="left"/>
              <w:rPr>
                <w:rFonts w:hint="eastAsia" w:ascii="宋体" w:hAnsi="宋体"/>
                <w:color w:val="000000"/>
                <w:sz w:val="22"/>
                <w:szCs w:val="22"/>
              </w:rPr>
            </w:pPr>
            <w:r>
              <w:rPr>
                <w:rFonts w:hint="eastAsia" w:ascii="宋体" w:hAnsi="宋体"/>
                <w:color w:val="000000"/>
                <w:sz w:val="22"/>
                <w:szCs w:val="22"/>
              </w:rPr>
              <w:t>对投标文件组成的修改：无</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472" w:hRule="atLeast"/>
        </w:trPr>
        <w:tc>
          <w:tcPr>
            <w:tcW w:w="993" w:type="dxa"/>
            <w:noWrap w:val="0"/>
            <w:vAlign w:val="center"/>
          </w:tcPr>
          <w:p>
            <w:pPr>
              <w:autoSpaceDE w:val="0"/>
              <w:autoSpaceDN w:val="0"/>
              <w:snapToGrid w:val="0"/>
              <w:spacing w:line="360" w:lineRule="auto"/>
              <w:ind w:left="-95" w:right="-129"/>
              <w:jc w:val="center"/>
              <w:rPr>
                <w:rFonts w:ascii="宋体" w:hAnsi="宋体"/>
                <w:sz w:val="22"/>
                <w:szCs w:val="22"/>
              </w:rPr>
            </w:pPr>
            <w:r>
              <w:rPr>
                <w:rFonts w:ascii="宋体" w:hAnsi="宋体"/>
                <w:b/>
                <w:sz w:val="22"/>
                <w:szCs w:val="22"/>
              </w:rPr>
              <w:t>★</w:t>
            </w:r>
            <w:r>
              <w:rPr>
                <w:rFonts w:ascii="宋体" w:hAnsi="宋体"/>
                <w:sz w:val="22"/>
                <w:szCs w:val="22"/>
              </w:rPr>
              <w:t>6</w:t>
            </w:r>
          </w:p>
        </w:tc>
        <w:tc>
          <w:tcPr>
            <w:tcW w:w="8930" w:type="dxa"/>
            <w:noWrap w:val="0"/>
            <w:vAlign w:val="center"/>
          </w:tcPr>
          <w:p>
            <w:pPr>
              <w:spacing w:before="60" w:line="360" w:lineRule="auto"/>
              <w:rPr>
                <w:rFonts w:ascii="宋体" w:hAnsi="宋体"/>
                <w:sz w:val="22"/>
                <w:szCs w:val="22"/>
              </w:rPr>
            </w:pPr>
            <w:r>
              <w:rPr>
                <w:rFonts w:ascii="宋体" w:hAnsi="宋体"/>
                <w:sz w:val="22"/>
                <w:szCs w:val="22"/>
              </w:rPr>
              <w:t>本次采购的商务条款</w:t>
            </w:r>
          </w:p>
          <w:p>
            <w:pPr>
              <w:spacing w:before="60" w:line="360" w:lineRule="auto"/>
              <w:ind w:left="440" w:hanging="440" w:hangingChars="200"/>
              <w:rPr>
                <w:rFonts w:ascii="宋体" w:hAnsi="宋体"/>
                <w:sz w:val="22"/>
                <w:szCs w:val="22"/>
              </w:rPr>
            </w:pPr>
            <w:r>
              <w:rPr>
                <w:rFonts w:ascii="宋体" w:hAnsi="宋体"/>
                <w:sz w:val="22"/>
                <w:szCs w:val="22"/>
              </w:rPr>
              <w:t>(1) 合同名称：</w:t>
            </w:r>
            <w:r>
              <w:rPr>
                <w:rFonts w:hint="eastAsia" w:ascii="宋体" w:hAnsi="宋体"/>
                <w:sz w:val="22"/>
                <w:szCs w:val="22"/>
              </w:rPr>
              <w:t>镇海区全区社会治安视频监控系统（2021年度）统筹运维服务项目</w:t>
            </w:r>
            <w:r>
              <w:rPr>
                <w:rFonts w:ascii="宋体" w:hAnsi="宋体"/>
                <w:sz w:val="22"/>
                <w:szCs w:val="22"/>
              </w:rPr>
              <w:t xml:space="preserve"> </w:t>
            </w:r>
            <w:r>
              <w:rPr>
                <w:rFonts w:hint="eastAsia" w:ascii="宋体" w:hAnsi="宋体"/>
                <w:sz w:val="22"/>
                <w:szCs w:val="22"/>
              </w:rPr>
              <w:t>。</w:t>
            </w:r>
          </w:p>
          <w:p>
            <w:pPr>
              <w:spacing w:before="60" w:line="360" w:lineRule="auto"/>
              <w:rPr>
                <w:rFonts w:hint="eastAsia" w:ascii="宋体" w:hAnsi="宋体"/>
                <w:sz w:val="22"/>
                <w:szCs w:val="22"/>
              </w:rPr>
            </w:pPr>
            <w:r>
              <w:rPr>
                <w:rFonts w:ascii="宋体" w:hAnsi="宋体"/>
                <w:sz w:val="22"/>
                <w:szCs w:val="22"/>
              </w:rPr>
              <w:t>(</w:t>
            </w:r>
            <w:r>
              <w:rPr>
                <w:rFonts w:hint="eastAsia" w:ascii="宋体" w:hAnsi="宋体"/>
                <w:sz w:val="22"/>
                <w:szCs w:val="22"/>
              </w:rPr>
              <w:t>2</w:t>
            </w:r>
            <w:r>
              <w:rPr>
                <w:rFonts w:ascii="宋体" w:hAnsi="宋体"/>
                <w:sz w:val="22"/>
                <w:szCs w:val="22"/>
              </w:rPr>
              <w:t>)</w:t>
            </w:r>
            <w:r>
              <w:rPr>
                <w:rFonts w:hint="eastAsia" w:ascii="宋体" w:hAnsi="宋体" w:cs="Arial"/>
                <w:bCs/>
                <w:sz w:val="22"/>
                <w:szCs w:val="22"/>
              </w:rPr>
              <w:t>服务期限：</w:t>
            </w:r>
            <w:r>
              <w:rPr>
                <w:rFonts w:hint="eastAsia" w:ascii="宋体" w:hAnsi="宋体" w:cs="Arial"/>
                <w:bCs/>
                <w:color w:val="000000"/>
                <w:sz w:val="22"/>
                <w:szCs w:val="22"/>
              </w:rPr>
              <w:t>本项目服务期限为一年，</w:t>
            </w:r>
            <w:r>
              <w:rPr>
                <w:rFonts w:hint="eastAsia" w:ascii="宋体" w:hAnsi="宋体"/>
                <w:bCs/>
                <w:sz w:val="22"/>
                <w:szCs w:val="22"/>
              </w:rPr>
              <w:t>其中前二个月为试用期，试用期内若考核不合格</w:t>
            </w:r>
            <w:r>
              <w:rPr>
                <w:rFonts w:hint="eastAsia" w:ascii="宋体" w:hAnsi="宋体"/>
                <w:sz w:val="22"/>
                <w:szCs w:val="22"/>
              </w:rPr>
              <w:t>采购人有权单方解除合同。</w:t>
            </w:r>
          </w:p>
          <w:p>
            <w:pPr>
              <w:spacing w:line="360" w:lineRule="auto"/>
              <w:rPr>
                <w:rFonts w:ascii="宋体" w:hAnsi="宋体"/>
                <w:kern w:val="28"/>
                <w:sz w:val="22"/>
                <w:szCs w:val="22"/>
              </w:rPr>
            </w:pPr>
            <w:r>
              <w:rPr>
                <w:rFonts w:ascii="宋体" w:hAnsi="宋体"/>
                <w:sz w:val="22"/>
                <w:szCs w:val="22"/>
              </w:rPr>
              <w:t>(</w:t>
            </w:r>
            <w:r>
              <w:rPr>
                <w:rFonts w:hint="eastAsia" w:ascii="宋体" w:hAnsi="宋体"/>
                <w:sz w:val="22"/>
                <w:szCs w:val="22"/>
              </w:rPr>
              <w:t>3</w:t>
            </w:r>
            <w:r>
              <w:rPr>
                <w:rFonts w:ascii="宋体" w:hAnsi="宋体"/>
                <w:sz w:val="22"/>
                <w:szCs w:val="22"/>
              </w:rPr>
              <w:t>) 运维目标</w:t>
            </w:r>
            <w:r>
              <w:rPr>
                <w:rFonts w:ascii="宋体" w:hAnsi="宋体"/>
                <w:kern w:val="28"/>
                <w:sz w:val="22"/>
                <w:szCs w:val="22"/>
              </w:rPr>
              <w:t>：</w:t>
            </w:r>
            <w:r>
              <w:rPr>
                <w:rFonts w:hint="eastAsia" w:ascii="宋体" w:hAnsi="宋体"/>
                <w:sz w:val="22"/>
                <w:szCs w:val="22"/>
              </w:rPr>
              <w:t>通过运维服务使系统的前端设备完好率月均达到99%及以上</w:t>
            </w:r>
            <w:r>
              <w:rPr>
                <w:rFonts w:hint="eastAsia" w:ascii="宋体" w:hAnsi="宋体"/>
                <w:kern w:val="28"/>
                <w:sz w:val="22"/>
                <w:szCs w:val="22"/>
              </w:rPr>
              <w:t>。</w:t>
            </w:r>
          </w:p>
          <w:p>
            <w:pPr>
              <w:spacing w:line="360" w:lineRule="auto"/>
              <w:rPr>
                <w:rFonts w:hint="eastAsia" w:ascii="宋体" w:hAnsi="宋体"/>
                <w:sz w:val="22"/>
                <w:szCs w:val="22"/>
              </w:rPr>
            </w:pPr>
            <w:r>
              <w:rPr>
                <w:rFonts w:ascii="宋体" w:hAnsi="宋体"/>
                <w:sz w:val="22"/>
                <w:szCs w:val="22"/>
              </w:rPr>
              <w:t>(</w:t>
            </w:r>
            <w:r>
              <w:rPr>
                <w:rFonts w:hint="eastAsia" w:ascii="宋体" w:hAnsi="宋体"/>
                <w:sz w:val="22"/>
                <w:szCs w:val="22"/>
              </w:rPr>
              <w:t>4</w:t>
            </w:r>
            <w:r>
              <w:rPr>
                <w:rFonts w:ascii="宋体" w:hAnsi="宋体"/>
                <w:sz w:val="22"/>
                <w:szCs w:val="22"/>
              </w:rPr>
              <w:t>)付款条件</w:t>
            </w:r>
            <w:r>
              <w:rPr>
                <w:rFonts w:hint="eastAsia" w:ascii="宋体" w:hAnsi="宋体"/>
                <w:sz w:val="22"/>
                <w:szCs w:val="22"/>
              </w:rPr>
              <w:t>与方法</w:t>
            </w:r>
            <w:r>
              <w:rPr>
                <w:rFonts w:ascii="宋体" w:hAnsi="宋体"/>
                <w:sz w:val="22"/>
                <w:szCs w:val="22"/>
              </w:rPr>
              <w:t>：</w:t>
            </w:r>
          </w:p>
          <w:p>
            <w:pPr>
              <w:spacing w:line="360" w:lineRule="auto"/>
              <w:ind w:firstLine="440" w:firstLineChars="200"/>
              <w:rPr>
                <w:rFonts w:hint="eastAsia" w:ascii="宋体" w:hAnsi="宋体"/>
                <w:sz w:val="22"/>
                <w:szCs w:val="22"/>
              </w:rPr>
            </w:pPr>
            <w:r>
              <w:rPr>
                <w:rFonts w:hint="eastAsia" w:ascii="宋体" w:hAnsi="宋体"/>
                <w:sz w:val="22"/>
                <w:szCs w:val="22"/>
              </w:rPr>
              <w:t>年度服务费总</w:t>
            </w:r>
            <w:r>
              <w:rPr>
                <w:rFonts w:ascii="宋体" w:hAnsi="宋体"/>
                <w:sz w:val="22"/>
                <w:szCs w:val="22"/>
              </w:rPr>
              <w:t>金额为</w:t>
            </w:r>
            <w:r>
              <w:rPr>
                <w:rFonts w:hint="eastAsia" w:ascii="宋体" w:hAnsi="宋体"/>
                <w:sz w:val="22"/>
                <w:szCs w:val="22"/>
                <w:u w:val="single"/>
              </w:rPr>
              <w:t xml:space="preserve">       </w:t>
            </w:r>
            <w:r>
              <w:rPr>
                <w:rFonts w:ascii="宋体" w:hAnsi="宋体"/>
                <w:sz w:val="22"/>
                <w:szCs w:val="22"/>
              </w:rPr>
              <w:t>万元</w:t>
            </w:r>
            <w:r>
              <w:rPr>
                <w:rFonts w:hint="eastAsia" w:ascii="宋体" w:hAnsi="宋体"/>
                <w:sz w:val="22"/>
                <w:szCs w:val="22"/>
              </w:rPr>
              <w:t>，服务</w:t>
            </w:r>
            <w:r>
              <w:rPr>
                <w:rFonts w:hint="eastAsia" w:ascii="宋体" w:hAnsi="宋体"/>
                <w:bCs/>
                <w:sz w:val="22"/>
                <w:szCs w:val="22"/>
              </w:rPr>
              <w:t>费核拨方式为：</w:t>
            </w:r>
          </w:p>
          <w:p>
            <w:pPr>
              <w:spacing w:line="360" w:lineRule="auto"/>
              <w:ind w:firstLine="440" w:firstLineChars="200"/>
              <w:rPr>
                <w:rFonts w:hint="eastAsia" w:ascii="宋体" w:hAnsi="宋体" w:cs="宋体"/>
                <w:color w:val="FF0000"/>
                <w:sz w:val="22"/>
                <w:szCs w:val="22"/>
              </w:rPr>
            </w:pPr>
            <w:r>
              <w:rPr>
                <w:rFonts w:hint="eastAsia" w:ascii="宋体" w:hAnsi="宋体" w:cs="宋体"/>
                <w:color w:val="FF0000"/>
                <w:sz w:val="22"/>
                <w:szCs w:val="22"/>
              </w:rPr>
              <w:t>1）项目运维服务费按月计算，每季度结算一次。</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2）①当月设备和系统正常率不低于考核指标时，月服务费=投标报价÷12；当月设备和系统正常率低于考核指标时，任一考核指标每低0.1个百分点（各项指标可以累计），则月服务费扣除对应百分点的服务费。（考核指标为采购文件中“第二部分 采购内容及要求，七、运维考核指标及要求”中的任意一项百分比）；②当月维护未按考核时限完成修复的，每延期一次扣款1000元，以此类推。</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3）如设备和系统累计2月次正常率低于90%或因运维单位原因无法履行维修、维护、巡检等职责时，业主单位可解除合同并没收履约保证金。</w:t>
            </w:r>
          </w:p>
          <w:p>
            <w:pPr>
              <w:spacing w:before="60" w:line="360" w:lineRule="auto"/>
              <w:jc w:val="left"/>
              <w:rPr>
                <w:rFonts w:hint="eastAsia" w:ascii="宋体" w:hAnsi="宋体"/>
                <w:sz w:val="22"/>
                <w:szCs w:val="22"/>
              </w:rPr>
            </w:pPr>
            <w:r>
              <w:rPr>
                <w:rFonts w:ascii="宋体" w:hAnsi="宋体"/>
                <w:sz w:val="22"/>
                <w:szCs w:val="22"/>
              </w:rPr>
              <w:t>(</w:t>
            </w:r>
            <w:r>
              <w:rPr>
                <w:rFonts w:hint="eastAsia" w:ascii="宋体" w:hAnsi="宋体"/>
                <w:sz w:val="22"/>
                <w:szCs w:val="22"/>
              </w:rPr>
              <w:t>5</w:t>
            </w:r>
            <w:r>
              <w:rPr>
                <w:rFonts w:ascii="宋体" w:hAnsi="宋体"/>
                <w:sz w:val="22"/>
                <w:szCs w:val="22"/>
              </w:rPr>
              <w:t>)履约保证金</w:t>
            </w:r>
            <w:r>
              <w:rPr>
                <w:rFonts w:hint="eastAsia" w:ascii="宋体" w:hAnsi="宋体"/>
                <w:sz w:val="22"/>
                <w:szCs w:val="22"/>
              </w:rPr>
              <w:t>规定</w:t>
            </w:r>
            <w:r>
              <w:rPr>
                <w:rFonts w:ascii="宋体" w:hAnsi="宋体"/>
                <w:sz w:val="22"/>
                <w:szCs w:val="22"/>
              </w:rPr>
              <w:t>：</w:t>
            </w:r>
            <w:r>
              <w:rPr>
                <w:rFonts w:hint="eastAsia" w:ascii="宋体" w:hAnsi="宋体"/>
                <w:sz w:val="22"/>
                <w:szCs w:val="22"/>
              </w:rPr>
              <w:t>履约保证金形式：支票、电汇、汇票、本票、保函、保险保单等采购人认可的非现金形式；</w:t>
            </w:r>
            <w:r>
              <w:rPr>
                <w:rFonts w:hint="eastAsia" w:ascii="宋体" w:hAnsi="宋体"/>
                <w:kern w:val="0"/>
                <w:sz w:val="22"/>
                <w:szCs w:val="22"/>
                <w:lang w:val="zh-CN"/>
              </w:rPr>
              <w:t>签订合同前3个工作日内，中标人须向招标人（宁波市公安局镇海分局）缴纳相当于合同总额5％的履约保证金</w:t>
            </w:r>
            <w:r>
              <w:rPr>
                <w:rFonts w:hint="eastAsia" w:ascii="宋体" w:hAnsi="宋体"/>
                <w:sz w:val="22"/>
                <w:szCs w:val="22"/>
              </w:rPr>
              <w:t>（含人身伤亡保证金）</w:t>
            </w:r>
            <w:r>
              <w:rPr>
                <w:rFonts w:hint="eastAsia" w:ascii="宋体" w:hAnsi="宋体"/>
                <w:kern w:val="0"/>
                <w:sz w:val="22"/>
                <w:szCs w:val="22"/>
                <w:lang w:val="zh-CN"/>
              </w:rPr>
              <w:t>，项目服务期满后，服务良好的前提下原额(含利息，按国家基准利率活期计取)归还履约保证金。</w:t>
            </w:r>
          </w:p>
          <w:p>
            <w:pPr>
              <w:spacing w:before="60" w:line="360" w:lineRule="auto"/>
              <w:jc w:val="left"/>
              <w:rPr>
                <w:rFonts w:ascii="宋体" w:hAnsi="宋体"/>
                <w:sz w:val="22"/>
                <w:szCs w:val="22"/>
              </w:rPr>
            </w:pPr>
            <w:r>
              <w:rPr>
                <w:rFonts w:ascii="宋体" w:hAnsi="宋体"/>
                <w:sz w:val="22"/>
                <w:szCs w:val="22"/>
              </w:rPr>
              <w:t>(</w:t>
            </w:r>
            <w:r>
              <w:rPr>
                <w:rFonts w:hint="eastAsia" w:ascii="宋体" w:hAnsi="宋体"/>
                <w:sz w:val="22"/>
                <w:szCs w:val="22"/>
              </w:rPr>
              <w:t>6</w:t>
            </w:r>
            <w:r>
              <w:rPr>
                <w:rFonts w:ascii="宋体" w:hAnsi="宋体"/>
                <w:sz w:val="22"/>
                <w:szCs w:val="22"/>
              </w:rPr>
              <w:t>)</w:t>
            </w:r>
            <w:r>
              <w:rPr>
                <w:rFonts w:hint="eastAsia" w:ascii="宋体" w:hAnsi="宋体"/>
                <w:sz w:val="22"/>
                <w:szCs w:val="22"/>
              </w:rPr>
              <w:t>采购代理服务费不应在投标报价中单列。</w:t>
            </w:r>
          </w:p>
          <w:p>
            <w:pPr>
              <w:spacing w:before="60" w:line="360" w:lineRule="auto"/>
              <w:jc w:val="left"/>
              <w:rPr>
                <w:rFonts w:ascii="宋体" w:hAnsi="宋体"/>
                <w:color w:val="000000"/>
                <w:sz w:val="22"/>
                <w:szCs w:val="22"/>
              </w:rPr>
            </w:pPr>
            <w:r>
              <w:rPr>
                <w:rFonts w:ascii="宋体" w:hAnsi="宋体"/>
                <w:sz w:val="22"/>
                <w:szCs w:val="22"/>
              </w:rPr>
              <w:t>(</w:t>
            </w:r>
            <w:r>
              <w:rPr>
                <w:rFonts w:hint="eastAsia" w:ascii="宋体" w:hAnsi="宋体"/>
                <w:sz w:val="22"/>
                <w:szCs w:val="22"/>
              </w:rPr>
              <w:t>7</w:t>
            </w:r>
            <w:r>
              <w:rPr>
                <w:rFonts w:ascii="宋体" w:hAnsi="宋体"/>
                <w:sz w:val="22"/>
                <w:szCs w:val="22"/>
              </w:rPr>
              <w:t>)其他商务要求：</w:t>
            </w:r>
            <w:r>
              <w:rPr>
                <w:rFonts w:hint="eastAsia" w:ascii="宋体" w:hAnsi="宋体"/>
                <w:sz w:val="22"/>
                <w:szCs w:val="22"/>
              </w:rPr>
              <w:t>无。</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374" w:hRule="atLeast"/>
        </w:trPr>
        <w:tc>
          <w:tcPr>
            <w:tcW w:w="993" w:type="dxa"/>
            <w:noWrap w:val="0"/>
            <w:vAlign w:val="center"/>
          </w:tcPr>
          <w:p>
            <w:pPr>
              <w:autoSpaceDE w:val="0"/>
              <w:autoSpaceDN w:val="0"/>
              <w:snapToGrid w:val="0"/>
              <w:spacing w:line="360" w:lineRule="auto"/>
              <w:ind w:left="-95" w:right="-129"/>
              <w:jc w:val="center"/>
              <w:rPr>
                <w:rFonts w:ascii="宋体" w:hAnsi="宋体"/>
                <w:sz w:val="22"/>
                <w:szCs w:val="22"/>
              </w:rPr>
            </w:pPr>
            <w:r>
              <w:rPr>
                <w:rFonts w:ascii="宋体" w:hAnsi="宋体"/>
                <w:b/>
                <w:sz w:val="22"/>
                <w:szCs w:val="22"/>
              </w:rPr>
              <w:t>★</w:t>
            </w:r>
            <w:r>
              <w:rPr>
                <w:rFonts w:ascii="宋体" w:hAnsi="宋体"/>
                <w:sz w:val="22"/>
                <w:szCs w:val="22"/>
              </w:rPr>
              <w:t>7</w:t>
            </w:r>
          </w:p>
        </w:tc>
        <w:tc>
          <w:tcPr>
            <w:tcW w:w="8930" w:type="dxa"/>
            <w:noWrap w:val="0"/>
            <w:vAlign w:val="center"/>
          </w:tcPr>
          <w:p>
            <w:pPr>
              <w:snapToGrid w:val="0"/>
              <w:spacing w:line="360" w:lineRule="auto"/>
              <w:rPr>
                <w:rFonts w:hint="eastAsia" w:ascii="宋体" w:hAnsi="宋体"/>
                <w:sz w:val="22"/>
                <w:szCs w:val="22"/>
              </w:rPr>
            </w:pPr>
            <w:r>
              <w:rPr>
                <w:rFonts w:hint="eastAsia" w:ascii="宋体" w:hAnsi="宋体"/>
                <w:sz w:val="22"/>
                <w:szCs w:val="22"/>
              </w:rPr>
              <w:t>投标报价及费用：</w:t>
            </w:r>
          </w:p>
          <w:p>
            <w:pPr>
              <w:snapToGrid w:val="0"/>
              <w:spacing w:line="360" w:lineRule="auto"/>
              <w:rPr>
                <w:rFonts w:hint="eastAsia" w:ascii="宋体" w:hAnsi="宋体"/>
                <w:sz w:val="22"/>
                <w:szCs w:val="22"/>
                <w:u w:val="single"/>
              </w:rPr>
            </w:pPr>
            <w:r>
              <w:rPr>
                <w:rFonts w:hint="eastAsia" w:ascii="宋体" w:hAnsi="宋体"/>
                <w:sz w:val="22"/>
                <w:szCs w:val="22"/>
              </w:rPr>
              <w:t>1、</w:t>
            </w:r>
            <w:r>
              <w:rPr>
                <w:rFonts w:hint="eastAsia" w:ascii="宋体" w:hAnsi="宋体"/>
                <w:b/>
                <w:bCs/>
                <w:sz w:val="22"/>
                <w:szCs w:val="22"/>
              </w:rPr>
              <w:t>本项目</w:t>
            </w:r>
            <w:r>
              <w:rPr>
                <w:rFonts w:hint="eastAsia" w:ascii="宋体" w:hAnsi="宋体" w:cs="Arial"/>
                <w:b/>
                <w:bCs/>
                <w:sz w:val="22"/>
                <w:szCs w:val="22"/>
              </w:rPr>
              <w:t>年度服务费</w:t>
            </w:r>
            <w:r>
              <w:rPr>
                <w:rFonts w:hint="eastAsia" w:ascii="宋体" w:hAnsi="宋体"/>
                <w:b/>
                <w:bCs/>
                <w:sz w:val="22"/>
                <w:szCs w:val="22"/>
              </w:rPr>
              <w:t>最高限价为：</w:t>
            </w:r>
            <w:r>
              <w:rPr>
                <w:rFonts w:hint="eastAsia" w:ascii="宋体" w:hAnsi="宋体"/>
                <w:b/>
                <w:sz w:val="22"/>
                <w:szCs w:val="22"/>
                <w:u w:val="single"/>
              </w:rPr>
              <w:t>180万元/年</w:t>
            </w:r>
            <w:r>
              <w:rPr>
                <w:rFonts w:hint="eastAsia" w:ascii="宋体" w:hAnsi="宋体"/>
                <w:b/>
                <w:sz w:val="22"/>
                <w:szCs w:val="22"/>
              </w:rPr>
              <w:t>。</w:t>
            </w:r>
          </w:p>
          <w:p>
            <w:pPr>
              <w:spacing w:before="60" w:line="360" w:lineRule="auto"/>
              <w:rPr>
                <w:rFonts w:hint="eastAsia" w:ascii="宋体" w:hAnsi="宋体"/>
                <w:sz w:val="22"/>
                <w:szCs w:val="22"/>
              </w:rPr>
            </w:pPr>
            <w:r>
              <w:rPr>
                <w:rFonts w:hint="eastAsia" w:ascii="宋体" w:hAnsi="宋体"/>
                <w:sz w:val="22"/>
                <w:szCs w:val="22"/>
              </w:rPr>
              <w:t>2、本项目投标应以人民币报价；投标报价超过</w:t>
            </w:r>
            <w:r>
              <w:rPr>
                <w:rFonts w:hint="eastAsia" w:ascii="宋体" w:hAnsi="宋体"/>
                <w:bCs/>
                <w:sz w:val="22"/>
                <w:szCs w:val="22"/>
              </w:rPr>
              <w:t>最高限价</w:t>
            </w:r>
            <w:r>
              <w:rPr>
                <w:rFonts w:hint="eastAsia" w:ascii="宋体" w:hAnsi="宋体"/>
                <w:sz w:val="22"/>
                <w:szCs w:val="22"/>
              </w:rPr>
              <w:t>的作无效标处理。投标总报价建议四舍五入保留至整数元为止。</w:t>
            </w:r>
          </w:p>
          <w:p>
            <w:pPr>
              <w:snapToGrid w:val="0"/>
              <w:spacing w:line="360" w:lineRule="auto"/>
              <w:rPr>
                <w:rFonts w:hint="eastAsia" w:ascii="宋体" w:hAnsi="宋体"/>
                <w:sz w:val="22"/>
                <w:szCs w:val="22"/>
              </w:rPr>
            </w:pPr>
            <w:r>
              <w:rPr>
                <w:rFonts w:hint="eastAsia" w:ascii="宋体" w:hAnsi="宋体"/>
                <w:sz w:val="22"/>
                <w:szCs w:val="22"/>
              </w:rPr>
              <w:t>3、不论投标结果如何，投标人均应自行承担所有与投标有关的全部费用。</w:t>
            </w:r>
          </w:p>
          <w:p>
            <w:pPr>
              <w:autoSpaceDE w:val="0"/>
              <w:autoSpaceDN w:val="0"/>
              <w:snapToGrid w:val="0"/>
              <w:spacing w:line="360" w:lineRule="auto"/>
              <w:rPr>
                <w:rFonts w:ascii="宋体" w:hAnsi="宋体"/>
                <w:bCs/>
                <w:sz w:val="22"/>
                <w:szCs w:val="22"/>
                <w:u w:val="single"/>
              </w:rPr>
            </w:pPr>
            <w:r>
              <w:rPr>
                <w:rFonts w:hint="eastAsia" w:ascii="宋体" w:hAnsi="宋体"/>
                <w:sz w:val="22"/>
                <w:szCs w:val="22"/>
              </w:rPr>
              <w:t>4、有关本项目每年所需的一切费用均计入报价。投标人应根据《报价清单明细表》填写相关内容。《开标一览表》是报价的唯一载体。投标人应全面考虑项目成本，合理竞标，所报价格能够维持服务项目正常运转。</w:t>
            </w:r>
            <w:r>
              <w:rPr>
                <w:rFonts w:hint="eastAsia" w:ascii="宋体" w:hAnsi="宋体"/>
                <w:sz w:val="22"/>
                <w:szCs w:val="22"/>
                <w:u w:val="single"/>
              </w:rPr>
              <w:t>年</w:t>
            </w:r>
            <w:r>
              <w:rPr>
                <w:rFonts w:hint="eastAsia" w:ascii="宋体" w:hAnsi="宋体"/>
                <w:bCs/>
                <w:sz w:val="22"/>
                <w:szCs w:val="22"/>
                <w:u w:val="single"/>
              </w:rPr>
              <w:t>服务费</w:t>
            </w:r>
            <w:r>
              <w:rPr>
                <w:rFonts w:ascii="宋体" w:hAnsi="宋体"/>
                <w:bCs/>
                <w:sz w:val="22"/>
                <w:szCs w:val="22"/>
                <w:u w:val="single"/>
              </w:rPr>
              <w:t>总金额</w:t>
            </w:r>
            <w:r>
              <w:rPr>
                <w:rFonts w:hint="eastAsia" w:ascii="宋体" w:hAnsi="宋体"/>
                <w:bCs/>
                <w:sz w:val="22"/>
                <w:szCs w:val="22"/>
                <w:u w:val="single"/>
              </w:rPr>
              <w:t>应</w:t>
            </w:r>
            <w:r>
              <w:rPr>
                <w:rFonts w:ascii="宋体" w:hAnsi="宋体"/>
                <w:bCs/>
                <w:sz w:val="22"/>
                <w:szCs w:val="22"/>
                <w:u w:val="single"/>
              </w:rPr>
              <w:t>包括</w:t>
            </w:r>
            <w:r>
              <w:rPr>
                <w:rFonts w:hint="eastAsia" w:ascii="宋体" w:hAnsi="宋体"/>
                <w:bCs/>
                <w:sz w:val="22"/>
                <w:szCs w:val="22"/>
                <w:u w:val="single"/>
              </w:rPr>
              <w:t>：</w:t>
            </w:r>
            <w:r>
              <w:rPr>
                <w:rFonts w:hint="eastAsia" w:ascii="宋体" w:hAnsi="宋体"/>
                <w:sz w:val="22"/>
                <w:szCs w:val="22"/>
                <w:u w:val="single"/>
              </w:rPr>
              <w:t>全年的治安监控系统的维护、巡检、保养、维修、设备的维修保活、人员工资及须承担的技术支持、培训和其它伴随服务等所有工作内容的一切费用，以及合理利润及税金。</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374" w:hRule="atLeast"/>
        </w:trPr>
        <w:tc>
          <w:tcPr>
            <w:tcW w:w="993" w:type="dxa"/>
            <w:noWrap w:val="0"/>
            <w:vAlign w:val="center"/>
          </w:tcPr>
          <w:p>
            <w:pPr>
              <w:autoSpaceDE w:val="0"/>
              <w:autoSpaceDN w:val="0"/>
              <w:snapToGrid w:val="0"/>
              <w:spacing w:line="360" w:lineRule="auto"/>
              <w:ind w:left="-95" w:right="-129"/>
              <w:jc w:val="center"/>
              <w:rPr>
                <w:rFonts w:hint="eastAsia" w:ascii="宋体" w:hAnsi="宋体"/>
                <w:sz w:val="22"/>
                <w:szCs w:val="22"/>
              </w:rPr>
            </w:pPr>
            <w:r>
              <w:rPr>
                <w:rFonts w:ascii="宋体" w:hAnsi="宋体"/>
                <w:b/>
                <w:sz w:val="22"/>
                <w:szCs w:val="22"/>
              </w:rPr>
              <w:t>★</w:t>
            </w:r>
            <w:r>
              <w:rPr>
                <w:rFonts w:ascii="宋体" w:hAnsi="宋体"/>
                <w:sz w:val="22"/>
                <w:szCs w:val="22"/>
              </w:rPr>
              <w:t>8</w:t>
            </w:r>
          </w:p>
        </w:tc>
        <w:tc>
          <w:tcPr>
            <w:tcW w:w="8930" w:type="dxa"/>
            <w:noWrap w:val="0"/>
            <w:vAlign w:val="center"/>
          </w:tcPr>
          <w:p>
            <w:pPr>
              <w:autoSpaceDE w:val="0"/>
              <w:autoSpaceDN w:val="0"/>
              <w:snapToGrid w:val="0"/>
              <w:spacing w:line="360" w:lineRule="auto"/>
              <w:ind w:left="-95" w:right="-129" w:firstLine="110" w:firstLineChars="50"/>
              <w:jc w:val="left"/>
              <w:rPr>
                <w:rFonts w:ascii="宋体" w:hAnsi="宋体"/>
                <w:sz w:val="22"/>
                <w:szCs w:val="22"/>
              </w:rPr>
            </w:pPr>
            <w:r>
              <w:rPr>
                <w:rFonts w:ascii="宋体" w:hAnsi="宋体"/>
                <w:sz w:val="22"/>
                <w:szCs w:val="22"/>
              </w:rPr>
              <w:t>投标有效期：开标之日起</w:t>
            </w:r>
            <w:r>
              <w:rPr>
                <w:rFonts w:hint="eastAsia" w:ascii="宋体" w:hAnsi="宋体"/>
                <w:sz w:val="22"/>
                <w:szCs w:val="22"/>
              </w:rPr>
              <w:t>九十</w:t>
            </w:r>
            <w:r>
              <w:rPr>
                <w:rFonts w:ascii="宋体" w:hAnsi="宋体"/>
                <w:sz w:val="22"/>
                <w:szCs w:val="22"/>
              </w:rPr>
              <w:t>日历天；</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374" w:hRule="atLeast"/>
        </w:trPr>
        <w:tc>
          <w:tcPr>
            <w:tcW w:w="993" w:type="dxa"/>
            <w:noWrap w:val="0"/>
            <w:vAlign w:val="center"/>
          </w:tcPr>
          <w:p>
            <w:pPr>
              <w:autoSpaceDE w:val="0"/>
              <w:autoSpaceDN w:val="0"/>
              <w:snapToGrid w:val="0"/>
              <w:spacing w:line="360" w:lineRule="auto"/>
              <w:ind w:left="-95" w:right="-129"/>
              <w:jc w:val="center"/>
              <w:rPr>
                <w:rFonts w:ascii="宋体" w:hAnsi="宋体"/>
                <w:b/>
                <w:sz w:val="22"/>
                <w:szCs w:val="22"/>
              </w:rPr>
            </w:pPr>
            <w:r>
              <w:rPr>
                <w:rFonts w:ascii="宋体" w:hAnsi="宋体"/>
                <w:sz w:val="22"/>
                <w:szCs w:val="22"/>
              </w:rPr>
              <w:t>9</w:t>
            </w:r>
          </w:p>
        </w:tc>
        <w:tc>
          <w:tcPr>
            <w:tcW w:w="8930" w:type="dxa"/>
            <w:noWrap w:val="0"/>
            <w:vAlign w:val="center"/>
          </w:tcPr>
          <w:p>
            <w:pPr>
              <w:spacing w:before="60" w:line="360" w:lineRule="auto"/>
              <w:rPr>
                <w:rFonts w:ascii="宋体" w:hAnsi="宋体"/>
                <w:color w:val="000000"/>
                <w:sz w:val="22"/>
                <w:szCs w:val="22"/>
              </w:rPr>
            </w:pPr>
            <w:r>
              <w:rPr>
                <w:rFonts w:ascii="宋体" w:hAnsi="宋体"/>
                <w:color w:val="000000"/>
                <w:sz w:val="22"/>
                <w:szCs w:val="22"/>
              </w:rPr>
              <w:t>投标保证金</w:t>
            </w:r>
            <w:r>
              <w:rPr>
                <w:rFonts w:hint="eastAsia" w:ascii="宋体" w:hAnsi="宋体"/>
                <w:color w:val="000000"/>
                <w:sz w:val="22"/>
                <w:szCs w:val="22"/>
              </w:rPr>
              <w:t>的形式及交纳</w:t>
            </w:r>
            <w:r>
              <w:rPr>
                <w:rFonts w:ascii="宋体" w:hAnsi="宋体"/>
                <w:color w:val="000000"/>
                <w:sz w:val="22"/>
                <w:szCs w:val="22"/>
              </w:rPr>
              <w:t>：</w:t>
            </w:r>
          </w:p>
          <w:p>
            <w:pPr>
              <w:spacing w:before="60" w:line="360" w:lineRule="auto"/>
              <w:rPr>
                <w:rFonts w:ascii="宋体" w:hAnsi="宋体"/>
                <w:color w:val="000000"/>
                <w:sz w:val="22"/>
                <w:szCs w:val="22"/>
              </w:rPr>
            </w:pPr>
            <w:r>
              <w:rPr>
                <w:rFonts w:hint="eastAsia" w:ascii="宋体" w:hAnsi="宋体"/>
                <w:color w:val="000000"/>
                <w:sz w:val="22"/>
                <w:szCs w:val="22"/>
              </w:rPr>
              <w:t>见采购文件第一部分 《采购公告》 第十条</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374" w:hRule="atLeast"/>
        </w:trPr>
        <w:tc>
          <w:tcPr>
            <w:tcW w:w="993" w:type="dxa"/>
            <w:noWrap w:val="0"/>
            <w:vAlign w:val="center"/>
          </w:tcPr>
          <w:p>
            <w:pPr>
              <w:autoSpaceDE w:val="0"/>
              <w:autoSpaceDN w:val="0"/>
              <w:snapToGrid w:val="0"/>
              <w:spacing w:line="360" w:lineRule="auto"/>
              <w:ind w:left="-95" w:right="-129"/>
              <w:jc w:val="center"/>
              <w:rPr>
                <w:rFonts w:ascii="宋体" w:hAnsi="宋体"/>
                <w:sz w:val="22"/>
                <w:szCs w:val="22"/>
              </w:rPr>
            </w:pPr>
            <w:r>
              <w:rPr>
                <w:rFonts w:ascii="宋体" w:hAnsi="宋体"/>
                <w:sz w:val="22"/>
                <w:szCs w:val="22"/>
              </w:rPr>
              <w:t>10</w:t>
            </w:r>
          </w:p>
        </w:tc>
        <w:tc>
          <w:tcPr>
            <w:tcW w:w="8930" w:type="dxa"/>
            <w:noWrap w:val="0"/>
            <w:vAlign w:val="center"/>
          </w:tcPr>
          <w:p>
            <w:pPr>
              <w:spacing w:before="60" w:line="360" w:lineRule="auto"/>
              <w:rPr>
                <w:rFonts w:ascii="宋体" w:hAnsi="宋体"/>
                <w:color w:val="000000"/>
                <w:sz w:val="22"/>
                <w:szCs w:val="22"/>
              </w:rPr>
            </w:pPr>
            <w:r>
              <w:rPr>
                <w:rFonts w:ascii="宋体" w:hAnsi="宋体"/>
                <w:color w:val="000000"/>
                <w:sz w:val="22"/>
                <w:szCs w:val="22"/>
              </w:rPr>
              <w:t>投标保证金金额</w:t>
            </w:r>
            <w:r>
              <w:rPr>
                <w:rFonts w:hint="eastAsia" w:ascii="宋体" w:hAnsi="宋体"/>
                <w:color w:val="000000"/>
                <w:sz w:val="22"/>
                <w:szCs w:val="22"/>
              </w:rPr>
              <w:t>(如有)</w:t>
            </w:r>
            <w:r>
              <w:rPr>
                <w:rFonts w:ascii="宋体" w:hAnsi="宋体"/>
                <w:color w:val="000000"/>
                <w:sz w:val="22"/>
                <w:szCs w:val="22"/>
              </w:rPr>
              <w:t>：</w:t>
            </w:r>
            <w:r>
              <w:rPr>
                <w:rFonts w:hint="eastAsia" w:ascii="宋体" w:hAnsi="宋体"/>
                <w:color w:val="000000"/>
                <w:sz w:val="22"/>
                <w:szCs w:val="22"/>
              </w:rPr>
              <w:t>见采购文件第一部分 《采购公告》 第十条所列金额</w:t>
            </w:r>
          </w:p>
          <w:p>
            <w:pPr>
              <w:spacing w:before="60" w:line="360" w:lineRule="auto"/>
              <w:rPr>
                <w:rFonts w:ascii="宋体" w:hAnsi="宋体"/>
                <w:color w:val="000000"/>
                <w:sz w:val="22"/>
                <w:szCs w:val="22"/>
              </w:rPr>
            </w:pPr>
            <w:r>
              <w:rPr>
                <w:rFonts w:hint="eastAsia" w:ascii="宋体" w:hAnsi="宋体"/>
                <w:color w:val="000000"/>
                <w:sz w:val="22"/>
                <w:szCs w:val="22"/>
              </w:rPr>
              <w:t>采用</w:t>
            </w:r>
            <w:r>
              <w:rPr>
                <w:rFonts w:ascii="宋体" w:hAnsi="宋体"/>
                <w:color w:val="000000"/>
                <w:sz w:val="22"/>
                <w:szCs w:val="22"/>
              </w:rPr>
              <w:t>银行支付方式的，中标(成交)供应商的投标保证金在签订合同，</w:t>
            </w:r>
            <w:r>
              <w:rPr>
                <w:rFonts w:hint="eastAsia" w:ascii="宋体" w:hAnsi="宋体"/>
                <w:color w:val="000000"/>
                <w:sz w:val="22"/>
                <w:szCs w:val="22"/>
              </w:rPr>
              <w:t>在支付采购代理服务费后原额退还</w:t>
            </w:r>
            <w:r>
              <w:rPr>
                <w:rFonts w:ascii="宋体" w:hAnsi="宋体"/>
                <w:color w:val="000000"/>
                <w:sz w:val="22"/>
                <w:szCs w:val="22"/>
              </w:rPr>
              <w:t>。未中标(成交)供应商的投标保证金在中标通知书发出之日起5个工作日内由采购代理机构以银行转账的方式自动退还。</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374" w:hRule="atLeast"/>
        </w:trPr>
        <w:tc>
          <w:tcPr>
            <w:tcW w:w="993" w:type="dxa"/>
            <w:noWrap w:val="0"/>
            <w:vAlign w:val="center"/>
          </w:tcPr>
          <w:p>
            <w:pPr>
              <w:autoSpaceDE w:val="0"/>
              <w:autoSpaceDN w:val="0"/>
              <w:snapToGrid w:val="0"/>
              <w:spacing w:line="360" w:lineRule="auto"/>
              <w:ind w:left="-95" w:right="-129"/>
              <w:jc w:val="center"/>
              <w:rPr>
                <w:rFonts w:hint="eastAsia" w:ascii="宋体" w:hAnsi="宋体"/>
                <w:b/>
                <w:color w:val="FF0000"/>
                <w:sz w:val="22"/>
                <w:szCs w:val="22"/>
              </w:rPr>
            </w:pPr>
            <w:r>
              <w:rPr>
                <w:rFonts w:ascii="宋体" w:hAnsi="宋体"/>
                <w:color w:val="000000"/>
                <w:sz w:val="22"/>
                <w:szCs w:val="22"/>
              </w:rPr>
              <w:t>11</w:t>
            </w:r>
          </w:p>
        </w:tc>
        <w:tc>
          <w:tcPr>
            <w:tcW w:w="8930" w:type="dxa"/>
            <w:noWrap w:val="0"/>
            <w:vAlign w:val="center"/>
          </w:tcPr>
          <w:p>
            <w:pPr>
              <w:spacing w:before="60" w:line="360" w:lineRule="auto"/>
              <w:rPr>
                <w:rFonts w:hint="eastAsia" w:ascii="宋体" w:hAnsi="宋体"/>
                <w:color w:val="7030A0"/>
                <w:sz w:val="22"/>
                <w:szCs w:val="22"/>
              </w:rPr>
            </w:pPr>
            <w:r>
              <w:rPr>
                <w:rFonts w:hint="eastAsia" w:ascii="宋体" w:hAnsi="宋体"/>
                <w:color w:val="7030A0"/>
                <w:sz w:val="22"/>
                <w:szCs w:val="22"/>
              </w:rPr>
              <w:t>1、本项目实行网上投标，投标人应在投标截止时间前通过“政采云”成功上传电子加密投标文件外，为降低投标风险，投标人还可以准备以下投标文件，投标人因未准备以下投标文件导致投标无效的责任自负：</w:t>
            </w:r>
          </w:p>
          <w:p>
            <w:pPr>
              <w:spacing w:before="60" w:line="360" w:lineRule="auto"/>
              <w:rPr>
                <w:rFonts w:hint="eastAsia" w:ascii="宋体" w:hAnsi="宋体"/>
                <w:color w:val="7030A0"/>
                <w:sz w:val="22"/>
                <w:szCs w:val="22"/>
              </w:rPr>
            </w:pPr>
            <w:r>
              <w:rPr>
                <w:rFonts w:hint="eastAsia" w:ascii="宋体" w:hAnsi="宋体"/>
                <w:color w:val="7030A0"/>
                <w:sz w:val="22"/>
                <w:szCs w:val="22"/>
              </w:rPr>
              <w:t>（1）</w:t>
            </w:r>
            <w:r>
              <w:rPr>
                <w:rFonts w:hint="eastAsia" w:ascii="宋体" w:hAnsi="宋体"/>
                <w:b/>
                <w:color w:val="7030A0"/>
                <w:sz w:val="22"/>
                <w:szCs w:val="22"/>
                <w:u w:val="single"/>
              </w:rPr>
              <w:t>“备份电子投标文件”壹份</w:t>
            </w:r>
            <w:r>
              <w:rPr>
                <w:rFonts w:hint="eastAsia" w:ascii="宋体" w:hAnsi="宋体"/>
                <w:color w:val="7030A0"/>
                <w:sz w:val="22"/>
                <w:szCs w:val="22"/>
              </w:rPr>
              <w:t xml:space="preserve">，具体要求见采购公告第十一条； </w:t>
            </w:r>
          </w:p>
          <w:p>
            <w:pPr>
              <w:spacing w:before="60" w:line="360" w:lineRule="auto"/>
              <w:rPr>
                <w:rFonts w:hint="eastAsia" w:ascii="宋体" w:hAnsi="宋体"/>
                <w:color w:val="7030A0"/>
                <w:sz w:val="22"/>
                <w:szCs w:val="22"/>
              </w:rPr>
            </w:pPr>
            <w:r>
              <w:rPr>
                <w:rFonts w:hint="eastAsia" w:ascii="宋体" w:hAnsi="宋体"/>
                <w:color w:val="7030A0"/>
                <w:sz w:val="22"/>
                <w:szCs w:val="22"/>
              </w:rPr>
              <w:t>（2）</w:t>
            </w:r>
            <w:r>
              <w:rPr>
                <w:rFonts w:hint="eastAsia" w:ascii="宋体" w:hAnsi="宋体"/>
                <w:b/>
                <w:color w:val="7030A0"/>
                <w:sz w:val="22"/>
                <w:szCs w:val="22"/>
                <w:u w:val="single"/>
              </w:rPr>
              <w:t>“纸质投标文件”壹份（无正副本之分）</w:t>
            </w:r>
            <w:r>
              <w:rPr>
                <w:rFonts w:hint="eastAsia" w:ascii="宋体" w:hAnsi="宋体"/>
                <w:color w:val="7030A0"/>
                <w:sz w:val="22"/>
                <w:szCs w:val="22"/>
              </w:rPr>
              <w:t xml:space="preserve">，具体要求见采购公告第十一条； </w:t>
            </w:r>
          </w:p>
          <w:p>
            <w:pPr>
              <w:spacing w:before="60" w:line="360" w:lineRule="auto"/>
              <w:rPr>
                <w:rFonts w:hint="eastAsia" w:ascii="宋体" w:hAnsi="宋体"/>
                <w:color w:val="7030A0"/>
                <w:sz w:val="22"/>
                <w:szCs w:val="22"/>
              </w:rPr>
            </w:pPr>
            <w:r>
              <w:rPr>
                <w:rFonts w:hint="eastAsia" w:ascii="宋体" w:hAnsi="宋体"/>
                <w:color w:val="7030A0"/>
                <w:sz w:val="22"/>
                <w:szCs w:val="22"/>
              </w:rPr>
              <w:t>2、投标人成功上传电子加密投标文件，但无法读取时或在解密时间内无法解密或解密失败，方可调用上述第1条第（2）款中的“备份电子投标文件”，因投标人自身原因导致无法解密的后果自负；</w:t>
            </w:r>
          </w:p>
          <w:p>
            <w:pPr>
              <w:spacing w:before="60" w:line="360" w:lineRule="auto"/>
              <w:rPr>
                <w:rFonts w:hint="eastAsia" w:ascii="宋体" w:hAnsi="宋体"/>
                <w:color w:val="7030A0"/>
                <w:sz w:val="22"/>
                <w:szCs w:val="22"/>
              </w:rPr>
            </w:pPr>
            <w:r>
              <w:rPr>
                <w:rFonts w:hint="eastAsia" w:ascii="宋体" w:hAnsi="宋体"/>
                <w:color w:val="7030A0"/>
                <w:sz w:val="22"/>
                <w:szCs w:val="22"/>
              </w:rPr>
              <w:t>3、若成功上传并解密成功(含通过“备份电子投标文件”进行异常情况处理成功)的投标单位不足三家或出现电子评标系统故障而短期无法排除等情形时，转为线下评标，所有投标单位的电子加密投标文件和备份电子投标文件均按失效处理，直接采用投标时间截止前已成功上传且按规定递交的“纸质投标文件”作为资格审查前的有效投标文件。此种情况下，若投标时间截止前提交纸质投标文件的单位不足三家的，则本次采购按流标处理。</w:t>
            </w:r>
          </w:p>
          <w:p>
            <w:pPr>
              <w:spacing w:before="60" w:line="360" w:lineRule="auto"/>
              <w:ind w:left="330" w:hanging="330" w:hangingChars="150"/>
              <w:rPr>
                <w:rFonts w:hint="eastAsia" w:ascii="宋体" w:hAnsi="宋体"/>
                <w:color w:val="000000"/>
                <w:sz w:val="22"/>
                <w:szCs w:val="22"/>
              </w:rPr>
            </w:pPr>
            <w:r>
              <w:rPr>
                <w:rFonts w:hint="eastAsia" w:ascii="宋体" w:hAnsi="宋体"/>
                <w:color w:val="7030A0"/>
                <w:sz w:val="22"/>
                <w:szCs w:val="22"/>
              </w:rPr>
              <w:t>4、其他线下评标情形详见第六部分 投标人须知第22条</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374" w:hRule="atLeast"/>
        </w:trPr>
        <w:tc>
          <w:tcPr>
            <w:tcW w:w="993" w:type="dxa"/>
            <w:noWrap w:val="0"/>
            <w:vAlign w:val="center"/>
          </w:tcPr>
          <w:p>
            <w:pPr>
              <w:autoSpaceDE w:val="0"/>
              <w:autoSpaceDN w:val="0"/>
              <w:snapToGrid w:val="0"/>
              <w:spacing w:line="360" w:lineRule="auto"/>
              <w:ind w:left="-95" w:right="-129"/>
              <w:jc w:val="center"/>
              <w:rPr>
                <w:rFonts w:ascii="宋体" w:hAnsi="宋体"/>
                <w:color w:val="000000"/>
                <w:sz w:val="22"/>
                <w:szCs w:val="22"/>
              </w:rPr>
            </w:pPr>
            <w:r>
              <w:rPr>
                <w:rFonts w:hint="eastAsia" w:ascii="宋体" w:hAnsi="宋体"/>
                <w:color w:val="000000"/>
                <w:sz w:val="22"/>
                <w:szCs w:val="22"/>
              </w:rPr>
              <w:t>12</w:t>
            </w:r>
          </w:p>
        </w:tc>
        <w:tc>
          <w:tcPr>
            <w:tcW w:w="8930" w:type="dxa"/>
            <w:noWrap w:val="0"/>
            <w:vAlign w:val="center"/>
          </w:tcPr>
          <w:p>
            <w:pPr>
              <w:spacing w:before="60" w:line="360" w:lineRule="auto"/>
              <w:rPr>
                <w:rFonts w:hint="eastAsia" w:ascii="宋体" w:hAnsi="宋体"/>
                <w:color w:val="7030A0"/>
                <w:sz w:val="22"/>
                <w:szCs w:val="22"/>
              </w:rPr>
            </w:pPr>
            <w:r>
              <w:rPr>
                <w:rFonts w:hint="eastAsia" w:ascii="宋体" w:hAnsi="宋体"/>
                <w:color w:val="7030A0"/>
                <w:sz w:val="22"/>
                <w:szCs w:val="22"/>
              </w:rPr>
              <w:t>投标文件的效力：</w:t>
            </w:r>
          </w:p>
          <w:p>
            <w:pPr>
              <w:spacing w:before="60" w:line="360" w:lineRule="auto"/>
              <w:rPr>
                <w:rFonts w:hint="eastAsia" w:ascii="宋体" w:hAnsi="宋体"/>
                <w:color w:val="7030A0"/>
                <w:sz w:val="22"/>
                <w:szCs w:val="22"/>
              </w:rPr>
            </w:pPr>
            <w:r>
              <w:rPr>
                <w:rFonts w:hint="eastAsia" w:ascii="宋体" w:hAnsi="宋体"/>
                <w:color w:val="7030A0"/>
                <w:sz w:val="22"/>
                <w:szCs w:val="22"/>
              </w:rPr>
              <w:t>投标文件的启用，按先后顺位分别为“电子加密投标文件”→“备份电子投标文件”→“纸质投标文件”。在下一顺位的投标文件启用时，前一顺位的投标文件自动失效。</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374" w:hRule="atLeast"/>
        </w:trPr>
        <w:tc>
          <w:tcPr>
            <w:tcW w:w="993" w:type="dxa"/>
            <w:noWrap w:val="0"/>
            <w:vAlign w:val="center"/>
          </w:tcPr>
          <w:p>
            <w:pPr>
              <w:autoSpaceDE w:val="0"/>
              <w:autoSpaceDN w:val="0"/>
              <w:snapToGrid w:val="0"/>
              <w:spacing w:line="360" w:lineRule="auto"/>
              <w:ind w:left="-95" w:right="-129"/>
              <w:jc w:val="center"/>
              <w:rPr>
                <w:rFonts w:hint="eastAsia" w:ascii="宋体" w:hAnsi="宋体"/>
                <w:color w:val="FF0000"/>
                <w:sz w:val="22"/>
                <w:szCs w:val="22"/>
              </w:rPr>
            </w:pPr>
            <w:r>
              <w:rPr>
                <w:rFonts w:ascii="宋体" w:hAnsi="宋体"/>
                <w:color w:val="000000"/>
                <w:sz w:val="22"/>
                <w:szCs w:val="22"/>
              </w:rPr>
              <w:t>13</w:t>
            </w:r>
          </w:p>
        </w:tc>
        <w:tc>
          <w:tcPr>
            <w:tcW w:w="8930" w:type="dxa"/>
            <w:noWrap w:val="0"/>
            <w:vAlign w:val="center"/>
          </w:tcPr>
          <w:p>
            <w:pPr>
              <w:spacing w:before="60" w:line="360" w:lineRule="auto"/>
              <w:rPr>
                <w:rFonts w:ascii="宋体" w:hAnsi="宋体"/>
                <w:color w:val="000000"/>
                <w:sz w:val="22"/>
                <w:szCs w:val="22"/>
              </w:rPr>
            </w:pPr>
            <w:r>
              <w:rPr>
                <w:rFonts w:hint="eastAsia" w:ascii="宋体" w:hAnsi="宋体"/>
                <w:color w:val="000000"/>
                <w:sz w:val="22"/>
                <w:szCs w:val="22"/>
              </w:rPr>
              <w:t>投标文件是否必须逐页小签：不适用</w:t>
            </w:r>
          </w:p>
          <w:p>
            <w:pPr>
              <w:spacing w:before="60" w:line="360" w:lineRule="auto"/>
              <w:rPr>
                <w:rFonts w:ascii="宋体" w:hAnsi="宋体"/>
                <w:color w:val="FF0000"/>
                <w:sz w:val="22"/>
                <w:szCs w:val="22"/>
              </w:rPr>
            </w:pPr>
            <w:r>
              <w:rPr>
                <w:rFonts w:hint="eastAsia" w:ascii="宋体" w:hAnsi="宋体"/>
                <w:b/>
                <w:color w:val="000000"/>
                <w:sz w:val="22"/>
                <w:szCs w:val="22"/>
              </w:rPr>
              <w:t>签章要求</w:t>
            </w:r>
            <w:r>
              <w:rPr>
                <w:rFonts w:ascii="宋体" w:hAnsi="宋体"/>
                <w:color w:val="000000"/>
                <w:sz w:val="22"/>
                <w:szCs w:val="22"/>
              </w:rPr>
              <w:t>：</w:t>
            </w:r>
            <w:r>
              <w:rPr>
                <w:rFonts w:hint="eastAsia" w:ascii="宋体" w:hAnsi="宋体"/>
                <w:color w:val="7030A0"/>
                <w:sz w:val="22"/>
                <w:szCs w:val="22"/>
              </w:rPr>
              <w:t>“电子加密投标文件”和“备份电子投标文件”应</w:t>
            </w:r>
            <w:r>
              <w:rPr>
                <w:rFonts w:ascii="宋体" w:hAnsi="宋体"/>
                <w:color w:val="7030A0"/>
                <w:sz w:val="22"/>
                <w:szCs w:val="22"/>
              </w:rPr>
              <w:t>按</w:t>
            </w:r>
            <w:r>
              <w:rPr>
                <w:rFonts w:hint="eastAsia" w:ascii="宋体" w:hAnsi="宋体"/>
                <w:color w:val="7030A0"/>
                <w:sz w:val="22"/>
                <w:szCs w:val="22"/>
              </w:rPr>
              <w:t>采购</w:t>
            </w:r>
            <w:r>
              <w:rPr>
                <w:rFonts w:ascii="宋体" w:hAnsi="宋体"/>
                <w:color w:val="7030A0"/>
                <w:sz w:val="22"/>
                <w:szCs w:val="22"/>
              </w:rPr>
              <w:t>文件</w:t>
            </w:r>
            <w:r>
              <w:rPr>
                <w:rFonts w:hint="eastAsia" w:ascii="宋体" w:hAnsi="宋体"/>
                <w:color w:val="7030A0"/>
                <w:sz w:val="22"/>
                <w:szCs w:val="22"/>
              </w:rPr>
              <w:t>中所须加盖公章部分均采用CA签章；“纸质投标文件”应</w:t>
            </w:r>
            <w:r>
              <w:rPr>
                <w:rFonts w:ascii="宋体" w:hAnsi="宋体"/>
                <w:color w:val="7030A0"/>
                <w:sz w:val="22"/>
                <w:szCs w:val="22"/>
              </w:rPr>
              <w:t>按</w:t>
            </w:r>
            <w:r>
              <w:rPr>
                <w:rFonts w:hint="eastAsia" w:ascii="宋体" w:hAnsi="宋体"/>
                <w:color w:val="7030A0"/>
                <w:sz w:val="22"/>
                <w:szCs w:val="22"/>
              </w:rPr>
              <w:t>采购</w:t>
            </w:r>
            <w:r>
              <w:rPr>
                <w:rFonts w:ascii="宋体" w:hAnsi="宋体"/>
                <w:color w:val="7030A0"/>
                <w:sz w:val="22"/>
                <w:szCs w:val="22"/>
              </w:rPr>
              <w:t>文件</w:t>
            </w:r>
            <w:r>
              <w:rPr>
                <w:rFonts w:hint="eastAsia" w:ascii="宋体" w:hAnsi="宋体"/>
                <w:color w:val="7030A0"/>
                <w:sz w:val="22"/>
                <w:szCs w:val="22"/>
              </w:rPr>
              <w:t>中所须加盖公章部分加盖</w:t>
            </w:r>
            <w:r>
              <w:rPr>
                <w:rFonts w:ascii="宋体" w:hAnsi="宋体"/>
                <w:color w:val="7030A0"/>
                <w:sz w:val="22"/>
                <w:szCs w:val="22"/>
              </w:rPr>
              <w:t>红章后扫描。</w:t>
            </w:r>
          </w:p>
          <w:p>
            <w:pPr>
              <w:spacing w:before="60" w:line="360" w:lineRule="auto"/>
              <w:rPr>
                <w:rFonts w:hint="eastAsia" w:ascii="宋体" w:hAnsi="宋体"/>
                <w:color w:val="000000"/>
                <w:sz w:val="22"/>
                <w:szCs w:val="22"/>
              </w:rPr>
            </w:pPr>
            <w:r>
              <w:rPr>
                <w:rFonts w:hint="eastAsia" w:ascii="宋体" w:hAnsi="宋体"/>
                <w:b/>
                <w:color w:val="000000"/>
                <w:sz w:val="22"/>
                <w:szCs w:val="22"/>
              </w:rPr>
              <w:t>签字要求</w:t>
            </w:r>
            <w:r>
              <w:rPr>
                <w:rFonts w:ascii="宋体" w:hAnsi="宋体"/>
                <w:sz w:val="22"/>
                <w:szCs w:val="22"/>
              </w:rPr>
              <w:t>：</w:t>
            </w:r>
            <w:r>
              <w:rPr>
                <w:rFonts w:hint="eastAsia" w:ascii="宋体" w:hAnsi="宋体"/>
                <w:color w:val="7030A0"/>
                <w:sz w:val="22"/>
                <w:szCs w:val="22"/>
              </w:rPr>
              <w:t>“电子加密投标文件”和“备份电子投标文件”应</w:t>
            </w:r>
            <w:r>
              <w:rPr>
                <w:rFonts w:ascii="宋体" w:hAnsi="宋体"/>
                <w:color w:val="7030A0"/>
                <w:sz w:val="22"/>
                <w:szCs w:val="22"/>
              </w:rPr>
              <w:t>按</w:t>
            </w:r>
            <w:r>
              <w:rPr>
                <w:rFonts w:hint="eastAsia" w:ascii="宋体" w:hAnsi="宋体"/>
                <w:color w:val="7030A0"/>
                <w:sz w:val="22"/>
                <w:szCs w:val="22"/>
              </w:rPr>
              <w:t>采购</w:t>
            </w:r>
            <w:r>
              <w:rPr>
                <w:rFonts w:ascii="宋体" w:hAnsi="宋体"/>
                <w:color w:val="7030A0"/>
                <w:sz w:val="22"/>
                <w:szCs w:val="22"/>
              </w:rPr>
              <w:t>文件</w:t>
            </w:r>
            <w:r>
              <w:rPr>
                <w:rFonts w:hint="eastAsia" w:ascii="宋体" w:hAnsi="宋体"/>
                <w:color w:val="7030A0"/>
                <w:sz w:val="22"/>
                <w:szCs w:val="22"/>
              </w:rPr>
              <w:t>中所须签字部分均采用电子签名</w:t>
            </w:r>
            <w:r>
              <w:rPr>
                <w:rFonts w:ascii="宋体" w:hAnsi="宋体"/>
                <w:color w:val="7030A0"/>
                <w:sz w:val="22"/>
                <w:szCs w:val="22"/>
              </w:rPr>
              <w:t>；</w:t>
            </w:r>
            <w:r>
              <w:rPr>
                <w:rFonts w:hint="eastAsia" w:ascii="宋体" w:hAnsi="宋体"/>
                <w:color w:val="7030A0"/>
                <w:sz w:val="22"/>
                <w:szCs w:val="22"/>
              </w:rPr>
              <w:t>“纸质投标文件”应</w:t>
            </w:r>
            <w:r>
              <w:rPr>
                <w:rFonts w:ascii="宋体" w:hAnsi="宋体"/>
                <w:color w:val="7030A0"/>
                <w:sz w:val="22"/>
                <w:szCs w:val="22"/>
              </w:rPr>
              <w:t>按</w:t>
            </w:r>
            <w:r>
              <w:rPr>
                <w:rFonts w:hint="eastAsia" w:ascii="宋体" w:hAnsi="宋体"/>
                <w:color w:val="7030A0"/>
                <w:sz w:val="22"/>
                <w:szCs w:val="22"/>
              </w:rPr>
              <w:t>采购</w:t>
            </w:r>
            <w:r>
              <w:rPr>
                <w:rFonts w:ascii="宋体" w:hAnsi="宋体"/>
                <w:color w:val="7030A0"/>
                <w:sz w:val="22"/>
                <w:szCs w:val="22"/>
              </w:rPr>
              <w:t>文件</w:t>
            </w:r>
            <w:r>
              <w:rPr>
                <w:rFonts w:hint="eastAsia" w:ascii="宋体" w:hAnsi="宋体"/>
                <w:color w:val="7030A0"/>
                <w:sz w:val="22"/>
                <w:szCs w:val="22"/>
              </w:rPr>
              <w:t>中所须签字部分签字</w:t>
            </w:r>
            <w:r>
              <w:rPr>
                <w:rFonts w:ascii="宋体" w:hAnsi="宋体"/>
                <w:color w:val="7030A0"/>
                <w:sz w:val="22"/>
                <w:szCs w:val="22"/>
              </w:rPr>
              <w:t>后扫描。</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374" w:hRule="atLeast"/>
        </w:trPr>
        <w:tc>
          <w:tcPr>
            <w:tcW w:w="993" w:type="dxa"/>
            <w:noWrap w:val="0"/>
            <w:vAlign w:val="center"/>
          </w:tcPr>
          <w:p>
            <w:pPr>
              <w:autoSpaceDE w:val="0"/>
              <w:autoSpaceDN w:val="0"/>
              <w:snapToGrid w:val="0"/>
              <w:spacing w:line="360" w:lineRule="auto"/>
              <w:ind w:left="-95" w:right="-129"/>
              <w:jc w:val="center"/>
              <w:rPr>
                <w:rFonts w:ascii="宋体" w:hAnsi="宋体"/>
                <w:color w:val="FF0000"/>
                <w:sz w:val="22"/>
                <w:szCs w:val="22"/>
              </w:rPr>
            </w:pPr>
            <w:r>
              <w:rPr>
                <w:rFonts w:ascii="宋体" w:hAnsi="宋体"/>
                <w:b/>
                <w:color w:val="000000"/>
                <w:sz w:val="22"/>
                <w:szCs w:val="22"/>
              </w:rPr>
              <w:t>★</w:t>
            </w:r>
            <w:r>
              <w:rPr>
                <w:rFonts w:ascii="宋体" w:hAnsi="宋体"/>
                <w:color w:val="000000"/>
                <w:sz w:val="22"/>
                <w:szCs w:val="22"/>
              </w:rPr>
              <w:t>14</w:t>
            </w:r>
          </w:p>
        </w:tc>
        <w:tc>
          <w:tcPr>
            <w:tcW w:w="8930" w:type="dxa"/>
            <w:noWrap w:val="0"/>
            <w:vAlign w:val="center"/>
          </w:tcPr>
          <w:p>
            <w:pPr>
              <w:spacing w:before="60" w:line="360" w:lineRule="auto"/>
              <w:rPr>
                <w:rFonts w:ascii="宋体" w:hAnsi="宋体"/>
                <w:color w:val="000000"/>
                <w:sz w:val="22"/>
                <w:szCs w:val="22"/>
              </w:rPr>
            </w:pPr>
            <w:r>
              <w:rPr>
                <w:rFonts w:ascii="宋体" w:hAnsi="宋体"/>
                <w:color w:val="000000"/>
                <w:sz w:val="22"/>
                <w:szCs w:val="22"/>
              </w:rPr>
              <w:t>投标文件提交时间及投标截至时间：</w:t>
            </w:r>
            <w:r>
              <w:rPr>
                <w:rFonts w:hint="eastAsia" w:ascii="宋体" w:hAnsi="宋体"/>
                <w:color w:val="000000"/>
                <w:sz w:val="22"/>
                <w:szCs w:val="22"/>
              </w:rPr>
              <w:t>见采购文件第一部分《采购公告》 第十一条</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24" w:hRule="atLeast"/>
        </w:trPr>
        <w:tc>
          <w:tcPr>
            <w:tcW w:w="993" w:type="dxa"/>
            <w:noWrap w:val="0"/>
            <w:vAlign w:val="center"/>
          </w:tcPr>
          <w:p>
            <w:pPr>
              <w:autoSpaceDE w:val="0"/>
              <w:autoSpaceDN w:val="0"/>
              <w:snapToGrid w:val="0"/>
              <w:spacing w:line="360" w:lineRule="auto"/>
              <w:ind w:left="-95" w:right="-129"/>
              <w:jc w:val="center"/>
              <w:rPr>
                <w:rFonts w:ascii="宋体" w:hAnsi="宋体"/>
                <w:color w:val="FF0000"/>
                <w:sz w:val="22"/>
                <w:szCs w:val="22"/>
              </w:rPr>
            </w:pPr>
            <w:r>
              <w:rPr>
                <w:rFonts w:ascii="宋体" w:hAnsi="宋体"/>
                <w:b/>
                <w:color w:val="000000"/>
                <w:sz w:val="22"/>
                <w:szCs w:val="22"/>
              </w:rPr>
              <w:t>★</w:t>
            </w:r>
            <w:r>
              <w:rPr>
                <w:rFonts w:ascii="宋体" w:hAnsi="宋体"/>
                <w:color w:val="000000"/>
                <w:sz w:val="22"/>
                <w:szCs w:val="22"/>
              </w:rPr>
              <w:t>15</w:t>
            </w:r>
          </w:p>
        </w:tc>
        <w:tc>
          <w:tcPr>
            <w:tcW w:w="8930" w:type="dxa"/>
            <w:noWrap w:val="0"/>
            <w:vAlign w:val="center"/>
          </w:tcPr>
          <w:p>
            <w:pPr>
              <w:spacing w:line="360" w:lineRule="auto"/>
              <w:rPr>
                <w:rFonts w:hint="eastAsia" w:ascii="宋体" w:hAnsi="宋体"/>
                <w:sz w:val="22"/>
                <w:szCs w:val="22"/>
              </w:rPr>
            </w:pPr>
            <w:r>
              <w:rPr>
                <w:rFonts w:ascii="宋体" w:hAnsi="宋体"/>
                <w:sz w:val="22"/>
                <w:szCs w:val="22"/>
              </w:rPr>
              <w:t>开标时间：</w:t>
            </w:r>
            <w:r>
              <w:rPr>
                <w:rFonts w:hint="eastAsia" w:ascii="宋体" w:hAnsi="宋体"/>
                <w:b/>
                <w:sz w:val="22"/>
                <w:szCs w:val="22"/>
                <w:u w:val="single"/>
              </w:rPr>
              <w:t>2020年12月</w:t>
            </w:r>
            <w:r>
              <w:rPr>
                <w:rFonts w:hint="eastAsia" w:ascii="宋体" w:hAnsi="宋体"/>
                <w:b/>
                <w:sz w:val="22"/>
                <w:szCs w:val="22"/>
                <w:u w:val="single"/>
                <w:lang w:val="en-US" w:eastAsia="zh-CN"/>
              </w:rPr>
              <w:t>28</w:t>
            </w:r>
            <w:r>
              <w:rPr>
                <w:rFonts w:hint="eastAsia" w:ascii="宋体" w:hAnsi="宋体"/>
                <w:b/>
                <w:sz w:val="22"/>
                <w:szCs w:val="22"/>
                <w:u w:val="single"/>
              </w:rPr>
              <w:t>日13时30分</w:t>
            </w:r>
            <w:r>
              <w:rPr>
                <w:rFonts w:hint="eastAsia" w:ascii="宋体" w:hAnsi="宋体"/>
                <w:sz w:val="22"/>
                <w:szCs w:val="22"/>
              </w:rPr>
              <w:t>（</w:t>
            </w:r>
            <w:r>
              <w:rPr>
                <w:rFonts w:ascii="宋体" w:hAnsi="宋体"/>
                <w:sz w:val="22"/>
                <w:szCs w:val="22"/>
              </w:rPr>
              <w:t>北京时间</w:t>
            </w:r>
            <w:r>
              <w:rPr>
                <w:rFonts w:hint="eastAsia" w:ascii="宋体" w:hAnsi="宋体"/>
                <w:sz w:val="22"/>
                <w:szCs w:val="22"/>
              </w:rPr>
              <w:t>）</w:t>
            </w:r>
          </w:p>
          <w:p>
            <w:pPr>
              <w:spacing w:line="360" w:lineRule="auto"/>
              <w:rPr>
                <w:rFonts w:hint="eastAsia" w:ascii="宋体" w:hAnsi="宋体"/>
                <w:sz w:val="22"/>
                <w:szCs w:val="22"/>
              </w:rPr>
            </w:pPr>
            <w:r>
              <w:rPr>
                <w:rFonts w:ascii="宋体" w:hAnsi="宋体"/>
                <w:sz w:val="22"/>
                <w:szCs w:val="22"/>
              </w:rPr>
              <w:t>开标地点：</w:t>
            </w:r>
            <w:r>
              <w:rPr>
                <w:rFonts w:hint="eastAsia" w:ascii="宋体" w:hAnsi="宋体" w:cs="Arial"/>
                <w:sz w:val="22"/>
                <w:szCs w:val="22"/>
              </w:rPr>
              <w:t>宁波市镇海区公共资源交易中心</w:t>
            </w:r>
            <w:r>
              <w:rPr>
                <w:rFonts w:hint="eastAsia" w:ascii="宋体" w:hAnsi="宋体" w:cs="Arial"/>
                <w:sz w:val="22"/>
                <w:szCs w:val="22"/>
                <w:lang w:eastAsia="zh-CN"/>
              </w:rPr>
              <w:t>开标厅二</w:t>
            </w:r>
            <w:r>
              <w:rPr>
                <w:rFonts w:hint="eastAsia" w:ascii="宋体" w:hAnsi="宋体" w:cs="Arial"/>
                <w:sz w:val="22"/>
                <w:szCs w:val="22"/>
              </w:rPr>
              <w:t>（镇海区骆驼街道金华南路55号）</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374" w:hRule="atLeast"/>
        </w:trPr>
        <w:tc>
          <w:tcPr>
            <w:tcW w:w="993" w:type="dxa"/>
            <w:noWrap w:val="0"/>
            <w:vAlign w:val="center"/>
          </w:tcPr>
          <w:p>
            <w:pPr>
              <w:autoSpaceDE w:val="0"/>
              <w:autoSpaceDN w:val="0"/>
              <w:snapToGrid w:val="0"/>
              <w:spacing w:line="360" w:lineRule="auto"/>
              <w:ind w:left="-95" w:right="-129"/>
              <w:jc w:val="center"/>
              <w:rPr>
                <w:rFonts w:ascii="宋体" w:hAnsi="宋体"/>
                <w:color w:val="000000"/>
                <w:sz w:val="22"/>
                <w:szCs w:val="22"/>
              </w:rPr>
            </w:pPr>
            <w:r>
              <w:rPr>
                <w:rFonts w:hint="eastAsia" w:ascii="宋体" w:hAnsi="宋体"/>
                <w:color w:val="000000"/>
                <w:sz w:val="22"/>
                <w:szCs w:val="22"/>
              </w:rPr>
              <w:t>16</w:t>
            </w:r>
          </w:p>
        </w:tc>
        <w:tc>
          <w:tcPr>
            <w:tcW w:w="8930" w:type="dxa"/>
            <w:noWrap w:val="0"/>
            <w:vAlign w:val="center"/>
          </w:tcPr>
          <w:p>
            <w:pPr>
              <w:spacing w:line="360" w:lineRule="auto"/>
              <w:rPr>
                <w:rFonts w:hint="eastAsia" w:ascii="宋体" w:hAnsi="宋体"/>
                <w:b/>
                <w:sz w:val="22"/>
                <w:szCs w:val="22"/>
              </w:rPr>
            </w:pPr>
            <w:r>
              <w:rPr>
                <w:rFonts w:hint="eastAsia" w:ascii="宋体" w:hAnsi="宋体"/>
                <w:b/>
                <w:sz w:val="22"/>
                <w:szCs w:val="22"/>
              </w:rPr>
              <w:t>唱标</w:t>
            </w:r>
            <w:r>
              <w:rPr>
                <w:rFonts w:ascii="宋体" w:hAnsi="宋体"/>
                <w:b/>
                <w:sz w:val="22"/>
                <w:szCs w:val="22"/>
              </w:rPr>
              <w:t>顺序：先技术</w:t>
            </w:r>
            <w:r>
              <w:rPr>
                <w:rFonts w:hint="eastAsia" w:ascii="宋体" w:hAnsi="宋体"/>
                <w:b/>
                <w:sz w:val="22"/>
                <w:szCs w:val="22"/>
              </w:rPr>
              <w:t>资信</w:t>
            </w:r>
            <w:r>
              <w:rPr>
                <w:rFonts w:ascii="宋体" w:hAnsi="宋体"/>
                <w:b/>
                <w:sz w:val="22"/>
                <w:szCs w:val="22"/>
              </w:rPr>
              <w:t>后报价</w:t>
            </w:r>
            <w:r>
              <w:rPr>
                <w:rFonts w:hint="eastAsia" w:ascii="宋体" w:hAnsi="宋体"/>
                <w:b/>
                <w:sz w:val="22"/>
                <w:szCs w:val="22"/>
              </w:rPr>
              <w:t>(后</w:t>
            </w:r>
            <w:r>
              <w:rPr>
                <w:rFonts w:ascii="宋体" w:hAnsi="宋体"/>
                <w:b/>
                <w:sz w:val="22"/>
                <w:szCs w:val="22"/>
              </w:rPr>
              <w:t>唱标</w:t>
            </w:r>
            <w:r>
              <w:rPr>
                <w:rFonts w:hint="eastAsia" w:ascii="宋体" w:hAnsi="宋体"/>
                <w:b/>
                <w:sz w:val="22"/>
                <w:szCs w:val="22"/>
              </w:rPr>
              <w:t>)</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26" w:hRule="atLeast"/>
        </w:trPr>
        <w:tc>
          <w:tcPr>
            <w:tcW w:w="993" w:type="dxa"/>
            <w:noWrap w:val="0"/>
            <w:vAlign w:val="center"/>
          </w:tcPr>
          <w:p>
            <w:pPr>
              <w:autoSpaceDE w:val="0"/>
              <w:autoSpaceDN w:val="0"/>
              <w:snapToGrid w:val="0"/>
              <w:spacing w:line="360" w:lineRule="auto"/>
              <w:ind w:left="-95" w:right="-129"/>
              <w:jc w:val="center"/>
              <w:rPr>
                <w:rFonts w:ascii="宋体" w:hAnsi="宋体"/>
                <w:color w:val="000000"/>
                <w:sz w:val="22"/>
                <w:szCs w:val="22"/>
              </w:rPr>
            </w:pPr>
            <w:r>
              <w:rPr>
                <w:rFonts w:hint="eastAsia" w:ascii="宋体" w:hAnsi="宋体"/>
                <w:color w:val="000000"/>
                <w:sz w:val="22"/>
                <w:szCs w:val="22"/>
              </w:rPr>
              <w:t>1</w:t>
            </w:r>
            <w:r>
              <w:rPr>
                <w:rFonts w:ascii="宋体" w:hAnsi="宋体"/>
                <w:color w:val="000000"/>
                <w:sz w:val="22"/>
                <w:szCs w:val="22"/>
              </w:rPr>
              <w:t>7</w:t>
            </w:r>
          </w:p>
        </w:tc>
        <w:tc>
          <w:tcPr>
            <w:tcW w:w="8930" w:type="dxa"/>
            <w:noWrap w:val="0"/>
            <w:vAlign w:val="center"/>
          </w:tcPr>
          <w:p>
            <w:pPr>
              <w:spacing w:line="360" w:lineRule="auto"/>
              <w:rPr>
                <w:rFonts w:hint="eastAsia" w:ascii="宋体" w:hAnsi="宋体"/>
                <w:sz w:val="22"/>
                <w:szCs w:val="22"/>
              </w:rPr>
            </w:pPr>
            <w:r>
              <w:rPr>
                <w:rFonts w:hint="eastAsia" w:ascii="宋体" w:hAnsi="宋体"/>
                <w:sz w:val="22"/>
                <w:szCs w:val="22"/>
              </w:rPr>
              <w:t>是否现场踏勘：不组织</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564" w:hRule="atLeast"/>
        </w:trPr>
        <w:tc>
          <w:tcPr>
            <w:tcW w:w="993" w:type="dxa"/>
            <w:noWrap w:val="0"/>
            <w:vAlign w:val="center"/>
          </w:tcPr>
          <w:p>
            <w:pPr>
              <w:autoSpaceDE w:val="0"/>
              <w:autoSpaceDN w:val="0"/>
              <w:snapToGrid w:val="0"/>
              <w:spacing w:line="360" w:lineRule="auto"/>
              <w:ind w:left="-95" w:right="-129"/>
              <w:jc w:val="center"/>
              <w:rPr>
                <w:rFonts w:ascii="宋体" w:hAnsi="宋体"/>
                <w:color w:val="000000"/>
                <w:sz w:val="22"/>
                <w:szCs w:val="22"/>
              </w:rPr>
            </w:pPr>
            <w:r>
              <w:rPr>
                <w:rFonts w:hint="eastAsia" w:ascii="宋体" w:hAnsi="宋体"/>
                <w:color w:val="000000"/>
                <w:sz w:val="22"/>
                <w:szCs w:val="22"/>
              </w:rPr>
              <w:t>18</w:t>
            </w:r>
          </w:p>
        </w:tc>
        <w:tc>
          <w:tcPr>
            <w:tcW w:w="8930" w:type="dxa"/>
            <w:noWrap w:val="0"/>
            <w:vAlign w:val="center"/>
          </w:tcPr>
          <w:p>
            <w:pPr>
              <w:spacing w:line="360" w:lineRule="auto"/>
              <w:rPr>
                <w:rFonts w:hint="eastAsia" w:ascii="宋体" w:hAnsi="宋体"/>
                <w:color w:val="000000"/>
                <w:sz w:val="22"/>
                <w:szCs w:val="22"/>
              </w:rPr>
            </w:pPr>
            <w:r>
              <w:rPr>
                <w:rFonts w:hint="eastAsia" w:ascii="宋体" w:hAnsi="宋体"/>
                <w:color w:val="000000"/>
                <w:sz w:val="22"/>
                <w:szCs w:val="22"/>
              </w:rPr>
              <w:t>是否提供讲解及演示：不要求</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564" w:hRule="atLeast"/>
        </w:trPr>
        <w:tc>
          <w:tcPr>
            <w:tcW w:w="993" w:type="dxa"/>
            <w:noWrap w:val="0"/>
            <w:vAlign w:val="center"/>
          </w:tcPr>
          <w:p>
            <w:pPr>
              <w:autoSpaceDE w:val="0"/>
              <w:autoSpaceDN w:val="0"/>
              <w:snapToGrid w:val="0"/>
              <w:spacing w:line="360" w:lineRule="auto"/>
              <w:ind w:left="-95" w:right="-129"/>
              <w:jc w:val="center"/>
              <w:rPr>
                <w:rFonts w:hint="eastAsia" w:ascii="宋体" w:hAnsi="宋体"/>
                <w:color w:val="000000"/>
                <w:sz w:val="22"/>
                <w:szCs w:val="22"/>
              </w:rPr>
            </w:pPr>
            <w:r>
              <w:rPr>
                <w:rFonts w:hint="eastAsia" w:ascii="宋体" w:hAnsi="宋体"/>
                <w:color w:val="000000"/>
                <w:sz w:val="22"/>
                <w:szCs w:val="22"/>
              </w:rPr>
              <w:t>19</w:t>
            </w:r>
          </w:p>
        </w:tc>
        <w:tc>
          <w:tcPr>
            <w:tcW w:w="8930" w:type="dxa"/>
            <w:noWrap w:val="0"/>
            <w:vAlign w:val="center"/>
          </w:tcPr>
          <w:p>
            <w:pPr>
              <w:spacing w:line="360" w:lineRule="auto"/>
              <w:rPr>
                <w:rFonts w:hint="eastAsia" w:ascii="宋体" w:hAnsi="宋体"/>
                <w:color w:val="000000"/>
                <w:sz w:val="22"/>
                <w:szCs w:val="22"/>
              </w:rPr>
            </w:pPr>
            <w:r>
              <w:rPr>
                <w:rFonts w:hint="eastAsia" w:ascii="宋体" w:hAnsi="宋体"/>
                <w:color w:val="000000"/>
                <w:sz w:val="22"/>
                <w:szCs w:val="22"/>
              </w:rPr>
              <w:t>是</w:t>
            </w:r>
            <w:r>
              <w:rPr>
                <w:rFonts w:hint="eastAsia" w:ascii="宋体" w:hAnsi="宋体"/>
                <w:sz w:val="22"/>
                <w:szCs w:val="22"/>
              </w:rPr>
              <w:t>否提供样品</w:t>
            </w:r>
            <w:r>
              <w:rPr>
                <w:rFonts w:ascii="宋体" w:hAnsi="宋体"/>
                <w:sz w:val="22"/>
                <w:szCs w:val="22"/>
              </w:rPr>
              <w:t>：</w:t>
            </w:r>
            <w:r>
              <w:rPr>
                <w:rFonts w:hint="eastAsia" w:ascii="宋体" w:hAnsi="宋体"/>
                <w:sz w:val="22"/>
                <w:szCs w:val="22"/>
              </w:rPr>
              <w:t>不提供</w:t>
            </w:r>
            <w:r>
              <w:rPr>
                <w:rFonts w:ascii="宋体" w:hAnsi="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564" w:hRule="atLeast"/>
        </w:trPr>
        <w:tc>
          <w:tcPr>
            <w:tcW w:w="993" w:type="dxa"/>
            <w:noWrap w:val="0"/>
            <w:vAlign w:val="center"/>
          </w:tcPr>
          <w:p>
            <w:pPr>
              <w:autoSpaceDE w:val="0"/>
              <w:autoSpaceDN w:val="0"/>
              <w:snapToGrid w:val="0"/>
              <w:spacing w:line="360" w:lineRule="auto"/>
              <w:ind w:left="-95" w:right="-129"/>
              <w:jc w:val="center"/>
              <w:rPr>
                <w:rFonts w:hint="eastAsia" w:ascii="宋体" w:hAnsi="宋体"/>
                <w:color w:val="000000"/>
                <w:sz w:val="22"/>
                <w:szCs w:val="22"/>
              </w:rPr>
            </w:pPr>
            <w:r>
              <w:rPr>
                <w:rFonts w:hint="eastAsia" w:ascii="宋体" w:hAnsi="宋体"/>
                <w:color w:val="000000"/>
                <w:sz w:val="22"/>
                <w:szCs w:val="22"/>
              </w:rPr>
              <w:t>20</w:t>
            </w:r>
          </w:p>
        </w:tc>
        <w:tc>
          <w:tcPr>
            <w:tcW w:w="8930" w:type="dxa"/>
            <w:noWrap w:val="0"/>
            <w:vAlign w:val="center"/>
          </w:tcPr>
          <w:p>
            <w:pPr>
              <w:spacing w:line="360" w:lineRule="auto"/>
              <w:rPr>
                <w:rFonts w:hint="eastAsia" w:ascii="宋体" w:hAnsi="宋体"/>
                <w:color w:val="000000"/>
                <w:sz w:val="22"/>
                <w:szCs w:val="22"/>
              </w:rPr>
            </w:pPr>
            <w:r>
              <w:rPr>
                <w:rFonts w:hint="eastAsia" w:ascii="宋体" w:hAnsi="宋体"/>
                <w:color w:val="000000"/>
                <w:sz w:val="22"/>
                <w:szCs w:val="22"/>
              </w:rPr>
              <w:t>是否</w:t>
            </w:r>
            <w:r>
              <w:rPr>
                <w:rFonts w:ascii="宋体" w:hAnsi="宋体"/>
                <w:color w:val="000000"/>
                <w:sz w:val="22"/>
                <w:szCs w:val="22"/>
              </w:rPr>
              <w:t>允许进口产品：不适用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564" w:hRule="atLeast"/>
        </w:trPr>
        <w:tc>
          <w:tcPr>
            <w:tcW w:w="993" w:type="dxa"/>
            <w:noWrap w:val="0"/>
            <w:vAlign w:val="center"/>
          </w:tcPr>
          <w:p>
            <w:pPr>
              <w:autoSpaceDE w:val="0"/>
              <w:autoSpaceDN w:val="0"/>
              <w:snapToGrid w:val="0"/>
              <w:spacing w:line="360" w:lineRule="auto"/>
              <w:ind w:left="-95" w:right="-129"/>
              <w:jc w:val="center"/>
              <w:rPr>
                <w:rFonts w:hint="eastAsia" w:ascii="宋体" w:hAnsi="宋体"/>
                <w:color w:val="000000"/>
                <w:sz w:val="22"/>
                <w:szCs w:val="22"/>
              </w:rPr>
            </w:pPr>
            <w:r>
              <w:rPr>
                <w:rFonts w:hint="eastAsia" w:ascii="宋体" w:hAnsi="宋体"/>
                <w:color w:val="000000"/>
                <w:sz w:val="22"/>
                <w:szCs w:val="22"/>
              </w:rPr>
              <w:t>21</w:t>
            </w:r>
          </w:p>
        </w:tc>
        <w:tc>
          <w:tcPr>
            <w:tcW w:w="8930" w:type="dxa"/>
            <w:noWrap w:val="0"/>
            <w:vAlign w:val="center"/>
          </w:tcPr>
          <w:p>
            <w:pPr>
              <w:spacing w:line="360" w:lineRule="auto"/>
              <w:rPr>
                <w:rFonts w:hint="eastAsia" w:ascii="宋体" w:hAnsi="宋体"/>
                <w:color w:val="000000"/>
                <w:sz w:val="22"/>
                <w:szCs w:val="22"/>
              </w:rPr>
            </w:pPr>
            <w:r>
              <w:rPr>
                <w:rFonts w:hint="eastAsia" w:ascii="宋体" w:hAnsi="宋体"/>
                <w:color w:val="000000"/>
                <w:sz w:val="22"/>
                <w:szCs w:val="22"/>
              </w:rPr>
              <w:t>转包与分包：不允许转包，未经允许不得分包</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564" w:hRule="atLeast"/>
        </w:trPr>
        <w:tc>
          <w:tcPr>
            <w:tcW w:w="993" w:type="dxa"/>
            <w:noWrap w:val="0"/>
            <w:vAlign w:val="center"/>
          </w:tcPr>
          <w:p>
            <w:pPr>
              <w:autoSpaceDE w:val="0"/>
              <w:autoSpaceDN w:val="0"/>
              <w:snapToGrid w:val="0"/>
              <w:spacing w:line="360" w:lineRule="auto"/>
              <w:ind w:left="-95" w:right="-129"/>
              <w:jc w:val="center"/>
              <w:rPr>
                <w:rFonts w:hint="eastAsia" w:ascii="宋体" w:hAnsi="宋体"/>
                <w:color w:val="000000"/>
                <w:sz w:val="22"/>
                <w:szCs w:val="22"/>
              </w:rPr>
            </w:pPr>
            <w:r>
              <w:rPr>
                <w:rFonts w:hint="eastAsia" w:ascii="宋体" w:hAnsi="宋体"/>
                <w:color w:val="000000"/>
                <w:sz w:val="22"/>
                <w:szCs w:val="22"/>
              </w:rPr>
              <w:t>22</w:t>
            </w:r>
          </w:p>
        </w:tc>
        <w:tc>
          <w:tcPr>
            <w:tcW w:w="8930" w:type="dxa"/>
            <w:noWrap w:val="0"/>
            <w:vAlign w:val="center"/>
          </w:tcPr>
          <w:p>
            <w:pPr>
              <w:spacing w:line="360" w:lineRule="auto"/>
              <w:rPr>
                <w:rFonts w:hint="eastAsia" w:ascii="宋体" w:hAnsi="宋体"/>
                <w:color w:val="000000"/>
                <w:sz w:val="22"/>
                <w:szCs w:val="22"/>
              </w:rPr>
            </w:pPr>
            <w:r>
              <w:rPr>
                <w:rFonts w:hint="eastAsia" w:ascii="宋体" w:hAnsi="宋体"/>
                <w:color w:val="000000"/>
                <w:sz w:val="22"/>
                <w:szCs w:val="22"/>
              </w:rPr>
              <w:t>是否</w:t>
            </w:r>
            <w:r>
              <w:rPr>
                <w:rFonts w:ascii="宋体" w:hAnsi="宋体"/>
                <w:color w:val="000000"/>
                <w:sz w:val="22"/>
                <w:szCs w:val="22"/>
              </w:rPr>
              <w:t>允许联合体：不允许</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564" w:hRule="atLeast"/>
        </w:trPr>
        <w:tc>
          <w:tcPr>
            <w:tcW w:w="993" w:type="dxa"/>
            <w:noWrap w:val="0"/>
            <w:vAlign w:val="center"/>
          </w:tcPr>
          <w:p>
            <w:pPr>
              <w:autoSpaceDE w:val="0"/>
              <w:autoSpaceDN w:val="0"/>
              <w:snapToGrid w:val="0"/>
              <w:spacing w:line="360" w:lineRule="auto"/>
              <w:ind w:left="-95" w:right="-129"/>
              <w:jc w:val="center"/>
              <w:rPr>
                <w:rFonts w:hint="eastAsia" w:ascii="宋体" w:hAnsi="宋体"/>
                <w:color w:val="000000"/>
                <w:sz w:val="22"/>
                <w:szCs w:val="22"/>
              </w:rPr>
            </w:pPr>
            <w:r>
              <w:rPr>
                <w:rFonts w:hint="eastAsia" w:ascii="宋体" w:hAnsi="宋体"/>
                <w:color w:val="000000"/>
                <w:sz w:val="22"/>
                <w:szCs w:val="22"/>
              </w:rPr>
              <w:t>23</w:t>
            </w:r>
          </w:p>
        </w:tc>
        <w:tc>
          <w:tcPr>
            <w:tcW w:w="8930" w:type="dxa"/>
            <w:noWrap w:val="0"/>
            <w:vAlign w:val="center"/>
          </w:tcPr>
          <w:p>
            <w:pPr>
              <w:spacing w:line="360" w:lineRule="auto"/>
              <w:rPr>
                <w:rFonts w:hint="eastAsia" w:ascii="宋体" w:hAnsi="宋体"/>
                <w:color w:val="000000"/>
                <w:sz w:val="22"/>
                <w:szCs w:val="22"/>
              </w:rPr>
            </w:pPr>
            <w:r>
              <w:rPr>
                <w:rFonts w:hint="eastAsia" w:ascii="宋体" w:hAnsi="宋体"/>
                <w:color w:val="000000"/>
                <w:sz w:val="22"/>
                <w:szCs w:val="22"/>
              </w:rPr>
              <w:t>采购标的需执行的国家相关标准、行业标准、地方标准或者其他标准规范：本采购文件中所列技术规范、标准(如有)不意味着是全部的或最新的，投标</w:t>
            </w:r>
            <w:r>
              <w:rPr>
                <w:rFonts w:ascii="宋体" w:hAnsi="宋体"/>
                <w:color w:val="000000"/>
                <w:sz w:val="22"/>
                <w:szCs w:val="22"/>
              </w:rPr>
              <w:t>人</w:t>
            </w:r>
            <w:r>
              <w:rPr>
                <w:rFonts w:hint="eastAsia" w:ascii="宋体" w:hAnsi="宋体"/>
                <w:color w:val="000000"/>
                <w:sz w:val="22"/>
                <w:szCs w:val="22"/>
              </w:rPr>
              <w:t>必须执行国家、地方、有关机构所有相关的技术规范与标准，且确保所采用的技术规范、标准必须是国家或有关机构发布的最新版本，无论此版本在此有无提及。</w:t>
            </w:r>
          </w:p>
          <w:p>
            <w:pPr>
              <w:spacing w:line="360" w:lineRule="auto"/>
              <w:rPr>
                <w:rFonts w:hint="eastAsia" w:ascii="宋体" w:hAnsi="宋体"/>
                <w:color w:val="000000"/>
                <w:sz w:val="22"/>
                <w:szCs w:val="22"/>
              </w:rPr>
            </w:pPr>
            <w:r>
              <w:rPr>
                <w:rFonts w:hint="eastAsia" w:ascii="宋体" w:hAnsi="宋体"/>
                <w:color w:val="000000"/>
                <w:sz w:val="22"/>
                <w:szCs w:val="22"/>
              </w:rPr>
              <w:t>验收标准：采购人将按照采购合同规定的技术、服务、安全标准组织对中标人履约情况进行验收，并出具验收书。验收书应当包括每一项技术、服务、安全标准的履约情况。若</w:t>
            </w:r>
            <w:r>
              <w:rPr>
                <w:rFonts w:ascii="宋体" w:hAnsi="宋体"/>
                <w:color w:val="000000"/>
                <w:sz w:val="22"/>
                <w:szCs w:val="22"/>
              </w:rPr>
              <w:t>采购合同中未约定验收标准</w:t>
            </w:r>
            <w:r>
              <w:rPr>
                <w:rFonts w:hint="eastAsia" w:ascii="宋体" w:hAnsi="宋体"/>
                <w:color w:val="000000"/>
                <w:sz w:val="22"/>
                <w:szCs w:val="22"/>
              </w:rPr>
              <w:t>的</w:t>
            </w:r>
            <w:r>
              <w:rPr>
                <w:rFonts w:ascii="宋体" w:hAnsi="宋体"/>
                <w:color w:val="000000"/>
                <w:sz w:val="22"/>
                <w:szCs w:val="22"/>
              </w:rPr>
              <w:t>，</w:t>
            </w:r>
            <w:r>
              <w:rPr>
                <w:rFonts w:hint="eastAsia" w:ascii="宋体" w:hAnsi="宋体"/>
                <w:color w:val="000000"/>
                <w:sz w:val="22"/>
                <w:szCs w:val="22"/>
              </w:rPr>
              <w:t>按国家法律、法规或行业相关规定执行。</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855" w:hRule="atLeast"/>
        </w:trPr>
        <w:tc>
          <w:tcPr>
            <w:tcW w:w="993" w:type="dxa"/>
            <w:noWrap w:val="0"/>
            <w:vAlign w:val="center"/>
          </w:tcPr>
          <w:p>
            <w:pPr>
              <w:autoSpaceDE w:val="0"/>
              <w:autoSpaceDN w:val="0"/>
              <w:snapToGrid w:val="0"/>
              <w:spacing w:line="360" w:lineRule="auto"/>
              <w:ind w:left="-95" w:right="-129"/>
              <w:jc w:val="center"/>
              <w:rPr>
                <w:rFonts w:hint="eastAsia" w:ascii="宋体" w:hAnsi="宋体"/>
                <w:color w:val="000000"/>
                <w:sz w:val="22"/>
                <w:szCs w:val="22"/>
              </w:rPr>
            </w:pPr>
            <w:r>
              <w:rPr>
                <w:rFonts w:hint="eastAsia" w:ascii="宋体" w:hAnsi="宋体"/>
                <w:color w:val="000000"/>
                <w:sz w:val="22"/>
                <w:szCs w:val="22"/>
              </w:rPr>
              <w:t>2</w:t>
            </w:r>
            <w:r>
              <w:rPr>
                <w:rFonts w:ascii="宋体" w:hAnsi="宋体"/>
                <w:color w:val="000000"/>
                <w:sz w:val="22"/>
                <w:szCs w:val="22"/>
              </w:rPr>
              <w:t>4</w:t>
            </w:r>
          </w:p>
        </w:tc>
        <w:tc>
          <w:tcPr>
            <w:tcW w:w="8930" w:type="dxa"/>
            <w:noWrap w:val="0"/>
            <w:vAlign w:val="center"/>
          </w:tcPr>
          <w:p>
            <w:pPr>
              <w:spacing w:line="360" w:lineRule="auto"/>
              <w:rPr>
                <w:rFonts w:hint="eastAsia" w:ascii="宋体" w:hAnsi="宋体"/>
                <w:color w:val="000000"/>
                <w:sz w:val="22"/>
                <w:szCs w:val="22"/>
              </w:rPr>
            </w:pPr>
            <w:r>
              <w:rPr>
                <w:rFonts w:hint="eastAsia" w:ascii="宋体" w:hAnsi="宋体"/>
                <w:color w:val="000000"/>
                <w:sz w:val="22"/>
                <w:szCs w:val="22"/>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投标人，</w:t>
            </w:r>
            <w:r>
              <w:rPr>
                <w:rFonts w:hint="eastAsia" w:ascii="宋体" w:hAnsi="宋体"/>
                <w:b/>
                <w:color w:val="000000"/>
                <w:sz w:val="22"/>
                <w:szCs w:val="22"/>
              </w:rPr>
              <w:t>其投标将作无效标处理</w:t>
            </w:r>
            <w:r>
              <w:rPr>
                <w:rFonts w:hint="eastAsia" w:ascii="宋体" w:hAnsi="宋体"/>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855" w:hRule="atLeast"/>
        </w:trPr>
        <w:tc>
          <w:tcPr>
            <w:tcW w:w="993" w:type="dxa"/>
            <w:noWrap w:val="0"/>
            <w:vAlign w:val="center"/>
          </w:tcPr>
          <w:p>
            <w:pPr>
              <w:autoSpaceDE w:val="0"/>
              <w:autoSpaceDN w:val="0"/>
              <w:snapToGrid w:val="0"/>
              <w:spacing w:line="360" w:lineRule="auto"/>
              <w:ind w:left="-95" w:right="-129"/>
              <w:jc w:val="center"/>
              <w:rPr>
                <w:rFonts w:hint="eastAsia" w:ascii="宋体" w:hAnsi="宋体"/>
                <w:color w:val="000000"/>
                <w:sz w:val="22"/>
                <w:szCs w:val="22"/>
              </w:rPr>
            </w:pPr>
            <w:r>
              <w:rPr>
                <w:rFonts w:hint="eastAsia" w:ascii="宋体" w:hAnsi="宋体"/>
                <w:color w:val="000000"/>
                <w:sz w:val="22"/>
                <w:szCs w:val="22"/>
              </w:rPr>
              <w:t>25</w:t>
            </w:r>
          </w:p>
        </w:tc>
        <w:tc>
          <w:tcPr>
            <w:tcW w:w="8930" w:type="dxa"/>
            <w:noWrap w:val="0"/>
            <w:vAlign w:val="center"/>
          </w:tcPr>
          <w:p>
            <w:pPr>
              <w:spacing w:line="360" w:lineRule="auto"/>
              <w:rPr>
                <w:rFonts w:hint="eastAsia" w:ascii="宋体" w:hAnsi="宋体"/>
                <w:color w:val="000000"/>
                <w:sz w:val="22"/>
                <w:szCs w:val="22"/>
              </w:rPr>
            </w:pPr>
            <w:r>
              <w:rPr>
                <w:rFonts w:hint="eastAsia" w:ascii="宋体" w:hAnsi="宋体"/>
                <w:color w:val="000000"/>
                <w:sz w:val="22"/>
                <w:szCs w:val="22"/>
              </w:rPr>
              <w:t>政府采购节能环保产品：本项目不适用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855" w:hRule="atLeast"/>
        </w:trPr>
        <w:tc>
          <w:tcPr>
            <w:tcW w:w="993" w:type="dxa"/>
            <w:noWrap w:val="0"/>
            <w:vAlign w:val="center"/>
          </w:tcPr>
          <w:p>
            <w:pPr>
              <w:autoSpaceDE w:val="0"/>
              <w:autoSpaceDN w:val="0"/>
              <w:snapToGrid w:val="0"/>
              <w:spacing w:line="360" w:lineRule="auto"/>
              <w:ind w:left="-95" w:right="-129"/>
              <w:jc w:val="center"/>
              <w:rPr>
                <w:rFonts w:hint="eastAsia" w:ascii="宋体" w:hAnsi="宋体"/>
                <w:color w:val="000000"/>
                <w:sz w:val="22"/>
                <w:szCs w:val="22"/>
              </w:rPr>
            </w:pPr>
            <w:r>
              <w:rPr>
                <w:rFonts w:hint="eastAsia" w:ascii="宋体" w:hAnsi="宋体"/>
                <w:color w:val="000000"/>
                <w:sz w:val="22"/>
                <w:szCs w:val="22"/>
              </w:rPr>
              <w:t>26</w:t>
            </w:r>
          </w:p>
        </w:tc>
        <w:tc>
          <w:tcPr>
            <w:tcW w:w="8930" w:type="dxa"/>
            <w:noWrap w:val="0"/>
            <w:vAlign w:val="center"/>
          </w:tcPr>
          <w:p>
            <w:pPr>
              <w:spacing w:line="360" w:lineRule="auto"/>
              <w:rPr>
                <w:rFonts w:ascii="宋体" w:hAnsi="宋体"/>
                <w:color w:val="000000"/>
                <w:sz w:val="22"/>
                <w:szCs w:val="22"/>
              </w:rPr>
            </w:pPr>
            <w:r>
              <w:rPr>
                <w:rFonts w:hint="eastAsia" w:ascii="宋体" w:hAnsi="宋体"/>
                <w:color w:val="000000"/>
                <w:sz w:val="22"/>
                <w:szCs w:val="22"/>
              </w:rPr>
              <w:t>小微企业有关政策：</w:t>
            </w:r>
          </w:p>
          <w:p>
            <w:pPr>
              <w:spacing w:line="360" w:lineRule="auto"/>
              <w:ind w:firstLine="440" w:firstLineChars="200"/>
              <w:rPr>
                <w:rFonts w:hint="eastAsia" w:ascii="宋体" w:hAnsi="宋体"/>
                <w:color w:val="000000"/>
                <w:sz w:val="22"/>
                <w:szCs w:val="22"/>
              </w:rPr>
            </w:pPr>
            <w:r>
              <w:rPr>
                <w:rFonts w:hint="eastAsia" w:ascii="宋体" w:hAnsi="宋体"/>
                <w:color w:val="000000"/>
                <w:sz w:val="22"/>
                <w:szCs w:val="22"/>
              </w:rPr>
              <w:t>本次采购为非专门面向中小微企业。对于符合财库[2011]181号文规定的小微企业，在评审时，国内企业将给予6%的价格扣除，并以其价格扣除后的金额作为其经评审的报价。若所有投标人均为财库[2011]181号文规定的小微企业，则均不考虑价格扣除。</w:t>
            </w:r>
          </w:p>
          <w:p>
            <w:pPr>
              <w:spacing w:line="360" w:lineRule="auto"/>
              <w:ind w:firstLine="440" w:firstLineChars="200"/>
              <w:rPr>
                <w:rFonts w:hint="eastAsia" w:ascii="宋体" w:hAnsi="宋体"/>
                <w:color w:val="000000"/>
                <w:sz w:val="22"/>
                <w:szCs w:val="22"/>
              </w:rPr>
            </w:pPr>
            <w:r>
              <w:rPr>
                <w:rFonts w:hint="eastAsia" w:ascii="宋体" w:hAnsi="宋体"/>
                <w:color w:val="000000"/>
                <w:sz w:val="22"/>
                <w:szCs w:val="22"/>
              </w:rPr>
              <w:t>按照《财政部、司法部关于政府采购支持监狱企业发展有关问题的通知》（财库〔2014〕68 号）之规定，监狱企业视同小型、微型企业。</w:t>
            </w:r>
          </w:p>
          <w:p>
            <w:pPr>
              <w:spacing w:line="360" w:lineRule="auto"/>
              <w:ind w:firstLine="440" w:firstLineChars="200"/>
              <w:rPr>
                <w:rFonts w:hint="eastAsia" w:ascii="宋体" w:hAnsi="宋体"/>
                <w:color w:val="000000"/>
                <w:sz w:val="22"/>
                <w:szCs w:val="22"/>
              </w:rPr>
            </w:pPr>
            <w:r>
              <w:rPr>
                <w:rFonts w:hint="eastAsia" w:ascii="宋体" w:hAnsi="宋体"/>
                <w:color w:val="000000"/>
                <w:sz w:val="22"/>
                <w:szCs w:val="22"/>
              </w:rPr>
              <w:t>按照《财政部、民政部。中国残疾人联合会关于促进残疾人就业政府采购政策的通知》(财库[2017]141号)之规定残疾人福利性单位视同小型、微型企业，享受小微企业6%价格扣除优惠政策，但残疾人福利性单位本身为小微企业的不得重复用享受优惠政策。</w:t>
            </w:r>
          </w:p>
          <w:p>
            <w:pPr>
              <w:spacing w:line="360" w:lineRule="auto"/>
              <w:ind w:firstLine="440" w:firstLineChars="200"/>
              <w:rPr>
                <w:rFonts w:hint="eastAsia" w:ascii="宋体" w:hAnsi="宋体"/>
                <w:color w:val="000000"/>
                <w:sz w:val="22"/>
                <w:szCs w:val="22"/>
              </w:rPr>
            </w:pPr>
            <w:r>
              <w:rPr>
                <w:rFonts w:hint="eastAsia" w:ascii="宋体" w:hAnsi="宋体"/>
                <w:color w:val="000000"/>
                <w:sz w:val="22"/>
                <w:szCs w:val="22"/>
              </w:rPr>
              <w:t>按照《政府采购促进中小企业发展暂行办法》（财库[2011]181 号）之规定，投标产品被认定为小型和微型企业产品的，对小型和微型企业产品的价格给予 6%的扣除，以扣除后的价格为评标报价；大中型企业和其他自然人、法人或者其他组织与小型、微型企业组成联合体投标，联合体协议中约定小型、微型企业的协议合同金额占到联合体协议合同总金额 30%以上的，联合体投标报价给予2%的扣除，以扣除后的价格为评标价。</w:t>
            </w:r>
          </w:p>
          <w:p>
            <w:pPr>
              <w:spacing w:line="360" w:lineRule="auto"/>
              <w:ind w:firstLine="440" w:firstLineChars="200"/>
              <w:rPr>
                <w:rFonts w:hint="eastAsia" w:ascii="宋体" w:hAnsi="宋体"/>
                <w:b/>
                <w:color w:val="000000"/>
                <w:sz w:val="22"/>
                <w:szCs w:val="22"/>
              </w:rPr>
            </w:pPr>
            <w:r>
              <w:rPr>
                <w:rFonts w:hint="eastAsia" w:ascii="宋体" w:hAnsi="宋体"/>
                <w:b/>
                <w:color w:val="000000"/>
                <w:sz w:val="22"/>
                <w:szCs w:val="22"/>
              </w:rPr>
              <w:t>欲享受政策优惠的且属于小微型企业的须提交声明书、属于残疾人福利性单位且须提交声明书、</w:t>
            </w:r>
            <w:r>
              <w:rPr>
                <w:rFonts w:ascii="宋体" w:hAnsi="宋体"/>
                <w:b/>
                <w:color w:val="000000"/>
                <w:sz w:val="22"/>
                <w:szCs w:val="22"/>
              </w:rPr>
              <w:t>属于</w:t>
            </w:r>
            <w:r>
              <w:rPr>
                <w:rFonts w:hint="eastAsia" w:ascii="宋体" w:hAnsi="宋体"/>
                <w:b/>
                <w:color w:val="000000"/>
                <w:sz w:val="22"/>
                <w:szCs w:val="22"/>
              </w:rPr>
              <w:t>监狱</w:t>
            </w:r>
            <w:r>
              <w:rPr>
                <w:rFonts w:ascii="宋体" w:hAnsi="宋体"/>
                <w:b/>
                <w:color w:val="000000"/>
                <w:sz w:val="22"/>
                <w:szCs w:val="22"/>
              </w:rPr>
              <w:t>企业的应</w:t>
            </w:r>
            <w:r>
              <w:rPr>
                <w:rFonts w:hint="eastAsia" w:ascii="宋体" w:hAnsi="宋体"/>
                <w:b/>
                <w:color w:val="000000"/>
                <w:sz w:val="22"/>
                <w:szCs w:val="22"/>
              </w:rPr>
              <w:t>提供由省级以上监狱管理局、戒毒管理局（含新疆生产建设兵团）出具的属于监狱企业的证明文件。否则不认不认定为小微企业。</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855" w:hRule="atLeast"/>
        </w:trPr>
        <w:tc>
          <w:tcPr>
            <w:tcW w:w="993" w:type="dxa"/>
            <w:noWrap w:val="0"/>
            <w:vAlign w:val="center"/>
          </w:tcPr>
          <w:p>
            <w:pPr>
              <w:autoSpaceDE w:val="0"/>
              <w:autoSpaceDN w:val="0"/>
              <w:snapToGrid w:val="0"/>
              <w:spacing w:line="360" w:lineRule="auto"/>
              <w:ind w:left="-95" w:right="-129"/>
              <w:jc w:val="center"/>
              <w:rPr>
                <w:rFonts w:hint="eastAsia" w:ascii="宋体" w:hAnsi="宋体"/>
                <w:color w:val="000000"/>
                <w:sz w:val="22"/>
                <w:szCs w:val="22"/>
              </w:rPr>
            </w:pPr>
            <w:r>
              <w:rPr>
                <w:rFonts w:hint="eastAsia" w:ascii="宋体" w:hAnsi="宋体"/>
                <w:color w:val="000000"/>
                <w:sz w:val="22"/>
                <w:szCs w:val="22"/>
              </w:rPr>
              <w:t>27</w:t>
            </w:r>
          </w:p>
        </w:tc>
        <w:tc>
          <w:tcPr>
            <w:tcW w:w="8930" w:type="dxa"/>
            <w:noWrap w:val="0"/>
            <w:vAlign w:val="center"/>
          </w:tcPr>
          <w:p>
            <w:pPr>
              <w:spacing w:line="360" w:lineRule="auto"/>
              <w:rPr>
                <w:rFonts w:hint="eastAsia" w:ascii="宋体" w:hAnsi="宋体"/>
                <w:color w:val="000000"/>
                <w:sz w:val="22"/>
                <w:szCs w:val="22"/>
              </w:rPr>
            </w:pPr>
            <w:r>
              <w:rPr>
                <w:rFonts w:hint="eastAsia" w:ascii="宋体" w:hAnsi="宋体"/>
                <w:color w:val="000000"/>
                <w:sz w:val="22"/>
                <w:szCs w:val="22"/>
              </w:rPr>
              <w:t>有关投标书文件编制：</w:t>
            </w:r>
          </w:p>
          <w:p>
            <w:pPr>
              <w:spacing w:line="360" w:lineRule="auto"/>
              <w:rPr>
                <w:rFonts w:hint="eastAsia" w:ascii="宋体" w:hAnsi="宋体"/>
                <w:color w:val="000000"/>
                <w:sz w:val="22"/>
                <w:szCs w:val="22"/>
              </w:rPr>
            </w:pPr>
            <w:r>
              <w:rPr>
                <w:rFonts w:hint="eastAsia" w:ascii="宋体" w:hAnsi="宋体"/>
                <w:color w:val="000000"/>
                <w:sz w:val="22"/>
                <w:szCs w:val="22"/>
              </w:rPr>
              <w:t>投标人在编制投标文件时应仔细阅读采购文件，完整了解本采购文件中有关格式、条款和规范等的全部要求，提供采购文件要求的全部资料以供评审。投标文件应详细地响应采购文件在资格、商务、技术等各方面的要求。</w:t>
            </w:r>
          </w:p>
          <w:p>
            <w:pPr>
              <w:spacing w:line="360" w:lineRule="auto"/>
              <w:rPr>
                <w:rFonts w:hint="eastAsia" w:ascii="宋体" w:hAnsi="宋体"/>
                <w:color w:val="000000"/>
                <w:sz w:val="22"/>
                <w:szCs w:val="22"/>
              </w:rPr>
            </w:pPr>
            <w:r>
              <w:rPr>
                <w:rFonts w:hint="eastAsia" w:ascii="宋体" w:hAnsi="宋体"/>
                <w:color w:val="000000"/>
                <w:sz w:val="22"/>
                <w:szCs w:val="22"/>
              </w:rPr>
              <w:t>投标人的投标方案、投标声明（价格折扣率或其他声明）应按照采购文件具体要求及规定编报。</w:t>
            </w:r>
          </w:p>
          <w:p>
            <w:pPr>
              <w:spacing w:line="360" w:lineRule="auto"/>
              <w:rPr>
                <w:rFonts w:hint="eastAsia" w:ascii="宋体" w:hAnsi="宋体"/>
                <w:color w:val="000000"/>
                <w:sz w:val="22"/>
                <w:szCs w:val="22"/>
              </w:rPr>
            </w:pPr>
            <w:r>
              <w:rPr>
                <w:rFonts w:hint="eastAsia" w:ascii="宋体" w:hAnsi="宋体"/>
                <w:color w:val="000000"/>
                <w:sz w:val="22"/>
                <w:szCs w:val="22"/>
              </w:rPr>
              <w:t>如果投标书文件中未作出响应或存在着遗漏，在评审中该处有可能被判定为不接受采购要求；若投标书文件在对“采购内容及要求”的某些要求的响应，在“实施方案”中没有给予支持，评审中该处有可能被判定为不接受采购要求。</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855" w:hRule="atLeast"/>
        </w:trPr>
        <w:tc>
          <w:tcPr>
            <w:tcW w:w="993" w:type="dxa"/>
            <w:noWrap w:val="0"/>
            <w:vAlign w:val="center"/>
          </w:tcPr>
          <w:p>
            <w:pPr>
              <w:autoSpaceDE w:val="0"/>
              <w:autoSpaceDN w:val="0"/>
              <w:snapToGrid w:val="0"/>
              <w:spacing w:line="360" w:lineRule="auto"/>
              <w:ind w:left="-95" w:right="-129"/>
              <w:jc w:val="center"/>
              <w:rPr>
                <w:rFonts w:hint="eastAsia" w:ascii="宋体" w:hAnsi="宋体"/>
                <w:color w:val="000000"/>
                <w:sz w:val="22"/>
                <w:szCs w:val="22"/>
              </w:rPr>
            </w:pPr>
            <w:r>
              <w:rPr>
                <w:rFonts w:hint="eastAsia" w:ascii="宋体" w:hAnsi="宋体"/>
                <w:color w:val="000000"/>
                <w:sz w:val="22"/>
                <w:szCs w:val="22"/>
              </w:rPr>
              <w:t>28</w:t>
            </w:r>
          </w:p>
        </w:tc>
        <w:tc>
          <w:tcPr>
            <w:tcW w:w="8930" w:type="dxa"/>
            <w:noWrap w:val="0"/>
            <w:vAlign w:val="center"/>
          </w:tcPr>
          <w:p>
            <w:pPr>
              <w:spacing w:line="360" w:lineRule="auto"/>
              <w:rPr>
                <w:rFonts w:hint="eastAsia" w:ascii="宋体" w:hAnsi="宋体"/>
                <w:color w:val="000000"/>
                <w:sz w:val="22"/>
                <w:szCs w:val="22"/>
              </w:rPr>
            </w:pPr>
            <w:r>
              <w:rPr>
                <w:rFonts w:hint="eastAsia" w:ascii="宋体" w:hAnsi="宋体"/>
                <w:b/>
                <w:color w:val="000000"/>
                <w:sz w:val="22"/>
                <w:szCs w:val="22"/>
              </w:rPr>
              <w:t>本</w:t>
            </w:r>
            <w:r>
              <w:rPr>
                <w:rFonts w:ascii="宋体" w:hAnsi="宋体"/>
                <w:b/>
                <w:color w:val="000000"/>
                <w:sz w:val="22"/>
                <w:szCs w:val="22"/>
              </w:rPr>
              <w:t>采购文件中</w:t>
            </w:r>
            <w:r>
              <w:rPr>
                <w:rFonts w:hint="eastAsia" w:ascii="宋体" w:hAnsi="宋体"/>
                <w:b/>
                <w:color w:val="000000"/>
                <w:sz w:val="22"/>
                <w:szCs w:val="22"/>
              </w:rPr>
              <w:t>带有“★”标记的条款为不可负偏离条款，若负偏离则被评标委员认为不响应标书要求，视作无效标。带“▲”标记的条款为重要条款，若负偏离则评标委员会在技术评审时有权作惩罚性扣分</w:t>
            </w:r>
            <w:r>
              <w:rPr>
                <w:rFonts w:hint="eastAsia" w:ascii="宋体" w:hAnsi="宋体"/>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855" w:hRule="atLeast"/>
        </w:trPr>
        <w:tc>
          <w:tcPr>
            <w:tcW w:w="993" w:type="dxa"/>
            <w:noWrap w:val="0"/>
            <w:vAlign w:val="center"/>
          </w:tcPr>
          <w:p>
            <w:pPr>
              <w:autoSpaceDE w:val="0"/>
              <w:autoSpaceDN w:val="0"/>
              <w:snapToGrid w:val="0"/>
              <w:spacing w:line="360" w:lineRule="auto"/>
              <w:ind w:left="-95" w:right="-129"/>
              <w:jc w:val="center"/>
              <w:rPr>
                <w:rFonts w:hint="eastAsia" w:ascii="宋体" w:hAnsi="宋体"/>
                <w:color w:val="000000"/>
                <w:sz w:val="22"/>
                <w:szCs w:val="22"/>
              </w:rPr>
            </w:pPr>
            <w:bookmarkStart w:id="52" w:name="_Toc393025322"/>
            <w:bookmarkStart w:id="53" w:name="_Toc14965616"/>
            <w:bookmarkStart w:id="54" w:name="_Toc14965747"/>
            <w:r>
              <w:rPr>
                <w:rFonts w:hint="eastAsia" w:ascii="宋体" w:hAnsi="宋体"/>
                <w:color w:val="000000"/>
                <w:sz w:val="22"/>
                <w:szCs w:val="22"/>
              </w:rPr>
              <w:t>29</w:t>
            </w:r>
          </w:p>
        </w:tc>
        <w:tc>
          <w:tcPr>
            <w:tcW w:w="8930" w:type="dxa"/>
            <w:noWrap w:val="0"/>
            <w:vAlign w:val="center"/>
          </w:tcPr>
          <w:p>
            <w:pPr>
              <w:spacing w:before="60" w:line="360" w:lineRule="auto"/>
              <w:rPr>
                <w:rFonts w:hint="eastAsia" w:ascii="宋体" w:hAnsi="宋体"/>
                <w:color w:val="000000"/>
                <w:sz w:val="22"/>
                <w:szCs w:val="22"/>
              </w:rPr>
            </w:pPr>
            <w:r>
              <w:rPr>
                <w:rFonts w:hint="eastAsia" w:ascii="宋体" w:hAnsi="宋体"/>
                <w:color w:val="000000"/>
                <w:sz w:val="22"/>
                <w:szCs w:val="22"/>
              </w:rPr>
              <w:t>1.</w:t>
            </w:r>
            <w:r>
              <w:rPr>
                <w:rFonts w:hint="eastAsia" w:ascii="宋体" w:hAnsi="宋体"/>
                <w:sz w:val="22"/>
                <w:szCs w:val="22"/>
              </w:rPr>
              <w:t xml:space="preserve"> 中标(成交)服务商在领取采购结果通知书(中标通知书)时，本采购代理机构根据国家发改委发改办价格[2003]857号通知和国家计委计价格[2002]1980号文件的规定，向中标(成交)服务商收取采购代理服务费</w:t>
            </w:r>
            <w:r>
              <w:rPr>
                <w:rFonts w:hint="eastAsia" w:ascii="宋体" w:hAnsi="宋体"/>
                <w:color w:val="000000"/>
                <w:sz w:val="22"/>
                <w:szCs w:val="22"/>
              </w:rPr>
              <w:t>。</w:t>
            </w:r>
          </w:p>
          <w:p>
            <w:pPr>
              <w:spacing w:before="60" w:line="360" w:lineRule="auto"/>
              <w:rPr>
                <w:rFonts w:ascii="宋体" w:hAnsi="宋体"/>
                <w:color w:val="000000"/>
                <w:sz w:val="22"/>
                <w:szCs w:val="22"/>
              </w:rPr>
            </w:pPr>
            <w:r>
              <w:rPr>
                <w:rFonts w:ascii="宋体" w:hAnsi="宋体"/>
                <w:color w:val="000000"/>
                <w:sz w:val="22"/>
                <w:szCs w:val="22"/>
              </w:rPr>
              <w:t>2</w:t>
            </w:r>
            <w:r>
              <w:rPr>
                <w:rFonts w:hint="eastAsia" w:ascii="宋体" w:hAnsi="宋体"/>
                <w:color w:val="000000"/>
                <w:sz w:val="22"/>
                <w:szCs w:val="22"/>
              </w:rPr>
              <w:t>.采购代理服务费只收现金、银行支票、银行汇票或转账支票或银行转账。</w:t>
            </w:r>
          </w:p>
          <w:p>
            <w:pPr>
              <w:spacing w:line="360" w:lineRule="auto"/>
              <w:rPr>
                <w:rFonts w:hint="eastAsia" w:ascii="宋体" w:hAnsi="宋体"/>
                <w:color w:val="000000"/>
                <w:sz w:val="22"/>
                <w:szCs w:val="22"/>
              </w:rPr>
            </w:pPr>
            <w:r>
              <w:rPr>
                <w:rFonts w:hint="eastAsia" w:ascii="宋体" w:hAnsi="宋体"/>
                <w:color w:val="000000"/>
                <w:sz w:val="22"/>
                <w:szCs w:val="22"/>
              </w:rPr>
              <w:t>3.中标(成交)人如未按以上1条和2条规定办理，本采购代理机构有权从中标(成交)人应得服务费中扣除，并对不足部分进行追索。</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855" w:hRule="atLeast"/>
        </w:trPr>
        <w:tc>
          <w:tcPr>
            <w:tcW w:w="993" w:type="dxa"/>
            <w:noWrap w:val="0"/>
            <w:vAlign w:val="center"/>
          </w:tcPr>
          <w:p>
            <w:pPr>
              <w:autoSpaceDE w:val="0"/>
              <w:autoSpaceDN w:val="0"/>
              <w:snapToGrid w:val="0"/>
              <w:spacing w:line="360" w:lineRule="auto"/>
              <w:ind w:left="-95" w:right="-129"/>
              <w:jc w:val="center"/>
              <w:rPr>
                <w:rFonts w:hint="eastAsia" w:ascii="宋体" w:hAnsi="宋体"/>
                <w:color w:val="000000"/>
                <w:sz w:val="22"/>
                <w:szCs w:val="22"/>
              </w:rPr>
            </w:pPr>
            <w:r>
              <w:rPr>
                <w:rFonts w:hint="eastAsia" w:ascii="宋体" w:hAnsi="宋体"/>
                <w:color w:val="000000"/>
                <w:sz w:val="22"/>
                <w:szCs w:val="22"/>
              </w:rPr>
              <w:t>30</w:t>
            </w:r>
          </w:p>
        </w:tc>
        <w:tc>
          <w:tcPr>
            <w:tcW w:w="8930" w:type="dxa"/>
            <w:noWrap w:val="0"/>
            <w:vAlign w:val="center"/>
          </w:tcPr>
          <w:p>
            <w:pPr>
              <w:spacing w:line="360" w:lineRule="auto"/>
              <w:rPr>
                <w:rFonts w:hint="eastAsia" w:ascii="宋体" w:hAnsi="宋体"/>
                <w:color w:val="000000"/>
                <w:sz w:val="22"/>
                <w:szCs w:val="22"/>
              </w:rPr>
            </w:pPr>
            <w:r>
              <w:rPr>
                <w:rFonts w:hint="eastAsia" w:ascii="宋体" w:hAnsi="宋体"/>
                <w:color w:val="000000"/>
                <w:sz w:val="22"/>
                <w:szCs w:val="22"/>
              </w:rPr>
              <w:t>解释：本采购文件的解释权属于采购单位。</w:t>
            </w:r>
          </w:p>
        </w:tc>
      </w:tr>
    </w:tbl>
    <w:p>
      <w:pPr>
        <w:spacing w:line="440" w:lineRule="exact"/>
        <w:ind w:firstLine="420" w:firstLineChars="200"/>
        <w:rPr>
          <w:rFonts w:ascii="宋体" w:hAnsi="宋体"/>
          <w:szCs w:val="21"/>
        </w:rPr>
      </w:pPr>
    </w:p>
    <w:p>
      <w:pPr>
        <w:spacing w:line="440" w:lineRule="exact"/>
        <w:ind w:firstLine="420" w:firstLineChars="200"/>
        <w:rPr>
          <w:rFonts w:hint="eastAsia" w:ascii="宋体" w:hAnsi="宋体"/>
          <w:szCs w:val="21"/>
        </w:rPr>
        <w:sectPr>
          <w:headerReference r:id="rId11" w:type="default"/>
          <w:pgSz w:w="11906" w:h="16838"/>
          <w:pgMar w:top="964" w:right="991" w:bottom="1304" w:left="1418" w:header="386" w:footer="992" w:gutter="0"/>
          <w:cols w:space="720" w:num="1"/>
          <w:docGrid w:type="linesAndChars" w:linePitch="312" w:charSpace="0"/>
        </w:sectPr>
      </w:pPr>
    </w:p>
    <w:p>
      <w:pPr>
        <w:pStyle w:val="49"/>
        <w:ind w:firstLine="3357" w:firstLineChars="1045"/>
        <w:jc w:val="both"/>
        <w:rPr>
          <w:rFonts w:hint="eastAsia" w:ascii="宋体" w:hAnsi="宋体"/>
          <w:lang w:eastAsia="zh-CN"/>
        </w:rPr>
      </w:pPr>
      <w:r>
        <w:rPr>
          <w:rFonts w:hint="eastAsia" w:ascii="宋体" w:hAnsi="宋体"/>
        </w:rPr>
        <w:t xml:space="preserve">第四部分 </w:t>
      </w:r>
      <w:r>
        <w:rPr>
          <w:rFonts w:ascii="宋体" w:hAnsi="宋体"/>
        </w:rPr>
        <w:t>评标</w:t>
      </w:r>
      <w:r>
        <w:rPr>
          <w:rFonts w:hint="eastAsia" w:ascii="宋体" w:hAnsi="宋体"/>
        </w:rPr>
        <w:t>标准</w:t>
      </w:r>
      <w:bookmarkEnd w:id="52"/>
      <w:bookmarkEnd w:id="53"/>
      <w:bookmarkEnd w:id="54"/>
    </w:p>
    <w:p>
      <w:pPr>
        <w:rPr>
          <w:rFonts w:hint="eastAsia"/>
        </w:rPr>
      </w:pPr>
    </w:p>
    <w:p>
      <w:pPr>
        <w:tabs>
          <w:tab w:val="left" w:pos="0"/>
          <w:tab w:val="left" w:pos="1134"/>
        </w:tabs>
        <w:adjustRightInd w:val="0"/>
        <w:snapToGrid w:val="0"/>
        <w:spacing w:line="360" w:lineRule="auto"/>
        <w:ind w:firstLine="440" w:firstLineChars="200"/>
        <w:rPr>
          <w:rFonts w:hint="eastAsia" w:ascii="宋体" w:hAnsi="宋体"/>
          <w:sz w:val="22"/>
          <w:szCs w:val="22"/>
        </w:rPr>
      </w:pPr>
      <w:r>
        <w:rPr>
          <w:rFonts w:hint="eastAsia" w:ascii="宋体" w:hAnsi="宋体"/>
          <w:sz w:val="22"/>
          <w:szCs w:val="22"/>
        </w:rPr>
        <w:t>根据《中华人民共和国政府采购法》等有关法律法规的规定，并结合本项目的实际，制定本办法。</w:t>
      </w:r>
    </w:p>
    <w:p>
      <w:pPr>
        <w:adjustRightInd w:val="0"/>
        <w:spacing w:line="360" w:lineRule="auto"/>
        <w:textAlignment w:val="baseline"/>
        <w:rPr>
          <w:rFonts w:hint="eastAsia" w:ascii="宋体" w:hAnsi="宋体"/>
          <w:b/>
          <w:bCs/>
          <w:sz w:val="22"/>
          <w:szCs w:val="22"/>
        </w:rPr>
      </w:pPr>
      <w:r>
        <w:rPr>
          <w:rFonts w:hint="eastAsia" w:ascii="宋体" w:hAnsi="宋体"/>
          <w:b/>
          <w:bCs/>
          <w:sz w:val="22"/>
          <w:szCs w:val="22"/>
        </w:rPr>
        <w:t>1、总则</w:t>
      </w:r>
    </w:p>
    <w:p>
      <w:pPr>
        <w:tabs>
          <w:tab w:val="left" w:pos="0"/>
          <w:tab w:val="left" w:pos="1134"/>
        </w:tabs>
        <w:adjustRightInd w:val="0"/>
        <w:snapToGrid w:val="0"/>
        <w:spacing w:line="360" w:lineRule="auto"/>
        <w:ind w:firstLine="435"/>
        <w:rPr>
          <w:rFonts w:hint="eastAsia" w:ascii="宋体" w:hAnsi="宋体"/>
          <w:sz w:val="22"/>
          <w:szCs w:val="22"/>
        </w:rPr>
      </w:pPr>
      <w:r>
        <w:rPr>
          <w:rFonts w:hint="eastAsia" w:ascii="宋体" w:hAnsi="宋体"/>
          <w:sz w:val="22"/>
          <w:szCs w:val="22"/>
        </w:rPr>
        <w:t>评标活动遵循公平、</w:t>
      </w:r>
      <w:r>
        <w:rPr>
          <w:rFonts w:hint="eastAsia" w:ascii="宋体" w:hAnsi="宋体"/>
          <w:snapToGrid w:val="0"/>
          <w:sz w:val="22"/>
          <w:szCs w:val="22"/>
        </w:rPr>
        <w:t>公正</w:t>
      </w:r>
      <w:r>
        <w:rPr>
          <w:rFonts w:hint="eastAsia" w:ascii="宋体" w:hAnsi="宋体"/>
          <w:sz w:val="22"/>
          <w:szCs w:val="22"/>
        </w:rPr>
        <w:t>、科学、择优的原则；评标活动依法进行，评标过程严格保密；评标活动及当事人接受依法实施的监督。</w:t>
      </w:r>
    </w:p>
    <w:p>
      <w:pPr>
        <w:adjustRightInd w:val="0"/>
        <w:spacing w:line="360" w:lineRule="auto"/>
        <w:textAlignment w:val="baseline"/>
        <w:rPr>
          <w:rFonts w:hint="eastAsia" w:ascii="宋体" w:hAnsi="宋体"/>
          <w:b/>
          <w:bCs/>
          <w:sz w:val="22"/>
          <w:szCs w:val="22"/>
        </w:rPr>
      </w:pPr>
      <w:r>
        <w:rPr>
          <w:rFonts w:hint="eastAsia" w:ascii="宋体" w:hAnsi="宋体"/>
          <w:b/>
          <w:bCs/>
          <w:sz w:val="22"/>
          <w:szCs w:val="22"/>
        </w:rPr>
        <w:t>2、评标组织</w:t>
      </w:r>
    </w:p>
    <w:p>
      <w:pPr>
        <w:tabs>
          <w:tab w:val="left" w:pos="0"/>
          <w:tab w:val="left" w:pos="1134"/>
        </w:tabs>
        <w:adjustRightInd w:val="0"/>
        <w:snapToGrid w:val="0"/>
        <w:spacing w:line="360" w:lineRule="auto"/>
        <w:rPr>
          <w:rFonts w:hint="eastAsia" w:ascii="宋体" w:hAnsi="宋体"/>
          <w:snapToGrid w:val="0"/>
          <w:sz w:val="22"/>
          <w:szCs w:val="22"/>
        </w:rPr>
      </w:pPr>
      <w:r>
        <w:rPr>
          <w:rFonts w:hint="eastAsia" w:ascii="宋体" w:hAnsi="宋体"/>
          <w:snapToGrid w:val="0"/>
          <w:sz w:val="22"/>
          <w:szCs w:val="22"/>
        </w:rPr>
        <w:t xml:space="preserve">    评标工作由采购人依法组建的评标委员会负责，评标全过程由有关部门指导监督。</w:t>
      </w:r>
    </w:p>
    <w:p>
      <w:pPr>
        <w:adjustRightInd w:val="0"/>
        <w:spacing w:line="360" w:lineRule="auto"/>
        <w:textAlignment w:val="baseline"/>
        <w:rPr>
          <w:rFonts w:hint="eastAsia" w:ascii="宋体" w:hAnsi="宋体"/>
          <w:b/>
          <w:bCs/>
          <w:sz w:val="22"/>
          <w:szCs w:val="22"/>
        </w:rPr>
      </w:pPr>
      <w:bookmarkStart w:id="55" w:name="_Toc221356900"/>
      <w:bookmarkStart w:id="56" w:name="_Toc221356963"/>
      <w:r>
        <w:rPr>
          <w:rFonts w:hint="eastAsia" w:ascii="宋体" w:hAnsi="宋体"/>
          <w:b/>
          <w:bCs/>
          <w:sz w:val="22"/>
          <w:szCs w:val="22"/>
        </w:rPr>
        <w:t>3、评标程序</w:t>
      </w:r>
      <w:bookmarkEnd w:id="55"/>
      <w:bookmarkEnd w:id="56"/>
    </w:p>
    <w:p>
      <w:pPr>
        <w:tabs>
          <w:tab w:val="left" w:pos="0"/>
          <w:tab w:val="left" w:pos="1134"/>
        </w:tabs>
        <w:adjustRightInd w:val="0"/>
        <w:snapToGrid w:val="0"/>
        <w:spacing w:line="360" w:lineRule="auto"/>
        <w:rPr>
          <w:rFonts w:hint="eastAsia" w:ascii="宋体" w:hAnsi="宋体"/>
          <w:snapToGrid w:val="0"/>
          <w:sz w:val="22"/>
          <w:szCs w:val="22"/>
        </w:rPr>
      </w:pPr>
      <w:r>
        <w:rPr>
          <w:rFonts w:hint="eastAsia" w:ascii="宋体" w:hAnsi="宋体"/>
          <w:snapToGrid w:val="0"/>
          <w:sz w:val="22"/>
          <w:szCs w:val="22"/>
        </w:rPr>
        <w:t xml:space="preserve">   </w:t>
      </w:r>
      <w:r>
        <w:rPr>
          <w:rFonts w:hint="eastAsia" w:ascii="宋体" w:hAnsi="宋体"/>
          <w:snapToGrid w:val="0"/>
          <w:color w:val="FF0000"/>
          <w:sz w:val="22"/>
          <w:szCs w:val="22"/>
        </w:rPr>
        <w:t xml:space="preserve"> </w:t>
      </w:r>
      <w:r>
        <w:rPr>
          <w:rFonts w:hint="eastAsia" w:ascii="宋体" w:hAnsi="宋体"/>
          <w:snapToGrid w:val="0"/>
          <w:sz w:val="22"/>
          <w:szCs w:val="22"/>
        </w:rPr>
        <w:t>先同时开启技术文件、资信商务文件，评标委员会对各投标人的投标资格进行审查；然后对合格投标人的技术文件、资信商务文件进行评审；之后开报价文件；对报价文件评审后，根据综合评审结果，提交评审报告。</w:t>
      </w:r>
    </w:p>
    <w:p>
      <w:pPr>
        <w:adjustRightInd w:val="0"/>
        <w:spacing w:line="360" w:lineRule="auto"/>
        <w:textAlignment w:val="baseline"/>
        <w:rPr>
          <w:rFonts w:hint="eastAsia" w:ascii="宋体" w:hAnsi="宋体"/>
          <w:b/>
          <w:bCs/>
          <w:sz w:val="22"/>
          <w:szCs w:val="22"/>
        </w:rPr>
      </w:pPr>
      <w:bookmarkStart w:id="57" w:name="_Toc221356901"/>
      <w:bookmarkStart w:id="58" w:name="_Toc221356964"/>
      <w:r>
        <w:rPr>
          <w:rFonts w:hint="eastAsia" w:ascii="宋体" w:hAnsi="宋体"/>
          <w:b/>
          <w:bCs/>
          <w:sz w:val="22"/>
          <w:szCs w:val="22"/>
        </w:rPr>
        <w:t>4、评标办法</w:t>
      </w:r>
      <w:bookmarkEnd w:id="57"/>
      <w:bookmarkEnd w:id="58"/>
    </w:p>
    <w:p>
      <w:pPr>
        <w:tabs>
          <w:tab w:val="left" w:pos="0"/>
          <w:tab w:val="left" w:pos="1134"/>
        </w:tabs>
        <w:adjustRightInd w:val="0"/>
        <w:snapToGrid w:val="0"/>
        <w:spacing w:line="360" w:lineRule="auto"/>
        <w:rPr>
          <w:rFonts w:hint="eastAsia" w:ascii="宋体" w:hAnsi="宋体"/>
          <w:snapToGrid w:val="0"/>
          <w:sz w:val="22"/>
          <w:szCs w:val="22"/>
        </w:rPr>
      </w:pPr>
      <w:r>
        <w:rPr>
          <w:rFonts w:hint="eastAsia" w:ascii="宋体" w:hAnsi="宋体"/>
          <w:snapToGrid w:val="0"/>
          <w:sz w:val="22"/>
          <w:szCs w:val="22"/>
        </w:rPr>
        <w:t xml:space="preserve">    本项目采用</w:t>
      </w:r>
      <w:r>
        <w:rPr>
          <w:rFonts w:hint="eastAsia" w:ascii="宋体" w:hAnsi="宋体"/>
          <w:b/>
          <w:snapToGrid w:val="0"/>
          <w:sz w:val="22"/>
          <w:szCs w:val="22"/>
          <w:u w:val="single"/>
        </w:rPr>
        <w:t>综合评分法</w:t>
      </w:r>
      <w:r>
        <w:rPr>
          <w:rFonts w:hint="eastAsia" w:ascii="宋体" w:hAnsi="宋体"/>
          <w:snapToGrid w:val="0"/>
          <w:sz w:val="22"/>
          <w:szCs w:val="22"/>
        </w:rPr>
        <w:t>，总分为100分，其中</w:t>
      </w:r>
      <w:r>
        <w:rPr>
          <w:rFonts w:hint="eastAsia" w:ascii="宋体" w:hAnsi="宋体"/>
          <w:b/>
          <w:snapToGrid w:val="0"/>
          <w:sz w:val="22"/>
          <w:szCs w:val="22"/>
          <w:u w:val="single"/>
        </w:rPr>
        <w:t>技术分70分、资信商务分10分，价格分20分</w:t>
      </w:r>
      <w:r>
        <w:rPr>
          <w:rFonts w:hint="eastAsia" w:ascii="宋体" w:hAnsi="宋体"/>
          <w:snapToGrid w:val="0"/>
          <w:sz w:val="22"/>
          <w:szCs w:val="22"/>
        </w:rPr>
        <w:t>。评标委员会将对实质上响应采购文件的投标人，根据报价、技术、资信商务情况由各评委独立记名打分。中标候选资格按评标得分由高到低顺序排列，得分相同的，按投标报价由低到高顺序排列；得分且投标报价相同的，按技术得分由高到低顺序排列。取前三名为中标候选人，排名第一的投标人为第一中标候选人，以此类推。评分过程中采用四舍五入法，并保留小数2位。</w:t>
      </w:r>
    </w:p>
    <w:p>
      <w:pPr>
        <w:tabs>
          <w:tab w:val="left" w:pos="0"/>
          <w:tab w:val="left" w:pos="1134"/>
        </w:tabs>
        <w:adjustRightInd w:val="0"/>
        <w:snapToGrid w:val="0"/>
        <w:spacing w:line="360" w:lineRule="auto"/>
        <w:rPr>
          <w:rFonts w:hint="eastAsia" w:ascii="宋体" w:hAnsi="宋体"/>
          <w:snapToGrid w:val="0"/>
          <w:sz w:val="22"/>
          <w:szCs w:val="22"/>
        </w:rPr>
      </w:pPr>
      <w:r>
        <w:rPr>
          <w:rFonts w:hint="eastAsia" w:ascii="宋体" w:hAnsi="宋体"/>
          <w:snapToGrid w:val="0"/>
          <w:sz w:val="22"/>
          <w:szCs w:val="22"/>
        </w:rPr>
        <w:t xml:space="preserve">    由评标专家按评标细则，采用记名方法自行判定评分，如某个单项的评分超过所规定的分值范围，则该张打分表中的所有分数均为无效。</w:t>
      </w:r>
    </w:p>
    <w:p>
      <w:pPr>
        <w:tabs>
          <w:tab w:val="left" w:pos="0"/>
          <w:tab w:val="left" w:pos="1002"/>
          <w:tab w:val="left" w:pos="1134"/>
        </w:tabs>
        <w:adjustRightInd w:val="0"/>
        <w:snapToGrid w:val="0"/>
        <w:spacing w:line="360" w:lineRule="auto"/>
        <w:ind w:firstLine="440" w:firstLineChars="200"/>
        <w:rPr>
          <w:rFonts w:hint="eastAsia" w:ascii="宋体" w:hAnsi="宋体"/>
          <w:snapToGrid w:val="0"/>
          <w:sz w:val="22"/>
          <w:szCs w:val="22"/>
        </w:rPr>
      </w:pPr>
      <w:r>
        <w:rPr>
          <w:rFonts w:hint="eastAsia" w:ascii="宋体" w:hAnsi="宋体"/>
          <w:snapToGrid w:val="0"/>
          <w:sz w:val="22"/>
          <w:szCs w:val="22"/>
        </w:rPr>
        <w:t>本次采购为非专门面向中小企业，本次评标将对中小企业声明函满足招标文件要求的小型和微型企业（含残疾人福利性单位、监狱企业）服务的价格给予6%的扣除，用扣除后的价格参与评审。</w:t>
      </w:r>
    </w:p>
    <w:p>
      <w:pPr>
        <w:adjustRightInd w:val="0"/>
        <w:spacing w:line="360" w:lineRule="auto"/>
        <w:textAlignment w:val="baseline"/>
        <w:rPr>
          <w:rFonts w:hint="eastAsia" w:ascii="宋体" w:hAnsi="宋体"/>
          <w:snapToGrid w:val="0"/>
          <w:sz w:val="22"/>
          <w:szCs w:val="22"/>
        </w:rPr>
      </w:pPr>
      <w:r>
        <w:rPr>
          <w:rFonts w:hint="eastAsia" w:ascii="宋体" w:hAnsi="宋体"/>
          <w:b/>
          <w:bCs/>
          <w:sz w:val="22"/>
          <w:szCs w:val="22"/>
        </w:rPr>
        <w:t>5、初步评审</w:t>
      </w:r>
    </w:p>
    <w:p>
      <w:pPr>
        <w:tabs>
          <w:tab w:val="left" w:pos="1710"/>
        </w:tabs>
        <w:adjustRightInd w:val="0"/>
        <w:snapToGrid w:val="0"/>
        <w:spacing w:line="360" w:lineRule="auto"/>
        <w:ind w:right="-315" w:rightChars="-150"/>
        <w:rPr>
          <w:rFonts w:hint="eastAsia" w:ascii="宋体" w:hAnsi="宋体"/>
          <w:sz w:val="22"/>
          <w:szCs w:val="22"/>
        </w:rPr>
      </w:pPr>
      <w:r>
        <w:rPr>
          <w:rFonts w:hint="eastAsia" w:ascii="宋体" w:hAnsi="宋体"/>
          <w:sz w:val="22"/>
          <w:szCs w:val="22"/>
        </w:rPr>
        <w:t>5.1. 投标人资格后审</w:t>
      </w:r>
    </w:p>
    <w:p>
      <w:pPr>
        <w:spacing w:line="360" w:lineRule="auto"/>
        <w:jc w:val="left"/>
        <w:rPr>
          <w:rFonts w:hint="eastAsia" w:ascii="宋体" w:hAnsi="宋体"/>
          <w:sz w:val="22"/>
          <w:szCs w:val="22"/>
        </w:rPr>
      </w:pPr>
      <w:r>
        <w:rPr>
          <w:rFonts w:hint="eastAsia" w:ascii="宋体" w:hAnsi="宋体"/>
          <w:sz w:val="22"/>
          <w:szCs w:val="22"/>
        </w:rPr>
        <w:t xml:space="preserve">    对投标人按采购文件规定的合格投标人的资格审查条件进行资格后审，如有不符者，作无效投标处理，不予下阶段评审。</w:t>
      </w:r>
    </w:p>
    <w:p>
      <w:pPr>
        <w:spacing w:line="360" w:lineRule="auto"/>
        <w:jc w:val="center"/>
        <w:rPr>
          <w:rFonts w:hint="eastAsia" w:ascii="宋体" w:hAnsi="宋体"/>
          <w:b/>
          <w:bCs/>
          <w:snapToGrid w:val="0"/>
          <w:sz w:val="22"/>
          <w:szCs w:val="22"/>
        </w:rPr>
      </w:pPr>
      <w:r>
        <w:rPr>
          <w:rFonts w:hint="eastAsia" w:ascii="宋体" w:hAnsi="宋体"/>
          <w:b/>
          <w:bCs/>
          <w:snapToGrid w:val="0"/>
          <w:sz w:val="22"/>
          <w:szCs w:val="22"/>
        </w:rPr>
        <w:t>投标人资格审查合格条件</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1695"/>
        <w:gridCol w:w="5748"/>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0" w:hRule="atLeast"/>
          <w:jc w:val="center"/>
        </w:trPr>
        <w:tc>
          <w:tcPr>
            <w:tcW w:w="516" w:type="dxa"/>
            <w:noWrap w:val="0"/>
            <w:vAlign w:val="center"/>
          </w:tcPr>
          <w:p>
            <w:pPr>
              <w:spacing w:line="360" w:lineRule="auto"/>
              <w:jc w:val="center"/>
              <w:rPr>
                <w:rFonts w:ascii="宋体" w:hAnsi="宋体"/>
                <w:sz w:val="22"/>
                <w:szCs w:val="22"/>
              </w:rPr>
            </w:pPr>
            <w:r>
              <w:rPr>
                <w:rFonts w:hint="eastAsia" w:ascii="宋体" w:hAnsi="宋体"/>
                <w:sz w:val="22"/>
                <w:szCs w:val="22"/>
              </w:rPr>
              <w:t>序号</w:t>
            </w:r>
          </w:p>
        </w:tc>
        <w:tc>
          <w:tcPr>
            <w:tcW w:w="1695" w:type="dxa"/>
            <w:noWrap w:val="0"/>
            <w:vAlign w:val="center"/>
          </w:tcPr>
          <w:p>
            <w:pPr>
              <w:spacing w:line="360" w:lineRule="auto"/>
              <w:jc w:val="center"/>
              <w:rPr>
                <w:rFonts w:ascii="宋体" w:hAnsi="宋体"/>
                <w:sz w:val="22"/>
                <w:szCs w:val="22"/>
              </w:rPr>
            </w:pPr>
            <w:r>
              <w:rPr>
                <w:rFonts w:hint="eastAsia" w:ascii="宋体" w:hAnsi="宋体"/>
                <w:sz w:val="22"/>
                <w:szCs w:val="22"/>
              </w:rPr>
              <w:t>评审内容</w:t>
            </w:r>
          </w:p>
        </w:tc>
        <w:tc>
          <w:tcPr>
            <w:tcW w:w="5748" w:type="dxa"/>
            <w:noWrap w:val="0"/>
            <w:vAlign w:val="center"/>
          </w:tcPr>
          <w:p>
            <w:pPr>
              <w:spacing w:line="360" w:lineRule="auto"/>
              <w:jc w:val="center"/>
              <w:rPr>
                <w:rFonts w:ascii="宋体" w:hAnsi="宋体"/>
                <w:sz w:val="22"/>
                <w:szCs w:val="22"/>
              </w:rPr>
            </w:pPr>
            <w:r>
              <w:rPr>
                <w:rFonts w:hint="eastAsia" w:ascii="宋体" w:hAnsi="宋体"/>
                <w:sz w:val="22"/>
                <w:szCs w:val="22"/>
              </w:rPr>
              <w:t>合格标准</w:t>
            </w:r>
          </w:p>
        </w:tc>
        <w:tc>
          <w:tcPr>
            <w:tcW w:w="1317" w:type="dxa"/>
            <w:noWrap w:val="0"/>
            <w:vAlign w:val="center"/>
          </w:tcPr>
          <w:p>
            <w:pPr>
              <w:spacing w:line="360" w:lineRule="auto"/>
              <w:jc w:val="center"/>
              <w:rPr>
                <w:rFonts w:hint="eastAsia" w:ascii="宋体" w:hAnsi="宋体"/>
                <w:sz w:val="22"/>
                <w:szCs w:val="22"/>
              </w:rPr>
            </w:pPr>
            <w:r>
              <w:rPr>
                <w:rFonts w:hint="eastAsia" w:ascii="宋体" w:hAnsi="宋体"/>
                <w:sz w:val="22"/>
                <w:szCs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8" w:hRule="atLeast"/>
          <w:jc w:val="center"/>
        </w:trPr>
        <w:tc>
          <w:tcPr>
            <w:tcW w:w="516" w:type="dxa"/>
            <w:noWrap w:val="0"/>
            <w:vAlign w:val="center"/>
          </w:tcPr>
          <w:p>
            <w:pPr>
              <w:spacing w:line="360" w:lineRule="auto"/>
              <w:jc w:val="center"/>
              <w:rPr>
                <w:rFonts w:hint="eastAsia" w:ascii="宋体" w:hAnsi="宋体"/>
                <w:sz w:val="22"/>
                <w:szCs w:val="22"/>
              </w:rPr>
            </w:pPr>
            <w:r>
              <w:rPr>
                <w:rFonts w:hint="eastAsia" w:ascii="宋体" w:hAnsi="宋体"/>
                <w:sz w:val="22"/>
                <w:szCs w:val="22"/>
              </w:rPr>
              <w:t>1</w:t>
            </w:r>
          </w:p>
        </w:tc>
        <w:tc>
          <w:tcPr>
            <w:tcW w:w="1695" w:type="dxa"/>
            <w:noWrap w:val="0"/>
            <w:vAlign w:val="center"/>
          </w:tcPr>
          <w:p>
            <w:pPr>
              <w:spacing w:line="360" w:lineRule="auto"/>
              <w:jc w:val="left"/>
              <w:rPr>
                <w:rFonts w:hint="eastAsia" w:ascii="宋体" w:hAnsi="宋体"/>
                <w:bCs/>
                <w:snapToGrid w:val="0"/>
                <w:sz w:val="22"/>
                <w:szCs w:val="22"/>
              </w:rPr>
            </w:pPr>
            <w:r>
              <w:rPr>
                <w:rFonts w:hint="eastAsia" w:ascii="宋体" w:hAnsi="宋体"/>
                <w:sz w:val="22"/>
                <w:szCs w:val="22"/>
              </w:rPr>
              <w:t>供应商资格条件</w:t>
            </w:r>
          </w:p>
        </w:tc>
        <w:tc>
          <w:tcPr>
            <w:tcW w:w="5748" w:type="dxa"/>
            <w:noWrap w:val="0"/>
            <w:vAlign w:val="center"/>
          </w:tcPr>
          <w:p>
            <w:pPr>
              <w:spacing w:line="360" w:lineRule="auto"/>
              <w:rPr>
                <w:rFonts w:hint="eastAsia" w:ascii="宋体" w:hAnsi="宋体"/>
                <w:sz w:val="22"/>
                <w:szCs w:val="22"/>
              </w:rPr>
            </w:pPr>
            <w:r>
              <w:rPr>
                <w:rFonts w:hint="eastAsia" w:ascii="宋体" w:hAnsi="宋体"/>
                <w:sz w:val="22"/>
                <w:szCs w:val="22"/>
              </w:rPr>
              <w:t>符合《中华人民共和国政府采购法》第二十二条规定的供应商资格条件</w:t>
            </w:r>
          </w:p>
        </w:tc>
        <w:tc>
          <w:tcPr>
            <w:tcW w:w="1317" w:type="dxa"/>
            <w:vMerge w:val="restart"/>
            <w:noWrap w:val="0"/>
            <w:vAlign w:val="center"/>
          </w:tcPr>
          <w:p>
            <w:pPr>
              <w:spacing w:line="360" w:lineRule="auto"/>
              <w:rPr>
                <w:rFonts w:hint="eastAsia" w:ascii="宋体" w:hAnsi="宋体"/>
                <w:sz w:val="22"/>
                <w:szCs w:val="22"/>
              </w:rPr>
            </w:pPr>
            <w:r>
              <w:rPr>
                <w:rFonts w:hint="eastAsia" w:ascii="宋体" w:hAnsi="宋体"/>
                <w:sz w:val="22"/>
                <w:szCs w:val="22"/>
              </w:rPr>
              <w:t>按本采购文件第六章要求提供相应资料。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8" w:hRule="atLeast"/>
          <w:jc w:val="center"/>
        </w:trPr>
        <w:tc>
          <w:tcPr>
            <w:tcW w:w="516" w:type="dxa"/>
            <w:noWrap w:val="0"/>
            <w:vAlign w:val="center"/>
          </w:tcPr>
          <w:p>
            <w:pPr>
              <w:spacing w:line="360" w:lineRule="auto"/>
              <w:jc w:val="center"/>
              <w:rPr>
                <w:rFonts w:hint="eastAsia" w:ascii="宋体" w:hAnsi="宋体"/>
                <w:sz w:val="22"/>
                <w:szCs w:val="22"/>
              </w:rPr>
            </w:pPr>
            <w:r>
              <w:rPr>
                <w:rFonts w:hint="eastAsia" w:ascii="宋体" w:hAnsi="宋体"/>
                <w:sz w:val="22"/>
                <w:szCs w:val="22"/>
              </w:rPr>
              <w:t>2</w:t>
            </w:r>
          </w:p>
        </w:tc>
        <w:tc>
          <w:tcPr>
            <w:tcW w:w="1695" w:type="dxa"/>
            <w:noWrap w:val="0"/>
            <w:vAlign w:val="center"/>
          </w:tcPr>
          <w:p>
            <w:pPr>
              <w:spacing w:line="360" w:lineRule="auto"/>
              <w:jc w:val="left"/>
              <w:rPr>
                <w:rFonts w:ascii="宋体" w:hAnsi="宋体"/>
                <w:sz w:val="22"/>
                <w:szCs w:val="22"/>
              </w:rPr>
            </w:pPr>
            <w:r>
              <w:rPr>
                <w:rFonts w:hint="eastAsia" w:ascii="宋体" w:hAnsi="宋体"/>
                <w:bCs/>
                <w:snapToGrid w:val="0"/>
                <w:sz w:val="22"/>
                <w:szCs w:val="22"/>
              </w:rPr>
              <w:t>企业营业执照</w:t>
            </w:r>
          </w:p>
        </w:tc>
        <w:tc>
          <w:tcPr>
            <w:tcW w:w="5748" w:type="dxa"/>
            <w:noWrap w:val="0"/>
            <w:vAlign w:val="center"/>
          </w:tcPr>
          <w:p>
            <w:pPr>
              <w:spacing w:line="360" w:lineRule="auto"/>
              <w:rPr>
                <w:rFonts w:hint="eastAsia" w:ascii="宋体" w:hAnsi="宋体"/>
                <w:sz w:val="22"/>
                <w:szCs w:val="22"/>
              </w:rPr>
            </w:pPr>
            <w:r>
              <w:rPr>
                <w:rFonts w:hint="eastAsia" w:ascii="宋体" w:hAnsi="宋体"/>
                <w:sz w:val="22"/>
                <w:szCs w:val="22"/>
              </w:rPr>
              <w:t>具有市场监督主管部门核发、有效的营业执照，</w:t>
            </w:r>
            <w:r>
              <w:rPr>
                <w:rFonts w:hint="eastAsia" w:ascii="宋体" w:hAnsi="宋体" w:cs="Arial"/>
                <w:bCs/>
                <w:sz w:val="22"/>
                <w:szCs w:val="22"/>
              </w:rPr>
              <w:t>具备独立法人资格。</w:t>
            </w:r>
          </w:p>
        </w:tc>
        <w:tc>
          <w:tcPr>
            <w:tcW w:w="1317" w:type="dxa"/>
            <w:vMerge w:val="continue"/>
            <w:noWrap w:val="0"/>
            <w:vAlign w:val="center"/>
          </w:tcPr>
          <w:p>
            <w:pPr>
              <w:spacing w:line="360" w:lineRule="auto"/>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2" w:hRule="atLeast"/>
          <w:jc w:val="center"/>
        </w:trPr>
        <w:tc>
          <w:tcPr>
            <w:tcW w:w="516" w:type="dxa"/>
            <w:noWrap w:val="0"/>
            <w:vAlign w:val="center"/>
          </w:tcPr>
          <w:p>
            <w:pPr>
              <w:spacing w:line="360" w:lineRule="auto"/>
              <w:jc w:val="center"/>
              <w:rPr>
                <w:rFonts w:hint="eastAsia" w:ascii="宋体" w:hAnsi="宋体"/>
                <w:sz w:val="22"/>
                <w:szCs w:val="22"/>
              </w:rPr>
            </w:pPr>
            <w:r>
              <w:rPr>
                <w:rFonts w:hint="eastAsia" w:ascii="宋体" w:hAnsi="宋体"/>
                <w:sz w:val="22"/>
                <w:szCs w:val="22"/>
              </w:rPr>
              <w:t>3</w:t>
            </w:r>
          </w:p>
        </w:tc>
        <w:tc>
          <w:tcPr>
            <w:tcW w:w="1695" w:type="dxa"/>
            <w:noWrap w:val="0"/>
            <w:vAlign w:val="center"/>
          </w:tcPr>
          <w:p>
            <w:pPr>
              <w:spacing w:line="360" w:lineRule="auto"/>
              <w:jc w:val="left"/>
              <w:rPr>
                <w:rFonts w:hint="eastAsia" w:ascii="宋体" w:hAnsi="宋体" w:cs="Arial"/>
                <w:sz w:val="22"/>
                <w:szCs w:val="22"/>
              </w:rPr>
            </w:pPr>
            <w:r>
              <w:rPr>
                <w:rFonts w:hint="eastAsia" w:ascii="宋体" w:hAnsi="宋体" w:cs="Arial"/>
                <w:sz w:val="22"/>
                <w:szCs w:val="22"/>
              </w:rPr>
              <w:t>联合体投标</w:t>
            </w:r>
          </w:p>
        </w:tc>
        <w:tc>
          <w:tcPr>
            <w:tcW w:w="5748" w:type="dxa"/>
            <w:noWrap w:val="0"/>
            <w:vAlign w:val="center"/>
          </w:tcPr>
          <w:p>
            <w:pPr>
              <w:spacing w:line="360" w:lineRule="auto"/>
              <w:rPr>
                <w:rFonts w:hint="eastAsia" w:ascii="宋体" w:hAnsi="宋体" w:cs="Arial"/>
                <w:color w:val="FF0000"/>
                <w:sz w:val="22"/>
                <w:szCs w:val="22"/>
              </w:rPr>
            </w:pPr>
            <w:r>
              <w:rPr>
                <w:rFonts w:hint="eastAsia" w:ascii="宋体" w:hAnsi="宋体" w:cs="Arial"/>
                <w:sz w:val="22"/>
                <w:szCs w:val="22"/>
              </w:rPr>
              <w:t>本项目不接受联合体投标</w:t>
            </w:r>
          </w:p>
        </w:tc>
        <w:tc>
          <w:tcPr>
            <w:tcW w:w="1317" w:type="dxa"/>
            <w:vMerge w:val="continue"/>
            <w:noWrap w:val="0"/>
            <w:vAlign w:val="center"/>
          </w:tcPr>
          <w:p>
            <w:pPr>
              <w:spacing w:line="360" w:lineRule="auto"/>
              <w:rPr>
                <w:rFonts w:hint="eastAsia" w:ascii="宋体" w:hAnsi="宋体"/>
                <w:sz w:val="22"/>
                <w:szCs w:val="22"/>
              </w:rPr>
            </w:pPr>
          </w:p>
        </w:tc>
      </w:tr>
    </w:tbl>
    <w:p>
      <w:pPr>
        <w:tabs>
          <w:tab w:val="left" w:pos="1710"/>
        </w:tabs>
        <w:adjustRightInd w:val="0"/>
        <w:snapToGrid w:val="0"/>
        <w:spacing w:line="360" w:lineRule="auto"/>
        <w:ind w:right="-315" w:rightChars="-150"/>
        <w:rPr>
          <w:rFonts w:hint="eastAsia" w:ascii="宋体" w:hAnsi="宋体"/>
          <w:sz w:val="22"/>
          <w:szCs w:val="22"/>
        </w:rPr>
      </w:pPr>
      <w:r>
        <w:rPr>
          <w:rFonts w:hint="eastAsia" w:ascii="宋体" w:hAnsi="宋体"/>
          <w:sz w:val="22"/>
          <w:szCs w:val="22"/>
        </w:rPr>
        <w:t>5.2 投标文件符合性审查</w:t>
      </w:r>
    </w:p>
    <w:p>
      <w:pPr>
        <w:tabs>
          <w:tab w:val="left" w:pos="1710"/>
        </w:tabs>
        <w:adjustRightInd w:val="0"/>
        <w:snapToGrid w:val="0"/>
        <w:spacing w:line="360" w:lineRule="auto"/>
        <w:ind w:right="29" w:rightChars="14" w:firstLine="440" w:firstLineChars="200"/>
        <w:rPr>
          <w:rFonts w:hint="eastAsia" w:ascii="宋体" w:hAnsi="宋体"/>
          <w:sz w:val="22"/>
          <w:szCs w:val="22"/>
        </w:rPr>
      </w:pPr>
      <w:r>
        <w:rPr>
          <w:rFonts w:hint="eastAsia" w:ascii="宋体" w:hAnsi="宋体"/>
          <w:sz w:val="22"/>
          <w:szCs w:val="22"/>
        </w:rPr>
        <w:t>（1）投标文件是否对采购文件提出的所有实质性要求作出响应，有无重大偏差；如有重大偏差项目之一者，按无效标处理，不予进入详细评审</w:t>
      </w:r>
    </w:p>
    <w:p>
      <w:pPr>
        <w:adjustRightInd w:val="0"/>
        <w:snapToGrid w:val="0"/>
        <w:spacing w:line="360" w:lineRule="auto"/>
        <w:ind w:right="-315" w:rightChars="-150" w:firstLine="440" w:firstLineChars="200"/>
        <w:rPr>
          <w:rFonts w:hint="eastAsia" w:ascii="宋体" w:hAnsi="宋体"/>
          <w:sz w:val="22"/>
          <w:szCs w:val="22"/>
        </w:rPr>
      </w:pPr>
      <w:r>
        <w:rPr>
          <w:rFonts w:hint="eastAsia" w:ascii="宋体" w:hAnsi="宋体"/>
          <w:sz w:val="22"/>
          <w:szCs w:val="22"/>
        </w:rPr>
        <w:t>重大偏差项目详见附表一。</w:t>
      </w:r>
    </w:p>
    <w:p>
      <w:pPr>
        <w:tabs>
          <w:tab w:val="left" w:pos="990"/>
          <w:tab w:val="left" w:pos="1710"/>
        </w:tabs>
        <w:adjustRightInd w:val="0"/>
        <w:snapToGrid w:val="0"/>
        <w:spacing w:line="360" w:lineRule="auto"/>
        <w:ind w:right="-315" w:rightChars="-150" w:firstLine="440" w:firstLineChars="200"/>
        <w:rPr>
          <w:rFonts w:hint="eastAsia" w:ascii="宋体" w:hAnsi="宋体"/>
          <w:sz w:val="22"/>
          <w:szCs w:val="22"/>
        </w:rPr>
      </w:pPr>
      <w:r>
        <w:rPr>
          <w:rFonts w:hint="eastAsia" w:ascii="宋体" w:hAnsi="宋体"/>
          <w:sz w:val="22"/>
          <w:szCs w:val="22"/>
        </w:rPr>
        <w:t>（2）对存在细微偏差的投标文件，通知其投标人进行必要的澄清和补正。</w:t>
      </w:r>
    </w:p>
    <w:p>
      <w:pPr>
        <w:adjustRightInd w:val="0"/>
        <w:spacing w:line="360" w:lineRule="auto"/>
        <w:textAlignment w:val="baseline"/>
        <w:rPr>
          <w:rFonts w:hint="eastAsia" w:ascii="宋体" w:hAnsi="宋体"/>
          <w:b/>
          <w:bCs/>
          <w:sz w:val="22"/>
          <w:szCs w:val="22"/>
        </w:rPr>
      </w:pPr>
      <w:r>
        <w:rPr>
          <w:rFonts w:hint="eastAsia" w:ascii="宋体" w:hAnsi="宋体"/>
          <w:b/>
          <w:bCs/>
          <w:sz w:val="22"/>
          <w:szCs w:val="22"/>
        </w:rPr>
        <w:t>6、详细评审</w:t>
      </w:r>
    </w:p>
    <w:p>
      <w:pPr>
        <w:pStyle w:val="23"/>
        <w:spacing w:line="360" w:lineRule="auto"/>
        <w:ind w:left="0" w:leftChars="0" w:right="-63" w:rightChars="-30" w:firstLine="420"/>
        <w:rPr>
          <w:rFonts w:hint="eastAsia" w:ascii="宋体" w:hAnsi="宋体"/>
          <w:sz w:val="22"/>
          <w:szCs w:val="22"/>
        </w:rPr>
      </w:pPr>
      <w:r>
        <w:rPr>
          <w:rFonts w:hint="eastAsia" w:ascii="宋体" w:hAnsi="宋体"/>
          <w:sz w:val="22"/>
          <w:szCs w:val="22"/>
        </w:rPr>
        <w:t>评标委员会对初步评审合格的投标文件，依照本办法对其</w:t>
      </w:r>
      <w:r>
        <w:rPr>
          <w:rFonts w:hint="eastAsia" w:ascii="宋体" w:hAnsi="宋体"/>
          <w:snapToGrid w:val="0"/>
          <w:sz w:val="22"/>
          <w:szCs w:val="22"/>
        </w:rPr>
        <w:t>技术文件、资信商务文件</w:t>
      </w:r>
      <w:r>
        <w:rPr>
          <w:rFonts w:hint="eastAsia" w:ascii="宋体" w:hAnsi="宋体"/>
          <w:sz w:val="22"/>
          <w:szCs w:val="22"/>
        </w:rPr>
        <w:t>和报价文件作进一步评审、比较。</w:t>
      </w:r>
    </w:p>
    <w:p>
      <w:pPr>
        <w:spacing w:line="360" w:lineRule="auto"/>
        <w:ind w:firstLine="440" w:firstLineChars="200"/>
        <w:rPr>
          <w:rFonts w:hint="eastAsia" w:ascii="宋体" w:hAnsi="宋体"/>
          <w:sz w:val="22"/>
          <w:szCs w:val="22"/>
          <w:vertAlign w:val="subscript"/>
        </w:rPr>
      </w:pPr>
      <w:r>
        <w:rPr>
          <w:rFonts w:hint="eastAsia" w:ascii="宋体" w:hAnsi="宋体"/>
          <w:sz w:val="22"/>
          <w:szCs w:val="22"/>
        </w:rPr>
        <w:t>评标标准详见附件二。</w:t>
      </w:r>
    </w:p>
    <w:p>
      <w:pPr>
        <w:adjustRightInd w:val="0"/>
        <w:spacing w:line="360" w:lineRule="auto"/>
        <w:textAlignment w:val="baseline"/>
        <w:rPr>
          <w:rFonts w:hint="eastAsia" w:ascii="宋体" w:hAnsi="宋体"/>
          <w:b/>
          <w:bCs/>
          <w:sz w:val="22"/>
          <w:szCs w:val="22"/>
        </w:rPr>
      </w:pPr>
      <w:r>
        <w:rPr>
          <w:rFonts w:hint="eastAsia" w:ascii="宋体" w:hAnsi="宋体"/>
          <w:b/>
          <w:bCs/>
          <w:sz w:val="22"/>
          <w:szCs w:val="22"/>
        </w:rPr>
        <w:t>7、 决标</w:t>
      </w:r>
    </w:p>
    <w:p>
      <w:pPr>
        <w:tabs>
          <w:tab w:val="left" w:pos="0"/>
          <w:tab w:val="left" w:pos="1134"/>
        </w:tabs>
        <w:adjustRightInd w:val="0"/>
        <w:snapToGrid w:val="0"/>
        <w:spacing w:line="360" w:lineRule="auto"/>
        <w:ind w:firstLine="440" w:firstLineChars="200"/>
        <w:rPr>
          <w:rFonts w:hint="eastAsia" w:ascii="宋体" w:hAnsi="宋体"/>
          <w:snapToGrid w:val="0"/>
          <w:sz w:val="22"/>
          <w:szCs w:val="22"/>
        </w:rPr>
      </w:pPr>
      <w:r>
        <w:rPr>
          <w:rFonts w:hint="eastAsia" w:ascii="宋体" w:hAnsi="宋体"/>
          <w:sz w:val="22"/>
          <w:szCs w:val="22"/>
        </w:rPr>
        <w:t>评标委员会成员经过阅标、审标和询标（如有），综合评审意见，根据评标打分标准表，对照投标人的投标文件分别进行打分，各评委有效评分的算术平均值（保留2位小数），即为投标人的技术标得分。</w:t>
      </w:r>
      <w:r>
        <w:rPr>
          <w:rFonts w:hint="eastAsia" w:ascii="宋体" w:hAnsi="宋体"/>
          <w:snapToGrid w:val="0"/>
          <w:sz w:val="22"/>
          <w:szCs w:val="22"/>
        </w:rPr>
        <w:t>中标候选资格按评标得分由高到低顺序排列，得分相同的，按投标报价由低到高顺序排列；得分且投标报价相同的，按技术得分由高到低顺序排列。取前三名为中标候选人，排名第一的投标人为第一中标候选人，以此类推。评分过程中采用四舍五入法，并保留小数2位。</w:t>
      </w:r>
    </w:p>
    <w:p>
      <w:pPr>
        <w:spacing w:line="360" w:lineRule="auto"/>
        <w:ind w:firstLine="442" w:firstLineChars="200"/>
        <w:rPr>
          <w:rFonts w:hint="eastAsia" w:ascii="宋体" w:hAnsi="宋体"/>
          <w:b/>
          <w:bCs/>
          <w:sz w:val="22"/>
          <w:szCs w:val="22"/>
        </w:rPr>
      </w:pPr>
      <w:r>
        <w:rPr>
          <w:rFonts w:hint="eastAsia" w:ascii="宋体" w:hAnsi="宋体"/>
          <w:b/>
          <w:bCs/>
          <w:sz w:val="22"/>
          <w:szCs w:val="22"/>
        </w:rPr>
        <w:t>为防止异常低价竞标，评委评议后，认为投标人报价明显低于市场正常价格的，投标人必须对其价格构成做出书面合理解释，并提交相应证据。评委会审议后全体不认可的，视为无效标。</w:t>
      </w:r>
    </w:p>
    <w:p>
      <w:pPr>
        <w:spacing w:line="360" w:lineRule="auto"/>
        <w:rPr>
          <w:rFonts w:hint="eastAsia" w:ascii="宋体" w:hAnsi="宋体"/>
          <w:sz w:val="22"/>
          <w:szCs w:val="22"/>
        </w:rPr>
      </w:pPr>
    </w:p>
    <w:p>
      <w:pPr>
        <w:pStyle w:val="21"/>
        <w:spacing w:line="360" w:lineRule="auto"/>
        <w:ind w:right="-315" w:rightChars="-150"/>
        <w:rPr>
          <w:rFonts w:hint="eastAsia" w:ascii="宋体" w:hAnsi="宋体"/>
          <w:b/>
          <w:sz w:val="22"/>
          <w:szCs w:val="22"/>
        </w:rPr>
      </w:pPr>
      <w:r>
        <w:rPr>
          <w:rFonts w:hint="eastAsia" w:ascii="宋体" w:hAnsi="宋体"/>
          <w:b/>
          <w:sz w:val="22"/>
          <w:szCs w:val="22"/>
        </w:rPr>
        <w:br w:type="page"/>
      </w:r>
      <w:r>
        <w:rPr>
          <w:rFonts w:hint="eastAsia" w:ascii="宋体" w:hAnsi="宋体"/>
          <w:b/>
          <w:sz w:val="22"/>
          <w:szCs w:val="22"/>
        </w:rPr>
        <w:t>附件一</w:t>
      </w:r>
    </w:p>
    <w:p>
      <w:pPr>
        <w:spacing w:line="360" w:lineRule="auto"/>
        <w:jc w:val="center"/>
        <w:rPr>
          <w:rFonts w:hint="eastAsia" w:ascii="宋体" w:hAnsi="宋体"/>
          <w:sz w:val="22"/>
          <w:szCs w:val="22"/>
        </w:rPr>
      </w:pPr>
    </w:p>
    <w:p>
      <w:pPr>
        <w:adjustRightInd w:val="0"/>
        <w:snapToGrid w:val="0"/>
        <w:spacing w:line="360" w:lineRule="auto"/>
        <w:jc w:val="center"/>
        <w:outlineLvl w:val="0"/>
        <w:rPr>
          <w:rFonts w:hint="eastAsia" w:ascii="宋体" w:hAnsi="宋体"/>
          <w:sz w:val="22"/>
          <w:szCs w:val="22"/>
        </w:rPr>
      </w:pPr>
      <w:bookmarkStart w:id="59" w:name="_Toc47"/>
      <w:r>
        <w:rPr>
          <w:rFonts w:hint="eastAsia" w:ascii="宋体" w:hAnsi="宋体"/>
          <w:sz w:val="22"/>
          <w:szCs w:val="22"/>
        </w:rPr>
        <w:t>重大偏差项目表</w:t>
      </w:r>
      <w:bookmarkEnd w:id="59"/>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880"/>
        <w:gridCol w:w="2166"/>
        <w:gridCol w:w="3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jc w:val="center"/>
        </w:trPr>
        <w:tc>
          <w:tcPr>
            <w:tcW w:w="540" w:type="dxa"/>
            <w:noWrap w:val="0"/>
            <w:vAlign w:val="center"/>
          </w:tcPr>
          <w:p>
            <w:pPr>
              <w:spacing w:line="360" w:lineRule="auto"/>
              <w:jc w:val="center"/>
              <w:rPr>
                <w:rFonts w:hint="eastAsia" w:ascii="宋体" w:hAnsi="宋体"/>
                <w:sz w:val="22"/>
                <w:szCs w:val="22"/>
              </w:rPr>
            </w:pPr>
            <w:r>
              <w:rPr>
                <w:rFonts w:hint="eastAsia" w:ascii="宋体" w:hAnsi="宋体"/>
                <w:sz w:val="22"/>
                <w:szCs w:val="22"/>
              </w:rPr>
              <w:t>序号</w:t>
            </w:r>
          </w:p>
        </w:tc>
        <w:tc>
          <w:tcPr>
            <w:tcW w:w="2880" w:type="dxa"/>
            <w:noWrap w:val="0"/>
            <w:vAlign w:val="center"/>
          </w:tcPr>
          <w:p>
            <w:pPr>
              <w:spacing w:line="360" w:lineRule="auto"/>
              <w:jc w:val="center"/>
              <w:rPr>
                <w:rFonts w:hint="eastAsia" w:ascii="宋体" w:hAnsi="宋体"/>
                <w:sz w:val="22"/>
                <w:szCs w:val="22"/>
              </w:rPr>
            </w:pPr>
            <w:r>
              <w:rPr>
                <w:rFonts w:hint="eastAsia" w:ascii="宋体" w:hAnsi="宋体"/>
                <w:sz w:val="22"/>
                <w:szCs w:val="22"/>
              </w:rPr>
              <w:t>项目内容</w:t>
            </w:r>
          </w:p>
        </w:tc>
        <w:tc>
          <w:tcPr>
            <w:tcW w:w="2166" w:type="dxa"/>
            <w:noWrap w:val="0"/>
            <w:vAlign w:val="center"/>
          </w:tcPr>
          <w:p>
            <w:pPr>
              <w:spacing w:line="360" w:lineRule="auto"/>
              <w:jc w:val="center"/>
              <w:rPr>
                <w:rFonts w:hint="eastAsia" w:ascii="宋体" w:hAnsi="宋体"/>
                <w:sz w:val="22"/>
                <w:szCs w:val="22"/>
              </w:rPr>
            </w:pPr>
            <w:r>
              <w:rPr>
                <w:rFonts w:hint="eastAsia" w:ascii="宋体" w:hAnsi="宋体"/>
                <w:sz w:val="22"/>
                <w:szCs w:val="22"/>
              </w:rPr>
              <w:t>采购文件要求</w:t>
            </w:r>
          </w:p>
        </w:tc>
        <w:tc>
          <w:tcPr>
            <w:tcW w:w="3234" w:type="dxa"/>
            <w:noWrap w:val="0"/>
            <w:vAlign w:val="center"/>
          </w:tcPr>
          <w:p>
            <w:pPr>
              <w:spacing w:line="360" w:lineRule="auto"/>
              <w:jc w:val="center"/>
              <w:rPr>
                <w:rFonts w:hint="eastAsia" w:ascii="宋体" w:hAnsi="宋体"/>
                <w:sz w:val="22"/>
                <w:szCs w:val="22"/>
              </w:rPr>
            </w:pPr>
            <w:r>
              <w:rPr>
                <w:rFonts w:hint="eastAsia" w:ascii="宋体" w:hAnsi="宋体"/>
                <w:sz w:val="22"/>
                <w:szCs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jc w:val="center"/>
        </w:trPr>
        <w:tc>
          <w:tcPr>
            <w:tcW w:w="540" w:type="dxa"/>
            <w:noWrap w:val="0"/>
            <w:vAlign w:val="center"/>
          </w:tcPr>
          <w:p>
            <w:pPr>
              <w:spacing w:line="360" w:lineRule="auto"/>
              <w:jc w:val="center"/>
              <w:rPr>
                <w:rFonts w:hint="eastAsia" w:ascii="宋体" w:hAnsi="宋体"/>
                <w:sz w:val="22"/>
                <w:szCs w:val="22"/>
              </w:rPr>
            </w:pPr>
            <w:r>
              <w:rPr>
                <w:rFonts w:hint="eastAsia" w:ascii="宋体" w:hAnsi="宋体"/>
                <w:sz w:val="22"/>
                <w:szCs w:val="22"/>
              </w:rPr>
              <w:t>1</w:t>
            </w:r>
          </w:p>
        </w:tc>
        <w:tc>
          <w:tcPr>
            <w:tcW w:w="2880" w:type="dxa"/>
            <w:noWrap w:val="0"/>
            <w:vAlign w:val="center"/>
          </w:tcPr>
          <w:p>
            <w:pPr>
              <w:spacing w:line="360" w:lineRule="auto"/>
              <w:rPr>
                <w:rFonts w:hint="eastAsia" w:ascii="宋体" w:hAnsi="宋体"/>
                <w:sz w:val="22"/>
                <w:szCs w:val="22"/>
              </w:rPr>
            </w:pPr>
            <w:r>
              <w:rPr>
                <w:rFonts w:hint="eastAsia" w:ascii="宋体" w:hAnsi="宋体"/>
                <w:sz w:val="22"/>
                <w:szCs w:val="22"/>
              </w:rPr>
              <w:t>投标人资格不符要求</w:t>
            </w:r>
          </w:p>
        </w:tc>
        <w:tc>
          <w:tcPr>
            <w:tcW w:w="2166" w:type="dxa"/>
            <w:noWrap w:val="0"/>
            <w:vAlign w:val="center"/>
          </w:tcPr>
          <w:p>
            <w:pPr>
              <w:spacing w:line="360" w:lineRule="auto"/>
              <w:jc w:val="center"/>
              <w:rPr>
                <w:rFonts w:hint="eastAsia" w:ascii="宋体" w:hAnsi="宋体"/>
                <w:sz w:val="22"/>
                <w:szCs w:val="22"/>
              </w:rPr>
            </w:pPr>
            <w:r>
              <w:rPr>
                <w:rFonts w:hint="eastAsia" w:ascii="宋体" w:hAnsi="宋体"/>
                <w:sz w:val="22"/>
                <w:szCs w:val="22"/>
              </w:rPr>
              <w:t>见前附表</w:t>
            </w:r>
          </w:p>
        </w:tc>
        <w:tc>
          <w:tcPr>
            <w:tcW w:w="3234" w:type="dxa"/>
            <w:noWrap w:val="0"/>
            <w:vAlign w:val="center"/>
          </w:tcPr>
          <w:p>
            <w:pPr>
              <w:spacing w:line="360" w:lineRule="auto"/>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jc w:val="center"/>
        </w:trPr>
        <w:tc>
          <w:tcPr>
            <w:tcW w:w="540" w:type="dxa"/>
            <w:noWrap w:val="0"/>
            <w:vAlign w:val="center"/>
          </w:tcPr>
          <w:p>
            <w:pPr>
              <w:spacing w:line="360" w:lineRule="auto"/>
              <w:jc w:val="center"/>
              <w:rPr>
                <w:rFonts w:hint="eastAsia" w:ascii="宋体" w:hAnsi="宋体"/>
                <w:sz w:val="22"/>
                <w:szCs w:val="22"/>
              </w:rPr>
            </w:pPr>
            <w:r>
              <w:rPr>
                <w:rFonts w:hint="eastAsia" w:ascii="宋体" w:hAnsi="宋体"/>
                <w:sz w:val="22"/>
                <w:szCs w:val="22"/>
              </w:rPr>
              <w:t>2</w:t>
            </w:r>
          </w:p>
        </w:tc>
        <w:tc>
          <w:tcPr>
            <w:tcW w:w="2880" w:type="dxa"/>
            <w:noWrap w:val="0"/>
            <w:vAlign w:val="center"/>
          </w:tcPr>
          <w:p>
            <w:pPr>
              <w:spacing w:line="360" w:lineRule="auto"/>
              <w:rPr>
                <w:rFonts w:hint="eastAsia" w:ascii="宋体" w:hAnsi="宋体"/>
                <w:sz w:val="22"/>
                <w:szCs w:val="22"/>
              </w:rPr>
            </w:pPr>
            <w:r>
              <w:rPr>
                <w:rFonts w:hint="eastAsia" w:ascii="宋体" w:hAnsi="宋体"/>
                <w:sz w:val="22"/>
                <w:szCs w:val="22"/>
              </w:rPr>
              <w:t>投标有效期不足</w:t>
            </w:r>
          </w:p>
        </w:tc>
        <w:tc>
          <w:tcPr>
            <w:tcW w:w="2166" w:type="dxa"/>
            <w:noWrap w:val="0"/>
            <w:vAlign w:val="center"/>
          </w:tcPr>
          <w:p>
            <w:pPr>
              <w:spacing w:line="360" w:lineRule="auto"/>
              <w:jc w:val="center"/>
              <w:rPr>
                <w:rFonts w:hint="eastAsia" w:ascii="宋体" w:hAnsi="宋体"/>
                <w:sz w:val="22"/>
                <w:szCs w:val="22"/>
              </w:rPr>
            </w:pPr>
            <w:r>
              <w:rPr>
                <w:rFonts w:hint="eastAsia" w:ascii="宋体" w:hAnsi="宋体"/>
                <w:sz w:val="22"/>
                <w:szCs w:val="22"/>
              </w:rPr>
              <w:t>90天</w:t>
            </w:r>
          </w:p>
        </w:tc>
        <w:tc>
          <w:tcPr>
            <w:tcW w:w="3234" w:type="dxa"/>
            <w:noWrap w:val="0"/>
            <w:vAlign w:val="center"/>
          </w:tcPr>
          <w:p>
            <w:pPr>
              <w:spacing w:line="360" w:lineRule="auto"/>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3" w:hRule="atLeast"/>
          <w:jc w:val="center"/>
        </w:trPr>
        <w:tc>
          <w:tcPr>
            <w:tcW w:w="540" w:type="dxa"/>
            <w:noWrap w:val="0"/>
            <w:vAlign w:val="center"/>
          </w:tcPr>
          <w:p>
            <w:pPr>
              <w:spacing w:line="360" w:lineRule="auto"/>
              <w:jc w:val="center"/>
              <w:rPr>
                <w:rFonts w:hint="eastAsia" w:ascii="宋体" w:hAnsi="宋体"/>
                <w:sz w:val="22"/>
                <w:szCs w:val="22"/>
              </w:rPr>
            </w:pPr>
            <w:r>
              <w:rPr>
                <w:rFonts w:hint="eastAsia" w:ascii="宋体" w:hAnsi="宋体"/>
                <w:sz w:val="22"/>
                <w:szCs w:val="22"/>
              </w:rPr>
              <w:t>3</w:t>
            </w:r>
          </w:p>
        </w:tc>
        <w:tc>
          <w:tcPr>
            <w:tcW w:w="2880" w:type="dxa"/>
            <w:noWrap w:val="0"/>
            <w:vAlign w:val="center"/>
          </w:tcPr>
          <w:p>
            <w:pPr>
              <w:spacing w:line="360" w:lineRule="auto"/>
              <w:rPr>
                <w:rFonts w:hint="eastAsia" w:ascii="宋体" w:hAnsi="宋体"/>
                <w:sz w:val="22"/>
                <w:szCs w:val="22"/>
              </w:rPr>
            </w:pPr>
            <w:r>
              <w:rPr>
                <w:rFonts w:hint="eastAsia" w:ascii="宋体" w:hAnsi="宋体"/>
                <w:sz w:val="22"/>
                <w:szCs w:val="22"/>
              </w:rPr>
              <w:t>投标文件的组成不符合采购文件的要求</w:t>
            </w:r>
          </w:p>
        </w:tc>
        <w:tc>
          <w:tcPr>
            <w:tcW w:w="2166" w:type="dxa"/>
            <w:noWrap w:val="0"/>
            <w:vAlign w:val="center"/>
          </w:tcPr>
          <w:p>
            <w:pPr>
              <w:spacing w:line="360" w:lineRule="auto"/>
              <w:jc w:val="center"/>
              <w:rPr>
                <w:rFonts w:hint="eastAsia" w:ascii="宋体" w:hAnsi="宋体"/>
                <w:sz w:val="22"/>
                <w:szCs w:val="22"/>
              </w:rPr>
            </w:pPr>
            <w:r>
              <w:rPr>
                <w:rFonts w:hint="eastAsia" w:ascii="宋体" w:hAnsi="宋体"/>
                <w:sz w:val="22"/>
                <w:szCs w:val="22"/>
              </w:rPr>
              <w:t>投标人须知第13条内容</w:t>
            </w:r>
          </w:p>
        </w:tc>
        <w:tc>
          <w:tcPr>
            <w:tcW w:w="3234" w:type="dxa"/>
            <w:noWrap w:val="0"/>
            <w:vAlign w:val="center"/>
          </w:tcPr>
          <w:p>
            <w:pPr>
              <w:spacing w:line="360" w:lineRule="auto"/>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jc w:val="center"/>
        </w:trPr>
        <w:tc>
          <w:tcPr>
            <w:tcW w:w="540" w:type="dxa"/>
            <w:noWrap w:val="0"/>
            <w:vAlign w:val="center"/>
          </w:tcPr>
          <w:p>
            <w:pPr>
              <w:spacing w:line="360" w:lineRule="auto"/>
              <w:jc w:val="center"/>
              <w:rPr>
                <w:rFonts w:hint="eastAsia" w:ascii="宋体" w:hAnsi="宋体"/>
                <w:sz w:val="22"/>
                <w:szCs w:val="22"/>
              </w:rPr>
            </w:pPr>
            <w:r>
              <w:rPr>
                <w:rFonts w:hint="eastAsia" w:ascii="宋体" w:hAnsi="宋体"/>
                <w:sz w:val="22"/>
                <w:szCs w:val="22"/>
              </w:rPr>
              <w:t>4</w:t>
            </w:r>
          </w:p>
        </w:tc>
        <w:tc>
          <w:tcPr>
            <w:tcW w:w="2880" w:type="dxa"/>
            <w:noWrap w:val="0"/>
            <w:vAlign w:val="center"/>
          </w:tcPr>
          <w:p>
            <w:pPr>
              <w:spacing w:line="360" w:lineRule="auto"/>
              <w:rPr>
                <w:rFonts w:hint="eastAsia" w:ascii="宋体" w:hAnsi="宋体"/>
                <w:sz w:val="22"/>
                <w:szCs w:val="22"/>
              </w:rPr>
            </w:pPr>
            <w:r>
              <w:rPr>
                <w:rFonts w:hint="eastAsia" w:ascii="宋体" w:hAnsi="宋体"/>
                <w:sz w:val="22"/>
                <w:szCs w:val="22"/>
              </w:rPr>
              <w:t>技术标</w:t>
            </w:r>
            <w:r>
              <w:rPr>
                <w:rFonts w:hint="eastAsia" w:ascii="宋体" w:hAnsi="宋体"/>
                <w:bCs/>
                <w:sz w:val="22"/>
                <w:szCs w:val="22"/>
              </w:rPr>
              <w:t>有严重偏离的</w:t>
            </w:r>
          </w:p>
        </w:tc>
        <w:tc>
          <w:tcPr>
            <w:tcW w:w="2166" w:type="dxa"/>
            <w:noWrap w:val="0"/>
            <w:vAlign w:val="center"/>
          </w:tcPr>
          <w:p>
            <w:pPr>
              <w:spacing w:line="360" w:lineRule="auto"/>
              <w:jc w:val="center"/>
              <w:rPr>
                <w:rFonts w:hint="eastAsia" w:ascii="宋体" w:hAnsi="宋体"/>
                <w:sz w:val="22"/>
                <w:szCs w:val="22"/>
              </w:rPr>
            </w:pPr>
            <w:r>
              <w:rPr>
                <w:rFonts w:hint="eastAsia" w:ascii="宋体" w:hAnsi="宋体"/>
                <w:sz w:val="22"/>
                <w:szCs w:val="22"/>
              </w:rPr>
              <w:t>采购文件</w:t>
            </w:r>
            <w:r>
              <w:rPr>
                <w:rFonts w:hint="eastAsia" w:ascii="宋体" w:hAnsi="宋体"/>
                <w:kern w:val="0"/>
                <w:sz w:val="22"/>
                <w:szCs w:val="22"/>
              </w:rPr>
              <w:t>“</w:t>
            </w:r>
            <w:r>
              <w:rPr>
                <w:rFonts w:ascii="宋体" w:hAnsi="宋体"/>
                <w:kern w:val="0"/>
                <w:sz w:val="22"/>
                <w:szCs w:val="22"/>
              </w:rPr>
              <w:t>★</w:t>
            </w:r>
            <w:r>
              <w:rPr>
                <w:rFonts w:hint="eastAsia" w:ascii="宋体" w:hAnsi="宋体"/>
                <w:kern w:val="0"/>
                <w:sz w:val="22"/>
                <w:szCs w:val="22"/>
              </w:rPr>
              <w:t xml:space="preserve"> ”</w:t>
            </w:r>
            <w:r>
              <w:rPr>
                <w:rFonts w:hint="eastAsia" w:ascii="宋体" w:hAnsi="宋体"/>
                <w:sz w:val="22"/>
                <w:szCs w:val="22"/>
              </w:rPr>
              <w:t>要求</w:t>
            </w:r>
          </w:p>
        </w:tc>
        <w:tc>
          <w:tcPr>
            <w:tcW w:w="3234" w:type="dxa"/>
            <w:noWrap w:val="0"/>
            <w:vAlign w:val="center"/>
          </w:tcPr>
          <w:p>
            <w:pPr>
              <w:spacing w:line="360" w:lineRule="auto"/>
              <w:rPr>
                <w:rFonts w:hint="eastAsia" w:ascii="宋体" w:hAnsi="宋体"/>
                <w:sz w:val="22"/>
                <w:szCs w:val="22"/>
              </w:rPr>
            </w:pPr>
            <w:r>
              <w:rPr>
                <w:rFonts w:hint="eastAsia" w:ascii="宋体" w:hAnsi="宋体"/>
                <w:kern w:val="0"/>
                <w:sz w:val="22"/>
                <w:szCs w:val="22"/>
              </w:rPr>
              <w:t>提供的投标文件内容不符合采购文件的中有关打★号的条款的规定。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42" w:hRule="atLeast"/>
          <w:jc w:val="center"/>
        </w:trPr>
        <w:tc>
          <w:tcPr>
            <w:tcW w:w="540" w:type="dxa"/>
            <w:noWrap w:val="0"/>
            <w:vAlign w:val="center"/>
          </w:tcPr>
          <w:p>
            <w:pPr>
              <w:spacing w:line="360" w:lineRule="auto"/>
              <w:jc w:val="center"/>
              <w:rPr>
                <w:rFonts w:hint="eastAsia" w:ascii="宋体" w:hAnsi="宋体"/>
                <w:sz w:val="22"/>
                <w:szCs w:val="22"/>
              </w:rPr>
            </w:pPr>
            <w:r>
              <w:rPr>
                <w:rFonts w:hint="eastAsia" w:ascii="宋体" w:hAnsi="宋体"/>
                <w:sz w:val="22"/>
                <w:szCs w:val="22"/>
              </w:rPr>
              <w:t>5</w:t>
            </w:r>
          </w:p>
        </w:tc>
        <w:tc>
          <w:tcPr>
            <w:tcW w:w="2880" w:type="dxa"/>
            <w:noWrap w:val="0"/>
            <w:vAlign w:val="center"/>
          </w:tcPr>
          <w:p>
            <w:pPr>
              <w:spacing w:line="360" w:lineRule="auto"/>
              <w:rPr>
                <w:rFonts w:hint="eastAsia" w:ascii="宋体" w:hAnsi="宋体"/>
                <w:sz w:val="22"/>
                <w:szCs w:val="22"/>
              </w:rPr>
            </w:pPr>
            <w:r>
              <w:rPr>
                <w:rFonts w:hint="eastAsia" w:ascii="宋体" w:hAnsi="宋体"/>
                <w:sz w:val="22"/>
                <w:szCs w:val="22"/>
              </w:rPr>
              <w:t>投标文件无法定代表人或其授权人签字及未按采购文件要求加盖公章的</w:t>
            </w:r>
          </w:p>
        </w:tc>
        <w:tc>
          <w:tcPr>
            <w:tcW w:w="2166" w:type="dxa"/>
            <w:noWrap w:val="0"/>
            <w:vAlign w:val="center"/>
          </w:tcPr>
          <w:p>
            <w:pPr>
              <w:spacing w:line="360" w:lineRule="auto"/>
              <w:jc w:val="center"/>
              <w:rPr>
                <w:rFonts w:hint="eastAsia" w:ascii="宋体" w:hAnsi="宋体"/>
                <w:sz w:val="22"/>
                <w:szCs w:val="22"/>
              </w:rPr>
            </w:pPr>
          </w:p>
        </w:tc>
        <w:tc>
          <w:tcPr>
            <w:tcW w:w="3234" w:type="dxa"/>
            <w:noWrap w:val="0"/>
            <w:vAlign w:val="center"/>
          </w:tcPr>
          <w:p>
            <w:pPr>
              <w:spacing w:line="360" w:lineRule="auto"/>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jc w:val="center"/>
        </w:trPr>
        <w:tc>
          <w:tcPr>
            <w:tcW w:w="540" w:type="dxa"/>
            <w:noWrap w:val="0"/>
            <w:vAlign w:val="center"/>
          </w:tcPr>
          <w:p>
            <w:pPr>
              <w:spacing w:line="360" w:lineRule="auto"/>
              <w:jc w:val="center"/>
              <w:rPr>
                <w:rFonts w:hint="eastAsia" w:ascii="宋体" w:hAnsi="宋体"/>
                <w:sz w:val="22"/>
                <w:szCs w:val="22"/>
              </w:rPr>
            </w:pPr>
            <w:r>
              <w:rPr>
                <w:rFonts w:hint="eastAsia" w:ascii="宋体" w:hAnsi="宋体"/>
                <w:sz w:val="22"/>
                <w:szCs w:val="22"/>
              </w:rPr>
              <w:t>6</w:t>
            </w:r>
          </w:p>
        </w:tc>
        <w:tc>
          <w:tcPr>
            <w:tcW w:w="2880" w:type="dxa"/>
            <w:noWrap w:val="0"/>
            <w:vAlign w:val="center"/>
          </w:tcPr>
          <w:p>
            <w:pPr>
              <w:spacing w:line="360" w:lineRule="auto"/>
              <w:rPr>
                <w:rFonts w:hint="eastAsia" w:ascii="宋体" w:hAnsi="宋体"/>
                <w:color w:val="FF0000"/>
                <w:sz w:val="22"/>
                <w:szCs w:val="22"/>
              </w:rPr>
            </w:pPr>
            <w:r>
              <w:rPr>
                <w:rFonts w:hint="eastAsia" w:ascii="宋体" w:hAnsi="宋体"/>
                <w:bCs/>
                <w:sz w:val="22"/>
                <w:szCs w:val="22"/>
              </w:rPr>
              <w:t>商务条件有严重偏离的</w:t>
            </w:r>
          </w:p>
        </w:tc>
        <w:tc>
          <w:tcPr>
            <w:tcW w:w="2166" w:type="dxa"/>
            <w:noWrap w:val="0"/>
            <w:vAlign w:val="center"/>
          </w:tcPr>
          <w:p>
            <w:pPr>
              <w:spacing w:line="360" w:lineRule="auto"/>
              <w:jc w:val="left"/>
              <w:rPr>
                <w:rFonts w:hint="eastAsia" w:ascii="宋体" w:hAnsi="宋体"/>
                <w:color w:val="FF0000"/>
                <w:sz w:val="22"/>
                <w:szCs w:val="22"/>
              </w:rPr>
            </w:pPr>
          </w:p>
        </w:tc>
        <w:tc>
          <w:tcPr>
            <w:tcW w:w="3234" w:type="dxa"/>
            <w:noWrap w:val="0"/>
            <w:vAlign w:val="center"/>
          </w:tcPr>
          <w:p>
            <w:pPr>
              <w:spacing w:line="360" w:lineRule="auto"/>
              <w:rPr>
                <w:rFonts w:hint="eastAsia" w:ascii="宋体" w:hAnsi="宋体"/>
                <w:color w:val="FF0000"/>
                <w:sz w:val="22"/>
                <w:szCs w:val="22"/>
              </w:rPr>
            </w:pPr>
            <w:r>
              <w:rPr>
                <w:rFonts w:hint="eastAsia" w:ascii="宋体" w:hAnsi="宋体"/>
                <w:sz w:val="22"/>
                <w:szCs w:val="22"/>
              </w:rPr>
              <w:t>须由</w:t>
            </w:r>
            <w:r>
              <w:rPr>
                <w:rFonts w:hint="eastAsia" w:ascii="宋体" w:hAnsi="宋体"/>
                <w:bCs/>
                <w:sz w:val="22"/>
                <w:szCs w:val="22"/>
              </w:rPr>
              <w:t>三分之二以上评委认定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jc w:val="center"/>
        </w:trPr>
        <w:tc>
          <w:tcPr>
            <w:tcW w:w="540" w:type="dxa"/>
            <w:noWrap w:val="0"/>
            <w:vAlign w:val="center"/>
          </w:tcPr>
          <w:p>
            <w:pPr>
              <w:spacing w:line="360" w:lineRule="auto"/>
              <w:jc w:val="center"/>
              <w:rPr>
                <w:rFonts w:hint="eastAsia" w:ascii="宋体" w:hAnsi="宋体"/>
                <w:sz w:val="22"/>
                <w:szCs w:val="22"/>
              </w:rPr>
            </w:pPr>
            <w:r>
              <w:rPr>
                <w:rFonts w:hint="eastAsia" w:ascii="宋体" w:hAnsi="宋体"/>
                <w:sz w:val="22"/>
                <w:szCs w:val="22"/>
              </w:rPr>
              <w:t>7</w:t>
            </w:r>
          </w:p>
        </w:tc>
        <w:tc>
          <w:tcPr>
            <w:tcW w:w="2880" w:type="dxa"/>
            <w:noWrap w:val="0"/>
            <w:vAlign w:val="center"/>
          </w:tcPr>
          <w:p>
            <w:pPr>
              <w:spacing w:line="360" w:lineRule="auto"/>
              <w:rPr>
                <w:rFonts w:hint="eastAsia" w:ascii="宋体" w:hAnsi="宋体"/>
                <w:sz w:val="22"/>
                <w:szCs w:val="22"/>
              </w:rPr>
            </w:pPr>
            <w:r>
              <w:rPr>
                <w:rFonts w:hint="eastAsia" w:ascii="宋体" w:hAnsi="宋体"/>
                <w:sz w:val="22"/>
                <w:szCs w:val="22"/>
              </w:rPr>
              <w:t>投标文件附有采购人不能接受的条件</w:t>
            </w:r>
          </w:p>
        </w:tc>
        <w:tc>
          <w:tcPr>
            <w:tcW w:w="2166" w:type="dxa"/>
            <w:noWrap w:val="0"/>
            <w:vAlign w:val="center"/>
          </w:tcPr>
          <w:p>
            <w:pPr>
              <w:spacing w:line="360" w:lineRule="auto"/>
              <w:rPr>
                <w:rFonts w:hint="eastAsia" w:ascii="宋体" w:hAnsi="宋体"/>
                <w:sz w:val="22"/>
                <w:szCs w:val="22"/>
              </w:rPr>
            </w:pPr>
          </w:p>
        </w:tc>
        <w:tc>
          <w:tcPr>
            <w:tcW w:w="3234" w:type="dxa"/>
            <w:noWrap w:val="0"/>
            <w:vAlign w:val="center"/>
          </w:tcPr>
          <w:p>
            <w:pPr>
              <w:spacing w:line="360" w:lineRule="auto"/>
              <w:rPr>
                <w:rFonts w:ascii="宋体" w:hAnsi="宋体"/>
                <w:sz w:val="22"/>
                <w:szCs w:val="22"/>
              </w:rPr>
            </w:pPr>
            <w:r>
              <w:rPr>
                <w:rFonts w:hint="eastAsia" w:ascii="宋体" w:hAnsi="宋体"/>
                <w:sz w:val="22"/>
                <w:szCs w:val="22"/>
              </w:rPr>
              <w:t>须由三分之二以上评委认定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jc w:val="center"/>
        </w:trPr>
        <w:tc>
          <w:tcPr>
            <w:tcW w:w="540" w:type="dxa"/>
            <w:noWrap w:val="0"/>
            <w:vAlign w:val="center"/>
          </w:tcPr>
          <w:p>
            <w:pPr>
              <w:spacing w:line="360" w:lineRule="auto"/>
              <w:jc w:val="center"/>
              <w:rPr>
                <w:rFonts w:hint="eastAsia" w:ascii="宋体" w:hAnsi="宋体"/>
                <w:sz w:val="22"/>
                <w:szCs w:val="22"/>
              </w:rPr>
            </w:pPr>
            <w:r>
              <w:rPr>
                <w:rFonts w:hint="eastAsia" w:ascii="宋体" w:hAnsi="宋体"/>
                <w:sz w:val="22"/>
                <w:szCs w:val="22"/>
              </w:rPr>
              <w:t>8</w:t>
            </w:r>
          </w:p>
        </w:tc>
        <w:tc>
          <w:tcPr>
            <w:tcW w:w="2880" w:type="dxa"/>
            <w:noWrap w:val="0"/>
            <w:vAlign w:val="center"/>
          </w:tcPr>
          <w:p>
            <w:pPr>
              <w:spacing w:line="360" w:lineRule="auto"/>
              <w:rPr>
                <w:rFonts w:hint="eastAsia" w:ascii="宋体" w:hAnsi="宋体"/>
                <w:sz w:val="22"/>
                <w:szCs w:val="22"/>
              </w:rPr>
            </w:pPr>
            <w:r>
              <w:rPr>
                <w:rFonts w:hint="eastAsia" w:ascii="宋体" w:hAnsi="宋体"/>
                <w:bCs/>
                <w:sz w:val="22"/>
                <w:szCs w:val="22"/>
              </w:rPr>
              <w:t>超出有效投标报价范围</w:t>
            </w:r>
          </w:p>
        </w:tc>
        <w:tc>
          <w:tcPr>
            <w:tcW w:w="2166" w:type="dxa"/>
            <w:noWrap w:val="0"/>
            <w:vAlign w:val="center"/>
          </w:tcPr>
          <w:p>
            <w:pPr>
              <w:spacing w:line="360" w:lineRule="auto"/>
              <w:jc w:val="center"/>
              <w:rPr>
                <w:rFonts w:hint="eastAsia" w:ascii="宋体" w:hAnsi="宋体"/>
                <w:sz w:val="22"/>
                <w:szCs w:val="22"/>
              </w:rPr>
            </w:pPr>
            <w:r>
              <w:rPr>
                <w:rFonts w:hint="eastAsia" w:ascii="宋体" w:hAnsi="宋体"/>
                <w:b/>
                <w:bCs/>
                <w:sz w:val="22"/>
                <w:szCs w:val="22"/>
              </w:rPr>
              <w:t>见前附表预算价</w:t>
            </w:r>
          </w:p>
        </w:tc>
        <w:tc>
          <w:tcPr>
            <w:tcW w:w="3234" w:type="dxa"/>
            <w:noWrap w:val="0"/>
            <w:vAlign w:val="center"/>
          </w:tcPr>
          <w:p>
            <w:pPr>
              <w:spacing w:line="360" w:lineRule="auto"/>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jc w:val="center"/>
        </w:trPr>
        <w:tc>
          <w:tcPr>
            <w:tcW w:w="540" w:type="dxa"/>
            <w:noWrap w:val="0"/>
            <w:vAlign w:val="center"/>
          </w:tcPr>
          <w:p>
            <w:pPr>
              <w:spacing w:line="360" w:lineRule="auto"/>
              <w:jc w:val="center"/>
              <w:rPr>
                <w:rFonts w:hint="eastAsia" w:ascii="宋体" w:hAnsi="宋体"/>
                <w:sz w:val="22"/>
                <w:szCs w:val="22"/>
              </w:rPr>
            </w:pPr>
            <w:r>
              <w:rPr>
                <w:rFonts w:hint="eastAsia" w:ascii="宋体" w:hAnsi="宋体"/>
                <w:sz w:val="22"/>
                <w:szCs w:val="22"/>
              </w:rPr>
              <w:t>9</w:t>
            </w:r>
          </w:p>
        </w:tc>
        <w:tc>
          <w:tcPr>
            <w:tcW w:w="2880" w:type="dxa"/>
            <w:noWrap w:val="0"/>
            <w:vAlign w:val="center"/>
          </w:tcPr>
          <w:p>
            <w:pPr>
              <w:spacing w:line="360" w:lineRule="auto"/>
              <w:rPr>
                <w:rFonts w:hint="eastAsia" w:ascii="宋体" w:hAnsi="宋体"/>
                <w:sz w:val="22"/>
                <w:szCs w:val="22"/>
              </w:rPr>
            </w:pPr>
            <w:r>
              <w:rPr>
                <w:rFonts w:hint="eastAsia" w:ascii="宋体" w:hAnsi="宋体"/>
                <w:sz w:val="22"/>
                <w:szCs w:val="22"/>
              </w:rPr>
              <w:t>不符合采购文件规定的其它实质性要求</w:t>
            </w:r>
          </w:p>
        </w:tc>
        <w:tc>
          <w:tcPr>
            <w:tcW w:w="2166" w:type="dxa"/>
            <w:noWrap w:val="0"/>
            <w:vAlign w:val="center"/>
          </w:tcPr>
          <w:p>
            <w:pPr>
              <w:spacing w:line="360" w:lineRule="auto"/>
              <w:jc w:val="center"/>
              <w:rPr>
                <w:rFonts w:hint="eastAsia" w:ascii="宋体" w:hAnsi="宋体"/>
                <w:sz w:val="22"/>
                <w:szCs w:val="22"/>
              </w:rPr>
            </w:pPr>
          </w:p>
        </w:tc>
        <w:tc>
          <w:tcPr>
            <w:tcW w:w="3234" w:type="dxa"/>
            <w:noWrap w:val="0"/>
            <w:vAlign w:val="center"/>
          </w:tcPr>
          <w:p>
            <w:pPr>
              <w:spacing w:line="360" w:lineRule="auto"/>
              <w:rPr>
                <w:rFonts w:ascii="宋体" w:hAnsi="宋体"/>
                <w:sz w:val="22"/>
                <w:szCs w:val="22"/>
              </w:rPr>
            </w:pPr>
            <w:r>
              <w:rPr>
                <w:rFonts w:hint="eastAsia" w:ascii="宋体" w:hAnsi="宋体"/>
                <w:sz w:val="22"/>
                <w:szCs w:val="22"/>
              </w:rPr>
              <w:t>须由三分之二以上评委认定</w:t>
            </w:r>
          </w:p>
        </w:tc>
      </w:tr>
    </w:tbl>
    <w:p>
      <w:pPr>
        <w:spacing w:line="360" w:lineRule="auto"/>
        <w:rPr>
          <w:rFonts w:hint="eastAsia" w:ascii="宋体" w:hAnsi="宋体"/>
          <w:sz w:val="22"/>
          <w:szCs w:val="22"/>
        </w:rPr>
      </w:pPr>
    </w:p>
    <w:p>
      <w:pPr>
        <w:spacing w:line="360" w:lineRule="auto"/>
        <w:rPr>
          <w:rFonts w:hint="eastAsia" w:ascii="宋体" w:hAnsi="宋体"/>
          <w:sz w:val="22"/>
          <w:szCs w:val="22"/>
        </w:rPr>
      </w:pPr>
    </w:p>
    <w:p>
      <w:pPr>
        <w:spacing w:line="360" w:lineRule="auto"/>
        <w:rPr>
          <w:rFonts w:hint="eastAsia" w:ascii="宋体" w:hAnsi="宋体"/>
          <w:sz w:val="22"/>
          <w:szCs w:val="22"/>
        </w:rPr>
      </w:pPr>
    </w:p>
    <w:p>
      <w:pPr>
        <w:spacing w:line="360" w:lineRule="auto"/>
        <w:jc w:val="left"/>
        <w:rPr>
          <w:rFonts w:hint="eastAsia" w:ascii="宋体" w:hAnsi="宋体"/>
          <w:sz w:val="22"/>
          <w:szCs w:val="22"/>
        </w:rPr>
      </w:pPr>
      <w:r>
        <w:rPr>
          <w:rFonts w:hint="eastAsia" w:ascii="宋体" w:hAnsi="宋体"/>
          <w:b/>
          <w:sz w:val="22"/>
          <w:szCs w:val="22"/>
        </w:rPr>
        <w:br w:type="page"/>
      </w:r>
      <w:r>
        <w:rPr>
          <w:rFonts w:hint="eastAsia" w:ascii="宋体" w:hAnsi="宋体"/>
          <w:b/>
          <w:sz w:val="22"/>
          <w:szCs w:val="22"/>
        </w:rPr>
        <w:t>附件二</w:t>
      </w:r>
    </w:p>
    <w:p>
      <w:pPr>
        <w:adjustRightInd w:val="0"/>
        <w:snapToGrid w:val="0"/>
        <w:spacing w:line="360" w:lineRule="auto"/>
        <w:jc w:val="center"/>
        <w:outlineLvl w:val="0"/>
        <w:rPr>
          <w:rFonts w:hint="eastAsia" w:ascii="宋体" w:hAnsi="宋体"/>
          <w:b/>
          <w:sz w:val="44"/>
          <w:szCs w:val="44"/>
        </w:rPr>
      </w:pPr>
      <w:bookmarkStart w:id="60" w:name="_Toc23263"/>
      <w:r>
        <w:rPr>
          <w:rFonts w:hint="eastAsia" w:ascii="宋体" w:hAnsi="宋体"/>
          <w:b/>
          <w:sz w:val="44"/>
          <w:szCs w:val="44"/>
        </w:rPr>
        <w:t>评标标准</w:t>
      </w:r>
      <w:bookmarkEnd w:id="60"/>
    </w:p>
    <w:p>
      <w:pPr>
        <w:adjustRightInd w:val="0"/>
        <w:snapToGrid w:val="0"/>
        <w:spacing w:line="360" w:lineRule="auto"/>
        <w:ind w:firstLine="440" w:firstLineChars="200"/>
        <w:rPr>
          <w:rFonts w:hint="eastAsia" w:ascii="宋体" w:hAnsi="宋体"/>
          <w:b/>
          <w:sz w:val="22"/>
          <w:szCs w:val="22"/>
        </w:rPr>
      </w:pPr>
      <w:r>
        <w:rPr>
          <w:rFonts w:hint="eastAsia" w:ascii="宋体" w:hAnsi="宋体"/>
          <w:sz w:val="22"/>
          <w:szCs w:val="22"/>
        </w:rPr>
        <w:t>一、</w:t>
      </w:r>
      <w:r>
        <w:rPr>
          <w:rFonts w:hint="eastAsia" w:ascii="宋体" w:hAnsi="宋体"/>
          <w:b/>
          <w:sz w:val="22"/>
          <w:szCs w:val="22"/>
        </w:rPr>
        <w:t>投标人评标综合总得分= 技术分（70分）+资信商务分（10分）+价格分（20分）</w:t>
      </w:r>
    </w:p>
    <w:p>
      <w:pPr>
        <w:pStyle w:val="124"/>
        <w:adjustRightInd w:val="0"/>
        <w:snapToGrid w:val="0"/>
        <w:spacing w:before="0"/>
        <w:ind w:firstLine="442"/>
        <w:rPr>
          <w:rFonts w:hint="eastAsia" w:ascii="宋体" w:hAnsi="宋体"/>
          <w:b/>
          <w:sz w:val="22"/>
          <w:szCs w:val="22"/>
          <w:lang w:eastAsia="zh-CN"/>
        </w:rPr>
      </w:pPr>
      <w:r>
        <w:rPr>
          <w:rFonts w:hint="eastAsia" w:ascii="宋体" w:hAnsi="宋体"/>
          <w:b/>
          <w:sz w:val="22"/>
          <w:szCs w:val="22"/>
        </w:rPr>
        <w:t>二、技术评分标准表:技术部分</w:t>
      </w:r>
      <w:r>
        <w:rPr>
          <w:rFonts w:hint="eastAsia" w:ascii="宋体" w:hAnsi="宋体"/>
          <w:b/>
          <w:sz w:val="22"/>
          <w:szCs w:val="22"/>
          <w:lang w:eastAsia="zh-CN"/>
        </w:rPr>
        <w:t>70</w:t>
      </w:r>
      <w:r>
        <w:rPr>
          <w:rFonts w:hint="eastAsia" w:ascii="宋体" w:hAnsi="宋体"/>
          <w:b/>
          <w:sz w:val="22"/>
          <w:szCs w:val="22"/>
        </w:rPr>
        <w:t>分,评审小组成员根据评审细则内容独立记名评审打分。得分值小数点后保留二位，第三位四舍五入。</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275"/>
        <w:gridCol w:w="6663"/>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pPr>
              <w:pStyle w:val="124"/>
              <w:adjustRightInd w:val="0"/>
              <w:snapToGrid w:val="0"/>
              <w:spacing w:before="0"/>
              <w:ind w:firstLine="0" w:firstLineChars="0"/>
              <w:rPr>
                <w:rFonts w:hint="eastAsia" w:ascii="宋体" w:hAnsi="宋体"/>
                <w:b/>
                <w:sz w:val="22"/>
                <w:szCs w:val="22"/>
                <w:lang w:val="en-US" w:eastAsia="zh-CN"/>
              </w:rPr>
            </w:pPr>
            <w:r>
              <w:rPr>
                <w:rFonts w:hint="eastAsia" w:ascii="宋体" w:hAnsi="宋体"/>
                <w:b/>
                <w:sz w:val="22"/>
                <w:szCs w:val="22"/>
                <w:lang w:val="en-US" w:eastAsia="zh-CN"/>
              </w:rPr>
              <w:t>序号</w:t>
            </w:r>
          </w:p>
        </w:tc>
        <w:tc>
          <w:tcPr>
            <w:tcW w:w="1275" w:type="dxa"/>
            <w:noWrap w:val="0"/>
            <w:vAlign w:val="center"/>
          </w:tcPr>
          <w:p>
            <w:pPr>
              <w:spacing w:line="360" w:lineRule="auto"/>
              <w:jc w:val="center"/>
              <w:rPr>
                <w:rFonts w:ascii="宋体" w:hAnsi="宋体"/>
                <w:b/>
                <w:kern w:val="0"/>
                <w:sz w:val="22"/>
                <w:szCs w:val="22"/>
              </w:rPr>
            </w:pPr>
            <w:r>
              <w:rPr>
                <w:rFonts w:hint="eastAsia" w:ascii="宋体" w:hAnsi="宋体" w:cs="宋体"/>
                <w:b/>
                <w:kern w:val="0"/>
                <w:sz w:val="22"/>
                <w:szCs w:val="22"/>
                <w:lang w:bidi="ar"/>
              </w:rPr>
              <w:t>评分内容</w:t>
            </w:r>
          </w:p>
        </w:tc>
        <w:tc>
          <w:tcPr>
            <w:tcW w:w="6663" w:type="dxa"/>
            <w:noWrap w:val="0"/>
            <w:vAlign w:val="center"/>
          </w:tcPr>
          <w:p>
            <w:pPr>
              <w:spacing w:line="360" w:lineRule="auto"/>
              <w:jc w:val="center"/>
              <w:rPr>
                <w:rFonts w:ascii="宋体" w:hAnsi="宋体"/>
                <w:b/>
                <w:kern w:val="0"/>
                <w:sz w:val="22"/>
                <w:szCs w:val="22"/>
              </w:rPr>
            </w:pPr>
            <w:r>
              <w:rPr>
                <w:rFonts w:hint="eastAsia" w:ascii="宋体" w:hAnsi="宋体" w:cs="宋体"/>
                <w:b/>
                <w:kern w:val="0"/>
                <w:sz w:val="22"/>
                <w:szCs w:val="22"/>
                <w:lang w:bidi="ar"/>
              </w:rPr>
              <w:t>评审标准</w:t>
            </w:r>
          </w:p>
        </w:tc>
        <w:tc>
          <w:tcPr>
            <w:tcW w:w="814" w:type="dxa"/>
            <w:noWrap w:val="0"/>
            <w:vAlign w:val="center"/>
          </w:tcPr>
          <w:p>
            <w:pPr>
              <w:pStyle w:val="124"/>
              <w:adjustRightInd w:val="0"/>
              <w:snapToGrid w:val="0"/>
              <w:spacing w:before="0"/>
              <w:ind w:firstLine="0" w:firstLineChars="0"/>
              <w:jc w:val="center"/>
              <w:rPr>
                <w:rFonts w:hint="eastAsia" w:ascii="宋体" w:hAnsi="宋体"/>
                <w:b/>
                <w:sz w:val="22"/>
                <w:szCs w:val="22"/>
                <w:lang w:val="en-US" w:eastAsia="zh-CN"/>
              </w:rPr>
            </w:pPr>
            <w:r>
              <w:rPr>
                <w:rFonts w:hint="eastAsia" w:ascii="宋体" w:hAnsi="宋体" w:cs="宋体"/>
                <w:b/>
                <w:kern w:val="0"/>
                <w:sz w:val="22"/>
                <w:szCs w:val="22"/>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pStyle w:val="124"/>
              <w:adjustRightInd w:val="0"/>
              <w:snapToGrid w:val="0"/>
              <w:spacing w:before="0"/>
              <w:ind w:firstLine="0" w:firstLineChars="0"/>
              <w:jc w:val="center"/>
              <w:rPr>
                <w:rFonts w:hint="eastAsia" w:ascii="宋体" w:hAnsi="宋体"/>
                <w:sz w:val="22"/>
                <w:szCs w:val="22"/>
                <w:lang w:val="en-US" w:eastAsia="zh-CN"/>
              </w:rPr>
            </w:pPr>
            <w:r>
              <w:rPr>
                <w:rFonts w:hint="eastAsia" w:ascii="宋体" w:hAnsi="宋体"/>
                <w:sz w:val="22"/>
                <w:szCs w:val="22"/>
                <w:lang w:val="en-US" w:eastAsia="zh-CN"/>
              </w:rPr>
              <w:t>1</w:t>
            </w:r>
          </w:p>
        </w:tc>
        <w:tc>
          <w:tcPr>
            <w:tcW w:w="1275" w:type="dxa"/>
            <w:vMerge w:val="restart"/>
            <w:noWrap w:val="0"/>
            <w:vAlign w:val="center"/>
          </w:tcPr>
          <w:p>
            <w:pPr>
              <w:pStyle w:val="124"/>
              <w:adjustRightInd w:val="0"/>
              <w:snapToGrid w:val="0"/>
              <w:spacing w:before="0"/>
              <w:ind w:firstLine="0" w:firstLineChars="0"/>
              <w:jc w:val="center"/>
              <w:rPr>
                <w:rFonts w:hint="eastAsia" w:ascii="宋体" w:hAnsi="宋体"/>
                <w:sz w:val="22"/>
                <w:szCs w:val="22"/>
                <w:lang w:val="en-US" w:eastAsia="zh-CN"/>
              </w:rPr>
            </w:pPr>
            <w:r>
              <w:rPr>
                <w:rFonts w:hint="eastAsia" w:ascii="宋体" w:hAnsi="宋体"/>
                <w:color w:val="000000"/>
                <w:sz w:val="22"/>
                <w:szCs w:val="22"/>
                <w:lang w:val="en-US" w:eastAsia="zh-CN"/>
              </w:rPr>
              <w:t>运维方案</w:t>
            </w:r>
          </w:p>
        </w:tc>
        <w:tc>
          <w:tcPr>
            <w:tcW w:w="6663" w:type="dxa"/>
            <w:noWrap w:val="0"/>
            <w:vAlign w:val="center"/>
          </w:tcPr>
          <w:p>
            <w:pPr>
              <w:pStyle w:val="51"/>
              <w:spacing w:line="360" w:lineRule="auto"/>
              <w:rPr>
                <w:rFonts w:hint="eastAsia" w:ascii="宋体" w:hAnsi="宋体"/>
                <w:sz w:val="22"/>
                <w:szCs w:val="22"/>
                <w:lang w:val="en-US" w:eastAsia="zh-CN"/>
              </w:rPr>
            </w:pPr>
            <w:r>
              <w:rPr>
                <w:rFonts w:hint="eastAsia" w:ascii="宋体" w:hAnsi="宋体"/>
                <w:sz w:val="22"/>
                <w:szCs w:val="22"/>
                <w:lang w:val="en-US" w:eastAsia="zh-CN"/>
              </w:rPr>
              <w:t>1、投标人针对本运维服务项目提供符合国家相关标准的例行操作服务、响应支持服务、优化改善服务、调研评估服务等方案内容，专家根据其针对性、完整性、合理性、规范性进行打分。（0-9分）</w:t>
            </w:r>
          </w:p>
        </w:tc>
        <w:tc>
          <w:tcPr>
            <w:tcW w:w="814" w:type="dxa"/>
            <w:noWrap w:val="0"/>
            <w:vAlign w:val="center"/>
          </w:tcPr>
          <w:p>
            <w:pPr>
              <w:pStyle w:val="124"/>
              <w:adjustRightInd w:val="0"/>
              <w:snapToGrid w:val="0"/>
              <w:spacing w:before="0"/>
              <w:ind w:firstLine="0" w:firstLineChars="0"/>
              <w:jc w:val="center"/>
              <w:rPr>
                <w:rFonts w:hint="eastAsia" w:ascii="宋体" w:hAnsi="宋体"/>
                <w:b/>
                <w:sz w:val="22"/>
                <w:szCs w:val="22"/>
                <w:lang w:val="en-US" w:eastAsia="zh-CN"/>
              </w:rPr>
            </w:pPr>
            <w:r>
              <w:rPr>
                <w:rFonts w:hint="eastAsia" w:ascii="宋体" w:hAnsi="宋体"/>
                <w:b/>
                <w:sz w:val="22"/>
                <w:szCs w:val="22"/>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pStyle w:val="124"/>
              <w:adjustRightInd w:val="0"/>
              <w:snapToGrid w:val="0"/>
              <w:spacing w:before="0"/>
              <w:ind w:firstLine="0" w:firstLineChars="0"/>
              <w:jc w:val="center"/>
              <w:rPr>
                <w:rFonts w:hint="eastAsia" w:ascii="宋体" w:hAnsi="宋体"/>
                <w:sz w:val="22"/>
                <w:szCs w:val="22"/>
                <w:lang w:val="en-US" w:eastAsia="zh-CN"/>
              </w:rPr>
            </w:pPr>
            <w:r>
              <w:rPr>
                <w:rFonts w:hint="eastAsia" w:ascii="宋体" w:hAnsi="宋体"/>
                <w:sz w:val="22"/>
                <w:szCs w:val="22"/>
                <w:lang w:val="en-US" w:eastAsia="zh-CN"/>
              </w:rPr>
              <w:t>2</w:t>
            </w:r>
          </w:p>
        </w:tc>
        <w:tc>
          <w:tcPr>
            <w:tcW w:w="1275" w:type="dxa"/>
            <w:vMerge w:val="continue"/>
            <w:noWrap w:val="0"/>
            <w:vAlign w:val="center"/>
          </w:tcPr>
          <w:p>
            <w:pPr>
              <w:pStyle w:val="124"/>
              <w:adjustRightInd w:val="0"/>
              <w:snapToGrid w:val="0"/>
              <w:spacing w:before="0"/>
              <w:ind w:firstLine="0" w:firstLineChars="0"/>
              <w:jc w:val="center"/>
              <w:rPr>
                <w:rFonts w:hint="eastAsia" w:ascii="宋体" w:hAnsi="宋体"/>
                <w:sz w:val="22"/>
                <w:szCs w:val="22"/>
                <w:lang w:val="en-US" w:eastAsia="zh-CN"/>
              </w:rPr>
            </w:pPr>
          </w:p>
        </w:tc>
        <w:tc>
          <w:tcPr>
            <w:tcW w:w="6663" w:type="dxa"/>
            <w:noWrap w:val="0"/>
            <w:vAlign w:val="center"/>
          </w:tcPr>
          <w:p>
            <w:pPr>
              <w:pStyle w:val="51"/>
              <w:spacing w:line="360" w:lineRule="auto"/>
              <w:rPr>
                <w:rFonts w:hint="eastAsia" w:ascii="宋体" w:hAnsi="宋体"/>
                <w:sz w:val="22"/>
                <w:szCs w:val="22"/>
                <w:lang w:val="en-US" w:eastAsia="zh-CN"/>
              </w:rPr>
            </w:pPr>
            <w:r>
              <w:rPr>
                <w:rFonts w:hint="eastAsia" w:ascii="宋体" w:hAnsi="宋体"/>
                <w:sz w:val="22"/>
                <w:szCs w:val="22"/>
                <w:lang w:val="en-US" w:eastAsia="zh-CN"/>
              </w:rPr>
              <w:t>2、根据投标人对本项目系统的熟悉了解，包括对本项目系统整体框架、双链双备互控、数字视频共享等关键技术进行阐述，对系统的关键点分析等酌情打分。（0-5分）</w:t>
            </w:r>
          </w:p>
        </w:tc>
        <w:tc>
          <w:tcPr>
            <w:tcW w:w="814" w:type="dxa"/>
            <w:noWrap w:val="0"/>
            <w:vAlign w:val="center"/>
          </w:tcPr>
          <w:p>
            <w:pPr>
              <w:pStyle w:val="124"/>
              <w:adjustRightInd w:val="0"/>
              <w:snapToGrid w:val="0"/>
              <w:spacing w:before="0"/>
              <w:ind w:firstLine="0" w:firstLineChars="0"/>
              <w:jc w:val="center"/>
              <w:rPr>
                <w:rFonts w:hint="eastAsia" w:ascii="宋体" w:hAnsi="宋体"/>
                <w:b/>
                <w:sz w:val="22"/>
                <w:szCs w:val="22"/>
                <w:lang w:val="en-US" w:eastAsia="zh-CN"/>
              </w:rPr>
            </w:pPr>
            <w:r>
              <w:rPr>
                <w:rFonts w:hint="eastAsia" w:ascii="宋体" w:hAnsi="宋体"/>
                <w:b/>
                <w:sz w:val="22"/>
                <w:szCs w:val="2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pStyle w:val="124"/>
              <w:adjustRightInd w:val="0"/>
              <w:snapToGrid w:val="0"/>
              <w:spacing w:before="0"/>
              <w:ind w:firstLine="0" w:firstLineChars="0"/>
              <w:jc w:val="center"/>
              <w:rPr>
                <w:rFonts w:hint="eastAsia" w:ascii="宋体" w:hAnsi="宋体"/>
                <w:sz w:val="22"/>
                <w:szCs w:val="22"/>
                <w:lang w:val="en-US" w:eastAsia="zh-CN"/>
              </w:rPr>
            </w:pPr>
            <w:r>
              <w:rPr>
                <w:rFonts w:hint="eastAsia" w:ascii="宋体" w:hAnsi="宋体"/>
                <w:sz w:val="22"/>
                <w:szCs w:val="22"/>
                <w:lang w:val="en-US" w:eastAsia="zh-CN"/>
              </w:rPr>
              <w:t>3</w:t>
            </w:r>
          </w:p>
        </w:tc>
        <w:tc>
          <w:tcPr>
            <w:tcW w:w="1275" w:type="dxa"/>
            <w:vMerge w:val="continue"/>
            <w:noWrap w:val="0"/>
            <w:vAlign w:val="center"/>
          </w:tcPr>
          <w:p>
            <w:pPr>
              <w:pStyle w:val="124"/>
              <w:adjustRightInd w:val="0"/>
              <w:snapToGrid w:val="0"/>
              <w:spacing w:before="0"/>
              <w:ind w:firstLine="0" w:firstLineChars="0"/>
              <w:jc w:val="center"/>
              <w:rPr>
                <w:rFonts w:hint="eastAsia" w:ascii="宋体" w:hAnsi="宋体"/>
                <w:sz w:val="22"/>
                <w:szCs w:val="22"/>
                <w:lang w:val="en-US" w:eastAsia="zh-CN"/>
              </w:rPr>
            </w:pPr>
          </w:p>
        </w:tc>
        <w:tc>
          <w:tcPr>
            <w:tcW w:w="6663" w:type="dxa"/>
            <w:noWrap w:val="0"/>
            <w:vAlign w:val="center"/>
          </w:tcPr>
          <w:p>
            <w:pPr>
              <w:pStyle w:val="51"/>
              <w:spacing w:line="360" w:lineRule="auto"/>
              <w:rPr>
                <w:rFonts w:hint="eastAsia" w:ascii="宋体" w:hAnsi="宋体"/>
                <w:sz w:val="22"/>
                <w:szCs w:val="22"/>
                <w:lang w:val="en-US" w:eastAsia="zh-CN"/>
              </w:rPr>
            </w:pPr>
            <w:r>
              <w:rPr>
                <w:rFonts w:hint="eastAsia" w:ascii="宋体" w:hAnsi="宋体"/>
                <w:sz w:val="22"/>
                <w:szCs w:val="22"/>
                <w:lang w:val="en-US" w:eastAsia="zh-CN"/>
              </w:rPr>
              <w:t>3、根据投标人对本项目所涉及的所有设备作为</w:t>
            </w:r>
            <w:r>
              <w:rPr>
                <w:rFonts w:hint="eastAsia" w:ascii="宋体" w:hAnsi="宋体"/>
                <w:bCs/>
                <w:kern w:val="2"/>
                <w:sz w:val="22"/>
                <w:szCs w:val="22"/>
                <w:lang w:val="en-US" w:eastAsia="zh-CN"/>
              </w:rPr>
              <w:t>Node</w:t>
            </w:r>
            <w:r>
              <w:rPr>
                <w:rFonts w:hint="eastAsia" w:ascii="宋体" w:hAnsi="宋体"/>
                <w:sz w:val="22"/>
                <w:szCs w:val="22"/>
                <w:lang w:val="en-US" w:eastAsia="zh-CN"/>
              </w:rPr>
              <w:t>分布的详细踏勘资料是否详实准确阐述，酌情打分。（0-5分）</w:t>
            </w:r>
          </w:p>
        </w:tc>
        <w:tc>
          <w:tcPr>
            <w:tcW w:w="814" w:type="dxa"/>
            <w:noWrap w:val="0"/>
            <w:vAlign w:val="center"/>
          </w:tcPr>
          <w:p>
            <w:pPr>
              <w:pStyle w:val="124"/>
              <w:adjustRightInd w:val="0"/>
              <w:snapToGrid w:val="0"/>
              <w:spacing w:before="0"/>
              <w:ind w:firstLine="0" w:firstLineChars="0"/>
              <w:jc w:val="center"/>
              <w:rPr>
                <w:rFonts w:hint="eastAsia" w:ascii="宋体" w:hAnsi="宋体"/>
                <w:b/>
                <w:sz w:val="22"/>
                <w:szCs w:val="22"/>
                <w:lang w:val="en-US" w:eastAsia="zh-CN"/>
              </w:rPr>
            </w:pPr>
            <w:r>
              <w:rPr>
                <w:rFonts w:hint="eastAsia" w:ascii="宋体" w:hAnsi="宋体"/>
                <w:b/>
                <w:sz w:val="22"/>
                <w:szCs w:val="2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pStyle w:val="124"/>
              <w:adjustRightInd w:val="0"/>
              <w:snapToGrid w:val="0"/>
              <w:spacing w:before="0"/>
              <w:ind w:firstLine="0" w:firstLineChars="0"/>
              <w:jc w:val="center"/>
              <w:rPr>
                <w:rFonts w:hint="eastAsia" w:ascii="宋体" w:hAnsi="宋体"/>
                <w:sz w:val="22"/>
                <w:szCs w:val="22"/>
                <w:lang w:val="en-US" w:eastAsia="zh-CN"/>
              </w:rPr>
            </w:pPr>
            <w:r>
              <w:rPr>
                <w:rFonts w:hint="eastAsia" w:ascii="宋体" w:hAnsi="宋体"/>
                <w:sz w:val="22"/>
                <w:szCs w:val="22"/>
                <w:lang w:val="en-US" w:eastAsia="zh-CN"/>
              </w:rPr>
              <w:t>4</w:t>
            </w:r>
          </w:p>
        </w:tc>
        <w:tc>
          <w:tcPr>
            <w:tcW w:w="1275" w:type="dxa"/>
            <w:vMerge w:val="continue"/>
            <w:noWrap w:val="0"/>
            <w:vAlign w:val="center"/>
          </w:tcPr>
          <w:p>
            <w:pPr>
              <w:pStyle w:val="124"/>
              <w:adjustRightInd w:val="0"/>
              <w:snapToGrid w:val="0"/>
              <w:spacing w:before="0"/>
              <w:ind w:firstLine="0" w:firstLineChars="0"/>
              <w:jc w:val="center"/>
              <w:rPr>
                <w:rFonts w:hint="eastAsia" w:ascii="宋体" w:hAnsi="宋体"/>
                <w:sz w:val="22"/>
                <w:szCs w:val="22"/>
                <w:lang w:val="en-US" w:eastAsia="zh-CN"/>
              </w:rPr>
            </w:pPr>
          </w:p>
        </w:tc>
        <w:tc>
          <w:tcPr>
            <w:tcW w:w="6663" w:type="dxa"/>
            <w:noWrap w:val="0"/>
            <w:vAlign w:val="center"/>
          </w:tcPr>
          <w:p>
            <w:pPr>
              <w:pStyle w:val="51"/>
              <w:spacing w:line="360" w:lineRule="auto"/>
              <w:rPr>
                <w:rFonts w:hint="eastAsia" w:ascii="宋体" w:hAnsi="宋体"/>
                <w:sz w:val="22"/>
                <w:szCs w:val="22"/>
                <w:lang w:val="en-US" w:eastAsia="zh-CN"/>
              </w:rPr>
            </w:pPr>
            <w:r>
              <w:rPr>
                <w:rFonts w:hint="eastAsia" w:ascii="宋体" w:hAnsi="宋体"/>
                <w:sz w:val="22"/>
                <w:szCs w:val="22"/>
                <w:lang w:val="en-US" w:eastAsia="zh-CN"/>
              </w:rPr>
              <w:t>4、根据投标人针对本项目目前视频海量存储情况的分析描述，酌情打分。（0-2分）</w:t>
            </w:r>
          </w:p>
        </w:tc>
        <w:tc>
          <w:tcPr>
            <w:tcW w:w="814" w:type="dxa"/>
            <w:noWrap w:val="0"/>
            <w:vAlign w:val="center"/>
          </w:tcPr>
          <w:p>
            <w:pPr>
              <w:pStyle w:val="124"/>
              <w:adjustRightInd w:val="0"/>
              <w:snapToGrid w:val="0"/>
              <w:spacing w:before="0"/>
              <w:ind w:firstLine="0" w:firstLineChars="0"/>
              <w:jc w:val="center"/>
              <w:rPr>
                <w:rFonts w:hint="eastAsia" w:ascii="宋体" w:hAnsi="宋体"/>
                <w:b/>
                <w:sz w:val="22"/>
                <w:szCs w:val="22"/>
                <w:lang w:val="en-US" w:eastAsia="zh-CN"/>
              </w:rPr>
            </w:pPr>
            <w:r>
              <w:rPr>
                <w:rFonts w:hint="eastAsia" w:ascii="宋体" w:hAnsi="宋体"/>
                <w:b/>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pStyle w:val="124"/>
              <w:adjustRightInd w:val="0"/>
              <w:snapToGrid w:val="0"/>
              <w:spacing w:before="0"/>
              <w:ind w:firstLine="0" w:firstLineChars="0"/>
              <w:jc w:val="center"/>
              <w:rPr>
                <w:rFonts w:hint="eastAsia" w:ascii="宋体" w:hAnsi="宋体"/>
                <w:sz w:val="22"/>
                <w:szCs w:val="22"/>
                <w:lang w:val="en-US" w:eastAsia="zh-CN"/>
              </w:rPr>
            </w:pPr>
            <w:r>
              <w:rPr>
                <w:rFonts w:hint="eastAsia" w:ascii="宋体" w:hAnsi="宋体"/>
                <w:sz w:val="22"/>
                <w:szCs w:val="22"/>
                <w:lang w:val="en-US" w:eastAsia="zh-CN"/>
              </w:rPr>
              <w:t>5</w:t>
            </w:r>
          </w:p>
        </w:tc>
        <w:tc>
          <w:tcPr>
            <w:tcW w:w="1275" w:type="dxa"/>
            <w:noWrap w:val="0"/>
            <w:vAlign w:val="center"/>
          </w:tcPr>
          <w:p>
            <w:pPr>
              <w:spacing w:line="360" w:lineRule="auto"/>
              <w:jc w:val="center"/>
              <w:rPr>
                <w:rFonts w:hint="eastAsia" w:ascii="宋体" w:hAnsi="宋体"/>
                <w:color w:val="000000"/>
                <w:sz w:val="22"/>
                <w:szCs w:val="22"/>
              </w:rPr>
            </w:pPr>
            <w:r>
              <w:rPr>
                <w:rFonts w:hint="eastAsia" w:ascii="宋体" w:hAnsi="宋体"/>
                <w:color w:val="000000"/>
                <w:sz w:val="22"/>
                <w:szCs w:val="22"/>
              </w:rPr>
              <w:t>应急响应方案</w:t>
            </w:r>
          </w:p>
        </w:tc>
        <w:tc>
          <w:tcPr>
            <w:tcW w:w="6663" w:type="dxa"/>
            <w:noWrap w:val="0"/>
            <w:vAlign w:val="center"/>
          </w:tcPr>
          <w:p>
            <w:pPr>
              <w:spacing w:line="360" w:lineRule="auto"/>
              <w:jc w:val="left"/>
              <w:rPr>
                <w:rFonts w:hint="eastAsia" w:ascii="宋体" w:hAnsi="宋体"/>
                <w:color w:val="000000"/>
                <w:sz w:val="22"/>
                <w:szCs w:val="22"/>
              </w:rPr>
            </w:pPr>
            <w:r>
              <w:rPr>
                <w:rFonts w:hint="eastAsia" w:ascii="宋体" w:hAnsi="宋体"/>
                <w:color w:val="000000"/>
                <w:sz w:val="22"/>
                <w:szCs w:val="22"/>
              </w:rPr>
              <w:t>根据投标人针对本项目应急情况时的应急响应方案打分。（0-5分）</w:t>
            </w:r>
          </w:p>
        </w:tc>
        <w:tc>
          <w:tcPr>
            <w:tcW w:w="814" w:type="dxa"/>
            <w:noWrap w:val="0"/>
            <w:vAlign w:val="center"/>
          </w:tcPr>
          <w:p>
            <w:pPr>
              <w:pStyle w:val="124"/>
              <w:adjustRightInd w:val="0"/>
              <w:snapToGrid w:val="0"/>
              <w:spacing w:before="0"/>
              <w:ind w:firstLine="0" w:firstLineChars="0"/>
              <w:jc w:val="center"/>
              <w:rPr>
                <w:rFonts w:hint="eastAsia" w:ascii="宋体" w:hAnsi="宋体"/>
                <w:b/>
                <w:sz w:val="22"/>
                <w:szCs w:val="22"/>
                <w:lang w:val="en-US" w:eastAsia="zh-CN"/>
              </w:rPr>
            </w:pPr>
            <w:r>
              <w:rPr>
                <w:rFonts w:hint="eastAsia" w:ascii="宋体" w:hAnsi="宋体"/>
                <w:b/>
                <w:sz w:val="22"/>
                <w:szCs w:val="2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pStyle w:val="124"/>
              <w:adjustRightInd w:val="0"/>
              <w:snapToGrid w:val="0"/>
              <w:spacing w:before="0"/>
              <w:ind w:firstLine="0" w:firstLineChars="0"/>
              <w:jc w:val="center"/>
              <w:rPr>
                <w:rFonts w:hint="eastAsia" w:ascii="宋体" w:hAnsi="宋体"/>
                <w:sz w:val="22"/>
                <w:szCs w:val="22"/>
                <w:lang w:val="en-US" w:eastAsia="zh-CN"/>
              </w:rPr>
            </w:pPr>
            <w:r>
              <w:rPr>
                <w:rFonts w:hint="eastAsia" w:ascii="宋体" w:hAnsi="宋体"/>
                <w:sz w:val="22"/>
                <w:szCs w:val="22"/>
                <w:lang w:val="en-US" w:eastAsia="zh-CN"/>
              </w:rPr>
              <w:t>6</w:t>
            </w:r>
          </w:p>
        </w:tc>
        <w:tc>
          <w:tcPr>
            <w:tcW w:w="1275" w:type="dxa"/>
            <w:noWrap w:val="0"/>
            <w:vAlign w:val="center"/>
          </w:tcPr>
          <w:p>
            <w:pPr>
              <w:spacing w:line="360" w:lineRule="auto"/>
              <w:jc w:val="center"/>
              <w:rPr>
                <w:rFonts w:hint="eastAsia" w:ascii="宋体" w:hAnsi="宋体"/>
                <w:color w:val="000000"/>
                <w:sz w:val="22"/>
                <w:szCs w:val="22"/>
              </w:rPr>
            </w:pPr>
            <w:r>
              <w:rPr>
                <w:rFonts w:hint="eastAsia" w:ascii="宋体" w:hAnsi="宋体"/>
                <w:color w:val="000000"/>
                <w:sz w:val="22"/>
                <w:szCs w:val="22"/>
              </w:rPr>
              <w:t>服务体系</w:t>
            </w:r>
          </w:p>
          <w:p>
            <w:pPr>
              <w:spacing w:line="360" w:lineRule="auto"/>
              <w:jc w:val="center"/>
              <w:rPr>
                <w:rFonts w:hint="eastAsia" w:ascii="宋体" w:hAnsi="宋体"/>
                <w:color w:val="000000"/>
                <w:sz w:val="22"/>
                <w:szCs w:val="22"/>
              </w:rPr>
            </w:pPr>
            <w:r>
              <w:rPr>
                <w:rFonts w:hint="eastAsia" w:ascii="宋体" w:hAnsi="宋体"/>
                <w:color w:val="000000"/>
                <w:sz w:val="22"/>
                <w:szCs w:val="22"/>
              </w:rPr>
              <w:t>及承诺</w:t>
            </w:r>
          </w:p>
        </w:tc>
        <w:tc>
          <w:tcPr>
            <w:tcW w:w="6663" w:type="dxa"/>
            <w:noWrap w:val="0"/>
            <w:vAlign w:val="center"/>
          </w:tcPr>
          <w:p>
            <w:pPr>
              <w:spacing w:line="360" w:lineRule="auto"/>
              <w:jc w:val="left"/>
              <w:rPr>
                <w:rFonts w:hint="eastAsia" w:ascii="宋体" w:hAnsi="宋体"/>
                <w:color w:val="000000"/>
                <w:sz w:val="22"/>
                <w:szCs w:val="22"/>
              </w:rPr>
            </w:pPr>
            <w:r>
              <w:rPr>
                <w:rFonts w:hint="eastAsia" w:ascii="宋体" w:hAnsi="宋体"/>
                <w:color w:val="000000"/>
                <w:sz w:val="22"/>
                <w:szCs w:val="22"/>
              </w:rPr>
              <w:t>根据供应商提供的巡检、保养措施的详细性、合理性、针对性。维修响应时间及措施，备品备件数量，故障无法修复时采取的应急措施及其它服务承诺等0-6分。</w:t>
            </w:r>
          </w:p>
        </w:tc>
        <w:tc>
          <w:tcPr>
            <w:tcW w:w="814" w:type="dxa"/>
            <w:noWrap w:val="0"/>
            <w:vAlign w:val="center"/>
          </w:tcPr>
          <w:p>
            <w:pPr>
              <w:pStyle w:val="124"/>
              <w:adjustRightInd w:val="0"/>
              <w:snapToGrid w:val="0"/>
              <w:spacing w:before="0"/>
              <w:ind w:firstLine="0" w:firstLineChars="0"/>
              <w:jc w:val="center"/>
              <w:rPr>
                <w:rFonts w:hint="eastAsia" w:ascii="宋体" w:hAnsi="宋体"/>
                <w:b/>
                <w:sz w:val="22"/>
                <w:szCs w:val="22"/>
                <w:lang w:val="en-US" w:eastAsia="zh-CN"/>
              </w:rPr>
            </w:pPr>
            <w:r>
              <w:rPr>
                <w:rFonts w:hint="eastAsia" w:ascii="宋体" w:hAnsi="宋体"/>
                <w:b/>
                <w:sz w:val="22"/>
                <w:szCs w:val="2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pStyle w:val="124"/>
              <w:adjustRightInd w:val="0"/>
              <w:snapToGrid w:val="0"/>
              <w:spacing w:before="0"/>
              <w:ind w:firstLine="0" w:firstLineChars="0"/>
              <w:jc w:val="center"/>
              <w:rPr>
                <w:rFonts w:hint="eastAsia" w:ascii="宋体" w:hAnsi="宋体"/>
                <w:sz w:val="22"/>
                <w:szCs w:val="22"/>
                <w:lang w:val="en-US" w:eastAsia="zh-CN"/>
              </w:rPr>
            </w:pPr>
            <w:r>
              <w:rPr>
                <w:rFonts w:hint="eastAsia" w:ascii="宋体" w:hAnsi="宋体"/>
                <w:sz w:val="22"/>
                <w:szCs w:val="22"/>
                <w:lang w:val="en-US" w:eastAsia="zh-CN"/>
              </w:rPr>
              <w:t>7</w:t>
            </w:r>
          </w:p>
        </w:tc>
        <w:tc>
          <w:tcPr>
            <w:tcW w:w="1275" w:type="dxa"/>
            <w:noWrap w:val="0"/>
            <w:vAlign w:val="center"/>
          </w:tcPr>
          <w:p>
            <w:pPr>
              <w:spacing w:line="360" w:lineRule="auto"/>
              <w:jc w:val="center"/>
              <w:rPr>
                <w:rFonts w:hint="eastAsia" w:ascii="宋体" w:hAnsi="宋体"/>
                <w:color w:val="000000"/>
                <w:sz w:val="22"/>
                <w:szCs w:val="22"/>
              </w:rPr>
            </w:pPr>
            <w:r>
              <w:rPr>
                <w:rFonts w:hint="eastAsia" w:ascii="宋体" w:hAnsi="宋体"/>
                <w:color w:val="000000"/>
                <w:sz w:val="22"/>
                <w:szCs w:val="22"/>
              </w:rPr>
              <w:t>服务保障能力</w:t>
            </w:r>
          </w:p>
        </w:tc>
        <w:tc>
          <w:tcPr>
            <w:tcW w:w="6663" w:type="dxa"/>
            <w:noWrap w:val="0"/>
            <w:vAlign w:val="center"/>
          </w:tcPr>
          <w:p>
            <w:pPr>
              <w:spacing w:line="360" w:lineRule="auto"/>
              <w:jc w:val="left"/>
              <w:rPr>
                <w:rFonts w:hint="eastAsia" w:ascii="宋体" w:hAnsi="宋体"/>
                <w:color w:val="000000"/>
                <w:sz w:val="22"/>
                <w:szCs w:val="22"/>
              </w:rPr>
            </w:pPr>
            <w:r>
              <w:rPr>
                <w:rFonts w:hint="eastAsia" w:ascii="宋体" w:hAnsi="宋体"/>
                <w:color w:val="000000"/>
                <w:sz w:val="22"/>
                <w:szCs w:val="22"/>
              </w:rPr>
              <w:t>对供应商的售后服务能力、技术支持力量、服务布点机构（主要考察和项目实施地距离）、服务经验、服务响应时间、故障恢复时间等方面进行评审0-9分。(投标文件中提供营业执照、房屋租赁合同或房产证的复印件并加盖公章。)</w:t>
            </w:r>
          </w:p>
        </w:tc>
        <w:tc>
          <w:tcPr>
            <w:tcW w:w="814" w:type="dxa"/>
            <w:noWrap w:val="0"/>
            <w:vAlign w:val="center"/>
          </w:tcPr>
          <w:p>
            <w:pPr>
              <w:pStyle w:val="124"/>
              <w:adjustRightInd w:val="0"/>
              <w:snapToGrid w:val="0"/>
              <w:spacing w:before="0"/>
              <w:ind w:firstLine="0" w:firstLineChars="0"/>
              <w:jc w:val="center"/>
              <w:rPr>
                <w:rFonts w:hint="eastAsia" w:ascii="宋体" w:hAnsi="宋体"/>
                <w:b/>
                <w:sz w:val="22"/>
                <w:szCs w:val="22"/>
                <w:lang w:val="en-US" w:eastAsia="zh-CN"/>
              </w:rPr>
            </w:pPr>
            <w:r>
              <w:rPr>
                <w:rFonts w:hint="eastAsia" w:ascii="宋体" w:hAnsi="宋体"/>
                <w:b/>
                <w:sz w:val="22"/>
                <w:szCs w:val="22"/>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pStyle w:val="124"/>
              <w:adjustRightInd w:val="0"/>
              <w:snapToGrid w:val="0"/>
              <w:spacing w:before="0"/>
              <w:ind w:firstLine="0" w:firstLineChars="0"/>
              <w:jc w:val="center"/>
              <w:rPr>
                <w:rFonts w:hint="eastAsia" w:ascii="宋体" w:hAnsi="宋体"/>
                <w:sz w:val="22"/>
                <w:szCs w:val="22"/>
                <w:lang w:val="en-US" w:eastAsia="zh-CN"/>
              </w:rPr>
            </w:pPr>
            <w:r>
              <w:rPr>
                <w:rFonts w:hint="eastAsia" w:ascii="宋体" w:hAnsi="宋体"/>
                <w:sz w:val="22"/>
                <w:szCs w:val="22"/>
                <w:lang w:val="en-US" w:eastAsia="zh-CN"/>
              </w:rPr>
              <w:t>8</w:t>
            </w:r>
          </w:p>
        </w:tc>
        <w:tc>
          <w:tcPr>
            <w:tcW w:w="1275" w:type="dxa"/>
            <w:noWrap w:val="0"/>
            <w:vAlign w:val="center"/>
          </w:tcPr>
          <w:p>
            <w:pPr>
              <w:spacing w:line="360" w:lineRule="auto"/>
              <w:jc w:val="center"/>
              <w:rPr>
                <w:rFonts w:hint="eastAsia" w:ascii="宋体" w:hAnsi="宋体"/>
                <w:color w:val="000000"/>
                <w:sz w:val="22"/>
                <w:szCs w:val="22"/>
              </w:rPr>
            </w:pPr>
            <w:r>
              <w:rPr>
                <w:rFonts w:hint="eastAsia" w:ascii="宋体" w:hAnsi="宋体"/>
                <w:color w:val="000000"/>
                <w:sz w:val="22"/>
                <w:szCs w:val="22"/>
              </w:rPr>
              <w:t>安全保障</w:t>
            </w:r>
          </w:p>
        </w:tc>
        <w:tc>
          <w:tcPr>
            <w:tcW w:w="6663" w:type="dxa"/>
            <w:noWrap w:val="0"/>
            <w:vAlign w:val="center"/>
          </w:tcPr>
          <w:p>
            <w:pPr>
              <w:spacing w:line="360" w:lineRule="auto"/>
              <w:jc w:val="left"/>
              <w:rPr>
                <w:rFonts w:hint="eastAsia" w:ascii="宋体" w:hAnsi="宋体"/>
                <w:color w:val="000000"/>
                <w:sz w:val="22"/>
                <w:szCs w:val="22"/>
              </w:rPr>
            </w:pPr>
            <w:r>
              <w:rPr>
                <w:rFonts w:hint="eastAsia" w:ascii="宋体" w:hAnsi="宋体"/>
                <w:color w:val="000000"/>
                <w:sz w:val="22"/>
                <w:szCs w:val="22"/>
              </w:rPr>
              <w:t>对安全施工及运维期安全维护、前端点位安全意外责任的措施及方案合理性，安全责任体系的合理性、有效性，方案完善程度等方面进行评审0-8分。</w:t>
            </w:r>
          </w:p>
        </w:tc>
        <w:tc>
          <w:tcPr>
            <w:tcW w:w="814" w:type="dxa"/>
            <w:noWrap w:val="0"/>
            <w:vAlign w:val="center"/>
          </w:tcPr>
          <w:p>
            <w:pPr>
              <w:pStyle w:val="124"/>
              <w:adjustRightInd w:val="0"/>
              <w:snapToGrid w:val="0"/>
              <w:spacing w:before="0"/>
              <w:ind w:firstLine="0" w:firstLineChars="0"/>
              <w:jc w:val="center"/>
              <w:rPr>
                <w:rFonts w:hint="eastAsia" w:ascii="宋体" w:hAnsi="宋体"/>
                <w:b/>
                <w:sz w:val="22"/>
                <w:szCs w:val="22"/>
                <w:lang w:val="en-US" w:eastAsia="zh-CN"/>
              </w:rPr>
            </w:pPr>
            <w:r>
              <w:rPr>
                <w:rFonts w:hint="eastAsia" w:ascii="宋体" w:hAnsi="宋体"/>
                <w:b/>
                <w:sz w:val="22"/>
                <w:szCs w:val="22"/>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pStyle w:val="124"/>
              <w:adjustRightInd w:val="0"/>
              <w:snapToGrid w:val="0"/>
              <w:spacing w:before="0"/>
              <w:ind w:firstLine="0" w:firstLineChars="0"/>
              <w:jc w:val="center"/>
              <w:rPr>
                <w:rFonts w:hint="eastAsia" w:ascii="宋体" w:hAnsi="宋体"/>
                <w:sz w:val="22"/>
                <w:szCs w:val="22"/>
                <w:lang w:val="en-US" w:eastAsia="zh-CN"/>
              </w:rPr>
            </w:pPr>
            <w:r>
              <w:rPr>
                <w:rFonts w:hint="eastAsia" w:ascii="宋体" w:hAnsi="宋体"/>
                <w:sz w:val="22"/>
                <w:szCs w:val="22"/>
                <w:lang w:val="en-US" w:eastAsia="zh-CN"/>
              </w:rPr>
              <w:t>9</w:t>
            </w:r>
          </w:p>
        </w:tc>
        <w:tc>
          <w:tcPr>
            <w:tcW w:w="1275" w:type="dxa"/>
            <w:noWrap w:val="0"/>
            <w:vAlign w:val="center"/>
          </w:tcPr>
          <w:p>
            <w:pPr>
              <w:spacing w:line="360" w:lineRule="auto"/>
              <w:jc w:val="center"/>
              <w:rPr>
                <w:rFonts w:hint="eastAsia" w:ascii="宋体" w:hAnsi="宋体"/>
                <w:color w:val="000000"/>
                <w:sz w:val="22"/>
                <w:szCs w:val="22"/>
              </w:rPr>
            </w:pPr>
            <w:r>
              <w:rPr>
                <w:rFonts w:hint="eastAsia" w:ascii="宋体" w:hAnsi="宋体"/>
                <w:color w:val="000000"/>
                <w:sz w:val="22"/>
                <w:szCs w:val="22"/>
              </w:rPr>
              <w:t>合理化建议</w:t>
            </w:r>
          </w:p>
        </w:tc>
        <w:tc>
          <w:tcPr>
            <w:tcW w:w="6663" w:type="dxa"/>
            <w:noWrap w:val="0"/>
            <w:vAlign w:val="center"/>
          </w:tcPr>
          <w:p>
            <w:pPr>
              <w:spacing w:line="360" w:lineRule="auto"/>
              <w:jc w:val="left"/>
              <w:rPr>
                <w:rFonts w:hint="eastAsia" w:ascii="宋体" w:hAnsi="宋体"/>
                <w:color w:val="000000"/>
                <w:sz w:val="22"/>
                <w:szCs w:val="22"/>
              </w:rPr>
            </w:pPr>
            <w:r>
              <w:rPr>
                <w:rFonts w:hint="eastAsia" w:ascii="宋体" w:hAnsi="宋体"/>
                <w:color w:val="000000"/>
                <w:sz w:val="22"/>
                <w:szCs w:val="22"/>
              </w:rPr>
              <w:t>投标人针对本项目的合理化建议0-3分。</w:t>
            </w:r>
          </w:p>
        </w:tc>
        <w:tc>
          <w:tcPr>
            <w:tcW w:w="814" w:type="dxa"/>
            <w:noWrap w:val="0"/>
            <w:vAlign w:val="center"/>
          </w:tcPr>
          <w:p>
            <w:pPr>
              <w:pStyle w:val="124"/>
              <w:adjustRightInd w:val="0"/>
              <w:snapToGrid w:val="0"/>
              <w:spacing w:before="0"/>
              <w:ind w:firstLine="0" w:firstLineChars="0"/>
              <w:jc w:val="center"/>
              <w:rPr>
                <w:rFonts w:hint="eastAsia" w:ascii="宋体" w:hAnsi="宋体"/>
                <w:b/>
                <w:sz w:val="22"/>
                <w:szCs w:val="22"/>
                <w:lang w:val="en-US" w:eastAsia="zh-CN"/>
              </w:rPr>
            </w:pPr>
            <w:r>
              <w:rPr>
                <w:rFonts w:hint="eastAsia" w:ascii="宋体" w:hAnsi="宋体"/>
                <w:b/>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pStyle w:val="124"/>
              <w:adjustRightInd w:val="0"/>
              <w:snapToGrid w:val="0"/>
              <w:spacing w:before="0"/>
              <w:ind w:firstLine="0" w:firstLineChars="0"/>
              <w:jc w:val="center"/>
              <w:rPr>
                <w:rFonts w:hint="eastAsia" w:ascii="宋体" w:hAnsi="宋体"/>
                <w:sz w:val="22"/>
                <w:szCs w:val="22"/>
                <w:lang w:val="en-US" w:eastAsia="zh-CN"/>
              </w:rPr>
            </w:pPr>
            <w:r>
              <w:rPr>
                <w:rFonts w:hint="eastAsia" w:ascii="宋体" w:hAnsi="宋体"/>
                <w:sz w:val="22"/>
                <w:szCs w:val="22"/>
                <w:lang w:val="en-US" w:eastAsia="zh-CN"/>
              </w:rPr>
              <w:t>10</w:t>
            </w:r>
          </w:p>
        </w:tc>
        <w:tc>
          <w:tcPr>
            <w:tcW w:w="1275" w:type="dxa"/>
            <w:noWrap w:val="0"/>
            <w:vAlign w:val="center"/>
          </w:tcPr>
          <w:p>
            <w:pPr>
              <w:spacing w:line="360" w:lineRule="auto"/>
              <w:jc w:val="center"/>
              <w:rPr>
                <w:rFonts w:hint="eastAsia" w:ascii="宋体" w:hAnsi="宋体"/>
                <w:color w:val="000000"/>
                <w:sz w:val="22"/>
                <w:szCs w:val="22"/>
              </w:rPr>
            </w:pPr>
            <w:r>
              <w:rPr>
                <w:rFonts w:hint="eastAsia" w:ascii="宋体" w:hAnsi="宋体"/>
                <w:color w:val="000000"/>
                <w:sz w:val="22"/>
                <w:szCs w:val="22"/>
              </w:rPr>
              <w:t>拟派人员情况</w:t>
            </w:r>
          </w:p>
        </w:tc>
        <w:tc>
          <w:tcPr>
            <w:tcW w:w="6663" w:type="dxa"/>
            <w:noWrap w:val="0"/>
            <w:vAlign w:val="center"/>
          </w:tcPr>
          <w:p>
            <w:pPr>
              <w:spacing w:line="360" w:lineRule="auto"/>
              <w:jc w:val="left"/>
              <w:rPr>
                <w:rFonts w:hint="eastAsia" w:ascii="宋体" w:hAnsi="宋体"/>
                <w:color w:val="000000"/>
                <w:sz w:val="22"/>
                <w:szCs w:val="22"/>
              </w:rPr>
            </w:pPr>
            <w:r>
              <w:rPr>
                <w:rFonts w:hint="eastAsia" w:ascii="宋体" w:hAnsi="宋体"/>
                <w:color w:val="000000"/>
                <w:sz w:val="22"/>
                <w:szCs w:val="22"/>
              </w:rPr>
              <w:t>评委根据投标人针对本项目拟派人员（项目经理除外）的技能水平、类似项目经验情况，从专业情况、合理情况、优势情况进行综合评议（0-4分）。投标文件中附拟派人员技能水平证明资料复印件、类似项目经验证明资料复印件，拟派人员近三个月的社保证明资料复印件。</w:t>
            </w:r>
          </w:p>
        </w:tc>
        <w:tc>
          <w:tcPr>
            <w:tcW w:w="814" w:type="dxa"/>
            <w:noWrap w:val="0"/>
            <w:vAlign w:val="center"/>
          </w:tcPr>
          <w:p>
            <w:pPr>
              <w:pStyle w:val="124"/>
              <w:adjustRightInd w:val="0"/>
              <w:snapToGrid w:val="0"/>
              <w:spacing w:before="0"/>
              <w:ind w:firstLine="0" w:firstLineChars="0"/>
              <w:jc w:val="center"/>
              <w:rPr>
                <w:rFonts w:hint="eastAsia" w:ascii="宋体" w:hAnsi="宋体"/>
                <w:b/>
                <w:sz w:val="22"/>
                <w:szCs w:val="22"/>
                <w:lang w:val="en-US" w:eastAsia="zh-CN"/>
              </w:rPr>
            </w:pPr>
            <w:r>
              <w:rPr>
                <w:rFonts w:hint="eastAsia" w:ascii="宋体" w:hAnsi="宋体"/>
                <w:b/>
                <w:sz w:val="22"/>
                <w:szCs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pStyle w:val="124"/>
              <w:adjustRightInd w:val="0"/>
              <w:snapToGrid w:val="0"/>
              <w:spacing w:before="0"/>
              <w:ind w:firstLine="0" w:firstLineChars="0"/>
              <w:jc w:val="center"/>
              <w:rPr>
                <w:rFonts w:hint="eastAsia" w:ascii="宋体" w:hAnsi="宋体"/>
                <w:sz w:val="22"/>
                <w:szCs w:val="22"/>
                <w:lang w:val="en-US" w:eastAsia="zh-CN"/>
              </w:rPr>
            </w:pPr>
            <w:r>
              <w:rPr>
                <w:rFonts w:hint="eastAsia" w:ascii="宋体" w:hAnsi="宋体"/>
                <w:sz w:val="22"/>
                <w:szCs w:val="22"/>
                <w:lang w:val="en-US" w:eastAsia="zh-CN"/>
              </w:rPr>
              <w:t>11</w:t>
            </w:r>
          </w:p>
        </w:tc>
        <w:tc>
          <w:tcPr>
            <w:tcW w:w="1275" w:type="dxa"/>
            <w:noWrap w:val="0"/>
            <w:vAlign w:val="center"/>
          </w:tcPr>
          <w:p>
            <w:pPr>
              <w:spacing w:line="360" w:lineRule="auto"/>
              <w:jc w:val="center"/>
              <w:rPr>
                <w:rFonts w:hint="eastAsia" w:ascii="宋体" w:hAnsi="宋体"/>
                <w:color w:val="000000"/>
                <w:sz w:val="22"/>
                <w:szCs w:val="22"/>
              </w:rPr>
            </w:pPr>
            <w:r>
              <w:rPr>
                <w:rFonts w:hint="eastAsia" w:ascii="宋体" w:hAnsi="宋体"/>
                <w:color w:val="000000"/>
                <w:sz w:val="22"/>
                <w:szCs w:val="22"/>
              </w:rPr>
              <w:t>项目实施人员</w:t>
            </w:r>
          </w:p>
        </w:tc>
        <w:tc>
          <w:tcPr>
            <w:tcW w:w="6663" w:type="dxa"/>
            <w:noWrap w:val="0"/>
            <w:vAlign w:val="center"/>
          </w:tcPr>
          <w:p>
            <w:pPr>
              <w:spacing w:line="360" w:lineRule="auto"/>
              <w:jc w:val="left"/>
              <w:rPr>
                <w:rFonts w:hint="eastAsia" w:ascii="宋体" w:hAnsi="宋体"/>
                <w:sz w:val="22"/>
                <w:szCs w:val="22"/>
              </w:rPr>
            </w:pPr>
            <w:r>
              <w:rPr>
                <w:rFonts w:hint="eastAsia" w:ascii="宋体" w:hAnsi="宋体"/>
                <w:sz w:val="22"/>
                <w:szCs w:val="22"/>
              </w:rPr>
              <w:t>1、拟派项目经理具有“信息系统集成及服务项目管理人员”高级项目经理证书的，得2分；具有（电气、电子相关专业）高级工程师及以上职称证书的,得1分；最高得3分，无不得分。</w:t>
            </w:r>
          </w:p>
          <w:p>
            <w:pPr>
              <w:spacing w:line="360" w:lineRule="auto"/>
              <w:jc w:val="left"/>
              <w:rPr>
                <w:rFonts w:hint="eastAsia" w:ascii="宋体" w:hAnsi="宋体"/>
                <w:color w:val="000000"/>
                <w:sz w:val="22"/>
                <w:szCs w:val="22"/>
              </w:rPr>
            </w:pPr>
            <w:r>
              <w:rPr>
                <w:rFonts w:hint="eastAsia" w:ascii="宋体" w:hAnsi="宋体"/>
                <w:color w:val="000000"/>
                <w:sz w:val="22"/>
                <w:szCs w:val="22"/>
              </w:rPr>
              <w:t>2、拟派本项目组人员中具有助理计算机维修工程师及以上证书、助理网络安全工程师及以上证书、网络工程师及以上证书、中国信息安全保障人员认证（</w:t>
            </w:r>
            <w:r>
              <w:rPr>
                <w:rFonts w:ascii="宋体" w:hAnsi="宋体"/>
                <w:color w:val="000000"/>
                <w:sz w:val="22"/>
                <w:szCs w:val="22"/>
              </w:rPr>
              <w:t>CISAW</w:t>
            </w:r>
            <w:r>
              <w:rPr>
                <w:rFonts w:hint="eastAsia" w:ascii="宋体" w:hAnsi="宋体"/>
                <w:color w:val="000000"/>
                <w:sz w:val="22"/>
                <w:szCs w:val="22"/>
              </w:rPr>
              <w:t>）信息系统安全运维方向（专业级）证书的，每提供一个得1分，最高得4分。</w:t>
            </w:r>
          </w:p>
          <w:p>
            <w:pPr>
              <w:spacing w:line="360" w:lineRule="auto"/>
              <w:jc w:val="left"/>
              <w:rPr>
                <w:rFonts w:hint="eastAsia" w:ascii="宋体" w:hAnsi="宋体"/>
                <w:color w:val="000000"/>
                <w:sz w:val="22"/>
                <w:szCs w:val="22"/>
              </w:rPr>
            </w:pPr>
            <w:r>
              <w:rPr>
                <w:rFonts w:hint="eastAsia" w:ascii="宋体" w:hAnsi="宋体"/>
                <w:color w:val="000000"/>
                <w:sz w:val="22"/>
                <w:szCs w:val="22"/>
              </w:rPr>
              <w:t>（备注：投标文件中需提供以上人员的证书和近三个月内社保缴纳证明复印件并加盖公章)</w:t>
            </w:r>
          </w:p>
        </w:tc>
        <w:tc>
          <w:tcPr>
            <w:tcW w:w="814" w:type="dxa"/>
            <w:noWrap w:val="0"/>
            <w:vAlign w:val="center"/>
          </w:tcPr>
          <w:p>
            <w:pPr>
              <w:pStyle w:val="124"/>
              <w:adjustRightInd w:val="0"/>
              <w:snapToGrid w:val="0"/>
              <w:spacing w:before="0"/>
              <w:ind w:firstLine="0" w:firstLineChars="0"/>
              <w:jc w:val="center"/>
              <w:rPr>
                <w:rFonts w:hint="eastAsia" w:ascii="宋体" w:hAnsi="宋体"/>
                <w:b/>
                <w:sz w:val="22"/>
                <w:szCs w:val="22"/>
                <w:lang w:val="en-US" w:eastAsia="zh-CN"/>
              </w:rPr>
            </w:pPr>
            <w:r>
              <w:rPr>
                <w:rFonts w:hint="eastAsia" w:ascii="宋体" w:hAnsi="宋体"/>
                <w:b/>
                <w:sz w:val="22"/>
                <w:szCs w:val="22"/>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pStyle w:val="124"/>
              <w:adjustRightInd w:val="0"/>
              <w:snapToGrid w:val="0"/>
              <w:spacing w:before="0"/>
              <w:ind w:firstLine="0" w:firstLineChars="0"/>
              <w:jc w:val="center"/>
              <w:rPr>
                <w:rFonts w:hint="eastAsia" w:ascii="宋体" w:hAnsi="宋体"/>
                <w:sz w:val="22"/>
                <w:szCs w:val="22"/>
                <w:lang w:val="en-US" w:eastAsia="zh-CN"/>
              </w:rPr>
            </w:pPr>
            <w:r>
              <w:rPr>
                <w:rFonts w:hint="eastAsia" w:ascii="宋体" w:hAnsi="宋体"/>
                <w:sz w:val="22"/>
                <w:szCs w:val="22"/>
                <w:lang w:val="en-US" w:eastAsia="zh-CN"/>
              </w:rPr>
              <w:t>12</w:t>
            </w:r>
          </w:p>
        </w:tc>
        <w:tc>
          <w:tcPr>
            <w:tcW w:w="1275" w:type="dxa"/>
            <w:noWrap w:val="0"/>
            <w:vAlign w:val="center"/>
          </w:tcPr>
          <w:p>
            <w:pPr>
              <w:spacing w:line="360" w:lineRule="auto"/>
              <w:jc w:val="center"/>
              <w:rPr>
                <w:rFonts w:hint="eastAsia" w:ascii="宋体" w:hAnsi="宋体"/>
                <w:color w:val="000000"/>
                <w:sz w:val="22"/>
                <w:szCs w:val="22"/>
              </w:rPr>
            </w:pPr>
            <w:r>
              <w:rPr>
                <w:rFonts w:hint="eastAsia" w:ascii="宋体" w:hAnsi="宋体"/>
                <w:color w:val="000000"/>
                <w:sz w:val="22"/>
                <w:szCs w:val="22"/>
              </w:rPr>
              <w:t>售后服务工程车辆设备</w:t>
            </w:r>
          </w:p>
        </w:tc>
        <w:tc>
          <w:tcPr>
            <w:tcW w:w="6663" w:type="dxa"/>
            <w:noWrap w:val="0"/>
            <w:vAlign w:val="center"/>
          </w:tcPr>
          <w:p>
            <w:pPr>
              <w:spacing w:line="360" w:lineRule="auto"/>
              <w:jc w:val="left"/>
              <w:rPr>
                <w:rFonts w:hint="eastAsia" w:ascii="宋体" w:hAnsi="宋体"/>
                <w:color w:val="000000"/>
                <w:sz w:val="22"/>
                <w:szCs w:val="22"/>
              </w:rPr>
            </w:pPr>
            <w:r>
              <w:rPr>
                <w:rFonts w:hint="eastAsia" w:ascii="宋体" w:hAnsi="宋体"/>
                <w:color w:val="000000"/>
                <w:sz w:val="22"/>
                <w:szCs w:val="22"/>
              </w:rPr>
              <w:t>投标人具有满足维护要求的工程车的得2分。（投标文件中需提供车辆的行驶证复印件并加盖公章）</w:t>
            </w:r>
          </w:p>
        </w:tc>
        <w:tc>
          <w:tcPr>
            <w:tcW w:w="814" w:type="dxa"/>
            <w:noWrap w:val="0"/>
            <w:vAlign w:val="center"/>
          </w:tcPr>
          <w:p>
            <w:pPr>
              <w:pStyle w:val="124"/>
              <w:adjustRightInd w:val="0"/>
              <w:snapToGrid w:val="0"/>
              <w:spacing w:before="0"/>
              <w:ind w:firstLine="0" w:firstLineChars="0"/>
              <w:jc w:val="center"/>
              <w:rPr>
                <w:rFonts w:hint="eastAsia" w:ascii="宋体" w:hAnsi="宋体"/>
                <w:b/>
                <w:sz w:val="22"/>
                <w:szCs w:val="22"/>
                <w:lang w:val="en-US" w:eastAsia="zh-CN"/>
              </w:rPr>
            </w:pPr>
            <w:r>
              <w:rPr>
                <w:rFonts w:hint="eastAsia" w:ascii="宋体" w:hAnsi="宋体"/>
                <w:b/>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pStyle w:val="124"/>
              <w:adjustRightInd w:val="0"/>
              <w:snapToGrid w:val="0"/>
              <w:spacing w:before="0"/>
              <w:ind w:firstLine="0" w:firstLineChars="0"/>
              <w:jc w:val="center"/>
              <w:rPr>
                <w:rFonts w:hint="eastAsia" w:ascii="宋体" w:hAnsi="宋体"/>
                <w:sz w:val="22"/>
                <w:szCs w:val="22"/>
                <w:lang w:val="en-US" w:eastAsia="zh-CN"/>
              </w:rPr>
            </w:pPr>
            <w:r>
              <w:rPr>
                <w:rFonts w:hint="eastAsia" w:ascii="宋体" w:hAnsi="宋体"/>
                <w:sz w:val="22"/>
                <w:szCs w:val="22"/>
                <w:lang w:val="en-US" w:eastAsia="zh-CN"/>
              </w:rPr>
              <w:t>13</w:t>
            </w:r>
          </w:p>
        </w:tc>
        <w:tc>
          <w:tcPr>
            <w:tcW w:w="1275" w:type="dxa"/>
            <w:noWrap w:val="0"/>
            <w:vAlign w:val="center"/>
          </w:tcPr>
          <w:p>
            <w:pPr>
              <w:spacing w:line="360" w:lineRule="auto"/>
              <w:jc w:val="center"/>
              <w:rPr>
                <w:rFonts w:hint="eastAsia" w:ascii="宋体" w:hAnsi="宋体"/>
                <w:color w:val="000000"/>
                <w:sz w:val="22"/>
                <w:szCs w:val="22"/>
              </w:rPr>
            </w:pPr>
            <w:r>
              <w:rPr>
                <w:rFonts w:hint="eastAsia" w:ascii="宋体" w:hAnsi="宋体"/>
                <w:color w:val="000000"/>
                <w:sz w:val="22"/>
                <w:szCs w:val="22"/>
              </w:rPr>
              <w:t>拟派项目经理答辩</w:t>
            </w:r>
          </w:p>
        </w:tc>
        <w:tc>
          <w:tcPr>
            <w:tcW w:w="6663" w:type="dxa"/>
            <w:noWrap w:val="0"/>
            <w:vAlign w:val="center"/>
          </w:tcPr>
          <w:p>
            <w:pPr>
              <w:spacing w:line="360" w:lineRule="auto"/>
              <w:jc w:val="left"/>
              <w:rPr>
                <w:rFonts w:hint="eastAsia" w:ascii="宋体" w:hAnsi="宋体"/>
                <w:color w:val="000000"/>
                <w:sz w:val="22"/>
                <w:szCs w:val="22"/>
              </w:rPr>
            </w:pPr>
            <w:r>
              <w:rPr>
                <w:rFonts w:hint="eastAsia" w:ascii="宋体" w:hAnsi="宋体"/>
                <w:color w:val="000000"/>
                <w:sz w:val="22"/>
                <w:szCs w:val="22"/>
              </w:rPr>
              <w:t>投标人拟派的项目经理须进行5分钟以内的陈述，向评审委员会陈述提供服务技术特点、要点等，并应评审委员会要求进行技术答辩。评审委员会成员根据拟派的项目经理答辩情况进行综合评议0-5分</w:t>
            </w:r>
          </w:p>
        </w:tc>
        <w:tc>
          <w:tcPr>
            <w:tcW w:w="814" w:type="dxa"/>
            <w:noWrap w:val="0"/>
            <w:vAlign w:val="center"/>
          </w:tcPr>
          <w:p>
            <w:pPr>
              <w:pStyle w:val="124"/>
              <w:adjustRightInd w:val="0"/>
              <w:snapToGrid w:val="0"/>
              <w:spacing w:before="0"/>
              <w:ind w:firstLine="0" w:firstLineChars="0"/>
              <w:jc w:val="center"/>
              <w:rPr>
                <w:rFonts w:hint="eastAsia" w:ascii="宋体" w:hAnsi="宋体"/>
                <w:b/>
                <w:sz w:val="22"/>
                <w:szCs w:val="22"/>
                <w:lang w:val="en-US" w:eastAsia="zh-CN"/>
              </w:rPr>
            </w:pPr>
            <w:r>
              <w:rPr>
                <w:rFonts w:hint="eastAsia" w:ascii="宋体" w:hAnsi="宋体"/>
                <w:b/>
                <w:sz w:val="22"/>
                <w:szCs w:val="2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pStyle w:val="124"/>
              <w:adjustRightInd w:val="0"/>
              <w:snapToGrid w:val="0"/>
              <w:spacing w:before="0"/>
              <w:ind w:firstLine="0" w:firstLineChars="0"/>
              <w:jc w:val="center"/>
              <w:rPr>
                <w:rFonts w:hint="eastAsia" w:ascii="宋体" w:hAnsi="宋体"/>
                <w:sz w:val="22"/>
                <w:szCs w:val="22"/>
                <w:lang w:val="en-US" w:eastAsia="zh-CN"/>
              </w:rPr>
            </w:pPr>
            <w:r>
              <w:rPr>
                <w:rFonts w:hint="eastAsia" w:ascii="宋体" w:hAnsi="宋体"/>
                <w:sz w:val="22"/>
                <w:szCs w:val="22"/>
                <w:lang w:val="en-US" w:eastAsia="zh-CN"/>
              </w:rPr>
              <w:t>14</w:t>
            </w:r>
          </w:p>
        </w:tc>
        <w:tc>
          <w:tcPr>
            <w:tcW w:w="7938" w:type="dxa"/>
            <w:gridSpan w:val="2"/>
            <w:noWrap w:val="0"/>
            <w:vAlign w:val="center"/>
          </w:tcPr>
          <w:p>
            <w:pPr>
              <w:pStyle w:val="124"/>
              <w:adjustRightInd w:val="0"/>
              <w:snapToGrid w:val="0"/>
              <w:spacing w:before="0"/>
              <w:ind w:firstLine="0" w:firstLineChars="0"/>
              <w:jc w:val="center"/>
              <w:rPr>
                <w:rFonts w:hint="eastAsia" w:ascii="宋体" w:hAnsi="宋体"/>
                <w:sz w:val="22"/>
                <w:szCs w:val="22"/>
                <w:lang w:val="en-US" w:eastAsia="zh-CN"/>
              </w:rPr>
            </w:pPr>
            <w:r>
              <w:rPr>
                <w:rFonts w:hint="eastAsia" w:ascii="宋体" w:hAnsi="宋体"/>
                <w:sz w:val="22"/>
                <w:szCs w:val="22"/>
                <w:lang w:val="en-US" w:eastAsia="zh-CN"/>
              </w:rPr>
              <w:t>合计</w:t>
            </w:r>
          </w:p>
        </w:tc>
        <w:tc>
          <w:tcPr>
            <w:tcW w:w="814" w:type="dxa"/>
            <w:noWrap w:val="0"/>
            <w:vAlign w:val="center"/>
          </w:tcPr>
          <w:p>
            <w:pPr>
              <w:pStyle w:val="124"/>
              <w:adjustRightInd w:val="0"/>
              <w:snapToGrid w:val="0"/>
              <w:spacing w:before="0"/>
              <w:ind w:firstLine="0" w:firstLineChars="0"/>
              <w:jc w:val="center"/>
              <w:rPr>
                <w:rFonts w:hint="eastAsia" w:ascii="宋体" w:hAnsi="宋体"/>
                <w:b/>
                <w:sz w:val="22"/>
                <w:szCs w:val="22"/>
                <w:lang w:val="en-US" w:eastAsia="zh-CN"/>
              </w:rPr>
            </w:pPr>
            <w:r>
              <w:rPr>
                <w:rFonts w:hint="eastAsia" w:ascii="宋体" w:hAnsi="宋体"/>
                <w:b/>
                <w:sz w:val="22"/>
                <w:szCs w:val="22"/>
                <w:lang w:val="en-US" w:eastAsia="zh-CN"/>
              </w:rPr>
              <w:t>70</w:t>
            </w:r>
          </w:p>
        </w:tc>
      </w:tr>
    </w:tbl>
    <w:p>
      <w:pPr>
        <w:adjustRightInd w:val="0"/>
        <w:snapToGrid w:val="0"/>
        <w:spacing w:line="360" w:lineRule="auto"/>
        <w:rPr>
          <w:rFonts w:hint="eastAsia" w:ascii="宋体" w:hAnsi="宋体"/>
          <w:b/>
          <w:sz w:val="22"/>
          <w:szCs w:val="22"/>
        </w:rPr>
      </w:pPr>
    </w:p>
    <w:p>
      <w:pPr>
        <w:pStyle w:val="124"/>
        <w:adjustRightInd w:val="0"/>
        <w:snapToGrid w:val="0"/>
        <w:spacing w:before="0"/>
        <w:ind w:firstLine="442"/>
        <w:rPr>
          <w:rFonts w:hint="eastAsia" w:ascii="宋体" w:hAnsi="宋体"/>
          <w:b/>
          <w:sz w:val="22"/>
          <w:szCs w:val="22"/>
        </w:rPr>
      </w:pPr>
      <w:r>
        <w:rPr>
          <w:rFonts w:hint="eastAsia" w:ascii="宋体" w:hAnsi="宋体"/>
          <w:b/>
          <w:sz w:val="22"/>
          <w:szCs w:val="22"/>
        </w:rPr>
        <w:t>三、</w:t>
      </w:r>
      <w:r>
        <w:rPr>
          <w:rFonts w:hint="eastAsia" w:ascii="宋体" w:hAnsi="宋体"/>
          <w:b/>
          <w:sz w:val="22"/>
          <w:szCs w:val="22"/>
          <w:lang w:eastAsia="zh-CN"/>
        </w:rPr>
        <w:t>资信</w:t>
      </w:r>
      <w:r>
        <w:rPr>
          <w:rFonts w:hint="eastAsia" w:ascii="宋体" w:hAnsi="宋体"/>
          <w:b/>
          <w:sz w:val="22"/>
          <w:szCs w:val="22"/>
        </w:rPr>
        <w:t>商务标评分表,</w:t>
      </w:r>
      <w:r>
        <w:rPr>
          <w:rFonts w:hint="eastAsia" w:ascii="宋体" w:hAnsi="宋体"/>
          <w:b/>
          <w:sz w:val="22"/>
          <w:szCs w:val="22"/>
          <w:lang w:eastAsia="zh-CN"/>
        </w:rPr>
        <w:t>10</w:t>
      </w:r>
      <w:r>
        <w:rPr>
          <w:rFonts w:hint="eastAsia" w:ascii="宋体" w:hAnsi="宋体"/>
          <w:b/>
          <w:sz w:val="22"/>
          <w:szCs w:val="22"/>
        </w:rPr>
        <w:t>分，</w:t>
      </w:r>
    </w:p>
    <w:p>
      <w:pPr>
        <w:pStyle w:val="124"/>
        <w:adjustRightInd w:val="0"/>
        <w:snapToGrid w:val="0"/>
        <w:spacing w:before="0"/>
        <w:ind w:firstLine="440"/>
        <w:rPr>
          <w:rFonts w:hint="eastAsia" w:ascii="宋体" w:hAnsi="宋体"/>
          <w:sz w:val="22"/>
          <w:szCs w:val="22"/>
        </w:rPr>
      </w:pPr>
      <w:r>
        <w:rPr>
          <w:rFonts w:hint="eastAsia" w:ascii="宋体" w:hAnsi="宋体"/>
          <w:sz w:val="22"/>
          <w:szCs w:val="22"/>
        </w:rPr>
        <w:t>评审小组成员根据评审细则内容统一评审打分。得分值小数点后保留二位，第三位四舍五入。</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946"/>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8" w:hRule="atLeast"/>
        </w:trPr>
        <w:tc>
          <w:tcPr>
            <w:tcW w:w="1526" w:type="dxa"/>
            <w:noWrap w:val="0"/>
            <w:vAlign w:val="center"/>
          </w:tcPr>
          <w:p>
            <w:pPr>
              <w:spacing w:line="360" w:lineRule="auto"/>
              <w:jc w:val="center"/>
              <w:rPr>
                <w:rFonts w:ascii="宋体" w:hAnsi="宋体"/>
                <w:b/>
                <w:color w:val="000000"/>
                <w:kern w:val="0"/>
                <w:sz w:val="22"/>
                <w:szCs w:val="22"/>
              </w:rPr>
            </w:pPr>
            <w:r>
              <w:rPr>
                <w:rFonts w:hint="eastAsia" w:ascii="宋体" w:hAnsi="宋体" w:cs="宋体"/>
                <w:b/>
                <w:color w:val="000000"/>
                <w:kern w:val="0"/>
                <w:sz w:val="22"/>
                <w:szCs w:val="22"/>
                <w:lang w:bidi="ar"/>
              </w:rPr>
              <w:t>评分内容</w:t>
            </w:r>
          </w:p>
        </w:tc>
        <w:tc>
          <w:tcPr>
            <w:tcW w:w="6946" w:type="dxa"/>
            <w:noWrap w:val="0"/>
            <w:vAlign w:val="center"/>
          </w:tcPr>
          <w:p>
            <w:pPr>
              <w:spacing w:line="360" w:lineRule="auto"/>
              <w:jc w:val="center"/>
              <w:rPr>
                <w:rFonts w:ascii="宋体" w:hAnsi="宋体"/>
                <w:b/>
                <w:color w:val="000000"/>
                <w:kern w:val="0"/>
                <w:sz w:val="22"/>
                <w:szCs w:val="22"/>
              </w:rPr>
            </w:pPr>
            <w:r>
              <w:rPr>
                <w:rFonts w:hint="eastAsia" w:ascii="宋体" w:hAnsi="宋体" w:cs="宋体"/>
                <w:b/>
                <w:color w:val="000000"/>
                <w:kern w:val="0"/>
                <w:sz w:val="22"/>
                <w:szCs w:val="22"/>
                <w:lang w:bidi="ar"/>
              </w:rPr>
              <w:t>评审标准</w:t>
            </w:r>
          </w:p>
        </w:tc>
        <w:tc>
          <w:tcPr>
            <w:tcW w:w="814" w:type="dxa"/>
            <w:noWrap w:val="0"/>
            <w:vAlign w:val="center"/>
          </w:tcPr>
          <w:p>
            <w:pPr>
              <w:pStyle w:val="124"/>
              <w:adjustRightInd w:val="0"/>
              <w:snapToGrid w:val="0"/>
              <w:spacing w:before="0"/>
              <w:ind w:firstLine="0" w:firstLineChars="0"/>
              <w:jc w:val="center"/>
              <w:rPr>
                <w:rFonts w:hint="eastAsia" w:ascii="宋体" w:hAnsi="宋体"/>
                <w:b/>
                <w:sz w:val="22"/>
                <w:szCs w:val="22"/>
                <w:lang w:val="en-US" w:eastAsia="zh-CN"/>
              </w:rPr>
            </w:pPr>
            <w:r>
              <w:rPr>
                <w:rFonts w:hint="eastAsia" w:ascii="宋体" w:hAnsi="宋体" w:cs="宋体"/>
                <w:b/>
                <w:color w:val="000000"/>
                <w:kern w:val="0"/>
                <w:sz w:val="22"/>
                <w:szCs w:val="22"/>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atLeast"/>
        </w:trPr>
        <w:tc>
          <w:tcPr>
            <w:tcW w:w="1526" w:type="dxa"/>
            <w:noWrap w:val="0"/>
            <w:vAlign w:val="center"/>
          </w:tcPr>
          <w:p>
            <w:pPr>
              <w:pStyle w:val="124"/>
              <w:adjustRightInd w:val="0"/>
              <w:snapToGrid w:val="0"/>
              <w:spacing w:before="0"/>
              <w:ind w:firstLine="0" w:firstLineChars="0"/>
              <w:jc w:val="center"/>
              <w:rPr>
                <w:rFonts w:hint="eastAsia" w:ascii="宋体" w:hAnsi="宋体"/>
                <w:b/>
                <w:sz w:val="22"/>
                <w:szCs w:val="22"/>
                <w:lang w:val="en-US" w:eastAsia="zh-CN"/>
              </w:rPr>
            </w:pPr>
            <w:r>
              <w:rPr>
                <w:rFonts w:hint="eastAsia" w:ascii="宋体" w:hAnsi="宋体" w:cs="宋体"/>
                <w:b/>
                <w:kern w:val="0"/>
                <w:sz w:val="22"/>
                <w:szCs w:val="22"/>
                <w:lang w:val="en-US" w:eastAsia="zh-CN" w:bidi="ar"/>
              </w:rPr>
              <w:t>投标人的资格（质）证书</w:t>
            </w:r>
          </w:p>
        </w:tc>
        <w:tc>
          <w:tcPr>
            <w:tcW w:w="6946" w:type="dxa"/>
            <w:noWrap w:val="0"/>
            <w:vAlign w:val="center"/>
          </w:tcPr>
          <w:p>
            <w:pPr>
              <w:spacing w:line="360" w:lineRule="auto"/>
              <w:jc w:val="left"/>
              <w:rPr>
                <w:rFonts w:hint="eastAsia" w:ascii="宋体" w:hAnsi="宋体"/>
                <w:sz w:val="22"/>
                <w:szCs w:val="22"/>
              </w:rPr>
            </w:pPr>
            <w:r>
              <w:rPr>
                <w:rFonts w:hint="eastAsia" w:ascii="宋体" w:hAnsi="宋体"/>
                <w:sz w:val="22"/>
                <w:szCs w:val="22"/>
              </w:rPr>
              <w:t>投标人具有电子与智能化工程专业承包壹级资质的得1分，贰级资质的得0.5分；投标人具备有效的安全技术防范壹级资质的得1分，贰级资质的得0.6分，叁级资质的得0.3分；投标人具有有效的ITSS信息技术服务运行维护标准证书得1分。无不得分。（证书须在有效期内，投标文件中提供证书复印件并加盖公章）</w:t>
            </w:r>
          </w:p>
        </w:tc>
        <w:tc>
          <w:tcPr>
            <w:tcW w:w="814" w:type="dxa"/>
            <w:noWrap w:val="0"/>
            <w:vAlign w:val="center"/>
          </w:tcPr>
          <w:p>
            <w:pPr>
              <w:pStyle w:val="124"/>
              <w:adjustRightInd w:val="0"/>
              <w:snapToGrid w:val="0"/>
              <w:spacing w:before="0"/>
              <w:ind w:firstLine="0" w:firstLineChars="0"/>
              <w:jc w:val="center"/>
              <w:rPr>
                <w:rFonts w:hint="eastAsia" w:ascii="宋体" w:hAnsi="宋体"/>
                <w:sz w:val="22"/>
                <w:szCs w:val="22"/>
                <w:lang w:val="en-US" w:eastAsia="zh-CN"/>
              </w:rPr>
            </w:pPr>
            <w:r>
              <w:rPr>
                <w:rFonts w:hint="eastAsia" w:ascii="宋体" w:hAnsi="宋体"/>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0" w:hRule="atLeast"/>
        </w:trPr>
        <w:tc>
          <w:tcPr>
            <w:tcW w:w="1526" w:type="dxa"/>
            <w:noWrap w:val="0"/>
            <w:vAlign w:val="center"/>
          </w:tcPr>
          <w:p>
            <w:pPr>
              <w:widowControl/>
              <w:spacing w:line="360" w:lineRule="auto"/>
              <w:jc w:val="center"/>
              <w:textAlignment w:val="center"/>
              <w:rPr>
                <w:rFonts w:hint="eastAsia" w:ascii="宋体" w:hAnsi="宋体" w:cs="宋体"/>
                <w:b/>
                <w:sz w:val="22"/>
                <w:szCs w:val="22"/>
              </w:rPr>
            </w:pPr>
            <w:r>
              <w:rPr>
                <w:rFonts w:hint="eastAsia" w:ascii="宋体" w:hAnsi="宋体" w:cs="宋体"/>
                <w:b/>
                <w:kern w:val="0"/>
                <w:sz w:val="22"/>
                <w:szCs w:val="22"/>
                <w:lang w:bidi="ar"/>
              </w:rPr>
              <w:t>投标人的</w:t>
            </w:r>
            <w:r>
              <w:rPr>
                <w:rFonts w:hint="eastAsia" w:ascii="宋体" w:hAnsi="宋体"/>
                <w:b/>
                <w:sz w:val="22"/>
                <w:szCs w:val="22"/>
              </w:rPr>
              <w:t>荣誉</w:t>
            </w:r>
          </w:p>
        </w:tc>
        <w:tc>
          <w:tcPr>
            <w:tcW w:w="6946" w:type="dxa"/>
            <w:noWrap w:val="0"/>
            <w:vAlign w:val="center"/>
          </w:tcPr>
          <w:p>
            <w:pPr>
              <w:spacing w:line="360" w:lineRule="auto"/>
              <w:rPr>
                <w:rFonts w:hint="eastAsia" w:ascii="宋体" w:hAnsi="宋体" w:cs="宋体"/>
                <w:kern w:val="0"/>
                <w:sz w:val="22"/>
                <w:szCs w:val="22"/>
                <w:lang w:bidi="ar"/>
              </w:rPr>
            </w:pPr>
            <w:r>
              <w:rPr>
                <w:rFonts w:hint="eastAsia" w:ascii="宋体" w:hAnsi="宋体"/>
                <w:color w:val="000000"/>
                <w:sz w:val="22"/>
                <w:szCs w:val="22"/>
              </w:rPr>
              <w:t>投标人具有有效的守合同重信用AAA级证书的得2分；具有有效的守合同重信用AA级的得1分，无不得分。</w:t>
            </w:r>
            <w:r>
              <w:rPr>
                <w:rFonts w:hint="eastAsia" w:ascii="宋体" w:hAnsi="宋体"/>
                <w:sz w:val="22"/>
                <w:szCs w:val="22"/>
              </w:rPr>
              <w:t>（证书须在有效期内，投标文件中提供证书复印件并加盖公章）</w:t>
            </w:r>
          </w:p>
        </w:tc>
        <w:tc>
          <w:tcPr>
            <w:tcW w:w="814" w:type="dxa"/>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0" w:hRule="atLeast"/>
        </w:trPr>
        <w:tc>
          <w:tcPr>
            <w:tcW w:w="1526" w:type="dxa"/>
            <w:noWrap w:val="0"/>
            <w:vAlign w:val="center"/>
          </w:tcPr>
          <w:p>
            <w:pPr>
              <w:widowControl/>
              <w:spacing w:line="360" w:lineRule="auto"/>
              <w:jc w:val="center"/>
              <w:textAlignment w:val="center"/>
              <w:rPr>
                <w:rFonts w:hint="eastAsia" w:ascii="宋体" w:hAnsi="宋体" w:cs="宋体"/>
                <w:b/>
                <w:bCs/>
                <w:sz w:val="22"/>
                <w:szCs w:val="22"/>
                <w:lang w:val="zh-CN"/>
              </w:rPr>
            </w:pPr>
            <w:r>
              <w:rPr>
                <w:rFonts w:hint="eastAsia" w:ascii="宋体" w:hAnsi="宋体" w:cs="宋体"/>
                <w:b/>
                <w:kern w:val="0"/>
                <w:sz w:val="22"/>
                <w:szCs w:val="22"/>
                <w:lang w:bidi="ar"/>
              </w:rPr>
              <w:t>投标人的</w:t>
            </w:r>
            <w:r>
              <w:rPr>
                <w:rFonts w:hint="eastAsia" w:ascii="宋体" w:hAnsi="宋体" w:cs="宋体"/>
                <w:b/>
                <w:color w:val="000000"/>
                <w:kern w:val="0"/>
                <w:sz w:val="22"/>
                <w:szCs w:val="22"/>
                <w:lang w:bidi="ar"/>
              </w:rPr>
              <w:t>体系认证</w:t>
            </w:r>
          </w:p>
        </w:tc>
        <w:tc>
          <w:tcPr>
            <w:tcW w:w="6946" w:type="dxa"/>
            <w:noWrap w:val="0"/>
            <w:vAlign w:val="center"/>
          </w:tcPr>
          <w:p>
            <w:pPr>
              <w:snapToGrid w:val="0"/>
              <w:spacing w:line="360" w:lineRule="auto"/>
              <w:ind w:right="25" w:rightChars="12"/>
              <w:rPr>
                <w:rFonts w:hint="eastAsia" w:ascii="宋体" w:hAnsi="宋体"/>
                <w:sz w:val="22"/>
                <w:szCs w:val="22"/>
              </w:rPr>
            </w:pPr>
            <w:r>
              <w:rPr>
                <w:rFonts w:hint="eastAsia" w:ascii="宋体" w:hAnsi="宋体" w:cs="宋体"/>
                <w:kern w:val="0"/>
                <w:sz w:val="22"/>
                <w:szCs w:val="22"/>
                <w:lang w:bidi="ar"/>
              </w:rPr>
              <w:t>投标人具有有效的ISO9001质量体系认证证书；有效的IS045001职业健康安全管理体系认证证书；有效的IS0/IEC27001信息安全管理体系认证证书；有效的ISO14001环境管理体系认证证书。每有1证得0.5分。</w:t>
            </w:r>
            <w:r>
              <w:rPr>
                <w:rFonts w:hint="eastAsia" w:ascii="宋体" w:hAnsi="宋体"/>
                <w:sz w:val="22"/>
                <w:szCs w:val="22"/>
              </w:rPr>
              <w:t>无不得分。（证书须在有效期内，投标文件中提供证书复印件并加盖公章）</w:t>
            </w:r>
          </w:p>
        </w:tc>
        <w:tc>
          <w:tcPr>
            <w:tcW w:w="814" w:type="dxa"/>
            <w:noWrap w:val="0"/>
            <w:vAlign w:val="center"/>
          </w:tcPr>
          <w:p>
            <w:pPr>
              <w:widowControl/>
              <w:spacing w:line="360" w:lineRule="auto"/>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0" w:hRule="atLeast"/>
        </w:trPr>
        <w:tc>
          <w:tcPr>
            <w:tcW w:w="1526" w:type="dxa"/>
            <w:noWrap w:val="0"/>
            <w:vAlign w:val="center"/>
          </w:tcPr>
          <w:p>
            <w:pPr>
              <w:widowControl/>
              <w:spacing w:line="360" w:lineRule="auto"/>
              <w:jc w:val="center"/>
              <w:textAlignment w:val="center"/>
              <w:rPr>
                <w:rFonts w:hint="eastAsia" w:ascii="宋体" w:hAnsi="宋体" w:cs="宋体"/>
                <w:b/>
                <w:bCs/>
                <w:sz w:val="22"/>
                <w:szCs w:val="22"/>
                <w:lang w:val="zh-CN"/>
              </w:rPr>
            </w:pPr>
            <w:r>
              <w:rPr>
                <w:rFonts w:hint="eastAsia" w:ascii="宋体" w:hAnsi="宋体" w:cs="宋体"/>
                <w:b/>
                <w:kern w:val="0"/>
                <w:sz w:val="22"/>
                <w:szCs w:val="22"/>
                <w:lang w:bidi="ar"/>
              </w:rPr>
              <w:t>投标人的</w:t>
            </w:r>
            <w:r>
              <w:rPr>
                <w:rFonts w:hint="eastAsia" w:ascii="宋体" w:hAnsi="宋体" w:cs="宋体"/>
                <w:b/>
                <w:bCs/>
                <w:sz w:val="22"/>
                <w:szCs w:val="22"/>
                <w:lang w:val="zh-CN"/>
              </w:rPr>
              <w:t>类似项目业绩</w:t>
            </w:r>
          </w:p>
        </w:tc>
        <w:tc>
          <w:tcPr>
            <w:tcW w:w="6946" w:type="dxa"/>
            <w:noWrap w:val="0"/>
            <w:vAlign w:val="center"/>
          </w:tcPr>
          <w:p>
            <w:pPr>
              <w:spacing w:line="360" w:lineRule="auto"/>
              <w:rPr>
                <w:rFonts w:hint="eastAsia" w:ascii="宋体" w:hAnsi="宋体"/>
                <w:sz w:val="22"/>
                <w:szCs w:val="22"/>
              </w:rPr>
            </w:pPr>
            <w:r>
              <w:rPr>
                <w:rFonts w:hint="eastAsia" w:ascii="宋体" w:hAnsi="宋体"/>
                <w:sz w:val="22"/>
                <w:szCs w:val="22"/>
              </w:rPr>
              <w:t>自2017年12月1日以来（以合同签约日期为准），投标人承担过类似项目维保业绩的，每提供1个得1分，最高得3分，</w:t>
            </w:r>
            <w:r>
              <w:rPr>
                <w:rFonts w:hint="eastAsia" w:ascii="宋体" w:hAnsi="宋体"/>
                <w:color w:val="000000"/>
                <w:sz w:val="22"/>
                <w:szCs w:val="22"/>
              </w:rPr>
              <w:t>无不得分。</w:t>
            </w:r>
            <w:r>
              <w:rPr>
                <w:rFonts w:hint="eastAsia" w:ascii="宋体" w:hAnsi="宋体"/>
                <w:sz w:val="22"/>
                <w:szCs w:val="22"/>
              </w:rPr>
              <w:t>（投标文件中须有合同复印件并加盖公章）</w:t>
            </w:r>
          </w:p>
        </w:tc>
        <w:tc>
          <w:tcPr>
            <w:tcW w:w="814" w:type="dxa"/>
            <w:noWrap w:val="0"/>
            <w:vAlign w:val="center"/>
          </w:tcPr>
          <w:p>
            <w:pPr>
              <w:widowControl/>
              <w:spacing w:line="360" w:lineRule="auto"/>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atLeast"/>
        </w:trPr>
        <w:tc>
          <w:tcPr>
            <w:tcW w:w="8472" w:type="dxa"/>
            <w:gridSpan w:val="2"/>
            <w:noWrap w:val="0"/>
            <w:vAlign w:val="center"/>
          </w:tcPr>
          <w:p>
            <w:pPr>
              <w:widowControl/>
              <w:spacing w:line="360" w:lineRule="auto"/>
              <w:jc w:val="center"/>
              <w:textAlignment w:val="center"/>
              <w:rPr>
                <w:rFonts w:hint="eastAsia" w:ascii="宋体" w:hAnsi="宋体"/>
                <w:sz w:val="22"/>
                <w:szCs w:val="22"/>
              </w:rPr>
            </w:pPr>
            <w:r>
              <w:rPr>
                <w:rFonts w:hint="eastAsia" w:ascii="宋体" w:hAnsi="宋体"/>
                <w:sz w:val="22"/>
                <w:szCs w:val="22"/>
              </w:rPr>
              <w:t>合计</w:t>
            </w:r>
          </w:p>
        </w:tc>
        <w:tc>
          <w:tcPr>
            <w:tcW w:w="814" w:type="dxa"/>
            <w:noWrap w:val="0"/>
            <w:vAlign w:val="center"/>
          </w:tcPr>
          <w:p>
            <w:pPr>
              <w:widowControl/>
              <w:spacing w:line="360" w:lineRule="auto"/>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10</w:t>
            </w:r>
          </w:p>
        </w:tc>
      </w:tr>
    </w:tbl>
    <w:p>
      <w:pPr>
        <w:adjustRightInd w:val="0"/>
        <w:snapToGrid w:val="0"/>
        <w:spacing w:line="360" w:lineRule="auto"/>
        <w:ind w:firstLine="440" w:firstLineChars="200"/>
        <w:rPr>
          <w:rFonts w:hint="eastAsia" w:ascii="宋体" w:hAnsi="宋体"/>
          <w:sz w:val="22"/>
          <w:szCs w:val="22"/>
        </w:rPr>
      </w:pPr>
    </w:p>
    <w:p>
      <w:pPr>
        <w:adjustRightInd w:val="0"/>
        <w:snapToGrid w:val="0"/>
        <w:spacing w:line="360" w:lineRule="auto"/>
        <w:ind w:firstLine="440" w:firstLineChars="200"/>
        <w:rPr>
          <w:rFonts w:hint="eastAsia" w:ascii="宋体" w:hAnsi="宋体"/>
          <w:sz w:val="22"/>
          <w:szCs w:val="22"/>
        </w:rPr>
      </w:pPr>
      <w:r>
        <w:rPr>
          <w:rFonts w:hint="eastAsia" w:ascii="宋体" w:hAnsi="宋体"/>
          <w:sz w:val="22"/>
          <w:szCs w:val="22"/>
        </w:rPr>
        <w:t>四、价格分采用低价优先法计算，即满足采购文件要求且投标价格最低的投标报价为评标基准价，其价格分为满分20分，其他投标人的价格分按照下列公式计算</w:t>
      </w:r>
      <w:r>
        <w:rPr>
          <w:rFonts w:hint="eastAsia" w:ascii="宋体" w:hAnsi="宋体"/>
          <w:b/>
          <w:sz w:val="22"/>
          <w:szCs w:val="22"/>
          <w:u w:val="single"/>
        </w:rPr>
        <w:t>（</w:t>
      </w:r>
      <w:r>
        <w:rPr>
          <w:rFonts w:hint="eastAsia" w:ascii="宋体" w:hAnsi="宋体"/>
          <w:b/>
          <w:spacing w:val="6"/>
          <w:sz w:val="22"/>
          <w:szCs w:val="22"/>
          <w:u w:val="single"/>
        </w:rPr>
        <w:t>投标单位为中、小、微型企业</w:t>
      </w:r>
      <w:r>
        <w:rPr>
          <w:rFonts w:hint="eastAsia" w:ascii="宋体" w:hAnsi="宋体"/>
          <w:b/>
          <w:color w:val="000000"/>
          <w:sz w:val="22"/>
          <w:szCs w:val="22"/>
          <w:u w:val="single"/>
        </w:rPr>
        <w:t>（含</w:t>
      </w:r>
      <w:r>
        <w:rPr>
          <w:rFonts w:hint="eastAsia" w:ascii="宋体" w:hAnsi="宋体"/>
          <w:b/>
          <w:sz w:val="22"/>
          <w:szCs w:val="22"/>
          <w:u w:val="single"/>
        </w:rPr>
        <w:t>残疾人福利性单位、监狱企业）</w:t>
      </w:r>
      <w:r>
        <w:rPr>
          <w:rFonts w:hint="eastAsia" w:ascii="宋体" w:hAnsi="宋体"/>
          <w:b/>
          <w:spacing w:val="6"/>
          <w:sz w:val="22"/>
          <w:szCs w:val="22"/>
          <w:u w:val="single"/>
        </w:rPr>
        <w:t>的投标</w:t>
      </w:r>
      <w:r>
        <w:rPr>
          <w:rFonts w:hint="eastAsia" w:ascii="宋体" w:hAnsi="宋体"/>
          <w:b/>
          <w:sz w:val="22"/>
          <w:szCs w:val="22"/>
          <w:u w:val="single"/>
        </w:rPr>
        <w:t>报价在评标时</w:t>
      </w:r>
      <w:r>
        <w:rPr>
          <w:rFonts w:hint="eastAsia" w:ascii="宋体" w:hAnsi="宋体"/>
          <w:b/>
          <w:spacing w:val="6"/>
          <w:sz w:val="22"/>
          <w:szCs w:val="22"/>
          <w:u w:val="single"/>
        </w:rPr>
        <w:t>给予6%的扣除优惠，</w:t>
      </w:r>
      <w:r>
        <w:rPr>
          <w:rFonts w:hint="eastAsia" w:ascii="宋体" w:hAnsi="宋体"/>
          <w:b/>
          <w:sz w:val="22"/>
          <w:szCs w:val="22"/>
          <w:u w:val="single"/>
        </w:rPr>
        <w:t>若所有投标人均为财库[2011]181号文规定的中小微企业</w:t>
      </w:r>
      <w:r>
        <w:rPr>
          <w:rFonts w:hint="eastAsia" w:ascii="宋体" w:hAnsi="宋体"/>
          <w:b/>
          <w:color w:val="000000"/>
          <w:sz w:val="22"/>
          <w:szCs w:val="22"/>
          <w:u w:val="single"/>
        </w:rPr>
        <w:t>（含</w:t>
      </w:r>
      <w:r>
        <w:rPr>
          <w:rFonts w:hint="eastAsia" w:ascii="宋体" w:hAnsi="宋体"/>
          <w:b/>
          <w:sz w:val="22"/>
          <w:szCs w:val="22"/>
          <w:u w:val="single"/>
        </w:rPr>
        <w:t>残疾人福利性单位、监狱企业），则均不考虑价格扣除</w:t>
      </w:r>
      <w:r>
        <w:rPr>
          <w:rFonts w:hint="eastAsia" w:ascii="宋体" w:hAnsi="宋体"/>
          <w:b/>
          <w:spacing w:val="6"/>
          <w:sz w:val="22"/>
          <w:szCs w:val="22"/>
          <w:u w:val="single"/>
        </w:rPr>
        <w:t>）</w:t>
      </w:r>
      <w:r>
        <w:rPr>
          <w:rFonts w:hint="eastAsia" w:ascii="宋体" w:hAnsi="宋体"/>
          <w:sz w:val="22"/>
          <w:szCs w:val="22"/>
        </w:rPr>
        <w:t>：</w:t>
      </w:r>
    </w:p>
    <w:p>
      <w:pPr>
        <w:adjustRightInd w:val="0"/>
        <w:snapToGrid w:val="0"/>
        <w:spacing w:line="360" w:lineRule="auto"/>
        <w:ind w:firstLine="442" w:firstLineChars="200"/>
        <w:rPr>
          <w:rFonts w:hint="eastAsia" w:ascii="宋体" w:hAnsi="宋体"/>
          <w:b/>
          <w:sz w:val="22"/>
          <w:szCs w:val="22"/>
        </w:rPr>
      </w:pPr>
      <w:r>
        <w:rPr>
          <w:rFonts w:hint="eastAsia" w:ascii="宋体" w:hAnsi="宋体"/>
          <w:b/>
          <w:sz w:val="22"/>
          <w:szCs w:val="22"/>
        </w:rPr>
        <w:t>价格分=（评标基准价/投标报价）×20×100%。</w:t>
      </w:r>
    </w:p>
    <w:p>
      <w:pPr>
        <w:spacing w:line="360" w:lineRule="auto"/>
        <w:ind w:firstLine="435"/>
        <w:rPr>
          <w:rFonts w:hint="eastAsia" w:ascii="宋体" w:hAnsi="宋体"/>
          <w:sz w:val="22"/>
          <w:szCs w:val="22"/>
        </w:rPr>
      </w:pPr>
    </w:p>
    <w:p>
      <w:pPr>
        <w:spacing w:line="360" w:lineRule="auto"/>
        <w:ind w:firstLine="435"/>
        <w:rPr>
          <w:rFonts w:hint="eastAsia" w:ascii="宋体" w:hAnsi="宋体"/>
          <w:sz w:val="22"/>
          <w:szCs w:val="22"/>
        </w:rPr>
      </w:pPr>
    </w:p>
    <w:p>
      <w:pPr>
        <w:spacing w:line="360" w:lineRule="auto"/>
        <w:ind w:firstLine="435"/>
        <w:rPr>
          <w:rFonts w:hint="eastAsia" w:ascii="宋体" w:hAnsi="宋体"/>
          <w:sz w:val="22"/>
          <w:szCs w:val="22"/>
        </w:rPr>
      </w:pPr>
    </w:p>
    <w:p>
      <w:pPr>
        <w:spacing w:line="360" w:lineRule="auto"/>
        <w:ind w:firstLine="435"/>
        <w:rPr>
          <w:rFonts w:hint="eastAsia" w:ascii="宋体" w:hAnsi="宋体"/>
          <w:sz w:val="22"/>
          <w:szCs w:val="22"/>
        </w:rPr>
      </w:pPr>
    </w:p>
    <w:p>
      <w:pPr>
        <w:spacing w:line="360" w:lineRule="auto"/>
        <w:ind w:firstLine="435"/>
        <w:rPr>
          <w:rFonts w:hint="eastAsia" w:ascii="宋体" w:hAnsi="宋体"/>
          <w:sz w:val="22"/>
          <w:szCs w:val="22"/>
        </w:rPr>
      </w:pPr>
    </w:p>
    <w:p>
      <w:pPr>
        <w:spacing w:line="360" w:lineRule="auto"/>
        <w:ind w:firstLine="435"/>
        <w:rPr>
          <w:rFonts w:hint="eastAsia" w:ascii="宋体" w:hAnsi="宋体"/>
          <w:sz w:val="22"/>
          <w:szCs w:val="22"/>
        </w:rPr>
      </w:pPr>
    </w:p>
    <w:p>
      <w:pPr>
        <w:spacing w:line="360" w:lineRule="auto"/>
        <w:ind w:firstLine="435"/>
        <w:rPr>
          <w:rFonts w:hint="eastAsia" w:ascii="宋体" w:hAnsi="宋体"/>
          <w:sz w:val="22"/>
          <w:szCs w:val="22"/>
        </w:rPr>
      </w:pPr>
    </w:p>
    <w:p>
      <w:pPr>
        <w:spacing w:line="360" w:lineRule="auto"/>
        <w:ind w:firstLine="435"/>
        <w:rPr>
          <w:rFonts w:hint="eastAsia" w:ascii="宋体" w:hAnsi="宋体"/>
          <w:sz w:val="22"/>
          <w:szCs w:val="22"/>
        </w:rPr>
      </w:pPr>
    </w:p>
    <w:p>
      <w:pPr>
        <w:spacing w:line="360" w:lineRule="auto"/>
        <w:ind w:firstLine="435"/>
        <w:rPr>
          <w:rFonts w:hint="eastAsia" w:ascii="宋体" w:hAnsi="宋体"/>
          <w:sz w:val="22"/>
          <w:szCs w:val="22"/>
        </w:rPr>
      </w:pPr>
    </w:p>
    <w:p>
      <w:pPr>
        <w:spacing w:line="360" w:lineRule="auto"/>
        <w:ind w:firstLine="435"/>
        <w:rPr>
          <w:rFonts w:hint="eastAsia" w:ascii="宋体" w:hAnsi="宋体"/>
          <w:sz w:val="22"/>
          <w:szCs w:val="22"/>
        </w:rPr>
      </w:pPr>
    </w:p>
    <w:p>
      <w:pPr>
        <w:spacing w:line="360" w:lineRule="auto"/>
        <w:ind w:firstLine="435"/>
        <w:rPr>
          <w:rFonts w:hint="eastAsia" w:ascii="宋体" w:hAnsi="宋体"/>
          <w:sz w:val="22"/>
          <w:szCs w:val="22"/>
        </w:rPr>
      </w:pPr>
    </w:p>
    <w:p>
      <w:pPr>
        <w:spacing w:line="360" w:lineRule="auto"/>
        <w:ind w:firstLine="435"/>
        <w:rPr>
          <w:rFonts w:hint="eastAsia" w:ascii="宋体" w:hAnsi="宋体"/>
          <w:sz w:val="22"/>
          <w:szCs w:val="22"/>
        </w:rPr>
      </w:pPr>
    </w:p>
    <w:p>
      <w:pPr>
        <w:pStyle w:val="49"/>
        <w:jc w:val="both"/>
        <w:rPr>
          <w:rFonts w:hint="eastAsia" w:ascii="宋体" w:hAnsi="宋体"/>
          <w:lang w:eastAsia="zh-CN"/>
        </w:rPr>
      </w:pPr>
    </w:p>
    <w:p>
      <w:pPr>
        <w:pStyle w:val="49"/>
        <w:ind w:firstLine="3196" w:firstLineChars="995"/>
        <w:jc w:val="both"/>
        <w:rPr>
          <w:rFonts w:hint="eastAsia" w:ascii="宋体" w:hAnsi="宋体"/>
          <w:lang w:eastAsia="zh-CN"/>
        </w:rPr>
      </w:pPr>
      <w:r>
        <w:rPr>
          <w:rFonts w:hint="eastAsia" w:ascii="宋体" w:hAnsi="宋体"/>
        </w:rPr>
        <w:t>第五部分 主要合同条款</w:t>
      </w:r>
    </w:p>
    <w:p>
      <w:pPr>
        <w:spacing w:line="440" w:lineRule="exact"/>
        <w:ind w:firstLine="420" w:firstLineChars="200"/>
        <w:jc w:val="center"/>
        <w:rPr>
          <w:rFonts w:hint="eastAsia" w:ascii="宋体" w:hAnsi="宋体"/>
          <w:color w:val="000000"/>
          <w:szCs w:val="21"/>
        </w:rPr>
      </w:pPr>
      <w:r>
        <w:rPr>
          <w:rFonts w:hint="eastAsia" w:ascii="宋体" w:hAnsi="宋体"/>
          <w:color w:val="000000"/>
          <w:szCs w:val="21"/>
        </w:rPr>
        <w:t>(本合同为合同格式，双方协商后确定)</w:t>
      </w:r>
    </w:p>
    <w:p>
      <w:pPr>
        <w:spacing w:line="500" w:lineRule="exact"/>
        <w:jc w:val="center"/>
        <w:rPr>
          <w:rFonts w:ascii="宋体" w:hAnsi="宋体"/>
          <w:b/>
          <w:sz w:val="48"/>
        </w:rPr>
      </w:pPr>
    </w:p>
    <w:p>
      <w:pPr>
        <w:spacing w:line="500" w:lineRule="exact"/>
        <w:jc w:val="center"/>
        <w:rPr>
          <w:rFonts w:hint="eastAsia" w:ascii="宋体" w:hAnsi="宋体"/>
          <w:b/>
          <w:sz w:val="48"/>
        </w:rPr>
      </w:pPr>
      <w:r>
        <w:rPr>
          <w:rFonts w:hint="eastAsia" w:ascii="宋体" w:hAnsi="宋体"/>
          <w:b/>
          <w:sz w:val="48"/>
        </w:rPr>
        <w:t>宁波市政府采购合同</w:t>
      </w:r>
    </w:p>
    <w:p>
      <w:pPr>
        <w:spacing w:line="500" w:lineRule="exact"/>
        <w:rPr>
          <w:rFonts w:hint="eastAsia" w:ascii="宋体" w:hAnsi="宋体"/>
        </w:rPr>
      </w:pPr>
    </w:p>
    <w:p>
      <w:pPr>
        <w:spacing w:line="500" w:lineRule="exact"/>
        <w:rPr>
          <w:rFonts w:hint="eastAsia" w:ascii="宋体" w:hAnsi="宋体"/>
          <w:sz w:val="32"/>
        </w:rPr>
      </w:pPr>
    </w:p>
    <w:p>
      <w:pPr>
        <w:spacing w:line="500" w:lineRule="exact"/>
        <w:rPr>
          <w:rFonts w:hint="eastAsia" w:ascii="宋体" w:hAnsi="宋体"/>
          <w:sz w:val="32"/>
        </w:rPr>
      </w:pPr>
    </w:p>
    <w:p>
      <w:pPr>
        <w:spacing w:line="600" w:lineRule="exact"/>
        <w:ind w:left="850" w:leftChars="405"/>
        <w:rPr>
          <w:rFonts w:hint="eastAsia" w:ascii="宋体" w:hAnsi="宋体"/>
          <w:sz w:val="32"/>
          <w:u w:val="single"/>
        </w:rPr>
      </w:pPr>
      <w:r>
        <w:rPr>
          <w:rFonts w:hint="eastAsia" w:ascii="宋体" w:hAnsi="宋体"/>
          <w:sz w:val="32"/>
        </w:rPr>
        <w:t xml:space="preserve">项目名称： </w:t>
      </w:r>
      <w:r>
        <w:rPr>
          <w:rFonts w:hint="eastAsia" w:ascii="宋体" w:hAnsi="宋体"/>
          <w:sz w:val="32"/>
          <w:u w:val="single"/>
        </w:rPr>
        <w:t>镇海区全区社会治安视频监控系统（2021年度）统筹运维服务项目</w:t>
      </w:r>
    </w:p>
    <w:p>
      <w:pPr>
        <w:spacing w:line="600" w:lineRule="exact"/>
        <w:ind w:left="850" w:leftChars="405"/>
        <w:rPr>
          <w:rFonts w:hint="eastAsia" w:ascii="宋体" w:hAnsi="宋体"/>
          <w:sz w:val="32"/>
        </w:rPr>
      </w:pPr>
    </w:p>
    <w:p>
      <w:pPr>
        <w:spacing w:line="600" w:lineRule="exact"/>
        <w:ind w:left="850" w:leftChars="405"/>
        <w:rPr>
          <w:rFonts w:hint="eastAsia" w:ascii="宋体" w:hAnsi="宋体"/>
          <w:sz w:val="32"/>
        </w:rPr>
      </w:pPr>
      <w:r>
        <w:rPr>
          <w:rFonts w:hint="eastAsia" w:ascii="宋体" w:hAnsi="宋体"/>
          <w:sz w:val="32"/>
        </w:rPr>
        <w:t>采购人(委托方)：</w:t>
      </w:r>
      <w:r>
        <w:rPr>
          <w:rFonts w:hint="eastAsia" w:ascii="宋体" w:hAnsi="宋体"/>
          <w:sz w:val="32"/>
          <w:u w:val="single"/>
        </w:rPr>
        <w:t>宁波市公安局镇海分局</w:t>
      </w:r>
    </w:p>
    <w:p>
      <w:pPr>
        <w:spacing w:line="600" w:lineRule="exact"/>
        <w:ind w:left="850" w:leftChars="405"/>
        <w:rPr>
          <w:rFonts w:hint="eastAsia" w:ascii="宋体" w:hAnsi="宋体"/>
          <w:sz w:val="32"/>
        </w:rPr>
      </w:pPr>
    </w:p>
    <w:p>
      <w:pPr>
        <w:spacing w:line="600" w:lineRule="exact"/>
        <w:ind w:left="850" w:leftChars="405"/>
        <w:rPr>
          <w:rFonts w:hint="eastAsia" w:ascii="宋体" w:hAnsi="宋体"/>
          <w:sz w:val="32"/>
        </w:rPr>
      </w:pPr>
      <w:r>
        <w:rPr>
          <w:rFonts w:hint="eastAsia" w:ascii="宋体" w:hAnsi="宋体"/>
          <w:sz w:val="32"/>
        </w:rPr>
        <w:t xml:space="preserve">供应商(受托方)： </w:t>
      </w:r>
      <w:r>
        <w:rPr>
          <w:rFonts w:ascii="宋体" w:hAnsi="宋体"/>
          <w:sz w:val="32"/>
          <w:u w:val="single"/>
        </w:rPr>
        <w:t xml:space="preserve">                      </w:t>
      </w:r>
    </w:p>
    <w:p>
      <w:pPr>
        <w:spacing w:line="600" w:lineRule="exact"/>
        <w:ind w:left="850" w:leftChars="405"/>
        <w:rPr>
          <w:rFonts w:hint="eastAsia" w:ascii="宋体" w:hAnsi="宋体"/>
          <w:sz w:val="32"/>
        </w:rPr>
      </w:pPr>
      <w:r>
        <w:rPr>
          <w:rFonts w:hint="eastAsia" w:ascii="宋体" w:hAnsi="宋体"/>
          <w:sz w:val="32"/>
        </w:rPr>
        <w:t xml:space="preserve"> </w:t>
      </w:r>
    </w:p>
    <w:p>
      <w:pPr>
        <w:spacing w:line="600" w:lineRule="exact"/>
        <w:ind w:left="850" w:leftChars="405"/>
        <w:rPr>
          <w:rFonts w:hint="eastAsia" w:ascii="宋体" w:hAnsi="宋体"/>
          <w:sz w:val="32"/>
        </w:rPr>
      </w:pPr>
    </w:p>
    <w:p>
      <w:pPr>
        <w:spacing w:line="600" w:lineRule="exact"/>
        <w:ind w:left="850" w:leftChars="405"/>
        <w:rPr>
          <w:rFonts w:hint="eastAsia" w:ascii="宋体" w:hAnsi="宋体"/>
          <w:sz w:val="32"/>
        </w:rPr>
      </w:pPr>
      <w:r>
        <w:rPr>
          <w:rFonts w:hint="eastAsia" w:ascii="宋体" w:hAnsi="宋体"/>
          <w:sz w:val="32"/>
        </w:rPr>
        <w:t>签定日期：20</w:t>
      </w:r>
      <w:r>
        <w:rPr>
          <w:rFonts w:ascii="宋体" w:hAnsi="宋体"/>
          <w:sz w:val="32"/>
        </w:rPr>
        <w:t>20</w:t>
      </w:r>
      <w:r>
        <w:rPr>
          <w:rFonts w:hint="eastAsia" w:ascii="宋体" w:hAnsi="宋体"/>
          <w:sz w:val="32"/>
        </w:rPr>
        <w:t>年   月    日</w:t>
      </w:r>
    </w:p>
    <w:p>
      <w:pPr>
        <w:spacing w:line="600" w:lineRule="exact"/>
        <w:ind w:left="850" w:leftChars="405"/>
        <w:rPr>
          <w:rFonts w:hint="eastAsia" w:ascii="宋体" w:hAnsi="宋体"/>
          <w:sz w:val="32"/>
        </w:rPr>
      </w:pPr>
    </w:p>
    <w:p>
      <w:pPr>
        <w:jc w:val="center"/>
        <w:rPr>
          <w:rFonts w:ascii="宋体" w:hAnsi="宋体"/>
          <w:sz w:val="32"/>
        </w:rPr>
      </w:pPr>
    </w:p>
    <w:p>
      <w:pPr>
        <w:jc w:val="center"/>
        <w:rPr>
          <w:rFonts w:ascii="宋体" w:hAnsi="宋体"/>
          <w:b/>
          <w:sz w:val="28"/>
          <w:szCs w:val="28"/>
        </w:rPr>
      </w:pPr>
      <w:r>
        <w:rPr>
          <w:rFonts w:hint="eastAsia" w:ascii="宋体" w:hAnsi="宋体"/>
          <w:sz w:val="32"/>
        </w:rPr>
        <w:t>签定地点：浙江宁波镇海</w:t>
      </w:r>
    </w:p>
    <w:p>
      <w:pPr>
        <w:jc w:val="center"/>
        <w:rPr>
          <w:rFonts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bookmarkEnd w:id="49"/>
    <w:bookmarkEnd w:id="50"/>
    <w:bookmarkEnd w:id="51"/>
    <w:p>
      <w:pPr>
        <w:adjustRightInd w:val="0"/>
        <w:snapToGrid w:val="0"/>
        <w:spacing w:line="360" w:lineRule="auto"/>
        <w:ind w:firstLine="440" w:firstLineChars="200"/>
        <w:jc w:val="left"/>
        <w:outlineLvl w:val="0"/>
        <w:rPr>
          <w:rFonts w:hint="eastAsia" w:ascii="宋体" w:hAnsi="宋体"/>
          <w:sz w:val="22"/>
          <w:szCs w:val="22"/>
          <w:u w:val="single"/>
        </w:rPr>
      </w:pPr>
      <w:r>
        <w:rPr>
          <w:rFonts w:hint="eastAsia" w:ascii="宋体" w:hAnsi="宋体"/>
          <w:sz w:val="22"/>
          <w:szCs w:val="22"/>
        </w:rPr>
        <w:t>甲方(采购人)：</w:t>
      </w:r>
      <w:r>
        <w:rPr>
          <w:rFonts w:hint="eastAsia" w:ascii="宋体" w:hAnsi="宋体"/>
          <w:sz w:val="22"/>
          <w:szCs w:val="22"/>
          <w:u w:val="single"/>
        </w:rPr>
        <w:t>宁波市公安局镇海分局</w:t>
      </w:r>
    </w:p>
    <w:p>
      <w:pPr>
        <w:pStyle w:val="237"/>
        <w:spacing w:line="360" w:lineRule="auto"/>
        <w:ind w:firstLine="440" w:firstLineChars="200"/>
        <w:rPr>
          <w:rFonts w:hint="eastAsia" w:ascii="宋体" w:hAnsi="宋体"/>
          <w:u w:val="single"/>
          <w:lang w:eastAsia="zh-CN"/>
        </w:rPr>
      </w:pPr>
      <w:r>
        <w:rPr>
          <w:rFonts w:hint="eastAsia" w:ascii="宋体" w:hAnsi="宋体"/>
          <w:lang w:eastAsia="zh-CN"/>
        </w:rPr>
        <w:t>乙方(供应商)：</w:t>
      </w:r>
      <w:r>
        <w:rPr>
          <w:rFonts w:hint="eastAsia" w:ascii="宋体" w:hAnsi="宋体"/>
          <w:u w:val="single"/>
          <w:lang w:eastAsia="zh-CN"/>
        </w:rPr>
        <w:t xml:space="preserve">                    </w:t>
      </w:r>
    </w:p>
    <w:p>
      <w:pPr>
        <w:pStyle w:val="236"/>
        <w:ind w:firstLine="440"/>
        <w:rPr>
          <w:rFonts w:hint="eastAsia" w:hAnsi="宋体" w:eastAsia="宋体" w:cs="仿宋_GB2312"/>
          <w:sz w:val="22"/>
          <w:szCs w:val="22"/>
          <w:lang w:val="zh-CN"/>
        </w:rPr>
      </w:pPr>
      <w:r>
        <w:rPr>
          <w:rFonts w:hint="eastAsia" w:hAnsi="宋体" w:eastAsia="宋体" w:cs="仿宋_GB2312"/>
          <w:sz w:val="22"/>
          <w:szCs w:val="22"/>
          <w:lang w:val="zh-CN"/>
        </w:rPr>
        <w:t>甲、乙双方根据关于镇海区全区社会治安视频监控系统（2021年度）统筹运维服务项目公开招标的结果，按照《中华人民共和国合同法》的有关规定，在自愿、平等、公平、诚信的基础上，经双方协商一致，签订本合同。</w:t>
      </w:r>
    </w:p>
    <w:p>
      <w:pPr>
        <w:pStyle w:val="236"/>
        <w:ind w:firstLine="440"/>
        <w:rPr>
          <w:rFonts w:hint="eastAsia" w:hAnsi="宋体" w:eastAsia="宋体"/>
          <w:sz w:val="22"/>
          <w:szCs w:val="22"/>
        </w:rPr>
      </w:pPr>
      <w:r>
        <w:rPr>
          <w:rFonts w:hint="eastAsia" w:hAnsi="宋体" w:eastAsia="宋体"/>
          <w:sz w:val="22"/>
          <w:szCs w:val="22"/>
        </w:rPr>
        <w:t>下述文件作为附件，是合同的一部分，并与本合同一起阅读和解释：</w:t>
      </w:r>
    </w:p>
    <w:p>
      <w:pPr>
        <w:pStyle w:val="236"/>
        <w:ind w:firstLine="440"/>
        <w:rPr>
          <w:rFonts w:hint="eastAsia" w:hAnsi="宋体" w:eastAsia="宋体"/>
          <w:sz w:val="22"/>
          <w:szCs w:val="22"/>
        </w:rPr>
      </w:pPr>
      <w:r>
        <w:rPr>
          <w:rFonts w:hint="eastAsia" w:hAnsi="宋体" w:eastAsia="宋体"/>
          <w:sz w:val="22"/>
          <w:szCs w:val="22"/>
        </w:rPr>
        <w:t>a.本项目采购文件；</w:t>
      </w:r>
    </w:p>
    <w:p>
      <w:pPr>
        <w:pStyle w:val="236"/>
        <w:ind w:firstLine="440"/>
        <w:rPr>
          <w:rFonts w:hint="eastAsia" w:hAnsi="宋体" w:eastAsia="宋体"/>
          <w:sz w:val="22"/>
          <w:szCs w:val="22"/>
        </w:rPr>
      </w:pPr>
      <w:r>
        <w:rPr>
          <w:rFonts w:hint="eastAsia" w:hAnsi="宋体" w:eastAsia="宋体"/>
          <w:sz w:val="22"/>
          <w:szCs w:val="22"/>
        </w:rPr>
        <w:t>b.投标文件及澄清文件；</w:t>
      </w:r>
    </w:p>
    <w:p>
      <w:pPr>
        <w:pStyle w:val="236"/>
        <w:ind w:firstLine="440"/>
        <w:rPr>
          <w:rFonts w:hint="eastAsia" w:hAnsi="宋体" w:eastAsia="宋体"/>
          <w:sz w:val="22"/>
          <w:szCs w:val="22"/>
        </w:rPr>
      </w:pPr>
      <w:r>
        <w:rPr>
          <w:rFonts w:hint="eastAsia" w:hAnsi="宋体" w:eastAsia="宋体"/>
          <w:sz w:val="22"/>
          <w:szCs w:val="22"/>
        </w:rPr>
        <w:t>c.成交通知书；</w:t>
      </w:r>
    </w:p>
    <w:p>
      <w:pPr>
        <w:pStyle w:val="236"/>
        <w:ind w:firstLine="440"/>
        <w:rPr>
          <w:rFonts w:hint="eastAsia" w:hAnsi="宋体" w:eastAsia="宋体"/>
          <w:sz w:val="22"/>
          <w:szCs w:val="22"/>
        </w:rPr>
      </w:pPr>
      <w:r>
        <w:rPr>
          <w:rFonts w:hint="eastAsia" w:hAnsi="宋体" w:eastAsia="宋体"/>
          <w:sz w:val="22"/>
          <w:szCs w:val="22"/>
        </w:rPr>
        <w:t>上述文件与合同若有不一致之处，优先次序第一应为合同、第二应为附件(附件的优先次序为 c,b,a)。</w:t>
      </w:r>
    </w:p>
    <w:p>
      <w:pPr>
        <w:pStyle w:val="236"/>
        <w:ind w:firstLine="440"/>
        <w:rPr>
          <w:rFonts w:hint="eastAsia" w:hAnsi="宋体" w:eastAsia="宋体"/>
          <w:sz w:val="22"/>
          <w:szCs w:val="22"/>
        </w:rPr>
      </w:pPr>
      <w:r>
        <w:rPr>
          <w:rFonts w:hint="eastAsia" w:hAnsi="宋体" w:eastAsia="宋体"/>
          <w:sz w:val="22"/>
          <w:szCs w:val="22"/>
        </w:rPr>
        <w:t>一、项目名称、合同履行期限（服务期限）、服务内容</w:t>
      </w:r>
    </w:p>
    <w:p>
      <w:pPr>
        <w:pStyle w:val="236"/>
        <w:ind w:firstLine="440"/>
        <w:rPr>
          <w:rFonts w:hint="eastAsia" w:hAnsi="宋体" w:eastAsia="宋体"/>
          <w:sz w:val="22"/>
          <w:szCs w:val="22"/>
        </w:rPr>
      </w:pPr>
      <w:r>
        <w:rPr>
          <w:rFonts w:hint="eastAsia" w:hAnsi="宋体" w:eastAsia="宋体"/>
          <w:sz w:val="22"/>
          <w:szCs w:val="22"/>
        </w:rPr>
        <w:t>1.1项目名称：镇海区全区社会治安视频监控系统（2021年度）统筹运维服务项目</w:t>
      </w:r>
    </w:p>
    <w:p>
      <w:pPr>
        <w:tabs>
          <w:tab w:val="center" w:pos="5143"/>
        </w:tabs>
        <w:spacing w:line="360" w:lineRule="auto"/>
        <w:ind w:firstLine="440" w:firstLineChars="200"/>
        <w:rPr>
          <w:rFonts w:hint="eastAsia" w:ascii="宋体" w:hAnsi="宋体" w:cs="Arial"/>
          <w:bCs/>
          <w:color w:val="000000"/>
          <w:sz w:val="22"/>
          <w:szCs w:val="22"/>
        </w:rPr>
      </w:pPr>
      <w:r>
        <w:rPr>
          <w:rFonts w:hint="eastAsia" w:ascii="宋体" w:hAnsi="宋体"/>
          <w:sz w:val="22"/>
          <w:szCs w:val="22"/>
        </w:rPr>
        <w:t>1.2合同履行期限（服务期限）：</w:t>
      </w:r>
      <w:r>
        <w:rPr>
          <w:rFonts w:hint="eastAsia" w:ascii="宋体" w:hAnsi="宋体" w:cs="Arial"/>
          <w:bCs/>
          <w:color w:val="000000"/>
          <w:sz w:val="22"/>
          <w:szCs w:val="22"/>
        </w:rPr>
        <w:t>本项目服务期限为一年，</w:t>
      </w:r>
      <w:r>
        <w:rPr>
          <w:rFonts w:hint="eastAsia" w:ascii="宋体" w:hAnsi="宋体"/>
          <w:bCs/>
          <w:sz w:val="22"/>
          <w:szCs w:val="22"/>
        </w:rPr>
        <w:t>其中前二个月为试用期，试用期内若考核不合格</w:t>
      </w:r>
      <w:r>
        <w:rPr>
          <w:rFonts w:hint="eastAsia" w:ascii="宋体" w:hAnsi="宋体"/>
          <w:sz w:val="22"/>
          <w:szCs w:val="22"/>
        </w:rPr>
        <w:t>采购人有权单方解除合同。</w:t>
      </w:r>
    </w:p>
    <w:p>
      <w:pPr>
        <w:pStyle w:val="236"/>
        <w:ind w:firstLine="440"/>
        <w:rPr>
          <w:rFonts w:hint="eastAsia" w:hAnsi="宋体" w:eastAsia="宋体"/>
          <w:sz w:val="22"/>
          <w:szCs w:val="22"/>
        </w:rPr>
      </w:pPr>
      <w:r>
        <w:rPr>
          <w:rFonts w:hint="eastAsia" w:hAnsi="宋体" w:eastAsia="宋体"/>
          <w:sz w:val="22"/>
          <w:szCs w:val="22"/>
        </w:rPr>
        <w:t>1.3服务内容：建设完善的运维体系，保证故障的及时发现、维修。通过设备的定期维护，保障系统全时段正常运行。</w:t>
      </w:r>
    </w:p>
    <w:p>
      <w:pPr>
        <w:pStyle w:val="236"/>
        <w:ind w:firstLine="440"/>
        <w:rPr>
          <w:rFonts w:hint="eastAsia" w:hAnsi="宋体" w:eastAsia="宋体"/>
          <w:sz w:val="22"/>
          <w:szCs w:val="22"/>
        </w:rPr>
      </w:pPr>
      <w:r>
        <w:rPr>
          <w:rFonts w:hint="eastAsia" w:hAnsi="宋体" w:eastAsia="宋体"/>
          <w:sz w:val="22"/>
          <w:szCs w:val="22"/>
        </w:rPr>
        <w:t>二、合同金额</w:t>
      </w:r>
    </w:p>
    <w:p>
      <w:pPr>
        <w:pStyle w:val="236"/>
        <w:ind w:firstLine="440"/>
        <w:rPr>
          <w:rFonts w:hint="eastAsia" w:hAnsi="宋体" w:eastAsia="宋体"/>
          <w:sz w:val="22"/>
          <w:szCs w:val="22"/>
        </w:rPr>
      </w:pPr>
      <w:r>
        <w:rPr>
          <w:rFonts w:hint="eastAsia" w:hAnsi="宋体" w:eastAsia="宋体"/>
          <w:sz w:val="22"/>
          <w:szCs w:val="22"/>
        </w:rPr>
        <w:t>2.1本合同金额为（大写）：               元（￥                元）人民币。</w:t>
      </w:r>
    </w:p>
    <w:p>
      <w:pPr>
        <w:pStyle w:val="236"/>
        <w:ind w:firstLine="440"/>
        <w:rPr>
          <w:rFonts w:hint="eastAsia" w:hAnsi="宋体" w:eastAsia="宋体"/>
          <w:sz w:val="22"/>
          <w:szCs w:val="22"/>
        </w:rPr>
      </w:pPr>
      <w:r>
        <w:rPr>
          <w:rFonts w:hint="eastAsia" w:hAnsi="宋体" w:eastAsia="宋体"/>
          <w:sz w:val="22"/>
          <w:szCs w:val="22"/>
        </w:rPr>
        <w:t>三、履约保证金：</w:t>
      </w:r>
    </w:p>
    <w:p>
      <w:pPr>
        <w:pStyle w:val="236"/>
        <w:ind w:firstLine="440"/>
        <w:rPr>
          <w:rFonts w:hint="eastAsia" w:hAnsi="宋体" w:eastAsia="宋体"/>
          <w:sz w:val="22"/>
          <w:szCs w:val="22"/>
        </w:rPr>
      </w:pPr>
      <w:r>
        <w:rPr>
          <w:rFonts w:hint="eastAsia" w:hAnsi="宋体" w:eastAsia="宋体"/>
          <w:sz w:val="22"/>
          <w:szCs w:val="22"/>
        </w:rPr>
        <w:t>3.1乙方交纳合同履约保证金：    元；</w:t>
      </w:r>
    </w:p>
    <w:p>
      <w:pPr>
        <w:pStyle w:val="236"/>
        <w:ind w:firstLine="440"/>
        <w:rPr>
          <w:rFonts w:hint="eastAsia" w:hAnsi="宋体" w:eastAsia="宋体"/>
          <w:sz w:val="22"/>
          <w:szCs w:val="22"/>
        </w:rPr>
      </w:pPr>
      <w:r>
        <w:rPr>
          <w:rFonts w:hint="eastAsia" w:hAnsi="宋体" w:eastAsia="宋体"/>
          <w:sz w:val="22"/>
          <w:szCs w:val="22"/>
        </w:rPr>
        <w:t>3.2在乙方完成所有合同履约后无息退还（但如乙方未能履行合同规定的任何义务，甲方有权从履约保证金中得到补偿）。</w:t>
      </w:r>
    </w:p>
    <w:p>
      <w:pPr>
        <w:pStyle w:val="236"/>
        <w:ind w:firstLine="440"/>
        <w:rPr>
          <w:rFonts w:hint="eastAsia" w:hAnsi="宋体" w:eastAsia="宋体"/>
          <w:sz w:val="22"/>
          <w:szCs w:val="22"/>
        </w:rPr>
      </w:pPr>
      <w:r>
        <w:rPr>
          <w:rFonts w:hint="eastAsia" w:hAnsi="宋体" w:eastAsia="宋体"/>
          <w:sz w:val="22"/>
          <w:szCs w:val="22"/>
        </w:rPr>
        <w:t>四、转包或分包</w:t>
      </w:r>
    </w:p>
    <w:p>
      <w:pPr>
        <w:pStyle w:val="236"/>
        <w:ind w:firstLine="440"/>
        <w:rPr>
          <w:rFonts w:hint="eastAsia" w:hAnsi="宋体" w:eastAsia="宋体"/>
          <w:sz w:val="22"/>
          <w:szCs w:val="22"/>
        </w:rPr>
      </w:pPr>
      <w:r>
        <w:rPr>
          <w:rFonts w:hint="eastAsia" w:hAnsi="宋体" w:eastAsia="宋体"/>
          <w:sz w:val="22"/>
          <w:szCs w:val="22"/>
        </w:rPr>
        <w:t>4.1本合同范围的服务，应由乙方直接提供，不得转让他人；</w:t>
      </w:r>
    </w:p>
    <w:p>
      <w:pPr>
        <w:pStyle w:val="236"/>
        <w:ind w:firstLine="440"/>
        <w:rPr>
          <w:rFonts w:hint="eastAsia" w:hAnsi="宋体" w:eastAsia="宋体"/>
          <w:sz w:val="22"/>
          <w:szCs w:val="22"/>
        </w:rPr>
      </w:pPr>
      <w:r>
        <w:rPr>
          <w:rFonts w:hint="eastAsia" w:hAnsi="宋体" w:eastAsia="宋体"/>
          <w:sz w:val="22"/>
          <w:szCs w:val="22"/>
        </w:rPr>
        <w:t>4.2 除非得到甲方的书面同意，乙方不得部分分包给他人。甲方有绝对权力阻止分包。</w:t>
      </w:r>
    </w:p>
    <w:p>
      <w:pPr>
        <w:pStyle w:val="236"/>
        <w:ind w:firstLine="440"/>
        <w:rPr>
          <w:rFonts w:hint="eastAsia" w:hAnsi="宋体" w:eastAsia="宋体"/>
          <w:sz w:val="22"/>
          <w:szCs w:val="22"/>
        </w:rPr>
      </w:pPr>
      <w:r>
        <w:rPr>
          <w:rFonts w:hint="eastAsia" w:hAnsi="宋体" w:eastAsia="宋体"/>
          <w:sz w:val="22"/>
          <w:szCs w:val="22"/>
        </w:rPr>
        <w:t>4.3如有转让和未经甲方同意的分包行为，甲方有权给予终止合同。</w:t>
      </w:r>
    </w:p>
    <w:p>
      <w:pPr>
        <w:pStyle w:val="236"/>
        <w:numPr>
          <w:ilvl w:val="0"/>
          <w:numId w:val="8"/>
        </w:numPr>
        <w:ind w:firstLine="440"/>
        <w:rPr>
          <w:rFonts w:hint="eastAsia" w:hAnsi="宋体" w:eastAsia="宋体"/>
          <w:sz w:val="22"/>
          <w:szCs w:val="22"/>
        </w:rPr>
      </w:pPr>
      <w:r>
        <w:rPr>
          <w:rFonts w:hint="eastAsia" w:hAnsi="宋体" w:eastAsia="宋体"/>
          <w:sz w:val="22"/>
          <w:szCs w:val="22"/>
        </w:rPr>
        <w:t>合同付款方法</w:t>
      </w:r>
    </w:p>
    <w:p>
      <w:pPr>
        <w:pStyle w:val="236"/>
        <w:ind w:firstLine="440"/>
        <w:rPr>
          <w:rFonts w:hint="eastAsia" w:hAnsi="宋体" w:eastAsia="宋体"/>
          <w:sz w:val="22"/>
          <w:szCs w:val="22"/>
        </w:rPr>
      </w:pPr>
      <w:r>
        <w:rPr>
          <w:rFonts w:hint="eastAsia" w:hAnsi="宋体" w:eastAsia="宋体"/>
          <w:sz w:val="22"/>
          <w:szCs w:val="22"/>
        </w:rPr>
        <w:t>5.1、                                 。</w:t>
      </w:r>
    </w:p>
    <w:p>
      <w:pPr>
        <w:pStyle w:val="236"/>
        <w:ind w:firstLine="440"/>
        <w:rPr>
          <w:rFonts w:hint="eastAsia" w:hAnsi="宋体" w:eastAsia="宋体"/>
          <w:sz w:val="22"/>
          <w:szCs w:val="22"/>
        </w:rPr>
      </w:pPr>
      <w:r>
        <w:rPr>
          <w:rFonts w:hint="eastAsia" w:hAnsi="宋体" w:eastAsia="宋体"/>
          <w:sz w:val="22"/>
          <w:szCs w:val="22"/>
        </w:rPr>
        <w:t>六、税</w:t>
      </w:r>
    </w:p>
    <w:p>
      <w:pPr>
        <w:pStyle w:val="236"/>
        <w:ind w:firstLine="440"/>
        <w:rPr>
          <w:rFonts w:hint="eastAsia" w:hAnsi="宋体" w:eastAsia="宋体"/>
          <w:sz w:val="22"/>
          <w:szCs w:val="22"/>
        </w:rPr>
      </w:pPr>
      <w:r>
        <w:rPr>
          <w:rFonts w:hint="eastAsia" w:hAnsi="宋体" w:eastAsia="宋体"/>
          <w:sz w:val="22"/>
          <w:szCs w:val="22"/>
        </w:rPr>
        <w:t>6.1本合同执行中相关的一切税费均由乙方负担。</w:t>
      </w:r>
    </w:p>
    <w:p>
      <w:pPr>
        <w:pStyle w:val="236"/>
        <w:ind w:firstLine="440"/>
        <w:rPr>
          <w:rFonts w:hint="eastAsia" w:hAnsi="宋体" w:eastAsia="宋体"/>
          <w:sz w:val="22"/>
          <w:szCs w:val="22"/>
        </w:rPr>
      </w:pPr>
      <w:r>
        <w:rPr>
          <w:rFonts w:hint="eastAsia" w:hAnsi="宋体" w:eastAsia="宋体"/>
          <w:sz w:val="22"/>
          <w:szCs w:val="22"/>
        </w:rPr>
        <w:t>七、完成质量要求</w:t>
      </w:r>
    </w:p>
    <w:p>
      <w:pPr>
        <w:pStyle w:val="236"/>
        <w:ind w:firstLine="440"/>
        <w:rPr>
          <w:rFonts w:hint="eastAsia" w:hAnsi="宋体" w:eastAsia="宋体"/>
          <w:sz w:val="22"/>
          <w:szCs w:val="22"/>
        </w:rPr>
      </w:pPr>
      <w:r>
        <w:rPr>
          <w:rFonts w:hint="eastAsia" w:hAnsi="宋体" w:eastAsia="宋体"/>
          <w:sz w:val="22"/>
          <w:szCs w:val="22"/>
        </w:rPr>
        <w:t>7.1 服务期间乙方不得随意更换项目负责人，如有特殊情况需要更换，须经甲方同意确认。</w:t>
      </w:r>
    </w:p>
    <w:p>
      <w:pPr>
        <w:pStyle w:val="236"/>
        <w:ind w:firstLine="440"/>
        <w:rPr>
          <w:rFonts w:hint="eastAsia" w:hAnsi="宋体" w:eastAsia="宋体"/>
          <w:sz w:val="22"/>
          <w:szCs w:val="22"/>
        </w:rPr>
      </w:pPr>
      <w:r>
        <w:rPr>
          <w:rFonts w:hint="eastAsia" w:hAnsi="宋体" w:eastAsia="宋体"/>
          <w:sz w:val="22"/>
          <w:szCs w:val="22"/>
        </w:rPr>
        <w:t>7.2服务期间，乙方须配备足够的人员和设备。</w:t>
      </w:r>
    </w:p>
    <w:p>
      <w:pPr>
        <w:pStyle w:val="236"/>
        <w:ind w:firstLine="440"/>
        <w:rPr>
          <w:rFonts w:hint="eastAsia" w:hAnsi="宋体" w:eastAsia="宋体"/>
          <w:sz w:val="22"/>
          <w:szCs w:val="22"/>
        </w:rPr>
      </w:pPr>
      <w:r>
        <w:rPr>
          <w:rFonts w:hint="eastAsia" w:hAnsi="宋体" w:eastAsia="宋体"/>
          <w:sz w:val="22"/>
          <w:szCs w:val="22"/>
        </w:rPr>
        <w:t>7.3合同执行过程中，乙方如有弄虚作假行为，甲方有权单方面解除合同，由此引起的所以损失由乙方承担。</w:t>
      </w:r>
    </w:p>
    <w:p>
      <w:pPr>
        <w:pStyle w:val="236"/>
        <w:ind w:firstLine="440"/>
        <w:rPr>
          <w:rFonts w:hint="eastAsia" w:hAnsi="宋体" w:eastAsia="宋体"/>
          <w:sz w:val="22"/>
          <w:szCs w:val="22"/>
        </w:rPr>
      </w:pPr>
      <w:r>
        <w:rPr>
          <w:rFonts w:hint="eastAsia" w:hAnsi="宋体" w:eastAsia="宋体"/>
          <w:sz w:val="22"/>
          <w:szCs w:val="22"/>
        </w:rPr>
        <w:t>八、违约责任</w:t>
      </w:r>
    </w:p>
    <w:p>
      <w:pPr>
        <w:pStyle w:val="236"/>
        <w:ind w:firstLine="440"/>
        <w:rPr>
          <w:rFonts w:hint="eastAsia" w:hAnsi="宋体" w:eastAsia="宋体"/>
          <w:sz w:val="22"/>
          <w:szCs w:val="22"/>
        </w:rPr>
      </w:pPr>
      <w:r>
        <w:rPr>
          <w:rFonts w:hint="eastAsia" w:hAnsi="宋体" w:eastAsia="宋体"/>
          <w:sz w:val="22"/>
          <w:szCs w:val="22"/>
        </w:rPr>
        <w:t>8.1甲方无正当理由拒收接受服务的，甲方向乙方偿付合同款项5%作为违约金。</w:t>
      </w:r>
    </w:p>
    <w:p>
      <w:pPr>
        <w:pStyle w:val="236"/>
        <w:ind w:firstLine="440"/>
        <w:rPr>
          <w:rFonts w:hint="eastAsia" w:hAnsi="宋体" w:eastAsia="宋体"/>
          <w:sz w:val="22"/>
          <w:szCs w:val="22"/>
        </w:rPr>
      </w:pPr>
      <w:r>
        <w:rPr>
          <w:rFonts w:hint="eastAsia" w:hAnsi="宋体" w:eastAsia="宋体"/>
          <w:sz w:val="22"/>
          <w:szCs w:val="22"/>
        </w:rPr>
        <w:t xml:space="preserve">8.2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pStyle w:val="236"/>
        <w:ind w:firstLine="440"/>
        <w:rPr>
          <w:rFonts w:hint="eastAsia" w:hAnsi="宋体" w:eastAsia="宋体"/>
          <w:sz w:val="22"/>
          <w:szCs w:val="22"/>
        </w:rPr>
      </w:pPr>
      <w:r>
        <w:rPr>
          <w:rFonts w:hint="eastAsia" w:hAnsi="宋体" w:eastAsia="宋体"/>
          <w:sz w:val="22"/>
          <w:szCs w:val="22"/>
        </w:rPr>
        <w:t>九、不可抗力事件处理</w:t>
      </w:r>
    </w:p>
    <w:p>
      <w:pPr>
        <w:pStyle w:val="236"/>
        <w:ind w:firstLine="440"/>
        <w:rPr>
          <w:rFonts w:hint="eastAsia" w:hAnsi="宋体" w:eastAsia="宋体"/>
          <w:sz w:val="22"/>
          <w:szCs w:val="22"/>
        </w:rPr>
      </w:pPr>
      <w:r>
        <w:rPr>
          <w:rFonts w:hint="eastAsia" w:hAnsi="宋体" w:eastAsia="宋体"/>
          <w:sz w:val="22"/>
          <w:szCs w:val="22"/>
        </w:rPr>
        <w:t>9.1 在合同有效期内，任何一方因不可抗力事件导致不能履行合同，则合同履行期可延长，其延长期与不可抗力影响期相同。</w:t>
      </w:r>
    </w:p>
    <w:p>
      <w:pPr>
        <w:pStyle w:val="236"/>
        <w:ind w:firstLine="440"/>
        <w:rPr>
          <w:rFonts w:hint="eastAsia" w:hAnsi="宋体" w:eastAsia="宋体"/>
          <w:sz w:val="22"/>
          <w:szCs w:val="22"/>
        </w:rPr>
      </w:pPr>
      <w:r>
        <w:rPr>
          <w:rFonts w:hint="eastAsia" w:hAnsi="宋体" w:eastAsia="宋体"/>
          <w:sz w:val="22"/>
          <w:szCs w:val="22"/>
        </w:rPr>
        <w:t>9.2 不可抗力事件发生后，应立即通知对方，并寄送有关权威机构出具的证明。</w:t>
      </w:r>
    </w:p>
    <w:p>
      <w:pPr>
        <w:pStyle w:val="236"/>
        <w:ind w:firstLine="440"/>
        <w:rPr>
          <w:rFonts w:hint="eastAsia" w:hAnsi="宋体" w:eastAsia="宋体"/>
          <w:sz w:val="22"/>
          <w:szCs w:val="22"/>
        </w:rPr>
      </w:pPr>
      <w:r>
        <w:rPr>
          <w:rFonts w:hint="eastAsia" w:hAnsi="宋体" w:eastAsia="宋体"/>
          <w:sz w:val="22"/>
          <w:szCs w:val="22"/>
        </w:rPr>
        <w:t>9.3 不可抗力事件延续120天以上，双方应通过友好协商，确定是否继续履行合同。</w:t>
      </w:r>
    </w:p>
    <w:p>
      <w:pPr>
        <w:pStyle w:val="236"/>
        <w:ind w:firstLine="440"/>
        <w:rPr>
          <w:rFonts w:hint="eastAsia" w:hAnsi="宋体" w:eastAsia="宋体"/>
          <w:sz w:val="22"/>
          <w:szCs w:val="22"/>
        </w:rPr>
      </w:pPr>
      <w:r>
        <w:rPr>
          <w:rFonts w:hint="eastAsia" w:hAnsi="宋体" w:eastAsia="宋体"/>
          <w:sz w:val="22"/>
          <w:szCs w:val="22"/>
        </w:rPr>
        <w:t>十、诉讼</w:t>
      </w:r>
    </w:p>
    <w:p>
      <w:pPr>
        <w:pStyle w:val="236"/>
        <w:ind w:firstLine="440"/>
        <w:rPr>
          <w:rFonts w:hint="eastAsia" w:hAnsi="宋体" w:eastAsia="宋体"/>
          <w:sz w:val="22"/>
          <w:szCs w:val="22"/>
        </w:rPr>
      </w:pPr>
      <w:r>
        <w:rPr>
          <w:rFonts w:hint="eastAsia" w:hAnsi="宋体" w:eastAsia="宋体"/>
          <w:sz w:val="22"/>
          <w:szCs w:val="22"/>
        </w:rPr>
        <w:t>10.1 双方在执行合同中所发生的一切争议，应通过协商解决。如协商不成，可向合同签订地法院起诉。</w:t>
      </w:r>
    </w:p>
    <w:p>
      <w:pPr>
        <w:pStyle w:val="236"/>
        <w:ind w:firstLine="440"/>
        <w:rPr>
          <w:rFonts w:hint="eastAsia" w:hAnsi="宋体" w:eastAsia="宋体"/>
          <w:sz w:val="22"/>
          <w:szCs w:val="22"/>
        </w:rPr>
      </w:pPr>
      <w:r>
        <w:rPr>
          <w:rFonts w:hint="eastAsia" w:hAnsi="宋体" w:eastAsia="宋体"/>
          <w:sz w:val="22"/>
          <w:szCs w:val="22"/>
        </w:rPr>
        <w:t>十一、合同生效及其它</w:t>
      </w:r>
    </w:p>
    <w:p>
      <w:pPr>
        <w:pStyle w:val="236"/>
        <w:ind w:firstLine="440"/>
        <w:rPr>
          <w:rFonts w:hint="eastAsia" w:hAnsi="宋体" w:eastAsia="宋体"/>
          <w:sz w:val="22"/>
          <w:szCs w:val="22"/>
        </w:rPr>
      </w:pPr>
      <w:r>
        <w:rPr>
          <w:rFonts w:hint="eastAsia" w:hAnsi="宋体" w:eastAsia="宋体"/>
          <w:sz w:val="22"/>
          <w:szCs w:val="22"/>
        </w:rPr>
        <w:t>11.1 合同经双方法定代表人或授权委托代理人签字并加盖单位公章后生效。</w:t>
      </w:r>
    </w:p>
    <w:p>
      <w:pPr>
        <w:pStyle w:val="236"/>
        <w:ind w:firstLine="440"/>
        <w:rPr>
          <w:rFonts w:hint="eastAsia" w:hAnsi="宋体" w:eastAsia="宋体"/>
          <w:sz w:val="22"/>
          <w:szCs w:val="22"/>
        </w:rPr>
      </w:pPr>
      <w:r>
        <w:rPr>
          <w:rFonts w:hint="eastAsia" w:hAnsi="宋体" w:eastAsia="宋体"/>
          <w:sz w:val="22"/>
          <w:szCs w:val="22"/>
        </w:rPr>
        <w:t>11.2合同执行中涉及采购资金和采购内容修改或补充的，须经财政部门审批，并签书面补充协议报政府采购监督管理部门备案，方可作为主合同不可分割的一部分。</w:t>
      </w:r>
    </w:p>
    <w:p>
      <w:pPr>
        <w:pStyle w:val="236"/>
        <w:ind w:firstLine="440"/>
        <w:rPr>
          <w:rFonts w:hint="eastAsia" w:hAnsi="宋体" w:eastAsia="宋体"/>
          <w:sz w:val="22"/>
          <w:szCs w:val="22"/>
        </w:rPr>
      </w:pPr>
      <w:r>
        <w:rPr>
          <w:rFonts w:hint="eastAsia" w:hAnsi="宋体" w:eastAsia="宋体"/>
          <w:sz w:val="22"/>
          <w:szCs w:val="22"/>
        </w:rPr>
        <w:t>11.3本合同未尽事宜，遵照《合同法》有关条文、补充协议、投标承诺、响应文件、采购文件及补充执行。</w:t>
      </w:r>
    </w:p>
    <w:p>
      <w:pPr>
        <w:pStyle w:val="236"/>
        <w:ind w:firstLine="440"/>
        <w:rPr>
          <w:rFonts w:hint="eastAsia" w:hAnsi="宋体" w:eastAsia="宋体"/>
          <w:sz w:val="22"/>
          <w:szCs w:val="22"/>
        </w:rPr>
      </w:pPr>
      <w:r>
        <w:rPr>
          <w:rFonts w:hint="eastAsia" w:hAnsi="宋体" w:eastAsia="宋体"/>
          <w:sz w:val="22"/>
          <w:szCs w:val="22"/>
        </w:rPr>
        <w:t>11.4 本合同正本一式两份，甲乙双方各执一 份；副本</w:t>
      </w:r>
      <w:r>
        <w:rPr>
          <w:rFonts w:hint="eastAsia" w:hAnsi="宋体" w:eastAsia="宋体"/>
          <w:sz w:val="22"/>
          <w:szCs w:val="22"/>
          <w:u w:val="single"/>
        </w:rPr>
        <w:t xml:space="preserve">     </w:t>
      </w:r>
      <w:r>
        <w:rPr>
          <w:rFonts w:hint="eastAsia" w:hAnsi="宋体" w:eastAsia="宋体"/>
          <w:sz w:val="22"/>
          <w:szCs w:val="22"/>
        </w:rPr>
        <w:t>份，（用途）。</w:t>
      </w:r>
    </w:p>
    <w:p>
      <w:pPr>
        <w:pStyle w:val="236"/>
        <w:ind w:firstLine="440"/>
        <w:rPr>
          <w:rFonts w:hint="eastAsia" w:hAnsi="宋体" w:eastAsia="宋体"/>
          <w:sz w:val="22"/>
          <w:szCs w:val="22"/>
        </w:rPr>
      </w:pPr>
    </w:p>
    <w:p>
      <w:pPr>
        <w:spacing w:line="360" w:lineRule="auto"/>
        <w:rPr>
          <w:rFonts w:hint="eastAsia" w:ascii="宋体" w:hAnsi="宋体"/>
          <w:sz w:val="22"/>
          <w:szCs w:val="22"/>
        </w:rPr>
      </w:pPr>
      <w:r>
        <w:rPr>
          <w:rFonts w:hint="eastAsia" w:ascii="宋体" w:hAnsi="宋体"/>
          <w:sz w:val="22"/>
          <w:szCs w:val="22"/>
        </w:rPr>
        <w:t xml:space="preserve">甲方（盖章）：宁波市公安局镇海分局  乙方（盖章）：        </w:t>
      </w:r>
    </w:p>
    <w:p>
      <w:pPr>
        <w:spacing w:line="360" w:lineRule="auto"/>
        <w:rPr>
          <w:rFonts w:hint="eastAsia" w:ascii="宋体" w:hAnsi="宋体"/>
          <w:sz w:val="22"/>
          <w:szCs w:val="22"/>
        </w:rPr>
      </w:pPr>
      <w:r>
        <w:rPr>
          <w:rFonts w:hint="eastAsia" w:ascii="宋体" w:hAnsi="宋体"/>
          <w:sz w:val="22"/>
          <w:szCs w:val="22"/>
        </w:rPr>
        <w:t xml:space="preserve">法定代表人：                              法定代表人：                   </w:t>
      </w:r>
    </w:p>
    <w:p>
      <w:pPr>
        <w:spacing w:line="360" w:lineRule="auto"/>
        <w:rPr>
          <w:rFonts w:hint="eastAsia" w:ascii="宋体" w:hAnsi="宋体"/>
          <w:sz w:val="22"/>
          <w:szCs w:val="22"/>
        </w:rPr>
      </w:pPr>
      <w:r>
        <w:rPr>
          <w:rFonts w:hint="eastAsia" w:ascii="宋体" w:hAnsi="宋体"/>
          <w:sz w:val="22"/>
          <w:szCs w:val="22"/>
        </w:rPr>
        <w:t xml:space="preserve">或受委托人（签字）：                      或受委托人（签字）：                  </w:t>
      </w:r>
    </w:p>
    <w:p>
      <w:pPr>
        <w:spacing w:line="360" w:lineRule="auto"/>
        <w:rPr>
          <w:rFonts w:hint="eastAsia" w:ascii="宋体" w:hAnsi="宋体"/>
          <w:sz w:val="22"/>
          <w:szCs w:val="22"/>
        </w:rPr>
      </w:pPr>
      <w:r>
        <w:rPr>
          <w:rFonts w:hint="eastAsia" w:ascii="宋体" w:hAnsi="宋体"/>
          <w:sz w:val="22"/>
          <w:szCs w:val="22"/>
        </w:rPr>
        <w:t>联系人：                                  联系人：</w:t>
      </w:r>
    </w:p>
    <w:p>
      <w:pPr>
        <w:spacing w:line="360" w:lineRule="auto"/>
        <w:rPr>
          <w:rFonts w:hint="eastAsia" w:ascii="宋体" w:hAnsi="宋体"/>
          <w:sz w:val="22"/>
          <w:szCs w:val="22"/>
        </w:rPr>
      </w:pPr>
      <w:r>
        <w:rPr>
          <w:rFonts w:hint="eastAsia" w:ascii="宋体" w:hAnsi="宋体"/>
          <w:sz w:val="22"/>
          <w:szCs w:val="22"/>
        </w:rPr>
        <w:t xml:space="preserve">地址：                                    地址： </w:t>
      </w:r>
    </w:p>
    <w:p>
      <w:pPr>
        <w:spacing w:line="360" w:lineRule="auto"/>
        <w:rPr>
          <w:rFonts w:hint="eastAsia" w:ascii="宋体" w:hAnsi="宋体"/>
          <w:sz w:val="22"/>
          <w:szCs w:val="22"/>
        </w:rPr>
      </w:pPr>
      <w:r>
        <w:rPr>
          <w:rFonts w:hint="eastAsia" w:ascii="宋体" w:hAnsi="宋体"/>
          <w:sz w:val="22"/>
          <w:szCs w:val="22"/>
        </w:rPr>
        <w:t>电话：                                    电话：</w:t>
      </w:r>
    </w:p>
    <w:p>
      <w:pPr>
        <w:spacing w:line="360" w:lineRule="auto"/>
        <w:rPr>
          <w:rFonts w:hint="eastAsia" w:ascii="宋体" w:hAnsi="宋体"/>
          <w:sz w:val="22"/>
          <w:szCs w:val="22"/>
        </w:rPr>
      </w:pPr>
      <w:r>
        <w:rPr>
          <w:rFonts w:hint="eastAsia" w:ascii="宋体" w:hAnsi="宋体"/>
          <w:sz w:val="22"/>
          <w:szCs w:val="22"/>
        </w:rPr>
        <w:t>传真：                                    传真：</w:t>
      </w:r>
    </w:p>
    <w:p>
      <w:pPr>
        <w:spacing w:line="360" w:lineRule="auto"/>
        <w:rPr>
          <w:rFonts w:hint="eastAsia" w:ascii="宋体" w:hAnsi="宋体"/>
          <w:sz w:val="22"/>
          <w:szCs w:val="22"/>
        </w:rPr>
      </w:pPr>
      <w:r>
        <w:rPr>
          <w:rFonts w:hint="eastAsia" w:ascii="宋体" w:hAnsi="宋体"/>
          <w:sz w:val="22"/>
          <w:szCs w:val="22"/>
        </w:rPr>
        <w:t xml:space="preserve">开户银行：                                开户银行： </w:t>
      </w:r>
    </w:p>
    <w:p>
      <w:pPr>
        <w:spacing w:line="360" w:lineRule="auto"/>
        <w:rPr>
          <w:rFonts w:hint="eastAsia" w:ascii="宋体" w:hAnsi="宋体"/>
          <w:sz w:val="22"/>
          <w:szCs w:val="22"/>
        </w:rPr>
      </w:pPr>
      <w:r>
        <w:rPr>
          <w:rFonts w:hint="eastAsia" w:ascii="宋体" w:hAnsi="宋体"/>
          <w:sz w:val="22"/>
          <w:szCs w:val="22"/>
        </w:rPr>
        <w:t>帐号：                                    帐号：</w:t>
      </w:r>
    </w:p>
    <w:p>
      <w:pPr>
        <w:spacing w:line="360" w:lineRule="auto"/>
        <w:rPr>
          <w:rFonts w:hint="eastAsia" w:ascii="宋体" w:hAnsi="宋体"/>
          <w:sz w:val="22"/>
          <w:szCs w:val="22"/>
        </w:rPr>
      </w:pPr>
      <w:r>
        <w:rPr>
          <w:rFonts w:hint="eastAsia" w:ascii="宋体" w:hAnsi="宋体"/>
          <w:sz w:val="22"/>
          <w:szCs w:val="22"/>
        </w:rPr>
        <w:t xml:space="preserve">                                   </w:t>
      </w:r>
    </w:p>
    <w:p>
      <w:pPr>
        <w:spacing w:line="360" w:lineRule="auto"/>
        <w:ind w:firstLine="5280" w:firstLineChars="2400"/>
        <w:rPr>
          <w:rFonts w:hint="eastAsia" w:ascii="宋体" w:hAnsi="宋体"/>
          <w:sz w:val="22"/>
          <w:szCs w:val="22"/>
        </w:rPr>
      </w:pPr>
      <w:r>
        <w:rPr>
          <w:rFonts w:hint="eastAsia" w:ascii="宋体" w:hAnsi="宋体"/>
          <w:sz w:val="22"/>
          <w:szCs w:val="22"/>
        </w:rPr>
        <w:t>签 约 地：</w:t>
      </w:r>
    </w:p>
    <w:p>
      <w:pPr>
        <w:adjustRightInd w:val="0"/>
        <w:snapToGrid w:val="0"/>
        <w:spacing w:line="360" w:lineRule="auto"/>
        <w:ind w:firstLine="440" w:firstLineChars="200"/>
        <w:rPr>
          <w:rFonts w:hint="eastAsia" w:ascii="宋体" w:hAnsi="宋体"/>
          <w:sz w:val="22"/>
          <w:szCs w:val="22"/>
        </w:rPr>
      </w:pPr>
      <w:r>
        <w:rPr>
          <w:rFonts w:hint="eastAsia" w:ascii="宋体" w:hAnsi="宋体"/>
          <w:sz w:val="22"/>
          <w:szCs w:val="22"/>
        </w:rPr>
        <w:t xml:space="preserve">                                            签约日期：    年  月    日</w:t>
      </w:r>
    </w:p>
    <w:p>
      <w:pPr>
        <w:widowControl/>
        <w:spacing w:line="360" w:lineRule="auto"/>
        <w:jc w:val="left"/>
        <w:rPr>
          <w:rFonts w:ascii="宋体" w:hAnsi="宋体"/>
          <w:sz w:val="22"/>
          <w:szCs w:val="22"/>
        </w:rPr>
        <w:sectPr>
          <w:footerReference r:id="rId15" w:type="first"/>
          <w:headerReference r:id="rId12" w:type="default"/>
          <w:footerReference r:id="rId13" w:type="default"/>
          <w:footerReference r:id="rId14" w:type="even"/>
          <w:pgSz w:w="11906" w:h="16838"/>
          <w:pgMar w:top="1247" w:right="1418" w:bottom="1558" w:left="1418" w:header="851" w:footer="992" w:gutter="0"/>
          <w:cols w:space="720" w:num="1"/>
        </w:sectPr>
      </w:pPr>
    </w:p>
    <w:p>
      <w:pPr>
        <w:spacing w:line="360" w:lineRule="auto"/>
        <w:rPr>
          <w:rFonts w:hint="eastAsia" w:ascii="宋体" w:hAnsi="宋体" w:cs="宋体"/>
          <w:b/>
          <w:sz w:val="22"/>
          <w:szCs w:val="22"/>
        </w:rPr>
      </w:pPr>
    </w:p>
    <w:p>
      <w:pPr>
        <w:spacing w:line="360" w:lineRule="auto"/>
        <w:rPr>
          <w:rFonts w:hint="eastAsia" w:ascii="宋体" w:hAnsi="宋体" w:cs="宋体"/>
          <w:b/>
          <w:sz w:val="22"/>
          <w:szCs w:val="22"/>
        </w:rPr>
      </w:pPr>
      <w:r>
        <w:rPr>
          <w:rFonts w:hint="eastAsia" w:ascii="宋体" w:hAnsi="宋体" w:cs="宋体"/>
          <w:b/>
          <w:sz w:val="22"/>
          <w:szCs w:val="22"/>
        </w:rPr>
        <w:t xml:space="preserve">附 件一：保密协议 </w:t>
      </w:r>
    </w:p>
    <w:p>
      <w:pPr>
        <w:spacing w:line="360" w:lineRule="auto"/>
        <w:rPr>
          <w:rFonts w:hint="eastAsia" w:ascii="宋体" w:hAnsi="宋体" w:cs="宋体"/>
          <w:sz w:val="22"/>
          <w:szCs w:val="22"/>
        </w:rPr>
      </w:pPr>
      <w:r>
        <w:rPr>
          <w:rFonts w:hint="eastAsia" w:ascii="宋体" w:hAnsi="宋体" w:cs="宋体"/>
          <w:sz w:val="22"/>
          <w:szCs w:val="22"/>
        </w:rPr>
        <w:t>甲方：宁波市公安局镇海分局</w:t>
      </w:r>
    </w:p>
    <w:p>
      <w:pPr>
        <w:spacing w:line="360" w:lineRule="auto"/>
        <w:rPr>
          <w:rFonts w:hint="eastAsia" w:ascii="宋体" w:hAnsi="宋体" w:cs="宋体"/>
          <w:sz w:val="22"/>
          <w:szCs w:val="22"/>
        </w:rPr>
      </w:pPr>
      <w:r>
        <w:rPr>
          <w:rFonts w:hint="eastAsia" w:ascii="宋体" w:hAnsi="宋体" w:cs="宋体"/>
          <w:sz w:val="22"/>
          <w:szCs w:val="22"/>
        </w:rPr>
        <w:t xml:space="preserve">乙方： </w:t>
      </w:r>
    </w:p>
    <w:p>
      <w:pPr>
        <w:spacing w:line="360" w:lineRule="auto"/>
        <w:rPr>
          <w:rFonts w:hint="eastAsia" w:ascii="宋体" w:hAnsi="宋体" w:cs="宋体"/>
          <w:sz w:val="22"/>
          <w:szCs w:val="22"/>
        </w:rPr>
      </w:pPr>
      <w:r>
        <w:rPr>
          <w:rFonts w:hint="eastAsia" w:ascii="宋体" w:hAnsi="宋体" w:cs="宋体"/>
          <w:sz w:val="22"/>
          <w:szCs w:val="22"/>
        </w:rPr>
        <w:t>经友好协商，双方就</w:t>
      </w:r>
      <w:r>
        <w:rPr>
          <w:rFonts w:hint="eastAsia" w:ascii="宋体" w:hAnsi="宋体" w:cs="宋体"/>
          <w:sz w:val="22"/>
          <w:szCs w:val="22"/>
          <w:u w:val="single"/>
        </w:rPr>
        <w:t xml:space="preserve"> 镇海区全区社会治安视频监控系统（2021年度）统筹运维服务项目 </w:t>
      </w:r>
      <w:r>
        <w:rPr>
          <w:rFonts w:hint="eastAsia" w:ascii="宋体" w:hAnsi="宋体" w:cs="宋体"/>
          <w:sz w:val="22"/>
          <w:szCs w:val="22"/>
        </w:rPr>
        <w:t xml:space="preserve">的服务工作签订如下保密协议： </w:t>
      </w:r>
    </w:p>
    <w:p>
      <w:pPr>
        <w:spacing w:line="360" w:lineRule="auto"/>
        <w:rPr>
          <w:rFonts w:hint="eastAsia" w:ascii="宋体" w:hAnsi="宋体" w:cs="宋体"/>
          <w:sz w:val="22"/>
          <w:szCs w:val="22"/>
        </w:rPr>
      </w:pPr>
      <w:r>
        <w:rPr>
          <w:rFonts w:hint="eastAsia" w:ascii="宋体" w:hAnsi="宋体" w:cs="宋体"/>
          <w:sz w:val="22"/>
          <w:szCs w:val="22"/>
        </w:rPr>
        <w:t xml:space="preserve">1、甲方提供给乙方的所有资料（包括书面及电子版等）仅限于乙方参加甲方服务所需，资料中涉及的商业和技术等秘密，乙方负有保密的责任，乙方保证对甲方递交的资料、信息提供完善的保密措施，不得复制以上的任何资料，或向第三方泄露。乙方员工在任何时候的泄密将视为乙方的泄密。在协议终止时，乙方应归还从甲方直接获得或间接获得的所有资料，如所有图纸、说明、技术数据以及其它任何资料。 </w:t>
      </w:r>
    </w:p>
    <w:p>
      <w:pPr>
        <w:spacing w:line="360" w:lineRule="auto"/>
        <w:rPr>
          <w:rFonts w:hint="eastAsia" w:ascii="宋体" w:hAnsi="宋体" w:cs="宋体"/>
          <w:sz w:val="22"/>
          <w:szCs w:val="22"/>
        </w:rPr>
      </w:pPr>
      <w:r>
        <w:rPr>
          <w:rFonts w:hint="eastAsia" w:ascii="宋体" w:hAnsi="宋体" w:cs="宋体"/>
          <w:sz w:val="22"/>
          <w:szCs w:val="22"/>
        </w:rPr>
        <w:t xml:space="preserve">2、在本协议期间，乙方作为履行服务之结果，均应当为甲方之财产，且乙方应承担保密义务。 </w:t>
      </w:r>
    </w:p>
    <w:p>
      <w:pPr>
        <w:spacing w:line="360" w:lineRule="auto"/>
        <w:rPr>
          <w:rFonts w:hint="eastAsia" w:ascii="宋体" w:hAnsi="宋体" w:cs="宋体"/>
          <w:sz w:val="22"/>
          <w:szCs w:val="22"/>
        </w:rPr>
      </w:pPr>
      <w:r>
        <w:rPr>
          <w:rFonts w:hint="eastAsia" w:ascii="宋体" w:hAnsi="宋体" w:cs="宋体"/>
          <w:sz w:val="22"/>
          <w:szCs w:val="22"/>
        </w:rPr>
        <w:t xml:space="preserve">3、乙方对以下情况不承担保密责任： </w:t>
      </w:r>
    </w:p>
    <w:p>
      <w:pPr>
        <w:spacing w:line="360" w:lineRule="auto"/>
        <w:rPr>
          <w:rFonts w:hint="eastAsia" w:ascii="宋体" w:hAnsi="宋体" w:cs="宋体"/>
          <w:sz w:val="22"/>
          <w:szCs w:val="22"/>
        </w:rPr>
      </w:pPr>
      <w:r>
        <w:rPr>
          <w:rFonts w:hint="eastAsia" w:ascii="宋体" w:hAnsi="宋体" w:cs="宋体"/>
          <w:sz w:val="22"/>
          <w:szCs w:val="22"/>
        </w:rPr>
        <w:t xml:space="preserve">3.1 并非因乙方之错误而成为公众可获得的信息； </w:t>
      </w:r>
    </w:p>
    <w:p>
      <w:pPr>
        <w:spacing w:line="360" w:lineRule="auto"/>
        <w:rPr>
          <w:rFonts w:hint="eastAsia" w:ascii="宋体" w:hAnsi="宋体" w:cs="宋体"/>
          <w:sz w:val="22"/>
          <w:szCs w:val="22"/>
        </w:rPr>
      </w:pPr>
      <w:r>
        <w:rPr>
          <w:rFonts w:hint="eastAsia" w:ascii="宋体" w:hAnsi="宋体" w:cs="宋体"/>
          <w:sz w:val="22"/>
          <w:szCs w:val="22"/>
        </w:rPr>
        <w:t xml:space="preserve">3.2 在乙方按照本协议获得该信息之前，即由乙方拥有的信息，且该信息不是直接或间接来自甲方或承担保密义务的其它方。 </w:t>
      </w:r>
    </w:p>
    <w:p>
      <w:pPr>
        <w:spacing w:line="360" w:lineRule="auto"/>
        <w:rPr>
          <w:rFonts w:hint="eastAsia" w:ascii="宋体" w:hAnsi="宋体" w:cs="宋体"/>
          <w:sz w:val="22"/>
          <w:szCs w:val="22"/>
        </w:rPr>
      </w:pPr>
      <w:r>
        <w:rPr>
          <w:rFonts w:hint="eastAsia" w:ascii="宋体" w:hAnsi="宋体" w:cs="宋体"/>
          <w:sz w:val="22"/>
          <w:szCs w:val="22"/>
        </w:rPr>
        <w:t xml:space="preserve">3.3 由乙方从某不承担保密义务的第三方获得的信息，且乙方有合理理由认为该第三方对甲方或其关联方不承担保密义务； </w:t>
      </w:r>
    </w:p>
    <w:p>
      <w:pPr>
        <w:spacing w:line="360" w:lineRule="auto"/>
        <w:rPr>
          <w:rFonts w:hint="eastAsia" w:ascii="宋体" w:hAnsi="宋体" w:cs="宋体"/>
          <w:sz w:val="22"/>
          <w:szCs w:val="22"/>
        </w:rPr>
      </w:pPr>
      <w:r>
        <w:rPr>
          <w:rFonts w:hint="eastAsia" w:ascii="宋体" w:hAnsi="宋体" w:cs="宋体"/>
          <w:sz w:val="22"/>
          <w:szCs w:val="22"/>
        </w:rPr>
        <w:t xml:space="preserve">3.4 由乙方为乙方雇员独立开发的信息，且该信息不属于上述规定的信息。 </w:t>
      </w:r>
    </w:p>
    <w:p>
      <w:pPr>
        <w:spacing w:line="360" w:lineRule="auto"/>
        <w:rPr>
          <w:rFonts w:hint="eastAsia" w:ascii="宋体" w:hAnsi="宋体" w:cs="宋体"/>
          <w:sz w:val="22"/>
          <w:szCs w:val="22"/>
        </w:rPr>
      </w:pPr>
      <w:r>
        <w:rPr>
          <w:rFonts w:hint="eastAsia" w:ascii="宋体" w:hAnsi="宋体" w:cs="宋体"/>
          <w:sz w:val="22"/>
          <w:szCs w:val="22"/>
        </w:rPr>
        <w:t xml:space="preserve">3.5 乙方在按照本协议履行服务过程中可能会积累知识，并在取得甲方事先书面同意后将此类知识用于其日常业务。 </w:t>
      </w:r>
    </w:p>
    <w:p>
      <w:pPr>
        <w:spacing w:line="360" w:lineRule="auto"/>
        <w:rPr>
          <w:rFonts w:hint="eastAsia" w:ascii="宋体" w:hAnsi="宋体" w:cs="宋体"/>
          <w:sz w:val="22"/>
          <w:szCs w:val="22"/>
        </w:rPr>
      </w:pPr>
      <w:r>
        <w:rPr>
          <w:rFonts w:hint="eastAsia" w:ascii="宋体" w:hAnsi="宋体" w:cs="宋体"/>
          <w:sz w:val="22"/>
          <w:szCs w:val="22"/>
        </w:rPr>
        <w:t xml:space="preserve">4、对本协议内容的任何违反，视作违约，违约方应按中华人民共和国的相关法律法规承担违约责任。 </w:t>
      </w:r>
    </w:p>
    <w:p>
      <w:pPr>
        <w:spacing w:line="360" w:lineRule="auto"/>
        <w:rPr>
          <w:rFonts w:hint="eastAsia" w:ascii="宋体" w:hAnsi="宋体" w:cs="宋体"/>
          <w:sz w:val="22"/>
          <w:szCs w:val="22"/>
        </w:rPr>
      </w:pPr>
      <w:r>
        <w:rPr>
          <w:rFonts w:hint="eastAsia" w:ascii="宋体" w:hAnsi="宋体" w:cs="宋体"/>
          <w:sz w:val="22"/>
          <w:szCs w:val="22"/>
        </w:rPr>
        <w:t xml:space="preserve">5、本协议有效期10年，对本协议的任何修改和变更，必须经双方书面同意，并由双方重新签章。 </w:t>
      </w:r>
    </w:p>
    <w:p>
      <w:pPr>
        <w:spacing w:line="360" w:lineRule="auto"/>
        <w:rPr>
          <w:rFonts w:hint="eastAsia" w:ascii="宋体" w:hAnsi="宋体" w:cs="宋体"/>
          <w:sz w:val="22"/>
          <w:szCs w:val="22"/>
        </w:rPr>
      </w:pPr>
      <w:r>
        <w:rPr>
          <w:rFonts w:hint="eastAsia" w:ascii="宋体" w:hAnsi="宋体" w:cs="宋体"/>
          <w:sz w:val="22"/>
          <w:szCs w:val="22"/>
        </w:rPr>
        <w:t xml:space="preserve">6、本协议一式四份，甲、乙双方各执两份，具有同等法律效力。本协议经甲、乙双方签章后即生效。 </w:t>
      </w:r>
    </w:p>
    <w:p>
      <w:pPr>
        <w:spacing w:line="360" w:lineRule="auto"/>
        <w:rPr>
          <w:rFonts w:hint="eastAsia" w:ascii="宋体" w:hAnsi="宋体" w:cs="宋体"/>
          <w:sz w:val="22"/>
          <w:szCs w:val="22"/>
        </w:rPr>
      </w:pPr>
      <w:r>
        <w:rPr>
          <w:rFonts w:hint="eastAsia" w:ascii="宋体" w:hAnsi="宋体" w:cs="宋体"/>
          <w:sz w:val="22"/>
          <w:szCs w:val="22"/>
        </w:rPr>
        <w:t xml:space="preserve">  甲方：（盖章）                        乙方：（盖章） </w:t>
      </w:r>
    </w:p>
    <w:p>
      <w:pPr>
        <w:spacing w:line="360" w:lineRule="auto"/>
        <w:rPr>
          <w:rFonts w:hint="eastAsia" w:ascii="宋体" w:hAnsi="宋体" w:cs="宋体"/>
          <w:sz w:val="22"/>
          <w:szCs w:val="22"/>
        </w:rPr>
      </w:pPr>
      <w:r>
        <w:rPr>
          <w:rFonts w:hint="eastAsia" w:ascii="宋体" w:hAnsi="宋体" w:cs="宋体"/>
          <w:sz w:val="22"/>
          <w:szCs w:val="22"/>
        </w:rPr>
        <w:t>负责人或（委托代理人）：              负责人或（委托代理人）：</w:t>
      </w:r>
    </w:p>
    <w:p>
      <w:pPr>
        <w:spacing w:line="360" w:lineRule="auto"/>
        <w:ind w:firstLine="330" w:firstLineChars="150"/>
        <w:rPr>
          <w:rFonts w:hint="eastAsia" w:ascii="宋体" w:hAnsi="宋体" w:cs="宋体"/>
          <w:sz w:val="22"/>
          <w:szCs w:val="22"/>
        </w:rPr>
      </w:pPr>
      <w:r>
        <w:rPr>
          <w:rFonts w:hint="eastAsia" w:ascii="宋体" w:hAnsi="宋体" w:cs="宋体"/>
          <w:sz w:val="22"/>
          <w:szCs w:val="22"/>
        </w:rPr>
        <w:t xml:space="preserve">   年   月   日                         年   月   日</w:t>
      </w:r>
    </w:p>
    <w:p>
      <w:pPr>
        <w:spacing w:line="360" w:lineRule="auto"/>
        <w:rPr>
          <w:rFonts w:hint="eastAsia" w:ascii="宋体" w:hAnsi="宋体" w:cs="宋体"/>
          <w:sz w:val="22"/>
          <w:szCs w:val="22"/>
        </w:rPr>
      </w:pPr>
      <w:r>
        <w:rPr>
          <w:rFonts w:hint="eastAsia" w:ascii="宋体" w:hAnsi="宋体" w:cs="宋体"/>
          <w:sz w:val="22"/>
          <w:szCs w:val="22"/>
        </w:rPr>
        <w:t xml:space="preserve"> </w:t>
      </w:r>
    </w:p>
    <w:p>
      <w:pPr>
        <w:spacing w:line="360" w:lineRule="auto"/>
        <w:rPr>
          <w:rFonts w:hint="eastAsia" w:ascii="宋体" w:hAnsi="宋体" w:cs="宋体"/>
          <w:sz w:val="22"/>
          <w:szCs w:val="22"/>
        </w:rPr>
      </w:pPr>
    </w:p>
    <w:p>
      <w:pPr>
        <w:spacing w:line="360" w:lineRule="auto"/>
        <w:rPr>
          <w:rFonts w:hint="eastAsia" w:ascii="宋体" w:hAnsi="宋体" w:cs="宋体"/>
          <w:sz w:val="22"/>
          <w:szCs w:val="22"/>
        </w:rPr>
      </w:pPr>
    </w:p>
    <w:p>
      <w:pPr>
        <w:spacing w:line="360" w:lineRule="auto"/>
        <w:rPr>
          <w:rFonts w:hint="eastAsia" w:ascii="宋体" w:hAnsi="宋体" w:cs="宋体"/>
          <w:sz w:val="22"/>
          <w:szCs w:val="22"/>
        </w:rPr>
      </w:pPr>
    </w:p>
    <w:p>
      <w:pPr>
        <w:spacing w:line="360" w:lineRule="auto"/>
        <w:rPr>
          <w:rFonts w:hint="eastAsia" w:ascii="宋体" w:hAnsi="宋体" w:cs="宋体"/>
          <w:sz w:val="22"/>
          <w:szCs w:val="22"/>
        </w:rPr>
      </w:pPr>
    </w:p>
    <w:p>
      <w:pPr>
        <w:spacing w:line="360" w:lineRule="auto"/>
        <w:rPr>
          <w:rFonts w:hint="eastAsia" w:ascii="宋体" w:hAnsi="宋体" w:cs="宋体"/>
          <w:sz w:val="22"/>
          <w:szCs w:val="22"/>
        </w:rPr>
      </w:pPr>
    </w:p>
    <w:p>
      <w:pPr>
        <w:spacing w:line="360" w:lineRule="auto"/>
        <w:rPr>
          <w:rFonts w:hint="eastAsia" w:ascii="宋体" w:hAnsi="宋体" w:cs="宋体"/>
          <w:sz w:val="22"/>
          <w:szCs w:val="22"/>
        </w:rPr>
      </w:pPr>
    </w:p>
    <w:p>
      <w:pPr>
        <w:spacing w:line="360" w:lineRule="auto"/>
        <w:rPr>
          <w:rFonts w:hint="eastAsia" w:ascii="宋体" w:hAnsi="宋体" w:cs="宋体"/>
          <w:sz w:val="22"/>
          <w:szCs w:val="22"/>
        </w:rPr>
      </w:pPr>
      <w:r>
        <w:rPr>
          <w:rFonts w:hint="eastAsia" w:ascii="宋体" w:hAnsi="宋体" w:cs="宋体"/>
          <w:b/>
          <w:sz w:val="22"/>
          <w:szCs w:val="22"/>
        </w:rPr>
        <w:t xml:space="preserve">附件二 ：廉洁从业责任书  </w:t>
      </w:r>
    </w:p>
    <w:p>
      <w:pPr>
        <w:spacing w:line="360" w:lineRule="auto"/>
        <w:rPr>
          <w:rFonts w:hint="eastAsia" w:ascii="宋体" w:hAnsi="宋体" w:cs="宋体"/>
          <w:sz w:val="22"/>
          <w:szCs w:val="22"/>
        </w:rPr>
      </w:pPr>
      <w:r>
        <w:rPr>
          <w:rFonts w:hint="eastAsia" w:ascii="宋体" w:hAnsi="宋体" w:cs="宋体"/>
          <w:sz w:val="22"/>
          <w:szCs w:val="22"/>
        </w:rPr>
        <w:t>甲方：宁波市公安局镇海分局</w:t>
      </w:r>
    </w:p>
    <w:p>
      <w:pPr>
        <w:spacing w:line="360" w:lineRule="auto"/>
        <w:rPr>
          <w:rFonts w:hint="eastAsia" w:ascii="宋体" w:hAnsi="宋体" w:cs="宋体"/>
          <w:sz w:val="22"/>
          <w:szCs w:val="22"/>
        </w:rPr>
      </w:pPr>
      <w:r>
        <w:rPr>
          <w:rFonts w:hint="eastAsia" w:ascii="宋体" w:hAnsi="宋体" w:cs="宋体"/>
          <w:sz w:val="22"/>
          <w:szCs w:val="22"/>
        </w:rPr>
        <w:t xml:space="preserve">乙方： </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为规范甲乙双方就</w:t>
      </w:r>
      <w:r>
        <w:rPr>
          <w:rFonts w:hint="eastAsia" w:ascii="宋体" w:hAnsi="宋体" w:cs="宋体"/>
          <w:sz w:val="22"/>
          <w:szCs w:val="22"/>
          <w:u w:val="single"/>
        </w:rPr>
        <w:t xml:space="preserve"> 镇海区全区社会治安视频监控系统（2021年度）统筹运维服务项目 </w:t>
      </w:r>
      <w:r>
        <w:rPr>
          <w:rFonts w:hint="eastAsia" w:ascii="宋体" w:hAnsi="宋体" w:cs="宋体"/>
          <w:sz w:val="22"/>
          <w:szCs w:val="22"/>
        </w:rPr>
        <w:t xml:space="preserve">服务工作的商业行为，维护公平竞争，建立健全防治商业贿赂的长效机制，深入推进反腐倡廉工作，根据国家有关法律法规有关规定，经双方协商，签订本廉洁从业责任书。 </w:t>
      </w:r>
    </w:p>
    <w:p>
      <w:pPr>
        <w:spacing w:line="360" w:lineRule="auto"/>
        <w:rPr>
          <w:rFonts w:hint="eastAsia" w:ascii="宋体" w:hAnsi="宋体" w:cs="宋体"/>
          <w:sz w:val="22"/>
          <w:szCs w:val="22"/>
        </w:rPr>
      </w:pPr>
      <w:r>
        <w:rPr>
          <w:rFonts w:hint="eastAsia" w:ascii="宋体" w:hAnsi="宋体" w:cs="宋体"/>
          <w:b/>
          <w:sz w:val="22"/>
          <w:szCs w:val="22"/>
        </w:rPr>
        <w:t>第一条</w:t>
      </w:r>
      <w:r>
        <w:rPr>
          <w:rFonts w:hint="eastAsia" w:ascii="宋体" w:hAnsi="宋体" w:cs="宋体"/>
          <w:sz w:val="22"/>
          <w:szCs w:val="22"/>
        </w:rPr>
        <w:t xml:space="preserve">   甲乙双方共同责任  </w:t>
      </w:r>
    </w:p>
    <w:p>
      <w:pPr>
        <w:spacing w:line="360" w:lineRule="auto"/>
        <w:rPr>
          <w:rFonts w:hint="eastAsia" w:ascii="宋体" w:hAnsi="宋体" w:cs="宋体"/>
          <w:sz w:val="22"/>
          <w:szCs w:val="22"/>
        </w:rPr>
      </w:pPr>
      <w:r>
        <w:rPr>
          <w:rFonts w:hint="eastAsia" w:ascii="宋体" w:hAnsi="宋体" w:cs="宋体"/>
          <w:sz w:val="22"/>
          <w:szCs w:val="22"/>
        </w:rPr>
        <w:t xml:space="preserve">（一）严格遵守国家有关法律法规以及廉洁从业的有关规定。 </w:t>
      </w:r>
    </w:p>
    <w:p>
      <w:pPr>
        <w:spacing w:line="360" w:lineRule="auto"/>
        <w:rPr>
          <w:rFonts w:hint="eastAsia" w:ascii="宋体" w:hAnsi="宋体" w:cs="宋体"/>
          <w:sz w:val="22"/>
          <w:szCs w:val="22"/>
        </w:rPr>
      </w:pPr>
      <w:r>
        <w:rPr>
          <w:rFonts w:hint="eastAsia" w:ascii="宋体" w:hAnsi="宋体" w:cs="宋体"/>
          <w:sz w:val="22"/>
          <w:szCs w:val="22"/>
        </w:rPr>
        <w:t xml:space="preserve">（二）严格遵守商业道德和市场规则，共同营造公平公正的商务交易环境。 </w:t>
      </w:r>
    </w:p>
    <w:p>
      <w:pPr>
        <w:spacing w:line="360" w:lineRule="auto"/>
        <w:rPr>
          <w:rFonts w:hint="eastAsia" w:ascii="宋体" w:hAnsi="宋体" w:cs="宋体"/>
          <w:sz w:val="22"/>
          <w:szCs w:val="22"/>
        </w:rPr>
      </w:pPr>
      <w:r>
        <w:rPr>
          <w:rFonts w:hint="eastAsia" w:ascii="宋体" w:hAnsi="宋体" w:cs="宋体"/>
          <w:sz w:val="22"/>
          <w:szCs w:val="22"/>
        </w:rPr>
        <w:t xml:space="preserve">（三）加强有关人员的管理和廉洁从业教育，自觉抵制不廉洁行为。在商务活动中发现对方存在违规违纪违法行为，应及时向监察部门或司法机关举报。 </w:t>
      </w:r>
    </w:p>
    <w:p>
      <w:pPr>
        <w:spacing w:line="360" w:lineRule="auto"/>
        <w:rPr>
          <w:rFonts w:hint="eastAsia" w:ascii="宋体" w:hAnsi="宋体" w:cs="宋体"/>
          <w:sz w:val="22"/>
          <w:szCs w:val="22"/>
        </w:rPr>
      </w:pPr>
      <w:r>
        <w:rPr>
          <w:rFonts w:hint="eastAsia" w:ascii="宋体" w:hAnsi="宋体" w:cs="宋体"/>
          <w:b/>
          <w:sz w:val="22"/>
          <w:szCs w:val="22"/>
        </w:rPr>
        <w:t>第二条</w:t>
      </w:r>
      <w:r>
        <w:rPr>
          <w:rFonts w:hint="eastAsia" w:ascii="宋体" w:hAnsi="宋体" w:cs="宋体"/>
          <w:sz w:val="22"/>
          <w:szCs w:val="22"/>
        </w:rPr>
        <w:t xml:space="preserve">   甲方及其人员的责任 </w:t>
      </w:r>
    </w:p>
    <w:p>
      <w:pPr>
        <w:spacing w:line="360" w:lineRule="auto"/>
        <w:rPr>
          <w:rFonts w:hint="eastAsia" w:ascii="宋体" w:hAnsi="宋体" w:cs="宋体"/>
          <w:sz w:val="22"/>
          <w:szCs w:val="22"/>
        </w:rPr>
      </w:pPr>
      <w:r>
        <w:rPr>
          <w:rFonts w:hint="eastAsia" w:ascii="宋体" w:hAnsi="宋体" w:cs="宋体"/>
          <w:sz w:val="22"/>
          <w:szCs w:val="22"/>
        </w:rPr>
        <w:t xml:space="preserve">（一）不得索要或接受乙方及其相关单位和人员提供的回扣、礼金、有价证券、支付凭证、贵重物品等。 </w:t>
      </w:r>
    </w:p>
    <w:p>
      <w:pPr>
        <w:spacing w:line="360" w:lineRule="auto"/>
        <w:rPr>
          <w:rFonts w:hint="eastAsia" w:ascii="宋体" w:hAnsi="宋体" w:cs="宋体"/>
          <w:sz w:val="22"/>
          <w:szCs w:val="22"/>
        </w:rPr>
      </w:pPr>
      <w:r>
        <w:rPr>
          <w:rFonts w:hint="eastAsia" w:ascii="宋体" w:hAnsi="宋体" w:cs="宋体"/>
          <w:sz w:val="22"/>
          <w:szCs w:val="22"/>
        </w:rPr>
        <w:t xml:space="preserve">（二）不得在乙方及其相关单位报销任何应由甲方或个人支付的费用。 </w:t>
      </w:r>
    </w:p>
    <w:p>
      <w:pPr>
        <w:spacing w:line="360" w:lineRule="auto"/>
        <w:rPr>
          <w:rFonts w:hint="eastAsia" w:ascii="宋体" w:hAnsi="宋体" w:cs="宋体"/>
          <w:sz w:val="22"/>
          <w:szCs w:val="22"/>
        </w:rPr>
      </w:pPr>
      <w:r>
        <w:rPr>
          <w:rFonts w:hint="eastAsia" w:ascii="宋体" w:hAnsi="宋体" w:cs="宋体"/>
          <w:sz w:val="22"/>
          <w:szCs w:val="22"/>
        </w:rPr>
        <w:t xml:space="preserve">（三）不得违反规定在乙方及其相关单位投资入股，不得向乙方单位及人员借款或委托买卖股票、债券等。 </w:t>
      </w:r>
    </w:p>
    <w:p>
      <w:pPr>
        <w:spacing w:line="360" w:lineRule="auto"/>
        <w:rPr>
          <w:rFonts w:hint="eastAsia" w:ascii="宋体" w:hAnsi="宋体" w:cs="宋体"/>
          <w:sz w:val="22"/>
          <w:szCs w:val="22"/>
        </w:rPr>
      </w:pPr>
      <w:r>
        <w:rPr>
          <w:rFonts w:hint="eastAsia" w:ascii="宋体" w:hAnsi="宋体" w:cs="宋体"/>
          <w:sz w:val="22"/>
          <w:szCs w:val="22"/>
        </w:rPr>
        <w:t xml:space="preserve">（四）不得要求、暗示和接受乙方及其相关单位和个人为其购买或装修住房、婚丧嫁娶、配偶和子女的上学或工作安排以及出国（境）、旅游等提供方便。 </w:t>
      </w:r>
    </w:p>
    <w:p>
      <w:pPr>
        <w:spacing w:line="360" w:lineRule="auto"/>
        <w:rPr>
          <w:rFonts w:hint="eastAsia" w:ascii="宋体" w:hAnsi="宋体" w:cs="宋体"/>
          <w:sz w:val="22"/>
          <w:szCs w:val="22"/>
        </w:rPr>
      </w:pPr>
      <w:r>
        <w:rPr>
          <w:rFonts w:hint="eastAsia" w:ascii="宋体" w:hAnsi="宋体" w:cs="宋体"/>
          <w:sz w:val="22"/>
          <w:szCs w:val="22"/>
        </w:rPr>
        <w:t xml:space="preserve">（五）不得参加乙方及其相关单位安排的可能影响公正执行公务的宴请、健身和娱乐等活动。 </w:t>
      </w:r>
    </w:p>
    <w:p>
      <w:pPr>
        <w:spacing w:line="360" w:lineRule="auto"/>
        <w:rPr>
          <w:rFonts w:hint="eastAsia" w:ascii="宋体" w:hAnsi="宋体" w:cs="宋体"/>
          <w:sz w:val="22"/>
          <w:szCs w:val="22"/>
        </w:rPr>
      </w:pPr>
      <w:r>
        <w:rPr>
          <w:rFonts w:hint="eastAsia" w:ascii="宋体" w:hAnsi="宋体" w:cs="宋体"/>
          <w:sz w:val="22"/>
          <w:szCs w:val="22"/>
        </w:rPr>
        <w:t xml:space="preserve">（六）不得接受乙方及其相关单位购置或提供的通讯工具、交通工具和高档办公用品。 </w:t>
      </w:r>
    </w:p>
    <w:p>
      <w:pPr>
        <w:spacing w:line="360" w:lineRule="auto"/>
        <w:rPr>
          <w:rFonts w:hint="eastAsia" w:ascii="宋体" w:hAnsi="宋体" w:cs="宋体"/>
          <w:sz w:val="22"/>
          <w:szCs w:val="22"/>
        </w:rPr>
      </w:pPr>
      <w:r>
        <w:rPr>
          <w:rFonts w:hint="eastAsia" w:ascii="宋体" w:hAnsi="宋体" w:cs="宋体"/>
          <w:sz w:val="22"/>
          <w:szCs w:val="22"/>
        </w:rPr>
        <w:t xml:space="preserve">（七）不得利用职权通过乙方及其相关单位为其配偶、子女及他人谋取不正当利益。 </w:t>
      </w:r>
    </w:p>
    <w:p>
      <w:pPr>
        <w:spacing w:line="360" w:lineRule="auto"/>
        <w:rPr>
          <w:rFonts w:hint="eastAsia" w:ascii="宋体" w:hAnsi="宋体" w:cs="宋体"/>
          <w:sz w:val="22"/>
          <w:szCs w:val="22"/>
        </w:rPr>
      </w:pPr>
      <w:r>
        <w:rPr>
          <w:rFonts w:hint="eastAsia" w:ascii="宋体" w:hAnsi="宋体" w:cs="宋体"/>
          <w:sz w:val="22"/>
          <w:szCs w:val="22"/>
        </w:rPr>
        <w:t xml:space="preserve">（八）不得违反规定在乙方或乙方相关单位兼职和领取兼职工资及报酬；不得利用甲方的商业秘密、业务渠道等谋取个人私利，或将其提供泄漏给乙方及其它企业和个人。 </w:t>
      </w:r>
    </w:p>
    <w:p>
      <w:pPr>
        <w:spacing w:line="360" w:lineRule="auto"/>
        <w:rPr>
          <w:rFonts w:hint="eastAsia" w:ascii="宋体" w:hAnsi="宋体" w:cs="宋体"/>
          <w:sz w:val="22"/>
          <w:szCs w:val="22"/>
        </w:rPr>
      </w:pPr>
      <w:r>
        <w:rPr>
          <w:rFonts w:hint="eastAsia" w:ascii="宋体" w:hAnsi="宋体" w:cs="宋体"/>
          <w:sz w:val="22"/>
          <w:szCs w:val="22"/>
        </w:rPr>
        <w:t xml:space="preserve">（九）不得利用职权和工作之便向乙方提出上述各项规定禁止事项或要求之外的与工作业务无关的事项或要求。 </w:t>
      </w:r>
    </w:p>
    <w:p>
      <w:pPr>
        <w:spacing w:line="360" w:lineRule="auto"/>
        <w:rPr>
          <w:rFonts w:hint="eastAsia" w:ascii="宋体" w:hAnsi="宋体" w:cs="宋体"/>
          <w:sz w:val="22"/>
          <w:szCs w:val="22"/>
        </w:rPr>
      </w:pPr>
      <w:r>
        <w:rPr>
          <w:rFonts w:hint="eastAsia" w:ascii="宋体" w:hAnsi="宋体" w:cs="宋体"/>
          <w:b/>
          <w:sz w:val="22"/>
          <w:szCs w:val="22"/>
        </w:rPr>
        <w:t>第三条</w:t>
      </w:r>
      <w:r>
        <w:rPr>
          <w:rFonts w:hint="eastAsia" w:ascii="宋体" w:hAnsi="宋体" w:cs="宋体"/>
          <w:sz w:val="22"/>
          <w:szCs w:val="22"/>
        </w:rPr>
        <w:t xml:space="preserve">   乙方及其人员的责任  </w:t>
      </w:r>
    </w:p>
    <w:p>
      <w:pPr>
        <w:spacing w:line="360" w:lineRule="auto"/>
        <w:rPr>
          <w:rFonts w:hint="eastAsia" w:ascii="宋体" w:hAnsi="宋体" w:cs="宋体"/>
          <w:sz w:val="22"/>
          <w:szCs w:val="22"/>
        </w:rPr>
      </w:pPr>
      <w:r>
        <w:rPr>
          <w:rFonts w:hint="eastAsia" w:ascii="宋体" w:hAnsi="宋体" w:cs="宋体"/>
          <w:sz w:val="22"/>
          <w:szCs w:val="22"/>
        </w:rPr>
        <w:t xml:space="preserve">（一）不得向甲方及其人员提供回扣、礼金、有价礼券、支付凭证、贵重物品等。 </w:t>
      </w:r>
    </w:p>
    <w:p>
      <w:pPr>
        <w:spacing w:line="360" w:lineRule="auto"/>
        <w:rPr>
          <w:rFonts w:hint="eastAsia" w:ascii="宋体" w:hAnsi="宋体" w:cs="宋体"/>
          <w:sz w:val="22"/>
          <w:szCs w:val="22"/>
        </w:rPr>
      </w:pPr>
      <w:r>
        <w:rPr>
          <w:rFonts w:hint="eastAsia" w:ascii="宋体" w:hAnsi="宋体" w:cs="宋体"/>
          <w:sz w:val="22"/>
          <w:szCs w:val="22"/>
        </w:rPr>
        <w:t xml:space="preserve">（二）不得为甲方及其人员报销应由甲方或个人支付的费用。 </w:t>
      </w:r>
    </w:p>
    <w:p>
      <w:pPr>
        <w:spacing w:line="360" w:lineRule="auto"/>
        <w:rPr>
          <w:rFonts w:hint="eastAsia" w:ascii="宋体" w:hAnsi="宋体" w:cs="宋体"/>
          <w:sz w:val="22"/>
          <w:szCs w:val="22"/>
        </w:rPr>
      </w:pPr>
      <w:r>
        <w:rPr>
          <w:rFonts w:hint="eastAsia" w:ascii="宋体" w:hAnsi="宋体" w:cs="宋体"/>
          <w:sz w:val="22"/>
          <w:szCs w:val="22"/>
        </w:rPr>
        <w:t xml:space="preserve">（三）不得为甲方人员投资入股、个人借款或买卖股票、债券等提供方便。 </w:t>
      </w:r>
    </w:p>
    <w:p>
      <w:pPr>
        <w:spacing w:line="360" w:lineRule="auto"/>
        <w:rPr>
          <w:rFonts w:hint="eastAsia" w:ascii="宋体" w:hAnsi="宋体" w:cs="宋体"/>
          <w:sz w:val="22"/>
          <w:szCs w:val="22"/>
        </w:rPr>
      </w:pPr>
      <w:r>
        <w:rPr>
          <w:rFonts w:hint="eastAsia" w:ascii="宋体" w:hAnsi="宋体" w:cs="宋体"/>
          <w:sz w:val="22"/>
          <w:szCs w:val="22"/>
        </w:rPr>
        <w:t xml:space="preserve">（四）不得为甲方人员购买或装修住房、婚丧嫁娶、配偶子女上学或工作安排以及出国（境）、旅游等提供方便。 </w:t>
      </w:r>
    </w:p>
    <w:p>
      <w:pPr>
        <w:spacing w:line="360" w:lineRule="auto"/>
        <w:rPr>
          <w:rFonts w:hint="eastAsia" w:ascii="宋体" w:hAnsi="宋体" w:cs="宋体"/>
          <w:sz w:val="22"/>
          <w:szCs w:val="22"/>
        </w:rPr>
      </w:pPr>
      <w:r>
        <w:rPr>
          <w:rFonts w:hint="eastAsia" w:ascii="宋体" w:hAnsi="宋体" w:cs="宋体"/>
          <w:sz w:val="22"/>
          <w:szCs w:val="22"/>
        </w:rPr>
        <w:t>（五）不得为甲方人员安排有可能影响公正执行公务的宴请、健身和娱乐等活动。</w:t>
      </w:r>
    </w:p>
    <w:p>
      <w:pPr>
        <w:spacing w:line="360" w:lineRule="auto"/>
        <w:rPr>
          <w:rFonts w:hint="eastAsia" w:ascii="宋体" w:hAnsi="宋体" w:cs="宋体"/>
          <w:sz w:val="22"/>
          <w:szCs w:val="22"/>
        </w:rPr>
      </w:pPr>
      <w:r>
        <w:rPr>
          <w:rFonts w:hint="eastAsia" w:ascii="宋体" w:hAnsi="宋体" w:cs="宋体"/>
          <w:sz w:val="22"/>
          <w:szCs w:val="22"/>
        </w:rPr>
        <w:t xml:space="preserve">（六）不得为甲方及其人员购置或提供通讯工具、交通工具和高档办公用品。 </w:t>
      </w:r>
    </w:p>
    <w:p>
      <w:pPr>
        <w:spacing w:line="360" w:lineRule="auto"/>
        <w:rPr>
          <w:rFonts w:hint="eastAsia" w:ascii="宋体" w:hAnsi="宋体" w:cs="宋体"/>
          <w:sz w:val="22"/>
          <w:szCs w:val="22"/>
        </w:rPr>
      </w:pPr>
      <w:r>
        <w:rPr>
          <w:rFonts w:hint="eastAsia" w:ascii="宋体" w:hAnsi="宋体" w:cs="宋体"/>
          <w:sz w:val="22"/>
          <w:szCs w:val="22"/>
        </w:rPr>
        <w:t xml:space="preserve">（七）不得为甲方人员的配偶、子女及其他亲属谋取不正当利益提供方便。 </w:t>
      </w:r>
    </w:p>
    <w:p>
      <w:pPr>
        <w:spacing w:line="360" w:lineRule="auto"/>
        <w:rPr>
          <w:rFonts w:hint="eastAsia" w:ascii="宋体" w:hAnsi="宋体" w:cs="宋体"/>
          <w:sz w:val="22"/>
          <w:szCs w:val="22"/>
        </w:rPr>
      </w:pPr>
      <w:r>
        <w:rPr>
          <w:rFonts w:hint="eastAsia" w:ascii="宋体" w:hAnsi="宋体" w:cs="宋体"/>
          <w:sz w:val="22"/>
          <w:szCs w:val="22"/>
        </w:rPr>
        <w:t xml:space="preserve">（八）不得违反规定安排甲方人员在乙方或乙方相关单位兼职和领取兼职工资及报酬；不得利用非法手段向甲方人员打探有关涉及甲方的商业秘密、业务渠道等。 </w:t>
      </w:r>
    </w:p>
    <w:p>
      <w:pPr>
        <w:spacing w:line="360" w:lineRule="auto"/>
        <w:rPr>
          <w:rFonts w:hint="eastAsia" w:ascii="宋体" w:hAnsi="宋体" w:cs="宋体"/>
          <w:sz w:val="22"/>
          <w:szCs w:val="22"/>
        </w:rPr>
      </w:pPr>
      <w:r>
        <w:rPr>
          <w:rFonts w:hint="eastAsia" w:ascii="宋体" w:hAnsi="宋体" w:cs="宋体"/>
          <w:sz w:val="22"/>
          <w:szCs w:val="22"/>
        </w:rPr>
        <w:t xml:space="preserve">（九）甲方对涉嫌不廉洁的商业行为进行调查时，乙方有配合甲方提供证据、作证的义务。 </w:t>
      </w:r>
    </w:p>
    <w:p>
      <w:pPr>
        <w:spacing w:line="360" w:lineRule="auto"/>
        <w:rPr>
          <w:rFonts w:hint="eastAsia" w:ascii="宋体" w:hAnsi="宋体" w:cs="宋体"/>
          <w:sz w:val="22"/>
          <w:szCs w:val="22"/>
        </w:rPr>
      </w:pPr>
      <w:r>
        <w:rPr>
          <w:rFonts w:hint="eastAsia" w:ascii="宋体" w:hAnsi="宋体" w:cs="宋体"/>
          <w:sz w:val="22"/>
          <w:szCs w:val="22"/>
        </w:rPr>
        <w:t xml:space="preserve">（十）未经甲方书面同意，乙方不得向任何新闻媒体、第三人述及廉洁从业方面的评价、信息。 </w:t>
      </w:r>
    </w:p>
    <w:p>
      <w:pPr>
        <w:spacing w:line="360" w:lineRule="auto"/>
        <w:rPr>
          <w:rFonts w:hint="eastAsia" w:ascii="宋体" w:hAnsi="宋体" w:cs="宋体"/>
          <w:sz w:val="22"/>
          <w:szCs w:val="22"/>
        </w:rPr>
      </w:pPr>
      <w:r>
        <w:rPr>
          <w:rFonts w:hint="eastAsia" w:ascii="宋体" w:hAnsi="宋体" w:cs="宋体"/>
          <w:b/>
          <w:sz w:val="22"/>
          <w:szCs w:val="22"/>
        </w:rPr>
        <w:t>第四条</w:t>
      </w:r>
      <w:r>
        <w:rPr>
          <w:rFonts w:hint="eastAsia" w:ascii="宋体" w:hAnsi="宋体" w:cs="宋体"/>
          <w:sz w:val="22"/>
          <w:szCs w:val="22"/>
        </w:rPr>
        <w:t xml:space="preserve">   违约责任 </w:t>
      </w:r>
    </w:p>
    <w:p>
      <w:pPr>
        <w:spacing w:line="360" w:lineRule="auto"/>
        <w:rPr>
          <w:rFonts w:hint="eastAsia" w:ascii="宋体" w:hAnsi="宋体" w:cs="宋体"/>
          <w:sz w:val="22"/>
          <w:szCs w:val="22"/>
        </w:rPr>
      </w:pPr>
      <w:r>
        <w:rPr>
          <w:rFonts w:hint="eastAsia" w:ascii="宋体" w:hAnsi="宋体" w:cs="宋体"/>
          <w:sz w:val="22"/>
          <w:szCs w:val="22"/>
        </w:rPr>
        <w:t xml:space="preserve">（一）甲方及其人员有违反本责任书规定的，按照管理权限，依据有关法律法规和规定给予有关人员纪律处分或组织处理；涉嫌犯罪的，移交司法机关追究刑事责任。 </w:t>
      </w:r>
    </w:p>
    <w:p>
      <w:pPr>
        <w:spacing w:line="360" w:lineRule="auto"/>
        <w:rPr>
          <w:rFonts w:hint="eastAsia" w:ascii="宋体" w:hAnsi="宋体" w:cs="宋体"/>
          <w:sz w:val="22"/>
          <w:szCs w:val="22"/>
        </w:rPr>
      </w:pPr>
      <w:r>
        <w:rPr>
          <w:rFonts w:hint="eastAsia" w:ascii="宋体" w:hAnsi="宋体" w:cs="宋体"/>
          <w:sz w:val="22"/>
          <w:szCs w:val="22"/>
        </w:rPr>
        <w:t xml:space="preserve">（二）乙方及其人员有违反本责任书规定的，按照管理权限，依据国家法律法规和规定给予有关人员纪律处分或组织处理；涉嫌犯罪的，移交司法机关追究刑事责任。 </w:t>
      </w:r>
    </w:p>
    <w:p>
      <w:pPr>
        <w:spacing w:line="360" w:lineRule="auto"/>
        <w:rPr>
          <w:rFonts w:hint="eastAsia" w:ascii="宋体" w:hAnsi="宋体" w:cs="宋体"/>
          <w:sz w:val="22"/>
          <w:szCs w:val="22"/>
        </w:rPr>
      </w:pPr>
      <w:r>
        <w:rPr>
          <w:rFonts w:hint="eastAsia" w:ascii="宋体" w:hAnsi="宋体" w:cs="宋体"/>
          <w:b/>
          <w:sz w:val="22"/>
          <w:szCs w:val="22"/>
        </w:rPr>
        <w:t>第五条</w:t>
      </w:r>
      <w:r>
        <w:rPr>
          <w:rFonts w:hint="eastAsia" w:ascii="宋体" w:hAnsi="宋体" w:cs="宋体"/>
          <w:sz w:val="22"/>
          <w:szCs w:val="22"/>
        </w:rPr>
        <w:t xml:space="preserve">   本责任书经双方签署后生效。 </w:t>
      </w:r>
    </w:p>
    <w:p>
      <w:pPr>
        <w:spacing w:line="360" w:lineRule="auto"/>
        <w:rPr>
          <w:rFonts w:hint="eastAsia" w:ascii="宋体" w:hAnsi="宋体" w:cs="宋体"/>
          <w:sz w:val="22"/>
          <w:szCs w:val="22"/>
        </w:rPr>
      </w:pPr>
      <w:r>
        <w:rPr>
          <w:rFonts w:hint="eastAsia" w:ascii="宋体" w:hAnsi="宋体" w:cs="宋体"/>
          <w:sz w:val="22"/>
          <w:szCs w:val="22"/>
        </w:rPr>
        <w:t xml:space="preserve">甲乙双方通过招投标或其他方式签订交易合同的，本责任书作为交易合同的附件，与合同具有同等法律效力；如双方未签订交易合同，本责任书独立有效。 </w:t>
      </w:r>
    </w:p>
    <w:p>
      <w:pPr>
        <w:spacing w:line="360" w:lineRule="auto"/>
        <w:rPr>
          <w:rFonts w:hint="eastAsia" w:ascii="宋体" w:hAnsi="宋体" w:cs="宋体"/>
          <w:sz w:val="22"/>
          <w:szCs w:val="22"/>
        </w:rPr>
      </w:pPr>
      <w:r>
        <w:rPr>
          <w:rFonts w:hint="eastAsia" w:ascii="宋体" w:hAnsi="宋体" w:cs="宋体"/>
          <w:b/>
          <w:sz w:val="22"/>
          <w:szCs w:val="22"/>
        </w:rPr>
        <w:t>第六条</w:t>
      </w:r>
      <w:r>
        <w:rPr>
          <w:rFonts w:hint="eastAsia" w:ascii="宋体" w:hAnsi="宋体" w:cs="宋体"/>
          <w:sz w:val="22"/>
          <w:szCs w:val="22"/>
        </w:rPr>
        <w:t xml:space="preserve">   甲乙双方及其人员在经济合同履行完毕后，发生或发现违反本责任书规定的行为，仍按本责任书规定处理。 </w:t>
      </w:r>
    </w:p>
    <w:p>
      <w:pPr>
        <w:spacing w:line="360" w:lineRule="auto"/>
        <w:rPr>
          <w:rFonts w:hint="eastAsia" w:ascii="宋体" w:hAnsi="宋体" w:cs="宋体"/>
          <w:sz w:val="22"/>
          <w:szCs w:val="22"/>
        </w:rPr>
      </w:pPr>
      <w:r>
        <w:rPr>
          <w:rFonts w:hint="eastAsia" w:ascii="宋体" w:hAnsi="宋体" w:cs="宋体"/>
          <w:b/>
          <w:sz w:val="22"/>
          <w:szCs w:val="22"/>
        </w:rPr>
        <w:t>第七条</w:t>
      </w:r>
      <w:r>
        <w:rPr>
          <w:rFonts w:hint="eastAsia" w:ascii="宋体" w:hAnsi="宋体" w:cs="宋体"/>
          <w:sz w:val="22"/>
          <w:szCs w:val="22"/>
        </w:rPr>
        <w:t xml:space="preserve">   本责任书一式四份，甲乙双方各执两份，具有同等法律效力。 </w:t>
      </w:r>
    </w:p>
    <w:p>
      <w:pPr>
        <w:spacing w:line="360" w:lineRule="auto"/>
        <w:rPr>
          <w:rFonts w:hint="eastAsia" w:ascii="宋体" w:hAnsi="宋体" w:cs="宋体"/>
          <w:sz w:val="22"/>
          <w:szCs w:val="22"/>
        </w:rPr>
      </w:pPr>
      <w:r>
        <w:rPr>
          <w:rFonts w:hint="eastAsia" w:ascii="宋体" w:hAnsi="宋体" w:cs="宋体"/>
          <w:sz w:val="22"/>
          <w:szCs w:val="22"/>
        </w:rPr>
        <w:t xml:space="preserve"> </w:t>
      </w:r>
    </w:p>
    <w:p>
      <w:pPr>
        <w:spacing w:line="360" w:lineRule="auto"/>
        <w:rPr>
          <w:rFonts w:hint="eastAsia" w:ascii="宋体" w:hAnsi="宋体" w:cs="宋体"/>
          <w:sz w:val="22"/>
          <w:szCs w:val="22"/>
        </w:rPr>
      </w:pPr>
      <w:r>
        <w:rPr>
          <w:rFonts w:hint="eastAsia" w:ascii="宋体" w:hAnsi="宋体" w:cs="宋体"/>
          <w:sz w:val="22"/>
          <w:szCs w:val="22"/>
        </w:rPr>
        <w:t xml:space="preserve">甲方单位：(盖章)                     乙方单位：(盖章) </w:t>
      </w:r>
    </w:p>
    <w:p>
      <w:pPr>
        <w:spacing w:line="360" w:lineRule="auto"/>
        <w:rPr>
          <w:rFonts w:hint="eastAsia" w:ascii="宋体" w:hAnsi="宋体" w:cs="宋体"/>
          <w:sz w:val="22"/>
          <w:szCs w:val="22"/>
        </w:rPr>
      </w:pPr>
      <w:r>
        <w:rPr>
          <w:rFonts w:hint="eastAsia" w:ascii="宋体" w:hAnsi="宋体" w:cs="宋体"/>
          <w:sz w:val="22"/>
          <w:szCs w:val="22"/>
        </w:rPr>
        <w:t xml:space="preserve"> </w:t>
      </w:r>
    </w:p>
    <w:p>
      <w:pPr>
        <w:spacing w:line="360" w:lineRule="auto"/>
        <w:rPr>
          <w:rFonts w:hint="eastAsia" w:ascii="宋体" w:hAnsi="宋体" w:cs="宋体"/>
          <w:sz w:val="22"/>
          <w:szCs w:val="22"/>
        </w:rPr>
      </w:pPr>
      <w:r>
        <w:rPr>
          <w:rFonts w:hint="eastAsia" w:ascii="宋体" w:hAnsi="宋体" w:cs="宋体"/>
          <w:sz w:val="22"/>
          <w:szCs w:val="22"/>
        </w:rPr>
        <w:t xml:space="preserve">负责人或委托代理人：                 负责人或授权委托人： </w:t>
      </w:r>
    </w:p>
    <w:p>
      <w:pPr>
        <w:spacing w:line="360" w:lineRule="auto"/>
        <w:ind w:firstLine="440" w:firstLineChars="200"/>
        <w:rPr>
          <w:rFonts w:hint="eastAsia" w:ascii="宋体" w:hAnsi="宋体" w:cs="宋体"/>
          <w:sz w:val="22"/>
          <w:szCs w:val="22"/>
        </w:rPr>
      </w:pPr>
    </w:p>
    <w:p>
      <w:pPr>
        <w:spacing w:line="360" w:lineRule="auto"/>
        <w:rPr>
          <w:rFonts w:hint="eastAsia" w:ascii="宋体" w:hAnsi="宋体" w:cs="宋体"/>
          <w:sz w:val="22"/>
          <w:szCs w:val="22"/>
        </w:rPr>
      </w:pPr>
      <w:r>
        <w:rPr>
          <w:rFonts w:hint="eastAsia" w:ascii="宋体" w:hAnsi="宋体" w:cs="宋体"/>
          <w:sz w:val="22"/>
          <w:szCs w:val="22"/>
        </w:rPr>
        <w:t xml:space="preserve">     年  月   日                         年  月   日</w:t>
      </w:r>
    </w:p>
    <w:p>
      <w:pPr>
        <w:spacing w:line="360" w:lineRule="auto"/>
        <w:rPr>
          <w:rFonts w:hint="eastAsia" w:ascii="宋体" w:hAnsi="宋体"/>
          <w:sz w:val="22"/>
          <w:szCs w:val="22"/>
          <w:u w:val="single"/>
        </w:rPr>
      </w:pPr>
    </w:p>
    <w:p>
      <w:pPr>
        <w:spacing w:line="360" w:lineRule="auto"/>
        <w:rPr>
          <w:rFonts w:hint="eastAsia" w:ascii="宋体" w:hAnsi="宋体"/>
          <w:sz w:val="22"/>
          <w:szCs w:val="22"/>
          <w:u w:val="single"/>
        </w:rPr>
      </w:pPr>
    </w:p>
    <w:p>
      <w:pPr>
        <w:spacing w:line="360" w:lineRule="auto"/>
        <w:rPr>
          <w:rFonts w:hint="eastAsia" w:ascii="宋体" w:hAnsi="宋体"/>
          <w:sz w:val="22"/>
          <w:szCs w:val="22"/>
          <w:u w:val="single"/>
        </w:rPr>
      </w:pPr>
    </w:p>
    <w:p>
      <w:pPr>
        <w:spacing w:line="360" w:lineRule="auto"/>
        <w:rPr>
          <w:rFonts w:hint="eastAsia" w:ascii="宋体" w:hAnsi="宋体"/>
          <w:sz w:val="22"/>
          <w:szCs w:val="22"/>
          <w:u w:val="single"/>
        </w:rPr>
      </w:pPr>
    </w:p>
    <w:p>
      <w:pPr>
        <w:spacing w:line="360" w:lineRule="auto"/>
        <w:rPr>
          <w:rFonts w:hint="eastAsia" w:ascii="宋体" w:hAnsi="宋体"/>
          <w:sz w:val="22"/>
          <w:szCs w:val="22"/>
          <w:u w:val="single"/>
        </w:rPr>
      </w:pPr>
    </w:p>
    <w:p>
      <w:pPr>
        <w:spacing w:line="360" w:lineRule="auto"/>
        <w:rPr>
          <w:rFonts w:hint="eastAsia" w:ascii="宋体" w:hAnsi="宋体"/>
          <w:sz w:val="22"/>
          <w:szCs w:val="22"/>
          <w:u w:val="single"/>
        </w:rPr>
      </w:pPr>
    </w:p>
    <w:p>
      <w:pPr>
        <w:spacing w:line="360" w:lineRule="auto"/>
        <w:rPr>
          <w:rFonts w:hint="eastAsia" w:ascii="宋体" w:hAnsi="宋体"/>
          <w:sz w:val="22"/>
          <w:szCs w:val="22"/>
          <w:u w:val="single"/>
        </w:rPr>
      </w:pPr>
    </w:p>
    <w:p>
      <w:pPr>
        <w:spacing w:line="360" w:lineRule="auto"/>
        <w:rPr>
          <w:rFonts w:hint="eastAsia" w:ascii="宋体" w:hAnsi="宋体"/>
          <w:sz w:val="22"/>
          <w:szCs w:val="22"/>
          <w:u w:val="single"/>
        </w:rPr>
      </w:pPr>
    </w:p>
    <w:p>
      <w:pPr>
        <w:spacing w:line="360" w:lineRule="auto"/>
        <w:rPr>
          <w:rFonts w:hint="eastAsia" w:ascii="宋体" w:hAnsi="宋体"/>
          <w:sz w:val="22"/>
          <w:szCs w:val="22"/>
          <w:u w:val="single"/>
        </w:rPr>
      </w:pPr>
    </w:p>
    <w:p>
      <w:pPr>
        <w:spacing w:line="360" w:lineRule="auto"/>
        <w:rPr>
          <w:rFonts w:hint="eastAsia" w:ascii="宋体" w:hAnsi="宋体"/>
          <w:sz w:val="22"/>
          <w:szCs w:val="22"/>
          <w:u w:val="single"/>
        </w:rPr>
      </w:pPr>
    </w:p>
    <w:p>
      <w:pPr>
        <w:pStyle w:val="49"/>
        <w:ind w:firstLine="3357" w:firstLineChars="1045"/>
        <w:jc w:val="both"/>
        <w:rPr>
          <w:rFonts w:ascii="宋体" w:hAnsi="宋体"/>
        </w:rPr>
      </w:pPr>
      <w:bookmarkStart w:id="61" w:name="_Toc14965618"/>
      <w:bookmarkStart w:id="62" w:name="_Toc14965749"/>
      <w:r>
        <w:rPr>
          <w:rFonts w:hint="eastAsia" w:ascii="宋体" w:hAnsi="宋体"/>
        </w:rPr>
        <w:t>第六部分 投标</w:t>
      </w:r>
      <w:r>
        <w:rPr>
          <w:rFonts w:hint="eastAsia" w:ascii="宋体" w:hAnsi="宋体"/>
          <w:lang w:eastAsia="zh-CN"/>
        </w:rPr>
        <w:t>人</w:t>
      </w:r>
      <w:r>
        <w:rPr>
          <w:rFonts w:hint="eastAsia" w:ascii="宋体" w:hAnsi="宋体"/>
        </w:rPr>
        <w:t>须知</w:t>
      </w:r>
      <w:bookmarkEnd w:id="61"/>
      <w:bookmarkEnd w:id="62"/>
    </w:p>
    <w:p>
      <w:pPr>
        <w:spacing w:line="440" w:lineRule="exact"/>
        <w:ind w:left="450"/>
        <w:jc w:val="center"/>
        <w:rPr>
          <w:rFonts w:ascii="宋体" w:hAnsi="宋体"/>
          <w:b/>
          <w:bCs/>
          <w:sz w:val="32"/>
          <w:szCs w:val="32"/>
        </w:rPr>
      </w:pPr>
      <w:r>
        <w:rPr>
          <w:rFonts w:hint="eastAsia" w:ascii="宋体" w:hAnsi="宋体"/>
          <w:b/>
        </w:rPr>
        <w:t>说明：本采购文件仅适用于本次采购中所叙述项目的采购或服务</w:t>
      </w:r>
    </w:p>
    <w:p>
      <w:pPr>
        <w:pStyle w:val="3"/>
        <w:spacing w:before="0" w:after="0" w:line="440" w:lineRule="exact"/>
        <w:rPr>
          <w:rFonts w:ascii="宋体" w:hAnsi="宋体" w:eastAsia="宋体"/>
          <w:sz w:val="22"/>
          <w:szCs w:val="22"/>
        </w:rPr>
      </w:pPr>
      <w:bookmarkStart w:id="63" w:name="_Toc14965619"/>
      <w:r>
        <w:rPr>
          <w:rFonts w:hint="eastAsia" w:ascii="宋体" w:hAnsi="宋体" w:eastAsia="宋体"/>
          <w:sz w:val="22"/>
          <w:szCs w:val="22"/>
        </w:rPr>
        <w:t>1 、说明</w:t>
      </w:r>
      <w:bookmarkEnd w:id="63"/>
    </w:p>
    <w:p>
      <w:pPr>
        <w:spacing w:line="440" w:lineRule="exact"/>
        <w:ind w:firstLine="440" w:firstLineChars="200"/>
        <w:rPr>
          <w:rFonts w:ascii="宋体" w:hAnsi="宋体"/>
          <w:color w:val="000000"/>
          <w:sz w:val="22"/>
          <w:szCs w:val="22"/>
        </w:rPr>
      </w:pPr>
      <w:r>
        <w:rPr>
          <w:rFonts w:hint="eastAsia" w:ascii="宋体" w:hAnsi="宋体"/>
          <w:color w:val="000000"/>
          <w:sz w:val="22"/>
          <w:szCs w:val="22"/>
        </w:rPr>
        <w:t>采购人所欲实施的采购项目已经政府采购行政管理部门或上级主管部门批准，或按有关规定进行相关采购程序，现采购人决定依据政府采购模式启动采购程序。采购人决定委托宁波市镇海国泰工程建设投资管理咨询有限公司代理本次采购工作。有关采购项目、采购人、采购代理机构的名称、联系人、电话、传真等有关信息载明在第二部分《投标供应商须知》中，并由宁波市镇海国泰工程建设投资管理咨询有限公司执行具体采购工作任务，办理相关事宜。</w:t>
      </w:r>
    </w:p>
    <w:p>
      <w:pPr>
        <w:spacing w:line="440" w:lineRule="exact"/>
        <w:ind w:firstLine="440" w:firstLineChars="200"/>
        <w:rPr>
          <w:rFonts w:hint="eastAsia" w:ascii="宋体" w:hAnsi="宋体"/>
          <w:sz w:val="22"/>
          <w:szCs w:val="22"/>
        </w:rPr>
      </w:pPr>
      <w:r>
        <w:rPr>
          <w:rFonts w:hint="eastAsia" w:ascii="宋体" w:hAnsi="宋体"/>
          <w:sz w:val="22"/>
          <w:szCs w:val="22"/>
        </w:rPr>
        <w:t>1.1采购代理机构：宁波市镇海国泰工程建设投资管理咨询有限公司；</w:t>
      </w:r>
    </w:p>
    <w:p>
      <w:pPr>
        <w:spacing w:line="440" w:lineRule="exact"/>
        <w:ind w:firstLine="440" w:firstLineChars="200"/>
        <w:rPr>
          <w:rFonts w:hint="eastAsia" w:ascii="宋体" w:hAnsi="宋体"/>
          <w:sz w:val="22"/>
          <w:szCs w:val="22"/>
        </w:rPr>
      </w:pPr>
      <w:r>
        <w:rPr>
          <w:rFonts w:hint="eastAsia" w:ascii="宋体" w:hAnsi="宋体"/>
          <w:sz w:val="22"/>
          <w:szCs w:val="22"/>
        </w:rPr>
        <w:t>1.2采购人或采购单位：</w:t>
      </w:r>
      <w:r>
        <w:rPr>
          <w:rFonts w:hint="eastAsia" w:ascii="宋体" w:hAnsi="宋体"/>
          <w:sz w:val="22"/>
          <w:szCs w:val="22"/>
          <w:u w:val="single"/>
        </w:rPr>
        <w:t>宁波市公安局镇海分局</w:t>
      </w:r>
      <w:r>
        <w:rPr>
          <w:rFonts w:hint="eastAsia" w:ascii="宋体" w:hAnsi="宋体"/>
          <w:sz w:val="22"/>
          <w:szCs w:val="22"/>
        </w:rPr>
        <w:t>，亦称本项目的买方；</w:t>
      </w:r>
    </w:p>
    <w:p>
      <w:pPr>
        <w:spacing w:line="440" w:lineRule="exact"/>
        <w:ind w:firstLine="440" w:firstLineChars="200"/>
        <w:rPr>
          <w:rFonts w:hint="eastAsia" w:ascii="宋体" w:hAnsi="宋体"/>
          <w:sz w:val="22"/>
          <w:szCs w:val="22"/>
        </w:rPr>
      </w:pPr>
      <w:r>
        <w:rPr>
          <w:rFonts w:hint="eastAsia" w:ascii="宋体" w:hAnsi="宋体"/>
          <w:sz w:val="22"/>
          <w:szCs w:val="22"/>
        </w:rPr>
        <w:t xml:space="preserve">1.3投标供应商或投标单位(人)：亦为参加本采购活动的投标人； </w:t>
      </w:r>
    </w:p>
    <w:p>
      <w:pPr>
        <w:spacing w:line="440" w:lineRule="exact"/>
        <w:ind w:firstLine="440" w:firstLineChars="200"/>
        <w:rPr>
          <w:rFonts w:hint="eastAsia" w:ascii="宋体" w:hAnsi="宋体"/>
          <w:sz w:val="22"/>
          <w:szCs w:val="22"/>
        </w:rPr>
      </w:pPr>
      <w:r>
        <w:rPr>
          <w:rFonts w:hint="eastAsia" w:ascii="宋体" w:hAnsi="宋体"/>
          <w:sz w:val="22"/>
          <w:szCs w:val="22"/>
        </w:rPr>
        <w:t>1.4卖方：亦为本项目的成交供应商或中标供应商；</w:t>
      </w:r>
    </w:p>
    <w:p>
      <w:pPr>
        <w:spacing w:line="440" w:lineRule="exact"/>
        <w:ind w:firstLine="440" w:firstLineChars="200"/>
        <w:rPr>
          <w:rFonts w:hint="eastAsia" w:ascii="宋体" w:hAnsi="宋体"/>
          <w:sz w:val="22"/>
          <w:szCs w:val="22"/>
        </w:rPr>
      </w:pPr>
      <w:r>
        <w:rPr>
          <w:rFonts w:hint="eastAsia" w:ascii="宋体" w:hAnsi="宋体"/>
          <w:sz w:val="22"/>
          <w:szCs w:val="22"/>
        </w:rPr>
        <w:t>1.5 投标人为自然人时，采购文件中所述公章无须加盖，仅须投标人签字即可。</w:t>
      </w:r>
    </w:p>
    <w:p>
      <w:pPr>
        <w:spacing w:line="440" w:lineRule="exact"/>
        <w:ind w:firstLine="440" w:firstLineChars="200"/>
        <w:rPr>
          <w:rFonts w:hint="eastAsia" w:ascii="宋体" w:hAnsi="宋体"/>
          <w:sz w:val="22"/>
          <w:szCs w:val="22"/>
        </w:rPr>
      </w:pPr>
      <w:r>
        <w:rPr>
          <w:rFonts w:hint="eastAsia" w:ascii="宋体" w:hAnsi="宋体"/>
          <w:sz w:val="22"/>
          <w:szCs w:val="22"/>
        </w:rPr>
        <w:t>1.6评标委员会：是由采购人参照《中华人民共和国政府采购法》组建的专门负责本次采购活动的评标工作的临时性组织。</w:t>
      </w:r>
    </w:p>
    <w:p>
      <w:pPr>
        <w:spacing w:line="440" w:lineRule="exact"/>
        <w:ind w:firstLine="440" w:firstLineChars="200"/>
        <w:rPr>
          <w:rFonts w:hint="eastAsia" w:ascii="宋体" w:hAnsi="宋体"/>
          <w:sz w:val="22"/>
          <w:szCs w:val="22"/>
        </w:rPr>
      </w:pPr>
      <w:r>
        <w:rPr>
          <w:rFonts w:hint="eastAsia" w:ascii="宋体" w:hAnsi="宋体"/>
          <w:sz w:val="22"/>
          <w:szCs w:val="22"/>
        </w:rPr>
        <w:t>1.7书面形式：是指以文字形成书面文件的方式所制作的通知（包括信件、电报、电传、传真、电子数据交换和电子邮件等形式）。</w:t>
      </w:r>
    </w:p>
    <w:p>
      <w:pPr>
        <w:spacing w:line="440" w:lineRule="exact"/>
        <w:ind w:firstLine="440" w:firstLineChars="200"/>
        <w:rPr>
          <w:rFonts w:ascii="宋体" w:hAnsi="宋体"/>
          <w:sz w:val="22"/>
          <w:szCs w:val="22"/>
        </w:rPr>
      </w:pPr>
      <w:r>
        <w:rPr>
          <w:rFonts w:hint="eastAsia" w:ascii="宋体" w:hAnsi="宋体"/>
          <w:sz w:val="22"/>
          <w:szCs w:val="22"/>
        </w:rPr>
        <w:t>1.8天:指公历日</w:t>
      </w:r>
    </w:p>
    <w:p>
      <w:pPr>
        <w:pStyle w:val="3"/>
        <w:spacing w:before="0" w:after="0" w:line="440" w:lineRule="exact"/>
        <w:rPr>
          <w:rFonts w:ascii="宋体" w:hAnsi="宋体" w:eastAsia="宋体"/>
          <w:sz w:val="22"/>
          <w:szCs w:val="22"/>
        </w:rPr>
      </w:pPr>
      <w:bookmarkStart w:id="64" w:name="_Toc14965620"/>
      <w:r>
        <w:rPr>
          <w:rFonts w:hint="eastAsia" w:ascii="宋体" w:hAnsi="宋体" w:eastAsia="宋体"/>
          <w:sz w:val="22"/>
          <w:szCs w:val="22"/>
        </w:rPr>
        <w:t>2、定义</w:t>
      </w:r>
      <w:bookmarkEnd w:id="64"/>
    </w:p>
    <w:p>
      <w:pPr>
        <w:spacing w:line="460" w:lineRule="exact"/>
        <w:ind w:firstLine="440" w:firstLineChars="200"/>
        <w:rPr>
          <w:rFonts w:hint="eastAsia" w:ascii="宋体" w:hAnsi="宋体"/>
          <w:color w:val="000000"/>
          <w:sz w:val="22"/>
          <w:szCs w:val="22"/>
        </w:rPr>
      </w:pPr>
      <w:r>
        <w:rPr>
          <w:rFonts w:hint="eastAsia" w:ascii="宋体" w:hAnsi="宋体"/>
          <w:color w:val="000000"/>
          <w:sz w:val="22"/>
          <w:szCs w:val="22"/>
        </w:rPr>
        <w:t>2.1投标供应商系指：</w:t>
      </w:r>
    </w:p>
    <w:p>
      <w:pPr>
        <w:spacing w:line="460" w:lineRule="exact"/>
        <w:ind w:firstLine="440" w:firstLineChars="200"/>
        <w:rPr>
          <w:rFonts w:ascii="宋体" w:hAnsi="宋体"/>
          <w:sz w:val="22"/>
          <w:szCs w:val="22"/>
        </w:rPr>
      </w:pPr>
      <w:r>
        <w:rPr>
          <w:rFonts w:hint="eastAsia" w:ascii="宋体" w:hAnsi="宋体"/>
          <w:sz w:val="22"/>
          <w:szCs w:val="22"/>
        </w:rPr>
        <w:t>2.1.1依据本</w:t>
      </w:r>
      <w:r>
        <w:rPr>
          <w:rFonts w:ascii="宋体" w:hAnsi="宋体"/>
          <w:sz w:val="22"/>
          <w:szCs w:val="22"/>
        </w:rPr>
        <w:t>项目采购</w:t>
      </w:r>
      <w:r>
        <w:rPr>
          <w:rFonts w:hint="eastAsia" w:ascii="宋体" w:hAnsi="宋体"/>
          <w:sz w:val="22"/>
          <w:szCs w:val="22"/>
        </w:rPr>
        <w:t>公告第九</w:t>
      </w:r>
      <w:r>
        <w:rPr>
          <w:rFonts w:ascii="宋体" w:hAnsi="宋体"/>
          <w:sz w:val="22"/>
          <w:szCs w:val="22"/>
        </w:rPr>
        <w:t>条取得</w:t>
      </w:r>
      <w:r>
        <w:rPr>
          <w:rFonts w:hint="eastAsia" w:ascii="宋体" w:hAnsi="宋体"/>
          <w:sz w:val="22"/>
          <w:szCs w:val="22"/>
        </w:rPr>
        <w:t>了采购文件拟响应采购活动、参加投标和向采购人提供相应服务的单位、个人或其他组织，其职责如下</w:t>
      </w:r>
      <w:r>
        <w:rPr>
          <w:rFonts w:ascii="宋体" w:hAnsi="宋体"/>
          <w:sz w:val="22"/>
          <w:szCs w:val="22"/>
        </w:rPr>
        <w:t>：</w:t>
      </w:r>
    </w:p>
    <w:p>
      <w:pPr>
        <w:spacing w:line="460" w:lineRule="exact"/>
        <w:ind w:firstLine="440" w:firstLineChars="200"/>
        <w:rPr>
          <w:rFonts w:hint="eastAsia" w:ascii="宋体" w:hAnsi="宋体"/>
          <w:sz w:val="22"/>
          <w:szCs w:val="22"/>
        </w:rPr>
      </w:pPr>
      <w:r>
        <w:rPr>
          <w:rFonts w:hint="eastAsia" w:ascii="宋体" w:hAnsi="宋体"/>
          <w:sz w:val="22"/>
          <w:szCs w:val="22"/>
        </w:rPr>
        <w:t>①依法、诚信参加政府采购活动；</w:t>
      </w:r>
    </w:p>
    <w:p>
      <w:pPr>
        <w:spacing w:line="460" w:lineRule="exact"/>
        <w:ind w:firstLine="440" w:firstLineChars="200"/>
        <w:rPr>
          <w:rFonts w:hint="eastAsia" w:ascii="宋体" w:hAnsi="宋体"/>
          <w:sz w:val="22"/>
          <w:szCs w:val="22"/>
        </w:rPr>
      </w:pPr>
      <w:r>
        <w:rPr>
          <w:rFonts w:hint="eastAsia" w:ascii="宋体" w:hAnsi="宋体"/>
          <w:sz w:val="22"/>
          <w:szCs w:val="22"/>
        </w:rPr>
        <w:t>②依法签订政府采购合同；</w:t>
      </w:r>
    </w:p>
    <w:p>
      <w:pPr>
        <w:spacing w:line="460" w:lineRule="exact"/>
        <w:ind w:firstLine="440" w:firstLineChars="200"/>
        <w:rPr>
          <w:rFonts w:hint="eastAsia" w:ascii="宋体" w:hAnsi="宋体"/>
          <w:sz w:val="22"/>
          <w:szCs w:val="22"/>
        </w:rPr>
      </w:pPr>
      <w:r>
        <w:rPr>
          <w:rFonts w:hint="eastAsia" w:ascii="宋体" w:hAnsi="宋体"/>
          <w:sz w:val="22"/>
          <w:szCs w:val="22"/>
        </w:rPr>
        <w:t>③严格依法履行政府采购合同约定；</w:t>
      </w:r>
    </w:p>
    <w:p>
      <w:pPr>
        <w:spacing w:line="460" w:lineRule="exact"/>
        <w:ind w:firstLine="440" w:firstLineChars="200"/>
        <w:rPr>
          <w:rFonts w:hint="eastAsia" w:ascii="宋体" w:hAnsi="宋体"/>
          <w:sz w:val="22"/>
          <w:szCs w:val="22"/>
        </w:rPr>
      </w:pPr>
      <w:r>
        <w:rPr>
          <w:rFonts w:hint="eastAsia" w:ascii="宋体" w:hAnsi="宋体"/>
          <w:sz w:val="22"/>
          <w:szCs w:val="22"/>
        </w:rPr>
        <w:t>④其他需要履行的职责。</w:t>
      </w:r>
    </w:p>
    <w:p>
      <w:pPr>
        <w:spacing w:line="460" w:lineRule="exact"/>
        <w:ind w:firstLine="440" w:firstLineChars="200"/>
        <w:rPr>
          <w:rFonts w:hint="eastAsia" w:ascii="宋体" w:hAnsi="宋体"/>
          <w:color w:val="000000"/>
          <w:sz w:val="22"/>
          <w:szCs w:val="22"/>
        </w:rPr>
      </w:pPr>
      <w:r>
        <w:rPr>
          <w:rFonts w:hint="eastAsia" w:ascii="宋体" w:hAnsi="宋体"/>
          <w:color w:val="000000"/>
          <w:sz w:val="22"/>
          <w:szCs w:val="22"/>
        </w:rPr>
        <w:t>2.1.2投标供应商应遵守《中华人民共和国采购法》、《中华人民共和国政府采购法实施条例》、《中华人民共和国招投标法》以及其他有关的法律、法规和条例。</w:t>
      </w:r>
    </w:p>
    <w:p>
      <w:pPr>
        <w:spacing w:line="440" w:lineRule="exact"/>
        <w:ind w:firstLine="440" w:firstLineChars="200"/>
        <w:rPr>
          <w:rFonts w:ascii="宋体" w:hAnsi="宋体"/>
          <w:color w:val="000000"/>
          <w:sz w:val="22"/>
          <w:szCs w:val="22"/>
        </w:rPr>
      </w:pPr>
      <w:r>
        <w:rPr>
          <w:rFonts w:ascii="宋体" w:hAnsi="宋体"/>
          <w:color w:val="000000"/>
          <w:sz w:val="22"/>
          <w:szCs w:val="22"/>
        </w:rPr>
        <w:t>2.</w:t>
      </w:r>
      <w:r>
        <w:rPr>
          <w:rFonts w:hint="eastAsia" w:ascii="宋体" w:hAnsi="宋体"/>
          <w:color w:val="000000"/>
          <w:sz w:val="22"/>
          <w:szCs w:val="22"/>
        </w:rPr>
        <w:t>2“服务”系指投标供应商按采购文件规定须向采购人提供的一切服务、设备、机械、仪器仪表、备品备件、工具、手册及其它有关技术资料和材料。</w:t>
      </w:r>
    </w:p>
    <w:p>
      <w:pPr>
        <w:spacing w:line="440" w:lineRule="exact"/>
        <w:ind w:firstLine="440" w:firstLineChars="200"/>
        <w:rPr>
          <w:rFonts w:hint="eastAsia" w:ascii="宋体" w:hAnsi="宋体"/>
          <w:sz w:val="22"/>
          <w:szCs w:val="22"/>
        </w:rPr>
      </w:pPr>
      <w:r>
        <w:rPr>
          <w:rFonts w:ascii="宋体" w:hAnsi="宋体"/>
          <w:sz w:val="22"/>
          <w:szCs w:val="22"/>
        </w:rPr>
        <w:t>2.</w:t>
      </w:r>
      <w:r>
        <w:rPr>
          <w:rFonts w:hint="eastAsia" w:ascii="宋体" w:hAnsi="宋体"/>
          <w:sz w:val="22"/>
          <w:szCs w:val="22"/>
        </w:rPr>
        <w:t>3“服务”系指采购文件规定投标供应商须承担的镇海区全区社会治安视频监控系统（2021年度）统筹运维服务项目等以及与其相关联的义务。该服务应是在国内可合法提供的、不受第三方限制的、免受追索的、符合国家法律、法规及规章规定以及满足本采购需求的服务。</w:t>
      </w:r>
    </w:p>
    <w:p>
      <w:pPr>
        <w:spacing w:line="440" w:lineRule="exact"/>
        <w:ind w:firstLine="440" w:firstLineChars="200"/>
        <w:rPr>
          <w:rFonts w:hint="eastAsia" w:ascii="宋体" w:hAnsi="宋体"/>
          <w:color w:val="000000"/>
          <w:sz w:val="22"/>
          <w:szCs w:val="22"/>
        </w:rPr>
      </w:pPr>
      <w:r>
        <w:rPr>
          <w:rFonts w:hint="eastAsia" w:ascii="宋体" w:hAnsi="宋体"/>
          <w:color w:val="000000"/>
          <w:sz w:val="22"/>
          <w:szCs w:val="22"/>
        </w:rPr>
        <w:t>2.4合格的投标供应商</w:t>
      </w:r>
    </w:p>
    <w:p>
      <w:pPr>
        <w:spacing w:line="440" w:lineRule="exact"/>
        <w:ind w:firstLine="440" w:firstLineChars="200"/>
        <w:rPr>
          <w:rFonts w:hint="eastAsia" w:ascii="宋体" w:hAnsi="宋体"/>
          <w:color w:val="000000"/>
          <w:sz w:val="22"/>
          <w:szCs w:val="22"/>
        </w:rPr>
      </w:pPr>
      <w:r>
        <w:rPr>
          <w:rFonts w:hint="eastAsia" w:ascii="宋体" w:hAnsi="宋体"/>
          <w:color w:val="000000"/>
          <w:sz w:val="22"/>
          <w:szCs w:val="22"/>
        </w:rPr>
        <w:t>2.4.1符合2.1条件，并具备以下基本条件的投标供应商：</w:t>
      </w:r>
    </w:p>
    <w:p>
      <w:pPr>
        <w:spacing w:line="440" w:lineRule="exact"/>
        <w:ind w:firstLine="440" w:firstLineChars="200"/>
        <w:rPr>
          <w:rFonts w:hint="eastAsia" w:ascii="宋体" w:hAnsi="宋体"/>
          <w:sz w:val="22"/>
          <w:szCs w:val="22"/>
        </w:rPr>
      </w:pPr>
      <w:r>
        <w:rPr>
          <w:rFonts w:hint="eastAsia" w:ascii="宋体" w:hAnsi="宋体"/>
          <w:sz w:val="22"/>
          <w:szCs w:val="22"/>
        </w:rPr>
        <w:t>投标供应商应具备合格的资格条件：详见第一部分《采购公告》第八条和《投标资料表》中要求的资格条件。</w:t>
      </w:r>
    </w:p>
    <w:p>
      <w:pPr>
        <w:spacing w:line="440" w:lineRule="exact"/>
        <w:ind w:firstLine="440" w:firstLineChars="200"/>
        <w:rPr>
          <w:rFonts w:hint="eastAsia" w:ascii="宋体" w:hAnsi="宋体"/>
          <w:sz w:val="22"/>
          <w:szCs w:val="22"/>
        </w:rPr>
      </w:pPr>
      <w:r>
        <w:rPr>
          <w:rFonts w:hint="eastAsia" w:ascii="宋体" w:hAnsi="宋体"/>
          <w:sz w:val="22"/>
          <w:szCs w:val="22"/>
        </w:rPr>
        <w:t>2.4.2投标供应商单位负责人为同一人或者存在直接控股、管理关系的不同供应商，不得参加同一合同项下的政府采购活动。除单一来源采购项目和</w:t>
      </w:r>
      <w:r>
        <w:rPr>
          <w:rFonts w:ascii="宋体" w:hAnsi="宋体"/>
          <w:sz w:val="22"/>
          <w:szCs w:val="22"/>
        </w:rPr>
        <w:t>设计施工总</w:t>
      </w:r>
      <w:r>
        <w:rPr>
          <w:rFonts w:hint="eastAsia" w:ascii="宋体" w:hAnsi="宋体"/>
          <w:sz w:val="22"/>
          <w:szCs w:val="22"/>
        </w:rPr>
        <w:t>承包</w:t>
      </w:r>
      <w:r>
        <w:rPr>
          <w:rFonts w:ascii="宋体" w:hAnsi="宋体"/>
          <w:sz w:val="22"/>
          <w:szCs w:val="22"/>
        </w:rPr>
        <w:t>项目</w:t>
      </w:r>
      <w:r>
        <w:rPr>
          <w:rFonts w:hint="eastAsia" w:ascii="宋体" w:hAnsi="宋体"/>
          <w:sz w:val="22"/>
          <w:szCs w:val="22"/>
        </w:rPr>
        <w:t>外，为采购项目提供整体设计、规范编制或者项目管理、监理、检测等服务的供应商，不得再参加该采购项目的其他采购活动。</w:t>
      </w:r>
    </w:p>
    <w:p>
      <w:pPr>
        <w:spacing w:line="440" w:lineRule="exact"/>
        <w:ind w:firstLine="440" w:firstLineChars="200"/>
        <w:rPr>
          <w:rFonts w:hint="eastAsia" w:ascii="宋体" w:hAnsi="宋体"/>
          <w:sz w:val="22"/>
          <w:szCs w:val="22"/>
        </w:rPr>
      </w:pPr>
      <w:r>
        <w:rPr>
          <w:rFonts w:hint="eastAsia" w:ascii="宋体" w:hAnsi="宋体"/>
          <w:sz w:val="22"/>
          <w:szCs w:val="22"/>
        </w:rPr>
        <w:t>2.4.3一个投标供应商对一个项目只能提交一个投标文件。</w:t>
      </w:r>
    </w:p>
    <w:p>
      <w:pPr>
        <w:spacing w:line="440" w:lineRule="exact"/>
        <w:ind w:firstLine="440" w:firstLineChars="200"/>
        <w:rPr>
          <w:rFonts w:hint="eastAsia" w:ascii="宋体" w:hAnsi="宋体"/>
          <w:sz w:val="22"/>
          <w:szCs w:val="22"/>
        </w:rPr>
      </w:pPr>
      <w:r>
        <w:rPr>
          <w:rFonts w:hint="eastAsia" w:ascii="宋体" w:hAnsi="宋体"/>
          <w:sz w:val="22"/>
          <w:szCs w:val="22"/>
        </w:rPr>
        <w:t>2.4.4</w:t>
      </w:r>
      <w:r>
        <w:rPr>
          <w:rFonts w:ascii="宋体" w:hAnsi="宋体"/>
          <w:sz w:val="22"/>
          <w:szCs w:val="22"/>
        </w:rPr>
        <w:t xml:space="preserve"> </w:t>
      </w:r>
      <w:r>
        <w:rPr>
          <w:rFonts w:hint="eastAsia" w:ascii="宋体" w:hAnsi="宋体"/>
          <w:sz w:val="22"/>
          <w:szCs w:val="22"/>
        </w:rPr>
        <w:t>两家以上的供应商不得在同一合同项下的采购项目中，同时委托同一个自然人、同一家庭的人员、同一单位的人员作为其代理人，总公司、分公司不能以不同的供应商身份同时参加投标，否则，其投标（响应）文件作为无效处理。</w:t>
      </w:r>
    </w:p>
    <w:p>
      <w:pPr>
        <w:spacing w:line="440" w:lineRule="exact"/>
        <w:ind w:firstLine="440" w:firstLineChars="200"/>
        <w:rPr>
          <w:rFonts w:hint="eastAsia" w:ascii="宋体" w:hAnsi="宋体"/>
          <w:color w:val="000000"/>
          <w:sz w:val="22"/>
          <w:szCs w:val="22"/>
        </w:rPr>
      </w:pPr>
      <w:r>
        <w:rPr>
          <w:rFonts w:hint="eastAsia" w:ascii="宋体" w:hAnsi="宋体"/>
          <w:color w:val="000000"/>
          <w:sz w:val="22"/>
          <w:szCs w:val="22"/>
        </w:rPr>
        <w:t>2.5特别说明</w:t>
      </w:r>
    </w:p>
    <w:p>
      <w:pPr>
        <w:spacing w:line="440" w:lineRule="exact"/>
        <w:ind w:firstLine="440" w:firstLineChars="200"/>
        <w:rPr>
          <w:rFonts w:hint="eastAsia" w:ascii="宋体" w:hAnsi="宋体"/>
          <w:color w:val="000000"/>
          <w:sz w:val="22"/>
          <w:szCs w:val="22"/>
        </w:rPr>
      </w:pPr>
      <w:r>
        <w:rPr>
          <w:rFonts w:hint="eastAsia" w:ascii="宋体" w:hAnsi="宋体"/>
          <w:color w:val="000000"/>
          <w:sz w:val="22"/>
          <w:szCs w:val="22"/>
        </w:rPr>
        <w:t>2.5.1投标供应商投标所使用的资格、信誉、荣誉、业绩与企业认证必须为本企业所拥有。在组织商务、技术评审或资格性审查时，不得将属于供应商母公司（总机构）或者同一母公司下属的其他子公司（同一总机构下属的其他分支机构）的人员、业绩、荣誉、知识产权、项目案例等，作为该供应商的资信文件予以确认或审查通过。</w:t>
      </w:r>
    </w:p>
    <w:p>
      <w:pPr>
        <w:spacing w:line="440" w:lineRule="exact"/>
        <w:ind w:firstLine="440" w:firstLineChars="200"/>
        <w:rPr>
          <w:rFonts w:ascii="宋体" w:hAnsi="宋体"/>
          <w:sz w:val="22"/>
          <w:szCs w:val="22"/>
        </w:rPr>
      </w:pPr>
      <w:r>
        <w:rPr>
          <w:rFonts w:hint="eastAsia" w:ascii="宋体" w:hAnsi="宋体"/>
          <w:color w:val="000000"/>
          <w:sz w:val="22"/>
          <w:szCs w:val="22"/>
        </w:rPr>
        <w:t>2.5.2根据《中华人民共和国政府采购法实施条例》（国务院令第658号）和浙江省财政厅、省监察厅《关于进一步规范政府采购活动的若干意见》（浙财采监字〔2007〕2号）的规定。多家供应商参加采购响应，如其中两家或两家以上供应商存在以下利害关系时按一个供应商认定。评审时，取其中通过资格审查后的报价最低一家为有效供应商；当报价相同时，则以技术标最优一家为有效供应商；均相同时，由评标委员会（或谈判、询价小组，以下统称评审小组）集体决定。</w:t>
      </w:r>
    </w:p>
    <w:p>
      <w:pPr>
        <w:spacing w:line="440" w:lineRule="exact"/>
        <w:ind w:firstLine="440" w:firstLineChars="200"/>
        <w:rPr>
          <w:rFonts w:ascii="宋体" w:hAnsi="宋体"/>
          <w:sz w:val="22"/>
          <w:szCs w:val="22"/>
        </w:rPr>
      </w:pPr>
      <w:r>
        <w:rPr>
          <w:rFonts w:hint="eastAsia" w:ascii="宋体" w:hAnsi="宋体"/>
          <w:sz w:val="22"/>
          <w:szCs w:val="22"/>
        </w:rPr>
        <w:t>供应商之间存在的利害关系如下</w:t>
      </w:r>
      <w:r>
        <w:rPr>
          <w:rFonts w:ascii="宋体" w:hAnsi="宋体"/>
          <w:sz w:val="22"/>
          <w:szCs w:val="22"/>
        </w:rPr>
        <w:t>：</w:t>
      </w:r>
    </w:p>
    <w:p>
      <w:pPr>
        <w:spacing w:line="440" w:lineRule="exact"/>
        <w:ind w:firstLine="440" w:firstLineChars="200"/>
        <w:rPr>
          <w:rFonts w:hint="eastAsia" w:ascii="宋体" w:hAnsi="宋体"/>
          <w:sz w:val="22"/>
          <w:szCs w:val="22"/>
        </w:rPr>
      </w:pPr>
      <w:r>
        <w:rPr>
          <w:rFonts w:hint="eastAsia" w:ascii="宋体" w:hAnsi="宋体"/>
          <w:sz w:val="22"/>
          <w:szCs w:val="22"/>
        </w:rPr>
        <w:t xml:space="preserve"> A.法定代表人或负责人或实际控制人是夫妻关系； B.法定代表人或负责人或实际控制人是直系血亲关系； C.法定代表人或负责人或实际控制人存在三代以内旁系血亲关系； D.法定代表人或负责人或实际控制人存在近姻亲关系； E.法定代表人或负责人或实际控制人存在股份控制或实际控制关系； F.存在共同直接或间接投资设立子公司、联营企业和合营企业情况； G.存在分级代理或代销关系且提供的是同一代理品牌产品的、同一生产制造商关系、管理关系、重要业务（占主营业务收入 50%以上）或重要财务往来关系（如融资）等其他实质性控制关系；</w:t>
      </w:r>
    </w:p>
    <w:p>
      <w:pPr>
        <w:spacing w:line="440" w:lineRule="exact"/>
        <w:ind w:firstLine="440" w:firstLineChars="200"/>
        <w:rPr>
          <w:rFonts w:ascii="宋体" w:hAnsi="宋体"/>
          <w:sz w:val="22"/>
          <w:szCs w:val="22"/>
        </w:rPr>
      </w:pPr>
      <w:r>
        <w:rPr>
          <w:rFonts w:hint="eastAsia" w:ascii="宋体" w:hAnsi="宋体"/>
          <w:sz w:val="22"/>
          <w:szCs w:val="22"/>
        </w:rPr>
        <w:t>2.5.3根据《关于规范政府采购供应商资格设定及资格审查的通知》（浙财采监[2013]24号）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允许其独立参加政府采购活动。</w:t>
      </w:r>
    </w:p>
    <w:p>
      <w:pPr>
        <w:spacing w:line="440" w:lineRule="exact"/>
        <w:ind w:firstLine="440" w:firstLineChars="200"/>
        <w:rPr>
          <w:rFonts w:hint="eastAsia" w:ascii="宋体" w:hAnsi="宋体"/>
          <w:b/>
          <w:color w:val="FF0000"/>
          <w:sz w:val="22"/>
          <w:szCs w:val="22"/>
        </w:rPr>
      </w:pPr>
      <w:r>
        <w:rPr>
          <w:rFonts w:hint="eastAsia" w:ascii="宋体" w:hAnsi="宋体"/>
          <w:sz w:val="22"/>
          <w:szCs w:val="22"/>
        </w:rPr>
        <w:t>2.5.4非单一产品采购项目参照《政府采购服务和服务招标投标管理办法》（财政部令第87号）第三十一条规定执行。本项目为非单一产品采购项目。</w:t>
      </w:r>
    </w:p>
    <w:p>
      <w:pPr>
        <w:spacing w:line="440" w:lineRule="exact"/>
        <w:ind w:firstLine="440" w:firstLineChars="200"/>
        <w:rPr>
          <w:rFonts w:hint="eastAsia" w:ascii="宋体" w:hAnsi="宋体"/>
          <w:sz w:val="22"/>
          <w:szCs w:val="22"/>
        </w:rPr>
      </w:pPr>
      <w:r>
        <w:rPr>
          <w:rFonts w:ascii="宋体" w:hAnsi="宋体"/>
          <w:sz w:val="22"/>
          <w:szCs w:val="22"/>
        </w:rPr>
        <w:t>2.5.</w:t>
      </w:r>
      <w:r>
        <w:rPr>
          <w:rFonts w:hint="eastAsia" w:ascii="宋体" w:hAnsi="宋体"/>
          <w:sz w:val="22"/>
          <w:szCs w:val="22"/>
        </w:rPr>
        <w:t>5参照《关于规范政府采购供应商资格设定及资格审查的通知》（浙财采监[2013]24号）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允许其独立参加本次采购活动。</w:t>
      </w:r>
    </w:p>
    <w:p>
      <w:pPr>
        <w:pStyle w:val="3"/>
        <w:spacing w:before="0" w:after="0" w:line="440" w:lineRule="exact"/>
        <w:rPr>
          <w:rFonts w:ascii="宋体" w:hAnsi="宋体" w:eastAsia="宋体"/>
          <w:sz w:val="22"/>
          <w:szCs w:val="22"/>
        </w:rPr>
      </w:pPr>
      <w:bookmarkStart w:id="65" w:name="_Toc14965621"/>
      <w:r>
        <w:rPr>
          <w:rFonts w:hint="eastAsia" w:ascii="宋体" w:hAnsi="宋体" w:eastAsia="宋体"/>
          <w:sz w:val="22"/>
          <w:szCs w:val="22"/>
        </w:rPr>
        <w:t>3、采购方式</w:t>
      </w:r>
      <w:bookmarkEnd w:id="65"/>
    </w:p>
    <w:p>
      <w:pPr>
        <w:spacing w:line="440" w:lineRule="exact"/>
        <w:ind w:firstLine="440" w:firstLineChars="200"/>
        <w:rPr>
          <w:rFonts w:ascii="宋体" w:hAnsi="宋体"/>
          <w:color w:val="000000"/>
          <w:sz w:val="22"/>
          <w:szCs w:val="22"/>
        </w:rPr>
      </w:pPr>
      <w:r>
        <w:rPr>
          <w:rFonts w:hint="eastAsia" w:ascii="宋体" w:hAnsi="宋体"/>
          <w:color w:val="000000"/>
          <w:sz w:val="22"/>
          <w:szCs w:val="22"/>
        </w:rPr>
        <w:t>3.1本次采购采用公开采购方式进行。</w:t>
      </w:r>
    </w:p>
    <w:p>
      <w:pPr>
        <w:pStyle w:val="3"/>
        <w:spacing w:before="0" w:after="0" w:line="440" w:lineRule="exact"/>
        <w:rPr>
          <w:rFonts w:ascii="宋体" w:hAnsi="宋体" w:eastAsia="宋体"/>
          <w:sz w:val="22"/>
          <w:szCs w:val="22"/>
        </w:rPr>
      </w:pPr>
      <w:bookmarkStart w:id="66" w:name="_Toc14965622"/>
      <w:r>
        <w:rPr>
          <w:rFonts w:hint="eastAsia" w:ascii="宋体" w:hAnsi="宋体" w:eastAsia="宋体"/>
          <w:sz w:val="22"/>
          <w:szCs w:val="22"/>
        </w:rPr>
        <w:t>4、★投标委托</w:t>
      </w:r>
      <w:bookmarkEnd w:id="66"/>
    </w:p>
    <w:p>
      <w:pPr>
        <w:spacing w:line="440" w:lineRule="exact"/>
        <w:ind w:firstLine="440" w:firstLineChars="200"/>
        <w:rPr>
          <w:rFonts w:hint="eastAsia" w:ascii="宋体" w:hAnsi="宋体"/>
          <w:color w:val="000000"/>
          <w:sz w:val="22"/>
          <w:szCs w:val="22"/>
        </w:rPr>
      </w:pPr>
      <w:r>
        <w:rPr>
          <w:rFonts w:hint="eastAsia" w:ascii="宋体" w:hAnsi="宋体"/>
          <w:color w:val="000000"/>
          <w:sz w:val="22"/>
          <w:szCs w:val="22"/>
        </w:rPr>
        <w:t>4.1</w:t>
      </w:r>
      <w:r>
        <w:rPr>
          <w:rFonts w:hint="eastAsia" w:ascii="宋体" w:hAnsi="宋体"/>
          <w:b/>
          <w:color w:val="7030A0"/>
          <w:sz w:val="22"/>
          <w:szCs w:val="22"/>
        </w:rPr>
        <w:t>本项目为政采云平台电子交易全流程项目，投标人无需派代表出席开标会议</w:t>
      </w:r>
      <w:r>
        <w:rPr>
          <w:rFonts w:hint="eastAsia" w:ascii="宋体" w:hAnsi="宋体"/>
          <w:color w:val="7030A0"/>
          <w:sz w:val="22"/>
          <w:szCs w:val="22"/>
        </w:rPr>
        <w:t>。</w:t>
      </w:r>
      <w:r>
        <w:rPr>
          <w:rFonts w:ascii="宋体" w:hAnsi="宋体"/>
          <w:color w:val="000000"/>
          <w:sz w:val="22"/>
          <w:szCs w:val="22"/>
        </w:rPr>
        <w:t>但</w:t>
      </w:r>
      <w:r>
        <w:rPr>
          <w:rFonts w:hint="eastAsia" w:ascii="宋体" w:hAnsi="宋体"/>
          <w:color w:val="000000"/>
          <w:sz w:val="22"/>
          <w:szCs w:val="22"/>
        </w:rPr>
        <w:t>若</w:t>
      </w:r>
      <w:r>
        <w:rPr>
          <w:rFonts w:ascii="宋体" w:hAnsi="宋体"/>
          <w:color w:val="000000"/>
          <w:sz w:val="22"/>
          <w:szCs w:val="22"/>
        </w:rPr>
        <w:t>投标文件由投标供应商代表签署</w:t>
      </w:r>
      <w:r>
        <w:rPr>
          <w:rFonts w:hint="eastAsia" w:ascii="宋体" w:hAnsi="宋体"/>
          <w:color w:val="000000"/>
          <w:sz w:val="22"/>
          <w:szCs w:val="22"/>
        </w:rPr>
        <w:t>时</w:t>
      </w:r>
      <w:r>
        <w:rPr>
          <w:rFonts w:ascii="宋体" w:hAnsi="宋体"/>
          <w:color w:val="000000"/>
          <w:sz w:val="22"/>
          <w:szCs w:val="22"/>
        </w:rPr>
        <w:t>，若</w:t>
      </w:r>
      <w:r>
        <w:rPr>
          <w:rFonts w:hint="eastAsia" w:ascii="宋体" w:hAnsi="宋体"/>
          <w:color w:val="000000"/>
          <w:sz w:val="22"/>
          <w:szCs w:val="22"/>
        </w:rPr>
        <w:t>投标供应商代表为法定代表人(或单位负责人)本人</w:t>
      </w:r>
      <w:r>
        <w:rPr>
          <w:rFonts w:ascii="宋体" w:hAnsi="宋体"/>
          <w:color w:val="000000"/>
          <w:sz w:val="22"/>
          <w:szCs w:val="22"/>
        </w:rPr>
        <w:t>则应</w:t>
      </w:r>
      <w:r>
        <w:rPr>
          <w:rFonts w:hint="eastAsia" w:ascii="宋体" w:hAnsi="宋体"/>
          <w:color w:val="000000"/>
          <w:sz w:val="22"/>
          <w:szCs w:val="22"/>
        </w:rPr>
        <w:t>于</w:t>
      </w:r>
      <w:r>
        <w:rPr>
          <w:rFonts w:ascii="宋体" w:hAnsi="宋体"/>
          <w:color w:val="000000"/>
          <w:sz w:val="22"/>
          <w:szCs w:val="22"/>
        </w:rPr>
        <w:t>标书中提交应</w:t>
      </w:r>
      <w:r>
        <w:rPr>
          <w:rFonts w:hint="eastAsia" w:ascii="宋体" w:hAnsi="宋体"/>
          <w:color w:val="000000"/>
          <w:sz w:val="22"/>
          <w:szCs w:val="22"/>
        </w:rPr>
        <w:t>法定代表人(或单位负责人)</w:t>
      </w:r>
      <w:r>
        <w:rPr>
          <w:rFonts w:hint="eastAsia" w:ascii="宋体" w:hAnsi="宋体"/>
          <w:b/>
          <w:color w:val="7030A0"/>
          <w:sz w:val="22"/>
          <w:szCs w:val="22"/>
        </w:rPr>
        <w:t xml:space="preserve"> 身份</w:t>
      </w:r>
      <w:r>
        <w:rPr>
          <w:rFonts w:ascii="宋体" w:hAnsi="宋体"/>
          <w:b/>
          <w:color w:val="7030A0"/>
          <w:sz w:val="22"/>
          <w:szCs w:val="22"/>
        </w:rPr>
        <w:t>证明书</w:t>
      </w:r>
      <w:r>
        <w:rPr>
          <w:rFonts w:ascii="宋体" w:hAnsi="宋体"/>
          <w:color w:val="000000"/>
          <w:sz w:val="22"/>
          <w:szCs w:val="22"/>
        </w:rPr>
        <w:t>，且</w:t>
      </w:r>
      <w:r>
        <w:rPr>
          <w:rFonts w:hint="eastAsia" w:ascii="宋体" w:hAnsi="宋体"/>
          <w:color w:val="000000"/>
          <w:sz w:val="22"/>
          <w:szCs w:val="22"/>
        </w:rPr>
        <w:t>法定代表人(或单位负责人)</w:t>
      </w:r>
      <w:r>
        <w:rPr>
          <w:rFonts w:ascii="宋体" w:hAnsi="宋体"/>
          <w:color w:val="000000"/>
          <w:sz w:val="22"/>
          <w:szCs w:val="22"/>
        </w:rPr>
        <w:t>应</w:t>
      </w:r>
      <w:r>
        <w:rPr>
          <w:rFonts w:hint="eastAsia" w:ascii="宋体" w:hAnsi="宋体"/>
          <w:color w:val="000000"/>
          <w:sz w:val="22"/>
          <w:szCs w:val="22"/>
        </w:rPr>
        <w:t>与营业执照（或事业单位法人登记证或非企业单位登记证，以下简称营业执照)对应相符；</w:t>
      </w:r>
      <w:r>
        <w:rPr>
          <w:rFonts w:ascii="宋体" w:hAnsi="宋体"/>
          <w:color w:val="000000"/>
          <w:sz w:val="22"/>
          <w:szCs w:val="22"/>
        </w:rPr>
        <w:t>若</w:t>
      </w:r>
      <w:r>
        <w:rPr>
          <w:rFonts w:hint="eastAsia" w:ascii="宋体" w:hAnsi="宋体"/>
          <w:color w:val="000000"/>
          <w:sz w:val="22"/>
          <w:szCs w:val="22"/>
        </w:rPr>
        <w:t>投标文件不由法定代表人(或单位负责人)本人</w:t>
      </w:r>
      <w:r>
        <w:rPr>
          <w:rFonts w:ascii="宋体" w:hAnsi="宋体"/>
          <w:color w:val="000000"/>
          <w:sz w:val="22"/>
          <w:szCs w:val="22"/>
        </w:rPr>
        <w:t>签署则应提交</w:t>
      </w:r>
      <w:r>
        <w:rPr>
          <w:rFonts w:hint="eastAsia" w:ascii="宋体" w:hAnsi="宋体"/>
          <w:color w:val="000000"/>
          <w:sz w:val="22"/>
          <w:szCs w:val="22"/>
        </w:rPr>
        <w:t>法定代表人(或单位负责人)出具的</w:t>
      </w:r>
      <w:r>
        <w:rPr>
          <w:rFonts w:hint="eastAsia" w:ascii="宋体" w:hAnsi="宋体"/>
          <w:b/>
          <w:color w:val="7030A0"/>
          <w:sz w:val="22"/>
          <w:szCs w:val="22"/>
        </w:rPr>
        <w:t>授权委托书</w:t>
      </w:r>
      <w:r>
        <w:rPr>
          <w:rFonts w:hint="eastAsia" w:ascii="宋体" w:hAnsi="宋体"/>
          <w:color w:val="000000"/>
          <w:sz w:val="22"/>
          <w:szCs w:val="22"/>
        </w:rPr>
        <w:t>，该授权书原件扫描</w:t>
      </w:r>
      <w:r>
        <w:rPr>
          <w:rFonts w:ascii="宋体" w:hAnsi="宋体"/>
          <w:color w:val="000000"/>
          <w:sz w:val="22"/>
          <w:szCs w:val="22"/>
        </w:rPr>
        <w:t>后</w:t>
      </w:r>
      <w:r>
        <w:rPr>
          <w:rFonts w:hint="eastAsia" w:ascii="宋体" w:hAnsi="宋体"/>
          <w:color w:val="000000"/>
          <w:sz w:val="22"/>
          <w:szCs w:val="22"/>
        </w:rPr>
        <w:t>须编入投标文件。</w:t>
      </w:r>
    </w:p>
    <w:p>
      <w:pPr>
        <w:pStyle w:val="3"/>
        <w:spacing w:before="0" w:after="0" w:line="440" w:lineRule="exact"/>
        <w:rPr>
          <w:rFonts w:ascii="宋体" w:hAnsi="宋体" w:eastAsia="宋体"/>
          <w:sz w:val="22"/>
          <w:szCs w:val="22"/>
        </w:rPr>
      </w:pPr>
      <w:bookmarkStart w:id="67" w:name="_Toc14965623"/>
      <w:r>
        <w:rPr>
          <w:rFonts w:hint="eastAsia" w:ascii="宋体" w:hAnsi="宋体" w:eastAsia="宋体"/>
          <w:sz w:val="22"/>
          <w:szCs w:val="22"/>
        </w:rPr>
        <w:t>5、投标费用</w:t>
      </w:r>
      <w:bookmarkEnd w:id="67"/>
    </w:p>
    <w:p>
      <w:pPr>
        <w:spacing w:line="440" w:lineRule="exact"/>
        <w:ind w:firstLine="440" w:firstLineChars="200"/>
        <w:rPr>
          <w:rFonts w:ascii="宋体" w:hAnsi="宋体"/>
          <w:sz w:val="22"/>
          <w:szCs w:val="22"/>
        </w:rPr>
      </w:pPr>
      <w:r>
        <w:rPr>
          <w:rFonts w:hint="eastAsia" w:ascii="宋体" w:hAnsi="宋体"/>
          <w:sz w:val="22"/>
          <w:szCs w:val="22"/>
        </w:rPr>
        <w:t>5.1不论投标结果如何，投标供应商均应自行承担所有与投标有关的全部费用。</w:t>
      </w:r>
    </w:p>
    <w:p>
      <w:pPr>
        <w:pStyle w:val="3"/>
        <w:spacing w:before="0" w:after="0" w:line="440" w:lineRule="exact"/>
        <w:rPr>
          <w:rFonts w:ascii="宋体" w:hAnsi="宋体" w:eastAsia="宋体"/>
          <w:sz w:val="22"/>
          <w:szCs w:val="22"/>
        </w:rPr>
      </w:pPr>
      <w:bookmarkStart w:id="68" w:name="_Toc14965624"/>
      <w:r>
        <w:rPr>
          <w:rFonts w:hint="eastAsia" w:ascii="宋体" w:hAnsi="宋体" w:eastAsia="宋体"/>
          <w:sz w:val="22"/>
          <w:szCs w:val="22"/>
        </w:rPr>
        <w:t>6、联合体投标</w:t>
      </w:r>
      <w:bookmarkEnd w:id="68"/>
    </w:p>
    <w:p>
      <w:pPr>
        <w:spacing w:line="440" w:lineRule="exact"/>
        <w:ind w:firstLine="440" w:firstLineChars="200"/>
        <w:rPr>
          <w:rFonts w:ascii="宋体" w:hAnsi="宋体" w:cs="Arial"/>
          <w:color w:val="000000"/>
          <w:sz w:val="22"/>
          <w:szCs w:val="22"/>
        </w:rPr>
      </w:pPr>
      <w:r>
        <w:rPr>
          <w:rFonts w:hint="eastAsia" w:ascii="宋体" w:hAnsi="宋体" w:cs="Arial"/>
          <w:color w:val="000000"/>
          <w:sz w:val="22"/>
          <w:szCs w:val="22"/>
        </w:rPr>
        <w:t>6.1本项目</w:t>
      </w:r>
      <w:r>
        <w:rPr>
          <w:rFonts w:hint="eastAsia" w:ascii="宋体" w:hAnsi="宋体" w:cs="Arial"/>
          <w:color w:val="000000"/>
          <w:sz w:val="22"/>
          <w:szCs w:val="22"/>
          <w:u w:val="single"/>
        </w:rPr>
        <w:t xml:space="preserve">  </w:t>
      </w:r>
      <w:r>
        <w:rPr>
          <w:rFonts w:hint="eastAsia" w:ascii="宋体" w:hAnsi="宋体" w:cs="Arial"/>
          <w:b/>
          <w:color w:val="000000"/>
          <w:sz w:val="22"/>
          <w:szCs w:val="22"/>
          <w:u w:val="single"/>
        </w:rPr>
        <w:t>不</w:t>
      </w:r>
      <w:r>
        <w:rPr>
          <w:rFonts w:hint="eastAsia" w:ascii="宋体" w:hAnsi="宋体" w:cs="Arial"/>
          <w:color w:val="000000"/>
          <w:sz w:val="22"/>
          <w:szCs w:val="22"/>
          <w:u w:val="single"/>
        </w:rPr>
        <w:t xml:space="preserve">  </w:t>
      </w:r>
      <w:r>
        <w:rPr>
          <w:rFonts w:hint="eastAsia" w:ascii="宋体" w:hAnsi="宋体" w:cs="Arial"/>
          <w:color w:val="000000"/>
          <w:sz w:val="22"/>
          <w:szCs w:val="22"/>
        </w:rPr>
        <w:t>接受联合体投标。</w:t>
      </w:r>
    </w:p>
    <w:p>
      <w:pPr>
        <w:pStyle w:val="3"/>
        <w:spacing w:before="0" w:after="0" w:line="440" w:lineRule="exact"/>
        <w:rPr>
          <w:rFonts w:ascii="宋体" w:hAnsi="宋体" w:eastAsia="宋体"/>
          <w:sz w:val="22"/>
          <w:szCs w:val="22"/>
        </w:rPr>
      </w:pPr>
      <w:bookmarkStart w:id="69" w:name="_Toc14965625"/>
      <w:r>
        <w:rPr>
          <w:rFonts w:hint="eastAsia" w:ascii="宋体" w:hAnsi="宋体" w:eastAsia="宋体"/>
          <w:sz w:val="22"/>
          <w:szCs w:val="22"/>
        </w:rPr>
        <w:t>7、转包与分包</w:t>
      </w:r>
      <w:bookmarkEnd w:id="69"/>
    </w:p>
    <w:p>
      <w:pPr>
        <w:spacing w:line="440" w:lineRule="exact"/>
        <w:ind w:firstLine="440" w:firstLineChars="200"/>
        <w:rPr>
          <w:rFonts w:ascii="宋体" w:hAnsi="宋体" w:cs="宋体"/>
          <w:kern w:val="0"/>
          <w:sz w:val="22"/>
          <w:szCs w:val="22"/>
        </w:rPr>
      </w:pPr>
      <w:r>
        <w:rPr>
          <w:rFonts w:hint="eastAsia" w:ascii="宋体" w:hAnsi="宋体" w:cs="宋体"/>
          <w:kern w:val="0"/>
          <w:sz w:val="22"/>
          <w:szCs w:val="22"/>
        </w:rPr>
        <w:t>本项目不允许转包，未经允许不得分包。</w:t>
      </w:r>
    </w:p>
    <w:p>
      <w:pPr>
        <w:pStyle w:val="3"/>
        <w:spacing w:before="0" w:after="0" w:line="440" w:lineRule="exact"/>
        <w:rPr>
          <w:rFonts w:ascii="宋体" w:hAnsi="宋体" w:eastAsia="宋体"/>
          <w:sz w:val="22"/>
          <w:szCs w:val="22"/>
        </w:rPr>
      </w:pPr>
      <w:bookmarkStart w:id="70" w:name="_Toc14965626"/>
      <w:r>
        <w:rPr>
          <w:rFonts w:hint="eastAsia" w:ascii="宋体" w:hAnsi="宋体" w:eastAsia="宋体"/>
          <w:sz w:val="22"/>
          <w:szCs w:val="22"/>
        </w:rPr>
        <w:t>8、采购文件</w:t>
      </w:r>
      <w:bookmarkEnd w:id="70"/>
    </w:p>
    <w:p>
      <w:pPr>
        <w:spacing w:line="440" w:lineRule="exact"/>
        <w:ind w:firstLine="330" w:firstLineChars="150"/>
        <w:rPr>
          <w:rFonts w:ascii="宋体" w:hAnsi="宋体"/>
          <w:sz w:val="22"/>
          <w:szCs w:val="22"/>
        </w:rPr>
      </w:pPr>
      <w:r>
        <w:rPr>
          <w:rFonts w:hint="eastAsia" w:ascii="宋体" w:hAnsi="宋体"/>
          <w:sz w:val="22"/>
          <w:szCs w:val="22"/>
        </w:rPr>
        <w:t>（一）采购文件的构成。本采购文件由以下部份组成：</w:t>
      </w:r>
    </w:p>
    <w:p>
      <w:pPr>
        <w:spacing w:line="440" w:lineRule="exact"/>
        <w:ind w:firstLine="440" w:firstLineChars="200"/>
        <w:rPr>
          <w:rFonts w:ascii="宋体" w:hAnsi="宋体"/>
          <w:sz w:val="22"/>
          <w:szCs w:val="22"/>
        </w:rPr>
      </w:pPr>
      <w:r>
        <w:rPr>
          <w:rFonts w:hint="eastAsia" w:ascii="宋体" w:hAnsi="宋体"/>
          <w:sz w:val="22"/>
          <w:szCs w:val="22"/>
        </w:rPr>
        <w:t>第一部分 采购公告</w:t>
      </w:r>
    </w:p>
    <w:p>
      <w:pPr>
        <w:spacing w:line="440" w:lineRule="exact"/>
        <w:ind w:firstLine="440" w:firstLineChars="200"/>
        <w:rPr>
          <w:rFonts w:ascii="宋体" w:hAnsi="宋体"/>
          <w:sz w:val="22"/>
          <w:szCs w:val="22"/>
        </w:rPr>
      </w:pPr>
      <w:r>
        <w:rPr>
          <w:rFonts w:hint="eastAsia" w:ascii="宋体" w:hAnsi="宋体"/>
          <w:sz w:val="22"/>
          <w:szCs w:val="22"/>
        </w:rPr>
        <w:t>第二部分 采购内容及要求</w:t>
      </w:r>
    </w:p>
    <w:p>
      <w:pPr>
        <w:spacing w:line="440" w:lineRule="exact"/>
        <w:ind w:firstLine="440" w:firstLineChars="200"/>
        <w:rPr>
          <w:rFonts w:ascii="宋体" w:hAnsi="宋体"/>
          <w:sz w:val="22"/>
          <w:szCs w:val="22"/>
        </w:rPr>
      </w:pPr>
      <w:r>
        <w:rPr>
          <w:rFonts w:hint="eastAsia" w:ascii="宋体" w:hAnsi="宋体"/>
          <w:sz w:val="22"/>
          <w:szCs w:val="22"/>
        </w:rPr>
        <w:t>第三部分 投标资料表</w:t>
      </w:r>
    </w:p>
    <w:p>
      <w:pPr>
        <w:spacing w:line="440" w:lineRule="exact"/>
        <w:ind w:firstLine="440" w:firstLineChars="200"/>
        <w:rPr>
          <w:rFonts w:ascii="宋体" w:hAnsi="宋体"/>
          <w:sz w:val="22"/>
          <w:szCs w:val="22"/>
        </w:rPr>
      </w:pPr>
      <w:r>
        <w:rPr>
          <w:rFonts w:hint="eastAsia" w:ascii="宋体" w:hAnsi="宋体"/>
          <w:sz w:val="22"/>
          <w:szCs w:val="22"/>
        </w:rPr>
        <w:t>第四部分 评标标准</w:t>
      </w:r>
    </w:p>
    <w:p>
      <w:pPr>
        <w:spacing w:line="440" w:lineRule="exact"/>
        <w:ind w:firstLine="440" w:firstLineChars="200"/>
        <w:rPr>
          <w:rFonts w:ascii="宋体" w:hAnsi="宋体"/>
          <w:sz w:val="22"/>
          <w:szCs w:val="22"/>
        </w:rPr>
      </w:pPr>
      <w:r>
        <w:rPr>
          <w:rFonts w:hint="eastAsia" w:ascii="宋体" w:hAnsi="宋体"/>
          <w:sz w:val="22"/>
          <w:szCs w:val="22"/>
        </w:rPr>
        <w:t>第五部分 合同主要条款</w:t>
      </w:r>
    </w:p>
    <w:p>
      <w:pPr>
        <w:spacing w:line="440" w:lineRule="exact"/>
        <w:ind w:firstLine="440" w:firstLineChars="200"/>
        <w:rPr>
          <w:rFonts w:ascii="宋体" w:hAnsi="宋体"/>
          <w:sz w:val="22"/>
          <w:szCs w:val="22"/>
        </w:rPr>
      </w:pPr>
      <w:r>
        <w:rPr>
          <w:rFonts w:hint="eastAsia" w:ascii="宋体" w:hAnsi="宋体"/>
          <w:sz w:val="22"/>
          <w:szCs w:val="22"/>
        </w:rPr>
        <w:t>第六部分 投标人须知</w:t>
      </w:r>
    </w:p>
    <w:p>
      <w:pPr>
        <w:spacing w:line="440" w:lineRule="exact"/>
        <w:ind w:firstLine="440" w:firstLineChars="200"/>
        <w:rPr>
          <w:rFonts w:ascii="宋体" w:hAnsi="宋体"/>
          <w:sz w:val="22"/>
          <w:szCs w:val="22"/>
        </w:rPr>
      </w:pPr>
      <w:r>
        <w:rPr>
          <w:rFonts w:hint="eastAsia" w:ascii="宋体" w:hAnsi="宋体"/>
          <w:sz w:val="22"/>
          <w:szCs w:val="22"/>
        </w:rPr>
        <w:t>第七部分 投标文件格式</w:t>
      </w:r>
    </w:p>
    <w:p>
      <w:pPr>
        <w:spacing w:line="440" w:lineRule="exact"/>
        <w:ind w:firstLine="440" w:firstLineChars="200"/>
        <w:rPr>
          <w:rFonts w:ascii="宋体" w:hAnsi="宋体"/>
          <w:sz w:val="22"/>
          <w:szCs w:val="22"/>
        </w:rPr>
      </w:pPr>
      <w:r>
        <w:rPr>
          <w:rFonts w:hint="eastAsia" w:ascii="宋体" w:hAnsi="宋体"/>
          <w:sz w:val="22"/>
          <w:szCs w:val="22"/>
        </w:rPr>
        <w:t>第八部分 本项目采购文件的澄清、答复、修改、补充的内容</w:t>
      </w:r>
    </w:p>
    <w:p>
      <w:pPr>
        <w:spacing w:line="440" w:lineRule="exact"/>
        <w:ind w:firstLine="440" w:firstLineChars="200"/>
        <w:rPr>
          <w:rFonts w:hint="eastAsia" w:ascii="宋体" w:hAnsi="宋体"/>
          <w:sz w:val="22"/>
          <w:szCs w:val="22"/>
        </w:rPr>
      </w:pPr>
      <w:r>
        <w:rPr>
          <w:rFonts w:hint="eastAsia" w:ascii="宋体" w:hAnsi="宋体"/>
          <w:sz w:val="22"/>
          <w:szCs w:val="22"/>
        </w:rPr>
        <w:t>第九部分 其它相关内容</w:t>
      </w:r>
    </w:p>
    <w:p>
      <w:pPr>
        <w:spacing w:line="440" w:lineRule="exact"/>
        <w:ind w:firstLine="442" w:firstLineChars="200"/>
        <w:rPr>
          <w:rFonts w:hint="eastAsia" w:ascii="宋体" w:hAnsi="宋体"/>
          <w:sz w:val="22"/>
          <w:szCs w:val="22"/>
        </w:rPr>
      </w:pPr>
      <w:r>
        <w:rPr>
          <w:rFonts w:hint="eastAsia" w:ascii="宋体" w:hAnsi="宋体"/>
          <w:b/>
          <w:sz w:val="22"/>
          <w:szCs w:val="22"/>
        </w:rPr>
        <w:t>注：投标供应商应认真阅读采购文件中所有的事项、格式、条款和规范等要求。投标供应商没有按照采购文件要求提交全部资料，或者投标文件没有对采购文件各方面都作出实质性响应是投标供应商的风险，因为没有实质性响应采购文件要求的投标将被拒绝</w:t>
      </w:r>
      <w:r>
        <w:rPr>
          <w:rFonts w:hint="eastAsia" w:ascii="宋体" w:hAnsi="宋体"/>
          <w:sz w:val="22"/>
          <w:szCs w:val="22"/>
        </w:rPr>
        <w:t>。</w:t>
      </w:r>
    </w:p>
    <w:p>
      <w:pPr>
        <w:spacing w:line="440" w:lineRule="exact"/>
        <w:ind w:firstLine="442" w:firstLineChars="200"/>
        <w:rPr>
          <w:rFonts w:hint="eastAsia" w:ascii="宋体" w:hAnsi="宋体"/>
          <w:sz w:val="22"/>
          <w:szCs w:val="22"/>
        </w:rPr>
      </w:pPr>
      <w:r>
        <w:rPr>
          <w:rFonts w:hint="eastAsia" w:ascii="宋体" w:hAnsi="宋体"/>
          <w:b/>
          <w:sz w:val="22"/>
          <w:szCs w:val="22"/>
        </w:rPr>
        <w:t>本采购文件提供的格式为满足本次采购所需的一部分格式文件，投标供应商应结合采购文件及自己的投标文件自行补充其他投标供应商认为需要的格式文件，投标供应商在采纳本采购文件提供的格式时，可以自行扩展，但不得违背实质性要求</w:t>
      </w:r>
      <w:r>
        <w:rPr>
          <w:rFonts w:hint="eastAsia" w:ascii="宋体" w:hAnsi="宋体"/>
          <w:sz w:val="22"/>
          <w:szCs w:val="22"/>
        </w:rPr>
        <w:t>。</w:t>
      </w:r>
    </w:p>
    <w:p>
      <w:pPr>
        <w:pStyle w:val="3"/>
        <w:spacing w:before="0" w:after="0" w:line="440" w:lineRule="exact"/>
        <w:rPr>
          <w:rFonts w:ascii="宋体" w:hAnsi="宋体" w:eastAsia="宋体"/>
          <w:sz w:val="22"/>
          <w:szCs w:val="22"/>
        </w:rPr>
      </w:pPr>
      <w:bookmarkStart w:id="71" w:name="_Toc14965627"/>
      <w:r>
        <w:rPr>
          <w:rFonts w:hint="eastAsia" w:ascii="宋体" w:hAnsi="宋体" w:eastAsia="宋体"/>
          <w:sz w:val="22"/>
          <w:szCs w:val="22"/>
        </w:rPr>
        <w:t>9、采购文件的澄清与修改</w:t>
      </w:r>
      <w:bookmarkEnd w:id="71"/>
      <w:r>
        <w:rPr>
          <w:rFonts w:hint="eastAsia" w:ascii="宋体" w:hAnsi="宋体" w:eastAsia="宋体"/>
          <w:sz w:val="22"/>
          <w:szCs w:val="22"/>
        </w:rPr>
        <w:t xml:space="preserve"> </w:t>
      </w:r>
    </w:p>
    <w:p>
      <w:pPr>
        <w:spacing w:line="440" w:lineRule="exact"/>
        <w:ind w:firstLine="440" w:firstLineChars="200"/>
        <w:rPr>
          <w:rFonts w:ascii="宋体" w:hAnsi="宋体"/>
          <w:sz w:val="22"/>
          <w:szCs w:val="22"/>
        </w:rPr>
      </w:pPr>
      <w:r>
        <w:rPr>
          <w:rFonts w:hint="eastAsia" w:ascii="宋体" w:hAnsi="宋体"/>
          <w:sz w:val="22"/>
          <w:szCs w:val="22"/>
        </w:rPr>
        <w:t>9.1投标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采购代理机构或采购人对已发出的采购文件进行必要澄清、答复、修改或补充的，应当在采购文件要求提交投标文件截止时间前三个工作日（实质性内容有大的修改，需十五日），在“浙江省政府采购网”</w:t>
      </w:r>
      <w:r>
        <w:rPr>
          <w:rFonts w:hint="eastAsia" w:ascii="宋体" w:hAnsi="宋体" w:cs="Arial"/>
          <w:color w:val="000000"/>
          <w:sz w:val="22"/>
          <w:szCs w:val="22"/>
        </w:rPr>
        <w:t>(</w:t>
      </w:r>
      <w:r>
        <w:rPr>
          <w:rFonts w:ascii="宋体" w:hAnsi="宋体"/>
          <w:color w:val="0000FF"/>
          <w:sz w:val="22"/>
          <w:szCs w:val="22"/>
          <w:u w:val="single"/>
        </w:rPr>
        <w:t>http://zfcg.czt.zj.gov.cn/</w:t>
      </w:r>
      <w:r>
        <w:rPr>
          <w:rFonts w:hint="eastAsia" w:ascii="宋体" w:hAnsi="宋体" w:cs="Arial"/>
          <w:color w:val="000000"/>
          <w:sz w:val="22"/>
          <w:szCs w:val="22"/>
        </w:rPr>
        <w:t>)</w:t>
      </w:r>
      <w:r>
        <w:rPr>
          <w:rFonts w:hint="eastAsia" w:ascii="宋体" w:hAnsi="宋体"/>
          <w:sz w:val="22"/>
          <w:szCs w:val="22"/>
        </w:rPr>
        <w:t>政采云平台和宁波公共资源交易网镇海区分网</w:t>
      </w:r>
      <w:r>
        <w:rPr>
          <w:rFonts w:ascii="宋体" w:hAnsi="宋体"/>
          <w:sz w:val="22"/>
          <w:szCs w:val="22"/>
        </w:rPr>
        <w:fldChar w:fldCharType="begin"/>
      </w:r>
      <w:r>
        <w:rPr>
          <w:rFonts w:ascii="宋体" w:hAnsi="宋体"/>
          <w:sz w:val="22"/>
          <w:szCs w:val="22"/>
        </w:rPr>
        <w:instrText xml:space="preserve"> HYPERLINK "http://zhenhai.bidding.gov.cn" </w:instrText>
      </w:r>
      <w:r>
        <w:rPr>
          <w:rFonts w:ascii="宋体" w:hAnsi="宋体"/>
          <w:sz w:val="22"/>
          <w:szCs w:val="22"/>
        </w:rPr>
        <w:fldChar w:fldCharType="separate"/>
      </w:r>
      <w:r>
        <w:rPr>
          <w:rStyle w:val="62"/>
          <w:rFonts w:ascii="宋体" w:hAnsi="宋体"/>
          <w:sz w:val="22"/>
          <w:szCs w:val="22"/>
        </w:rPr>
        <w:t>http://zhenhai.bidding.gov.cn</w:t>
      </w:r>
      <w:r>
        <w:rPr>
          <w:rFonts w:ascii="宋体" w:hAnsi="宋体"/>
          <w:sz w:val="22"/>
          <w:szCs w:val="22"/>
        </w:rPr>
        <w:fldChar w:fldCharType="end"/>
      </w:r>
      <w:r>
        <w:rPr>
          <w:rFonts w:hint="eastAsia" w:ascii="宋体" w:hAnsi="宋体"/>
          <w:sz w:val="22"/>
          <w:szCs w:val="22"/>
        </w:rPr>
        <w:t>上发布更正公告，并告知所有采购文件收受人。</w:t>
      </w:r>
    </w:p>
    <w:p>
      <w:pPr>
        <w:spacing w:line="440" w:lineRule="exact"/>
        <w:ind w:firstLine="440" w:firstLineChars="200"/>
        <w:rPr>
          <w:rFonts w:ascii="宋体" w:hAnsi="宋体"/>
          <w:bCs/>
          <w:sz w:val="22"/>
          <w:szCs w:val="22"/>
        </w:rPr>
      </w:pPr>
      <w:r>
        <w:rPr>
          <w:rFonts w:hint="eastAsia" w:ascii="宋体" w:hAnsi="宋体"/>
          <w:sz w:val="22"/>
          <w:szCs w:val="22"/>
        </w:rPr>
        <w:t>9.2采购代理机构根据实际情况，以书面或采购信息发布媒体</w:t>
      </w:r>
      <w:r>
        <w:rPr>
          <w:rFonts w:hint="eastAsia" w:ascii="宋体" w:hAnsi="宋体" w:cs="Arial"/>
          <w:color w:val="000000"/>
          <w:sz w:val="22"/>
          <w:szCs w:val="22"/>
        </w:rPr>
        <w:t>浙江</w:t>
      </w:r>
      <w:r>
        <w:rPr>
          <w:rFonts w:ascii="宋体" w:hAnsi="宋体" w:cs="Arial"/>
          <w:color w:val="000000"/>
          <w:sz w:val="22"/>
          <w:szCs w:val="22"/>
        </w:rPr>
        <w:t>政府采购网</w:t>
      </w:r>
      <w:r>
        <w:rPr>
          <w:rFonts w:hint="eastAsia" w:ascii="宋体" w:hAnsi="宋体" w:cs="Arial"/>
          <w:color w:val="000000"/>
          <w:sz w:val="22"/>
          <w:szCs w:val="22"/>
        </w:rPr>
        <w:t>(</w:t>
      </w:r>
      <w:r>
        <w:rPr>
          <w:rFonts w:ascii="宋体" w:hAnsi="宋体"/>
          <w:color w:val="0000FF"/>
          <w:sz w:val="22"/>
          <w:szCs w:val="22"/>
          <w:u w:val="single"/>
        </w:rPr>
        <w:t>http://zfcg.czt.zj.gov.cn//</w:t>
      </w:r>
      <w:r>
        <w:rPr>
          <w:rFonts w:hint="eastAsia" w:ascii="宋体" w:hAnsi="宋体" w:cs="Arial"/>
          <w:color w:val="000000"/>
          <w:sz w:val="22"/>
          <w:szCs w:val="22"/>
        </w:rPr>
        <w:t>)和</w:t>
      </w:r>
      <w:r>
        <w:rPr>
          <w:rFonts w:hint="eastAsia" w:ascii="宋体" w:hAnsi="宋体"/>
          <w:sz w:val="22"/>
          <w:szCs w:val="22"/>
        </w:rPr>
        <w:t>宁波公共资源交易网镇海区分网</w:t>
      </w:r>
      <w:r>
        <w:rPr>
          <w:rFonts w:ascii="宋体" w:hAnsi="宋体"/>
          <w:sz w:val="22"/>
          <w:szCs w:val="22"/>
        </w:rPr>
        <w:fldChar w:fldCharType="begin"/>
      </w:r>
      <w:r>
        <w:rPr>
          <w:rFonts w:ascii="宋体" w:hAnsi="宋体"/>
          <w:sz w:val="22"/>
          <w:szCs w:val="22"/>
        </w:rPr>
        <w:instrText xml:space="preserve"> HYPERLINK "http://zhenhai.bidding.gov.cn" </w:instrText>
      </w:r>
      <w:r>
        <w:rPr>
          <w:rFonts w:ascii="宋体" w:hAnsi="宋体"/>
          <w:sz w:val="22"/>
          <w:szCs w:val="22"/>
        </w:rPr>
        <w:fldChar w:fldCharType="separate"/>
      </w:r>
      <w:r>
        <w:rPr>
          <w:rStyle w:val="62"/>
          <w:rFonts w:ascii="宋体" w:hAnsi="宋体"/>
          <w:sz w:val="22"/>
          <w:szCs w:val="22"/>
        </w:rPr>
        <w:t>http://zhenhai.bidding.gov.cn</w:t>
      </w:r>
      <w:r>
        <w:rPr>
          <w:rFonts w:ascii="宋体" w:hAnsi="宋体"/>
          <w:sz w:val="22"/>
          <w:szCs w:val="22"/>
        </w:rPr>
        <w:fldChar w:fldCharType="end"/>
      </w:r>
      <w:r>
        <w:rPr>
          <w:rFonts w:hint="eastAsia" w:ascii="宋体" w:hAnsi="宋体"/>
          <w:sz w:val="22"/>
          <w:szCs w:val="22"/>
        </w:rPr>
        <w:t>上发布的形式答复投标供应商要求澄清的问题，不包含问题来源。</w:t>
      </w:r>
    </w:p>
    <w:p>
      <w:pPr>
        <w:spacing w:line="440" w:lineRule="exact"/>
        <w:ind w:firstLine="440" w:firstLineChars="200"/>
        <w:rPr>
          <w:rFonts w:ascii="宋体" w:hAnsi="宋体"/>
          <w:sz w:val="22"/>
          <w:szCs w:val="22"/>
        </w:rPr>
      </w:pPr>
      <w:r>
        <w:rPr>
          <w:rFonts w:hint="eastAsia" w:ascii="宋体" w:hAnsi="宋体"/>
          <w:bCs/>
          <w:sz w:val="22"/>
          <w:szCs w:val="22"/>
        </w:rPr>
        <w:t>9.3</w:t>
      </w:r>
      <w:r>
        <w:rPr>
          <w:rFonts w:hint="eastAsia" w:ascii="宋体" w:hAnsi="宋体"/>
          <w:sz w:val="22"/>
          <w:szCs w:val="22"/>
        </w:rPr>
        <w:t>采购文件澄清、答复、修改、补充的内容为采购文件的组成部分。当采购文件与采购文件的答复、澄清、修改、补充通知就同一内容的表述不一致时，以最后发出的书面文件为准。</w:t>
      </w:r>
    </w:p>
    <w:p>
      <w:pPr>
        <w:spacing w:line="440" w:lineRule="exact"/>
        <w:ind w:firstLine="440" w:firstLineChars="200"/>
        <w:rPr>
          <w:rFonts w:ascii="宋体" w:hAnsi="宋体"/>
          <w:sz w:val="22"/>
          <w:szCs w:val="22"/>
        </w:rPr>
      </w:pPr>
      <w:r>
        <w:rPr>
          <w:rFonts w:hint="eastAsia" w:ascii="宋体" w:hAnsi="宋体"/>
          <w:sz w:val="22"/>
          <w:szCs w:val="22"/>
        </w:rPr>
        <w:t>9.4采购文件的澄清、答复、修改或补充都应该通过本代理机构以法定形式发布，采购人非通过本机构，不得擅自澄清、答复、修改或补充采购文件。</w:t>
      </w:r>
    </w:p>
    <w:p>
      <w:pPr>
        <w:pStyle w:val="3"/>
        <w:spacing w:before="0" w:after="0" w:line="440" w:lineRule="exact"/>
        <w:rPr>
          <w:rFonts w:ascii="宋体" w:hAnsi="宋体" w:eastAsia="宋体"/>
          <w:sz w:val="22"/>
          <w:szCs w:val="22"/>
        </w:rPr>
      </w:pPr>
      <w:bookmarkStart w:id="72" w:name="_Toc14965628"/>
      <w:r>
        <w:rPr>
          <w:rFonts w:hint="eastAsia" w:ascii="宋体" w:hAnsi="宋体" w:eastAsia="宋体"/>
          <w:sz w:val="22"/>
          <w:szCs w:val="22"/>
        </w:rPr>
        <w:t>10.对采购文件的异议和认同</w:t>
      </w:r>
      <w:bookmarkEnd w:id="72"/>
    </w:p>
    <w:p>
      <w:pPr>
        <w:spacing w:line="440" w:lineRule="exact"/>
        <w:ind w:firstLine="440" w:firstLineChars="200"/>
        <w:rPr>
          <w:rFonts w:ascii="宋体" w:hAnsi="宋体"/>
          <w:sz w:val="22"/>
          <w:szCs w:val="22"/>
        </w:rPr>
      </w:pPr>
      <w:r>
        <w:rPr>
          <w:rFonts w:hint="eastAsia" w:ascii="宋体" w:hAnsi="宋体"/>
          <w:sz w:val="22"/>
          <w:szCs w:val="22"/>
        </w:rPr>
        <w:t>10.1获取采购文件的潜在投标供应商对采购文件有异议，应自获取采购文件之日或者采购文件公告期限届满之日（公告期限届满后获取采购文件的，以公告期限届满之日为准）起7个工作日内提出。逾期提出的将不予受理。对采购文件的异议应有法定代表人签字或盖章，并盖投标供应商公章和注明日期。</w:t>
      </w:r>
    </w:p>
    <w:p>
      <w:pPr>
        <w:spacing w:line="440" w:lineRule="exact"/>
        <w:ind w:firstLine="440" w:firstLineChars="200"/>
        <w:rPr>
          <w:rFonts w:ascii="宋体" w:hAnsi="宋体"/>
          <w:sz w:val="22"/>
          <w:szCs w:val="22"/>
        </w:rPr>
      </w:pPr>
      <w:r>
        <w:rPr>
          <w:rFonts w:hint="eastAsia" w:ascii="宋体" w:hAnsi="宋体"/>
          <w:sz w:val="22"/>
          <w:szCs w:val="22"/>
        </w:rPr>
        <w:t>10.2没有提出异议且又参与了该项目的投标供应商将被视为完全认同本采购文件。</w:t>
      </w:r>
    </w:p>
    <w:p>
      <w:pPr>
        <w:pStyle w:val="3"/>
        <w:spacing w:before="0" w:after="0" w:line="440" w:lineRule="exact"/>
        <w:rPr>
          <w:rFonts w:ascii="宋体" w:hAnsi="宋体" w:eastAsia="宋体"/>
          <w:sz w:val="22"/>
          <w:szCs w:val="22"/>
        </w:rPr>
      </w:pPr>
      <w:bookmarkStart w:id="73" w:name="_Toc14965629"/>
      <w:r>
        <w:rPr>
          <w:rFonts w:hint="eastAsia" w:ascii="宋体" w:hAnsi="宋体" w:eastAsia="宋体"/>
          <w:sz w:val="22"/>
          <w:szCs w:val="22"/>
        </w:rPr>
        <w:t>11</w:t>
      </w:r>
      <w:r>
        <w:rPr>
          <w:rFonts w:ascii="宋体" w:hAnsi="宋体" w:eastAsia="宋体"/>
          <w:sz w:val="22"/>
          <w:szCs w:val="22"/>
        </w:rPr>
        <w:t>.</w:t>
      </w:r>
      <w:r>
        <w:rPr>
          <w:rFonts w:hint="eastAsia" w:ascii="宋体" w:hAnsi="宋体" w:eastAsia="宋体"/>
          <w:sz w:val="22"/>
          <w:szCs w:val="22"/>
        </w:rPr>
        <w:t>投标供应商的风险</w:t>
      </w:r>
      <w:bookmarkEnd w:id="73"/>
    </w:p>
    <w:p>
      <w:pPr>
        <w:spacing w:line="440" w:lineRule="exact"/>
        <w:ind w:firstLine="440" w:firstLineChars="200"/>
        <w:rPr>
          <w:rFonts w:hint="eastAsia" w:ascii="宋体" w:hAnsi="宋体"/>
          <w:sz w:val="22"/>
          <w:szCs w:val="22"/>
        </w:rPr>
      </w:pPr>
      <w:r>
        <w:rPr>
          <w:rFonts w:hint="eastAsia" w:ascii="宋体" w:hAnsi="宋体"/>
          <w:sz w:val="22"/>
          <w:szCs w:val="22"/>
        </w:rPr>
        <w:t>11.1投标供应商应仔细阅读采购文件的所有内容，按采购文件的要求提供投标文件，并保证投标文件的所有材料真实有效，以使其投标对采购文件作出实质性响应，否则，其投标可能被认为无效或拒绝，并按相关法律法规处理。</w:t>
      </w:r>
    </w:p>
    <w:p>
      <w:pPr>
        <w:spacing w:line="440" w:lineRule="exact"/>
        <w:ind w:firstLine="440" w:firstLineChars="200"/>
        <w:rPr>
          <w:rFonts w:hint="eastAsia" w:ascii="宋体" w:hAnsi="宋体"/>
          <w:sz w:val="22"/>
          <w:szCs w:val="22"/>
        </w:rPr>
      </w:pPr>
      <w:r>
        <w:rPr>
          <w:rFonts w:hint="eastAsia" w:ascii="宋体" w:hAnsi="宋体"/>
          <w:sz w:val="22"/>
          <w:szCs w:val="22"/>
        </w:rPr>
        <w:t>11.2各投标供应商认真阅读采购文件中的内容后，对已投标的投标供应商视为完全理解其中的各项内容。</w:t>
      </w:r>
    </w:p>
    <w:p>
      <w:pPr>
        <w:spacing w:line="440" w:lineRule="exact"/>
        <w:ind w:firstLine="440" w:firstLineChars="200"/>
        <w:rPr>
          <w:rFonts w:ascii="宋体" w:hAnsi="宋体"/>
          <w:b/>
          <w:sz w:val="22"/>
          <w:szCs w:val="22"/>
          <w:u w:val="single"/>
        </w:rPr>
      </w:pPr>
      <w:r>
        <w:rPr>
          <w:rFonts w:hint="eastAsia" w:ascii="宋体" w:hAnsi="宋体"/>
          <w:sz w:val="22"/>
          <w:szCs w:val="22"/>
        </w:rPr>
        <w:t>11.3本采购文件中标注</w:t>
      </w:r>
      <w:r>
        <w:rPr>
          <w:rFonts w:hint="eastAsia" w:ascii="宋体" w:hAnsi="宋体"/>
          <w:b/>
          <w:sz w:val="22"/>
          <w:szCs w:val="22"/>
          <w:u w:val="single"/>
        </w:rPr>
        <w:t>“★”的为重要指标，若不满足则被评标委员认为不响应标书要求，视作无效标。</w:t>
      </w:r>
    </w:p>
    <w:p>
      <w:pPr>
        <w:spacing w:line="440" w:lineRule="exact"/>
        <w:ind w:firstLine="440" w:firstLineChars="200"/>
        <w:rPr>
          <w:rFonts w:ascii="宋体" w:hAnsi="宋体"/>
          <w:sz w:val="22"/>
          <w:szCs w:val="22"/>
        </w:rPr>
      </w:pPr>
      <w:r>
        <w:rPr>
          <w:rFonts w:hint="eastAsia" w:ascii="宋体" w:hAnsi="宋体"/>
          <w:sz w:val="22"/>
          <w:szCs w:val="22"/>
        </w:rPr>
        <w:t>11.4投标供应商须对所投标产品、方案、技术、服务等拥有合法的占有、使用、收益、处分的权利， 并对涉及项目的所有内容可能侵权行为指控负责，保证不伤害采购人的利益。在法律范围内，如果出现文字、图片、商标和技术等侵权行为而造成的纠纷和产生的一切费用，采购人概不负责，由此给采购人造成损失的，投标供应商应承担相应后果，并负责赔偿。投标供应商为执行本项目合同而提供的技术资料等归采购人所有。</w:t>
      </w:r>
    </w:p>
    <w:p>
      <w:pPr>
        <w:spacing w:line="440" w:lineRule="exact"/>
        <w:ind w:firstLine="440" w:firstLineChars="200"/>
        <w:rPr>
          <w:rFonts w:hint="eastAsia" w:ascii="宋体" w:hAnsi="宋体"/>
          <w:sz w:val="22"/>
          <w:szCs w:val="22"/>
        </w:rPr>
      </w:pPr>
      <w:r>
        <w:rPr>
          <w:rFonts w:hint="eastAsia" w:ascii="宋体" w:hAnsi="宋体"/>
          <w:sz w:val="22"/>
          <w:szCs w:val="22"/>
        </w:rPr>
        <w:t>11.5投标供应商在投标活动中提供任何虚假材料,其投标无效，并报监管部门查处；中标后发现的,中标人须依照《中华人民共和国消费者权益保护法》第49条之规定双倍赔偿采购人，且民事赔偿并不免除违法投标供应商的行政与刑事责任。</w:t>
      </w:r>
    </w:p>
    <w:p>
      <w:pPr>
        <w:pStyle w:val="3"/>
        <w:spacing w:before="0" w:after="0" w:line="440" w:lineRule="exact"/>
        <w:rPr>
          <w:rFonts w:ascii="宋体" w:hAnsi="宋体" w:eastAsia="宋体"/>
          <w:sz w:val="22"/>
          <w:szCs w:val="22"/>
        </w:rPr>
      </w:pPr>
      <w:bookmarkStart w:id="74" w:name="_Toc14965630"/>
      <w:r>
        <w:rPr>
          <w:rFonts w:hint="eastAsia" w:ascii="宋体" w:hAnsi="宋体" w:eastAsia="宋体"/>
          <w:sz w:val="22"/>
          <w:szCs w:val="22"/>
        </w:rPr>
        <w:t>12</w:t>
      </w:r>
      <w:r>
        <w:rPr>
          <w:rFonts w:ascii="宋体" w:hAnsi="宋体" w:eastAsia="宋体"/>
          <w:sz w:val="22"/>
          <w:szCs w:val="22"/>
        </w:rPr>
        <w:t>.</w:t>
      </w:r>
      <w:r>
        <w:rPr>
          <w:rFonts w:hint="eastAsia" w:ascii="宋体" w:hAnsi="宋体" w:eastAsia="宋体"/>
          <w:sz w:val="22"/>
          <w:szCs w:val="22"/>
        </w:rPr>
        <w:t>投标文件的语言及计量</w:t>
      </w:r>
      <w:bookmarkEnd w:id="74"/>
    </w:p>
    <w:p>
      <w:pPr>
        <w:spacing w:line="440" w:lineRule="exact"/>
        <w:ind w:firstLine="440" w:firstLineChars="200"/>
        <w:rPr>
          <w:rFonts w:ascii="宋体" w:hAnsi="宋体"/>
          <w:sz w:val="22"/>
          <w:szCs w:val="22"/>
        </w:rPr>
      </w:pPr>
      <w:r>
        <w:rPr>
          <w:rFonts w:hint="eastAsia" w:ascii="宋体" w:hAnsi="宋体"/>
          <w:sz w:val="22"/>
          <w:szCs w:val="22"/>
        </w:rPr>
        <w:t>12</w:t>
      </w:r>
      <w:r>
        <w:rPr>
          <w:rFonts w:ascii="宋体" w:hAnsi="宋体"/>
          <w:sz w:val="22"/>
          <w:szCs w:val="22"/>
        </w:rPr>
        <w:t>.</w:t>
      </w:r>
      <w:r>
        <w:rPr>
          <w:rFonts w:hint="eastAsia" w:ascii="宋体" w:hAnsi="宋体"/>
          <w:sz w:val="22"/>
          <w:szCs w:val="22"/>
        </w:rPr>
        <w:t>1投标计量单位，采购文件已有明确规定的，使用采购文件规定的计量单位；采购文件没有规定的，应采用中华人民共和国法定计量单位（货币单位：人民币元），否则视同未响应。</w:t>
      </w:r>
    </w:p>
    <w:p>
      <w:pPr>
        <w:spacing w:line="440" w:lineRule="exact"/>
        <w:ind w:firstLine="440" w:firstLineChars="200"/>
        <w:rPr>
          <w:rFonts w:ascii="宋体" w:hAnsi="宋体"/>
          <w:sz w:val="22"/>
          <w:szCs w:val="22"/>
        </w:rPr>
      </w:pPr>
      <w:r>
        <w:rPr>
          <w:rFonts w:hint="eastAsia" w:ascii="宋体" w:hAnsi="宋体"/>
          <w:sz w:val="22"/>
          <w:szCs w:val="22"/>
        </w:rPr>
        <w:t>12.2投标文件以及投标方与采购方就有关投标事宜的所有来往函电，均应以中文汉语书写。除签名、盖章、专用名称等特殊情形外，以中文汉语以外的文字表述的投标文件视同未提供。</w:t>
      </w:r>
    </w:p>
    <w:p>
      <w:pPr>
        <w:pStyle w:val="3"/>
        <w:spacing w:before="0" w:after="0" w:line="440" w:lineRule="exact"/>
        <w:rPr>
          <w:rFonts w:hint="eastAsia" w:ascii="宋体" w:hAnsi="宋体" w:eastAsia="宋体"/>
          <w:sz w:val="22"/>
          <w:szCs w:val="22"/>
          <w:lang w:eastAsia="zh-CN"/>
        </w:rPr>
      </w:pPr>
      <w:bookmarkStart w:id="75" w:name="_Toc14965631"/>
      <w:r>
        <w:rPr>
          <w:rFonts w:hint="eastAsia" w:ascii="宋体" w:hAnsi="宋体" w:eastAsia="宋体"/>
          <w:sz w:val="22"/>
          <w:szCs w:val="22"/>
        </w:rPr>
        <w:t>13、投标文件的组成</w:t>
      </w:r>
      <w:bookmarkEnd w:id="75"/>
    </w:p>
    <w:p>
      <w:pPr>
        <w:adjustRightInd w:val="0"/>
        <w:snapToGrid w:val="0"/>
        <w:spacing w:line="440" w:lineRule="exact"/>
        <w:ind w:firstLine="433" w:firstLineChars="196"/>
        <w:rPr>
          <w:rFonts w:hint="eastAsia" w:ascii="宋体" w:hAnsi="宋体"/>
          <w:b/>
          <w:bCs/>
          <w:sz w:val="22"/>
          <w:szCs w:val="22"/>
          <w:u w:val="single"/>
        </w:rPr>
      </w:pPr>
      <w:r>
        <w:rPr>
          <w:rFonts w:hint="eastAsia" w:ascii="宋体" w:hAnsi="宋体"/>
          <w:b/>
          <w:sz w:val="22"/>
          <w:szCs w:val="22"/>
          <w:u w:val="single"/>
        </w:rPr>
        <w:t>13.1资信商务文件主要包括下列内容：</w:t>
      </w:r>
      <w:r>
        <w:rPr>
          <w:rFonts w:hint="eastAsia" w:ascii="宋体" w:hAnsi="宋体"/>
          <w:b/>
          <w:bCs/>
          <w:sz w:val="22"/>
          <w:szCs w:val="22"/>
          <w:u w:val="single"/>
        </w:rPr>
        <w:t>但不限于。</w:t>
      </w:r>
    </w:p>
    <w:p>
      <w:pPr>
        <w:widowControl/>
        <w:spacing w:line="440" w:lineRule="exact"/>
        <w:ind w:firstLine="440" w:firstLineChars="200"/>
        <w:jc w:val="left"/>
        <w:rPr>
          <w:rFonts w:hint="eastAsia" w:ascii="宋体" w:hAnsi="宋体"/>
          <w:sz w:val="22"/>
          <w:szCs w:val="22"/>
        </w:rPr>
      </w:pPr>
      <w:r>
        <w:rPr>
          <w:rFonts w:hint="eastAsia" w:ascii="宋体" w:hAnsi="宋体"/>
          <w:sz w:val="22"/>
          <w:szCs w:val="22"/>
        </w:rPr>
        <w:t>1、投标声明书（格式详见第七部分 投标文件格式）；</w:t>
      </w:r>
    </w:p>
    <w:p>
      <w:pPr>
        <w:widowControl/>
        <w:spacing w:line="440" w:lineRule="exact"/>
        <w:ind w:firstLine="440" w:firstLineChars="200"/>
        <w:jc w:val="left"/>
        <w:rPr>
          <w:rFonts w:hint="eastAsia" w:ascii="宋体" w:hAnsi="宋体"/>
          <w:sz w:val="22"/>
          <w:szCs w:val="22"/>
        </w:rPr>
      </w:pPr>
      <w:r>
        <w:rPr>
          <w:rFonts w:hint="eastAsia" w:ascii="宋体" w:hAnsi="宋体"/>
          <w:sz w:val="22"/>
          <w:szCs w:val="22"/>
        </w:rPr>
        <w:t>2、符合《中华人民共和国政府采购法》第二十二条规定的供应商资格条件，提供以下材料：</w:t>
      </w:r>
    </w:p>
    <w:p>
      <w:pPr>
        <w:spacing w:line="440" w:lineRule="exact"/>
        <w:ind w:firstLine="440" w:firstLineChars="200"/>
        <w:rPr>
          <w:rFonts w:hint="eastAsia" w:ascii="宋体" w:hAnsi="宋体"/>
          <w:sz w:val="22"/>
          <w:szCs w:val="22"/>
        </w:rPr>
      </w:pPr>
      <w:r>
        <w:rPr>
          <w:rFonts w:hint="eastAsia" w:ascii="宋体" w:hAnsi="宋体"/>
          <w:sz w:val="22"/>
          <w:szCs w:val="22"/>
        </w:rPr>
        <w:t>（1）有效的企业法人营业执照复印件（或事业法人登记证）；</w:t>
      </w:r>
    </w:p>
    <w:p>
      <w:pPr>
        <w:spacing w:line="440" w:lineRule="exact"/>
        <w:ind w:firstLine="440" w:firstLineChars="200"/>
        <w:rPr>
          <w:rFonts w:hint="eastAsia" w:ascii="宋体" w:hAnsi="宋体"/>
          <w:sz w:val="22"/>
          <w:szCs w:val="22"/>
        </w:rPr>
      </w:pPr>
      <w:r>
        <w:rPr>
          <w:rFonts w:hint="eastAsia" w:ascii="宋体" w:hAnsi="宋体"/>
          <w:sz w:val="22"/>
          <w:szCs w:val="22"/>
        </w:rPr>
        <w:t>（2）2019年财务状况报告复印件，其他组织或供应商新成立不足一年，提供银行出具的资信证明材料复印件；</w:t>
      </w:r>
    </w:p>
    <w:p>
      <w:pPr>
        <w:spacing w:line="440" w:lineRule="exact"/>
        <w:ind w:firstLine="440" w:firstLineChars="200"/>
        <w:rPr>
          <w:rFonts w:hint="eastAsia" w:ascii="宋体" w:hAnsi="宋体"/>
          <w:sz w:val="22"/>
          <w:szCs w:val="22"/>
        </w:rPr>
      </w:pPr>
      <w:r>
        <w:rPr>
          <w:rFonts w:hint="eastAsia" w:ascii="宋体" w:hAnsi="宋体"/>
          <w:sz w:val="22"/>
          <w:szCs w:val="22"/>
        </w:rPr>
        <w:t>（3）2020年开具的缴纳税收的凭据证明材料复印件；如依法免税的，应提供相应文件证明其依法免税；</w:t>
      </w:r>
    </w:p>
    <w:p>
      <w:pPr>
        <w:spacing w:line="440" w:lineRule="exact"/>
        <w:ind w:firstLine="440" w:firstLineChars="200"/>
        <w:rPr>
          <w:rFonts w:hint="eastAsia" w:ascii="宋体" w:hAnsi="宋体"/>
          <w:sz w:val="22"/>
          <w:szCs w:val="22"/>
        </w:rPr>
      </w:pPr>
      <w:r>
        <w:rPr>
          <w:rFonts w:hint="eastAsia" w:ascii="宋体" w:hAnsi="宋体"/>
          <w:sz w:val="22"/>
          <w:szCs w:val="22"/>
        </w:rPr>
        <w:t>（4）2020年开具的缴纳社会保险的凭据证明材料复印件；如依法不需要缴纳社会保障资金的，应提供相应文件证明其依法不需要缴纳社会保障资金；</w:t>
      </w:r>
    </w:p>
    <w:p>
      <w:pPr>
        <w:spacing w:line="440" w:lineRule="exact"/>
        <w:ind w:firstLine="440" w:firstLineChars="200"/>
        <w:rPr>
          <w:rFonts w:hint="eastAsia" w:ascii="宋体" w:hAnsi="宋体"/>
          <w:sz w:val="22"/>
          <w:szCs w:val="22"/>
        </w:rPr>
      </w:pPr>
      <w:r>
        <w:rPr>
          <w:rFonts w:hint="eastAsia" w:ascii="宋体" w:hAnsi="宋体"/>
          <w:sz w:val="22"/>
          <w:szCs w:val="22"/>
        </w:rPr>
        <w:t>（5）提供</w:t>
      </w:r>
      <w:r>
        <w:rPr>
          <w:rFonts w:ascii="宋体" w:hAnsi="宋体"/>
          <w:sz w:val="22"/>
          <w:szCs w:val="22"/>
        </w:rPr>
        <w:t>具有履行合同所必需的设备和专业技术能力</w:t>
      </w:r>
      <w:r>
        <w:rPr>
          <w:rFonts w:hint="eastAsia" w:ascii="宋体" w:hAnsi="宋体"/>
          <w:sz w:val="22"/>
          <w:szCs w:val="22"/>
        </w:rPr>
        <w:t>的书面声明（格式详见第七部分 投标文件格式）；</w:t>
      </w:r>
    </w:p>
    <w:p>
      <w:pPr>
        <w:spacing w:line="440" w:lineRule="exact"/>
        <w:ind w:firstLine="440" w:firstLineChars="200"/>
        <w:rPr>
          <w:rFonts w:hint="eastAsia" w:ascii="宋体" w:hAnsi="宋体"/>
          <w:sz w:val="22"/>
          <w:szCs w:val="22"/>
        </w:rPr>
      </w:pPr>
      <w:r>
        <w:rPr>
          <w:rFonts w:hint="eastAsia" w:ascii="宋体" w:hAnsi="宋体"/>
          <w:sz w:val="22"/>
          <w:szCs w:val="22"/>
        </w:rPr>
        <w:t>（6）提供参加政府采购活动前</w:t>
      </w:r>
      <w:r>
        <w:rPr>
          <w:rFonts w:ascii="宋体" w:hAnsi="宋体"/>
          <w:sz w:val="22"/>
          <w:szCs w:val="22"/>
        </w:rPr>
        <w:t>3</w:t>
      </w:r>
      <w:r>
        <w:rPr>
          <w:rFonts w:hint="eastAsia" w:ascii="宋体" w:hAnsi="宋体"/>
          <w:sz w:val="22"/>
          <w:szCs w:val="22"/>
        </w:rPr>
        <w:t>年内在经营活动中没有重大违法记录的书面声明（格式详见第七部分 投标文件格式）；</w:t>
      </w:r>
    </w:p>
    <w:p>
      <w:pPr>
        <w:pStyle w:val="26"/>
        <w:spacing w:line="440" w:lineRule="exact"/>
        <w:ind w:firstLine="440" w:firstLineChars="200"/>
        <w:rPr>
          <w:rFonts w:hint="eastAsia" w:hAnsi="宋体"/>
          <w:sz w:val="22"/>
          <w:szCs w:val="22"/>
          <w:lang w:val="en-US" w:eastAsia="zh-CN"/>
        </w:rPr>
      </w:pPr>
      <w:r>
        <w:rPr>
          <w:rFonts w:hint="eastAsia" w:hAnsi="宋体"/>
          <w:sz w:val="22"/>
          <w:szCs w:val="22"/>
          <w:lang w:eastAsia="zh-CN"/>
        </w:rPr>
        <w:t>3、</w:t>
      </w:r>
      <w:r>
        <w:rPr>
          <w:rFonts w:hint="eastAsia" w:hAnsi="宋体"/>
          <w:sz w:val="22"/>
          <w:szCs w:val="22"/>
        </w:rPr>
        <w:t>法定代表人身份证明或法定代表人授权委托书（格式详见第七部分 投标文件格式）</w:t>
      </w:r>
      <w:r>
        <w:rPr>
          <w:rFonts w:hint="eastAsia" w:hAnsi="宋体"/>
          <w:sz w:val="22"/>
          <w:szCs w:val="22"/>
          <w:lang w:eastAsia="zh-CN"/>
        </w:rPr>
        <w:t>；</w:t>
      </w:r>
      <w:r>
        <w:rPr>
          <w:rFonts w:hint="eastAsia" w:hAnsi="宋体"/>
          <w:sz w:val="22"/>
          <w:szCs w:val="22"/>
          <w:lang w:val="en-US" w:eastAsia="zh-CN"/>
        </w:rPr>
        <w:t xml:space="preserve">  </w:t>
      </w:r>
    </w:p>
    <w:p>
      <w:pPr>
        <w:widowControl/>
        <w:spacing w:line="440" w:lineRule="exact"/>
        <w:ind w:firstLine="440" w:firstLineChars="200"/>
        <w:jc w:val="left"/>
        <w:rPr>
          <w:rFonts w:hint="eastAsia" w:ascii="宋体" w:hAnsi="宋体"/>
          <w:sz w:val="22"/>
          <w:szCs w:val="22"/>
        </w:rPr>
      </w:pPr>
      <w:r>
        <w:rPr>
          <w:rFonts w:hint="eastAsia" w:ascii="宋体" w:hAnsi="宋体" w:cs="宋体"/>
          <w:sz w:val="22"/>
          <w:szCs w:val="22"/>
        </w:rPr>
        <w:t>4、商业贿赂行为承诺书</w:t>
      </w:r>
      <w:r>
        <w:rPr>
          <w:rFonts w:hint="eastAsia" w:ascii="宋体" w:hAnsi="宋体"/>
          <w:sz w:val="22"/>
          <w:szCs w:val="22"/>
        </w:rPr>
        <w:t>（格式详见第七部分 投标文件格式）</w:t>
      </w:r>
      <w:r>
        <w:rPr>
          <w:rFonts w:hint="eastAsia" w:ascii="宋体" w:hAnsi="宋体" w:cs="宋体"/>
          <w:sz w:val="22"/>
          <w:szCs w:val="22"/>
        </w:rPr>
        <w:t>；</w:t>
      </w:r>
    </w:p>
    <w:p>
      <w:pPr>
        <w:widowControl/>
        <w:spacing w:line="440" w:lineRule="exact"/>
        <w:ind w:firstLine="440" w:firstLineChars="200"/>
        <w:jc w:val="left"/>
        <w:rPr>
          <w:rFonts w:hint="eastAsia" w:ascii="宋体" w:hAnsi="宋体"/>
          <w:sz w:val="22"/>
          <w:szCs w:val="22"/>
        </w:rPr>
      </w:pPr>
      <w:r>
        <w:rPr>
          <w:rFonts w:hint="eastAsia" w:ascii="宋体" w:hAnsi="宋体"/>
          <w:sz w:val="22"/>
          <w:szCs w:val="22"/>
        </w:rPr>
        <w:t>5、服务条款偏离表（格式详见第七部分 投标文件格式）；</w:t>
      </w:r>
      <w:r>
        <w:rPr>
          <w:rFonts w:hint="eastAsia" w:ascii="宋体" w:hAnsi="宋体"/>
          <w:sz w:val="22"/>
          <w:szCs w:val="22"/>
        </w:rPr>
        <w:tab/>
      </w:r>
    </w:p>
    <w:p>
      <w:pPr>
        <w:widowControl/>
        <w:spacing w:line="440" w:lineRule="exact"/>
        <w:ind w:firstLine="440" w:firstLineChars="200"/>
        <w:jc w:val="left"/>
        <w:rPr>
          <w:rFonts w:hint="eastAsia" w:ascii="宋体" w:hAnsi="宋体"/>
          <w:sz w:val="22"/>
          <w:szCs w:val="22"/>
        </w:rPr>
      </w:pPr>
      <w:r>
        <w:rPr>
          <w:rFonts w:hint="eastAsia" w:ascii="宋体" w:hAnsi="宋体"/>
          <w:sz w:val="22"/>
          <w:szCs w:val="22"/>
        </w:rPr>
        <w:t>6、商务条款偏离表（格式详见第七部分 投标文件格式）；</w:t>
      </w:r>
    </w:p>
    <w:p>
      <w:pPr>
        <w:widowControl/>
        <w:spacing w:line="440" w:lineRule="exact"/>
        <w:ind w:firstLine="440" w:firstLineChars="200"/>
        <w:jc w:val="left"/>
        <w:rPr>
          <w:rFonts w:hint="eastAsia" w:ascii="宋体" w:hAnsi="宋体"/>
          <w:sz w:val="22"/>
          <w:szCs w:val="22"/>
        </w:rPr>
      </w:pPr>
      <w:r>
        <w:rPr>
          <w:rFonts w:hint="eastAsia" w:ascii="宋体" w:hAnsi="宋体"/>
          <w:sz w:val="22"/>
          <w:szCs w:val="22"/>
        </w:rPr>
        <w:t>7、根据资信商务标评审内容需提供的相应证明资料复印件（如: 投标人的资格（质）证书、荣誉证书、体系认证证书、类似项目业绩，如有）；</w:t>
      </w:r>
    </w:p>
    <w:p>
      <w:pPr>
        <w:adjustRightInd w:val="0"/>
        <w:snapToGrid w:val="0"/>
        <w:spacing w:line="440" w:lineRule="exact"/>
        <w:ind w:firstLine="431" w:firstLineChars="196"/>
        <w:rPr>
          <w:rFonts w:hint="eastAsia" w:ascii="宋体" w:hAnsi="宋体"/>
          <w:bCs/>
          <w:sz w:val="22"/>
          <w:szCs w:val="22"/>
        </w:rPr>
      </w:pPr>
      <w:r>
        <w:rPr>
          <w:rFonts w:hint="eastAsia" w:ascii="宋体" w:hAnsi="宋体"/>
          <w:bCs/>
          <w:sz w:val="22"/>
          <w:szCs w:val="22"/>
        </w:rPr>
        <w:t>8、</w:t>
      </w:r>
      <w:r>
        <w:rPr>
          <w:rFonts w:hint="eastAsia" w:ascii="宋体" w:hAnsi="宋体"/>
          <w:sz w:val="22"/>
          <w:szCs w:val="22"/>
        </w:rPr>
        <w:t>根据评审需要或采购文件要求,投标人自行考虑需提供的资料（如有）。</w:t>
      </w:r>
    </w:p>
    <w:p>
      <w:pPr>
        <w:pStyle w:val="26"/>
        <w:spacing w:line="440" w:lineRule="exact"/>
        <w:ind w:firstLine="442" w:firstLineChars="200"/>
        <w:rPr>
          <w:rFonts w:hint="eastAsia" w:hAnsi="宋体"/>
          <w:sz w:val="22"/>
          <w:szCs w:val="22"/>
          <w:lang w:eastAsia="zh-CN"/>
        </w:rPr>
      </w:pPr>
      <w:r>
        <w:rPr>
          <w:rFonts w:hint="eastAsia" w:hAnsi="宋体"/>
          <w:b/>
          <w:sz w:val="22"/>
          <w:szCs w:val="22"/>
          <w:lang w:eastAsia="zh-CN"/>
        </w:rPr>
        <w:t>13.2</w:t>
      </w:r>
      <w:r>
        <w:rPr>
          <w:rFonts w:hint="eastAsia" w:hAnsi="宋体" w:cs="Arial"/>
          <w:b/>
          <w:sz w:val="22"/>
          <w:szCs w:val="22"/>
          <w:u w:val="single"/>
        </w:rPr>
        <w:t>技术文件</w:t>
      </w:r>
      <w:r>
        <w:rPr>
          <w:rFonts w:hint="eastAsia" w:hAnsi="宋体" w:cs="Arial"/>
          <w:b/>
          <w:sz w:val="22"/>
          <w:szCs w:val="22"/>
          <w:u w:val="single"/>
          <w:lang w:eastAsia="zh-CN"/>
        </w:rPr>
        <w:t>编制说明：</w:t>
      </w:r>
      <w:r>
        <w:rPr>
          <w:rFonts w:hint="eastAsia" w:hAnsi="宋体" w:cs="Arial"/>
          <w:b/>
          <w:sz w:val="22"/>
          <w:szCs w:val="22"/>
          <w:u w:val="single"/>
        </w:rPr>
        <w:t>技术文件</w:t>
      </w:r>
      <w:r>
        <w:rPr>
          <w:rFonts w:hint="eastAsia" w:hAnsi="宋体" w:cs="Arial"/>
          <w:b/>
          <w:sz w:val="22"/>
          <w:szCs w:val="22"/>
          <w:u w:val="single"/>
          <w:lang w:eastAsia="zh-CN"/>
        </w:rPr>
        <w:t>为明标，</w:t>
      </w:r>
      <w:r>
        <w:rPr>
          <w:rFonts w:hint="eastAsia" w:hAnsi="宋体" w:cs="Arial"/>
          <w:b/>
          <w:sz w:val="22"/>
          <w:szCs w:val="22"/>
          <w:u w:val="single"/>
        </w:rPr>
        <w:t>无固定格式，由各投标人依据评标办法自行编写</w:t>
      </w:r>
      <w:r>
        <w:rPr>
          <w:rFonts w:hint="eastAsia" w:hAnsi="宋体" w:cs="Arial"/>
          <w:b/>
          <w:sz w:val="22"/>
          <w:szCs w:val="22"/>
          <w:u w:val="single"/>
          <w:lang w:eastAsia="zh-CN"/>
        </w:rPr>
        <w:t>，应编制目录，根据评标办法的顺序编制以便评委逐一核对评审。</w:t>
      </w:r>
      <w:r>
        <w:rPr>
          <w:rFonts w:hint="eastAsia" w:hAnsi="宋体"/>
          <w:sz w:val="22"/>
          <w:szCs w:val="22"/>
        </w:rPr>
        <w:t>技术标建议篇幅不宜过长，建议页数不超过150页为宜（A3或A4不限，单双面不限），相关证书复印件页数不计算在内。</w:t>
      </w:r>
    </w:p>
    <w:p>
      <w:pPr>
        <w:adjustRightInd w:val="0"/>
        <w:snapToGrid w:val="0"/>
        <w:spacing w:line="440" w:lineRule="exact"/>
        <w:ind w:firstLine="433" w:firstLineChars="196"/>
        <w:rPr>
          <w:rFonts w:hint="eastAsia" w:ascii="宋体" w:hAnsi="宋体"/>
          <w:b/>
          <w:bCs/>
          <w:sz w:val="22"/>
          <w:szCs w:val="22"/>
        </w:rPr>
      </w:pPr>
      <w:r>
        <w:rPr>
          <w:rFonts w:hint="eastAsia" w:ascii="宋体" w:hAnsi="宋体"/>
          <w:b/>
          <w:sz w:val="22"/>
          <w:szCs w:val="22"/>
        </w:rPr>
        <w:t>13.3报价文件主要包括下列内容：</w:t>
      </w:r>
      <w:r>
        <w:rPr>
          <w:rFonts w:hint="eastAsia" w:ascii="宋体" w:hAnsi="宋体"/>
          <w:b/>
          <w:bCs/>
          <w:sz w:val="22"/>
          <w:szCs w:val="22"/>
        </w:rPr>
        <w:t>但不限于。</w:t>
      </w:r>
    </w:p>
    <w:p>
      <w:pPr>
        <w:spacing w:line="440" w:lineRule="exact"/>
        <w:ind w:firstLine="440" w:firstLineChars="200"/>
        <w:rPr>
          <w:rFonts w:hint="eastAsia" w:ascii="宋体" w:hAnsi="宋体" w:cs="宋体"/>
          <w:kern w:val="0"/>
          <w:sz w:val="22"/>
          <w:szCs w:val="22"/>
        </w:rPr>
      </w:pPr>
      <w:r>
        <w:rPr>
          <w:rFonts w:hint="eastAsia" w:ascii="宋体" w:hAnsi="宋体" w:cs="宋体"/>
          <w:kern w:val="0"/>
          <w:sz w:val="22"/>
          <w:szCs w:val="22"/>
        </w:rPr>
        <w:t>1、投标响应函</w:t>
      </w:r>
      <w:r>
        <w:rPr>
          <w:rFonts w:hint="eastAsia" w:ascii="宋体" w:hAnsi="宋体"/>
          <w:sz w:val="22"/>
          <w:szCs w:val="22"/>
        </w:rPr>
        <w:t>（格式详见第七部分 投标文件格式）</w:t>
      </w:r>
      <w:r>
        <w:rPr>
          <w:rFonts w:hint="eastAsia" w:ascii="宋体" w:hAnsi="宋体" w:cs="宋体"/>
          <w:kern w:val="0"/>
          <w:sz w:val="22"/>
          <w:szCs w:val="22"/>
        </w:rPr>
        <w:t>；</w:t>
      </w:r>
    </w:p>
    <w:p>
      <w:pPr>
        <w:spacing w:line="440" w:lineRule="exact"/>
        <w:ind w:firstLine="440" w:firstLineChars="200"/>
        <w:rPr>
          <w:rFonts w:hint="eastAsia" w:ascii="宋体" w:hAnsi="宋体" w:cs="宋体"/>
          <w:kern w:val="0"/>
          <w:sz w:val="22"/>
          <w:szCs w:val="22"/>
        </w:rPr>
      </w:pPr>
      <w:r>
        <w:rPr>
          <w:rFonts w:hint="eastAsia" w:ascii="宋体" w:hAnsi="宋体" w:cs="宋体"/>
          <w:kern w:val="0"/>
          <w:sz w:val="22"/>
          <w:szCs w:val="22"/>
        </w:rPr>
        <w:t>2、开标一览表</w:t>
      </w:r>
      <w:r>
        <w:rPr>
          <w:rFonts w:hint="eastAsia" w:ascii="宋体" w:hAnsi="宋体"/>
          <w:sz w:val="22"/>
          <w:szCs w:val="22"/>
        </w:rPr>
        <w:t>（格式详见第七部分 投标文件格式）</w:t>
      </w:r>
      <w:r>
        <w:rPr>
          <w:rFonts w:hint="eastAsia" w:ascii="宋体" w:hAnsi="宋体" w:cs="宋体"/>
          <w:kern w:val="0"/>
          <w:sz w:val="22"/>
          <w:szCs w:val="22"/>
        </w:rPr>
        <w:t>；</w:t>
      </w:r>
    </w:p>
    <w:p>
      <w:pPr>
        <w:spacing w:line="440" w:lineRule="exact"/>
        <w:ind w:firstLine="440" w:firstLineChars="200"/>
        <w:rPr>
          <w:rFonts w:hint="eastAsia" w:ascii="宋体" w:hAnsi="宋体" w:cs="宋体"/>
          <w:kern w:val="0"/>
          <w:sz w:val="22"/>
          <w:szCs w:val="22"/>
        </w:rPr>
      </w:pPr>
      <w:r>
        <w:rPr>
          <w:rFonts w:hint="eastAsia" w:ascii="宋体" w:hAnsi="宋体" w:cs="宋体"/>
          <w:kern w:val="0"/>
          <w:sz w:val="22"/>
          <w:szCs w:val="22"/>
        </w:rPr>
        <w:t>3、投标分项报价表（格式详见第七部分 投标文件格式）；</w:t>
      </w:r>
    </w:p>
    <w:p>
      <w:pPr>
        <w:spacing w:line="440" w:lineRule="exact"/>
        <w:ind w:firstLine="440" w:firstLineChars="200"/>
        <w:rPr>
          <w:rFonts w:hint="eastAsia" w:ascii="宋体" w:hAnsi="宋体"/>
          <w:sz w:val="22"/>
          <w:szCs w:val="22"/>
        </w:rPr>
      </w:pPr>
      <w:r>
        <w:rPr>
          <w:rFonts w:hint="eastAsia" w:ascii="宋体" w:hAnsi="宋体" w:cs="宋体"/>
          <w:kern w:val="0"/>
          <w:sz w:val="22"/>
          <w:szCs w:val="22"/>
        </w:rPr>
        <w:t>4、</w:t>
      </w:r>
      <w:r>
        <w:rPr>
          <w:rFonts w:hint="eastAsia" w:ascii="宋体" w:hAnsi="宋体" w:cs="Arial"/>
          <w:sz w:val="22"/>
          <w:szCs w:val="22"/>
        </w:rPr>
        <w:t>中小企业声明函</w:t>
      </w:r>
      <w:r>
        <w:rPr>
          <w:rFonts w:hint="eastAsia" w:ascii="宋体" w:hAnsi="宋体"/>
          <w:sz w:val="22"/>
          <w:szCs w:val="22"/>
        </w:rPr>
        <w:t>（如需请提供）（格式详见第七部分 投标文件格式）；</w:t>
      </w:r>
    </w:p>
    <w:p>
      <w:pPr>
        <w:spacing w:line="440" w:lineRule="exact"/>
        <w:ind w:firstLine="440" w:firstLineChars="200"/>
        <w:rPr>
          <w:rFonts w:hint="eastAsia" w:ascii="宋体" w:hAnsi="宋体" w:cs="宋体"/>
          <w:kern w:val="0"/>
          <w:sz w:val="22"/>
          <w:szCs w:val="22"/>
        </w:rPr>
      </w:pPr>
      <w:r>
        <w:rPr>
          <w:rFonts w:hint="eastAsia" w:ascii="宋体" w:hAnsi="宋体" w:cs="宋体"/>
          <w:kern w:val="0"/>
          <w:sz w:val="22"/>
          <w:szCs w:val="22"/>
        </w:rPr>
        <w:t>5、</w:t>
      </w:r>
      <w:r>
        <w:rPr>
          <w:rFonts w:hint="eastAsia" w:ascii="宋体" w:hAnsi="宋体"/>
          <w:sz w:val="22"/>
          <w:szCs w:val="22"/>
        </w:rPr>
        <w:t>残疾人福利性单位声明函（如有请提供）（格式详见第七部分 投标文件格式）；</w:t>
      </w:r>
    </w:p>
    <w:p>
      <w:pPr>
        <w:adjustRightInd w:val="0"/>
        <w:snapToGrid w:val="0"/>
        <w:spacing w:line="440" w:lineRule="exact"/>
        <w:ind w:firstLine="440" w:firstLineChars="200"/>
        <w:jc w:val="left"/>
        <w:rPr>
          <w:rFonts w:hint="eastAsia" w:ascii="宋体" w:hAnsi="宋体"/>
          <w:sz w:val="22"/>
          <w:szCs w:val="22"/>
        </w:rPr>
      </w:pPr>
      <w:r>
        <w:rPr>
          <w:rFonts w:hint="eastAsia" w:ascii="宋体" w:hAnsi="宋体"/>
          <w:sz w:val="22"/>
          <w:szCs w:val="22"/>
        </w:rPr>
        <w:t>6、根据评审需要或采购文件要求,投标人自行考虑需提供的资料（如有）。</w:t>
      </w:r>
    </w:p>
    <w:p>
      <w:pPr>
        <w:spacing w:line="440" w:lineRule="exact"/>
        <w:ind w:firstLine="444" w:firstLineChars="201"/>
        <w:rPr>
          <w:rFonts w:hint="eastAsia" w:ascii="宋体" w:hAnsi="宋体"/>
          <w:b/>
          <w:bCs/>
          <w:sz w:val="22"/>
          <w:szCs w:val="22"/>
          <w:u w:val="single"/>
        </w:rPr>
      </w:pPr>
      <w:r>
        <w:rPr>
          <w:rFonts w:hint="eastAsia" w:ascii="宋体" w:hAnsi="宋体"/>
          <w:b/>
          <w:bCs/>
          <w:sz w:val="22"/>
          <w:szCs w:val="22"/>
          <w:u w:val="single"/>
        </w:rPr>
        <w:t>注：</w:t>
      </w:r>
      <w:r>
        <w:rPr>
          <w:rFonts w:hint="eastAsia" w:ascii="宋体" w:hAnsi="宋体"/>
          <w:b/>
          <w:bCs/>
          <w:color w:val="7030A0"/>
          <w:sz w:val="22"/>
          <w:szCs w:val="22"/>
          <w:u w:val="single"/>
        </w:rPr>
        <w:t>投标文件的形式分为电子加密投标文件、“备份电子投标文件”和“纸质投标文件”，具体</w:t>
      </w:r>
      <w:r>
        <w:rPr>
          <w:rFonts w:ascii="宋体" w:hAnsi="宋体"/>
          <w:b/>
          <w:bCs/>
          <w:color w:val="7030A0"/>
          <w:sz w:val="22"/>
          <w:szCs w:val="22"/>
          <w:u w:val="single"/>
        </w:rPr>
        <w:t>详见第三部分</w:t>
      </w:r>
      <w:r>
        <w:rPr>
          <w:rFonts w:hint="eastAsia" w:ascii="宋体" w:hAnsi="宋体"/>
          <w:b/>
          <w:bCs/>
          <w:color w:val="7030A0"/>
          <w:sz w:val="22"/>
          <w:szCs w:val="22"/>
          <w:u w:val="single"/>
        </w:rPr>
        <w:t xml:space="preserve"> 投标</w:t>
      </w:r>
      <w:r>
        <w:rPr>
          <w:rFonts w:ascii="宋体" w:hAnsi="宋体"/>
          <w:b/>
          <w:bCs/>
          <w:color w:val="7030A0"/>
          <w:sz w:val="22"/>
          <w:szCs w:val="22"/>
          <w:u w:val="single"/>
        </w:rPr>
        <w:t>资料表第</w:t>
      </w:r>
      <w:r>
        <w:rPr>
          <w:rFonts w:hint="eastAsia" w:ascii="宋体" w:hAnsi="宋体"/>
          <w:b/>
          <w:bCs/>
          <w:color w:val="7030A0"/>
          <w:sz w:val="22"/>
          <w:szCs w:val="22"/>
          <w:u w:val="single"/>
        </w:rPr>
        <w:t>11条。</w:t>
      </w:r>
      <w:r>
        <w:rPr>
          <w:rFonts w:ascii="宋体" w:hAnsi="宋体"/>
          <w:b/>
          <w:bCs/>
          <w:color w:val="7030A0"/>
          <w:sz w:val="22"/>
          <w:szCs w:val="22"/>
          <w:u w:val="single"/>
        </w:rPr>
        <w:t>投标</w:t>
      </w:r>
      <w:r>
        <w:rPr>
          <w:rFonts w:hint="eastAsia" w:ascii="宋体" w:hAnsi="宋体"/>
          <w:b/>
          <w:bCs/>
          <w:color w:val="7030A0"/>
          <w:sz w:val="22"/>
          <w:szCs w:val="22"/>
          <w:u w:val="single"/>
        </w:rPr>
        <w:t>文件的效力见</w:t>
      </w:r>
      <w:r>
        <w:rPr>
          <w:rFonts w:ascii="宋体" w:hAnsi="宋体"/>
          <w:b/>
          <w:bCs/>
          <w:color w:val="7030A0"/>
          <w:sz w:val="22"/>
          <w:szCs w:val="22"/>
          <w:u w:val="single"/>
        </w:rPr>
        <w:t>第三部分</w:t>
      </w:r>
      <w:r>
        <w:rPr>
          <w:rFonts w:hint="eastAsia" w:ascii="宋体" w:hAnsi="宋体"/>
          <w:b/>
          <w:bCs/>
          <w:color w:val="7030A0"/>
          <w:sz w:val="22"/>
          <w:szCs w:val="22"/>
          <w:u w:val="single"/>
        </w:rPr>
        <w:t xml:space="preserve"> 投标</w:t>
      </w:r>
      <w:r>
        <w:rPr>
          <w:rFonts w:ascii="宋体" w:hAnsi="宋体"/>
          <w:b/>
          <w:bCs/>
          <w:color w:val="7030A0"/>
          <w:sz w:val="22"/>
          <w:szCs w:val="22"/>
          <w:u w:val="single"/>
        </w:rPr>
        <w:t>资料表第</w:t>
      </w:r>
      <w:r>
        <w:rPr>
          <w:rFonts w:hint="eastAsia" w:ascii="宋体" w:hAnsi="宋体"/>
          <w:b/>
          <w:bCs/>
          <w:color w:val="7030A0"/>
          <w:sz w:val="22"/>
          <w:szCs w:val="22"/>
          <w:u w:val="single"/>
        </w:rPr>
        <w:t>1</w:t>
      </w:r>
      <w:r>
        <w:rPr>
          <w:rFonts w:ascii="宋体" w:hAnsi="宋体"/>
          <w:b/>
          <w:bCs/>
          <w:color w:val="7030A0"/>
          <w:sz w:val="22"/>
          <w:szCs w:val="22"/>
          <w:u w:val="single"/>
        </w:rPr>
        <w:t>2</w:t>
      </w:r>
      <w:r>
        <w:rPr>
          <w:rFonts w:hint="eastAsia" w:ascii="宋体" w:hAnsi="宋体"/>
          <w:b/>
          <w:bCs/>
          <w:color w:val="7030A0"/>
          <w:sz w:val="22"/>
          <w:szCs w:val="22"/>
          <w:u w:val="single"/>
        </w:rPr>
        <w:t>条。只要电子加密投标文件能</w:t>
      </w:r>
      <w:r>
        <w:rPr>
          <w:rFonts w:ascii="宋体" w:hAnsi="宋体"/>
          <w:b/>
          <w:bCs/>
          <w:color w:val="7030A0"/>
          <w:sz w:val="22"/>
          <w:szCs w:val="22"/>
          <w:u w:val="single"/>
        </w:rPr>
        <w:t>解密成功</w:t>
      </w:r>
      <w:r>
        <w:rPr>
          <w:rFonts w:hint="eastAsia" w:ascii="宋体" w:hAnsi="宋体"/>
          <w:b/>
          <w:bCs/>
          <w:color w:val="7030A0"/>
          <w:sz w:val="22"/>
          <w:szCs w:val="22"/>
          <w:u w:val="single"/>
        </w:rPr>
        <w:t>(含通过“备份电子投标文件”进行异常情况处理成功</w:t>
      </w:r>
      <w:r>
        <w:rPr>
          <w:rFonts w:ascii="宋体" w:hAnsi="宋体"/>
          <w:b/>
          <w:bCs/>
          <w:color w:val="7030A0"/>
          <w:sz w:val="22"/>
          <w:szCs w:val="22"/>
          <w:u w:val="single"/>
        </w:rPr>
        <w:t>)</w:t>
      </w:r>
      <w:r>
        <w:rPr>
          <w:rFonts w:hint="eastAsia" w:ascii="宋体" w:hAnsi="宋体"/>
          <w:b/>
          <w:bCs/>
          <w:color w:val="7030A0"/>
          <w:sz w:val="22"/>
          <w:szCs w:val="22"/>
          <w:u w:val="single"/>
        </w:rPr>
        <w:t>且</w:t>
      </w:r>
      <w:r>
        <w:rPr>
          <w:rFonts w:ascii="宋体" w:hAnsi="宋体"/>
          <w:b/>
          <w:bCs/>
          <w:color w:val="7030A0"/>
          <w:sz w:val="22"/>
          <w:szCs w:val="22"/>
          <w:u w:val="single"/>
        </w:rPr>
        <w:t>不存电子评标系统故障的前提下</w:t>
      </w:r>
      <w:r>
        <w:rPr>
          <w:rFonts w:hint="eastAsia" w:ascii="宋体" w:hAnsi="宋体"/>
          <w:b/>
          <w:bCs/>
          <w:color w:val="7030A0"/>
          <w:sz w:val="22"/>
          <w:szCs w:val="22"/>
          <w:u w:val="single"/>
        </w:rPr>
        <w:t>，</w:t>
      </w:r>
      <w:r>
        <w:rPr>
          <w:rFonts w:ascii="宋体" w:hAnsi="宋体"/>
          <w:b/>
          <w:bCs/>
          <w:color w:val="7030A0"/>
          <w:sz w:val="22"/>
          <w:szCs w:val="22"/>
          <w:u w:val="single"/>
        </w:rPr>
        <w:t>投标供应商家数在</w:t>
      </w:r>
      <w:r>
        <w:rPr>
          <w:rFonts w:hint="eastAsia" w:ascii="宋体" w:hAnsi="宋体"/>
          <w:b/>
          <w:bCs/>
          <w:color w:val="7030A0"/>
          <w:sz w:val="22"/>
          <w:szCs w:val="22"/>
          <w:u w:val="single"/>
        </w:rPr>
        <w:t>3家</w:t>
      </w:r>
      <w:r>
        <w:rPr>
          <w:rFonts w:ascii="宋体" w:hAnsi="宋体"/>
          <w:b/>
          <w:bCs/>
          <w:color w:val="7030A0"/>
          <w:sz w:val="22"/>
          <w:szCs w:val="22"/>
          <w:u w:val="single"/>
        </w:rPr>
        <w:t>及以上时，即使</w:t>
      </w:r>
      <w:r>
        <w:rPr>
          <w:rFonts w:hint="eastAsia" w:ascii="宋体" w:hAnsi="宋体"/>
          <w:b/>
          <w:bCs/>
          <w:color w:val="7030A0"/>
          <w:sz w:val="22"/>
          <w:szCs w:val="22"/>
          <w:u w:val="single"/>
        </w:rPr>
        <w:t>未</w:t>
      </w:r>
      <w:r>
        <w:rPr>
          <w:rFonts w:ascii="宋体" w:hAnsi="宋体"/>
          <w:b/>
          <w:bCs/>
          <w:color w:val="7030A0"/>
          <w:sz w:val="22"/>
          <w:szCs w:val="22"/>
          <w:u w:val="single"/>
        </w:rPr>
        <w:t>按采购文件要求提交</w:t>
      </w:r>
      <w:r>
        <w:rPr>
          <w:rFonts w:hint="eastAsia" w:ascii="宋体" w:hAnsi="宋体"/>
          <w:b/>
          <w:bCs/>
          <w:color w:val="7030A0"/>
          <w:sz w:val="22"/>
          <w:szCs w:val="22"/>
          <w:u w:val="single"/>
        </w:rPr>
        <w:t>”纸质投标文件”的</w:t>
      </w:r>
      <w:r>
        <w:rPr>
          <w:rFonts w:ascii="宋体" w:hAnsi="宋体"/>
          <w:b/>
          <w:bCs/>
          <w:color w:val="7030A0"/>
          <w:sz w:val="22"/>
          <w:szCs w:val="22"/>
          <w:u w:val="single"/>
        </w:rPr>
        <w:t>，</w:t>
      </w:r>
      <w:r>
        <w:rPr>
          <w:rFonts w:hint="eastAsia" w:ascii="宋体" w:hAnsi="宋体"/>
          <w:b/>
          <w:bCs/>
          <w:color w:val="7030A0"/>
          <w:sz w:val="22"/>
          <w:szCs w:val="22"/>
          <w:u w:val="single"/>
        </w:rPr>
        <w:t>电子加密投标文件解密成功(含通过“备份电子投标文件”进行异常情况处理成功)的均视为有效投标文件</w:t>
      </w:r>
      <w:r>
        <w:rPr>
          <w:rFonts w:ascii="宋体" w:hAnsi="宋体"/>
          <w:b/>
          <w:bCs/>
          <w:color w:val="7030A0"/>
          <w:sz w:val="22"/>
          <w:szCs w:val="22"/>
          <w:u w:val="single"/>
        </w:rPr>
        <w:t>。</w:t>
      </w:r>
    </w:p>
    <w:p>
      <w:pPr>
        <w:spacing w:line="440" w:lineRule="exact"/>
        <w:ind w:firstLine="444" w:firstLineChars="201"/>
        <w:rPr>
          <w:rFonts w:ascii="宋体" w:hAnsi="宋体"/>
          <w:b/>
          <w:bCs/>
          <w:sz w:val="22"/>
          <w:szCs w:val="22"/>
          <w:u w:val="single"/>
        </w:rPr>
      </w:pPr>
      <w:r>
        <w:rPr>
          <w:rFonts w:hint="eastAsia" w:ascii="宋体" w:hAnsi="宋体"/>
          <w:b/>
          <w:bCs/>
          <w:sz w:val="22"/>
          <w:szCs w:val="22"/>
          <w:u w:val="single"/>
        </w:rPr>
        <w:t>投标供应商应按以上顺序制作投标</w:t>
      </w:r>
      <w:r>
        <w:rPr>
          <w:rFonts w:ascii="宋体" w:hAnsi="宋体"/>
          <w:b/>
          <w:bCs/>
          <w:sz w:val="22"/>
          <w:szCs w:val="22"/>
          <w:u w:val="single"/>
        </w:rPr>
        <w:t>文件</w:t>
      </w:r>
      <w:r>
        <w:rPr>
          <w:rFonts w:hint="eastAsia" w:ascii="宋体" w:hAnsi="宋体"/>
          <w:b/>
          <w:bCs/>
          <w:sz w:val="22"/>
          <w:szCs w:val="22"/>
          <w:u w:val="single"/>
        </w:rPr>
        <w:t>，如未按以上</w:t>
      </w:r>
      <w:r>
        <w:rPr>
          <w:rFonts w:ascii="宋体" w:hAnsi="宋体"/>
          <w:b/>
          <w:bCs/>
          <w:sz w:val="22"/>
          <w:szCs w:val="22"/>
          <w:u w:val="single"/>
        </w:rPr>
        <w:t>顺序制作</w:t>
      </w:r>
      <w:r>
        <w:rPr>
          <w:rFonts w:hint="eastAsia" w:ascii="宋体" w:hAnsi="宋体"/>
          <w:b/>
          <w:bCs/>
          <w:sz w:val="22"/>
          <w:szCs w:val="22"/>
          <w:u w:val="single"/>
        </w:rPr>
        <w:t>导致产生不利于投标供应商评标结果的，后果由投标供应商自行负责。</w:t>
      </w:r>
    </w:p>
    <w:p>
      <w:pPr>
        <w:spacing w:line="440" w:lineRule="exact"/>
        <w:ind w:firstLine="444" w:firstLineChars="201"/>
        <w:rPr>
          <w:rFonts w:hint="eastAsia" w:ascii="宋体" w:hAnsi="宋体"/>
          <w:b/>
          <w:bCs/>
          <w:sz w:val="22"/>
          <w:szCs w:val="22"/>
          <w:u w:val="single"/>
        </w:rPr>
      </w:pPr>
      <w:r>
        <w:rPr>
          <w:rFonts w:hint="eastAsia" w:ascii="宋体" w:hAnsi="宋体"/>
          <w:b/>
          <w:bCs/>
          <w:color w:val="7030A0"/>
          <w:sz w:val="22"/>
          <w:szCs w:val="22"/>
          <w:u w:val="single"/>
        </w:rPr>
        <w:t>电子加密投标文件及备份电子投标文件应按现行“政采云”系统</w:t>
      </w:r>
      <w:r>
        <w:rPr>
          <w:rFonts w:ascii="宋体" w:hAnsi="宋体"/>
          <w:b/>
          <w:bCs/>
          <w:color w:val="7030A0"/>
          <w:sz w:val="22"/>
          <w:szCs w:val="22"/>
          <w:u w:val="single"/>
        </w:rPr>
        <w:t>及其指南</w:t>
      </w:r>
      <w:r>
        <w:rPr>
          <w:rFonts w:hint="eastAsia" w:ascii="宋体" w:hAnsi="宋体"/>
          <w:b/>
          <w:bCs/>
          <w:color w:val="7030A0"/>
          <w:sz w:val="22"/>
          <w:szCs w:val="22"/>
          <w:u w:val="single"/>
        </w:rPr>
        <w:t>中</w:t>
      </w:r>
      <w:r>
        <w:rPr>
          <w:rFonts w:ascii="宋体" w:hAnsi="宋体"/>
          <w:b/>
          <w:bCs/>
          <w:color w:val="7030A0"/>
          <w:sz w:val="22"/>
          <w:szCs w:val="22"/>
          <w:u w:val="single"/>
        </w:rPr>
        <w:t>的要求</w:t>
      </w:r>
      <w:r>
        <w:rPr>
          <w:rFonts w:hint="eastAsia" w:ascii="宋体" w:hAnsi="宋体"/>
          <w:b/>
          <w:bCs/>
          <w:color w:val="7030A0"/>
          <w:sz w:val="22"/>
          <w:szCs w:val="22"/>
          <w:u w:val="single"/>
        </w:rPr>
        <w:t>制作，任何</w:t>
      </w:r>
      <w:r>
        <w:rPr>
          <w:rFonts w:ascii="宋体" w:hAnsi="宋体"/>
          <w:b/>
          <w:bCs/>
          <w:color w:val="7030A0"/>
          <w:sz w:val="22"/>
          <w:szCs w:val="22"/>
          <w:u w:val="single"/>
        </w:rPr>
        <w:t>不按</w:t>
      </w:r>
      <w:r>
        <w:rPr>
          <w:rFonts w:hint="eastAsia" w:ascii="宋体" w:hAnsi="宋体"/>
          <w:b/>
          <w:bCs/>
          <w:color w:val="7030A0"/>
          <w:sz w:val="22"/>
          <w:szCs w:val="22"/>
          <w:u w:val="single"/>
        </w:rPr>
        <w:t>现行系统</w:t>
      </w:r>
      <w:r>
        <w:rPr>
          <w:rFonts w:ascii="宋体" w:hAnsi="宋体"/>
          <w:b/>
          <w:bCs/>
          <w:color w:val="7030A0"/>
          <w:sz w:val="22"/>
          <w:szCs w:val="22"/>
          <w:u w:val="single"/>
        </w:rPr>
        <w:t>及其指南</w:t>
      </w:r>
      <w:r>
        <w:rPr>
          <w:rFonts w:hint="eastAsia" w:ascii="宋体" w:hAnsi="宋体"/>
          <w:b/>
          <w:bCs/>
          <w:color w:val="7030A0"/>
          <w:sz w:val="22"/>
          <w:szCs w:val="22"/>
          <w:u w:val="single"/>
        </w:rPr>
        <w:t>制作</w:t>
      </w:r>
      <w:r>
        <w:rPr>
          <w:rFonts w:ascii="宋体" w:hAnsi="宋体"/>
          <w:b/>
          <w:bCs/>
          <w:color w:val="7030A0"/>
          <w:sz w:val="22"/>
          <w:szCs w:val="22"/>
          <w:u w:val="single"/>
        </w:rPr>
        <w:t>而导致无法上传、无法解密</w:t>
      </w:r>
      <w:r>
        <w:rPr>
          <w:rFonts w:hint="eastAsia" w:ascii="宋体" w:hAnsi="宋体"/>
          <w:b/>
          <w:bCs/>
          <w:color w:val="7030A0"/>
          <w:sz w:val="22"/>
          <w:szCs w:val="22"/>
          <w:u w:val="single"/>
        </w:rPr>
        <w:t>等</w:t>
      </w:r>
      <w:r>
        <w:rPr>
          <w:rFonts w:ascii="宋体" w:hAnsi="宋体"/>
          <w:b/>
          <w:bCs/>
          <w:color w:val="7030A0"/>
          <w:sz w:val="22"/>
          <w:szCs w:val="22"/>
          <w:u w:val="single"/>
        </w:rPr>
        <w:t>的后果由投标供应商自行承担</w:t>
      </w:r>
      <w:r>
        <w:rPr>
          <w:rFonts w:hint="eastAsia" w:ascii="宋体" w:hAnsi="宋体"/>
          <w:b/>
          <w:bCs/>
          <w:sz w:val="22"/>
          <w:szCs w:val="22"/>
          <w:u w:val="single"/>
        </w:rPr>
        <w:t>。</w:t>
      </w:r>
    </w:p>
    <w:p>
      <w:pPr>
        <w:spacing w:line="440" w:lineRule="exact"/>
        <w:ind w:firstLine="331" w:firstLineChars="150"/>
        <w:rPr>
          <w:rFonts w:ascii="宋体" w:hAnsi="宋体"/>
          <w:sz w:val="22"/>
          <w:szCs w:val="22"/>
        </w:rPr>
      </w:pPr>
      <w:r>
        <w:rPr>
          <w:rFonts w:hint="eastAsia" w:ascii="宋体" w:hAnsi="宋体"/>
          <w:b/>
          <w:sz w:val="22"/>
          <w:szCs w:val="22"/>
          <w:u w:val="single"/>
        </w:rPr>
        <w:t>投标供应商没有按照采购文件要求提供全部资料，或者投标供应商没有对采购文件在各方面作出实质性响应是投标供应商的风险，并可能导致其投标被作无效或拒绝</w:t>
      </w:r>
      <w:r>
        <w:rPr>
          <w:rFonts w:hint="eastAsia" w:ascii="宋体" w:hAnsi="宋体"/>
          <w:sz w:val="22"/>
          <w:szCs w:val="22"/>
        </w:rPr>
        <w:t>。</w:t>
      </w:r>
    </w:p>
    <w:p>
      <w:pPr>
        <w:spacing w:line="440" w:lineRule="exact"/>
        <w:ind w:firstLine="331" w:firstLineChars="150"/>
        <w:rPr>
          <w:rFonts w:hint="eastAsia" w:ascii="宋体" w:hAnsi="宋体"/>
          <w:b/>
          <w:color w:val="FF0000"/>
          <w:sz w:val="22"/>
          <w:szCs w:val="22"/>
          <w:u w:val="single"/>
        </w:rPr>
      </w:pPr>
      <w:r>
        <w:rPr>
          <w:rFonts w:hint="eastAsia" w:ascii="宋体" w:hAnsi="宋体"/>
          <w:b/>
          <w:color w:val="7030A0"/>
          <w:sz w:val="22"/>
          <w:szCs w:val="22"/>
        </w:rPr>
        <w:t>原件</w:t>
      </w:r>
      <w:r>
        <w:rPr>
          <w:rFonts w:ascii="宋体" w:hAnsi="宋体"/>
          <w:b/>
          <w:color w:val="7030A0"/>
          <w:sz w:val="22"/>
          <w:szCs w:val="22"/>
        </w:rPr>
        <w:t>要求</w:t>
      </w:r>
      <w:r>
        <w:rPr>
          <w:rFonts w:hint="eastAsia" w:ascii="宋体" w:hAnsi="宋体"/>
          <w:b/>
          <w:color w:val="7030A0"/>
          <w:sz w:val="22"/>
          <w:szCs w:val="22"/>
        </w:rPr>
        <w:t>：</w:t>
      </w:r>
      <w:r>
        <w:rPr>
          <w:rFonts w:ascii="宋体" w:hAnsi="宋体"/>
          <w:b/>
          <w:color w:val="7030A0"/>
          <w:sz w:val="22"/>
          <w:szCs w:val="22"/>
          <w:u w:val="single"/>
        </w:rPr>
        <w:t>本项目资格</w:t>
      </w:r>
      <w:r>
        <w:rPr>
          <w:rFonts w:hint="eastAsia" w:ascii="宋体" w:hAnsi="宋体"/>
          <w:b/>
          <w:color w:val="7030A0"/>
          <w:sz w:val="22"/>
          <w:szCs w:val="22"/>
          <w:u w:val="single"/>
        </w:rPr>
        <w:t>审查</w:t>
      </w:r>
      <w:r>
        <w:rPr>
          <w:rFonts w:ascii="宋体" w:hAnsi="宋体"/>
          <w:b/>
          <w:color w:val="7030A0"/>
          <w:sz w:val="22"/>
          <w:szCs w:val="22"/>
          <w:u w:val="single"/>
        </w:rPr>
        <w:t>、</w:t>
      </w:r>
      <w:r>
        <w:rPr>
          <w:rFonts w:hint="eastAsia" w:ascii="宋体" w:hAnsi="宋体"/>
          <w:b/>
          <w:color w:val="7030A0"/>
          <w:sz w:val="22"/>
          <w:szCs w:val="22"/>
          <w:u w:val="single"/>
        </w:rPr>
        <w:t>资信商务、</w:t>
      </w:r>
      <w:r>
        <w:rPr>
          <w:rFonts w:ascii="宋体" w:hAnsi="宋体"/>
          <w:b/>
          <w:color w:val="7030A0"/>
          <w:sz w:val="22"/>
          <w:szCs w:val="22"/>
          <w:u w:val="single"/>
        </w:rPr>
        <w:t>技术评审过程涉及的营业执照、资质</w:t>
      </w:r>
      <w:r>
        <w:rPr>
          <w:rFonts w:hint="eastAsia" w:ascii="宋体" w:hAnsi="宋体"/>
          <w:b/>
          <w:color w:val="7030A0"/>
          <w:sz w:val="22"/>
          <w:szCs w:val="22"/>
          <w:u w:val="single"/>
        </w:rPr>
        <w:t>(格)</w:t>
      </w:r>
      <w:r>
        <w:rPr>
          <w:rFonts w:ascii="宋体" w:hAnsi="宋体"/>
          <w:b/>
          <w:color w:val="7030A0"/>
          <w:sz w:val="22"/>
          <w:szCs w:val="22"/>
          <w:u w:val="single"/>
        </w:rPr>
        <w:t>证书、</w:t>
      </w:r>
      <w:r>
        <w:rPr>
          <w:rFonts w:hint="eastAsia" w:ascii="宋体" w:hAnsi="宋体"/>
          <w:b/>
          <w:color w:val="7030A0"/>
          <w:sz w:val="22"/>
          <w:szCs w:val="22"/>
          <w:u w:val="single"/>
        </w:rPr>
        <w:t>身份证</w:t>
      </w:r>
      <w:r>
        <w:rPr>
          <w:rFonts w:ascii="宋体" w:hAnsi="宋体"/>
          <w:b/>
          <w:color w:val="7030A0"/>
          <w:sz w:val="22"/>
          <w:szCs w:val="22"/>
          <w:u w:val="single"/>
        </w:rPr>
        <w:t>、合同、奖项及荣誉证书</w:t>
      </w:r>
      <w:r>
        <w:rPr>
          <w:rFonts w:hint="eastAsia" w:ascii="宋体" w:hAnsi="宋体"/>
          <w:b/>
          <w:color w:val="7030A0"/>
          <w:sz w:val="22"/>
          <w:szCs w:val="22"/>
          <w:u w:val="single"/>
        </w:rPr>
        <w:t>等</w:t>
      </w:r>
      <w:r>
        <w:rPr>
          <w:rFonts w:ascii="宋体" w:hAnsi="宋体"/>
          <w:b/>
          <w:color w:val="7030A0"/>
          <w:sz w:val="22"/>
          <w:szCs w:val="22"/>
          <w:u w:val="single"/>
        </w:rPr>
        <w:t>原件</w:t>
      </w:r>
      <w:r>
        <w:rPr>
          <w:rFonts w:hint="eastAsia" w:ascii="宋体" w:hAnsi="宋体"/>
          <w:b/>
          <w:color w:val="7030A0"/>
          <w:sz w:val="22"/>
          <w:szCs w:val="22"/>
          <w:u w:val="single"/>
        </w:rPr>
        <w:t>（如有）</w:t>
      </w:r>
      <w:r>
        <w:rPr>
          <w:rFonts w:ascii="宋体" w:hAnsi="宋体"/>
          <w:b/>
          <w:color w:val="7030A0"/>
          <w:sz w:val="22"/>
          <w:szCs w:val="22"/>
          <w:u w:val="single"/>
        </w:rPr>
        <w:t>，在</w:t>
      </w:r>
      <w:r>
        <w:rPr>
          <w:rFonts w:hint="eastAsia" w:ascii="宋体" w:hAnsi="宋体"/>
          <w:b/>
          <w:color w:val="7030A0"/>
          <w:sz w:val="22"/>
          <w:szCs w:val="22"/>
          <w:u w:val="single"/>
        </w:rPr>
        <w:t>资格</w:t>
      </w:r>
      <w:r>
        <w:rPr>
          <w:rFonts w:ascii="宋体" w:hAnsi="宋体"/>
          <w:b/>
          <w:color w:val="7030A0"/>
          <w:sz w:val="22"/>
          <w:szCs w:val="22"/>
          <w:u w:val="single"/>
        </w:rPr>
        <w:t>审查及评标过程中</w:t>
      </w:r>
      <w:r>
        <w:rPr>
          <w:rFonts w:hint="eastAsia" w:ascii="宋体" w:hAnsi="宋体"/>
          <w:b/>
          <w:color w:val="7030A0"/>
          <w:sz w:val="22"/>
          <w:szCs w:val="22"/>
          <w:u w:val="single"/>
        </w:rPr>
        <w:t>采购</w:t>
      </w:r>
      <w:r>
        <w:rPr>
          <w:rFonts w:ascii="宋体" w:hAnsi="宋体"/>
          <w:b/>
          <w:color w:val="7030A0"/>
          <w:sz w:val="22"/>
          <w:szCs w:val="22"/>
          <w:u w:val="single"/>
        </w:rPr>
        <w:t>代理机构或评标</w:t>
      </w:r>
      <w:r>
        <w:rPr>
          <w:rFonts w:hint="eastAsia" w:ascii="宋体" w:hAnsi="宋体"/>
          <w:b/>
          <w:color w:val="7030A0"/>
          <w:sz w:val="22"/>
          <w:szCs w:val="22"/>
          <w:u w:val="single"/>
        </w:rPr>
        <w:t>委员</w:t>
      </w:r>
      <w:r>
        <w:rPr>
          <w:rFonts w:ascii="宋体" w:hAnsi="宋体"/>
          <w:b/>
          <w:color w:val="7030A0"/>
          <w:sz w:val="22"/>
          <w:szCs w:val="22"/>
          <w:u w:val="single"/>
        </w:rPr>
        <w:t>会有权通过远程视频等方式要求投标供应商出示</w:t>
      </w:r>
      <w:r>
        <w:rPr>
          <w:rFonts w:hint="eastAsia" w:ascii="宋体" w:hAnsi="宋体"/>
          <w:b/>
          <w:color w:val="7030A0"/>
          <w:sz w:val="22"/>
          <w:szCs w:val="22"/>
          <w:u w:val="single"/>
        </w:rPr>
        <w:t>原件</w:t>
      </w:r>
      <w:r>
        <w:rPr>
          <w:rFonts w:ascii="宋体" w:hAnsi="宋体"/>
          <w:b/>
          <w:color w:val="7030A0"/>
          <w:sz w:val="22"/>
          <w:szCs w:val="22"/>
          <w:u w:val="single"/>
        </w:rPr>
        <w:t>或提供原件来源的官网(或系统)的网址</w:t>
      </w:r>
      <w:r>
        <w:rPr>
          <w:rFonts w:hint="eastAsia" w:ascii="宋体" w:hAnsi="宋体"/>
          <w:b/>
          <w:color w:val="7030A0"/>
          <w:sz w:val="22"/>
          <w:szCs w:val="22"/>
          <w:u w:val="single"/>
        </w:rPr>
        <w:t>，</w:t>
      </w:r>
      <w:r>
        <w:rPr>
          <w:rFonts w:ascii="宋体" w:hAnsi="宋体"/>
          <w:b/>
          <w:color w:val="7030A0"/>
          <w:sz w:val="22"/>
          <w:szCs w:val="22"/>
          <w:u w:val="single"/>
        </w:rPr>
        <w:t>投标供应商应予以配合，否则与资格证明相关的将视为资格审查不合格，与评分有关的不予配合部分按零分处理</w:t>
      </w:r>
      <w:r>
        <w:rPr>
          <w:rFonts w:ascii="宋体" w:hAnsi="宋体"/>
          <w:b/>
          <w:color w:val="00B0F0"/>
          <w:sz w:val="22"/>
          <w:szCs w:val="22"/>
          <w:u w:val="single"/>
        </w:rPr>
        <w:t>。</w:t>
      </w:r>
    </w:p>
    <w:p>
      <w:pPr>
        <w:pStyle w:val="3"/>
        <w:spacing w:before="0" w:after="0" w:line="440" w:lineRule="exact"/>
        <w:rPr>
          <w:rFonts w:ascii="宋体" w:hAnsi="宋体" w:eastAsia="宋体"/>
          <w:sz w:val="22"/>
          <w:szCs w:val="22"/>
        </w:rPr>
      </w:pPr>
      <w:bookmarkStart w:id="76" w:name="_Toc14965632"/>
      <w:r>
        <w:rPr>
          <w:rFonts w:hint="eastAsia" w:ascii="宋体" w:hAnsi="宋体" w:eastAsia="宋体"/>
          <w:sz w:val="22"/>
          <w:szCs w:val="22"/>
        </w:rPr>
        <w:t>14、投标报价</w:t>
      </w:r>
      <w:bookmarkEnd w:id="76"/>
    </w:p>
    <w:p>
      <w:pPr>
        <w:spacing w:line="440" w:lineRule="exact"/>
        <w:ind w:firstLine="440" w:firstLineChars="200"/>
        <w:rPr>
          <w:rFonts w:hint="eastAsia" w:ascii="宋体" w:hAnsi="宋体"/>
          <w:sz w:val="22"/>
          <w:szCs w:val="22"/>
        </w:rPr>
      </w:pPr>
      <w:r>
        <w:rPr>
          <w:rFonts w:hint="eastAsia" w:ascii="宋体" w:hAnsi="宋体"/>
          <w:sz w:val="22"/>
          <w:szCs w:val="22"/>
        </w:rPr>
        <w:t>14.1投标供应商应全面充分了解本采购项目的全部内容及要求以及实施现场的基本条件，按照《投标资料表》的要求报价，并包含项目实施过程中可能涉及的及合同中明示或暗示的一切费用。采购文件明示免除的费用除外。</w:t>
      </w:r>
    </w:p>
    <w:p>
      <w:pPr>
        <w:spacing w:line="440" w:lineRule="exact"/>
        <w:ind w:firstLine="440" w:firstLineChars="200"/>
        <w:rPr>
          <w:rFonts w:hint="eastAsia" w:ascii="宋体" w:hAnsi="宋体"/>
          <w:sz w:val="22"/>
          <w:szCs w:val="22"/>
        </w:rPr>
      </w:pPr>
      <w:r>
        <w:rPr>
          <w:rFonts w:hint="eastAsia" w:ascii="宋体" w:hAnsi="宋体"/>
          <w:sz w:val="22"/>
          <w:szCs w:val="22"/>
        </w:rPr>
        <w:t>14.2投标供应商提出的响应价格应该用人民币报价，对用外汇支付部分，须折合成人民币计入总价，总报价不受汇率变动影响。</w:t>
      </w:r>
      <w:r>
        <w:rPr>
          <w:rFonts w:hint="eastAsia" w:ascii="宋体" w:hAnsi="宋体"/>
          <w:b/>
          <w:sz w:val="22"/>
          <w:szCs w:val="22"/>
        </w:rPr>
        <w:t>不接受外币报价，除非采购文件另有要求</w:t>
      </w:r>
      <w:r>
        <w:rPr>
          <w:rFonts w:hint="eastAsia" w:ascii="宋体" w:hAnsi="宋体"/>
          <w:sz w:val="22"/>
          <w:szCs w:val="22"/>
        </w:rPr>
        <w:t>。</w:t>
      </w:r>
    </w:p>
    <w:p>
      <w:pPr>
        <w:spacing w:line="440" w:lineRule="exact"/>
        <w:ind w:firstLine="440" w:firstLineChars="200"/>
        <w:rPr>
          <w:rFonts w:hint="eastAsia" w:ascii="宋体" w:hAnsi="宋体"/>
          <w:sz w:val="22"/>
          <w:szCs w:val="22"/>
        </w:rPr>
      </w:pPr>
      <w:r>
        <w:rPr>
          <w:rFonts w:hint="eastAsia" w:ascii="宋体" w:hAnsi="宋体"/>
          <w:sz w:val="22"/>
          <w:szCs w:val="22"/>
        </w:rPr>
        <w:t>14.3本项目的投标总价应是符合本采购文件”第三部分 投标资料表”第7条所包含的全部价格因素。</w:t>
      </w:r>
    </w:p>
    <w:p>
      <w:pPr>
        <w:spacing w:line="440" w:lineRule="exact"/>
        <w:ind w:firstLine="440" w:firstLineChars="200"/>
        <w:rPr>
          <w:rFonts w:hint="eastAsia" w:ascii="宋体" w:hAnsi="宋体"/>
          <w:b/>
          <w:sz w:val="22"/>
          <w:szCs w:val="22"/>
        </w:rPr>
      </w:pPr>
      <w:r>
        <w:rPr>
          <w:rFonts w:hint="eastAsia" w:ascii="宋体" w:hAnsi="宋体"/>
          <w:sz w:val="22"/>
          <w:szCs w:val="22"/>
        </w:rPr>
        <w:t>投标报价应该且只有一个报价，而且一经开标，投标价不得变更。</w:t>
      </w:r>
      <w:r>
        <w:rPr>
          <w:rFonts w:hint="eastAsia" w:ascii="宋体" w:hAnsi="宋体"/>
          <w:b/>
          <w:sz w:val="22"/>
          <w:szCs w:val="22"/>
          <w:u w:val="single"/>
        </w:rPr>
        <w:t>如果出现有两个及以上的报价又未声明以哪一个报价方案为准，则将无效标</w:t>
      </w:r>
      <w:r>
        <w:rPr>
          <w:rFonts w:hint="eastAsia" w:ascii="宋体" w:hAnsi="宋体"/>
          <w:sz w:val="22"/>
          <w:szCs w:val="22"/>
        </w:rPr>
        <w:t>。投标声明应载明在“开标一览表”中，供开标时唱出。未经唱出的投标声明在评标时不做考虑。</w:t>
      </w:r>
    </w:p>
    <w:p>
      <w:pPr>
        <w:spacing w:line="440" w:lineRule="exact"/>
        <w:ind w:firstLine="440" w:firstLineChars="200"/>
        <w:rPr>
          <w:rFonts w:hint="eastAsia" w:ascii="宋体" w:hAnsi="宋体"/>
          <w:sz w:val="22"/>
          <w:szCs w:val="22"/>
        </w:rPr>
      </w:pPr>
      <w:r>
        <w:rPr>
          <w:rFonts w:hint="eastAsia" w:ascii="宋体" w:hAnsi="宋体"/>
          <w:sz w:val="22"/>
          <w:szCs w:val="22"/>
        </w:rPr>
        <w:t>14.</w:t>
      </w:r>
      <w:r>
        <w:rPr>
          <w:rFonts w:ascii="宋体" w:hAnsi="宋体"/>
          <w:sz w:val="22"/>
          <w:szCs w:val="22"/>
        </w:rPr>
        <w:t>4</w:t>
      </w:r>
      <w:r>
        <w:rPr>
          <w:rFonts w:hint="eastAsia" w:ascii="宋体" w:hAnsi="宋体"/>
          <w:sz w:val="22"/>
          <w:szCs w:val="22"/>
        </w:rPr>
        <w:t xml:space="preserve"> 在符合总体要求的前提下，投标供应商可对采购文件中没有提及的内容，按自已的理解适当增加，但有关价格及费用必须在投标文件中单独列出，并详细说明理由。</w:t>
      </w:r>
    </w:p>
    <w:p>
      <w:pPr>
        <w:spacing w:line="440" w:lineRule="exact"/>
        <w:ind w:firstLine="440" w:firstLineChars="200"/>
        <w:rPr>
          <w:rFonts w:hint="eastAsia" w:ascii="宋体" w:hAnsi="宋体"/>
          <w:sz w:val="22"/>
          <w:szCs w:val="22"/>
        </w:rPr>
      </w:pPr>
      <w:r>
        <w:rPr>
          <w:rFonts w:hint="eastAsia" w:ascii="宋体" w:hAnsi="宋体"/>
          <w:sz w:val="22"/>
          <w:szCs w:val="22"/>
        </w:rPr>
        <w:t>14.</w:t>
      </w:r>
      <w:r>
        <w:rPr>
          <w:rFonts w:ascii="宋体" w:hAnsi="宋体"/>
          <w:sz w:val="22"/>
          <w:szCs w:val="22"/>
        </w:rPr>
        <w:t>5</w:t>
      </w:r>
      <w:r>
        <w:rPr>
          <w:rFonts w:hint="eastAsia" w:ascii="宋体" w:hAnsi="宋体"/>
          <w:sz w:val="22"/>
          <w:szCs w:val="22"/>
        </w:rPr>
        <w:t xml:space="preserve"> 投标供应商漏报的单价或每单价报价中漏报、少报的费用，视为此项费用已隐含在投标报价中，中标后不得再向采购人收取任何费用。</w:t>
      </w:r>
    </w:p>
    <w:p>
      <w:pPr>
        <w:spacing w:line="440" w:lineRule="exact"/>
        <w:ind w:firstLine="440" w:firstLineChars="200"/>
        <w:rPr>
          <w:rFonts w:ascii="宋体" w:hAnsi="宋体"/>
          <w:sz w:val="22"/>
          <w:szCs w:val="22"/>
        </w:rPr>
      </w:pPr>
      <w:r>
        <w:rPr>
          <w:rFonts w:hint="eastAsia" w:ascii="宋体" w:hAnsi="宋体"/>
          <w:sz w:val="22"/>
          <w:szCs w:val="22"/>
        </w:rPr>
        <w:t>14.</w:t>
      </w:r>
      <w:r>
        <w:rPr>
          <w:rFonts w:ascii="宋体" w:hAnsi="宋体"/>
          <w:sz w:val="22"/>
          <w:szCs w:val="22"/>
        </w:rPr>
        <w:t>6</w:t>
      </w:r>
      <w:r>
        <w:rPr>
          <w:rFonts w:hint="eastAsia" w:ascii="宋体" w:hAnsi="宋体"/>
          <w:sz w:val="22"/>
          <w:szCs w:val="22"/>
        </w:rPr>
        <w:t>投标报价(</w:t>
      </w:r>
      <w:r>
        <w:rPr>
          <w:rFonts w:hint="eastAsia" w:ascii="宋体" w:hAnsi="宋体"/>
          <w:b/>
          <w:color w:val="7030A0"/>
          <w:sz w:val="22"/>
          <w:szCs w:val="22"/>
        </w:rPr>
        <w:t>总价</w:t>
      </w:r>
      <w:r>
        <w:rPr>
          <w:rFonts w:hint="eastAsia" w:ascii="宋体" w:hAnsi="宋体"/>
          <w:sz w:val="22"/>
          <w:szCs w:val="22"/>
        </w:rPr>
        <w:t>)作为评标标准，但不能限制买方以其它方式签订合同的权力。</w:t>
      </w:r>
    </w:p>
    <w:p>
      <w:pPr>
        <w:spacing w:line="440" w:lineRule="exact"/>
        <w:ind w:firstLine="440" w:firstLineChars="200"/>
        <w:rPr>
          <w:rFonts w:hint="eastAsia" w:ascii="宋体" w:hAnsi="宋体"/>
          <w:b/>
          <w:sz w:val="22"/>
          <w:szCs w:val="22"/>
        </w:rPr>
      </w:pPr>
      <w:r>
        <w:rPr>
          <w:rFonts w:hint="eastAsia" w:ascii="宋体" w:hAnsi="宋体"/>
          <w:sz w:val="22"/>
          <w:szCs w:val="22"/>
        </w:rPr>
        <w:t>14.</w:t>
      </w:r>
      <w:r>
        <w:rPr>
          <w:rFonts w:ascii="宋体" w:hAnsi="宋体"/>
          <w:sz w:val="22"/>
          <w:szCs w:val="22"/>
        </w:rPr>
        <w:t>7</w:t>
      </w:r>
      <w:r>
        <w:rPr>
          <w:rFonts w:hint="eastAsia" w:ascii="宋体" w:hAnsi="宋体"/>
          <w:b/>
          <w:sz w:val="22"/>
          <w:szCs w:val="22"/>
        </w:rPr>
        <w:t>采购代理服务费不应在投标报价中单列。</w:t>
      </w:r>
    </w:p>
    <w:p>
      <w:pPr>
        <w:spacing w:line="440" w:lineRule="exact"/>
        <w:ind w:firstLine="440" w:firstLineChars="200"/>
        <w:rPr>
          <w:rFonts w:hint="eastAsia" w:ascii="宋体" w:hAnsi="宋体"/>
          <w:sz w:val="22"/>
          <w:szCs w:val="22"/>
        </w:rPr>
      </w:pPr>
      <w:r>
        <w:rPr>
          <w:rFonts w:hint="eastAsia" w:ascii="宋体" w:hAnsi="宋体"/>
          <w:sz w:val="22"/>
          <w:szCs w:val="22"/>
        </w:rPr>
        <w:t>14.8电报、电话、电子邮件、传真形式的投标及其报价概不接受。</w:t>
      </w:r>
    </w:p>
    <w:p>
      <w:pPr>
        <w:pStyle w:val="3"/>
        <w:spacing w:before="0" w:after="0" w:line="440" w:lineRule="exact"/>
        <w:rPr>
          <w:rFonts w:ascii="宋体" w:hAnsi="宋体" w:eastAsia="宋体"/>
          <w:sz w:val="22"/>
          <w:szCs w:val="22"/>
        </w:rPr>
      </w:pPr>
      <w:bookmarkStart w:id="77" w:name="_Toc14965633"/>
      <w:r>
        <w:rPr>
          <w:rFonts w:hint="eastAsia" w:ascii="宋体" w:hAnsi="宋体" w:eastAsia="宋体"/>
          <w:sz w:val="22"/>
          <w:szCs w:val="22"/>
        </w:rPr>
        <w:t>15、投标文件的编写</w:t>
      </w:r>
      <w:bookmarkEnd w:id="77"/>
    </w:p>
    <w:p>
      <w:pPr>
        <w:spacing w:line="440" w:lineRule="exact"/>
        <w:ind w:firstLine="440" w:firstLineChars="200"/>
        <w:rPr>
          <w:rFonts w:hint="eastAsia" w:ascii="宋体" w:hAnsi="宋体"/>
          <w:sz w:val="22"/>
          <w:szCs w:val="22"/>
        </w:rPr>
      </w:pPr>
      <w:r>
        <w:rPr>
          <w:rFonts w:hint="eastAsia" w:ascii="宋体" w:hAnsi="宋体"/>
          <w:sz w:val="22"/>
          <w:szCs w:val="22"/>
        </w:rPr>
        <w:t>15.1</w:t>
      </w:r>
      <w:r>
        <w:rPr>
          <w:rFonts w:hint="eastAsia" w:ascii="宋体" w:hAnsi="宋体"/>
          <w:b/>
          <w:sz w:val="22"/>
          <w:szCs w:val="22"/>
        </w:rPr>
        <w:t>投标供应商</w:t>
      </w:r>
      <w:r>
        <w:rPr>
          <w:rFonts w:ascii="宋体" w:hAnsi="宋体"/>
          <w:b/>
          <w:sz w:val="22"/>
          <w:szCs w:val="22"/>
        </w:rPr>
        <w:t>应认</w:t>
      </w:r>
      <w:r>
        <w:rPr>
          <w:rFonts w:hint="eastAsia" w:ascii="宋体" w:hAnsi="宋体"/>
          <w:b/>
          <w:sz w:val="22"/>
          <w:szCs w:val="22"/>
        </w:rPr>
        <w:t>真</w:t>
      </w:r>
      <w:r>
        <w:rPr>
          <w:rFonts w:ascii="宋体" w:hAnsi="宋体"/>
          <w:b/>
          <w:sz w:val="22"/>
          <w:szCs w:val="22"/>
        </w:rPr>
        <w:t>阅读</w:t>
      </w:r>
      <w:r>
        <w:rPr>
          <w:rFonts w:hint="eastAsia" w:ascii="宋体" w:hAnsi="宋体"/>
          <w:b/>
          <w:sz w:val="22"/>
          <w:szCs w:val="22"/>
        </w:rPr>
        <w:t>采购文件中所有的事</w:t>
      </w:r>
      <w:r>
        <w:rPr>
          <w:rFonts w:ascii="宋体" w:hAnsi="宋体"/>
          <w:b/>
          <w:sz w:val="22"/>
          <w:szCs w:val="22"/>
        </w:rPr>
        <w:t>项</w:t>
      </w:r>
      <w:r>
        <w:rPr>
          <w:rFonts w:hint="eastAsia" w:ascii="宋体" w:hAnsi="宋体"/>
          <w:b/>
          <w:sz w:val="22"/>
          <w:szCs w:val="22"/>
        </w:rPr>
        <w:t>、格式、</w:t>
      </w:r>
      <w:r>
        <w:rPr>
          <w:rFonts w:ascii="宋体" w:hAnsi="宋体"/>
          <w:b/>
          <w:sz w:val="22"/>
          <w:szCs w:val="22"/>
        </w:rPr>
        <w:t>条</w:t>
      </w:r>
      <w:r>
        <w:rPr>
          <w:rFonts w:hint="eastAsia" w:ascii="宋体" w:hAnsi="宋体"/>
          <w:b/>
          <w:sz w:val="22"/>
          <w:szCs w:val="22"/>
        </w:rPr>
        <w:t>款等要求，按要求</w:t>
      </w:r>
      <w:r>
        <w:rPr>
          <w:rFonts w:ascii="宋体" w:hAnsi="宋体"/>
          <w:b/>
          <w:sz w:val="22"/>
          <w:szCs w:val="22"/>
        </w:rPr>
        <w:t>编</w:t>
      </w:r>
      <w:r>
        <w:rPr>
          <w:rFonts w:hint="eastAsia" w:ascii="宋体" w:hAnsi="宋体"/>
          <w:b/>
          <w:sz w:val="22"/>
          <w:szCs w:val="22"/>
        </w:rPr>
        <w:t>制投</w:t>
      </w:r>
      <w:r>
        <w:rPr>
          <w:rFonts w:ascii="宋体" w:hAnsi="宋体"/>
          <w:b/>
          <w:sz w:val="22"/>
          <w:szCs w:val="22"/>
        </w:rPr>
        <w:t>标</w:t>
      </w:r>
      <w:r>
        <w:rPr>
          <w:rFonts w:hint="eastAsia" w:ascii="宋体" w:hAnsi="宋体"/>
          <w:b/>
          <w:sz w:val="22"/>
          <w:szCs w:val="22"/>
        </w:rPr>
        <w:t>文件。未按要求提交全部资料或者投</w:t>
      </w:r>
      <w:r>
        <w:rPr>
          <w:rFonts w:ascii="宋体" w:hAnsi="宋体"/>
          <w:b/>
          <w:sz w:val="22"/>
          <w:szCs w:val="22"/>
        </w:rPr>
        <w:t>标</w:t>
      </w:r>
      <w:r>
        <w:rPr>
          <w:rFonts w:hint="eastAsia" w:ascii="宋体" w:hAnsi="宋体"/>
          <w:b/>
          <w:sz w:val="22"/>
          <w:szCs w:val="22"/>
        </w:rPr>
        <w:t>文件</w:t>
      </w:r>
      <w:r>
        <w:rPr>
          <w:rFonts w:ascii="宋体" w:hAnsi="宋体"/>
          <w:b/>
          <w:sz w:val="22"/>
          <w:szCs w:val="22"/>
        </w:rPr>
        <w:t>没</w:t>
      </w:r>
      <w:r>
        <w:rPr>
          <w:rFonts w:hint="eastAsia" w:ascii="宋体" w:hAnsi="宋体"/>
          <w:b/>
          <w:sz w:val="22"/>
          <w:szCs w:val="22"/>
        </w:rPr>
        <w:t>有</w:t>
      </w:r>
      <w:r>
        <w:rPr>
          <w:rFonts w:ascii="宋体" w:hAnsi="宋体"/>
          <w:b/>
          <w:sz w:val="22"/>
          <w:szCs w:val="22"/>
        </w:rPr>
        <w:t>对</w:t>
      </w:r>
      <w:r>
        <w:rPr>
          <w:rFonts w:hint="eastAsia" w:ascii="宋体" w:hAnsi="宋体"/>
          <w:b/>
          <w:sz w:val="22"/>
          <w:szCs w:val="22"/>
        </w:rPr>
        <w:t>采购文件的要求做出</w:t>
      </w:r>
      <w:r>
        <w:rPr>
          <w:rFonts w:ascii="宋体" w:hAnsi="宋体"/>
          <w:b/>
          <w:sz w:val="22"/>
          <w:szCs w:val="22"/>
        </w:rPr>
        <w:t>实质</w:t>
      </w:r>
      <w:r>
        <w:rPr>
          <w:rFonts w:hint="eastAsia" w:ascii="宋体" w:hAnsi="宋体"/>
          <w:b/>
          <w:sz w:val="22"/>
          <w:szCs w:val="22"/>
        </w:rPr>
        <w:t>性</w:t>
      </w:r>
      <w:r>
        <w:rPr>
          <w:rFonts w:ascii="宋体" w:hAnsi="宋体"/>
          <w:b/>
          <w:sz w:val="22"/>
          <w:szCs w:val="22"/>
        </w:rPr>
        <w:t>响应</w:t>
      </w:r>
      <w:r>
        <w:rPr>
          <w:rFonts w:hint="eastAsia" w:ascii="宋体" w:hAnsi="宋体"/>
          <w:b/>
          <w:sz w:val="22"/>
          <w:szCs w:val="22"/>
        </w:rPr>
        <w:t>，投</w:t>
      </w:r>
      <w:r>
        <w:rPr>
          <w:rFonts w:ascii="宋体" w:hAnsi="宋体"/>
          <w:b/>
          <w:sz w:val="22"/>
          <w:szCs w:val="22"/>
        </w:rPr>
        <w:t>标将</w:t>
      </w:r>
      <w:r>
        <w:rPr>
          <w:rFonts w:hint="eastAsia" w:ascii="宋体" w:hAnsi="宋体"/>
          <w:b/>
          <w:sz w:val="22"/>
          <w:szCs w:val="22"/>
        </w:rPr>
        <w:t>被作</w:t>
      </w:r>
      <w:r>
        <w:rPr>
          <w:rFonts w:ascii="宋体" w:hAnsi="宋体"/>
          <w:b/>
          <w:sz w:val="22"/>
          <w:szCs w:val="22"/>
        </w:rPr>
        <w:t>为无</w:t>
      </w:r>
      <w:r>
        <w:rPr>
          <w:rFonts w:hint="eastAsia" w:ascii="宋体" w:hAnsi="宋体"/>
          <w:b/>
          <w:sz w:val="22"/>
          <w:szCs w:val="22"/>
        </w:rPr>
        <w:t>效投</w:t>
      </w:r>
      <w:r>
        <w:rPr>
          <w:rFonts w:ascii="宋体" w:hAnsi="宋体"/>
          <w:b/>
          <w:sz w:val="22"/>
          <w:szCs w:val="22"/>
        </w:rPr>
        <w:t>标处</w:t>
      </w:r>
      <w:r>
        <w:rPr>
          <w:rFonts w:hint="eastAsia" w:ascii="宋体" w:hAnsi="宋体"/>
          <w:b/>
          <w:sz w:val="22"/>
          <w:szCs w:val="22"/>
        </w:rPr>
        <w:t>理。</w:t>
      </w:r>
    </w:p>
    <w:p>
      <w:pPr>
        <w:spacing w:line="440" w:lineRule="exact"/>
        <w:ind w:firstLine="440" w:firstLineChars="200"/>
        <w:rPr>
          <w:rFonts w:hint="eastAsia" w:ascii="宋体" w:hAnsi="宋体"/>
          <w:sz w:val="22"/>
          <w:szCs w:val="22"/>
        </w:rPr>
      </w:pPr>
      <w:r>
        <w:rPr>
          <w:rFonts w:hint="eastAsia" w:ascii="宋体" w:hAnsi="宋体"/>
          <w:sz w:val="22"/>
          <w:szCs w:val="22"/>
        </w:rPr>
        <w:t>15.2投标文件应字迹清晰，表述正确、完整、详细、并按统一格式填写，装订成册。“开标一览表”系开标仪式上唱标的内容，应按格式完整填写，不得自行增减内容。投标文件因字迹潦草或表达不清楚所引起的后果由投标供应商负责。</w:t>
      </w:r>
    </w:p>
    <w:p>
      <w:pPr>
        <w:spacing w:line="440" w:lineRule="exact"/>
        <w:ind w:firstLine="440" w:firstLineChars="200"/>
        <w:rPr>
          <w:rFonts w:ascii="宋体" w:hAnsi="宋体"/>
          <w:b/>
          <w:sz w:val="22"/>
          <w:szCs w:val="22"/>
        </w:rPr>
      </w:pPr>
      <w:r>
        <w:rPr>
          <w:rFonts w:hint="eastAsia" w:ascii="宋体" w:hAnsi="宋体"/>
          <w:sz w:val="22"/>
          <w:szCs w:val="22"/>
        </w:rPr>
        <w:t>15.3</w:t>
      </w:r>
      <w:r>
        <w:rPr>
          <w:rFonts w:hint="eastAsia" w:ascii="宋体" w:hAnsi="宋体"/>
          <w:b/>
          <w:sz w:val="22"/>
          <w:szCs w:val="22"/>
        </w:rPr>
        <w:t>投</w:t>
      </w:r>
      <w:r>
        <w:rPr>
          <w:rFonts w:ascii="宋体" w:hAnsi="宋体"/>
          <w:b/>
          <w:sz w:val="22"/>
          <w:szCs w:val="22"/>
        </w:rPr>
        <w:t>标</w:t>
      </w:r>
      <w:r>
        <w:rPr>
          <w:rFonts w:hint="eastAsia" w:ascii="宋体" w:hAnsi="宋体"/>
          <w:b/>
          <w:sz w:val="22"/>
          <w:szCs w:val="22"/>
        </w:rPr>
        <w:t>文件所提供的全部</w:t>
      </w:r>
      <w:r>
        <w:rPr>
          <w:rFonts w:ascii="宋体" w:hAnsi="宋体"/>
          <w:b/>
          <w:sz w:val="22"/>
          <w:szCs w:val="22"/>
        </w:rPr>
        <w:t>数</w:t>
      </w:r>
      <w:r>
        <w:rPr>
          <w:rFonts w:hint="eastAsia" w:ascii="宋体" w:hAnsi="宋体"/>
          <w:b/>
          <w:sz w:val="22"/>
          <w:szCs w:val="22"/>
        </w:rPr>
        <w:t>据必</w:t>
      </w:r>
      <w:r>
        <w:rPr>
          <w:rFonts w:ascii="宋体" w:hAnsi="宋体"/>
          <w:b/>
          <w:sz w:val="22"/>
          <w:szCs w:val="22"/>
        </w:rPr>
        <w:t>须</w:t>
      </w:r>
      <w:r>
        <w:rPr>
          <w:rFonts w:hint="eastAsia" w:ascii="宋体" w:hAnsi="宋体"/>
          <w:b/>
          <w:sz w:val="22"/>
          <w:szCs w:val="22"/>
        </w:rPr>
        <w:t>真</w:t>
      </w:r>
      <w:r>
        <w:rPr>
          <w:rFonts w:ascii="宋体" w:hAnsi="宋体"/>
          <w:b/>
          <w:sz w:val="22"/>
          <w:szCs w:val="22"/>
        </w:rPr>
        <w:t>实</w:t>
      </w:r>
      <w:r>
        <w:rPr>
          <w:rFonts w:hint="eastAsia" w:ascii="宋体" w:hAnsi="宋体"/>
          <w:b/>
          <w:sz w:val="22"/>
          <w:szCs w:val="22"/>
        </w:rPr>
        <w:t>可靠。若投</w:t>
      </w:r>
      <w:r>
        <w:rPr>
          <w:rFonts w:ascii="宋体" w:hAnsi="宋体"/>
          <w:b/>
          <w:sz w:val="22"/>
          <w:szCs w:val="22"/>
        </w:rPr>
        <w:t>标</w:t>
      </w:r>
      <w:r>
        <w:rPr>
          <w:rFonts w:hint="eastAsia" w:ascii="宋体" w:hAnsi="宋体"/>
          <w:b/>
          <w:sz w:val="22"/>
          <w:szCs w:val="22"/>
        </w:rPr>
        <w:t>文件填</w:t>
      </w:r>
      <w:r>
        <w:rPr>
          <w:rFonts w:ascii="宋体" w:hAnsi="宋体"/>
          <w:b/>
          <w:sz w:val="22"/>
          <w:szCs w:val="22"/>
        </w:rPr>
        <w:t>报</w:t>
      </w:r>
      <w:r>
        <w:rPr>
          <w:rFonts w:hint="eastAsia" w:ascii="宋体" w:hAnsi="宋体"/>
          <w:b/>
          <w:sz w:val="22"/>
          <w:szCs w:val="22"/>
        </w:rPr>
        <w:t>的</w:t>
      </w:r>
      <w:r>
        <w:rPr>
          <w:rFonts w:ascii="宋体" w:hAnsi="宋体"/>
          <w:b/>
          <w:sz w:val="22"/>
          <w:szCs w:val="22"/>
        </w:rPr>
        <w:t>内</w:t>
      </w:r>
      <w:r>
        <w:rPr>
          <w:rFonts w:hint="eastAsia" w:ascii="宋体" w:hAnsi="宋体"/>
          <w:b/>
          <w:sz w:val="22"/>
          <w:szCs w:val="22"/>
        </w:rPr>
        <w:t>容</w:t>
      </w:r>
      <w:r>
        <w:rPr>
          <w:rFonts w:ascii="宋体" w:hAnsi="宋体"/>
          <w:b/>
          <w:sz w:val="22"/>
          <w:szCs w:val="22"/>
        </w:rPr>
        <w:t>数</w:t>
      </w:r>
      <w:r>
        <w:rPr>
          <w:rFonts w:hint="eastAsia" w:ascii="宋体" w:hAnsi="宋体"/>
          <w:b/>
          <w:sz w:val="22"/>
          <w:szCs w:val="22"/>
        </w:rPr>
        <w:t>据不</w:t>
      </w:r>
      <w:r>
        <w:rPr>
          <w:rFonts w:ascii="宋体" w:hAnsi="宋体"/>
          <w:b/>
          <w:sz w:val="22"/>
          <w:szCs w:val="22"/>
        </w:rPr>
        <w:t>详</w:t>
      </w:r>
      <w:r>
        <w:rPr>
          <w:rFonts w:hint="eastAsia" w:ascii="宋体" w:hAnsi="宋体"/>
          <w:b/>
          <w:sz w:val="22"/>
          <w:szCs w:val="22"/>
        </w:rPr>
        <w:t>，或提供了</w:t>
      </w:r>
      <w:r>
        <w:rPr>
          <w:rFonts w:ascii="宋体" w:hAnsi="宋体"/>
          <w:b/>
          <w:sz w:val="22"/>
          <w:szCs w:val="22"/>
        </w:rPr>
        <w:t>虚假数</w:t>
      </w:r>
      <w:r>
        <w:rPr>
          <w:rFonts w:hint="eastAsia" w:ascii="宋体" w:hAnsi="宋体"/>
          <w:b/>
          <w:sz w:val="22"/>
          <w:szCs w:val="22"/>
        </w:rPr>
        <w:t>据，其投</w:t>
      </w:r>
      <w:r>
        <w:rPr>
          <w:rFonts w:ascii="宋体" w:hAnsi="宋体"/>
          <w:b/>
          <w:sz w:val="22"/>
          <w:szCs w:val="22"/>
        </w:rPr>
        <w:t>标</w:t>
      </w:r>
      <w:r>
        <w:rPr>
          <w:rFonts w:hint="eastAsia" w:ascii="宋体" w:hAnsi="宋体"/>
          <w:b/>
          <w:sz w:val="22"/>
          <w:szCs w:val="22"/>
        </w:rPr>
        <w:t>文件</w:t>
      </w:r>
      <w:r>
        <w:rPr>
          <w:rFonts w:ascii="宋体" w:hAnsi="宋体"/>
          <w:b/>
          <w:sz w:val="22"/>
          <w:szCs w:val="22"/>
        </w:rPr>
        <w:t>为无</w:t>
      </w:r>
      <w:r>
        <w:rPr>
          <w:rFonts w:hint="eastAsia" w:ascii="宋体" w:hAnsi="宋体"/>
          <w:b/>
          <w:sz w:val="22"/>
          <w:szCs w:val="22"/>
        </w:rPr>
        <w:t>效投</w:t>
      </w:r>
      <w:r>
        <w:rPr>
          <w:rFonts w:ascii="宋体" w:hAnsi="宋体"/>
          <w:b/>
          <w:sz w:val="22"/>
          <w:szCs w:val="22"/>
        </w:rPr>
        <w:t>标</w:t>
      </w:r>
      <w:r>
        <w:rPr>
          <w:rFonts w:hint="eastAsia" w:ascii="宋体" w:hAnsi="宋体"/>
          <w:b/>
          <w:sz w:val="22"/>
          <w:szCs w:val="22"/>
        </w:rPr>
        <w:t>文件。</w:t>
      </w:r>
    </w:p>
    <w:p>
      <w:pPr>
        <w:spacing w:line="440" w:lineRule="exact"/>
        <w:ind w:firstLine="440" w:firstLineChars="200"/>
        <w:rPr>
          <w:rFonts w:hint="eastAsia" w:ascii="宋体" w:hAnsi="宋体"/>
          <w:sz w:val="22"/>
          <w:szCs w:val="22"/>
        </w:rPr>
      </w:pPr>
      <w:r>
        <w:rPr>
          <w:rFonts w:hint="eastAsia" w:ascii="宋体" w:hAnsi="宋体"/>
          <w:sz w:val="22"/>
          <w:szCs w:val="22"/>
        </w:rPr>
        <w:t>15.4 对于采购文件具有参数要求的指标进行应答时，必须以所提供服务的具体参数值据实应答，采购文件要求提供生产厂提供的相关技术资料（如样本、制造商盖章的资料等）时应提交。对于采购文件无参数要求的指标的应答，必须明确、直接，无模棱两可的表述。不允许直接拷贝采购文件的技术参数作为应答。</w:t>
      </w:r>
    </w:p>
    <w:p>
      <w:pPr>
        <w:spacing w:line="440" w:lineRule="exact"/>
        <w:ind w:firstLine="440" w:firstLineChars="200"/>
        <w:rPr>
          <w:rFonts w:hint="eastAsia" w:ascii="宋体" w:hAnsi="宋体"/>
          <w:sz w:val="22"/>
          <w:szCs w:val="22"/>
        </w:rPr>
      </w:pPr>
      <w:r>
        <w:rPr>
          <w:rFonts w:hint="eastAsia" w:ascii="宋体" w:hAnsi="宋体"/>
          <w:sz w:val="22"/>
          <w:szCs w:val="22"/>
        </w:rPr>
        <w:t>15.5投标供应商应注意，在技术规格中指出的工艺材料和设备的标准以及参照的牌号或分类号仅起说明作用，并没有任何限制性，投标供应商在投标中可以选用替代标准牌号或分类号，但这些替代要实质上优于或相当于招标技术规格的要求。</w:t>
      </w:r>
    </w:p>
    <w:p>
      <w:pPr>
        <w:pStyle w:val="3"/>
        <w:spacing w:before="0" w:after="0" w:line="440" w:lineRule="exact"/>
        <w:rPr>
          <w:rFonts w:ascii="宋体" w:hAnsi="宋体" w:eastAsia="宋体"/>
          <w:sz w:val="22"/>
          <w:szCs w:val="22"/>
        </w:rPr>
      </w:pPr>
      <w:bookmarkStart w:id="78" w:name="_Toc14965634"/>
      <w:r>
        <w:rPr>
          <w:rFonts w:hint="eastAsia" w:ascii="宋体" w:hAnsi="宋体" w:eastAsia="宋体"/>
          <w:sz w:val="22"/>
          <w:szCs w:val="22"/>
        </w:rPr>
        <w:t>16、投标文件的有效期</w:t>
      </w:r>
      <w:bookmarkEnd w:id="78"/>
    </w:p>
    <w:p>
      <w:pPr>
        <w:spacing w:line="440" w:lineRule="exact"/>
        <w:ind w:firstLine="440" w:firstLineChars="200"/>
        <w:rPr>
          <w:rFonts w:hint="eastAsia" w:ascii="宋体" w:hAnsi="宋体"/>
          <w:sz w:val="22"/>
          <w:szCs w:val="22"/>
        </w:rPr>
      </w:pPr>
      <w:r>
        <w:rPr>
          <w:rFonts w:hint="eastAsia" w:ascii="宋体" w:hAnsi="宋体"/>
          <w:sz w:val="22"/>
          <w:szCs w:val="22"/>
        </w:rPr>
        <w:t>16.1 投标文件应在《投标资料表》规定的投标有效期内保持有效。</w:t>
      </w:r>
      <w:r>
        <w:rPr>
          <w:rFonts w:hint="eastAsia" w:ascii="宋体" w:hAnsi="宋体"/>
          <w:b/>
          <w:sz w:val="22"/>
          <w:szCs w:val="22"/>
          <w:u w:val="single"/>
        </w:rPr>
        <w:t>有效期不足的投标文件将被拒绝</w:t>
      </w:r>
      <w:r>
        <w:rPr>
          <w:rFonts w:hint="eastAsia" w:ascii="宋体" w:hAnsi="宋体"/>
          <w:sz w:val="22"/>
          <w:szCs w:val="22"/>
        </w:rPr>
        <w:t>。</w:t>
      </w:r>
    </w:p>
    <w:p>
      <w:pPr>
        <w:spacing w:line="440" w:lineRule="exact"/>
        <w:ind w:firstLine="440" w:firstLineChars="200"/>
        <w:rPr>
          <w:rFonts w:hint="eastAsia" w:ascii="宋体" w:hAnsi="宋体"/>
          <w:sz w:val="22"/>
          <w:szCs w:val="22"/>
        </w:rPr>
      </w:pPr>
      <w:r>
        <w:rPr>
          <w:rFonts w:hint="eastAsia" w:ascii="宋体" w:hAnsi="宋体"/>
          <w:sz w:val="22"/>
          <w:szCs w:val="22"/>
        </w:rPr>
        <w:t>16.2在特殊情况下，采购人可与投标供应商协商延长投标书的有效期，这种要求和答复均以书面（含传真）形式进行。</w:t>
      </w:r>
    </w:p>
    <w:p>
      <w:pPr>
        <w:spacing w:line="440" w:lineRule="exact"/>
        <w:ind w:firstLine="440" w:firstLineChars="200"/>
        <w:rPr>
          <w:rFonts w:hint="eastAsia" w:ascii="宋体" w:hAnsi="宋体"/>
          <w:sz w:val="22"/>
          <w:szCs w:val="22"/>
        </w:rPr>
      </w:pPr>
      <w:r>
        <w:rPr>
          <w:rFonts w:hint="eastAsia" w:ascii="宋体" w:hAnsi="宋体"/>
          <w:sz w:val="22"/>
          <w:szCs w:val="22"/>
        </w:rPr>
        <w:t>16.3投标供应商可拒绝接受延期要求而不会导致投标保证金被没收。同意延长有效期的投标供应商需要相应延长投标保证金的有效期，但不能修改投标文件。</w:t>
      </w:r>
    </w:p>
    <w:p>
      <w:pPr>
        <w:spacing w:line="440" w:lineRule="exact"/>
        <w:ind w:firstLine="440" w:firstLineChars="200"/>
        <w:rPr>
          <w:rFonts w:ascii="宋体" w:hAnsi="宋体"/>
          <w:sz w:val="22"/>
          <w:szCs w:val="22"/>
        </w:rPr>
      </w:pPr>
      <w:r>
        <w:rPr>
          <w:rFonts w:hint="eastAsia" w:ascii="宋体" w:hAnsi="宋体"/>
          <w:sz w:val="22"/>
          <w:szCs w:val="22"/>
        </w:rPr>
        <w:t>16.4中标投标供应商的投标文件自开标之日起至合同履行完毕止均应保持有效。</w:t>
      </w:r>
    </w:p>
    <w:p>
      <w:pPr>
        <w:pStyle w:val="3"/>
        <w:spacing w:before="0" w:after="0" w:line="440" w:lineRule="exact"/>
        <w:rPr>
          <w:rFonts w:ascii="宋体" w:hAnsi="宋体" w:eastAsia="宋体"/>
          <w:sz w:val="22"/>
          <w:szCs w:val="22"/>
        </w:rPr>
      </w:pPr>
      <w:bookmarkStart w:id="79" w:name="_Toc14965635"/>
      <w:r>
        <w:rPr>
          <w:rFonts w:hint="eastAsia" w:ascii="宋体" w:hAnsi="宋体" w:eastAsia="宋体"/>
          <w:sz w:val="22"/>
          <w:szCs w:val="22"/>
        </w:rPr>
        <w:t>17、投标保证金</w:t>
      </w:r>
      <w:bookmarkEnd w:id="79"/>
      <w:r>
        <w:rPr>
          <w:rFonts w:hint="eastAsia" w:ascii="宋体" w:hAnsi="宋体" w:eastAsia="宋体"/>
          <w:sz w:val="22"/>
          <w:szCs w:val="22"/>
        </w:rPr>
        <w:t>(如有)</w:t>
      </w:r>
    </w:p>
    <w:p>
      <w:pPr>
        <w:spacing w:line="440" w:lineRule="exact"/>
        <w:ind w:firstLine="440" w:firstLineChars="200"/>
        <w:rPr>
          <w:rFonts w:ascii="宋体" w:hAnsi="宋体"/>
          <w:sz w:val="22"/>
          <w:szCs w:val="22"/>
        </w:rPr>
      </w:pPr>
      <w:r>
        <w:rPr>
          <w:rFonts w:hint="eastAsia" w:ascii="宋体" w:hAnsi="宋体"/>
          <w:sz w:val="22"/>
          <w:szCs w:val="22"/>
        </w:rPr>
        <w:t>17.1 投标供应商应按《投标资料表》的规定足额、</w:t>
      </w:r>
      <w:r>
        <w:rPr>
          <w:rFonts w:ascii="宋体" w:hAnsi="宋体"/>
          <w:sz w:val="22"/>
          <w:szCs w:val="22"/>
        </w:rPr>
        <w:t>及时</w:t>
      </w:r>
      <w:r>
        <w:rPr>
          <w:rFonts w:hint="eastAsia" w:ascii="宋体" w:hAnsi="宋体"/>
          <w:sz w:val="22"/>
          <w:szCs w:val="22"/>
        </w:rPr>
        <w:t>提交投标保证金。</w:t>
      </w:r>
    </w:p>
    <w:p>
      <w:pPr>
        <w:spacing w:line="440" w:lineRule="exact"/>
        <w:ind w:firstLine="440" w:firstLineChars="200"/>
        <w:rPr>
          <w:rFonts w:ascii="宋体" w:hAnsi="宋体"/>
          <w:sz w:val="22"/>
          <w:szCs w:val="22"/>
        </w:rPr>
      </w:pPr>
      <w:r>
        <w:rPr>
          <w:rFonts w:hint="eastAsia" w:ascii="宋体" w:hAnsi="宋体"/>
          <w:sz w:val="22"/>
          <w:szCs w:val="22"/>
        </w:rPr>
        <w:t>17.2 当采购代理机构和采购人因投标供应商行为受到损害时，可依据本节第17.</w:t>
      </w:r>
      <w:r>
        <w:rPr>
          <w:rFonts w:ascii="宋体" w:hAnsi="宋体"/>
          <w:sz w:val="22"/>
          <w:szCs w:val="22"/>
        </w:rPr>
        <w:t>5</w:t>
      </w:r>
      <w:r>
        <w:rPr>
          <w:rFonts w:hint="eastAsia" w:ascii="宋体" w:hAnsi="宋体"/>
          <w:sz w:val="22"/>
          <w:szCs w:val="22"/>
        </w:rPr>
        <w:t>条的规定，没收投标供应商的投标保证金。</w:t>
      </w:r>
    </w:p>
    <w:p>
      <w:pPr>
        <w:spacing w:line="440" w:lineRule="exact"/>
        <w:ind w:firstLine="440" w:firstLineChars="200"/>
        <w:rPr>
          <w:rFonts w:ascii="宋体" w:hAnsi="宋体"/>
          <w:sz w:val="22"/>
          <w:szCs w:val="22"/>
        </w:rPr>
      </w:pPr>
      <w:r>
        <w:rPr>
          <w:rFonts w:hint="eastAsia" w:ascii="宋体" w:hAnsi="宋体"/>
          <w:sz w:val="22"/>
          <w:szCs w:val="22"/>
        </w:rPr>
        <w:t>17.3 投标保证金交纳形式应</w:t>
      </w:r>
      <w:r>
        <w:rPr>
          <w:rFonts w:hint="eastAsia" w:ascii="宋体" w:hAnsi="宋体"/>
          <w:color w:val="000000"/>
          <w:sz w:val="22"/>
          <w:szCs w:val="22"/>
        </w:rPr>
        <w:t>符合</w:t>
      </w:r>
      <w:r>
        <w:rPr>
          <w:rFonts w:hint="eastAsia" w:ascii="宋体" w:hAnsi="宋体"/>
          <w:sz w:val="22"/>
          <w:szCs w:val="22"/>
        </w:rPr>
        <w:t>《投标资料表》的规定。</w:t>
      </w:r>
    </w:p>
    <w:p>
      <w:pPr>
        <w:spacing w:line="440" w:lineRule="exact"/>
        <w:ind w:firstLine="440" w:firstLineChars="200"/>
        <w:rPr>
          <w:rFonts w:ascii="宋体" w:hAnsi="宋体"/>
          <w:sz w:val="22"/>
          <w:szCs w:val="22"/>
        </w:rPr>
      </w:pPr>
      <w:r>
        <w:rPr>
          <w:rFonts w:hint="eastAsia" w:ascii="宋体" w:hAnsi="宋体"/>
          <w:sz w:val="22"/>
          <w:szCs w:val="22"/>
        </w:rPr>
        <w:t>17.4 投标保证金的退还按《投标资料表》</w:t>
      </w:r>
      <w:r>
        <w:rPr>
          <w:rFonts w:ascii="宋体" w:hAnsi="宋体"/>
          <w:sz w:val="22"/>
          <w:szCs w:val="22"/>
        </w:rPr>
        <w:t>10</w:t>
      </w:r>
      <w:r>
        <w:rPr>
          <w:rFonts w:hint="eastAsia" w:ascii="宋体" w:hAnsi="宋体"/>
          <w:sz w:val="22"/>
          <w:szCs w:val="22"/>
        </w:rPr>
        <w:t>条的规定执行。</w:t>
      </w:r>
    </w:p>
    <w:p>
      <w:pPr>
        <w:spacing w:line="440" w:lineRule="exact"/>
        <w:ind w:firstLine="440" w:firstLineChars="200"/>
        <w:rPr>
          <w:rFonts w:ascii="宋体" w:hAnsi="宋体"/>
          <w:bCs/>
          <w:color w:val="000000"/>
          <w:sz w:val="22"/>
          <w:szCs w:val="22"/>
        </w:rPr>
      </w:pPr>
      <w:r>
        <w:rPr>
          <w:rFonts w:hint="eastAsia" w:ascii="宋体" w:hAnsi="宋体"/>
          <w:color w:val="000000"/>
          <w:sz w:val="22"/>
          <w:szCs w:val="22"/>
        </w:rPr>
        <w:t>17.</w:t>
      </w:r>
      <w:r>
        <w:rPr>
          <w:rFonts w:ascii="宋体" w:hAnsi="宋体"/>
          <w:color w:val="000000"/>
          <w:sz w:val="22"/>
          <w:szCs w:val="22"/>
        </w:rPr>
        <w:t>5</w:t>
      </w:r>
      <w:r>
        <w:rPr>
          <w:rFonts w:hint="eastAsia" w:ascii="宋体" w:hAnsi="宋体"/>
          <w:b/>
          <w:bCs/>
          <w:color w:val="000000"/>
          <w:sz w:val="22"/>
          <w:szCs w:val="22"/>
        </w:rPr>
        <w:t>投标供应商有下列情形之一的，投标保证金将不予退还</w:t>
      </w:r>
      <w:r>
        <w:rPr>
          <w:rFonts w:hint="eastAsia" w:ascii="宋体" w:hAnsi="宋体"/>
          <w:bCs/>
          <w:color w:val="000000"/>
          <w:sz w:val="22"/>
          <w:szCs w:val="22"/>
        </w:rPr>
        <w:t>：</w:t>
      </w:r>
    </w:p>
    <w:p>
      <w:pPr>
        <w:spacing w:line="440" w:lineRule="exact"/>
        <w:ind w:firstLine="330" w:firstLineChars="150"/>
        <w:rPr>
          <w:rFonts w:ascii="宋体" w:hAnsi="宋体"/>
          <w:color w:val="000000"/>
          <w:sz w:val="22"/>
          <w:szCs w:val="22"/>
        </w:rPr>
      </w:pPr>
      <w:r>
        <w:rPr>
          <w:rFonts w:hint="eastAsia" w:ascii="宋体" w:hAnsi="宋体"/>
          <w:color w:val="000000"/>
          <w:sz w:val="22"/>
          <w:szCs w:val="22"/>
        </w:rPr>
        <w:t>（1）投标供应商在投标有效期内撤回投标文件的；</w:t>
      </w:r>
    </w:p>
    <w:p>
      <w:pPr>
        <w:spacing w:line="440" w:lineRule="exact"/>
        <w:ind w:firstLine="330" w:firstLineChars="150"/>
        <w:rPr>
          <w:rFonts w:ascii="宋体" w:hAnsi="宋体"/>
          <w:sz w:val="22"/>
          <w:szCs w:val="22"/>
        </w:rPr>
      </w:pPr>
      <w:r>
        <w:rPr>
          <w:rFonts w:hint="eastAsia" w:ascii="宋体" w:hAnsi="宋体"/>
          <w:color w:val="000000"/>
          <w:sz w:val="22"/>
          <w:szCs w:val="22"/>
        </w:rPr>
        <w:t>（2）</w:t>
      </w:r>
      <w:r>
        <w:rPr>
          <w:rFonts w:hint="eastAsia" w:ascii="宋体" w:hAnsi="宋体"/>
          <w:sz w:val="22"/>
          <w:szCs w:val="22"/>
        </w:rPr>
        <w:t>投标供应商在投标过程中弄虚作假，提供虚假材料的；</w:t>
      </w:r>
    </w:p>
    <w:p>
      <w:pPr>
        <w:spacing w:line="440" w:lineRule="exact"/>
        <w:ind w:firstLine="330" w:firstLineChars="150"/>
        <w:rPr>
          <w:rFonts w:ascii="宋体" w:hAnsi="宋体"/>
          <w:sz w:val="22"/>
          <w:szCs w:val="22"/>
        </w:rPr>
      </w:pPr>
      <w:r>
        <w:rPr>
          <w:rFonts w:hint="eastAsia" w:ascii="宋体" w:hAnsi="宋体"/>
          <w:color w:val="000000"/>
          <w:sz w:val="22"/>
          <w:szCs w:val="22"/>
        </w:rPr>
        <w:t>（3）</w:t>
      </w:r>
      <w:r>
        <w:rPr>
          <w:rFonts w:hint="eastAsia" w:ascii="宋体" w:hAnsi="宋体"/>
          <w:sz w:val="22"/>
          <w:szCs w:val="22"/>
        </w:rPr>
        <w:t>中标投标供应商无正当理由不与采购人签订合同的；</w:t>
      </w:r>
    </w:p>
    <w:p>
      <w:pPr>
        <w:spacing w:line="440" w:lineRule="exact"/>
        <w:ind w:firstLine="330" w:firstLineChars="150"/>
        <w:rPr>
          <w:rFonts w:ascii="宋体" w:hAnsi="宋体"/>
          <w:sz w:val="22"/>
          <w:szCs w:val="22"/>
        </w:rPr>
      </w:pPr>
      <w:r>
        <w:rPr>
          <w:rFonts w:hint="eastAsia" w:ascii="宋体" w:hAnsi="宋体"/>
          <w:sz w:val="22"/>
          <w:szCs w:val="22"/>
        </w:rPr>
        <w:t>（4）其他严重扰乱招投标程序的；</w:t>
      </w:r>
    </w:p>
    <w:p>
      <w:pPr>
        <w:spacing w:line="440" w:lineRule="exact"/>
        <w:ind w:firstLine="440" w:firstLineChars="200"/>
        <w:rPr>
          <w:rFonts w:ascii="宋体" w:hAnsi="宋体"/>
          <w:bCs/>
          <w:color w:val="000000"/>
          <w:sz w:val="22"/>
          <w:szCs w:val="22"/>
        </w:rPr>
      </w:pPr>
      <w:r>
        <w:rPr>
          <w:rFonts w:hint="eastAsia" w:ascii="宋体" w:hAnsi="宋体"/>
          <w:bCs/>
          <w:color w:val="000000"/>
          <w:sz w:val="22"/>
          <w:szCs w:val="22"/>
        </w:rPr>
        <w:t>17.</w:t>
      </w:r>
      <w:r>
        <w:rPr>
          <w:rFonts w:ascii="宋体" w:hAnsi="宋体"/>
          <w:bCs/>
          <w:color w:val="000000"/>
          <w:sz w:val="22"/>
          <w:szCs w:val="22"/>
        </w:rPr>
        <w:t>6</w:t>
      </w:r>
      <w:r>
        <w:rPr>
          <w:rFonts w:hint="eastAsia" w:ascii="宋体" w:hAnsi="宋体"/>
          <w:bCs/>
          <w:color w:val="000000"/>
          <w:sz w:val="22"/>
          <w:szCs w:val="22"/>
        </w:rPr>
        <w:t xml:space="preserve"> 中标(成交)供应商若不按本须知规定支付采购代理服务费的，本采购代理机构有权扣没其投标保证金，并向其追索不足部分。</w:t>
      </w:r>
    </w:p>
    <w:p>
      <w:pPr>
        <w:pStyle w:val="3"/>
        <w:spacing w:before="0" w:after="0" w:line="440" w:lineRule="exact"/>
        <w:rPr>
          <w:rFonts w:ascii="宋体" w:hAnsi="宋体" w:eastAsia="宋体"/>
          <w:sz w:val="22"/>
          <w:szCs w:val="22"/>
        </w:rPr>
      </w:pPr>
      <w:bookmarkStart w:id="80" w:name="_Toc14965636"/>
      <w:r>
        <w:rPr>
          <w:rFonts w:hint="eastAsia" w:ascii="宋体" w:hAnsi="宋体" w:eastAsia="宋体"/>
          <w:sz w:val="22"/>
          <w:szCs w:val="22"/>
        </w:rPr>
        <w:t>18、投标文件的签署及装订</w:t>
      </w:r>
      <w:bookmarkEnd w:id="80"/>
    </w:p>
    <w:p>
      <w:pPr>
        <w:spacing w:line="440" w:lineRule="exact"/>
        <w:ind w:firstLine="440" w:firstLineChars="200"/>
        <w:rPr>
          <w:rFonts w:ascii="宋体" w:hAnsi="宋体"/>
          <w:color w:val="000000"/>
          <w:sz w:val="22"/>
          <w:szCs w:val="22"/>
        </w:rPr>
      </w:pPr>
      <w:r>
        <w:rPr>
          <w:rFonts w:hint="eastAsia" w:ascii="宋体" w:hAnsi="宋体"/>
          <w:color w:val="000000"/>
          <w:sz w:val="22"/>
          <w:szCs w:val="22"/>
        </w:rPr>
        <w:t>18.1 组成投标文件的各项资料（见本须知第13条）须按本条要求签署、制作。对本册第七部分《投标文件格式(部分)》提供的各种文件，投标供应商应按要求填写、签署和加盖公章。</w:t>
      </w:r>
    </w:p>
    <w:p>
      <w:pPr>
        <w:spacing w:line="440" w:lineRule="exact"/>
        <w:ind w:firstLine="440" w:firstLineChars="200"/>
        <w:rPr>
          <w:rFonts w:ascii="宋体" w:hAnsi="宋体"/>
          <w:color w:val="000000"/>
          <w:sz w:val="22"/>
          <w:szCs w:val="22"/>
        </w:rPr>
      </w:pPr>
      <w:r>
        <w:rPr>
          <w:rFonts w:hint="eastAsia" w:ascii="宋体" w:hAnsi="宋体"/>
          <w:color w:val="000000"/>
          <w:sz w:val="22"/>
          <w:szCs w:val="22"/>
        </w:rPr>
        <w:t>★18.2 投标文件应按各组成部分内容进行整理、编排、立目、索引、注明页码，以有利阅读评审，</w:t>
      </w:r>
      <w:r>
        <w:rPr>
          <w:rFonts w:hint="eastAsia" w:ascii="宋体" w:hAnsi="宋体"/>
          <w:sz w:val="22"/>
          <w:szCs w:val="22"/>
        </w:rPr>
        <w:t>投标文件内容不完整、编排混乱导致投标文件被误读、漏读或者查找不到相关内容的，是投标供应商的责任</w:t>
      </w:r>
      <w:r>
        <w:rPr>
          <w:rFonts w:hint="eastAsia" w:ascii="宋体" w:hAnsi="宋体"/>
          <w:color w:val="000000"/>
          <w:sz w:val="22"/>
          <w:szCs w:val="22"/>
        </w:rPr>
        <w:t>。</w:t>
      </w:r>
    </w:p>
    <w:p>
      <w:pPr>
        <w:spacing w:line="440" w:lineRule="exact"/>
        <w:ind w:firstLine="440" w:firstLineChars="200"/>
        <w:rPr>
          <w:rFonts w:ascii="宋体" w:hAnsi="宋体"/>
          <w:sz w:val="22"/>
          <w:szCs w:val="22"/>
        </w:rPr>
      </w:pPr>
      <w:r>
        <w:rPr>
          <w:rFonts w:hint="eastAsia" w:ascii="宋体" w:hAnsi="宋体"/>
          <w:sz w:val="22"/>
          <w:szCs w:val="22"/>
        </w:rPr>
        <w:t>18.</w:t>
      </w:r>
      <w:r>
        <w:rPr>
          <w:rFonts w:ascii="宋体" w:hAnsi="宋体"/>
          <w:sz w:val="22"/>
          <w:szCs w:val="22"/>
        </w:rPr>
        <w:t>3</w:t>
      </w:r>
      <w:r>
        <w:rPr>
          <w:rFonts w:hint="eastAsia" w:ascii="宋体" w:hAnsi="宋体"/>
          <w:sz w:val="22"/>
          <w:szCs w:val="22"/>
        </w:rPr>
        <w:t>投标文件一般不得涂改和增删，若发现有错漏需要修改，在涂改或增删处必须由投标供应商法定代表人(或单位负责人，或</w:t>
      </w:r>
      <w:r>
        <w:rPr>
          <w:rFonts w:ascii="宋体" w:hAnsi="宋体"/>
          <w:sz w:val="22"/>
          <w:szCs w:val="22"/>
        </w:rPr>
        <w:t>其被授权代表</w:t>
      </w:r>
      <w:r>
        <w:rPr>
          <w:rFonts w:hint="eastAsia" w:ascii="宋体" w:hAnsi="宋体"/>
          <w:sz w:val="22"/>
          <w:szCs w:val="22"/>
        </w:rPr>
        <w:t>)签字或盖章。否则评标委员会将不接受该修改。</w:t>
      </w:r>
    </w:p>
    <w:p>
      <w:pPr>
        <w:spacing w:line="440" w:lineRule="exact"/>
        <w:ind w:firstLine="440" w:firstLineChars="200"/>
        <w:rPr>
          <w:rFonts w:ascii="宋体" w:hAnsi="宋体"/>
          <w:sz w:val="22"/>
          <w:szCs w:val="22"/>
        </w:rPr>
      </w:pPr>
      <w:r>
        <w:rPr>
          <w:rFonts w:hint="eastAsia" w:ascii="宋体" w:hAnsi="宋体"/>
          <w:sz w:val="22"/>
          <w:szCs w:val="22"/>
        </w:rPr>
        <w:t>18.</w:t>
      </w:r>
      <w:r>
        <w:rPr>
          <w:rFonts w:ascii="宋体" w:hAnsi="宋体"/>
          <w:sz w:val="22"/>
          <w:szCs w:val="22"/>
        </w:rPr>
        <w:t>4</w:t>
      </w:r>
      <w:r>
        <w:rPr>
          <w:rFonts w:hint="eastAsia" w:ascii="宋体" w:hAnsi="宋体"/>
          <w:sz w:val="22"/>
          <w:szCs w:val="22"/>
        </w:rPr>
        <w:t>投标供应商在投标文件及相关文件的签订、履行、通知等事项书面文件中的单位盖章、印章、公章等处均仅指与当事人名称全称相一致的标准公章，不得使用其他形式（如带有“</w:t>
      </w:r>
      <w:r>
        <w:rPr>
          <w:rFonts w:hint="eastAsia" w:ascii="宋体" w:hAnsi="宋体"/>
          <w:color w:val="7030A0"/>
          <w:sz w:val="22"/>
          <w:szCs w:val="22"/>
        </w:rPr>
        <w:t>专用章</w:t>
      </w:r>
      <w:r>
        <w:rPr>
          <w:rFonts w:hint="eastAsia" w:ascii="宋体" w:hAnsi="宋体"/>
          <w:sz w:val="22"/>
          <w:szCs w:val="22"/>
        </w:rPr>
        <w:t>”、“</w:t>
      </w:r>
      <w:r>
        <w:rPr>
          <w:rFonts w:ascii="宋体" w:hAnsi="宋体"/>
          <w:color w:val="7030A0"/>
          <w:sz w:val="22"/>
          <w:szCs w:val="22"/>
        </w:rPr>
        <w:t>签</w:t>
      </w:r>
      <w:r>
        <w:rPr>
          <w:rFonts w:hint="eastAsia" w:ascii="宋体" w:hAnsi="宋体"/>
          <w:color w:val="7030A0"/>
          <w:sz w:val="22"/>
          <w:szCs w:val="22"/>
        </w:rPr>
        <w:t>名</w:t>
      </w:r>
      <w:r>
        <w:rPr>
          <w:rFonts w:ascii="宋体" w:hAnsi="宋体"/>
          <w:color w:val="7030A0"/>
          <w:sz w:val="22"/>
          <w:szCs w:val="22"/>
        </w:rPr>
        <w:t>章</w:t>
      </w:r>
      <w:r>
        <w:rPr>
          <w:rFonts w:hint="eastAsia" w:ascii="宋体" w:hAnsi="宋体"/>
          <w:sz w:val="22"/>
          <w:szCs w:val="22"/>
        </w:rPr>
        <w:t>”等字样）的印章，否则将被视为无效。</w:t>
      </w:r>
    </w:p>
    <w:p>
      <w:pPr>
        <w:pStyle w:val="3"/>
        <w:spacing w:before="0" w:after="0" w:line="440" w:lineRule="exact"/>
        <w:rPr>
          <w:rFonts w:ascii="宋体" w:hAnsi="宋体" w:eastAsia="宋体"/>
          <w:sz w:val="22"/>
          <w:szCs w:val="22"/>
        </w:rPr>
      </w:pPr>
      <w:bookmarkStart w:id="81" w:name="_Toc14965638"/>
      <w:r>
        <w:rPr>
          <w:rFonts w:ascii="宋体" w:hAnsi="宋体" w:eastAsia="宋体"/>
          <w:sz w:val="22"/>
          <w:szCs w:val="22"/>
        </w:rPr>
        <w:t>19</w:t>
      </w:r>
      <w:r>
        <w:rPr>
          <w:rFonts w:hint="eastAsia" w:ascii="宋体" w:hAnsi="宋体" w:eastAsia="宋体"/>
          <w:sz w:val="22"/>
          <w:szCs w:val="22"/>
        </w:rPr>
        <w:t>、★投标</w:t>
      </w:r>
      <w:bookmarkEnd w:id="81"/>
    </w:p>
    <w:p>
      <w:pPr>
        <w:spacing w:line="440" w:lineRule="exact"/>
        <w:ind w:firstLine="440" w:firstLineChars="200"/>
        <w:rPr>
          <w:rFonts w:ascii="宋体" w:hAnsi="宋体"/>
          <w:sz w:val="22"/>
          <w:szCs w:val="22"/>
        </w:rPr>
      </w:pPr>
      <w:r>
        <w:rPr>
          <w:rFonts w:ascii="宋体" w:hAnsi="宋体"/>
          <w:sz w:val="22"/>
          <w:szCs w:val="22"/>
        </w:rPr>
        <w:t>19</w:t>
      </w:r>
      <w:r>
        <w:rPr>
          <w:rFonts w:hint="eastAsia" w:ascii="宋体" w:hAnsi="宋体"/>
          <w:sz w:val="22"/>
          <w:szCs w:val="22"/>
        </w:rPr>
        <w:t>.1</w:t>
      </w:r>
      <w:r>
        <w:rPr>
          <w:rFonts w:hint="eastAsia" w:ascii="宋体" w:hAnsi="宋体"/>
          <w:color w:val="7030A0"/>
          <w:sz w:val="22"/>
          <w:szCs w:val="22"/>
        </w:rPr>
        <w:t>在《投标资料表》中规定的投标截止时间前，“电子加密投标文件”必须上传至“政采云”平台，逾期上传或上传不成功的，其投标无效。投标人还可以通过邮寄或现场递交方式递交“备份电子投标文件”或“纸质投标文件”，采用现场递交方式的请于上述投标截止时间前递交至本项目开标地点，逾期收到的“备份电子投标文件”或“纸质投标文件”不予接受。</w:t>
      </w:r>
    </w:p>
    <w:p>
      <w:pPr>
        <w:pStyle w:val="3"/>
        <w:spacing w:before="0" w:after="0" w:line="440" w:lineRule="exact"/>
        <w:rPr>
          <w:rFonts w:ascii="宋体" w:hAnsi="宋体" w:eastAsia="宋体"/>
          <w:sz w:val="22"/>
          <w:szCs w:val="22"/>
        </w:rPr>
      </w:pPr>
      <w:bookmarkStart w:id="82" w:name="_Toc14965639"/>
      <w:r>
        <w:rPr>
          <w:rFonts w:hint="eastAsia" w:ascii="宋体" w:hAnsi="宋体" w:eastAsia="宋体"/>
          <w:sz w:val="22"/>
          <w:szCs w:val="22"/>
        </w:rPr>
        <w:t>20、投标文件的修改和撤回</w:t>
      </w:r>
      <w:bookmarkEnd w:id="82"/>
    </w:p>
    <w:p>
      <w:pPr>
        <w:spacing w:line="440" w:lineRule="exact"/>
        <w:ind w:firstLine="440" w:firstLineChars="200"/>
        <w:rPr>
          <w:rFonts w:hint="eastAsia" w:ascii="宋体" w:hAnsi="宋体"/>
          <w:sz w:val="22"/>
          <w:szCs w:val="22"/>
        </w:rPr>
      </w:pPr>
      <w:r>
        <w:rPr>
          <w:rFonts w:hint="eastAsia" w:ascii="宋体" w:hAnsi="宋体"/>
          <w:sz w:val="22"/>
          <w:szCs w:val="22"/>
        </w:rPr>
        <w:t>2</w:t>
      </w:r>
      <w:r>
        <w:rPr>
          <w:rFonts w:ascii="宋体" w:hAnsi="宋体"/>
          <w:sz w:val="22"/>
          <w:szCs w:val="22"/>
        </w:rPr>
        <w:t>0</w:t>
      </w:r>
      <w:r>
        <w:rPr>
          <w:rFonts w:hint="eastAsia" w:ascii="宋体" w:hAnsi="宋体"/>
          <w:sz w:val="22"/>
          <w:szCs w:val="22"/>
        </w:rPr>
        <w:t>.1投标供应商在投标截止时间之前，可以通过</w:t>
      </w:r>
      <w:r>
        <w:rPr>
          <w:rFonts w:ascii="宋体" w:hAnsi="宋体"/>
          <w:sz w:val="22"/>
          <w:szCs w:val="22"/>
        </w:rPr>
        <w:t>“</w:t>
      </w:r>
      <w:r>
        <w:rPr>
          <w:rFonts w:hint="eastAsia" w:ascii="宋体" w:hAnsi="宋体"/>
          <w:sz w:val="22"/>
          <w:szCs w:val="22"/>
        </w:rPr>
        <w:t>政采云</w:t>
      </w:r>
      <w:r>
        <w:rPr>
          <w:rFonts w:ascii="宋体" w:hAnsi="宋体"/>
          <w:sz w:val="22"/>
          <w:szCs w:val="22"/>
        </w:rPr>
        <w:t>”</w:t>
      </w:r>
      <w:r>
        <w:rPr>
          <w:rFonts w:hint="eastAsia" w:ascii="宋体" w:hAnsi="宋体"/>
          <w:sz w:val="22"/>
          <w:szCs w:val="22"/>
        </w:rPr>
        <w:t>平台对已提交的投标文件进行修改、补充或撤回。</w:t>
      </w:r>
    </w:p>
    <w:p>
      <w:pPr>
        <w:spacing w:line="440" w:lineRule="exact"/>
        <w:ind w:firstLine="440" w:firstLineChars="200"/>
        <w:rPr>
          <w:rFonts w:ascii="宋体" w:hAnsi="宋体"/>
          <w:color w:val="000000"/>
          <w:sz w:val="22"/>
          <w:szCs w:val="22"/>
        </w:rPr>
      </w:pPr>
      <w:r>
        <w:rPr>
          <w:rFonts w:hint="eastAsia" w:ascii="宋体" w:hAnsi="宋体"/>
          <w:sz w:val="22"/>
          <w:szCs w:val="22"/>
        </w:rPr>
        <w:t>2</w:t>
      </w:r>
      <w:r>
        <w:rPr>
          <w:rFonts w:ascii="宋体" w:hAnsi="宋体"/>
          <w:sz w:val="22"/>
          <w:szCs w:val="22"/>
        </w:rPr>
        <w:t>0</w:t>
      </w:r>
      <w:r>
        <w:rPr>
          <w:rFonts w:hint="eastAsia" w:ascii="宋体" w:hAnsi="宋体"/>
          <w:sz w:val="22"/>
          <w:szCs w:val="22"/>
        </w:rPr>
        <w:t xml:space="preserve">.3 </w:t>
      </w:r>
      <w:r>
        <w:rPr>
          <w:rFonts w:hint="eastAsia" w:ascii="宋体" w:hAnsi="宋体"/>
          <w:b/>
          <w:sz w:val="22"/>
          <w:szCs w:val="22"/>
          <w:u w:val="single"/>
        </w:rPr>
        <w:t>在投标截止时间之后，投标供应商不得对其投标文件进行修改</w:t>
      </w:r>
      <w:r>
        <w:rPr>
          <w:rFonts w:hint="eastAsia" w:ascii="宋体" w:hAnsi="宋体"/>
          <w:sz w:val="22"/>
          <w:szCs w:val="22"/>
          <w:u w:val="single"/>
        </w:rPr>
        <w:t>。</w:t>
      </w:r>
      <w:r>
        <w:rPr>
          <w:rFonts w:hint="eastAsia" w:ascii="宋体" w:hAnsi="宋体"/>
          <w:sz w:val="22"/>
          <w:szCs w:val="22"/>
        </w:rPr>
        <w:t>投标截止时间到达后或开标以后投标供应商撤回投标的，其投标保证金按第17.6条处理。</w:t>
      </w:r>
    </w:p>
    <w:p>
      <w:pPr>
        <w:pStyle w:val="3"/>
        <w:spacing w:before="0" w:after="0" w:line="440" w:lineRule="exact"/>
        <w:rPr>
          <w:rFonts w:ascii="宋体" w:hAnsi="宋体" w:eastAsia="宋体"/>
          <w:sz w:val="22"/>
          <w:szCs w:val="22"/>
        </w:rPr>
      </w:pPr>
      <w:bookmarkStart w:id="83" w:name="_Toc14965640"/>
      <w:r>
        <w:rPr>
          <w:rFonts w:hint="eastAsia" w:ascii="宋体" w:hAnsi="宋体" w:eastAsia="宋体"/>
          <w:sz w:val="22"/>
          <w:szCs w:val="22"/>
        </w:rPr>
        <w:t>21、开标</w:t>
      </w:r>
      <w:bookmarkEnd w:id="83"/>
    </w:p>
    <w:p>
      <w:pPr>
        <w:spacing w:line="440" w:lineRule="exact"/>
        <w:ind w:firstLine="440" w:firstLineChars="200"/>
        <w:rPr>
          <w:rFonts w:hint="eastAsia" w:ascii="宋体" w:hAnsi="宋体"/>
          <w:sz w:val="22"/>
          <w:szCs w:val="22"/>
        </w:rPr>
      </w:pPr>
      <w:r>
        <w:rPr>
          <w:rFonts w:hint="eastAsia" w:ascii="宋体" w:hAnsi="宋体"/>
          <w:sz w:val="22"/>
          <w:szCs w:val="22"/>
        </w:rPr>
        <w:t>21.1 采购代理机构按《投标资料表》规定的时间、地点主持公开开标。</w:t>
      </w:r>
    </w:p>
    <w:p>
      <w:pPr>
        <w:spacing w:line="440" w:lineRule="exact"/>
        <w:ind w:firstLine="440" w:firstLineChars="200"/>
        <w:rPr>
          <w:rFonts w:ascii="宋体" w:hAnsi="宋体"/>
          <w:sz w:val="22"/>
          <w:szCs w:val="22"/>
        </w:rPr>
      </w:pPr>
      <w:r>
        <w:rPr>
          <w:rFonts w:hint="eastAsia" w:ascii="宋体" w:hAnsi="宋体"/>
          <w:sz w:val="22"/>
          <w:szCs w:val="22"/>
        </w:rPr>
        <w:t>2</w:t>
      </w:r>
      <w:r>
        <w:rPr>
          <w:rFonts w:ascii="宋体" w:hAnsi="宋体"/>
          <w:sz w:val="22"/>
          <w:szCs w:val="22"/>
        </w:rPr>
        <w:t>1</w:t>
      </w:r>
      <w:r>
        <w:rPr>
          <w:rFonts w:hint="eastAsia" w:ascii="宋体" w:hAnsi="宋体"/>
          <w:sz w:val="22"/>
          <w:szCs w:val="22"/>
        </w:rPr>
        <w:t>.2</w:t>
      </w:r>
      <w:r>
        <w:rPr>
          <w:rFonts w:hint="eastAsia" w:ascii="宋体" w:hAnsi="宋体"/>
          <w:color w:val="7030A0"/>
          <w:sz w:val="22"/>
          <w:szCs w:val="22"/>
        </w:rPr>
        <w:t>本项目为政采云平台电子交易全流程项目，投标人无需派代表出席开标会议</w:t>
      </w:r>
      <w:r>
        <w:rPr>
          <w:rFonts w:hint="eastAsia" w:ascii="宋体" w:hAnsi="宋体"/>
          <w:sz w:val="22"/>
          <w:szCs w:val="22"/>
        </w:rPr>
        <w:t>。但</w:t>
      </w:r>
      <w:r>
        <w:rPr>
          <w:rFonts w:ascii="宋体" w:hAnsi="宋体"/>
          <w:sz w:val="22"/>
          <w:szCs w:val="22"/>
        </w:rPr>
        <w:t>若投标供应商</w:t>
      </w:r>
      <w:r>
        <w:rPr>
          <w:rFonts w:hint="eastAsia" w:ascii="宋体" w:hAnsi="宋体"/>
          <w:sz w:val="22"/>
          <w:szCs w:val="22"/>
        </w:rPr>
        <w:t>派遣</w:t>
      </w:r>
      <w:r>
        <w:rPr>
          <w:rFonts w:ascii="宋体" w:hAnsi="宋体"/>
          <w:sz w:val="22"/>
          <w:szCs w:val="22"/>
        </w:rPr>
        <w:t>代表参加开标会议的，必须签名并</w:t>
      </w:r>
      <w:r>
        <w:rPr>
          <w:rFonts w:hint="eastAsia" w:ascii="宋体" w:hAnsi="宋体"/>
          <w:sz w:val="22"/>
          <w:szCs w:val="22"/>
        </w:rPr>
        <w:t>进入开标现场应保持开标现场安静、遵守有关规定，维护现场秩序。开标场所禁止喧闹和扰乱开标的行为。</w:t>
      </w:r>
    </w:p>
    <w:p>
      <w:pPr>
        <w:spacing w:line="440" w:lineRule="exact"/>
        <w:ind w:firstLine="440" w:firstLineChars="200"/>
        <w:rPr>
          <w:rFonts w:hint="eastAsia" w:ascii="宋体" w:hAnsi="宋体"/>
          <w:sz w:val="22"/>
          <w:szCs w:val="22"/>
        </w:rPr>
      </w:pPr>
      <w:r>
        <w:rPr>
          <w:rFonts w:hint="eastAsia" w:ascii="宋体" w:hAnsi="宋体"/>
          <w:sz w:val="22"/>
          <w:szCs w:val="22"/>
        </w:rPr>
        <w:t>21.3</w:t>
      </w:r>
      <w:r>
        <w:rPr>
          <w:rFonts w:hint="eastAsia" w:ascii="宋体" w:hAnsi="宋体"/>
          <w:color w:val="7030A0"/>
          <w:sz w:val="22"/>
          <w:szCs w:val="22"/>
        </w:rPr>
        <w:t>投标截止时间后，投标人登录政采云平台，用“项目采购—开标评标”功能对电子加密投标文件进行在线解密。在线解密电子加密投标文件时间为</w:t>
      </w:r>
      <w:r>
        <w:rPr>
          <w:rFonts w:hint="eastAsia" w:ascii="宋体" w:hAnsi="宋体"/>
          <w:color w:val="FF0000"/>
          <w:sz w:val="22"/>
          <w:szCs w:val="22"/>
        </w:rPr>
        <w:t>开标时间起半小时内</w:t>
      </w:r>
      <w:r>
        <w:rPr>
          <w:rFonts w:hint="eastAsia" w:ascii="宋体" w:hAnsi="宋体"/>
          <w:sz w:val="22"/>
          <w:szCs w:val="22"/>
        </w:rPr>
        <w:t>。</w:t>
      </w:r>
    </w:p>
    <w:p>
      <w:pPr>
        <w:spacing w:line="440" w:lineRule="exact"/>
        <w:ind w:firstLine="440" w:firstLineChars="200"/>
        <w:rPr>
          <w:rFonts w:hint="eastAsia" w:ascii="宋体" w:hAnsi="宋体"/>
          <w:sz w:val="22"/>
          <w:szCs w:val="22"/>
        </w:rPr>
      </w:pPr>
      <w:r>
        <w:rPr>
          <w:rFonts w:hint="eastAsia" w:ascii="宋体" w:hAnsi="宋体"/>
          <w:sz w:val="22"/>
          <w:szCs w:val="22"/>
        </w:rPr>
        <w:t>21.4</w:t>
      </w:r>
      <w:r>
        <w:rPr>
          <w:rFonts w:hint="eastAsia" w:ascii="宋体" w:hAnsi="宋体"/>
          <w:color w:val="7030A0"/>
          <w:sz w:val="22"/>
          <w:szCs w:val="22"/>
        </w:rPr>
        <w:t>唱标顺序</w:t>
      </w:r>
      <w:r>
        <w:rPr>
          <w:rFonts w:hint="eastAsia" w:ascii="宋体" w:hAnsi="宋体"/>
          <w:sz w:val="22"/>
          <w:szCs w:val="22"/>
        </w:rPr>
        <w:t>：先技术商务后报价(后唱标)，若政采云公司如对电子化开标及评审程序有调整的，按调整后的程序操作。</w:t>
      </w:r>
    </w:p>
    <w:p>
      <w:pPr>
        <w:spacing w:line="440" w:lineRule="exact"/>
        <w:ind w:firstLine="440" w:firstLineChars="200"/>
        <w:rPr>
          <w:rFonts w:ascii="宋体" w:hAnsi="宋体"/>
          <w:sz w:val="22"/>
          <w:szCs w:val="22"/>
        </w:rPr>
      </w:pPr>
      <w:r>
        <w:rPr>
          <w:rFonts w:hint="eastAsia" w:ascii="宋体" w:hAnsi="宋体"/>
          <w:sz w:val="22"/>
          <w:szCs w:val="22"/>
        </w:rPr>
        <w:t>2</w:t>
      </w:r>
      <w:r>
        <w:rPr>
          <w:rFonts w:ascii="宋体" w:hAnsi="宋体"/>
          <w:sz w:val="22"/>
          <w:szCs w:val="22"/>
        </w:rPr>
        <w:t>1.5</w:t>
      </w:r>
      <w:r>
        <w:rPr>
          <w:rFonts w:hint="eastAsia" w:ascii="宋体" w:hAnsi="宋体"/>
          <w:sz w:val="22"/>
          <w:szCs w:val="22"/>
        </w:rPr>
        <w:t>开标其他情况：</w:t>
      </w:r>
    </w:p>
    <w:p>
      <w:pPr>
        <w:spacing w:line="440" w:lineRule="exact"/>
        <w:ind w:firstLine="440" w:firstLineChars="200"/>
        <w:rPr>
          <w:rFonts w:ascii="宋体" w:hAnsi="宋体"/>
          <w:sz w:val="22"/>
          <w:szCs w:val="22"/>
        </w:rPr>
      </w:pPr>
      <w:r>
        <w:rPr>
          <w:rFonts w:hint="eastAsia" w:ascii="宋体" w:hAnsi="宋体"/>
          <w:sz w:val="22"/>
          <w:szCs w:val="22"/>
        </w:rPr>
        <w:t>21.5.1</w:t>
      </w:r>
      <w:r>
        <w:rPr>
          <w:rFonts w:hint="eastAsia" w:ascii="宋体" w:hAnsi="宋体"/>
          <w:color w:val="7030A0"/>
          <w:sz w:val="22"/>
          <w:szCs w:val="22"/>
        </w:rPr>
        <w:t>若</w:t>
      </w:r>
      <w:r>
        <w:rPr>
          <w:rFonts w:ascii="宋体" w:hAnsi="宋体"/>
          <w:color w:val="7030A0"/>
          <w:sz w:val="22"/>
          <w:szCs w:val="22"/>
        </w:rPr>
        <w:t>投标供应商的电子加密投标文件</w:t>
      </w:r>
      <w:r>
        <w:rPr>
          <w:rFonts w:hint="eastAsia" w:ascii="宋体" w:hAnsi="宋体"/>
          <w:color w:val="7030A0"/>
          <w:sz w:val="22"/>
          <w:szCs w:val="22"/>
        </w:rPr>
        <w:t>成功上</w:t>
      </w:r>
      <w:r>
        <w:rPr>
          <w:rFonts w:ascii="宋体" w:hAnsi="宋体"/>
          <w:color w:val="7030A0"/>
          <w:sz w:val="22"/>
          <w:szCs w:val="22"/>
        </w:rPr>
        <w:t>传后在规定时间</w:t>
      </w:r>
      <w:r>
        <w:rPr>
          <w:rFonts w:hint="eastAsia" w:ascii="宋体" w:hAnsi="宋体"/>
          <w:color w:val="7030A0"/>
          <w:sz w:val="22"/>
          <w:szCs w:val="22"/>
        </w:rPr>
        <w:t>内</w:t>
      </w:r>
      <w:r>
        <w:rPr>
          <w:rFonts w:ascii="宋体" w:hAnsi="宋体"/>
          <w:color w:val="7030A0"/>
          <w:sz w:val="22"/>
          <w:szCs w:val="22"/>
        </w:rPr>
        <w:t>无法解密或解密失败的，则</w:t>
      </w:r>
      <w:r>
        <w:rPr>
          <w:rFonts w:hint="eastAsia" w:ascii="宋体" w:hAnsi="宋体"/>
          <w:color w:val="7030A0"/>
          <w:sz w:val="22"/>
          <w:szCs w:val="22"/>
        </w:rPr>
        <w:t>采用</w:t>
      </w:r>
      <w:r>
        <w:rPr>
          <w:rFonts w:ascii="宋体" w:hAnsi="宋体"/>
          <w:color w:val="7030A0"/>
          <w:sz w:val="22"/>
          <w:szCs w:val="22"/>
        </w:rPr>
        <w:t>该投标</w:t>
      </w:r>
      <w:r>
        <w:rPr>
          <w:rFonts w:hint="eastAsia" w:ascii="宋体" w:hAnsi="宋体"/>
          <w:color w:val="7030A0"/>
          <w:sz w:val="22"/>
          <w:szCs w:val="22"/>
        </w:rPr>
        <w:t>供应商</w:t>
      </w:r>
      <w:r>
        <w:rPr>
          <w:rFonts w:ascii="宋体" w:hAnsi="宋体"/>
          <w:color w:val="7030A0"/>
          <w:sz w:val="22"/>
          <w:szCs w:val="22"/>
        </w:rPr>
        <w:t>于投标</w:t>
      </w:r>
      <w:r>
        <w:rPr>
          <w:rFonts w:hint="eastAsia" w:ascii="宋体" w:hAnsi="宋体"/>
          <w:color w:val="7030A0"/>
          <w:sz w:val="22"/>
          <w:szCs w:val="22"/>
        </w:rPr>
        <w:t>截止</w:t>
      </w:r>
      <w:r>
        <w:rPr>
          <w:rFonts w:ascii="宋体" w:hAnsi="宋体"/>
          <w:color w:val="7030A0"/>
          <w:sz w:val="22"/>
          <w:szCs w:val="22"/>
        </w:rPr>
        <w:t>时间前</w:t>
      </w:r>
      <w:r>
        <w:rPr>
          <w:rFonts w:hint="eastAsia" w:ascii="宋体" w:hAnsi="宋体"/>
          <w:color w:val="7030A0"/>
          <w:sz w:val="22"/>
          <w:szCs w:val="22"/>
        </w:rPr>
        <w:t>递交</w:t>
      </w:r>
      <w:r>
        <w:rPr>
          <w:rFonts w:ascii="宋体" w:hAnsi="宋体"/>
          <w:color w:val="7030A0"/>
          <w:sz w:val="22"/>
          <w:szCs w:val="22"/>
        </w:rPr>
        <w:t>的</w:t>
      </w:r>
      <w:r>
        <w:rPr>
          <w:rFonts w:hint="eastAsia" w:ascii="宋体" w:hAnsi="宋体"/>
          <w:color w:val="7030A0"/>
          <w:sz w:val="22"/>
          <w:szCs w:val="22"/>
        </w:rPr>
        <w:t>“备份电子投标文件”进行异常情况处理，</w:t>
      </w:r>
      <w:r>
        <w:rPr>
          <w:rFonts w:ascii="宋体" w:hAnsi="宋体"/>
          <w:color w:val="7030A0"/>
          <w:sz w:val="22"/>
          <w:szCs w:val="22"/>
        </w:rPr>
        <w:t>此时</w:t>
      </w:r>
      <w:r>
        <w:rPr>
          <w:rFonts w:hint="eastAsia" w:ascii="宋体" w:hAnsi="宋体"/>
          <w:color w:val="7030A0"/>
          <w:sz w:val="22"/>
          <w:szCs w:val="22"/>
        </w:rPr>
        <w:t>该投标</w:t>
      </w:r>
      <w:r>
        <w:rPr>
          <w:rFonts w:ascii="宋体" w:hAnsi="宋体"/>
          <w:color w:val="7030A0"/>
          <w:sz w:val="22"/>
          <w:szCs w:val="22"/>
        </w:rPr>
        <w:t>供应商</w:t>
      </w:r>
      <w:r>
        <w:rPr>
          <w:rFonts w:hint="eastAsia" w:ascii="宋体" w:hAnsi="宋体"/>
          <w:color w:val="7030A0"/>
          <w:sz w:val="22"/>
          <w:szCs w:val="22"/>
        </w:rPr>
        <w:t>的</w:t>
      </w:r>
      <w:r>
        <w:rPr>
          <w:rFonts w:ascii="宋体" w:hAnsi="宋体"/>
          <w:color w:val="7030A0"/>
          <w:sz w:val="22"/>
          <w:szCs w:val="22"/>
        </w:rPr>
        <w:t>电子加密投标文件</w:t>
      </w:r>
      <w:r>
        <w:rPr>
          <w:rFonts w:hint="eastAsia" w:ascii="宋体" w:hAnsi="宋体"/>
          <w:color w:val="7030A0"/>
          <w:sz w:val="22"/>
          <w:szCs w:val="22"/>
        </w:rPr>
        <w:t>失效</w:t>
      </w:r>
      <w:r>
        <w:rPr>
          <w:rFonts w:ascii="宋体" w:hAnsi="宋体"/>
          <w:color w:val="7030A0"/>
          <w:sz w:val="22"/>
          <w:szCs w:val="22"/>
        </w:rPr>
        <w:t>。若</w:t>
      </w:r>
      <w:r>
        <w:rPr>
          <w:rFonts w:hint="eastAsia" w:ascii="宋体" w:hAnsi="宋体"/>
          <w:color w:val="7030A0"/>
          <w:sz w:val="22"/>
          <w:szCs w:val="22"/>
        </w:rPr>
        <w:t>该</w:t>
      </w:r>
      <w:r>
        <w:rPr>
          <w:rFonts w:ascii="宋体" w:hAnsi="宋体"/>
          <w:color w:val="7030A0"/>
          <w:sz w:val="22"/>
          <w:szCs w:val="22"/>
        </w:rPr>
        <w:t>投标供应商</w:t>
      </w:r>
      <w:r>
        <w:rPr>
          <w:rFonts w:hint="eastAsia" w:ascii="宋体" w:hAnsi="宋体"/>
          <w:color w:val="7030A0"/>
          <w:sz w:val="22"/>
          <w:szCs w:val="22"/>
        </w:rPr>
        <w:t>的异常情况处理成功连同</w:t>
      </w:r>
      <w:r>
        <w:rPr>
          <w:rFonts w:ascii="宋体" w:hAnsi="宋体"/>
          <w:color w:val="7030A0"/>
          <w:sz w:val="22"/>
          <w:szCs w:val="22"/>
        </w:rPr>
        <w:t>其</w:t>
      </w:r>
      <w:r>
        <w:rPr>
          <w:rFonts w:hint="eastAsia" w:ascii="宋体" w:hAnsi="宋体"/>
          <w:color w:val="7030A0"/>
          <w:sz w:val="22"/>
          <w:szCs w:val="22"/>
        </w:rPr>
        <w:t>他</w:t>
      </w:r>
      <w:r>
        <w:rPr>
          <w:rFonts w:ascii="宋体" w:hAnsi="宋体"/>
          <w:color w:val="7030A0"/>
          <w:sz w:val="22"/>
          <w:szCs w:val="22"/>
        </w:rPr>
        <w:t>解密成功</w:t>
      </w:r>
      <w:r>
        <w:rPr>
          <w:rFonts w:hint="eastAsia" w:ascii="宋体" w:hAnsi="宋体"/>
          <w:color w:val="7030A0"/>
          <w:sz w:val="22"/>
          <w:szCs w:val="22"/>
        </w:rPr>
        <w:t>(含</w:t>
      </w:r>
      <w:r>
        <w:rPr>
          <w:rFonts w:ascii="宋体" w:hAnsi="宋体"/>
          <w:color w:val="7030A0"/>
          <w:sz w:val="22"/>
          <w:szCs w:val="22"/>
        </w:rPr>
        <w:t>其他投标供应商异常</w:t>
      </w:r>
      <w:r>
        <w:rPr>
          <w:rFonts w:hint="eastAsia" w:ascii="宋体" w:hAnsi="宋体"/>
          <w:color w:val="7030A0"/>
          <w:sz w:val="22"/>
          <w:szCs w:val="22"/>
        </w:rPr>
        <w:t>情况</w:t>
      </w:r>
      <w:r>
        <w:rPr>
          <w:rFonts w:ascii="宋体" w:hAnsi="宋体"/>
          <w:color w:val="7030A0"/>
          <w:sz w:val="22"/>
          <w:szCs w:val="22"/>
        </w:rPr>
        <w:t>处理成功</w:t>
      </w:r>
      <w:r>
        <w:rPr>
          <w:rFonts w:hint="eastAsia" w:ascii="宋体" w:hAnsi="宋体"/>
          <w:color w:val="7030A0"/>
          <w:sz w:val="22"/>
          <w:szCs w:val="22"/>
        </w:rPr>
        <w:t>)</w:t>
      </w:r>
      <w:r>
        <w:rPr>
          <w:rFonts w:ascii="宋体" w:hAnsi="宋体"/>
          <w:color w:val="7030A0"/>
          <w:sz w:val="22"/>
          <w:szCs w:val="22"/>
        </w:rPr>
        <w:t>的投标供应商</w:t>
      </w:r>
      <w:r>
        <w:rPr>
          <w:rFonts w:hint="eastAsia" w:ascii="宋体" w:hAnsi="宋体"/>
          <w:color w:val="7030A0"/>
          <w:sz w:val="22"/>
          <w:szCs w:val="22"/>
        </w:rPr>
        <w:t>达到</w:t>
      </w:r>
      <w:r>
        <w:rPr>
          <w:rFonts w:ascii="宋体" w:hAnsi="宋体"/>
          <w:color w:val="7030A0"/>
          <w:sz w:val="22"/>
          <w:szCs w:val="22"/>
        </w:rPr>
        <w:t>三家及以上时</w:t>
      </w:r>
      <w:r>
        <w:rPr>
          <w:rFonts w:hint="eastAsia" w:ascii="宋体" w:hAnsi="宋体"/>
          <w:color w:val="7030A0"/>
          <w:sz w:val="22"/>
          <w:szCs w:val="22"/>
        </w:rPr>
        <w:t>，</w:t>
      </w:r>
      <w:r>
        <w:rPr>
          <w:rFonts w:ascii="宋体" w:hAnsi="宋体"/>
          <w:color w:val="7030A0"/>
          <w:sz w:val="22"/>
          <w:szCs w:val="22"/>
        </w:rPr>
        <w:t>其有效投标文件为</w:t>
      </w:r>
      <w:r>
        <w:rPr>
          <w:rFonts w:hint="eastAsia" w:ascii="宋体" w:hAnsi="宋体"/>
          <w:color w:val="7030A0"/>
          <w:sz w:val="22"/>
          <w:szCs w:val="22"/>
        </w:rPr>
        <w:t>“备份电子投标文件”，”纸质投标文件”同时</w:t>
      </w:r>
      <w:r>
        <w:rPr>
          <w:rFonts w:ascii="宋体" w:hAnsi="宋体"/>
          <w:color w:val="7030A0"/>
          <w:sz w:val="22"/>
          <w:szCs w:val="22"/>
        </w:rPr>
        <w:t>失效</w:t>
      </w:r>
      <w:r>
        <w:rPr>
          <w:rFonts w:hint="eastAsia" w:ascii="宋体" w:hAnsi="宋体"/>
          <w:sz w:val="22"/>
          <w:szCs w:val="22"/>
        </w:rPr>
        <w:t>。</w:t>
      </w:r>
    </w:p>
    <w:p>
      <w:pPr>
        <w:spacing w:line="440" w:lineRule="exact"/>
        <w:ind w:firstLine="440" w:firstLineChars="200"/>
        <w:rPr>
          <w:rFonts w:hint="eastAsia" w:ascii="宋体" w:hAnsi="宋体"/>
          <w:sz w:val="22"/>
          <w:szCs w:val="22"/>
        </w:rPr>
      </w:pPr>
      <w:r>
        <w:rPr>
          <w:rFonts w:hint="eastAsia" w:ascii="宋体" w:hAnsi="宋体"/>
          <w:sz w:val="22"/>
          <w:szCs w:val="22"/>
        </w:rPr>
        <w:t>21.5.2</w:t>
      </w:r>
      <w:r>
        <w:rPr>
          <w:rFonts w:hint="eastAsia" w:ascii="宋体" w:hAnsi="宋体"/>
          <w:color w:val="7030A0"/>
          <w:sz w:val="22"/>
          <w:szCs w:val="22"/>
        </w:rPr>
        <w:t>若成功上传并解密成功(含通过“备份电子投标文件”进行异常情况处理成功)的投标单位不足三家或出现电子评标系统故障而短期无法排除等情形时，转为线下评标，所有投标单位的电子加密投标文件和备份电子投标文件均按失效处理，直接采用投标时间截止前已成功上传且按规定递交的“纸质投标文件”作为资格审查前的有效投标文件。此种情况下，若投标时间截止前提交纸质投标文件的单位不足三家的，则全部投标按废标处理</w:t>
      </w:r>
      <w:r>
        <w:rPr>
          <w:rFonts w:hint="eastAsia" w:ascii="宋体" w:hAnsi="宋体"/>
          <w:sz w:val="22"/>
          <w:szCs w:val="22"/>
        </w:rPr>
        <w:t>。</w:t>
      </w:r>
    </w:p>
    <w:p>
      <w:pPr>
        <w:spacing w:line="440" w:lineRule="exact"/>
        <w:ind w:firstLine="440" w:firstLineChars="200"/>
        <w:rPr>
          <w:rFonts w:ascii="宋体" w:hAnsi="宋体"/>
          <w:sz w:val="22"/>
          <w:szCs w:val="22"/>
        </w:rPr>
      </w:pPr>
      <w:r>
        <w:rPr>
          <w:rFonts w:hint="eastAsia" w:ascii="宋体" w:hAnsi="宋体"/>
          <w:sz w:val="22"/>
          <w:szCs w:val="22"/>
        </w:rPr>
        <w:t>21.5.3</w:t>
      </w:r>
      <w:r>
        <w:rPr>
          <w:rFonts w:hint="eastAsia" w:ascii="宋体" w:hAnsi="宋体"/>
          <w:color w:val="7030A0"/>
          <w:sz w:val="22"/>
          <w:szCs w:val="22"/>
        </w:rPr>
        <w:t>采购过程中除21.5.2所</w:t>
      </w:r>
      <w:r>
        <w:rPr>
          <w:rFonts w:ascii="宋体" w:hAnsi="宋体"/>
          <w:color w:val="7030A0"/>
          <w:sz w:val="22"/>
          <w:szCs w:val="22"/>
        </w:rPr>
        <w:t>述外还</w:t>
      </w:r>
      <w:r>
        <w:rPr>
          <w:rFonts w:hint="eastAsia" w:ascii="宋体" w:hAnsi="宋体"/>
          <w:color w:val="7030A0"/>
          <w:sz w:val="22"/>
          <w:szCs w:val="22"/>
        </w:rPr>
        <w:t>出现以下情形，导致电子交易平台无法正常运行，或者无法保证电子交易的公平、公正和安全时，采购代理</w:t>
      </w:r>
      <w:r>
        <w:rPr>
          <w:rFonts w:ascii="宋体" w:hAnsi="宋体"/>
          <w:color w:val="7030A0"/>
          <w:sz w:val="22"/>
          <w:szCs w:val="22"/>
        </w:rPr>
        <w:t>机构</w:t>
      </w:r>
      <w:r>
        <w:rPr>
          <w:rFonts w:hint="eastAsia" w:ascii="宋体" w:hAnsi="宋体"/>
          <w:color w:val="7030A0"/>
          <w:sz w:val="22"/>
          <w:szCs w:val="22"/>
        </w:rPr>
        <w:t>可中止电子交易活动</w:t>
      </w:r>
      <w:r>
        <w:rPr>
          <w:rFonts w:hint="eastAsia" w:ascii="宋体" w:hAnsi="宋体"/>
          <w:sz w:val="22"/>
          <w:szCs w:val="22"/>
        </w:rPr>
        <w:t>：</w:t>
      </w:r>
    </w:p>
    <w:p>
      <w:pPr>
        <w:spacing w:line="440" w:lineRule="exact"/>
        <w:ind w:firstLine="440" w:firstLineChars="200"/>
        <w:rPr>
          <w:rFonts w:hint="eastAsia" w:ascii="宋体" w:hAnsi="宋体"/>
          <w:color w:val="7030A0"/>
          <w:sz w:val="22"/>
          <w:szCs w:val="22"/>
        </w:rPr>
      </w:pPr>
      <w:r>
        <w:rPr>
          <w:rFonts w:hint="eastAsia" w:ascii="宋体" w:hAnsi="宋体"/>
          <w:color w:val="7030A0"/>
          <w:sz w:val="22"/>
          <w:szCs w:val="22"/>
        </w:rPr>
        <w:t xml:space="preserve">（1）电子交易平台发生故障而无法登录访问的； </w:t>
      </w:r>
    </w:p>
    <w:p>
      <w:pPr>
        <w:spacing w:line="440" w:lineRule="exact"/>
        <w:ind w:firstLine="440" w:firstLineChars="200"/>
        <w:rPr>
          <w:rFonts w:hint="eastAsia" w:ascii="宋体" w:hAnsi="宋体"/>
          <w:color w:val="7030A0"/>
          <w:sz w:val="22"/>
          <w:szCs w:val="22"/>
        </w:rPr>
      </w:pPr>
      <w:r>
        <w:rPr>
          <w:rFonts w:hint="eastAsia" w:ascii="宋体" w:hAnsi="宋体"/>
          <w:color w:val="7030A0"/>
          <w:sz w:val="22"/>
          <w:szCs w:val="22"/>
        </w:rPr>
        <w:t>（2）电子交易平台应用或数据库出现错误，不能进行正常操作的；</w:t>
      </w:r>
    </w:p>
    <w:p>
      <w:pPr>
        <w:spacing w:line="440" w:lineRule="exact"/>
        <w:ind w:firstLine="440" w:firstLineChars="200"/>
        <w:rPr>
          <w:rFonts w:hint="eastAsia" w:ascii="宋体" w:hAnsi="宋体"/>
          <w:color w:val="7030A0"/>
          <w:sz w:val="22"/>
          <w:szCs w:val="22"/>
        </w:rPr>
      </w:pPr>
      <w:r>
        <w:rPr>
          <w:rFonts w:hint="eastAsia" w:ascii="宋体" w:hAnsi="宋体"/>
          <w:color w:val="7030A0"/>
          <w:sz w:val="22"/>
          <w:szCs w:val="22"/>
        </w:rPr>
        <w:t>（3）电子交易平台发现严重安全漏洞，有潜在泄密危险的；</w:t>
      </w:r>
    </w:p>
    <w:p>
      <w:pPr>
        <w:spacing w:line="440" w:lineRule="exact"/>
        <w:ind w:firstLine="440" w:firstLineChars="200"/>
        <w:rPr>
          <w:rFonts w:hint="eastAsia" w:ascii="宋体" w:hAnsi="宋体"/>
          <w:color w:val="7030A0"/>
          <w:sz w:val="22"/>
          <w:szCs w:val="22"/>
        </w:rPr>
      </w:pPr>
      <w:r>
        <w:rPr>
          <w:rFonts w:hint="eastAsia" w:ascii="宋体" w:hAnsi="宋体"/>
          <w:color w:val="7030A0"/>
          <w:sz w:val="22"/>
          <w:szCs w:val="22"/>
        </w:rPr>
        <w:t xml:space="preserve">（4）病毒发作导致不能进行正常操作的； </w:t>
      </w:r>
    </w:p>
    <w:p>
      <w:pPr>
        <w:spacing w:line="440" w:lineRule="exact"/>
        <w:ind w:firstLine="440" w:firstLineChars="200"/>
        <w:rPr>
          <w:rFonts w:hint="eastAsia" w:ascii="宋体" w:hAnsi="宋体"/>
          <w:sz w:val="22"/>
          <w:szCs w:val="22"/>
        </w:rPr>
      </w:pPr>
      <w:r>
        <w:rPr>
          <w:rFonts w:hint="eastAsia" w:ascii="宋体" w:hAnsi="宋体"/>
          <w:color w:val="7030A0"/>
          <w:sz w:val="22"/>
          <w:szCs w:val="22"/>
        </w:rPr>
        <w:t>（5）其他无法保证电子交易的公平、公正和安全的情况</w:t>
      </w:r>
      <w:r>
        <w:rPr>
          <w:rFonts w:hint="eastAsia" w:ascii="宋体" w:hAnsi="宋体"/>
          <w:sz w:val="22"/>
          <w:szCs w:val="22"/>
        </w:rPr>
        <w:t>。</w:t>
      </w:r>
    </w:p>
    <w:p>
      <w:pPr>
        <w:spacing w:line="440" w:lineRule="exact"/>
        <w:ind w:firstLine="440" w:firstLineChars="200"/>
        <w:rPr>
          <w:rFonts w:hint="eastAsia" w:ascii="宋体" w:hAnsi="宋体"/>
          <w:sz w:val="22"/>
          <w:szCs w:val="22"/>
        </w:rPr>
      </w:pPr>
      <w:r>
        <w:rPr>
          <w:rFonts w:hint="eastAsia" w:ascii="宋体" w:hAnsi="宋体"/>
          <w:color w:val="7030A0"/>
          <w:sz w:val="22"/>
          <w:szCs w:val="22"/>
        </w:rPr>
        <w:t>出现前款规定情形，不影响采购公平、公正性的，采购代理</w:t>
      </w:r>
      <w:r>
        <w:rPr>
          <w:rFonts w:ascii="宋体" w:hAnsi="宋体"/>
          <w:color w:val="7030A0"/>
          <w:sz w:val="22"/>
          <w:szCs w:val="22"/>
        </w:rPr>
        <w:t>机构</w:t>
      </w:r>
      <w:r>
        <w:rPr>
          <w:rFonts w:hint="eastAsia" w:ascii="宋体" w:hAnsi="宋体"/>
          <w:color w:val="7030A0"/>
          <w:sz w:val="22"/>
          <w:szCs w:val="22"/>
        </w:rPr>
        <w:t>可以待上述情形消除后继续组织电子交易活动，也可以决定某些环节以纸质形式进行</w:t>
      </w:r>
      <w:r>
        <w:rPr>
          <w:rFonts w:hint="eastAsia" w:ascii="宋体" w:hAnsi="宋体"/>
          <w:sz w:val="22"/>
          <w:szCs w:val="22"/>
        </w:rPr>
        <w:t>。</w:t>
      </w:r>
    </w:p>
    <w:p>
      <w:pPr>
        <w:spacing w:line="440" w:lineRule="exact"/>
        <w:ind w:firstLine="440" w:firstLineChars="200"/>
        <w:rPr>
          <w:rFonts w:hint="eastAsia" w:ascii="宋体" w:hAnsi="宋体"/>
          <w:sz w:val="22"/>
          <w:szCs w:val="22"/>
        </w:rPr>
      </w:pPr>
      <w:r>
        <w:rPr>
          <w:rFonts w:hint="eastAsia" w:ascii="宋体" w:hAnsi="宋体"/>
          <w:sz w:val="22"/>
          <w:szCs w:val="22"/>
        </w:rPr>
        <w:t>21.</w:t>
      </w:r>
      <w:r>
        <w:rPr>
          <w:rFonts w:ascii="宋体" w:hAnsi="宋体"/>
          <w:sz w:val="22"/>
          <w:szCs w:val="22"/>
        </w:rPr>
        <w:t>6</w:t>
      </w:r>
      <w:r>
        <w:rPr>
          <w:rFonts w:hint="eastAsia" w:ascii="宋体" w:hAnsi="宋体"/>
          <w:sz w:val="22"/>
          <w:szCs w:val="22"/>
        </w:rPr>
        <w:t xml:space="preserve"> 在开标仪式上，采购代理机构公布投标供应商的名称、投标价格、价格优惠声明、服务期、投标声明等，并当场做好唱标记录。★</w:t>
      </w:r>
      <w:r>
        <w:rPr>
          <w:rFonts w:hint="eastAsia" w:ascii="宋体" w:hAnsi="宋体"/>
          <w:b/>
          <w:sz w:val="22"/>
          <w:szCs w:val="22"/>
          <w:u w:val="single"/>
        </w:rPr>
        <w:t>未经唱出的投标折扣和备选投标方案在评标时均不予考虑</w:t>
      </w:r>
      <w:r>
        <w:rPr>
          <w:rFonts w:hint="eastAsia" w:ascii="宋体" w:hAnsi="宋体"/>
          <w:sz w:val="22"/>
          <w:szCs w:val="22"/>
        </w:rPr>
        <w:t>。</w:t>
      </w:r>
    </w:p>
    <w:p>
      <w:pPr>
        <w:spacing w:line="440" w:lineRule="exact"/>
        <w:ind w:firstLine="440" w:firstLineChars="200"/>
        <w:rPr>
          <w:rFonts w:ascii="宋体" w:hAnsi="宋体"/>
          <w:b/>
          <w:sz w:val="22"/>
          <w:szCs w:val="22"/>
          <w:u w:val="single"/>
        </w:rPr>
      </w:pPr>
      <w:r>
        <w:rPr>
          <w:rFonts w:hint="eastAsia" w:ascii="宋体" w:hAnsi="宋体"/>
          <w:sz w:val="22"/>
          <w:szCs w:val="22"/>
        </w:rPr>
        <w:t>★2</w:t>
      </w:r>
      <w:r>
        <w:rPr>
          <w:rFonts w:ascii="宋体" w:hAnsi="宋体"/>
          <w:sz w:val="22"/>
          <w:szCs w:val="22"/>
        </w:rPr>
        <w:t>1</w:t>
      </w:r>
      <w:r>
        <w:rPr>
          <w:rFonts w:hint="eastAsia" w:ascii="宋体" w:hAnsi="宋体"/>
          <w:sz w:val="22"/>
          <w:szCs w:val="22"/>
        </w:rPr>
        <w:t>.</w:t>
      </w:r>
      <w:r>
        <w:rPr>
          <w:rFonts w:ascii="宋体" w:hAnsi="宋体"/>
          <w:sz w:val="22"/>
          <w:szCs w:val="22"/>
        </w:rPr>
        <w:t>7</w:t>
      </w:r>
      <w:r>
        <w:rPr>
          <w:rFonts w:hint="eastAsia" w:ascii="宋体" w:hAnsi="宋体"/>
          <w:sz w:val="22"/>
          <w:szCs w:val="22"/>
        </w:rPr>
        <w:t xml:space="preserve"> </w:t>
      </w:r>
      <w:r>
        <w:rPr>
          <w:rFonts w:hint="eastAsia" w:ascii="宋体" w:hAnsi="宋体"/>
          <w:b/>
          <w:sz w:val="22"/>
          <w:szCs w:val="22"/>
          <w:u w:val="single"/>
        </w:rPr>
        <w:t>在开标时没有开启和唱标的投标文件，以及未被接受的投标文件，均不进入评标程序</w:t>
      </w:r>
      <w:r>
        <w:rPr>
          <w:rFonts w:hint="eastAsia" w:ascii="宋体" w:hAnsi="宋体"/>
          <w:sz w:val="22"/>
          <w:szCs w:val="22"/>
          <w:u w:val="single"/>
        </w:rPr>
        <w:t>。</w:t>
      </w:r>
    </w:p>
    <w:p>
      <w:pPr>
        <w:pStyle w:val="3"/>
        <w:spacing w:before="0" w:after="0" w:line="440" w:lineRule="exact"/>
        <w:rPr>
          <w:rFonts w:hint="eastAsia" w:ascii="宋体" w:hAnsi="宋体" w:eastAsia="宋体"/>
          <w:sz w:val="22"/>
          <w:szCs w:val="22"/>
        </w:rPr>
      </w:pPr>
      <w:bookmarkStart w:id="84" w:name="_Toc14965641"/>
      <w:r>
        <w:rPr>
          <w:rFonts w:hint="eastAsia" w:ascii="宋体" w:hAnsi="宋体" w:eastAsia="宋体"/>
          <w:sz w:val="22"/>
          <w:szCs w:val="22"/>
        </w:rPr>
        <w:t>22、资格</w:t>
      </w:r>
      <w:r>
        <w:rPr>
          <w:rFonts w:ascii="宋体" w:hAnsi="宋体" w:eastAsia="宋体"/>
          <w:sz w:val="22"/>
          <w:szCs w:val="22"/>
        </w:rPr>
        <w:t>审查</w:t>
      </w:r>
      <w:bookmarkEnd w:id="84"/>
    </w:p>
    <w:p>
      <w:pPr>
        <w:spacing w:line="440" w:lineRule="exact"/>
        <w:ind w:firstLine="440" w:firstLineChars="200"/>
        <w:rPr>
          <w:rFonts w:hint="eastAsia" w:ascii="宋体" w:hAnsi="宋体"/>
          <w:sz w:val="22"/>
          <w:szCs w:val="22"/>
          <w:u w:val="single"/>
        </w:rPr>
      </w:pPr>
      <w:r>
        <w:rPr>
          <w:rFonts w:hint="eastAsia" w:ascii="宋体" w:hAnsi="宋体"/>
          <w:sz w:val="22"/>
          <w:szCs w:val="22"/>
        </w:rPr>
        <w:t>由</w:t>
      </w:r>
      <w:r>
        <w:rPr>
          <w:rFonts w:ascii="宋体" w:hAnsi="宋体"/>
          <w:sz w:val="22"/>
          <w:szCs w:val="22"/>
        </w:rPr>
        <w:t>采购代理机构和采购人</w:t>
      </w:r>
      <w:r>
        <w:rPr>
          <w:rFonts w:hint="eastAsia" w:ascii="宋体" w:hAnsi="宋体"/>
          <w:sz w:val="22"/>
          <w:szCs w:val="22"/>
        </w:rPr>
        <w:t>依据法律法规和采购文件的规定，对采购文件中的资格证明、投标保证金等进行审查，以确定投标供应商是否具备投标资格。</w:t>
      </w:r>
      <w:r>
        <w:rPr>
          <w:rFonts w:hint="eastAsia" w:ascii="宋体" w:hAnsi="宋体"/>
          <w:b/>
          <w:sz w:val="22"/>
          <w:szCs w:val="22"/>
        </w:rPr>
        <w:t>资格</w:t>
      </w:r>
      <w:r>
        <w:rPr>
          <w:rFonts w:ascii="宋体" w:hAnsi="宋体"/>
          <w:b/>
          <w:sz w:val="22"/>
          <w:szCs w:val="22"/>
        </w:rPr>
        <w:t>审查不合格者不进入评标环节</w:t>
      </w:r>
      <w:r>
        <w:rPr>
          <w:rFonts w:ascii="宋体" w:hAnsi="宋体"/>
          <w:sz w:val="22"/>
          <w:szCs w:val="22"/>
        </w:rPr>
        <w:t>。</w:t>
      </w:r>
    </w:p>
    <w:p>
      <w:pPr>
        <w:pStyle w:val="3"/>
        <w:spacing w:before="0" w:after="0" w:line="440" w:lineRule="exact"/>
        <w:rPr>
          <w:rFonts w:ascii="宋体" w:hAnsi="宋体" w:eastAsia="宋体"/>
          <w:sz w:val="22"/>
          <w:szCs w:val="22"/>
        </w:rPr>
      </w:pPr>
      <w:bookmarkStart w:id="85" w:name="_Toc14965642"/>
      <w:r>
        <w:rPr>
          <w:rFonts w:hint="eastAsia" w:ascii="宋体" w:hAnsi="宋体" w:eastAsia="宋体"/>
          <w:sz w:val="22"/>
          <w:szCs w:val="22"/>
        </w:rPr>
        <w:t>23、评标委员会</w:t>
      </w:r>
      <w:bookmarkEnd w:id="85"/>
    </w:p>
    <w:p>
      <w:pPr>
        <w:spacing w:line="440" w:lineRule="exact"/>
        <w:ind w:firstLine="440" w:firstLineChars="200"/>
        <w:rPr>
          <w:rFonts w:hint="eastAsia" w:ascii="宋体" w:hAnsi="宋体"/>
          <w:sz w:val="22"/>
          <w:szCs w:val="22"/>
        </w:rPr>
      </w:pPr>
      <w:r>
        <w:rPr>
          <w:rFonts w:hint="eastAsia" w:ascii="宋体" w:hAnsi="宋体"/>
          <w:sz w:val="22"/>
          <w:szCs w:val="22"/>
        </w:rPr>
        <w:t>2</w:t>
      </w:r>
      <w:r>
        <w:rPr>
          <w:rFonts w:ascii="宋体" w:hAnsi="宋体"/>
          <w:sz w:val="22"/>
          <w:szCs w:val="22"/>
        </w:rPr>
        <w:t>3</w:t>
      </w:r>
      <w:r>
        <w:rPr>
          <w:rFonts w:hint="eastAsia" w:ascii="宋体" w:hAnsi="宋体"/>
          <w:sz w:val="22"/>
          <w:szCs w:val="22"/>
        </w:rPr>
        <w:t>.1受采购人的委托，采购代理机构依据《政府采购法》、《中华人民共和国政府采购法实施条例》、《政府采购服务和服务招标投标管理办法》财政部第87号的规定和有关的法规组建评标委员会。评标工作由评标委员会负责。评标委员会由采购人代表和技术、经济专家组成。评标专家将在开标日之前在采购</w:t>
      </w:r>
      <w:r>
        <w:rPr>
          <w:rFonts w:ascii="宋体" w:hAnsi="宋体"/>
          <w:sz w:val="22"/>
          <w:szCs w:val="22"/>
        </w:rPr>
        <w:t>监管</w:t>
      </w:r>
      <w:r>
        <w:rPr>
          <w:rFonts w:hint="eastAsia" w:ascii="宋体" w:hAnsi="宋体"/>
          <w:sz w:val="22"/>
          <w:szCs w:val="22"/>
        </w:rPr>
        <w:t>部门的评标专家库中随机抽取。评标委员会成员名单在采购结果确定之前依法保密。</w:t>
      </w:r>
    </w:p>
    <w:p>
      <w:pPr>
        <w:spacing w:line="440" w:lineRule="exact"/>
        <w:ind w:firstLine="440" w:firstLineChars="200"/>
        <w:rPr>
          <w:rFonts w:hint="eastAsia" w:ascii="宋体" w:hAnsi="宋体"/>
          <w:sz w:val="22"/>
          <w:szCs w:val="22"/>
        </w:rPr>
      </w:pPr>
      <w:r>
        <w:rPr>
          <w:rFonts w:hint="eastAsia" w:ascii="宋体" w:hAnsi="宋体"/>
          <w:sz w:val="22"/>
          <w:szCs w:val="22"/>
        </w:rPr>
        <w:t>23.2评标委员会将遵循公平、公正、科学、廉洁的原则和规定的程序进行评标，并且只依据投标文件本身对采购文件的响应情况进行评审，不考虑投标供应商在开标后提交的任何被允许的补充声明、修正方案。</w:t>
      </w:r>
    </w:p>
    <w:p>
      <w:pPr>
        <w:spacing w:line="440" w:lineRule="exact"/>
        <w:ind w:firstLine="440" w:firstLineChars="200"/>
        <w:rPr>
          <w:rFonts w:hint="eastAsia" w:ascii="宋体" w:hAnsi="宋体"/>
          <w:sz w:val="22"/>
          <w:szCs w:val="22"/>
        </w:rPr>
      </w:pPr>
      <w:r>
        <w:rPr>
          <w:rFonts w:hint="eastAsia" w:ascii="宋体" w:hAnsi="宋体"/>
          <w:sz w:val="22"/>
          <w:szCs w:val="22"/>
        </w:rPr>
        <w:t>23.3评标委员会将核对投标价格和数量，对发现的价格计算错误按下述原则处理：</w:t>
      </w:r>
    </w:p>
    <w:p>
      <w:pPr>
        <w:spacing w:line="440" w:lineRule="exact"/>
        <w:ind w:firstLine="440" w:firstLineChars="200"/>
        <w:rPr>
          <w:rFonts w:hint="eastAsia" w:ascii="宋体" w:hAnsi="宋体"/>
          <w:sz w:val="22"/>
          <w:szCs w:val="22"/>
        </w:rPr>
      </w:pPr>
      <w:r>
        <w:rPr>
          <w:rFonts w:hint="eastAsia" w:ascii="宋体" w:hAnsi="宋体"/>
          <w:sz w:val="22"/>
          <w:szCs w:val="22"/>
        </w:rPr>
        <w:t>1）开标时，投标文件中开标一览表（报价表）中大写金额和小写金额不一致的，以大写金额为准；投标分项报价表中合计金额与开标一览表（报价表）中投标总价合计金额不一致时以开标一览表（报价表）为准调整投标分项报价表中合计金额，进而按比例调整各分项清单各自的投标合价金额，同时以采购数量为基数调整单项服务或</w:t>
      </w:r>
      <w:r>
        <w:rPr>
          <w:rFonts w:ascii="宋体" w:hAnsi="宋体"/>
          <w:sz w:val="22"/>
          <w:szCs w:val="22"/>
        </w:rPr>
        <w:t>服务</w:t>
      </w:r>
      <w:r>
        <w:rPr>
          <w:rFonts w:hint="eastAsia" w:ascii="宋体" w:hAnsi="宋体"/>
          <w:sz w:val="22"/>
          <w:szCs w:val="22"/>
        </w:rPr>
        <w:t>的单价金额。单价金额小数点有明显错位的，应以总价为准，并修改单价；对不同文字文本投标文件的解释发生异议的，以中文文本为准。</w:t>
      </w:r>
    </w:p>
    <w:p>
      <w:pPr>
        <w:spacing w:line="440" w:lineRule="exact"/>
        <w:ind w:firstLine="440" w:firstLineChars="200"/>
        <w:rPr>
          <w:rFonts w:ascii="宋体" w:hAnsi="宋体"/>
          <w:sz w:val="22"/>
          <w:szCs w:val="22"/>
        </w:rPr>
      </w:pPr>
      <w:r>
        <w:rPr>
          <w:rFonts w:hint="eastAsia" w:ascii="宋体" w:hAnsi="宋体"/>
          <w:sz w:val="22"/>
          <w:szCs w:val="22"/>
        </w:rPr>
        <w:t>2）</w:t>
      </w:r>
      <w:r>
        <w:rPr>
          <w:rFonts w:ascii="宋体" w:hAnsi="宋体"/>
          <w:sz w:val="22"/>
          <w:szCs w:val="22"/>
        </w:rPr>
        <w:t>除</w:t>
      </w:r>
      <w:r>
        <w:rPr>
          <w:rFonts w:hint="eastAsia" w:ascii="宋体" w:hAnsi="宋体"/>
          <w:sz w:val="22"/>
          <w:szCs w:val="22"/>
        </w:rPr>
        <w:t>以上有计算或表达上的错误和矛盾按2</w:t>
      </w:r>
      <w:r>
        <w:rPr>
          <w:rFonts w:ascii="宋体" w:hAnsi="宋体"/>
          <w:sz w:val="22"/>
          <w:szCs w:val="22"/>
        </w:rPr>
        <w:t>3.3</w:t>
      </w:r>
      <w:r>
        <w:rPr>
          <w:rFonts w:hint="eastAsia" w:ascii="宋体" w:hAnsi="宋体"/>
          <w:sz w:val="22"/>
          <w:szCs w:val="22"/>
        </w:rPr>
        <w:t>条</w:t>
      </w:r>
      <w:r>
        <w:rPr>
          <w:rFonts w:ascii="宋体" w:hAnsi="宋体"/>
          <w:sz w:val="22"/>
          <w:szCs w:val="22"/>
        </w:rPr>
        <w:t>第</w:t>
      </w:r>
      <w:r>
        <w:rPr>
          <w:rFonts w:hint="eastAsia" w:ascii="宋体" w:hAnsi="宋体"/>
          <w:sz w:val="22"/>
          <w:szCs w:val="22"/>
        </w:rPr>
        <w:t>1）款修正</w:t>
      </w:r>
      <w:r>
        <w:rPr>
          <w:rFonts w:ascii="宋体" w:hAnsi="宋体"/>
          <w:sz w:val="22"/>
          <w:szCs w:val="22"/>
        </w:rPr>
        <w:t>外</w:t>
      </w:r>
      <w:r>
        <w:rPr>
          <w:rFonts w:hint="eastAsia" w:ascii="宋体" w:hAnsi="宋体"/>
          <w:sz w:val="22"/>
          <w:szCs w:val="22"/>
        </w:rPr>
        <w:t>，其他错误或矛盾，将按不利于出错投标供应商的原则进行修正。</w:t>
      </w:r>
    </w:p>
    <w:p>
      <w:pPr>
        <w:spacing w:line="440" w:lineRule="exact"/>
        <w:ind w:firstLine="440" w:firstLineChars="200"/>
        <w:rPr>
          <w:rFonts w:ascii="宋体" w:hAnsi="宋体"/>
          <w:color w:val="000000"/>
          <w:sz w:val="22"/>
          <w:szCs w:val="22"/>
        </w:rPr>
      </w:pPr>
      <w:r>
        <w:rPr>
          <w:rFonts w:hint="eastAsia" w:ascii="宋体" w:hAnsi="宋体"/>
          <w:sz w:val="22"/>
          <w:szCs w:val="22"/>
        </w:rPr>
        <w:t>★</w:t>
      </w:r>
      <w:r>
        <w:rPr>
          <w:rFonts w:ascii="宋体" w:hAnsi="宋体"/>
          <w:sz w:val="22"/>
          <w:szCs w:val="22"/>
        </w:rPr>
        <w:t>3</w:t>
      </w:r>
      <w:r>
        <w:rPr>
          <w:rFonts w:hint="eastAsia" w:ascii="宋体" w:hAnsi="宋体"/>
          <w:sz w:val="22"/>
          <w:szCs w:val="22"/>
        </w:rPr>
        <w:t>）</w:t>
      </w:r>
      <w:r>
        <w:rPr>
          <w:rFonts w:hint="eastAsia" w:ascii="宋体" w:hAnsi="宋体"/>
          <w:b/>
          <w:sz w:val="22"/>
          <w:szCs w:val="22"/>
          <w:u w:val="single"/>
        </w:rPr>
        <w:t>对于投标供应商少报或漏报的数量，若其累计价格（∑少报或漏报的数量×投报单价）不超过其总报价的15%（含），评标委员会将视为该少报或漏报的工作量已包含在总报价中，按采购数量调整其投报单价；若累计价格（∑少报或漏报的数量×投报单价）超过总报价的15%[投标供应商无该项目单价时以其他投标供应商中的最高单价为计算依据]，作实质性偏离处理。若投标报价之处字迹模糊难以辨认、核对，则作无效投标处理</w:t>
      </w:r>
      <w:r>
        <w:rPr>
          <w:rFonts w:hint="eastAsia" w:ascii="宋体" w:hAnsi="宋体"/>
          <w:sz w:val="22"/>
          <w:szCs w:val="22"/>
        </w:rPr>
        <w:t>。</w:t>
      </w:r>
    </w:p>
    <w:p>
      <w:pPr>
        <w:spacing w:line="440" w:lineRule="exact"/>
        <w:ind w:firstLine="440" w:firstLineChars="200"/>
        <w:rPr>
          <w:rFonts w:hint="eastAsia" w:ascii="宋体" w:hAnsi="宋体"/>
          <w:sz w:val="22"/>
          <w:szCs w:val="22"/>
        </w:rPr>
      </w:pPr>
      <w:r>
        <w:rPr>
          <w:rFonts w:ascii="宋体" w:hAnsi="宋体"/>
          <w:sz w:val="22"/>
          <w:szCs w:val="22"/>
        </w:rPr>
        <w:t>5</w:t>
      </w:r>
      <w:r>
        <w:rPr>
          <w:rFonts w:hint="eastAsia" w:ascii="宋体" w:hAnsi="宋体"/>
          <w:sz w:val="22"/>
          <w:szCs w:val="22"/>
        </w:rPr>
        <w:t>）</w:t>
      </w:r>
      <w:r>
        <w:rPr>
          <w:rFonts w:hint="eastAsia" w:ascii="宋体" w:hAnsi="宋体"/>
          <w:b/>
          <w:sz w:val="22"/>
          <w:szCs w:val="22"/>
        </w:rPr>
        <w:t>采购人需要的服务和附带备品、配件所需的费用，如果投标供应商是另外单独报价的话，评分时计入投标报价总价并分摊入投标单价</w:t>
      </w:r>
      <w:r>
        <w:rPr>
          <w:rFonts w:hint="eastAsia" w:ascii="宋体" w:hAnsi="宋体"/>
          <w:sz w:val="22"/>
          <w:szCs w:val="22"/>
        </w:rPr>
        <w:t>。</w:t>
      </w:r>
    </w:p>
    <w:p>
      <w:pPr>
        <w:spacing w:line="440" w:lineRule="exact"/>
        <w:ind w:firstLine="440" w:firstLineChars="200"/>
        <w:rPr>
          <w:rFonts w:hint="eastAsia" w:ascii="宋体" w:hAnsi="宋体"/>
          <w:sz w:val="22"/>
          <w:szCs w:val="22"/>
        </w:rPr>
      </w:pPr>
      <w:r>
        <w:rPr>
          <w:rFonts w:ascii="宋体" w:hAnsi="宋体"/>
          <w:sz w:val="22"/>
          <w:szCs w:val="22"/>
        </w:rPr>
        <w:t>6</w:t>
      </w:r>
      <w:r>
        <w:rPr>
          <w:rFonts w:hint="eastAsia" w:ascii="宋体" w:hAnsi="宋体"/>
          <w:sz w:val="22"/>
          <w:szCs w:val="22"/>
        </w:rPr>
        <w:t>）评标委员会依据采购文件认为应该调整的价格。</w:t>
      </w:r>
    </w:p>
    <w:p>
      <w:pPr>
        <w:spacing w:line="440" w:lineRule="exact"/>
        <w:ind w:firstLine="440" w:firstLineChars="200"/>
        <w:rPr>
          <w:rFonts w:hint="eastAsia" w:ascii="宋体" w:hAnsi="宋体"/>
          <w:color w:val="000000"/>
          <w:sz w:val="22"/>
          <w:szCs w:val="22"/>
        </w:rPr>
      </w:pPr>
      <w:r>
        <w:rPr>
          <w:rFonts w:hint="eastAsia" w:ascii="宋体" w:hAnsi="宋体"/>
          <w:sz w:val="22"/>
          <w:szCs w:val="22"/>
        </w:rPr>
        <w:t>★</w:t>
      </w:r>
      <w:r>
        <w:rPr>
          <w:rFonts w:hint="eastAsia" w:ascii="宋体" w:hAnsi="宋体"/>
          <w:b/>
          <w:sz w:val="22"/>
          <w:szCs w:val="22"/>
          <w:u w:val="single"/>
        </w:rPr>
        <w:t>按上述方法调整或作出处理的投标报价对投标供应商具有约束力。如果投标供应商不接受修改或处理，按无效标处理。</w:t>
      </w:r>
    </w:p>
    <w:p>
      <w:pPr>
        <w:spacing w:line="440" w:lineRule="exact"/>
        <w:ind w:firstLine="440" w:firstLineChars="200"/>
        <w:rPr>
          <w:rFonts w:ascii="宋体" w:hAnsi="宋体"/>
          <w:color w:val="000000"/>
          <w:sz w:val="22"/>
          <w:szCs w:val="22"/>
        </w:rPr>
      </w:pPr>
      <w:r>
        <w:rPr>
          <w:rFonts w:hint="eastAsia" w:ascii="宋体" w:hAnsi="宋体"/>
          <w:sz w:val="22"/>
          <w:szCs w:val="22"/>
        </w:rPr>
        <w:t>23.4评标委员会根据采购文件的《评标办法》及在《投标资料表》和《采购内容和要求》中所列的具体标准，对投标文件进行评审和比较。</w:t>
      </w:r>
    </w:p>
    <w:p>
      <w:pPr>
        <w:pStyle w:val="3"/>
        <w:spacing w:before="0" w:after="0" w:line="440" w:lineRule="exact"/>
        <w:rPr>
          <w:rFonts w:ascii="宋体" w:hAnsi="宋体" w:eastAsia="宋体"/>
          <w:sz w:val="22"/>
          <w:szCs w:val="22"/>
        </w:rPr>
      </w:pPr>
      <w:bookmarkStart w:id="86" w:name="_Toc14965643"/>
      <w:r>
        <w:rPr>
          <w:rFonts w:hint="eastAsia" w:ascii="宋体" w:hAnsi="宋体" w:eastAsia="宋体"/>
          <w:sz w:val="22"/>
          <w:szCs w:val="22"/>
        </w:rPr>
        <w:t>24、投标的澄清</w:t>
      </w:r>
      <w:bookmarkEnd w:id="86"/>
    </w:p>
    <w:p>
      <w:pPr>
        <w:spacing w:line="440" w:lineRule="exact"/>
        <w:ind w:firstLine="440" w:firstLineChars="200"/>
        <w:rPr>
          <w:rFonts w:hint="eastAsia" w:ascii="宋体" w:hAnsi="宋体"/>
          <w:sz w:val="22"/>
          <w:szCs w:val="22"/>
        </w:rPr>
      </w:pPr>
      <w:r>
        <w:rPr>
          <w:rFonts w:hint="eastAsia" w:ascii="宋体" w:hAnsi="宋体"/>
          <w:sz w:val="22"/>
          <w:szCs w:val="22"/>
        </w:rPr>
        <w:t>24.1对投标文件审查中，发现有表达含义不明确、同类问题表述不一致或者有明显文字和计算错误的内容，评标委员会可通过询标，要求投标供应商作出澄清。投标供应商必须按照采购代理机构通知的时间、地点派技术和商务人员进行答疑和澄清。</w:t>
      </w:r>
      <w:r>
        <w:rPr>
          <w:rFonts w:hint="eastAsia" w:ascii="宋体" w:hAnsi="宋体"/>
          <w:b/>
          <w:sz w:val="22"/>
          <w:szCs w:val="22"/>
          <w:u w:val="single"/>
        </w:rPr>
        <w:t>若投标供应商未响应澄清安排的通知进行答疑和澄清，则视作自动放弃。</w:t>
      </w:r>
    </w:p>
    <w:p>
      <w:pPr>
        <w:spacing w:line="440" w:lineRule="exact"/>
        <w:ind w:firstLine="440" w:firstLineChars="200"/>
        <w:rPr>
          <w:rFonts w:hint="eastAsia" w:ascii="宋体" w:hAnsi="宋体"/>
          <w:sz w:val="22"/>
          <w:szCs w:val="22"/>
        </w:rPr>
      </w:pPr>
      <w:r>
        <w:rPr>
          <w:rFonts w:hint="eastAsia" w:ascii="宋体" w:hAnsi="宋体"/>
          <w:sz w:val="22"/>
          <w:szCs w:val="22"/>
        </w:rPr>
        <w:t>2</w:t>
      </w:r>
      <w:r>
        <w:rPr>
          <w:rFonts w:ascii="宋体" w:hAnsi="宋体"/>
          <w:sz w:val="22"/>
          <w:szCs w:val="22"/>
        </w:rPr>
        <w:t>4</w:t>
      </w:r>
      <w:r>
        <w:rPr>
          <w:rFonts w:hint="eastAsia" w:ascii="宋体" w:hAnsi="宋体"/>
          <w:sz w:val="22"/>
          <w:szCs w:val="22"/>
        </w:rPr>
        <w:t>.2★投标供应商应对需要澄清的问题作书面回答，书面澄清将作为投标内容的一部分。</w:t>
      </w:r>
    </w:p>
    <w:p>
      <w:pPr>
        <w:spacing w:line="440" w:lineRule="exact"/>
        <w:ind w:firstLine="440" w:firstLineChars="200"/>
        <w:rPr>
          <w:rFonts w:ascii="宋体" w:hAnsi="宋体"/>
          <w:sz w:val="22"/>
          <w:szCs w:val="22"/>
        </w:rPr>
      </w:pPr>
      <w:r>
        <w:rPr>
          <w:rFonts w:hint="eastAsia" w:ascii="宋体" w:hAnsi="宋体"/>
          <w:sz w:val="22"/>
          <w:szCs w:val="22"/>
        </w:rPr>
        <w:t>24.3投标供应商对投标文件的澄清不得超出投标文件的范围或改变投标价格等投标文件的实质性内容。</w:t>
      </w:r>
    </w:p>
    <w:p>
      <w:pPr>
        <w:pStyle w:val="3"/>
        <w:spacing w:before="0" w:after="0" w:line="440" w:lineRule="exact"/>
        <w:rPr>
          <w:rFonts w:ascii="宋体" w:hAnsi="宋体" w:eastAsia="宋体"/>
          <w:sz w:val="22"/>
          <w:szCs w:val="22"/>
        </w:rPr>
      </w:pPr>
      <w:bookmarkStart w:id="87" w:name="_Toc14965644"/>
      <w:r>
        <w:rPr>
          <w:rFonts w:hint="eastAsia" w:ascii="宋体" w:hAnsi="宋体" w:eastAsia="宋体"/>
          <w:sz w:val="22"/>
          <w:szCs w:val="22"/>
        </w:rPr>
        <w:t>25、评标办法</w:t>
      </w:r>
      <w:bookmarkEnd w:id="87"/>
    </w:p>
    <w:p>
      <w:pPr>
        <w:spacing w:line="440" w:lineRule="exact"/>
        <w:ind w:firstLine="440" w:firstLineChars="200"/>
        <w:rPr>
          <w:rFonts w:ascii="宋体" w:hAnsi="宋体"/>
          <w:sz w:val="22"/>
          <w:szCs w:val="22"/>
        </w:rPr>
      </w:pPr>
      <w:r>
        <w:rPr>
          <w:rFonts w:hint="eastAsia" w:ascii="宋体" w:hAnsi="宋体"/>
          <w:sz w:val="22"/>
          <w:szCs w:val="22"/>
        </w:rPr>
        <w:t>25.1本次招投标活动的评标办法</w:t>
      </w:r>
      <w:r>
        <w:rPr>
          <w:rFonts w:hint="eastAsia" w:ascii="宋体" w:hAnsi="宋体"/>
          <w:b/>
          <w:sz w:val="22"/>
          <w:szCs w:val="22"/>
          <w:u w:val="single"/>
        </w:rPr>
        <w:t>采用综合评分法</w:t>
      </w:r>
      <w:r>
        <w:rPr>
          <w:rFonts w:hint="eastAsia" w:ascii="宋体" w:hAnsi="宋体"/>
          <w:sz w:val="22"/>
          <w:szCs w:val="22"/>
        </w:rPr>
        <w:t>。详细载明在第四部分《评标办法》中。</w:t>
      </w:r>
    </w:p>
    <w:p>
      <w:pPr>
        <w:spacing w:line="440" w:lineRule="exact"/>
        <w:ind w:firstLine="440" w:firstLineChars="200"/>
        <w:rPr>
          <w:rFonts w:ascii="宋体" w:hAnsi="宋体"/>
          <w:sz w:val="22"/>
          <w:szCs w:val="22"/>
        </w:rPr>
      </w:pPr>
      <w:r>
        <w:rPr>
          <w:rFonts w:hint="eastAsia" w:ascii="宋体" w:hAnsi="宋体"/>
          <w:sz w:val="22"/>
          <w:szCs w:val="22"/>
        </w:rPr>
        <w:t>25.2评标程序和原则</w:t>
      </w:r>
    </w:p>
    <w:p>
      <w:pPr>
        <w:spacing w:line="440" w:lineRule="exact"/>
        <w:ind w:firstLine="440" w:firstLineChars="200"/>
        <w:rPr>
          <w:rFonts w:hint="eastAsia" w:ascii="宋体" w:hAnsi="宋体"/>
          <w:sz w:val="22"/>
          <w:szCs w:val="22"/>
        </w:rPr>
      </w:pPr>
      <w:r>
        <w:rPr>
          <w:rFonts w:hint="eastAsia" w:ascii="宋体" w:hAnsi="宋体"/>
          <w:sz w:val="22"/>
          <w:szCs w:val="22"/>
        </w:rPr>
        <w:t>本采购项目的评标程序有：遵循资格审查、澄清有关问题、比较与评价、推荐中标(成交)供应商的程序依次进行。</w:t>
      </w:r>
    </w:p>
    <w:p>
      <w:pPr>
        <w:spacing w:line="440" w:lineRule="exact"/>
        <w:ind w:firstLine="440" w:firstLineChars="200"/>
        <w:rPr>
          <w:rFonts w:hint="eastAsia" w:ascii="宋体" w:hAnsi="宋体"/>
          <w:sz w:val="22"/>
          <w:szCs w:val="22"/>
        </w:rPr>
      </w:pPr>
      <w:r>
        <w:rPr>
          <w:rFonts w:hint="eastAsia" w:ascii="宋体" w:hAnsi="宋体"/>
          <w:sz w:val="22"/>
          <w:szCs w:val="22"/>
        </w:rPr>
        <w:t>25.2.1资格审查</w:t>
      </w:r>
    </w:p>
    <w:p>
      <w:pPr>
        <w:spacing w:line="440" w:lineRule="exact"/>
        <w:ind w:firstLine="440" w:firstLineChars="200"/>
        <w:rPr>
          <w:rFonts w:hint="eastAsia" w:ascii="宋体" w:hAnsi="宋体"/>
          <w:sz w:val="22"/>
          <w:szCs w:val="22"/>
        </w:rPr>
      </w:pPr>
      <w:r>
        <w:rPr>
          <w:rFonts w:hint="eastAsia" w:ascii="宋体" w:hAnsi="宋体"/>
          <w:sz w:val="22"/>
          <w:szCs w:val="22"/>
        </w:rPr>
        <w:t>资格审查主要为符合性审查。</w:t>
      </w:r>
      <w:r>
        <w:rPr>
          <w:rFonts w:hint="eastAsia" w:ascii="宋体" w:hAnsi="宋体"/>
          <w:b/>
          <w:sz w:val="22"/>
          <w:szCs w:val="22"/>
          <w:u w:val="single"/>
        </w:rPr>
        <w:t>资格审查不合格者不进入澄清有关问题及有序的评标程序</w:t>
      </w:r>
      <w:r>
        <w:rPr>
          <w:rFonts w:hint="eastAsia" w:ascii="宋体" w:hAnsi="宋体"/>
          <w:sz w:val="22"/>
          <w:szCs w:val="22"/>
        </w:rPr>
        <w:t>。</w:t>
      </w:r>
    </w:p>
    <w:p>
      <w:pPr>
        <w:spacing w:line="440" w:lineRule="exact"/>
        <w:ind w:firstLine="440" w:firstLineChars="200"/>
        <w:rPr>
          <w:rFonts w:hint="eastAsia" w:ascii="宋体" w:hAnsi="宋体"/>
          <w:sz w:val="22"/>
          <w:szCs w:val="22"/>
        </w:rPr>
      </w:pPr>
      <w:r>
        <w:rPr>
          <w:rFonts w:hint="eastAsia" w:ascii="宋体" w:hAnsi="宋体"/>
          <w:sz w:val="22"/>
          <w:szCs w:val="22"/>
        </w:rPr>
        <w:t>符合性审查：依据采购文件的规定，审查投标文件的组成是否符合采购文件的要求，从投标文件的有效性、完整性、投标有效期的符合性，并对投标文件是否做出实质性响应进行审查（综合核查其对业绩、服务完成期、质量保证、付款条件等实质性要求是否响应；在技术规格上，核对其对采购文件技术规格中诸如适用性、技术规格符合性等实质性要求的条款是否响应；并审核其是否低于成本报价等）。</w:t>
      </w:r>
    </w:p>
    <w:p>
      <w:pPr>
        <w:spacing w:line="440" w:lineRule="exact"/>
        <w:ind w:firstLine="440" w:firstLineChars="200"/>
        <w:rPr>
          <w:rFonts w:hint="eastAsia" w:ascii="宋体" w:hAnsi="宋体"/>
          <w:sz w:val="22"/>
          <w:szCs w:val="22"/>
        </w:rPr>
      </w:pPr>
      <w:r>
        <w:rPr>
          <w:rFonts w:hint="eastAsia" w:ascii="宋体" w:hAnsi="宋体"/>
          <w:sz w:val="22"/>
          <w:szCs w:val="22"/>
        </w:rPr>
        <w:t>澄清有关问题：按第</w:t>
      </w:r>
      <w:r>
        <w:rPr>
          <w:rFonts w:ascii="宋体" w:hAnsi="宋体"/>
          <w:sz w:val="22"/>
          <w:szCs w:val="22"/>
        </w:rPr>
        <w:t>24</w:t>
      </w:r>
      <w:r>
        <w:rPr>
          <w:rFonts w:hint="eastAsia" w:ascii="宋体" w:hAnsi="宋体"/>
          <w:sz w:val="22"/>
          <w:szCs w:val="22"/>
        </w:rPr>
        <w:t>条规定进行。</w:t>
      </w:r>
    </w:p>
    <w:p>
      <w:pPr>
        <w:spacing w:line="440" w:lineRule="exact"/>
        <w:ind w:firstLine="440" w:firstLineChars="200"/>
        <w:rPr>
          <w:rFonts w:hint="eastAsia" w:ascii="宋体" w:hAnsi="宋体"/>
          <w:sz w:val="22"/>
          <w:szCs w:val="22"/>
        </w:rPr>
      </w:pPr>
      <w:r>
        <w:rPr>
          <w:rFonts w:hint="eastAsia" w:ascii="宋体" w:hAnsi="宋体"/>
          <w:sz w:val="22"/>
          <w:szCs w:val="22"/>
        </w:rPr>
        <w:t>25.2.2比较与评价</w:t>
      </w:r>
    </w:p>
    <w:p>
      <w:pPr>
        <w:spacing w:line="440" w:lineRule="exact"/>
        <w:ind w:firstLine="440" w:firstLineChars="200"/>
        <w:rPr>
          <w:rFonts w:hint="eastAsia" w:ascii="宋体" w:hAnsi="宋体"/>
          <w:sz w:val="22"/>
          <w:szCs w:val="22"/>
        </w:rPr>
      </w:pPr>
      <w:r>
        <w:rPr>
          <w:rFonts w:hint="eastAsia" w:ascii="宋体" w:hAnsi="宋体"/>
          <w:sz w:val="22"/>
          <w:szCs w:val="22"/>
        </w:rPr>
        <w:t>评标委员会在评标过程中优先考虑向我国企业转让技术、与我国企业签订消化吸收再创新方案的进口产品。比较与评价包括：投标价格评价、商务评价、技术评价、综合评价</w:t>
      </w:r>
    </w:p>
    <w:p>
      <w:pPr>
        <w:spacing w:line="440" w:lineRule="exact"/>
        <w:ind w:firstLine="440" w:firstLineChars="200"/>
        <w:rPr>
          <w:rFonts w:hint="eastAsia" w:ascii="宋体" w:hAnsi="宋体"/>
          <w:sz w:val="22"/>
          <w:szCs w:val="22"/>
        </w:rPr>
      </w:pPr>
      <w:r>
        <w:rPr>
          <w:rFonts w:hint="eastAsia" w:ascii="宋体" w:hAnsi="宋体"/>
          <w:sz w:val="22"/>
          <w:szCs w:val="22"/>
        </w:rPr>
        <w:t>商务评价：按照采购文件的要求和采购文件的响应进行商务评价，根据其偏差状况评定商务评分分值。</w:t>
      </w:r>
    </w:p>
    <w:p>
      <w:pPr>
        <w:spacing w:line="440" w:lineRule="exact"/>
        <w:ind w:firstLine="440" w:firstLineChars="200"/>
        <w:rPr>
          <w:rFonts w:hint="eastAsia" w:ascii="宋体" w:hAnsi="宋体"/>
          <w:sz w:val="22"/>
          <w:szCs w:val="22"/>
        </w:rPr>
      </w:pPr>
      <w:r>
        <w:rPr>
          <w:rFonts w:hint="eastAsia" w:ascii="宋体" w:hAnsi="宋体"/>
          <w:sz w:val="22"/>
          <w:szCs w:val="22"/>
        </w:rPr>
        <w:t>投标价格评价：按照采购文件的要求和“评标办法”对有效投标供应商的价格进行评分；</w:t>
      </w:r>
    </w:p>
    <w:p>
      <w:pPr>
        <w:spacing w:line="440" w:lineRule="exact"/>
        <w:ind w:firstLine="440" w:firstLineChars="200"/>
        <w:rPr>
          <w:rFonts w:hint="eastAsia" w:ascii="宋体" w:hAnsi="宋体"/>
          <w:sz w:val="22"/>
          <w:szCs w:val="22"/>
        </w:rPr>
      </w:pPr>
      <w:r>
        <w:rPr>
          <w:rFonts w:hint="eastAsia" w:ascii="宋体" w:hAnsi="宋体"/>
          <w:sz w:val="22"/>
          <w:szCs w:val="22"/>
        </w:rPr>
        <w:t>技术评价：按照采购文件的要求和“评标办法”对照投标文件的响应进行技术评价，根据其偏差程度评定技术评分分值，同时评定其是否响应采购内容及需求，是否出现负偏离。</w:t>
      </w:r>
    </w:p>
    <w:p>
      <w:pPr>
        <w:spacing w:line="440" w:lineRule="exact"/>
        <w:ind w:firstLine="440" w:firstLineChars="200"/>
        <w:rPr>
          <w:rFonts w:hint="eastAsia" w:ascii="宋体" w:hAnsi="宋体"/>
          <w:sz w:val="22"/>
          <w:szCs w:val="22"/>
        </w:rPr>
      </w:pPr>
      <w:r>
        <w:rPr>
          <w:rFonts w:hint="eastAsia" w:ascii="宋体" w:hAnsi="宋体"/>
          <w:sz w:val="22"/>
          <w:szCs w:val="22"/>
        </w:rPr>
        <w:t>综合评价：对经过技术评价及投标报价评分的投标，按“评标办法”规定的评价办法进行综合评价。</w:t>
      </w:r>
    </w:p>
    <w:p>
      <w:pPr>
        <w:spacing w:line="440" w:lineRule="exact"/>
        <w:ind w:firstLine="440" w:firstLineChars="200"/>
        <w:rPr>
          <w:rFonts w:hint="eastAsia" w:ascii="宋体" w:hAnsi="宋体"/>
          <w:sz w:val="22"/>
          <w:szCs w:val="22"/>
        </w:rPr>
      </w:pPr>
      <w:r>
        <w:rPr>
          <w:rFonts w:hint="eastAsia" w:ascii="宋体" w:hAnsi="宋体"/>
          <w:sz w:val="22"/>
          <w:szCs w:val="22"/>
        </w:rPr>
        <w:t>25.3综合评分法的得分计算：</w:t>
      </w:r>
    </w:p>
    <w:p>
      <w:pPr>
        <w:spacing w:line="440" w:lineRule="exact"/>
        <w:ind w:firstLine="442" w:firstLineChars="200"/>
        <w:rPr>
          <w:rFonts w:hint="eastAsia" w:ascii="宋体" w:hAnsi="宋体"/>
          <w:b/>
          <w:sz w:val="22"/>
          <w:szCs w:val="22"/>
          <w:u w:val="single"/>
        </w:rPr>
      </w:pPr>
      <w:r>
        <w:rPr>
          <w:rFonts w:hint="eastAsia" w:ascii="宋体" w:hAnsi="宋体"/>
          <w:b/>
          <w:sz w:val="22"/>
          <w:szCs w:val="22"/>
          <w:u w:val="single"/>
        </w:rPr>
        <w:t>评标得分=技术分+资信商务分+价格分</w:t>
      </w:r>
    </w:p>
    <w:p>
      <w:pPr>
        <w:spacing w:line="440" w:lineRule="exact"/>
        <w:ind w:firstLine="440" w:firstLineChars="200"/>
        <w:rPr>
          <w:rFonts w:hint="eastAsia" w:ascii="宋体" w:hAnsi="宋体"/>
          <w:sz w:val="22"/>
          <w:szCs w:val="22"/>
        </w:rPr>
      </w:pPr>
      <w:r>
        <w:rPr>
          <w:rFonts w:hint="eastAsia" w:ascii="宋体" w:hAnsi="宋体"/>
          <w:sz w:val="22"/>
          <w:szCs w:val="22"/>
        </w:rPr>
        <w:t>各投标根据各投标供应商的综合评分得分，从高向低的顺序排列。</w:t>
      </w:r>
    </w:p>
    <w:p>
      <w:pPr>
        <w:spacing w:line="440" w:lineRule="exact"/>
        <w:ind w:firstLine="440" w:firstLineChars="200"/>
        <w:rPr>
          <w:rFonts w:hint="eastAsia" w:ascii="宋体" w:hAnsi="宋体"/>
          <w:sz w:val="22"/>
          <w:szCs w:val="22"/>
        </w:rPr>
      </w:pPr>
      <w:r>
        <w:rPr>
          <w:rFonts w:hint="eastAsia" w:ascii="宋体" w:hAnsi="宋体"/>
          <w:sz w:val="22"/>
          <w:szCs w:val="22"/>
        </w:rPr>
        <w:t>25.4评价复核：在发布采购结果公示(中标公示)之前的任何时候，出现《政府采购服务和服务招标投标管理办法》（财政部令第</w:t>
      </w:r>
      <w:r>
        <w:rPr>
          <w:rFonts w:ascii="宋体" w:hAnsi="宋体"/>
          <w:sz w:val="22"/>
          <w:szCs w:val="22"/>
        </w:rPr>
        <w:t>87</w:t>
      </w:r>
      <w:r>
        <w:rPr>
          <w:rFonts w:hint="eastAsia" w:ascii="宋体" w:hAnsi="宋体"/>
          <w:sz w:val="22"/>
          <w:szCs w:val="22"/>
        </w:rPr>
        <w:t>号）第六十四条所列</w:t>
      </w:r>
      <w:r>
        <w:rPr>
          <w:rFonts w:ascii="宋体" w:hAnsi="宋体"/>
          <w:sz w:val="22"/>
          <w:szCs w:val="22"/>
        </w:rPr>
        <w:t>情形</w:t>
      </w:r>
      <w:r>
        <w:rPr>
          <w:rFonts w:hint="eastAsia" w:ascii="宋体" w:hAnsi="宋体"/>
          <w:sz w:val="22"/>
          <w:szCs w:val="22"/>
        </w:rPr>
        <w:t>的，评标委员会有权对已通过资格审查、比较评价等程序的部分或全部投标进行复核，或通过复核对前述评标结论中存在的遗漏或偏差进行修正。完成评价复核后，重新确定评标结果排序，重新评审改变评标结果的，将书面报告本级财政部门。</w:t>
      </w:r>
    </w:p>
    <w:p>
      <w:pPr>
        <w:tabs>
          <w:tab w:val="left" w:pos="0"/>
          <w:tab w:val="left" w:pos="1134"/>
        </w:tabs>
        <w:adjustRightInd w:val="0"/>
        <w:snapToGrid w:val="0"/>
        <w:spacing w:line="440" w:lineRule="exact"/>
        <w:ind w:firstLine="440" w:firstLineChars="200"/>
        <w:rPr>
          <w:rFonts w:hint="eastAsia" w:ascii="宋体" w:hAnsi="宋体"/>
          <w:sz w:val="22"/>
          <w:szCs w:val="22"/>
        </w:rPr>
      </w:pPr>
      <w:r>
        <w:rPr>
          <w:rFonts w:hint="eastAsia" w:ascii="宋体" w:hAnsi="宋体"/>
          <w:sz w:val="22"/>
          <w:szCs w:val="22"/>
        </w:rPr>
        <w:t>25.5推荐中标候选人（供应商）：中标候选资格按评标得分由高到低顺序排列，得分相同的，按投标报价由低到高顺序排列；得分且投标报价相同的，按技术得分由高到低顺序排列。取前三名为中标候选人，排名第一的投标人为第一中标候选人，以此类推。评分过程中采用四舍五入法，并保留小数2位。</w:t>
      </w:r>
    </w:p>
    <w:p>
      <w:pPr>
        <w:spacing w:line="440" w:lineRule="exact"/>
        <w:rPr>
          <w:rFonts w:hint="eastAsia" w:ascii="宋体" w:hAnsi="宋体"/>
          <w:sz w:val="22"/>
          <w:szCs w:val="22"/>
          <w:u w:val="single"/>
        </w:rPr>
      </w:pPr>
      <w:r>
        <w:rPr>
          <w:rFonts w:hint="eastAsia" w:ascii="宋体" w:hAnsi="宋体"/>
          <w:sz w:val="22"/>
          <w:szCs w:val="22"/>
        </w:rPr>
        <w:t>一般情况下，采购单位授权评标委员会</w:t>
      </w:r>
      <w:r>
        <w:rPr>
          <w:rFonts w:hint="eastAsia" w:ascii="宋体" w:hAnsi="宋体"/>
          <w:b/>
          <w:sz w:val="22"/>
          <w:szCs w:val="22"/>
          <w:u w:val="single"/>
        </w:rPr>
        <w:t>直接推荐综合评价结果得分最高者为中标(成交)供应商；</w:t>
      </w:r>
      <w:r>
        <w:rPr>
          <w:rFonts w:hint="eastAsia" w:ascii="宋体" w:hAnsi="宋体"/>
          <w:sz w:val="22"/>
          <w:szCs w:val="22"/>
        </w:rPr>
        <w:t>若综合评价结果得分最高者放弃中标、或因不可抗力提出不能履行合同，采购人将重新组织采购，或确定综合评价结果得分次高者为中标(成交)供应商。</w:t>
      </w:r>
    </w:p>
    <w:p>
      <w:pPr>
        <w:spacing w:line="440" w:lineRule="exact"/>
        <w:ind w:firstLine="440" w:firstLineChars="200"/>
        <w:rPr>
          <w:rFonts w:hint="eastAsia" w:ascii="宋体" w:hAnsi="宋体"/>
          <w:sz w:val="22"/>
          <w:szCs w:val="22"/>
        </w:rPr>
      </w:pPr>
      <w:r>
        <w:rPr>
          <w:rFonts w:hint="eastAsia" w:ascii="宋体" w:hAnsi="宋体"/>
          <w:sz w:val="22"/>
          <w:szCs w:val="22"/>
        </w:rPr>
        <w:t>2</w:t>
      </w:r>
      <w:r>
        <w:rPr>
          <w:rFonts w:ascii="宋体" w:hAnsi="宋体"/>
          <w:sz w:val="22"/>
          <w:szCs w:val="22"/>
        </w:rPr>
        <w:t>5</w:t>
      </w:r>
      <w:r>
        <w:rPr>
          <w:rFonts w:hint="eastAsia" w:ascii="宋体" w:hAnsi="宋体"/>
          <w:sz w:val="22"/>
          <w:szCs w:val="22"/>
        </w:rPr>
        <w:t>.</w:t>
      </w:r>
      <w:r>
        <w:rPr>
          <w:rFonts w:ascii="宋体" w:hAnsi="宋体"/>
          <w:sz w:val="22"/>
          <w:szCs w:val="22"/>
        </w:rPr>
        <w:t>6</w:t>
      </w:r>
      <w:r>
        <w:rPr>
          <w:rFonts w:hint="eastAsia" w:ascii="宋体" w:hAnsi="宋体"/>
          <w:sz w:val="22"/>
          <w:szCs w:val="22"/>
        </w:rPr>
        <w:t>例外处理</w:t>
      </w:r>
    </w:p>
    <w:p>
      <w:pPr>
        <w:spacing w:line="440" w:lineRule="exact"/>
        <w:ind w:firstLine="440" w:firstLineChars="200"/>
        <w:rPr>
          <w:rFonts w:ascii="宋体" w:hAnsi="宋体"/>
          <w:sz w:val="22"/>
          <w:szCs w:val="22"/>
        </w:rPr>
      </w:pPr>
      <w:r>
        <w:rPr>
          <w:rFonts w:hint="eastAsia" w:ascii="宋体" w:hAnsi="宋体"/>
          <w:sz w:val="22"/>
          <w:szCs w:val="22"/>
        </w:rPr>
        <w:t>25.</w:t>
      </w:r>
      <w:r>
        <w:rPr>
          <w:rFonts w:ascii="宋体" w:hAnsi="宋体"/>
          <w:sz w:val="22"/>
          <w:szCs w:val="22"/>
        </w:rPr>
        <w:t>6</w:t>
      </w:r>
      <w:r>
        <w:rPr>
          <w:rFonts w:hint="eastAsia" w:ascii="宋体" w:hAnsi="宋体"/>
          <w:sz w:val="22"/>
          <w:szCs w:val="22"/>
        </w:rPr>
        <w:t>.1</w:t>
      </w:r>
      <w:r>
        <w:rPr>
          <w:rFonts w:hint="eastAsia" w:ascii="宋体" w:hAnsi="宋体"/>
          <w:b/>
          <w:sz w:val="22"/>
          <w:szCs w:val="22"/>
        </w:rPr>
        <w:t>有下列情形之一的，采购程序终止，除采购任务取消外，采购人将重新组织采购：</w:t>
      </w:r>
    </w:p>
    <w:p>
      <w:pPr>
        <w:spacing w:line="440" w:lineRule="exact"/>
        <w:ind w:firstLine="440" w:firstLineChars="200"/>
        <w:rPr>
          <w:rFonts w:hint="eastAsia" w:ascii="宋体" w:hAnsi="宋体"/>
          <w:sz w:val="22"/>
          <w:szCs w:val="22"/>
        </w:rPr>
      </w:pPr>
      <w:r>
        <w:rPr>
          <w:rFonts w:hint="eastAsia" w:ascii="宋体" w:hAnsi="宋体"/>
          <w:sz w:val="22"/>
          <w:szCs w:val="22"/>
        </w:rPr>
        <w:t>①出现影响采购公正的违法、违规行为的；</w:t>
      </w:r>
    </w:p>
    <w:p>
      <w:pPr>
        <w:spacing w:line="440" w:lineRule="exact"/>
        <w:ind w:firstLine="440" w:firstLineChars="200"/>
        <w:rPr>
          <w:rFonts w:hint="eastAsia" w:ascii="宋体" w:hAnsi="宋体"/>
          <w:sz w:val="22"/>
          <w:szCs w:val="22"/>
        </w:rPr>
      </w:pPr>
      <w:r>
        <w:rPr>
          <w:rFonts w:hint="eastAsia" w:ascii="宋体" w:hAnsi="宋体"/>
          <w:sz w:val="22"/>
          <w:szCs w:val="22"/>
        </w:rPr>
        <w:t>②投标供应商的报价均超过了采购预算，采购人不能支付的；</w:t>
      </w:r>
    </w:p>
    <w:p>
      <w:pPr>
        <w:spacing w:line="440" w:lineRule="exact"/>
        <w:ind w:firstLine="440" w:firstLineChars="200"/>
        <w:rPr>
          <w:rFonts w:hint="eastAsia" w:ascii="宋体" w:hAnsi="宋体"/>
          <w:sz w:val="22"/>
          <w:szCs w:val="22"/>
        </w:rPr>
      </w:pPr>
      <w:r>
        <w:rPr>
          <w:rFonts w:hint="eastAsia" w:ascii="宋体" w:hAnsi="宋体"/>
          <w:sz w:val="22"/>
          <w:szCs w:val="22"/>
        </w:rPr>
        <w:t>③因重大变故，采购任务取消的；</w:t>
      </w:r>
    </w:p>
    <w:p>
      <w:pPr>
        <w:spacing w:line="440" w:lineRule="exact"/>
        <w:ind w:firstLine="440" w:firstLineChars="200"/>
        <w:rPr>
          <w:rFonts w:ascii="宋体" w:hAnsi="宋体"/>
          <w:sz w:val="22"/>
          <w:szCs w:val="22"/>
        </w:rPr>
      </w:pPr>
      <w:r>
        <w:rPr>
          <w:rFonts w:hint="eastAsia" w:ascii="宋体" w:hAnsi="宋体"/>
          <w:sz w:val="22"/>
          <w:szCs w:val="22"/>
        </w:rPr>
        <w:t>④其他采购文件规定采购程序终止的情形。</w:t>
      </w:r>
    </w:p>
    <w:p>
      <w:pPr>
        <w:spacing w:line="440" w:lineRule="exact"/>
        <w:ind w:firstLine="440" w:firstLineChars="200"/>
        <w:rPr>
          <w:rFonts w:ascii="宋体" w:hAnsi="宋体"/>
          <w:sz w:val="22"/>
          <w:szCs w:val="22"/>
        </w:rPr>
      </w:pPr>
      <w:r>
        <w:rPr>
          <w:rFonts w:hint="eastAsia" w:ascii="宋体" w:hAnsi="宋体"/>
          <w:sz w:val="22"/>
          <w:szCs w:val="22"/>
        </w:rPr>
        <w:t>25.6.2依据《政府采购服务和服务招标投标管理办法》(中华人民共和国财政部令第87号) 第四十三条规定：“公开招标数额标准以上的采购项目，投标截止后投标供应商不足3家或者通过资格审查或符合性审查的投标供应商不足3家的，除采购任务取消情形外，按照以下方式处理：（一）采购文件存在不合理条款或者招标程序不符合规定的，采购人、采购代理机构改正后依法重新招标；（二）采购文件没有不合理条款、招标程序符合规定，需要采用其他采购方式采购的，采购人应当依法报财政部门批准”</w:t>
      </w:r>
      <w:r>
        <w:rPr>
          <w:rFonts w:ascii="宋体" w:hAnsi="宋体"/>
          <w:sz w:val="22"/>
          <w:szCs w:val="22"/>
        </w:rPr>
        <w:t>。</w:t>
      </w:r>
    </w:p>
    <w:p>
      <w:pPr>
        <w:spacing w:line="440" w:lineRule="exact"/>
        <w:ind w:firstLine="440" w:firstLineChars="200"/>
        <w:rPr>
          <w:rFonts w:hint="eastAsia" w:ascii="宋体" w:hAnsi="宋体"/>
          <w:sz w:val="22"/>
          <w:szCs w:val="22"/>
        </w:rPr>
      </w:pPr>
      <w:r>
        <w:rPr>
          <w:rFonts w:hint="eastAsia" w:ascii="宋体" w:hAnsi="宋体"/>
          <w:sz w:val="22"/>
          <w:szCs w:val="22"/>
        </w:rPr>
        <w:t>25.6.2.1 若经批准变更为竞争性谈判方式的，原评标办法废止，评标委员会改组为谈判小组，依据下述程序从质量和服务均能满足采购文件实质性响应要求的供应商中按照最后报价由低到高的顺序确定候选成交供应商，并最终确定报价最低者为中标成交候选供应商。其程序如下：</w:t>
      </w:r>
    </w:p>
    <w:p>
      <w:pPr>
        <w:spacing w:line="440" w:lineRule="exact"/>
        <w:ind w:firstLine="440" w:firstLineChars="200"/>
        <w:rPr>
          <w:rFonts w:hint="eastAsia" w:ascii="宋体" w:hAnsi="宋体"/>
          <w:sz w:val="22"/>
          <w:szCs w:val="22"/>
        </w:rPr>
      </w:pPr>
      <w:r>
        <w:rPr>
          <w:rFonts w:hint="eastAsia" w:ascii="宋体" w:hAnsi="宋体"/>
          <w:sz w:val="22"/>
          <w:szCs w:val="22"/>
        </w:rPr>
        <w:t>A. 竞争性谈判一般将分为三个轮次，谈判小组所有成员应当集中与单一供应商分别进行谈判，并给予所有参加谈判的供应商平等的谈判机会；</w:t>
      </w:r>
    </w:p>
    <w:p>
      <w:pPr>
        <w:spacing w:line="440" w:lineRule="exact"/>
        <w:ind w:firstLine="440" w:firstLineChars="200"/>
        <w:rPr>
          <w:rFonts w:hint="eastAsia" w:ascii="宋体" w:hAnsi="宋体"/>
          <w:sz w:val="22"/>
          <w:szCs w:val="22"/>
        </w:rPr>
      </w:pPr>
      <w:r>
        <w:rPr>
          <w:rFonts w:hint="eastAsia" w:ascii="宋体" w:hAnsi="宋体"/>
          <w:sz w:val="22"/>
          <w:szCs w:val="22"/>
        </w:rPr>
        <w:t>B. 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spacing w:line="440" w:lineRule="exact"/>
        <w:ind w:firstLine="440" w:firstLineChars="200"/>
        <w:rPr>
          <w:rFonts w:hint="eastAsia" w:ascii="宋体" w:hAnsi="宋体"/>
          <w:sz w:val="22"/>
          <w:szCs w:val="22"/>
        </w:rPr>
      </w:pPr>
      <w:r>
        <w:rPr>
          <w:rFonts w:hint="eastAsia" w:ascii="宋体" w:hAnsi="宋体"/>
          <w:sz w:val="22"/>
          <w:szCs w:val="22"/>
        </w:rPr>
        <w:t>C. 已提交响应文件的供应商，在提交最后报价之前，可以根据谈判情况退出谈判。采购人、采购代理机构将退还退出谈判的供应商的保证金。</w:t>
      </w:r>
    </w:p>
    <w:p>
      <w:pPr>
        <w:spacing w:line="440" w:lineRule="exact"/>
        <w:ind w:firstLine="440" w:firstLineChars="200"/>
        <w:rPr>
          <w:rFonts w:hint="eastAsia" w:ascii="宋体" w:hAnsi="宋体"/>
          <w:sz w:val="22"/>
          <w:szCs w:val="22"/>
        </w:rPr>
      </w:pPr>
      <w:r>
        <w:rPr>
          <w:rFonts w:hint="eastAsia" w:ascii="宋体" w:hAnsi="宋体"/>
          <w:sz w:val="22"/>
          <w:szCs w:val="22"/>
        </w:rPr>
        <w:t>D.在第三轮谈判结束后，谈判小组将视情况(如出现最低报价相同时，或未达成采购人与其目标时等情况)决定是否增加谈判轮次。若出现最后最低报价相同且供应商均不愿降低报价的情况下，采购人可授权谈判小组采取抽签方式确定，先抽出的排序在前。</w:t>
      </w:r>
    </w:p>
    <w:p>
      <w:pPr>
        <w:spacing w:line="440" w:lineRule="exact"/>
        <w:ind w:firstLine="440" w:firstLineChars="200"/>
        <w:rPr>
          <w:rFonts w:hint="eastAsia" w:ascii="宋体" w:hAnsi="宋体"/>
          <w:sz w:val="22"/>
          <w:szCs w:val="22"/>
        </w:rPr>
      </w:pPr>
      <w:r>
        <w:rPr>
          <w:rFonts w:hint="eastAsia" w:ascii="宋体" w:hAnsi="宋体"/>
          <w:sz w:val="22"/>
          <w:szCs w:val="22"/>
        </w:rPr>
        <w:t>E. 竞争性谈判小组将与投标供应商进行一轮或多轮次的谈判，谈判的内容至少包含如下：</w:t>
      </w:r>
    </w:p>
    <w:p>
      <w:pPr>
        <w:spacing w:line="440" w:lineRule="exact"/>
        <w:ind w:firstLine="440" w:firstLineChars="200"/>
        <w:rPr>
          <w:rFonts w:hint="eastAsia" w:ascii="宋体" w:hAnsi="宋体"/>
          <w:sz w:val="22"/>
          <w:szCs w:val="22"/>
        </w:rPr>
      </w:pPr>
      <w:r>
        <w:rPr>
          <w:rFonts w:hint="eastAsia" w:ascii="宋体" w:hAnsi="宋体"/>
          <w:sz w:val="22"/>
          <w:szCs w:val="22"/>
        </w:rPr>
        <w:t>(1) 报价人的资格、合格服务和谈判响应文件状况，即报价资格审查与资格审查部分内容；</w:t>
      </w:r>
    </w:p>
    <w:p>
      <w:pPr>
        <w:spacing w:line="440" w:lineRule="exact"/>
        <w:ind w:firstLine="440" w:firstLineChars="200"/>
        <w:rPr>
          <w:rFonts w:hint="eastAsia" w:ascii="宋体" w:hAnsi="宋体"/>
          <w:sz w:val="22"/>
          <w:szCs w:val="22"/>
        </w:rPr>
      </w:pPr>
      <w:r>
        <w:rPr>
          <w:rFonts w:hint="eastAsia" w:ascii="宋体" w:hAnsi="宋体"/>
          <w:sz w:val="22"/>
          <w:szCs w:val="22"/>
        </w:rPr>
        <w:t>(2) 商务技术谈判，至少包括：招服务要求、服务期、服务地点、价款及付款条件等、后续服务等；</w:t>
      </w:r>
    </w:p>
    <w:p>
      <w:pPr>
        <w:spacing w:line="440" w:lineRule="exact"/>
        <w:ind w:firstLine="440" w:firstLineChars="200"/>
        <w:rPr>
          <w:rFonts w:hint="eastAsia" w:ascii="宋体" w:hAnsi="宋体"/>
          <w:sz w:val="22"/>
          <w:szCs w:val="22"/>
        </w:rPr>
      </w:pPr>
      <w:r>
        <w:rPr>
          <w:rFonts w:hint="eastAsia" w:ascii="宋体" w:hAnsi="宋体"/>
          <w:sz w:val="22"/>
          <w:szCs w:val="22"/>
        </w:rPr>
        <w:t>(3) 采购服务的价格及涉及采购要求的其他方面。</w:t>
      </w:r>
    </w:p>
    <w:p>
      <w:pPr>
        <w:spacing w:line="440" w:lineRule="exact"/>
        <w:ind w:firstLine="440" w:firstLineChars="200"/>
        <w:rPr>
          <w:rFonts w:hint="eastAsia" w:ascii="宋体" w:hAnsi="宋体"/>
          <w:sz w:val="22"/>
          <w:szCs w:val="22"/>
        </w:rPr>
      </w:pPr>
      <w:r>
        <w:rPr>
          <w:rFonts w:hint="eastAsia" w:ascii="宋体" w:hAnsi="宋体"/>
          <w:sz w:val="22"/>
          <w:szCs w:val="22"/>
        </w:rPr>
        <w:t>F.其它采购文件未约定的按《政府采购非采购方式管理办法》(财政部令第74号)文及相关文件确定。</w:t>
      </w:r>
    </w:p>
    <w:p>
      <w:pPr>
        <w:spacing w:line="440" w:lineRule="exact"/>
        <w:ind w:firstLine="440" w:firstLineChars="200"/>
        <w:rPr>
          <w:rFonts w:hint="eastAsia" w:ascii="宋体" w:hAnsi="宋体"/>
          <w:sz w:val="22"/>
          <w:szCs w:val="22"/>
        </w:rPr>
      </w:pPr>
      <w:r>
        <w:rPr>
          <w:rFonts w:hint="eastAsia" w:ascii="宋体" w:hAnsi="宋体"/>
          <w:sz w:val="22"/>
          <w:szCs w:val="22"/>
        </w:rPr>
        <w:t>25.6.2.2 若经批准变更为其它采购方式的，具体评标办法另定。</w:t>
      </w:r>
    </w:p>
    <w:p>
      <w:pPr>
        <w:pStyle w:val="3"/>
        <w:spacing w:before="0" w:after="0" w:line="440" w:lineRule="exact"/>
        <w:rPr>
          <w:rFonts w:ascii="宋体" w:hAnsi="宋体" w:eastAsia="宋体"/>
          <w:sz w:val="22"/>
          <w:szCs w:val="22"/>
        </w:rPr>
      </w:pPr>
      <w:bookmarkStart w:id="88" w:name="_Toc14965645"/>
      <w:r>
        <w:rPr>
          <w:rFonts w:hint="eastAsia" w:ascii="宋体" w:hAnsi="宋体" w:eastAsia="宋体"/>
          <w:sz w:val="22"/>
          <w:szCs w:val="22"/>
        </w:rPr>
        <w:t>26、评标过程保密</w:t>
      </w:r>
      <w:bookmarkEnd w:id="88"/>
    </w:p>
    <w:p>
      <w:pPr>
        <w:spacing w:line="440" w:lineRule="exact"/>
        <w:ind w:firstLine="440" w:firstLineChars="200"/>
        <w:rPr>
          <w:rFonts w:hint="eastAsia" w:ascii="宋体" w:hAnsi="宋体"/>
          <w:sz w:val="22"/>
          <w:szCs w:val="22"/>
        </w:rPr>
      </w:pPr>
      <w:r>
        <w:rPr>
          <w:rFonts w:hint="eastAsia" w:ascii="宋体" w:hAnsi="宋体"/>
          <w:sz w:val="22"/>
          <w:szCs w:val="22"/>
        </w:rPr>
        <w:t>26.1开标后，直到授予中标(成交)供应商合同时止，有关投标文件的审查、澄清、评估和比较以及有关授予合同的意向的一切情况均不得透露给任一投标供应商或与上述评标工作无关的人员。</w:t>
      </w:r>
    </w:p>
    <w:p>
      <w:pPr>
        <w:spacing w:line="440" w:lineRule="exact"/>
        <w:ind w:firstLine="440" w:firstLineChars="200"/>
        <w:rPr>
          <w:rFonts w:ascii="宋体" w:hAnsi="宋体"/>
          <w:sz w:val="22"/>
          <w:szCs w:val="22"/>
        </w:rPr>
      </w:pPr>
      <w:r>
        <w:rPr>
          <w:rFonts w:hint="eastAsia" w:ascii="宋体" w:hAnsi="宋体"/>
          <w:sz w:val="22"/>
          <w:szCs w:val="22"/>
        </w:rPr>
        <w:t>26.2在评标过程中，投标供应商企图影响采购代理机构的任何活动，将导致投标被拒绝，并承担相应的法律责任。</w:t>
      </w:r>
    </w:p>
    <w:p>
      <w:pPr>
        <w:pStyle w:val="3"/>
        <w:spacing w:before="0" w:after="0" w:line="440" w:lineRule="exact"/>
        <w:rPr>
          <w:rFonts w:ascii="宋体" w:hAnsi="宋体" w:eastAsia="宋体"/>
          <w:sz w:val="22"/>
          <w:szCs w:val="22"/>
        </w:rPr>
      </w:pPr>
      <w:bookmarkStart w:id="89" w:name="_Toc14965646"/>
      <w:r>
        <w:rPr>
          <w:rFonts w:hint="eastAsia" w:ascii="宋体" w:hAnsi="宋体" w:eastAsia="宋体"/>
          <w:sz w:val="22"/>
          <w:szCs w:val="22"/>
        </w:rPr>
        <w:t>2</w:t>
      </w:r>
      <w:r>
        <w:rPr>
          <w:rFonts w:ascii="宋体" w:hAnsi="宋体" w:eastAsia="宋体"/>
          <w:sz w:val="22"/>
          <w:szCs w:val="22"/>
        </w:rPr>
        <w:t>7</w:t>
      </w:r>
      <w:r>
        <w:rPr>
          <w:rFonts w:hint="eastAsia" w:ascii="宋体" w:hAnsi="宋体" w:eastAsia="宋体"/>
          <w:sz w:val="22"/>
          <w:szCs w:val="22"/>
        </w:rPr>
        <w:t>、确定中标(成交)供应商、评标结果公示与质疑</w:t>
      </w:r>
      <w:bookmarkEnd w:id="89"/>
    </w:p>
    <w:p>
      <w:pPr>
        <w:spacing w:line="440" w:lineRule="exact"/>
        <w:ind w:firstLine="440" w:firstLineChars="200"/>
        <w:rPr>
          <w:rFonts w:hint="eastAsia" w:ascii="宋体" w:hAnsi="宋体"/>
          <w:sz w:val="22"/>
          <w:szCs w:val="22"/>
        </w:rPr>
      </w:pPr>
      <w:r>
        <w:rPr>
          <w:rFonts w:hint="eastAsia" w:ascii="宋体" w:hAnsi="宋体"/>
          <w:sz w:val="22"/>
          <w:szCs w:val="22"/>
        </w:rPr>
        <w:t>27.1采购人根据上述2</w:t>
      </w:r>
      <w:r>
        <w:rPr>
          <w:rFonts w:ascii="宋体" w:hAnsi="宋体"/>
          <w:sz w:val="22"/>
          <w:szCs w:val="22"/>
        </w:rPr>
        <w:t>5</w:t>
      </w:r>
      <w:r>
        <w:rPr>
          <w:rFonts w:hint="eastAsia" w:ascii="宋体" w:hAnsi="宋体"/>
          <w:sz w:val="22"/>
          <w:szCs w:val="22"/>
        </w:rPr>
        <w:t>.</w:t>
      </w:r>
      <w:r>
        <w:rPr>
          <w:rFonts w:ascii="宋体" w:hAnsi="宋体"/>
          <w:sz w:val="22"/>
          <w:szCs w:val="22"/>
        </w:rPr>
        <w:t>5(</w:t>
      </w:r>
      <w:r>
        <w:rPr>
          <w:rFonts w:hint="eastAsia" w:ascii="宋体" w:hAnsi="宋体"/>
          <w:sz w:val="22"/>
          <w:szCs w:val="22"/>
        </w:rPr>
        <w:t>或2</w:t>
      </w:r>
      <w:r>
        <w:rPr>
          <w:rFonts w:ascii="宋体" w:hAnsi="宋体"/>
          <w:sz w:val="22"/>
          <w:szCs w:val="22"/>
        </w:rPr>
        <w:t>5</w:t>
      </w:r>
      <w:r>
        <w:rPr>
          <w:rFonts w:hint="eastAsia" w:ascii="宋体" w:hAnsi="宋体"/>
          <w:sz w:val="22"/>
          <w:szCs w:val="22"/>
        </w:rPr>
        <w:t>.6.2</w:t>
      </w:r>
      <w:r>
        <w:rPr>
          <w:rFonts w:ascii="宋体" w:hAnsi="宋体"/>
          <w:sz w:val="22"/>
          <w:szCs w:val="22"/>
        </w:rPr>
        <w:t>)</w:t>
      </w:r>
      <w:r>
        <w:rPr>
          <w:rFonts w:hint="eastAsia" w:ascii="宋体" w:hAnsi="宋体"/>
          <w:sz w:val="22"/>
          <w:szCs w:val="22"/>
        </w:rPr>
        <w:t>条确定的中标(成交)供应商后，本采购代理机构即在《投标资料表》中载明的信息发布媒体上发布采购结果公告。公告期为</w:t>
      </w:r>
      <w:r>
        <w:rPr>
          <w:rFonts w:ascii="宋体" w:hAnsi="宋体"/>
          <w:sz w:val="22"/>
          <w:szCs w:val="22"/>
        </w:rPr>
        <w:t>1</w:t>
      </w:r>
      <w:r>
        <w:rPr>
          <w:rFonts w:hint="eastAsia" w:ascii="宋体" w:hAnsi="宋体"/>
          <w:sz w:val="22"/>
          <w:szCs w:val="22"/>
        </w:rPr>
        <w:t>个工作日(自公告</w:t>
      </w:r>
      <w:r>
        <w:rPr>
          <w:rFonts w:ascii="宋体" w:hAnsi="宋体"/>
          <w:sz w:val="22"/>
          <w:szCs w:val="22"/>
        </w:rPr>
        <w:t>发布时点</w:t>
      </w:r>
      <w:r>
        <w:rPr>
          <w:rFonts w:hint="eastAsia" w:ascii="宋体" w:hAnsi="宋体"/>
          <w:sz w:val="22"/>
          <w:szCs w:val="22"/>
        </w:rPr>
        <w:t>至公告次</w:t>
      </w:r>
      <w:r>
        <w:rPr>
          <w:rFonts w:ascii="宋体" w:hAnsi="宋体"/>
          <w:sz w:val="22"/>
          <w:szCs w:val="22"/>
        </w:rPr>
        <w:t>日</w:t>
      </w:r>
      <w:r>
        <w:rPr>
          <w:rFonts w:hint="eastAsia" w:ascii="宋体" w:hAnsi="宋体"/>
          <w:sz w:val="22"/>
          <w:szCs w:val="22"/>
        </w:rPr>
        <w:t>24时00分</w:t>
      </w:r>
      <w:r>
        <w:rPr>
          <w:rFonts w:ascii="宋体" w:hAnsi="宋体"/>
          <w:sz w:val="22"/>
          <w:szCs w:val="22"/>
        </w:rPr>
        <w:t>止</w:t>
      </w:r>
      <w:r>
        <w:rPr>
          <w:rFonts w:hint="eastAsia" w:ascii="宋体" w:hAnsi="宋体"/>
          <w:sz w:val="22"/>
          <w:szCs w:val="22"/>
        </w:rPr>
        <w:t>)，投标供应商可自行查询中标信息。在公告中标结果的同时，采购人或者采购代理机构将当向中标人发出中标通知书。同时</w:t>
      </w:r>
      <w:r>
        <w:rPr>
          <w:rFonts w:ascii="宋体" w:hAnsi="宋体"/>
          <w:sz w:val="22"/>
          <w:szCs w:val="22"/>
        </w:rPr>
        <w:t>在开标</w:t>
      </w:r>
      <w:r>
        <w:rPr>
          <w:rFonts w:hint="eastAsia" w:ascii="宋体" w:hAnsi="宋体"/>
          <w:sz w:val="22"/>
          <w:szCs w:val="22"/>
        </w:rPr>
        <w:t>在</w:t>
      </w:r>
      <w:r>
        <w:rPr>
          <w:rFonts w:ascii="宋体" w:hAnsi="宋体"/>
          <w:sz w:val="22"/>
          <w:szCs w:val="22"/>
        </w:rPr>
        <w:t>现场</w:t>
      </w:r>
      <w:r>
        <w:rPr>
          <w:rFonts w:hint="eastAsia" w:ascii="宋体" w:hAnsi="宋体"/>
          <w:sz w:val="22"/>
          <w:szCs w:val="22"/>
        </w:rPr>
        <w:t>当即</w:t>
      </w:r>
      <w:r>
        <w:rPr>
          <w:rFonts w:ascii="宋体" w:hAnsi="宋体"/>
          <w:sz w:val="22"/>
          <w:szCs w:val="22"/>
        </w:rPr>
        <w:t>宣布资格审查</w:t>
      </w:r>
      <w:r>
        <w:rPr>
          <w:rFonts w:hint="eastAsia" w:ascii="宋体" w:hAnsi="宋体"/>
          <w:sz w:val="22"/>
          <w:szCs w:val="22"/>
        </w:rPr>
        <w:t>未</w:t>
      </w:r>
      <w:r>
        <w:rPr>
          <w:rFonts w:ascii="宋体" w:hAnsi="宋体"/>
          <w:sz w:val="22"/>
          <w:szCs w:val="22"/>
        </w:rPr>
        <w:t>通过</w:t>
      </w:r>
      <w:r>
        <w:rPr>
          <w:rFonts w:hint="eastAsia" w:ascii="宋体" w:hAnsi="宋体"/>
          <w:sz w:val="22"/>
          <w:szCs w:val="22"/>
        </w:rPr>
        <w:t>供应商</w:t>
      </w:r>
      <w:r>
        <w:rPr>
          <w:rFonts w:ascii="宋体" w:hAnsi="宋体"/>
          <w:sz w:val="22"/>
          <w:szCs w:val="22"/>
        </w:rPr>
        <w:t>单位名单及其</w:t>
      </w:r>
      <w:r>
        <w:rPr>
          <w:rFonts w:hint="eastAsia" w:ascii="宋体" w:hAnsi="宋体"/>
          <w:sz w:val="22"/>
          <w:szCs w:val="22"/>
        </w:rPr>
        <w:t>未</w:t>
      </w:r>
      <w:r>
        <w:rPr>
          <w:rFonts w:ascii="宋体" w:hAnsi="宋体"/>
          <w:sz w:val="22"/>
          <w:szCs w:val="22"/>
        </w:rPr>
        <w:t>通过原因和告知未中标单位总得分</w:t>
      </w:r>
      <w:r>
        <w:rPr>
          <w:rFonts w:hint="eastAsia" w:ascii="宋体" w:hAnsi="宋体"/>
          <w:sz w:val="22"/>
          <w:szCs w:val="22"/>
        </w:rPr>
        <w:t>(综合</w:t>
      </w:r>
      <w:r>
        <w:rPr>
          <w:rFonts w:ascii="宋体" w:hAnsi="宋体"/>
          <w:sz w:val="22"/>
          <w:szCs w:val="22"/>
        </w:rPr>
        <w:t>评分时</w:t>
      </w:r>
      <w:r>
        <w:rPr>
          <w:rFonts w:hint="eastAsia" w:ascii="宋体" w:hAnsi="宋体"/>
          <w:sz w:val="22"/>
          <w:szCs w:val="22"/>
        </w:rPr>
        <w:t>)及其</w:t>
      </w:r>
      <w:r>
        <w:rPr>
          <w:rFonts w:ascii="宋体" w:hAnsi="宋体"/>
          <w:sz w:val="22"/>
          <w:szCs w:val="22"/>
        </w:rPr>
        <w:t>排序</w:t>
      </w:r>
      <w:r>
        <w:rPr>
          <w:rFonts w:hint="eastAsia" w:ascii="宋体" w:hAnsi="宋体"/>
          <w:sz w:val="22"/>
          <w:szCs w:val="22"/>
        </w:rPr>
        <w:t>。</w:t>
      </w:r>
    </w:p>
    <w:p>
      <w:pPr>
        <w:spacing w:line="440" w:lineRule="exact"/>
        <w:ind w:left="105" w:leftChars="50" w:firstLine="330" w:firstLineChars="150"/>
        <w:rPr>
          <w:rFonts w:ascii="宋体" w:hAnsi="宋体"/>
          <w:sz w:val="22"/>
          <w:szCs w:val="22"/>
        </w:rPr>
      </w:pPr>
      <w:r>
        <w:rPr>
          <w:rFonts w:hint="eastAsia" w:ascii="宋体" w:hAnsi="宋体"/>
          <w:sz w:val="22"/>
          <w:szCs w:val="22"/>
        </w:rPr>
        <w:t>2</w:t>
      </w:r>
      <w:r>
        <w:rPr>
          <w:rFonts w:ascii="宋体" w:hAnsi="宋体"/>
          <w:sz w:val="22"/>
          <w:szCs w:val="22"/>
        </w:rPr>
        <w:t>7</w:t>
      </w:r>
      <w:r>
        <w:rPr>
          <w:rFonts w:hint="eastAsia" w:ascii="宋体" w:hAnsi="宋体"/>
          <w:sz w:val="22"/>
          <w:szCs w:val="22"/>
        </w:rPr>
        <w:t>.2投标供应商若对采购结果有异议，可在采购结果公告期结束</w:t>
      </w:r>
      <w:r>
        <w:rPr>
          <w:rFonts w:ascii="宋体" w:hAnsi="宋体"/>
          <w:sz w:val="22"/>
          <w:szCs w:val="22"/>
        </w:rPr>
        <w:t>后</w:t>
      </w:r>
      <w:r>
        <w:rPr>
          <w:rFonts w:hint="eastAsia" w:ascii="宋体" w:hAnsi="宋体"/>
          <w:sz w:val="22"/>
          <w:szCs w:val="22"/>
        </w:rPr>
        <w:t>7个工作日内向本采购代理机构提出书面质疑，书面质疑文件应该有质疑单位名称、公章、联系人姓名、联系电话、传真，否则视为无效质疑。本采购代理机构将受采购人委托在收到质疑文件7个工作日内书面答复。不受理无效的或公告期满以后提出的任何质疑。</w:t>
      </w:r>
    </w:p>
    <w:p>
      <w:pPr>
        <w:pStyle w:val="3"/>
        <w:spacing w:before="0" w:after="0" w:line="440" w:lineRule="exact"/>
        <w:rPr>
          <w:rFonts w:ascii="宋体" w:hAnsi="宋体" w:eastAsia="宋体"/>
          <w:sz w:val="22"/>
          <w:szCs w:val="22"/>
        </w:rPr>
      </w:pPr>
      <w:bookmarkStart w:id="90" w:name="_Toc14965647"/>
      <w:r>
        <w:rPr>
          <w:rFonts w:hint="eastAsia" w:ascii="宋体" w:hAnsi="宋体" w:eastAsia="宋体"/>
          <w:sz w:val="22"/>
          <w:szCs w:val="22"/>
        </w:rPr>
        <w:t>28、投标无效的情形</w:t>
      </w:r>
      <w:bookmarkEnd w:id="90"/>
    </w:p>
    <w:p>
      <w:pPr>
        <w:spacing w:line="440" w:lineRule="exact"/>
        <w:ind w:firstLine="440" w:firstLineChars="200"/>
        <w:rPr>
          <w:rFonts w:ascii="宋体" w:hAnsi="宋体"/>
          <w:color w:val="000000"/>
          <w:sz w:val="22"/>
          <w:szCs w:val="22"/>
        </w:rPr>
      </w:pPr>
      <w:r>
        <w:rPr>
          <w:rFonts w:hint="eastAsia" w:ascii="宋体" w:hAnsi="宋体"/>
          <w:sz w:val="22"/>
          <w:szCs w:val="22"/>
        </w:rPr>
        <w:t>28.1实质上没有响应采购文件要求的投标将被视为无效投标。</w:t>
      </w:r>
      <w:r>
        <w:rPr>
          <w:rFonts w:hint="eastAsia" w:ascii="宋体" w:hAnsi="宋体"/>
          <w:b/>
          <w:sz w:val="22"/>
          <w:szCs w:val="22"/>
          <w:u w:val="single"/>
        </w:rPr>
        <w:t>一般将投标报价、项目完成期要求、服务内容、投标有效期、质量标准、技术标准和规范要求、投标担保要求、履约担保要求(如有)、人员配备要求、违约经济责任及其他采购文件要求承诺的主要商务条款要求和</w:t>
      </w:r>
      <w:r>
        <w:rPr>
          <w:rFonts w:ascii="宋体" w:hAnsi="宋体"/>
          <w:b/>
          <w:sz w:val="22"/>
          <w:szCs w:val="22"/>
          <w:u w:val="single"/>
        </w:rPr>
        <w:t>标注</w:t>
      </w:r>
      <w:r>
        <w:rPr>
          <w:rFonts w:hint="eastAsia" w:ascii="宋体" w:hAnsi="宋体"/>
          <w:b/>
          <w:sz w:val="22"/>
          <w:szCs w:val="22"/>
          <w:u w:val="single"/>
        </w:rPr>
        <w:t>有“★”的</w:t>
      </w:r>
      <w:r>
        <w:rPr>
          <w:rFonts w:ascii="宋体" w:hAnsi="宋体"/>
          <w:b/>
          <w:sz w:val="22"/>
          <w:szCs w:val="22"/>
          <w:u w:val="single"/>
        </w:rPr>
        <w:t>技术</w:t>
      </w:r>
      <w:r>
        <w:rPr>
          <w:rFonts w:hint="eastAsia" w:ascii="宋体" w:hAnsi="宋体"/>
          <w:b/>
          <w:sz w:val="22"/>
          <w:szCs w:val="22"/>
          <w:u w:val="single"/>
        </w:rPr>
        <w:t>要求等作为实质性内容</w:t>
      </w:r>
      <w:r>
        <w:rPr>
          <w:rFonts w:hint="eastAsia" w:ascii="宋体" w:hAnsi="宋体"/>
          <w:sz w:val="22"/>
          <w:szCs w:val="22"/>
        </w:rPr>
        <w:t>。投标供应商不得通过修正或撤消不合要求的偏离或保留从而使其投标成为实质上响应的投标，但经评标委员会认定属于投标供应商疏忽、笔误所造成的差错，应当允许其在评标结束之前进行修改或者补正（可以是复印件、传真件等，原件必须加盖单位公章）。修改或者补正投标文件必须以书面形式进行，并应在中标(成交)结果公告之前查核原件。限期内不补正或经补正后仍不符合采购文件要求的，应认定其投标无效。投标供应商修改、补正投标文件后，不影响评标委员会对其投标文件所作的评价和评分结果。</w:t>
      </w:r>
    </w:p>
    <w:p>
      <w:pPr>
        <w:spacing w:line="440" w:lineRule="exact"/>
        <w:ind w:firstLine="440" w:firstLineChars="200"/>
        <w:rPr>
          <w:rFonts w:ascii="宋体" w:hAnsi="宋体"/>
          <w:sz w:val="22"/>
          <w:szCs w:val="22"/>
        </w:rPr>
      </w:pPr>
      <w:r>
        <w:rPr>
          <w:rFonts w:hint="eastAsia" w:ascii="宋体" w:hAnsi="宋体"/>
          <w:sz w:val="22"/>
          <w:szCs w:val="22"/>
        </w:rPr>
        <w:t>28.2</w:t>
      </w:r>
      <w:r>
        <w:rPr>
          <w:rFonts w:ascii="宋体" w:hAnsi="宋体"/>
          <w:b/>
          <w:sz w:val="22"/>
          <w:szCs w:val="22"/>
        </w:rPr>
        <w:t>投标文件出现下列情形之一的，被认为</w:t>
      </w:r>
      <w:r>
        <w:rPr>
          <w:rFonts w:hint="eastAsia" w:ascii="宋体" w:hAnsi="宋体"/>
          <w:b/>
          <w:sz w:val="22"/>
          <w:szCs w:val="22"/>
        </w:rPr>
        <w:t>资格审查</w:t>
      </w:r>
      <w:r>
        <w:rPr>
          <w:rFonts w:ascii="宋体" w:hAnsi="宋体"/>
          <w:b/>
          <w:sz w:val="22"/>
          <w:szCs w:val="22"/>
        </w:rPr>
        <w:t>或初审不合格的,为无效投标文件，不得进入评标</w:t>
      </w:r>
      <w:r>
        <w:rPr>
          <w:rFonts w:ascii="宋体" w:hAnsi="宋体"/>
          <w:sz w:val="22"/>
          <w:szCs w:val="22"/>
        </w:rPr>
        <w:t>：</w:t>
      </w:r>
    </w:p>
    <w:p>
      <w:pPr>
        <w:spacing w:line="440" w:lineRule="exact"/>
        <w:ind w:firstLine="440" w:firstLineChars="200"/>
        <w:rPr>
          <w:rFonts w:ascii="宋体" w:hAnsi="宋体"/>
          <w:sz w:val="22"/>
          <w:szCs w:val="22"/>
        </w:rPr>
      </w:pPr>
      <w:r>
        <w:rPr>
          <w:rFonts w:hint="eastAsia" w:ascii="宋体" w:hAnsi="宋体"/>
          <w:sz w:val="22"/>
          <w:szCs w:val="22"/>
        </w:rPr>
        <w:t xml:space="preserve">(1) </w:t>
      </w:r>
      <w:r>
        <w:rPr>
          <w:rFonts w:ascii="宋体" w:hAnsi="宋体"/>
          <w:sz w:val="22"/>
          <w:szCs w:val="22"/>
        </w:rPr>
        <w:t>投标供应商未按照采购文件的要求提供投标保证金的；</w:t>
      </w:r>
    </w:p>
    <w:p>
      <w:pPr>
        <w:spacing w:line="440" w:lineRule="exact"/>
        <w:ind w:firstLine="440" w:firstLineChars="200"/>
        <w:rPr>
          <w:rFonts w:ascii="宋体" w:hAnsi="宋体"/>
          <w:sz w:val="22"/>
          <w:szCs w:val="22"/>
        </w:rPr>
      </w:pPr>
      <w:r>
        <w:rPr>
          <w:rFonts w:hint="eastAsia" w:ascii="宋体" w:hAnsi="宋体"/>
          <w:sz w:val="22"/>
          <w:szCs w:val="22"/>
        </w:rPr>
        <w:t xml:space="preserve">(2) </w:t>
      </w:r>
      <w:r>
        <w:rPr>
          <w:rFonts w:ascii="宋体" w:hAnsi="宋体"/>
          <w:sz w:val="22"/>
          <w:szCs w:val="22"/>
        </w:rPr>
        <w:t>未按照采购文件的要求签署、盖章的；</w:t>
      </w:r>
    </w:p>
    <w:p>
      <w:pPr>
        <w:spacing w:line="440" w:lineRule="exact"/>
        <w:ind w:firstLine="440" w:firstLineChars="200"/>
        <w:rPr>
          <w:rFonts w:ascii="宋体" w:hAnsi="宋体"/>
          <w:sz w:val="22"/>
          <w:szCs w:val="22"/>
        </w:rPr>
      </w:pPr>
      <w:r>
        <w:rPr>
          <w:rFonts w:hint="eastAsia" w:ascii="宋体" w:hAnsi="宋体"/>
          <w:sz w:val="22"/>
          <w:szCs w:val="22"/>
        </w:rPr>
        <w:t>(3) 资格证明文件不满足本须知第13条要求或与其资格证明原件的</w:t>
      </w:r>
      <w:r>
        <w:rPr>
          <w:rFonts w:ascii="宋体" w:hAnsi="宋体"/>
          <w:sz w:val="22"/>
          <w:szCs w:val="22"/>
        </w:rPr>
        <w:t>扫描件</w:t>
      </w:r>
      <w:r>
        <w:rPr>
          <w:rFonts w:hint="eastAsia" w:ascii="宋体" w:hAnsi="宋体"/>
          <w:sz w:val="22"/>
          <w:szCs w:val="22"/>
        </w:rPr>
        <w:t>不一致的</w:t>
      </w:r>
      <w:r>
        <w:rPr>
          <w:rFonts w:ascii="宋体" w:hAnsi="宋体"/>
          <w:sz w:val="22"/>
          <w:szCs w:val="22"/>
        </w:rPr>
        <w:t>；</w:t>
      </w:r>
    </w:p>
    <w:p>
      <w:pPr>
        <w:spacing w:line="440" w:lineRule="exact"/>
        <w:ind w:firstLine="440" w:firstLineChars="200"/>
        <w:rPr>
          <w:rFonts w:hint="eastAsia" w:ascii="宋体" w:hAnsi="宋体"/>
          <w:sz w:val="22"/>
          <w:szCs w:val="22"/>
        </w:rPr>
      </w:pPr>
      <w:r>
        <w:rPr>
          <w:rFonts w:hint="eastAsia" w:ascii="宋体" w:hAnsi="宋体"/>
          <w:sz w:val="22"/>
          <w:szCs w:val="22"/>
        </w:rPr>
        <w:t>(4) 投标供应商资格不满足本采购文件条件要求或超出其许可经营范围、资质标准等投标的；</w:t>
      </w:r>
    </w:p>
    <w:p>
      <w:pPr>
        <w:spacing w:line="440" w:lineRule="exact"/>
        <w:ind w:firstLine="440" w:firstLineChars="200"/>
        <w:rPr>
          <w:rFonts w:hint="eastAsia" w:ascii="宋体" w:hAnsi="宋体"/>
          <w:sz w:val="22"/>
          <w:szCs w:val="22"/>
        </w:rPr>
      </w:pPr>
      <w:r>
        <w:rPr>
          <w:rFonts w:hint="eastAsia" w:ascii="宋体" w:hAnsi="宋体"/>
          <w:sz w:val="22"/>
          <w:szCs w:val="22"/>
        </w:rPr>
        <w:t>(5) 投标文件的组成不符合本须知第13条要求的；</w:t>
      </w:r>
    </w:p>
    <w:p>
      <w:pPr>
        <w:spacing w:line="440" w:lineRule="exact"/>
        <w:ind w:firstLine="440" w:firstLineChars="200"/>
        <w:rPr>
          <w:rFonts w:hint="eastAsia" w:ascii="宋体" w:hAnsi="宋体"/>
          <w:sz w:val="22"/>
          <w:szCs w:val="22"/>
        </w:rPr>
      </w:pPr>
      <w:r>
        <w:rPr>
          <w:rFonts w:hint="eastAsia" w:ascii="宋体" w:hAnsi="宋体"/>
          <w:sz w:val="22"/>
          <w:szCs w:val="22"/>
        </w:rPr>
        <w:t>(6) 资格证明文件的签署与盖章不满足要求的、投标函和法定代表人(或单位负责人)授权书无法定代表人(或单位负责人)签字和被授权人签字的、投标保证金形式、金额不满足采购文件要求的（即相关部分的有效性不符合本册第七部分附件（格式）和附件（若需要提供）的盖章、签署或出具要求的）；</w:t>
      </w:r>
    </w:p>
    <w:p>
      <w:pPr>
        <w:spacing w:line="440" w:lineRule="exact"/>
        <w:ind w:firstLine="440" w:firstLineChars="200"/>
        <w:rPr>
          <w:rFonts w:hint="eastAsia" w:ascii="宋体" w:hAnsi="宋体"/>
          <w:sz w:val="22"/>
          <w:szCs w:val="22"/>
        </w:rPr>
      </w:pPr>
      <w:r>
        <w:rPr>
          <w:rFonts w:hint="eastAsia" w:ascii="宋体" w:hAnsi="宋体"/>
          <w:sz w:val="22"/>
          <w:szCs w:val="22"/>
        </w:rPr>
        <w:t>(7) 投标有效期不满足采购文件要求的；</w:t>
      </w:r>
    </w:p>
    <w:p>
      <w:pPr>
        <w:spacing w:line="440" w:lineRule="exact"/>
        <w:ind w:firstLine="440" w:firstLineChars="200"/>
        <w:rPr>
          <w:rFonts w:ascii="宋体" w:hAnsi="宋体"/>
          <w:sz w:val="22"/>
          <w:szCs w:val="22"/>
        </w:rPr>
      </w:pPr>
      <w:r>
        <w:rPr>
          <w:rFonts w:hint="eastAsia" w:ascii="宋体" w:hAnsi="宋体"/>
          <w:sz w:val="22"/>
          <w:szCs w:val="22"/>
        </w:rPr>
        <w:t>(8)</w:t>
      </w:r>
      <w:r>
        <w:rPr>
          <w:rFonts w:ascii="宋体" w:hAnsi="宋体"/>
          <w:sz w:val="22"/>
          <w:szCs w:val="22"/>
        </w:rPr>
        <w:t xml:space="preserve"> </w:t>
      </w:r>
      <w:r>
        <w:rPr>
          <w:rFonts w:hint="eastAsia" w:ascii="宋体" w:hAnsi="宋体"/>
          <w:sz w:val="22"/>
          <w:szCs w:val="22"/>
        </w:rPr>
        <w:t>投标文件未按本须知第14条规定进行报价的；</w:t>
      </w:r>
    </w:p>
    <w:p>
      <w:pPr>
        <w:spacing w:line="440" w:lineRule="exact"/>
        <w:ind w:firstLine="440" w:firstLineChars="200"/>
        <w:rPr>
          <w:rFonts w:hint="eastAsia" w:ascii="宋体" w:hAnsi="宋体"/>
          <w:sz w:val="22"/>
          <w:szCs w:val="22"/>
        </w:rPr>
      </w:pPr>
      <w:r>
        <w:rPr>
          <w:rFonts w:hint="eastAsia" w:ascii="宋体" w:hAnsi="宋体"/>
          <w:sz w:val="22"/>
          <w:szCs w:val="22"/>
        </w:rPr>
        <w:t>(</w:t>
      </w:r>
      <w:r>
        <w:rPr>
          <w:rFonts w:ascii="宋体" w:hAnsi="宋体"/>
          <w:sz w:val="22"/>
          <w:szCs w:val="22"/>
        </w:rPr>
        <w:t>9</w:t>
      </w:r>
      <w:r>
        <w:rPr>
          <w:rFonts w:hint="eastAsia" w:ascii="宋体" w:hAnsi="宋体"/>
          <w:sz w:val="22"/>
          <w:szCs w:val="22"/>
        </w:rPr>
        <w:t>)</w:t>
      </w:r>
      <w:r>
        <w:rPr>
          <w:rFonts w:ascii="宋体" w:hAnsi="宋体"/>
          <w:sz w:val="22"/>
          <w:szCs w:val="22"/>
        </w:rPr>
        <w:t xml:space="preserve"> 不符合法律、法规和采购文件中规定的其他实质性要求的；</w:t>
      </w:r>
    </w:p>
    <w:p>
      <w:pPr>
        <w:spacing w:line="440" w:lineRule="exact"/>
        <w:ind w:firstLine="440" w:firstLineChars="200"/>
        <w:rPr>
          <w:rFonts w:ascii="宋体" w:hAnsi="宋体"/>
          <w:sz w:val="22"/>
          <w:szCs w:val="22"/>
        </w:rPr>
      </w:pPr>
      <w:r>
        <w:rPr>
          <w:rFonts w:hint="eastAsia" w:ascii="宋体" w:hAnsi="宋体"/>
          <w:sz w:val="22"/>
          <w:szCs w:val="22"/>
        </w:rPr>
        <w:t>28.3</w:t>
      </w:r>
      <w:r>
        <w:rPr>
          <w:rFonts w:ascii="宋体" w:hAnsi="宋体"/>
          <w:b/>
          <w:sz w:val="22"/>
          <w:szCs w:val="22"/>
        </w:rPr>
        <w:t>投标文件有下述情形之一的，属于重大偏差，视为未能对采购文件做出实质性的响应，作无效标处理</w:t>
      </w:r>
      <w:r>
        <w:rPr>
          <w:rFonts w:ascii="宋体" w:hAnsi="宋体"/>
          <w:sz w:val="22"/>
          <w:szCs w:val="22"/>
        </w:rPr>
        <w:t>。</w:t>
      </w:r>
    </w:p>
    <w:p>
      <w:pPr>
        <w:spacing w:line="440" w:lineRule="exact"/>
        <w:ind w:firstLine="440" w:firstLineChars="200"/>
        <w:rPr>
          <w:rFonts w:ascii="宋体" w:hAnsi="宋体"/>
          <w:sz w:val="22"/>
          <w:szCs w:val="22"/>
        </w:rPr>
      </w:pPr>
      <w:r>
        <w:rPr>
          <w:rFonts w:hint="eastAsia" w:ascii="宋体" w:hAnsi="宋体"/>
          <w:sz w:val="22"/>
          <w:szCs w:val="22"/>
        </w:rPr>
        <w:t>（</w:t>
      </w:r>
      <w:r>
        <w:rPr>
          <w:rFonts w:ascii="宋体" w:hAnsi="宋体"/>
          <w:sz w:val="22"/>
          <w:szCs w:val="22"/>
        </w:rPr>
        <w:t>1）投标文件载明的</w:t>
      </w:r>
      <w:r>
        <w:rPr>
          <w:rFonts w:hint="eastAsia" w:ascii="宋体" w:hAnsi="宋体"/>
          <w:sz w:val="22"/>
          <w:szCs w:val="22"/>
        </w:rPr>
        <w:t>项目完成时间、方式、数量及相应的后续服务等不满足采购项目最低要求的</w:t>
      </w:r>
      <w:r>
        <w:rPr>
          <w:rFonts w:ascii="宋体" w:hAnsi="宋体"/>
          <w:sz w:val="22"/>
          <w:szCs w:val="22"/>
        </w:rPr>
        <w:t>；</w:t>
      </w:r>
    </w:p>
    <w:p>
      <w:pPr>
        <w:spacing w:line="440" w:lineRule="exact"/>
        <w:ind w:firstLine="440" w:firstLineChars="200"/>
        <w:rPr>
          <w:rFonts w:ascii="宋体" w:hAnsi="宋体"/>
          <w:sz w:val="22"/>
          <w:szCs w:val="22"/>
        </w:rPr>
      </w:pPr>
      <w:r>
        <w:rPr>
          <w:rFonts w:hint="eastAsia" w:ascii="宋体" w:hAnsi="宋体"/>
          <w:sz w:val="22"/>
          <w:szCs w:val="22"/>
        </w:rPr>
        <w:t>（2）报价服务内容的技术规格、技术标准、技术参数等不满足采购项目最低要求的,特别</w:t>
      </w:r>
      <w:r>
        <w:rPr>
          <w:rFonts w:ascii="宋体" w:hAnsi="宋体"/>
          <w:sz w:val="22"/>
          <w:szCs w:val="22"/>
        </w:rPr>
        <w:t>是</w:t>
      </w:r>
      <w:r>
        <w:rPr>
          <w:rFonts w:hint="eastAsia" w:ascii="宋体" w:hAnsi="宋体"/>
          <w:sz w:val="22"/>
          <w:szCs w:val="22"/>
        </w:rPr>
        <w:t>带“★”的款项不能满足采购文件要求的；</w:t>
      </w:r>
    </w:p>
    <w:p>
      <w:pPr>
        <w:spacing w:line="440" w:lineRule="exact"/>
        <w:ind w:firstLine="440" w:firstLineChars="200"/>
        <w:rPr>
          <w:rFonts w:ascii="宋体" w:hAnsi="宋体"/>
          <w:sz w:val="22"/>
          <w:szCs w:val="22"/>
        </w:rPr>
      </w:pPr>
      <w:r>
        <w:rPr>
          <w:rFonts w:hint="eastAsia" w:ascii="宋体" w:hAnsi="宋体"/>
          <w:sz w:val="22"/>
          <w:szCs w:val="22"/>
        </w:rPr>
        <w:t>（3</w:t>
      </w:r>
      <w:r>
        <w:rPr>
          <w:rFonts w:ascii="宋体" w:hAnsi="宋体"/>
          <w:sz w:val="22"/>
          <w:szCs w:val="22"/>
        </w:rPr>
        <w:t>）投标文件附有采购人不能接受的条件；</w:t>
      </w:r>
    </w:p>
    <w:p>
      <w:pPr>
        <w:spacing w:line="440" w:lineRule="exact"/>
        <w:ind w:firstLine="440" w:firstLineChars="200"/>
        <w:rPr>
          <w:rFonts w:hint="eastAsia" w:ascii="宋体" w:hAnsi="宋体"/>
          <w:sz w:val="22"/>
          <w:szCs w:val="22"/>
        </w:rPr>
      </w:pPr>
      <w:r>
        <w:rPr>
          <w:rFonts w:hint="eastAsia" w:ascii="宋体" w:hAnsi="宋体"/>
          <w:sz w:val="22"/>
          <w:szCs w:val="22"/>
        </w:rPr>
        <w:t>（4</w:t>
      </w:r>
      <w:r>
        <w:rPr>
          <w:rFonts w:ascii="宋体" w:hAnsi="宋体"/>
          <w:sz w:val="22"/>
          <w:szCs w:val="22"/>
        </w:rPr>
        <w:t>）</w:t>
      </w:r>
      <w:r>
        <w:rPr>
          <w:rFonts w:hint="eastAsia" w:ascii="宋体" w:hAnsi="宋体"/>
          <w:b/>
          <w:sz w:val="22"/>
          <w:szCs w:val="22"/>
        </w:rPr>
        <w:t>投标文件同时提供多个报价又未声明为主的方案的；</w:t>
      </w:r>
    </w:p>
    <w:p>
      <w:pPr>
        <w:spacing w:line="440" w:lineRule="exact"/>
        <w:ind w:firstLine="440" w:firstLineChars="200"/>
        <w:rPr>
          <w:rFonts w:ascii="宋体" w:hAnsi="宋体"/>
          <w:sz w:val="22"/>
          <w:szCs w:val="22"/>
        </w:rPr>
      </w:pPr>
      <w:r>
        <w:rPr>
          <w:rFonts w:hint="eastAsia" w:ascii="宋体" w:hAnsi="宋体"/>
          <w:sz w:val="22"/>
          <w:szCs w:val="22"/>
        </w:rPr>
        <w:t>（5</w:t>
      </w:r>
      <w:r>
        <w:rPr>
          <w:rFonts w:ascii="宋体" w:hAnsi="宋体"/>
          <w:sz w:val="22"/>
          <w:szCs w:val="22"/>
        </w:rPr>
        <w:t>）经评标委员会评审投标方案和标准明显不可行的；</w:t>
      </w:r>
    </w:p>
    <w:p>
      <w:pPr>
        <w:spacing w:line="440" w:lineRule="exact"/>
        <w:ind w:firstLine="440" w:firstLineChars="200"/>
        <w:rPr>
          <w:rFonts w:ascii="宋体" w:hAnsi="宋体"/>
          <w:sz w:val="22"/>
          <w:szCs w:val="22"/>
        </w:rPr>
      </w:pPr>
      <w:r>
        <w:rPr>
          <w:rFonts w:hint="eastAsia" w:ascii="宋体" w:hAnsi="宋体"/>
          <w:sz w:val="22"/>
          <w:szCs w:val="22"/>
        </w:rPr>
        <w:t>（6</w:t>
      </w:r>
      <w:r>
        <w:rPr>
          <w:rFonts w:ascii="宋体" w:hAnsi="宋体"/>
          <w:sz w:val="22"/>
          <w:szCs w:val="22"/>
        </w:rPr>
        <w:t>）</w:t>
      </w:r>
      <w:r>
        <w:rPr>
          <w:rFonts w:hint="eastAsia" w:ascii="宋体" w:hAnsi="宋体"/>
          <w:sz w:val="22"/>
          <w:szCs w:val="22"/>
        </w:rPr>
        <w:t>开标后要求改变投标方案的；</w:t>
      </w:r>
    </w:p>
    <w:p>
      <w:pPr>
        <w:spacing w:line="440" w:lineRule="exact"/>
        <w:ind w:firstLine="440" w:firstLineChars="200"/>
        <w:rPr>
          <w:rFonts w:ascii="宋体" w:hAnsi="宋体"/>
          <w:sz w:val="22"/>
          <w:szCs w:val="22"/>
        </w:rPr>
      </w:pPr>
      <w:r>
        <w:rPr>
          <w:rFonts w:hint="eastAsia" w:ascii="宋体" w:hAnsi="宋体"/>
          <w:sz w:val="22"/>
          <w:szCs w:val="22"/>
        </w:rPr>
        <w:t>（7</w:t>
      </w:r>
      <w:r>
        <w:rPr>
          <w:rFonts w:ascii="宋体" w:hAnsi="宋体"/>
          <w:sz w:val="22"/>
          <w:szCs w:val="22"/>
        </w:rPr>
        <w:t>）</w:t>
      </w:r>
      <w:r>
        <w:rPr>
          <w:rFonts w:hint="eastAsia" w:ascii="宋体" w:hAnsi="宋体"/>
          <w:b/>
          <w:sz w:val="22"/>
          <w:szCs w:val="22"/>
        </w:rPr>
        <w:t>总报价或单价超出“第三部分 投标资料表”14.3条约定的报价上限的；</w:t>
      </w:r>
      <w:r>
        <w:rPr>
          <w:rFonts w:ascii="宋体" w:hAnsi="宋体"/>
          <w:sz w:val="22"/>
          <w:szCs w:val="22"/>
        </w:rPr>
        <w:t xml:space="preserve"> </w:t>
      </w:r>
    </w:p>
    <w:p>
      <w:pPr>
        <w:spacing w:line="440" w:lineRule="exact"/>
        <w:ind w:firstLine="442" w:firstLineChars="200"/>
        <w:rPr>
          <w:rFonts w:hint="eastAsia" w:ascii="宋体" w:hAnsi="宋体"/>
          <w:b/>
          <w:sz w:val="22"/>
          <w:szCs w:val="22"/>
        </w:rPr>
      </w:pPr>
      <w:r>
        <w:rPr>
          <w:rFonts w:hint="eastAsia" w:ascii="宋体" w:hAnsi="宋体"/>
          <w:b/>
          <w:sz w:val="22"/>
          <w:szCs w:val="22"/>
        </w:rPr>
        <w:t>评标委员会经过审查，评审专家一致[按少数服从多数的原则，下同]认为投标供应商报价明显不合理或明显低于其他通过符合性审查投标供应商的报价，有可能影响服务质量或者不能诚信履约的，而投标供应商不能合理说明原因并提供相关证明材料的；或投标供应商不接受评标委员会按照2</w:t>
      </w:r>
      <w:r>
        <w:rPr>
          <w:rFonts w:ascii="宋体" w:hAnsi="宋体"/>
          <w:b/>
          <w:sz w:val="22"/>
          <w:szCs w:val="22"/>
        </w:rPr>
        <w:t>3</w:t>
      </w:r>
      <w:r>
        <w:rPr>
          <w:rFonts w:hint="eastAsia" w:ascii="宋体" w:hAnsi="宋体"/>
          <w:b/>
          <w:sz w:val="22"/>
          <w:szCs w:val="22"/>
        </w:rPr>
        <w:t>.3条规定对其价格计算错误的修正或其数量遗漏的核对作出处理的；或投标供应商以赠送的方式进行报价的；</w:t>
      </w:r>
    </w:p>
    <w:p>
      <w:pPr>
        <w:spacing w:line="440" w:lineRule="exact"/>
        <w:ind w:firstLine="440" w:firstLineChars="200"/>
        <w:rPr>
          <w:rFonts w:hint="eastAsia" w:ascii="宋体" w:hAnsi="宋体"/>
          <w:sz w:val="22"/>
          <w:szCs w:val="22"/>
        </w:rPr>
      </w:pPr>
      <w:r>
        <w:rPr>
          <w:rFonts w:hint="eastAsia" w:ascii="宋体" w:hAnsi="宋体"/>
          <w:sz w:val="22"/>
          <w:szCs w:val="22"/>
        </w:rPr>
        <w:t>（8</w:t>
      </w:r>
      <w:r>
        <w:rPr>
          <w:rFonts w:ascii="宋体" w:hAnsi="宋体"/>
          <w:sz w:val="22"/>
          <w:szCs w:val="22"/>
        </w:rPr>
        <w:t>）</w:t>
      </w:r>
      <w:r>
        <w:rPr>
          <w:rFonts w:hint="eastAsia" w:ascii="宋体" w:hAnsi="宋体"/>
          <w:sz w:val="22"/>
          <w:szCs w:val="22"/>
        </w:rPr>
        <w:t>评审委员会要求投标供应商进行现场陈述时，其陈述人不是授权代表的；</w:t>
      </w:r>
    </w:p>
    <w:p>
      <w:pPr>
        <w:spacing w:line="440" w:lineRule="exact"/>
        <w:ind w:firstLine="440" w:firstLineChars="200"/>
        <w:rPr>
          <w:rFonts w:ascii="宋体" w:hAnsi="宋体"/>
          <w:b/>
          <w:sz w:val="22"/>
          <w:szCs w:val="22"/>
        </w:rPr>
      </w:pPr>
      <w:r>
        <w:rPr>
          <w:rFonts w:hint="eastAsia" w:ascii="宋体" w:hAnsi="宋体"/>
          <w:sz w:val="22"/>
          <w:szCs w:val="22"/>
        </w:rPr>
        <w:t>（9</w:t>
      </w:r>
      <w:r>
        <w:rPr>
          <w:rFonts w:ascii="宋体" w:hAnsi="宋体"/>
          <w:sz w:val="22"/>
          <w:szCs w:val="22"/>
        </w:rPr>
        <w:t>）</w:t>
      </w:r>
      <w:r>
        <w:rPr>
          <w:rFonts w:hint="eastAsia" w:ascii="宋体" w:hAnsi="宋体"/>
          <w:b/>
          <w:sz w:val="22"/>
          <w:szCs w:val="22"/>
        </w:rPr>
        <w:t>投标文件未按本采购文件第五部分“采购内容和要求”作出实质性响应的，或其响应严重偏离要求致使无法按评标办法对其进行评审的；</w:t>
      </w:r>
    </w:p>
    <w:p>
      <w:pPr>
        <w:spacing w:line="440" w:lineRule="exact"/>
        <w:ind w:firstLine="440" w:firstLineChars="200"/>
        <w:rPr>
          <w:rFonts w:ascii="宋体" w:hAnsi="宋体"/>
          <w:b/>
          <w:sz w:val="22"/>
          <w:szCs w:val="22"/>
        </w:rPr>
      </w:pPr>
      <w:r>
        <w:rPr>
          <w:rFonts w:hint="eastAsia" w:ascii="宋体" w:hAnsi="宋体"/>
          <w:sz w:val="22"/>
          <w:szCs w:val="22"/>
        </w:rPr>
        <w:t>（10</w:t>
      </w:r>
      <w:r>
        <w:rPr>
          <w:rFonts w:ascii="宋体" w:hAnsi="宋体"/>
          <w:sz w:val="22"/>
          <w:szCs w:val="22"/>
        </w:rPr>
        <w:t>）</w:t>
      </w:r>
      <w:r>
        <w:rPr>
          <w:rFonts w:hint="eastAsia" w:ascii="宋体" w:hAnsi="宋体"/>
          <w:b/>
          <w:sz w:val="22"/>
          <w:szCs w:val="22"/>
        </w:rPr>
        <w:t>投标报价中漏报或少报数量对应金额的合计数超过其报价(指总报价)15%的[详见第三部分2</w:t>
      </w:r>
      <w:r>
        <w:rPr>
          <w:rFonts w:ascii="宋体" w:hAnsi="宋体"/>
          <w:b/>
          <w:sz w:val="22"/>
          <w:szCs w:val="22"/>
        </w:rPr>
        <w:t>3</w:t>
      </w:r>
      <w:r>
        <w:rPr>
          <w:rFonts w:hint="eastAsia" w:ascii="宋体" w:hAnsi="宋体"/>
          <w:b/>
          <w:sz w:val="22"/>
          <w:szCs w:val="22"/>
        </w:rPr>
        <w:t>.3 条第4款]；</w:t>
      </w:r>
    </w:p>
    <w:p>
      <w:pPr>
        <w:spacing w:line="440" w:lineRule="exact"/>
        <w:ind w:firstLine="440" w:firstLineChars="200"/>
        <w:rPr>
          <w:rFonts w:ascii="宋体" w:hAnsi="宋体"/>
          <w:b/>
          <w:sz w:val="22"/>
          <w:szCs w:val="22"/>
        </w:rPr>
      </w:pPr>
      <w:r>
        <w:rPr>
          <w:rFonts w:hint="eastAsia" w:ascii="宋体" w:hAnsi="宋体"/>
          <w:sz w:val="22"/>
          <w:szCs w:val="22"/>
        </w:rPr>
        <w:t>（11</w:t>
      </w:r>
      <w:r>
        <w:rPr>
          <w:rFonts w:ascii="宋体" w:hAnsi="宋体"/>
          <w:sz w:val="22"/>
          <w:szCs w:val="22"/>
        </w:rPr>
        <w:t>）</w:t>
      </w:r>
      <w:r>
        <w:rPr>
          <w:rFonts w:hint="eastAsia" w:ascii="宋体" w:hAnsi="宋体"/>
          <w:b/>
          <w:sz w:val="22"/>
          <w:szCs w:val="22"/>
        </w:rPr>
        <w:t>投标报价经评审专家一致[按少数服从多数的原则，下同]认为低于成本的报价或</w:t>
      </w:r>
      <w:r>
        <w:rPr>
          <w:rFonts w:ascii="宋体" w:hAnsi="宋体"/>
          <w:b/>
          <w:sz w:val="22"/>
          <w:szCs w:val="22"/>
        </w:rPr>
        <w:t>投标供应商以赠送的</w:t>
      </w:r>
      <w:r>
        <w:rPr>
          <w:rFonts w:hint="eastAsia" w:ascii="宋体" w:hAnsi="宋体"/>
          <w:b/>
          <w:sz w:val="22"/>
          <w:szCs w:val="22"/>
        </w:rPr>
        <w:t>方式</w:t>
      </w:r>
      <w:r>
        <w:rPr>
          <w:rFonts w:ascii="宋体" w:hAnsi="宋体"/>
          <w:b/>
          <w:sz w:val="22"/>
          <w:szCs w:val="22"/>
        </w:rPr>
        <w:t>报价的</w:t>
      </w:r>
      <w:r>
        <w:rPr>
          <w:rFonts w:hint="eastAsia" w:ascii="宋体" w:hAnsi="宋体"/>
          <w:b/>
          <w:sz w:val="22"/>
          <w:szCs w:val="22"/>
        </w:rPr>
        <w:t>；</w:t>
      </w:r>
    </w:p>
    <w:p>
      <w:pPr>
        <w:spacing w:line="440" w:lineRule="exact"/>
        <w:ind w:firstLine="440" w:firstLineChars="200"/>
        <w:rPr>
          <w:rFonts w:ascii="宋体" w:hAnsi="宋体"/>
          <w:sz w:val="22"/>
          <w:szCs w:val="22"/>
        </w:rPr>
      </w:pPr>
      <w:r>
        <w:rPr>
          <w:rFonts w:hint="eastAsia" w:ascii="宋体" w:hAnsi="宋体"/>
          <w:sz w:val="22"/>
          <w:szCs w:val="22"/>
        </w:rPr>
        <w:t>（12</w:t>
      </w:r>
      <w:r>
        <w:rPr>
          <w:rFonts w:ascii="宋体" w:hAnsi="宋体"/>
          <w:sz w:val="22"/>
          <w:szCs w:val="22"/>
        </w:rPr>
        <w:t>）</w:t>
      </w:r>
      <w:r>
        <w:rPr>
          <w:rFonts w:hint="eastAsia" w:ascii="宋体" w:hAnsi="宋体"/>
          <w:sz w:val="22"/>
          <w:szCs w:val="22"/>
        </w:rPr>
        <w:t>与其他投标供应商的投标文件中技术文件部分的文字表述内容差错相同</w:t>
      </w:r>
      <w:r>
        <w:rPr>
          <w:rFonts w:hint="eastAsia" w:ascii="宋体" w:hAnsi="宋体"/>
          <w:b/>
          <w:sz w:val="22"/>
          <w:szCs w:val="22"/>
          <w:u w:val="single"/>
        </w:rPr>
        <w:t xml:space="preserve"> 6</w:t>
      </w:r>
      <w:r>
        <w:rPr>
          <w:rFonts w:ascii="宋体" w:hAnsi="宋体"/>
          <w:b/>
          <w:sz w:val="22"/>
          <w:szCs w:val="22"/>
          <w:u w:val="single"/>
        </w:rPr>
        <w:t xml:space="preserve"> </w:t>
      </w:r>
      <w:r>
        <w:rPr>
          <w:rFonts w:hint="eastAsia" w:ascii="宋体" w:hAnsi="宋体"/>
          <w:sz w:val="22"/>
          <w:szCs w:val="22"/>
        </w:rPr>
        <w:t>处及以上的，或三分之二及以上评标委员会成员认定存在串标情形的。</w:t>
      </w:r>
    </w:p>
    <w:p>
      <w:pPr>
        <w:spacing w:line="440" w:lineRule="exact"/>
        <w:ind w:firstLine="440" w:firstLineChars="200"/>
        <w:rPr>
          <w:rFonts w:hint="eastAsia" w:ascii="宋体" w:hAnsi="宋体"/>
          <w:sz w:val="22"/>
          <w:szCs w:val="22"/>
        </w:rPr>
      </w:pPr>
      <w:r>
        <w:rPr>
          <w:rFonts w:hint="eastAsia" w:ascii="宋体" w:hAnsi="宋体"/>
          <w:sz w:val="22"/>
          <w:szCs w:val="22"/>
        </w:rPr>
        <w:t>（1</w:t>
      </w:r>
      <w:r>
        <w:rPr>
          <w:rFonts w:ascii="宋体" w:hAnsi="宋体"/>
          <w:sz w:val="22"/>
          <w:szCs w:val="22"/>
        </w:rPr>
        <w:t>3）</w:t>
      </w:r>
      <w:r>
        <w:rPr>
          <w:rFonts w:hint="eastAsia" w:ascii="宋体" w:hAnsi="宋体"/>
          <w:sz w:val="22"/>
          <w:szCs w:val="22"/>
        </w:rPr>
        <w:t>不符合采购文件规定的其他实质性要求的；</w:t>
      </w:r>
    </w:p>
    <w:p>
      <w:pPr>
        <w:spacing w:line="440" w:lineRule="exact"/>
        <w:ind w:firstLine="440" w:firstLineChars="200"/>
        <w:rPr>
          <w:rFonts w:hint="eastAsia" w:ascii="宋体" w:hAnsi="宋体"/>
          <w:sz w:val="22"/>
          <w:szCs w:val="22"/>
        </w:rPr>
      </w:pPr>
      <w:r>
        <w:rPr>
          <w:rFonts w:hint="eastAsia" w:ascii="宋体" w:hAnsi="宋体"/>
          <w:sz w:val="22"/>
          <w:szCs w:val="22"/>
        </w:rPr>
        <w:t>（1</w:t>
      </w:r>
      <w:r>
        <w:rPr>
          <w:rFonts w:ascii="宋体" w:hAnsi="宋体"/>
          <w:sz w:val="22"/>
          <w:szCs w:val="22"/>
        </w:rPr>
        <w:t>4）</w:t>
      </w:r>
      <w:r>
        <w:rPr>
          <w:rFonts w:hint="eastAsia" w:ascii="宋体" w:hAnsi="宋体"/>
          <w:sz w:val="22"/>
          <w:szCs w:val="22"/>
        </w:rPr>
        <w:t>在评标过程中，投标供应商有企图影响评委行为的；</w:t>
      </w:r>
    </w:p>
    <w:p>
      <w:pPr>
        <w:spacing w:line="440" w:lineRule="exact"/>
        <w:ind w:firstLine="440" w:firstLineChars="200"/>
        <w:rPr>
          <w:rFonts w:ascii="宋体" w:hAnsi="宋体"/>
          <w:sz w:val="22"/>
          <w:szCs w:val="22"/>
        </w:rPr>
      </w:pPr>
      <w:r>
        <w:rPr>
          <w:rFonts w:hint="eastAsia" w:ascii="宋体" w:hAnsi="宋体"/>
          <w:sz w:val="22"/>
          <w:szCs w:val="22"/>
        </w:rPr>
        <w:t>（1</w:t>
      </w:r>
      <w:r>
        <w:rPr>
          <w:rFonts w:ascii="宋体" w:hAnsi="宋体"/>
          <w:sz w:val="22"/>
          <w:szCs w:val="22"/>
        </w:rPr>
        <w:t>5）</w:t>
      </w:r>
      <w:r>
        <w:rPr>
          <w:rFonts w:hint="eastAsia" w:ascii="宋体" w:hAnsi="宋体"/>
          <w:sz w:val="22"/>
          <w:szCs w:val="22"/>
        </w:rPr>
        <w:t>评委会认定的其他违法违规情况；</w:t>
      </w:r>
    </w:p>
    <w:p>
      <w:pPr>
        <w:spacing w:line="440" w:lineRule="exact"/>
        <w:ind w:firstLine="440" w:firstLineChars="200"/>
        <w:rPr>
          <w:rFonts w:ascii="宋体" w:hAnsi="宋体"/>
          <w:sz w:val="22"/>
          <w:szCs w:val="22"/>
        </w:rPr>
      </w:pPr>
      <w:r>
        <w:rPr>
          <w:rFonts w:hint="eastAsia" w:ascii="宋体" w:hAnsi="宋体"/>
          <w:sz w:val="22"/>
          <w:szCs w:val="22"/>
        </w:rPr>
        <w:t>2</w:t>
      </w:r>
      <w:r>
        <w:rPr>
          <w:rFonts w:ascii="宋体" w:hAnsi="宋体"/>
          <w:sz w:val="22"/>
          <w:szCs w:val="22"/>
        </w:rPr>
        <w:t>8</w:t>
      </w:r>
      <w:r>
        <w:rPr>
          <w:rFonts w:hint="eastAsia" w:ascii="宋体" w:hAnsi="宋体"/>
          <w:sz w:val="22"/>
          <w:szCs w:val="22"/>
        </w:rPr>
        <w:t>.4</w:t>
      </w:r>
      <w:r>
        <w:rPr>
          <w:rFonts w:hint="eastAsia" w:ascii="宋体" w:hAnsi="宋体"/>
          <w:b/>
          <w:sz w:val="22"/>
          <w:szCs w:val="22"/>
        </w:rPr>
        <w:t>投标供应商有下列情形之一的视为相互串通投标，投标文件将被视为无效</w:t>
      </w:r>
      <w:r>
        <w:rPr>
          <w:rFonts w:hint="eastAsia" w:ascii="宋体" w:hAnsi="宋体"/>
          <w:sz w:val="22"/>
          <w:szCs w:val="22"/>
        </w:rPr>
        <w:t>：</w:t>
      </w:r>
    </w:p>
    <w:p>
      <w:pPr>
        <w:spacing w:line="440" w:lineRule="exact"/>
        <w:ind w:firstLine="440" w:firstLineChars="200"/>
        <w:rPr>
          <w:rFonts w:hint="eastAsia" w:ascii="宋体" w:hAnsi="宋体"/>
          <w:sz w:val="22"/>
          <w:szCs w:val="22"/>
        </w:rPr>
      </w:pPr>
      <w:r>
        <w:rPr>
          <w:rFonts w:hint="eastAsia" w:ascii="宋体" w:hAnsi="宋体"/>
          <w:sz w:val="22"/>
          <w:szCs w:val="22"/>
        </w:rPr>
        <w:t>（1）不同投标供应商的投标文件由同一单位或者个人编制；或不同供应商报名的 IP 地址一致的；</w:t>
      </w:r>
    </w:p>
    <w:p>
      <w:pPr>
        <w:spacing w:line="440" w:lineRule="exact"/>
        <w:ind w:firstLine="440" w:firstLineChars="200"/>
        <w:rPr>
          <w:rFonts w:hint="eastAsia" w:ascii="宋体" w:hAnsi="宋体"/>
          <w:sz w:val="22"/>
          <w:szCs w:val="22"/>
        </w:rPr>
      </w:pPr>
      <w:r>
        <w:rPr>
          <w:rFonts w:hint="eastAsia" w:ascii="宋体" w:hAnsi="宋体"/>
          <w:sz w:val="22"/>
          <w:szCs w:val="22"/>
        </w:rPr>
        <w:t>（2）不同投标供应商委托同一单位或者个人办理竞标事宜；</w:t>
      </w:r>
    </w:p>
    <w:p>
      <w:pPr>
        <w:spacing w:line="440" w:lineRule="exact"/>
        <w:ind w:firstLine="440" w:firstLineChars="200"/>
        <w:rPr>
          <w:rFonts w:hint="eastAsia" w:ascii="宋体" w:hAnsi="宋体"/>
          <w:sz w:val="22"/>
          <w:szCs w:val="22"/>
        </w:rPr>
      </w:pPr>
      <w:r>
        <w:rPr>
          <w:rFonts w:hint="eastAsia" w:ascii="宋体" w:hAnsi="宋体"/>
          <w:sz w:val="22"/>
          <w:szCs w:val="22"/>
        </w:rPr>
        <w:t>（3）不同的投标供应商的投标文件载明的项目管理员为同一个人；</w:t>
      </w:r>
    </w:p>
    <w:p>
      <w:pPr>
        <w:spacing w:line="440" w:lineRule="exact"/>
        <w:ind w:firstLine="440" w:firstLineChars="200"/>
        <w:rPr>
          <w:rFonts w:hint="eastAsia" w:ascii="宋体" w:hAnsi="宋体"/>
          <w:sz w:val="22"/>
          <w:szCs w:val="22"/>
        </w:rPr>
      </w:pPr>
      <w:r>
        <w:rPr>
          <w:rFonts w:hint="eastAsia" w:ascii="宋体" w:hAnsi="宋体"/>
          <w:sz w:val="22"/>
          <w:szCs w:val="22"/>
        </w:rPr>
        <w:t>（4）不同投标供应商的投标文件异常一致或报价呈规律性差异；</w:t>
      </w:r>
    </w:p>
    <w:p>
      <w:pPr>
        <w:spacing w:line="440" w:lineRule="exact"/>
        <w:ind w:firstLine="440" w:firstLineChars="200"/>
        <w:rPr>
          <w:rFonts w:hint="eastAsia" w:ascii="宋体" w:hAnsi="宋体"/>
          <w:sz w:val="22"/>
          <w:szCs w:val="22"/>
        </w:rPr>
      </w:pPr>
      <w:r>
        <w:rPr>
          <w:rFonts w:hint="eastAsia" w:ascii="宋体" w:hAnsi="宋体"/>
          <w:sz w:val="22"/>
          <w:szCs w:val="22"/>
        </w:rPr>
        <w:t>（5）不同投标供应商的投标文件相互混装；</w:t>
      </w:r>
    </w:p>
    <w:p>
      <w:pPr>
        <w:spacing w:line="440" w:lineRule="exact"/>
        <w:ind w:firstLine="440" w:firstLineChars="200"/>
        <w:rPr>
          <w:rFonts w:ascii="宋体" w:hAnsi="宋体"/>
          <w:sz w:val="22"/>
          <w:szCs w:val="22"/>
        </w:rPr>
      </w:pPr>
      <w:r>
        <w:rPr>
          <w:rFonts w:hint="eastAsia" w:ascii="宋体" w:hAnsi="宋体"/>
          <w:sz w:val="22"/>
          <w:szCs w:val="22"/>
        </w:rPr>
        <w:t>（6）不同投标供应商的保证金从同一单位或者同一账户转出。</w:t>
      </w:r>
    </w:p>
    <w:p>
      <w:pPr>
        <w:spacing w:line="440" w:lineRule="exact"/>
        <w:ind w:firstLine="440" w:firstLineChars="200"/>
        <w:rPr>
          <w:rFonts w:ascii="宋体" w:hAnsi="宋体"/>
          <w:sz w:val="22"/>
          <w:szCs w:val="22"/>
        </w:rPr>
      </w:pPr>
      <w:r>
        <w:rPr>
          <w:rFonts w:hint="eastAsia" w:ascii="宋体" w:hAnsi="宋体"/>
          <w:sz w:val="22"/>
          <w:szCs w:val="22"/>
        </w:rPr>
        <w:t xml:space="preserve">28.5 </w:t>
      </w:r>
      <w:r>
        <w:rPr>
          <w:rFonts w:hint="eastAsia" w:ascii="宋体" w:hAnsi="宋体"/>
          <w:b/>
          <w:sz w:val="22"/>
          <w:szCs w:val="22"/>
        </w:rPr>
        <w:t>投标供应商有下列情形之一的，属于恶意串通行为，恶意串通的</w:t>
      </w:r>
      <w:r>
        <w:rPr>
          <w:rFonts w:ascii="宋体" w:hAnsi="宋体"/>
          <w:b/>
          <w:sz w:val="22"/>
          <w:szCs w:val="22"/>
        </w:rPr>
        <w:t>其投标无效</w:t>
      </w:r>
      <w:r>
        <w:rPr>
          <w:rFonts w:hint="eastAsia" w:ascii="宋体" w:hAnsi="宋体"/>
          <w:sz w:val="22"/>
          <w:szCs w:val="22"/>
        </w:rPr>
        <w:t>：</w:t>
      </w:r>
    </w:p>
    <w:p>
      <w:pPr>
        <w:spacing w:line="440" w:lineRule="exact"/>
        <w:ind w:firstLine="440" w:firstLineChars="200"/>
        <w:rPr>
          <w:rFonts w:hint="eastAsia" w:ascii="宋体" w:hAnsi="宋体"/>
          <w:sz w:val="22"/>
          <w:szCs w:val="22"/>
        </w:rPr>
      </w:pPr>
      <w:r>
        <w:rPr>
          <w:rFonts w:hint="eastAsia" w:ascii="宋体" w:hAnsi="宋体"/>
          <w:sz w:val="22"/>
          <w:szCs w:val="22"/>
        </w:rPr>
        <w:t>（1）投标供应商直接或者间接从采购人或者采购代理机构处获得其他投标供应商的相关信息并修改其投标文件：</w:t>
      </w:r>
    </w:p>
    <w:p>
      <w:pPr>
        <w:spacing w:line="440" w:lineRule="exact"/>
        <w:ind w:firstLine="440" w:firstLineChars="200"/>
        <w:rPr>
          <w:rFonts w:hint="eastAsia" w:ascii="宋体" w:hAnsi="宋体"/>
          <w:sz w:val="22"/>
          <w:szCs w:val="22"/>
        </w:rPr>
      </w:pPr>
      <w:r>
        <w:rPr>
          <w:rFonts w:hint="eastAsia" w:ascii="宋体" w:hAnsi="宋体"/>
          <w:sz w:val="22"/>
          <w:szCs w:val="22"/>
        </w:rPr>
        <w:t>（2）投标供应商按照采购人或者采购代理机构的授意撤换、修改投标文件；</w:t>
      </w:r>
    </w:p>
    <w:p>
      <w:pPr>
        <w:spacing w:line="440" w:lineRule="exact"/>
        <w:ind w:firstLine="440" w:firstLineChars="200"/>
        <w:rPr>
          <w:rFonts w:hint="eastAsia" w:ascii="宋体" w:hAnsi="宋体"/>
          <w:sz w:val="22"/>
          <w:szCs w:val="22"/>
        </w:rPr>
      </w:pPr>
      <w:r>
        <w:rPr>
          <w:rFonts w:hint="eastAsia" w:ascii="宋体" w:hAnsi="宋体"/>
          <w:sz w:val="22"/>
          <w:szCs w:val="22"/>
        </w:rPr>
        <w:t>（3）投标供应商之间协商报价、技术方案等投标文件的实质性内容；</w:t>
      </w:r>
    </w:p>
    <w:p>
      <w:pPr>
        <w:spacing w:line="440" w:lineRule="exact"/>
        <w:ind w:firstLine="440" w:firstLineChars="200"/>
        <w:rPr>
          <w:rFonts w:hint="eastAsia" w:ascii="宋体" w:hAnsi="宋体"/>
          <w:sz w:val="22"/>
          <w:szCs w:val="22"/>
        </w:rPr>
      </w:pPr>
      <w:r>
        <w:rPr>
          <w:rFonts w:hint="eastAsia" w:ascii="宋体" w:hAnsi="宋体"/>
          <w:sz w:val="22"/>
          <w:szCs w:val="22"/>
        </w:rPr>
        <w:t>（4）属于同一集团、协会、商会等组织成员的投标供应商按照该组织要求协同参加政府采购活动；</w:t>
      </w:r>
    </w:p>
    <w:p>
      <w:pPr>
        <w:spacing w:line="440" w:lineRule="exact"/>
        <w:ind w:firstLine="440" w:firstLineChars="200"/>
        <w:rPr>
          <w:rFonts w:hint="eastAsia" w:ascii="宋体" w:hAnsi="宋体"/>
          <w:sz w:val="22"/>
          <w:szCs w:val="22"/>
        </w:rPr>
      </w:pPr>
      <w:r>
        <w:rPr>
          <w:rFonts w:hint="eastAsia" w:ascii="宋体" w:hAnsi="宋体"/>
          <w:sz w:val="22"/>
          <w:szCs w:val="22"/>
        </w:rPr>
        <w:t>（5）投标供应商之间事先约定一致抬高或者压低报价,或者在采购项目中事先约定轮流以高价位或者低价位成交，或者事先约定由某一特定投标供应商成交，然后再参加竞标；</w:t>
      </w:r>
    </w:p>
    <w:p>
      <w:pPr>
        <w:spacing w:line="440" w:lineRule="exact"/>
        <w:ind w:firstLine="440" w:firstLineChars="200"/>
        <w:rPr>
          <w:rFonts w:hint="eastAsia" w:ascii="宋体" w:hAnsi="宋体"/>
          <w:sz w:val="22"/>
          <w:szCs w:val="22"/>
        </w:rPr>
      </w:pPr>
      <w:r>
        <w:rPr>
          <w:rFonts w:hint="eastAsia" w:ascii="宋体" w:hAnsi="宋体"/>
          <w:sz w:val="22"/>
          <w:szCs w:val="22"/>
        </w:rPr>
        <w:t>（6）投标供应商之间商定部分投标供应商放弃参加政府采购活动或者放弃成交；</w:t>
      </w:r>
    </w:p>
    <w:p>
      <w:pPr>
        <w:spacing w:line="440" w:lineRule="exact"/>
        <w:ind w:firstLine="440" w:firstLineChars="200"/>
        <w:rPr>
          <w:rFonts w:ascii="宋体" w:hAnsi="宋体"/>
          <w:sz w:val="22"/>
          <w:szCs w:val="22"/>
        </w:rPr>
      </w:pPr>
      <w:r>
        <w:rPr>
          <w:rFonts w:hint="eastAsia" w:ascii="宋体" w:hAnsi="宋体"/>
          <w:sz w:val="22"/>
          <w:szCs w:val="22"/>
        </w:rPr>
        <w:t>（7）投标供应商与采购人或者采购代理机构之间、投标供应商相互之间，为谋求特定投标供应商成交或者排斥其他投标供应商的其他串通行为。</w:t>
      </w:r>
    </w:p>
    <w:p>
      <w:pPr>
        <w:spacing w:line="440" w:lineRule="exact"/>
        <w:ind w:firstLine="440" w:firstLineChars="200"/>
        <w:rPr>
          <w:rFonts w:hint="eastAsia" w:ascii="宋体" w:hAnsi="宋体"/>
          <w:sz w:val="22"/>
          <w:szCs w:val="22"/>
        </w:rPr>
      </w:pPr>
      <w:r>
        <w:rPr>
          <w:rFonts w:hint="eastAsia" w:ascii="宋体" w:hAnsi="宋体"/>
          <w:sz w:val="22"/>
          <w:szCs w:val="22"/>
        </w:rPr>
        <w:t>在评标、定标期间，评标委员会若发现投标供应商在投标中有腐败或欺诈行为或试图对评标委员会的评标和采购人授予合同的决定进行影响，将依法否决其投标，并向管理部门上报其不良行为记录。</w:t>
      </w:r>
    </w:p>
    <w:p>
      <w:pPr>
        <w:pStyle w:val="3"/>
        <w:spacing w:before="0" w:after="0" w:line="440" w:lineRule="exact"/>
        <w:rPr>
          <w:rFonts w:hint="eastAsia" w:ascii="宋体" w:hAnsi="宋体" w:eastAsia="宋体"/>
          <w:sz w:val="22"/>
          <w:szCs w:val="22"/>
        </w:rPr>
      </w:pPr>
      <w:bookmarkStart w:id="91" w:name="_Toc14965648"/>
      <w:r>
        <w:rPr>
          <w:rFonts w:hint="eastAsia" w:ascii="宋体" w:hAnsi="宋体" w:eastAsia="宋体"/>
          <w:sz w:val="22"/>
          <w:szCs w:val="22"/>
        </w:rPr>
        <w:t>29、数量变更</w:t>
      </w:r>
      <w:bookmarkEnd w:id="91"/>
    </w:p>
    <w:p>
      <w:pPr>
        <w:spacing w:line="440" w:lineRule="exact"/>
        <w:ind w:firstLine="440" w:firstLineChars="200"/>
        <w:rPr>
          <w:rFonts w:hint="eastAsia" w:ascii="宋体" w:hAnsi="宋体"/>
          <w:sz w:val="22"/>
          <w:szCs w:val="22"/>
        </w:rPr>
      </w:pPr>
      <w:r>
        <w:rPr>
          <w:rFonts w:ascii="宋体" w:hAnsi="宋体"/>
          <w:sz w:val="22"/>
          <w:szCs w:val="22"/>
        </w:rPr>
        <w:t>29</w:t>
      </w:r>
      <w:r>
        <w:rPr>
          <w:rFonts w:hint="eastAsia" w:ascii="宋体" w:hAnsi="宋体"/>
          <w:sz w:val="22"/>
          <w:szCs w:val="22"/>
        </w:rPr>
        <w:t>.1 采购人在授予合同时具有变更数量的权力，可以在采购文件《投标资料表》中规定的合同金额或数量（工作量）变更范围内，或遵循贸易惯例及法规、政策许可情况下，变更采购的数量和服务内容，但不能对单价或其他条款和条件作任何改变(采购文件规定的除外)。</w:t>
      </w:r>
    </w:p>
    <w:p>
      <w:pPr>
        <w:spacing w:line="440" w:lineRule="exact"/>
        <w:ind w:firstLine="440" w:firstLineChars="200"/>
        <w:rPr>
          <w:rFonts w:hint="eastAsia" w:ascii="宋体" w:hAnsi="宋体"/>
          <w:sz w:val="22"/>
          <w:szCs w:val="22"/>
        </w:rPr>
      </w:pPr>
      <w:r>
        <w:rPr>
          <w:rFonts w:ascii="宋体" w:hAnsi="宋体"/>
          <w:sz w:val="22"/>
          <w:szCs w:val="22"/>
        </w:rPr>
        <w:t>29</w:t>
      </w:r>
      <w:r>
        <w:rPr>
          <w:rFonts w:hint="eastAsia" w:ascii="宋体" w:hAnsi="宋体"/>
          <w:sz w:val="22"/>
          <w:szCs w:val="22"/>
        </w:rPr>
        <w:t>.2 投标供应商应在其投标方案及投标报价价格中，考虑获得合同后的数量（工作量）变更风险；</w:t>
      </w:r>
    </w:p>
    <w:p>
      <w:pPr>
        <w:spacing w:line="440" w:lineRule="exact"/>
        <w:ind w:firstLine="440" w:firstLineChars="200"/>
        <w:rPr>
          <w:rFonts w:hint="eastAsia" w:ascii="宋体" w:hAnsi="宋体"/>
          <w:sz w:val="22"/>
          <w:szCs w:val="22"/>
        </w:rPr>
      </w:pPr>
      <w:r>
        <w:rPr>
          <w:rFonts w:ascii="宋体" w:hAnsi="宋体"/>
          <w:sz w:val="22"/>
          <w:szCs w:val="22"/>
        </w:rPr>
        <w:t>29</w:t>
      </w:r>
      <w:r>
        <w:rPr>
          <w:rFonts w:hint="eastAsia" w:ascii="宋体" w:hAnsi="宋体"/>
          <w:sz w:val="22"/>
          <w:szCs w:val="22"/>
        </w:rPr>
        <w:t>.3 当合同数量（工作量）发生变更时，合同价格(总价)随之进行相应调整，这种调整只基于已被接受的报价单价，没有单价的，将立足有利采购人权益前提下进行。</w:t>
      </w:r>
    </w:p>
    <w:p>
      <w:pPr>
        <w:pStyle w:val="3"/>
        <w:spacing w:before="0" w:after="0" w:line="440" w:lineRule="exact"/>
        <w:rPr>
          <w:rFonts w:hint="eastAsia" w:ascii="宋体" w:hAnsi="宋体" w:eastAsia="宋体"/>
          <w:sz w:val="22"/>
          <w:szCs w:val="22"/>
        </w:rPr>
      </w:pPr>
      <w:bookmarkStart w:id="92" w:name="_Toc14965649"/>
      <w:r>
        <w:rPr>
          <w:rFonts w:hint="eastAsia" w:ascii="宋体" w:hAnsi="宋体" w:eastAsia="宋体"/>
          <w:sz w:val="22"/>
          <w:szCs w:val="22"/>
        </w:rPr>
        <w:t>30、中标(成交)结果通知</w:t>
      </w:r>
      <w:bookmarkEnd w:id="92"/>
    </w:p>
    <w:p>
      <w:pPr>
        <w:spacing w:line="440" w:lineRule="exact"/>
        <w:ind w:firstLine="440" w:firstLineChars="200"/>
        <w:rPr>
          <w:rFonts w:hint="eastAsia" w:ascii="宋体" w:hAnsi="宋体"/>
          <w:sz w:val="22"/>
          <w:szCs w:val="22"/>
        </w:rPr>
      </w:pPr>
      <w:r>
        <w:rPr>
          <w:rFonts w:hint="eastAsia" w:ascii="宋体" w:hAnsi="宋体"/>
          <w:sz w:val="22"/>
          <w:szCs w:val="22"/>
        </w:rPr>
        <w:t>3</w:t>
      </w:r>
      <w:r>
        <w:rPr>
          <w:rFonts w:ascii="宋体" w:hAnsi="宋体"/>
          <w:sz w:val="22"/>
          <w:szCs w:val="22"/>
        </w:rPr>
        <w:t>0</w:t>
      </w:r>
      <w:r>
        <w:rPr>
          <w:rFonts w:hint="eastAsia" w:ascii="宋体" w:hAnsi="宋体"/>
          <w:sz w:val="22"/>
          <w:szCs w:val="22"/>
        </w:rPr>
        <w:t>.1在发布采购结果公告后，本采购代理机构向中标(成交)供应商发送中标(成交结果)通知书。中标(成交结果)通知书对采购人和中标(成交)供应商具有同等法律效力。</w:t>
      </w:r>
    </w:p>
    <w:p>
      <w:pPr>
        <w:spacing w:line="440" w:lineRule="exact"/>
        <w:ind w:firstLine="440" w:firstLineChars="200"/>
        <w:rPr>
          <w:rFonts w:hint="eastAsia" w:ascii="宋体" w:hAnsi="宋体"/>
          <w:sz w:val="22"/>
          <w:szCs w:val="22"/>
        </w:rPr>
      </w:pPr>
      <w:r>
        <w:rPr>
          <w:rFonts w:hint="eastAsia" w:ascii="宋体" w:hAnsi="宋体"/>
          <w:sz w:val="22"/>
          <w:szCs w:val="22"/>
        </w:rPr>
        <w:t>30.2中标(成交)供应商按下述第3</w:t>
      </w:r>
      <w:r>
        <w:rPr>
          <w:rFonts w:ascii="宋体" w:hAnsi="宋体"/>
          <w:sz w:val="22"/>
          <w:szCs w:val="22"/>
        </w:rPr>
        <w:t>1</w:t>
      </w:r>
      <w:r>
        <w:rPr>
          <w:rFonts w:hint="eastAsia" w:ascii="宋体" w:hAnsi="宋体"/>
          <w:sz w:val="22"/>
          <w:szCs w:val="22"/>
        </w:rPr>
        <w:t>条规定与采购人签订合同时，中标(成交结果)通知书是合同的组成部分。</w:t>
      </w:r>
    </w:p>
    <w:p>
      <w:pPr>
        <w:spacing w:line="440" w:lineRule="exact"/>
        <w:ind w:firstLine="440" w:firstLineChars="200"/>
        <w:rPr>
          <w:rFonts w:hint="eastAsia" w:ascii="宋体" w:hAnsi="宋体"/>
          <w:sz w:val="22"/>
          <w:szCs w:val="22"/>
        </w:rPr>
      </w:pPr>
      <w:r>
        <w:rPr>
          <w:rFonts w:hint="eastAsia" w:ascii="宋体" w:hAnsi="宋体"/>
          <w:sz w:val="22"/>
          <w:szCs w:val="22"/>
        </w:rPr>
        <w:t>30.3有关发布本次采购的公告、评标结果公示的媒体载明在《投标资料表》中。</w:t>
      </w:r>
    </w:p>
    <w:p>
      <w:pPr>
        <w:pStyle w:val="3"/>
        <w:spacing w:before="0" w:after="0" w:line="440" w:lineRule="exact"/>
        <w:rPr>
          <w:rFonts w:hint="eastAsia" w:ascii="宋体" w:hAnsi="宋体" w:eastAsia="宋体"/>
          <w:sz w:val="22"/>
          <w:szCs w:val="22"/>
        </w:rPr>
      </w:pPr>
      <w:bookmarkStart w:id="93" w:name="_Toc14965650"/>
      <w:r>
        <w:rPr>
          <w:rFonts w:hint="eastAsia" w:ascii="宋体" w:hAnsi="宋体" w:eastAsia="宋体"/>
          <w:sz w:val="22"/>
          <w:szCs w:val="22"/>
        </w:rPr>
        <w:t>31、签订合同</w:t>
      </w:r>
      <w:bookmarkEnd w:id="93"/>
    </w:p>
    <w:p>
      <w:pPr>
        <w:spacing w:line="440" w:lineRule="exact"/>
        <w:ind w:firstLine="440" w:firstLineChars="200"/>
        <w:rPr>
          <w:rFonts w:hint="eastAsia" w:ascii="宋体" w:hAnsi="宋体"/>
          <w:sz w:val="22"/>
          <w:szCs w:val="22"/>
        </w:rPr>
      </w:pPr>
      <w:r>
        <w:rPr>
          <w:rFonts w:hint="eastAsia" w:ascii="宋体" w:hAnsi="宋体"/>
          <w:sz w:val="22"/>
          <w:szCs w:val="22"/>
        </w:rPr>
        <w:t>31.1中标(成交)供应商在本采购代理机构发出采购结果通知书(中标通知书)的</w:t>
      </w:r>
      <w:r>
        <w:rPr>
          <w:rFonts w:ascii="宋体" w:hAnsi="宋体"/>
          <w:b/>
          <w:sz w:val="22"/>
          <w:szCs w:val="22"/>
          <w:u w:val="single"/>
        </w:rPr>
        <w:t>3</w:t>
      </w:r>
      <w:r>
        <w:rPr>
          <w:rFonts w:hint="eastAsia" w:ascii="宋体" w:hAnsi="宋体"/>
          <w:b/>
          <w:sz w:val="22"/>
          <w:szCs w:val="22"/>
          <w:u w:val="single"/>
        </w:rPr>
        <w:t>0天内</w:t>
      </w:r>
      <w:r>
        <w:rPr>
          <w:rFonts w:hint="eastAsia" w:ascii="宋体" w:hAnsi="宋体"/>
          <w:sz w:val="22"/>
          <w:szCs w:val="22"/>
        </w:rPr>
        <w:t>，应与采购人按照采购文件和中标(成交)供应商的投标文件的约定内容签订书面合同，采购文件</w:t>
      </w:r>
      <w:r>
        <w:rPr>
          <w:rFonts w:ascii="宋体" w:hAnsi="宋体"/>
          <w:sz w:val="22"/>
          <w:szCs w:val="22"/>
        </w:rPr>
        <w:t>、</w:t>
      </w:r>
      <w:r>
        <w:rPr>
          <w:rFonts w:hint="eastAsia" w:ascii="宋体" w:hAnsi="宋体"/>
          <w:sz w:val="22"/>
          <w:szCs w:val="22"/>
        </w:rPr>
        <w:t>投标文件和投标时的承诺是采购合同的组成部分，同时，采购代理机构对合同内容进行鉴证，如发现与采购结果和投标承诺内容不一致的，应予以纠正。不按规定签订或</w:t>
      </w:r>
      <w:r>
        <w:rPr>
          <w:rFonts w:ascii="宋体" w:hAnsi="宋体"/>
          <w:sz w:val="22"/>
          <w:szCs w:val="22"/>
        </w:rPr>
        <w:t>拒绝签订</w:t>
      </w:r>
      <w:r>
        <w:rPr>
          <w:rFonts w:hint="eastAsia" w:ascii="宋体" w:hAnsi="宋体"/>
          <w:sz w:val="22"/>
          <w:szCs w:val="22"/>
        </w:rPr>
        <w:t>合同的，采购人可撤销其中标资格并按《中华人民共和国政府采购法实施条例》第四十九</w:t>
      </w:r>
      <w:r>
        <w:rPr>
          <w:rFonts w:ascii="宋体" w:hAnsi="宋体"/>
          <w:sz w:val="22"/>
          <w:szCs w:val="22"/>
        </w:rPr>
        <w:t>条规定</w:t>
      </w:r>
      <w:r>
        <w:rPr>
          <w:rFonts w:hint="eastAsia" w:ascii="宋体" w:hAnsi="宋体"/>
          <w:sz w:val="22"/>
          <w:szCs w:val="22"/>
        </w:rPr>
        <w:t>重新组织采购活动。</w:t>
      </w:r>
    </w:p>
    <w:p>
      <w:pPr>
        <w:spacing w:line="440" w:lineRule="exact"/>
        <w:ind w:firstLine="440" w:firstLineChars="200"/>
        <w:rPr>
          <w:rFonts w:hint="eastAsia" w:ascii="宋体" w:hAnsi="宋体"/>
          <w:sz w:val="22"/>
          <w:szCs w:val="22"/>
        </w:rPr>
      </w:pPr>
      <w:bookmarkStart w:id="94" w:name="_Toc375411669"/>
      <w:bookmarkStart w:id="95" w:name="_Toc374321329"/>
      <w:r>
        <w:rPr>
          <w:rFonts w:hint="eastAsia" w:ascii="宋体" w:hAnsi="宋体"/>
          <w:sz w:val="22"/>
          <w:szCs w:val="22"/>
        </w:rPr>
        <w:t>31.2采购文件、中标(成交)供应商的投标文件及其在评标过程中提交的澄清文件均是合同的附件。</w:t>
      </w:r>
    </w:p>
    <w:p>
      <w:pPr>
        <w:spacing w:line="440" w:lineRule="exact"/>
        <w:ind w:firstLine="440" w:firstLineChars="200"/>
        <w:rPr>
          <w:rFonts w:hint="eastAsia" w:ascii="宋体" w:hAnsi="宋体"/>
          <w:sz w:val="22"/>
          <w:szCs w:val="22"/>
        </w:rPr>
      </w:pPr>
      <w:r>
        <w:rPr>
          <w:rFonts w:hint="eastAsia" w:ascii="宋体" w:hAnsi="宋体"/>
          <w:sz w:val="22"/>
          <w:szCs w:val="22"/>
        </w:rPr>
        <w:t>31.3中标(成交)供应商拖延、拒签合同的,将被扣罚投标保证金(如有)并取消中标资格。</w:t>
      </w:r>
    </w:p>
    <w:p>
      <w:pPr>
        <w:spacing w:line="440" w:lineRule="exact"/>
        <w:ind w:firstLine="440" w:firstLineChars="200"/>
        <w:rPr>
          <w:rFonts w:hint="eastAsia" w:ascii="宋体" w:hAnsi="宋体"/>
          <w:sz w:val="22"/>
          <w:szCs w:val="22"/>
        </w:rPr>
      </w:pPr>
      <w:r>
        <w:rPr>
          <w:rFonts w:hint="eastAsia" w:ascii="宋体" w:hAnsi="宋体"/>
          <w:sz w:val="22"/>
          <w:szCs w:val="22"/>
        </w:rPr>
        <w:t>31.4中标(成交)供应商与</w:t>
      </w:r>
      <w:r>
        <w:rPr>
          <w:rFonts w:ascii="宋体" w:hAnsi="宋体"/>
          <w:sz w:val="22"/>
          <w:szCs w:val="22"/>
        </w:rPr>
        <w:t>采购人签订的合同应遵循</w:t>
      </w:r>
      <w:r>
        <w:rPr>
          <w:rFonts w:hint="eastAsia" w:ascii="宋体" w:hAnsi="宋体"/>
          <w:sz w:val="22"/>
          <w:szCs w:val="22"/>
        </w:rPr>
        <w:t>《浙江</w:t>
      </w:r>
      <w:r>
        <w:rPr>
          <w:rFonts w:ascii="宋体" w:hAnsi="宋体"/>
          <w:sz w:val="22"/>
          <w:szCs w:val="22"/>
        </w:rPr>
        <w:t>省政府采购合同暂行办法</w:t>
      </w:r>
      <w:r>
        <w:rPr>
          <w:rFonts w:hint="eastAsia" w:ascii="宋体" w:hAnsi="宋体"/>
          <w:sz w:val="22"/>
          <w:szCs w:val="22"/>
        </w:rPr>
        <w:t>》[浙采监(2017)11号</w:t>
      </w:r>
      <w:r>
        <w:rPr>
          <w:rFonts w:ascii="宋体" w:hAnsi="宋体"/>
          <w:sz w:val="22"/>
          <w:szCs w:val="22"/>
        </w:rPr>
        <w:t>]</w:t>
      </w:r>
      <w:r>
        <w:rPr>
          <w:rFonts w:hint="eastAsia" w:ascii="宋体" w:hAnsi="宋体"/>
          <w:sz w:val="22"/>
          <w:szCs w:val="22"/>
        </w:rPr>
        <w:t>文</w:t>
      </w:r>
      <w:r>
        <w:rPr>
          <w:rFonts w:ascii="宋体" w:hAnsi="宋体"/>
          <w:sz w:val="22"/>
          <w:szCs w:val="22"/>
        </w:rPr>
        <w:t>相关规定。</w:t>
      </w:r>
    </w:p>
    <w:p>
      <w:pPr>
        <w:spacing w:line="440" w:lineRule="exact"/>
        <w:ind w:firstLine="440" w:firstLineChars="200"/>
        <w:rPr>
          <w:rFonts w:hint="eastAsia" w:ascii="宋体" w:hAnsi="宋体"/>
          <w:sz w:val="22"/>
          <w:szCs w:val="22"/>
        </w:rPr>
      </w:pPr>
      <w:r>
        <w:rPr>
          <w:rFonts w:ascii="宋体" w:hAnsi="宋体"/>
          <w:sz w:val="22"/>
          <w:szCs w:val="22"/>
        </w:rPr>
        <w:t xml:space="preserve">31.5 </w:t>
      </w:r>
      <w:r>
        <w:rPr>
          <w:rFonts w:hint="eastAsia" w:ascii="宋体" w:hAnsi="宋体"/>
          <w:sz w:val="22"/>
          <w:szCs w:val="22"/>
        </w:rPr>
        <w:t>采购代理机构负责合同的见证；镇海区政府采购管理办公室监督合同的执行，协调和处理履约过程中的问题。中标(成交)供应商应遵守国家法律法规和有关文件规定，承担相应的法律责任。</w:t>
      </w:r>
    </w:p>
    <w:bookmarkEnd w:id="94"/>
    <w:bookmarkEnd w:id="95"/>
    <w:p>
      <w:pPr>
        <w:pStyle w:val="3"/>
        <w:spacing w:before="0" w:after="0" w:line="440" w:lineRule="exact"/>
        <w:rPr>
          <w:rFonts w:hint="eastAsia" w:ascii="宋体" w:hAnsi="宋体" w:eastAsia="宋体"/>
          <w:sz w:val="22"/>
          <w:szCs w:val="22"/>
        </w:rPr>
      </w:pPr>
      <w:bookmarkStart w:id="96" w:name="_Toc14965651"/>
      <w:r>
        <w:rPr>
          <w:rFonts w:hint="eastAsia" w:ascii="宋体" w:hAnsi="宋体" w:eastAsia="宋体"/>
          <w:sz w:val="22"/>
          <w:szCs w:val="22"/>
        </w:rPr>
        <w:t>32、投标供应商有下列行为的，应取消其中标资格：</w:t>
      </w:r>
      <w:bookmarkEnd w:id="96"/>
    </w:p>
    <w:p>
      <w:pPr>
        <w:spacing w:line="440" w:lineRule="exact"/>
        <w:ind w:firstLine="440" w:firstLineChars="200"/>
        <w:rPr>
          <w:rFonts w:ascii="宋体" w:hAnsi="宋体"/>
          <w:sz w:val="22"/>
          <w:szCs w:val="22"/>
        </w:rPr>
      </w:pPr>
      <w:r>
        <w:rPr>
          <w:rFonts w:hint="eastAsia" w:ascii="宋体" w:hAnsi="宋体"/>
          <w:sz w:val="22"/>
          <w:szCs w:val="22"/>
        </w:rPr>
        <w:t>3</w:t>
      </w:r>
      <w:r>
        <w:rPr>
          <w:rFonts w:ascii="宋体" w:hAnsi="宋体"/>
          <w:sz w:val="22"/>
          <w:szCs w:val="22"/>
        </w:rPr>
        <w:t>2</w:t>
      </w:r>
      <w:r>
        <w:rPr>
          <w:rFonts w:hint="eastAsia" w:ascii="宋体" w:hAnsi="宋体"/>
          <w:sz w:val="22"/>
          <w:szCs w:val="22"/>
        </w:rPr>
        <w:t>.1在投标过程中与其他投标供应商或采购人有串标行为的；</w:t>
      </w:r>
    </w:p>
    <w:p>
      <w:pPr>
        <w:spacing w:line="440" w:lineRule="exact"/>
        <w:ind w:firstLine="440" w:firstLineChars="200"/>
        <w:rPr>
          <w:rFonts w:ascii="宋体" w:hAnsi="宋体"/>
          <w:sz w:val="22"/>
          <w:szCs w:val="22"/>
        </w:rPr>
      </w:pPr>
      <w:r>
        <w:rPr>
          <w:rFonts w:hint="eastAsia" w:ascii="宋体" w:hAnsi="宋体"/>
          <w:sz w:val="22"/>
          <w:szCs w:val="22"/>
        </w:rPr>
        <w:t>32.2在投标过程中有弄虚作假行为的；</w:t>
      </w:r>
    </w:p>
    <w:p>
      <w:pPr>
        <w:spacing w:line="440" w:lineRule="exact"/>
        <w:ind w:firstLine="440" w:firstLineChars="200"/>
        <w:rPr>
          <w:rFonts w:hint="eastAsia" w:ascii="宋体" w:hAnsi="宋体"/>
          <w:sz w:val="22"/>
          <w:szCs w:val="22"/>
        </w:rPr>
      </w:pPr>
      <w:r>
        <w:rPr>
          <w:rFonts w:hint="eastAsia" w:ascii="宋体" w:hAnsi="宋体"/>
          <w:sz w:val="22"/>
          <w:szCs w:val="22"/>
        </w:rPr>
        <w:t>32.3在投标过程对采购人、评委及相关工作人员施加压力、影响采购、评标公正性，或以不正当手段谋取中标的。</w:t>
      </w:r>
    </w:p>
    <w:p>
      <w:pPr>
        <w:pStyle w:val="3"/>
        <w:spacing w:before="0" w:after="0" w:line="440" w:lineRule="exact"/>
        <w:rPr>
          <w:rFonts w:hint="eastAsia" w:ascii="宋体" w:hAnsi="宋体" w:eastAsia="宋体"/>
          <w:sz w:val="22"/>
          <w:szCs w:val="22"/>
        </w:rPr>
      </w:pPr>
      <w:bookmarkStart w:id="97" w:name="_Toc14965652"/>
      <w:r>
        <w:rPr>
          <w:rFonts w:hint="eastAsia" w:ascii="宋体" w:hAnsi="宋体" w:eastAsia="宋体"/>
          <w:sz w:val="22"/>
          <w:szCs w:val="22"/>
        </w:rPr>
        <w:t>3</w:t>
      </w:r>
      <w:r>
        <w:rPr>
          <w:rFonts w:ascii="宋体" w:hAnsi="宋体" w:eastAsia="宋体"/>
          <w:sz w:val="22"/>
          <w:szCs w:val="22"/>
        </w:rPr>
        <w:t>3</w:t>
      </w:r>
      <w:r>
        <w:rPr>
          <w:rFonts w:hint="eastAsia" w:ascii="宋体" w:hAnsi="宋体" w:eastAsia="宋体"/>
          <w:sz w:val="22"/>
          <w:szCs w:val="22"/>
        </w:rPr>
        <w:t>. 履约保证金</w:t>
      </w:r>
      <w:bookmarkEnd w:id="97"/>
    </w:p>
    <w:p>
      <w:pPr>
        <w:spacing w:line="440" w:lineRule="exact"/>
        <w:ind w:firstLine="440" w:firstLineChars="200"/>
        <w:rPr>
          <w:rFonts w:hint="eastAsia" w:ascii="宋体" w:hAnsi="宋体"/>
          <w:sz w:val="22"/>
          <w:szCs w:val="22"/>
        </w:rPr>
      </w:pPr>
      <w:r>
        <w:rPr>
          <w:rFonts w:hint="eastAsia" w:ascii="宋体" w:hAnsi="宋体"/>
          <w:sz w:val="22"/>
          <w:szCs w:val="22"/>
        </w:rPr>
        <w:t>33.1签订合同前，中标(成交)供应商应根据采购文件确定的履约保证金(如有，下同)金额，向采购人交纳履约保证金，否则，中标(成交)供应商的投标保证金不予退还。</w:t>
      </w:r>
    </w:p>
    <w:p>
      <w:pPr>
        <w:spacing w:line="440" w:lineRule="exact"/>
        <w:ind w:firstLine="440" w:firstLineChars="200"/>
        <w:rPr>
          <w:rFonts w:ascii="宋体" w:hAnsi="宋体"/>
          <w:sz w:val="22"/>
          <w:szCs w:val="22"/>
        </w:rPr>
      </w:pPr>
      <w:r>
        <w:rPr>
          <w:rFonts w:hint="eastAsia" w:ascii="宋体" w:hAnsi="宋体"/>
          <w:sz w:val="22"/>
          <w:szCs w:val="22"/>
        </w:rPr>
        <w:t>33.2签订合同后，如中标(成交)供应商不按双方合同约定履约，则其履约保证金按</w:t>
      </w:r>
      <w:r>
        <w:rPr>
          <w:rFonts w:ascii="宋体" w:hAnsi="宋体"/>
          <w:sz w:val="22"/>
          <w:szCs w:val="22"/>
        </w:rPr>
        <w:t>合同约定予以扣除</w:t>
      </w:r>
      <w:r>
        <w:rPr>
          <w:rFonts w:hint="eastAsia" w:ascii="宋体" w:hAnsi="宋体"/>
          <w:sz w:val="22"/>
          <w:szCs w:val="22"/>
        </w:rPr>
        <w:t>，履约保证金不足以赔偿损失的，按实际损失赔偿。</w:t>
      </w:r>
    </w:p>
    <w:p>
      <w:pPr>
        <w:pStyle w:val="3"/>
        <w:spacing w:before="0" w:after="0" w:line="440" w:lineRule="exact"/>
        <w:rPr>
          <w:rFonts w:hint="eastAsia" w:ascii="宋体" w:hAnsi="宋体" w:eastAsia="宋体"/>
          <w:sz w:val="22"/>
          <w:szCs w:val="22"/>
        </w:rPr>
      </w:pPr>
      <w:bookmarkStart w:id="98" w:name="_Toc14965653"/>
      <w:r>
        <w:rPr>
          <w:rFonts w:hint="eastAsia" w:ascii="宋体" w:hAnsi="宋体" w:eastAsia="宋体"/>
          <w:sz w:val="22"/>
          <w:szCs w:val="22"/>
        </w:rPr>
        <w:t>3</w:t>
      </w:r>
      <w:r>
        <w:rPr>
          <w:rFonts w:ascii="宋体" w:hAnsi="宋体" w:eastAsia="宋体"/>
          <w:sz w:val="22"/>
          <w:szCs w:val="22"/>
        </w:rPr>
        <w:t>4</w:t>
      </w:r>
      <w:r>
        <w:rPr>
          <w:rFonts w:hint="eastAsia" w:ascii="宋体" w:hAnsi="宋体" w:eastAsia="宋体"/>
          <w:sz w:val="22"/>
          <w:szCs w:val="22"/>
        </w:rPr>
        <w:t>、验收</w:t>
      </w:r>
      <w:bookmarkEnd w:id="98"/>
    </w:p>
    <w:p>
      <w:pPr>
        <w:spacing w:line="440" w:lineRule="exact"/>
        <w:ind w:firstLine="440" w:firstLineChars="200"/>
        <w:rPr>
          <w:rFonts w:hint="eastAsia" w:ascii="宋体" w:hAnsi="宋体"/>
          <w:sz w:val="22"/>
          <w:szCs w:val="22"/>
        </w:rPr>
      </w:pPr>
      <w:r>
        <w:rPr>
          <w:rFonts w:hint="eastAsia" w:ascii="宋体" w:hAnsi="宋体"/>
          <w:sz w:val="22"/>
          <w:szCs w:val="22"/>
        </w:rPr>
        <w:t>3</w:t>
      </w:r>
      <w:r>
        <w:rPr>
          <w:rFonts w:ascii="宋体" w:hAnsi="宋体"/>
          <w:sz w:val="22"/>
          <w:szCs w:val="22"/>
        </w:rPr>
        <w:t>4</w:t>
      </w:r>
      <w:r>
        <w:rPr>
          <w:rFonts w:hint="eastAsia" w:ascii="宋体" w:hAnsi="宋体"/>
          <w:sz w:val="22"/>
          <w:szCs w:val="22"/>
        </w:rPr>
        <w:t>.1政府采购项目无论金额大小，都要进行履约验收，履约验收工作由采购人负责。采购人可以根据采购项目具体情况自行组织验收，或者委托采购代理机构组织验收，但委托验收不能免除采购人应当承担的法律责任。</w:t>
      </w:r>
    </w:p>
    <w:p>
      <w:pPr>
        <w:spacing w:line="440" w:lineRule="exact"/>
        <w:ind w:firstLine="440" w:firstLineChars="200"/>
        <w:rPr>
          <w:rFonts w:hint="eastAsia" w:ascii="宋体" w:hAnsi="宋体"/>
          <w:sz w:val="22"/>
          <w:szCs w:val="22"/>
        </w:rPr>
      </w:pPr>
      <w:r>
        <w:rPr>
          <w:rFonts w:hint="eastAsia" w:ascii="宋体" w:hAnsi="宋体"/>
          <w:sz w:val="22"/>
          <w:szCs w:val="22"/>
        </w:rPr>
        <w:t>3</w:t>
      </w:r>
      <w:r>
        <w:rPr>
          <w:rFonts w:ascii="宋体" w:hAnsi="宋体"/>
          <w:sz w:val="22"/>
          <w:szCs w:val="22"/>
        </w:rPr>
        <w:t>4</w:t>
      </w:r>
      <w:r>
        <w:rPr>
          <w:rFonts w:hint="eastAsia" w:ascii="宋体" w:hAnsi="宋体"/>
          <w:sz w:val="22"/>
          <w:szCs w:val="22"/>
        </w:rPr>
        <w:t>.2采购人</w:t>
      </w:r>
      <w:r>
        <w:rPr>
          <w:rFonts w:ascii="宋体" w:hAnsi="宋体"/>
          <w:sz w:val="22"/>
          <w:szCs w:val="22"/>
        </w:rPr>
        <w:t>对</w:t>
      </w:r>
      <w:r>
        <w:rPr>
          <w:rFonts w:hint="eastAsia" w:ascii="宋体" w:hAnsi="宋体"/>
          <w:sz w:val="22"/>
          <w:szCs w:val="22"/>
        </w:rPr>
        <w:t>中标(成交)供应商的</w:t>
      </w:r>
      <w:r>
        <w:rPr>
          <w:rFonts w:ascii="宋体" w:hAnsi="宋体"/>
          <w:sz w:val="22"/>
          <w:szCs w:val="22"/>
        </w:rPr>
        <w:t>履约</w:t>
      </w:r>
      <w:r>
        <w:rPr>
          <w:rFonts w:hint="eastAsia" w:ascii="宋体" w:hAnsi="宋体"/>
          <w:sz w:val="22"/>
          <w:szCs w:val="22"/>
        </w:rPr>
        <w:t>验收</w:t>
      </w:r>
      <w:r>
        <w:rPr>
          <w:rFonts w:ascii="宋体" w:hAnsi="宋体"/>
          <w:sz w:val="22"/>
          <w:szCs w:val="22"/>
        </w:rPr>
        <w:t>应按</w:t>
      </w:r>
      <w:r>
        <w:rPr>
          <w:rFonts w:hint="eastAsia" w:ascii="宋体" w:hAnsi="宋体"/>
          <w:sz w:val="22"/>
          <w:szCs w:val="22"/>
        </w:rPr>
        <w:t>《浙江</w:t>
      </w:r>
      <w:r>
        <w:rPr>
          <w:rFonts w:ascii="宋体" w:hAnsi="宋体"/>
          <w:sz w:val="22"/>
          <w:szCs w:val="22"/>
        </w:rPr>
        <w:t>省政府采购合同暂行办法</w:t>
      </w:r>
      <w:r>
        <w:rPr>
          <w:rFonts w:hint="eastAsia" w:ascii="宋体" w:hAnsi="宋体"/>
          <w:sz w:val="22"/>
          <w:szCs w:val="22"/>
        </w:rPr>
        <w:t>》[浙采监(2017)11号</w:t>
      </w:r>
      <w:r>
        <w:rPr>
          <w:rFonts w:ascii="宋体" w:hAnsi="宋体"/>
          <w:sz w:val="22"/>
          <w:szCs w:val="22"/>
        </w:rPr>
        <w:t>]</w:t>
      </w:r>
      <w:r>
        <w:rPr>
          <w:rFonts w:hint="eastAsia" w:ascii="宋体" w:hAnsi="宋体"/>
          <w:sz w:val="22"/>
          <w:szCs w:val="22"/>
        </w:rPr>
        <w:t>文第</w:t>
      </w:r>
      <w:r>
        <w:rPr>
          <w:rFonts w:ascii="宋体" w:hAnsi="宋体"/>
          <w:sz w:val="22"/>
          <w:szCs w:val="22"/>
        </w:rPr>
        <w:t>二十三条~第三十二条规定执行。</w:t>
      </w:r>
    </w:p>
    <w:p>
      <w:pPr>
        <w:pStyle w:val="3"/>
        <w:spacing w:before="0" w:after="0" w:line="440" w:lineRule="exact"/>
        <w:rPr>
          <w:rFonts w:ascii="宋体" w:hAnsi="宋体" w:eastAsia="宋体"/>
          <w:sz w:val="22"/>
          <w:szCs w:val="22"/>
        </w:rPr>
      </w:pPr>
      <w:bookmarkStart w:id="99" w:name="_Toc14965654"/>
      <w:r>
        <w:rPr>
          <w:rFonts w:hint="eastAsia" w:ascii="宋体" w:hAnsi="宋体" w:eastAsia="宋体"/>
          <w:sz w:val="22"/>
          <w:szCs w:val="22"/>
        </w:rPr>
        <w:t>35、采购代理服务费</w:t>
      </w:r>
      <w:bookmarkEnd w:id="99"/>
    </w:p>
    <w:p>
      <w:pPr>
        <w:spacing w:line="440" w:lineRule="exact"/>
        <w:ind w:firstLine="440" w:firstLineChars="200"/>
        <w:rPr>
          <w:rFonts w:hint="eastAsia" w:ascii="宋体" w:hAnsi="宋体"/>
          <w:sz w:val="22"/>
          <w:szCs w:val="22"/>
        </w:rPr>
      </w:pPr>
      <w:r>
        <w:rPr>
          <w:rFonts w:ascii="宋体" w:hAnsi="宋体"/>
          <w:sz w:val="22"/>
          <w:szCs w:val="22"/>
        </w:rPr>
        <w:t>35.</w:t>
      </w:r>
      <w:r>
        <w:rPr>
          <w:rFonts w:hint="eastAsia" w:ascii="宋体" w:hAnsi="宋体"/>
          <w:sz w:val="22"/>
          <w:szCs w:val="22"/>
        </w:rPr>
        <w:t>1中标(成交)服务商在领取采购结果通知书(中标通知书)时，本采购代理机构根据国家发改委发改办价格[2003]857号通知和国家计委计价格[2002]1980号文件的规定，向中标(成交)服务商收取采购代理服务费（计费额按三年计取）。</w:t>
      </w:r>
    </w:p>
    <w:p>
      <w:pPr>
        <w:spacing w:line="440" w:lineRule="exact"/>
        <w:ind w:firstLine="440" w:firstLineChars="200"/>
        <w:rPr>
          <w:rFonts w:hint="eastAsia" w:ascii="宋体" w:hAnsi="宋体"/>
          <w:sz w:val="22"/>
          <w:szCs w:val="22"/>
        </w:rPr>
      </w:pPr>
      <w:r>
        <w:rPr>
          <w:rFonts w:ascii="宋体" w:hAnsi="宋体"/>
          <w:sz w:val="22"/>
          <w:szCs w:val="22"/>
        </w:rPr>
        <w:t>35.</w:t>
      </w:r>
      <w:r>
        <w:rPr>
          <w:rFonts w:hint="eastAsia" w:ascii="宋体" w:hAnsi="宋体"/>
          <w:sz w:val="22"/>
          <w:szCs w:val="22"/>
        </w:rPr>
        <w:t>2中标(成交)服务商在领取采购结果通知书(中标通知书)时向本采购代理机构支付采购代理服务费。</w:t>
      </w:r>
    </w:p>
    <w:p>
      <w:pPr>
        <w:spacing w:line="440" w:lineRule="exact"/>
        <w:ind w:firstLine="440" w:firstLineChars="200"/>
        <w:rPr>
          <w:rFonts w:hint="eastAsia" w:ascii="宋体" w:hAnsi="宋体"/>
          <w:sz w:val="22"/>
          <w:szCs w:val="22"/>
        </w:rPr>
      </w:pPr>
      <w:r>
        <w:rPr>
          <w:rFonts w:ascii="宋体" w:hAnsi="宋体"/>
          <w:sz w:val="22"/>
          <w:szCs w:val="22"/>
        </w:rPr>
        <w:t>35.</w:t>
      </w:r>
      <w:r>
        <w:rPr>
          <w:rFonts w:hint="eastAsia" w:ascii="宋体" w:hAnsi="宋体"/>
          <w:sz w:val="22"/>
          <w:szCs w:val="22"/>
        </w:rPr>
        <w:t>3采购代理服务费只收现金、银行支票、银行汇票或转账支票或银行转账。</w:t>
      </w:r>
    </w:p>
    <w:p>
      <w:pPr>
        <w:spacing w:line="440" w:lineRule="exact"/>
        <w:ind w:firstLine="440" w:firstLineChars="200"/>
        <w:rPr>
          <w:rFonts w:ascii="宋体" w:hAnsi="宋体"/>
          <w:sz w:val="22"/>
          <w:szCs w:val="22"/>
        </w:rPr>
      </w:pPr>
      <w:r>
        <w:rPr>
          <w:rFonts w:ascii="宋体" w:hAnsi="宋体"/>
          <w:sz w:val="22"/>
          <w:szCs w:val="22"/>
        </w:rPr>
        <w:t>35.</w:t>
      </w:r>
      <w:r>
        <w:rPr>
          <w:rFonts w:hint="eastAsia" w:ascii="宋体" w:hAnsi="宋体"/>
          <w:sz w:val="22"/>
          <w:szCs w:val="22"/>
        </w:rPr>
        <w:t>4中标(成交)服务商如未按以上</w:t>
      </w:r>
      <w:r>
        <w:rPr>
          <w:rFonts w:ascii="宋体" w:hAnsi="宋体"/>
          <w:sz w:val="22"/>
          <w:szCs w:val="22"/>
        </w:rPr>
        <w:t>35.</w:t>
      </w:r>
      <w:r>
        <w:rPr>
          <w:rFonts w:hint="eastAsia" w:ascii="宋体" w:hAnsi="宋体"/>
          <w:sz w:val="22"/>
          <w:szCs w:val="22"/>
        </w:rPr>
        <w:t>1条和</w:t>
      </w:r>
      <w:r>
        <w:rPr>
          <w:rFonts w:ascii="宋体" w:hAnsi="宋体"/>
          <w:sz w:val="22"/>
          <w:szCs w:val="22"/>
        </w:rPr>
        <w:t>35.</w:t>
      </w:r>
      <w:r>
        <w:rPr>
          <w:rFonts w:hint="eastAsia" w:ascii="宋体" w:hAnsi="宋体"/>
          <w:sz w:val="22"/>
          <w:szCs w:val="22"/>
        </w:rPr>
        <w:t>2条规定办理，本采购代理机构有权从中标成交</w:t>
      </w:r>
      <w:r>
        <w:rPr>
          <w:rFonts w:ascii="宋体" w:hAnsi="宋体"/>
          <w:sz w:val="22"/>
          <w:szCs w:val="22"/>
        </w:rPr>
        <w:t>服务商</w:t>
      </w:r>
      <w:r>
        <w:rPr>
          <w:rFonts w:hint="eastAsia" w:ascii="宋体" w:hAnsi="宋体"/>
          <w:sz w:val="22"/>
          <w:szCs w:val="22"/>
        </w:rPr>
        <w:t>应得</w:t>
      </w:r>
      <w:r>
        <w:rPr>
          <w:rFonts w:ascii="宋体" w:hAnsi="宋体"/>
          <w:sz w:val="22"/>
          <w:szCs w:val="22"/>
        </w:rPr>
        <w:t>服务费中扣除或从</w:t>
      </w:r>
      <w:r>
        <w:rPr>
          <w:rFonts w:hint="eastAsia" w:ascii="宋体" w:hAnsi="宋体"/>
          <w:sz w:val="22"/>
          <w:szCs w:val="22"/>
        </w:rPr>
        <w:t>其投标保证金(如有)中收取，并对不足部分进行追索。</w:t>
      </w:r>
    </w:p>
    <w:p>
      <w:pPr>
        <w:spacing w:line="440" w:lineRule="exact"/>
        <w:ind w:firstLine="630" w:firstLineChars="300"/>
        <w:jc w:val="left"/>
        <w:rPr>
          <w:rFonts w:hint="eastAsia" w:ascii="宋体" w:hAnsi="宋体"/>
        </w:rPr>
        <w:sectPr>
          <w:headerReference r:id="rId16" w:type="default"/>
          <w:pgSz w:w="11906" w:h="16838"/>
          <w:pgMar w:top="1134" w:right="1021" w:bottom="1134" w:left="1021" w:header="737" w:footer="851" w:gutter="0"/>
          <w:cols w:space="720" w:num="1"/>
        </w:sectPr>
      </w:pPr>
      <w:r>
        <w:rPr>
          <w:rFonts w:hint="eastAsia" w:ascii="宋体" w:hAnsi="宋体"/>
        </w:rPr>
        <w:t xml:space="preserve"> </w:t>
      </w:r>
    </w:p>
    <w:bookmarkEnd w:id="7"/>
    <w:p>
      <w:pPr>
        <w:pStyle w:val="49"/>
        <w:rPr>
          <w:rFonts w:hint="eastAsia" w:ascii="宋体" w:hAnsi="宋体"/>
          <w:lang w:eastAsia="zh-CN"/>
        </w:rPr>
      </w:pPr>
      <w:bookmarkStart w:id="100" w:name="_Toc393025325"/>
      <w:bookmarkStart w:id="101" w:name="_Toc14965656"/>
      <w:bookmarkStart w:id="102" w:name="_Toc14965750"/>
      <w:bookmarkStart w:id="103" w:name="_Toc145860632"/>
      <w:bookmarkStart w:id="104" w:name="_Toc28060173"/>
      <w:r>
        <w:rPr>
          <w:rFonts w:hint="eastAsia" w:ascii="宋体" w:hAnsi="宋体"/>
        </w:rPr>
        <w:t>第七部分 投标文件格式</w:t>
      </w:r>
      <w:bookmarkEnd w:id="100"/>
      <w:bookmarkEnd w:id="101"/>
      <w:bookmarkEnd w:id="102"/>
    </w:p>
    <w:p>
      <w:pPr>
        <w:pStyle w:val="35"/>
        <w:tabs>
          <w:tab w:val="right" w:leader="dot" w:pos="9344"/>
        </w:tabs>
        <w:spacing w:line="360" w:lineRule="auto"/>
        <w:jc w:val="left"/>
        <w:rPr>
          <w:rFonts w:hint="eastAsia" w:ascii="宋体" w:hAnsi="宋体"/>
          <w:sz w:val="22"/>
          <w:szCs w:val="22"/>
          <w:lang w:eastAsia="zh-CN"/>
        </w:rPr>
      </w:pPr>
      <w:r>
        <w:rPr>
          <w:rFonts w:hint="eastAsia" w:ascii="宋体" w:hAnsi="宋体"/>
          <w:sz w:val="22"/>
          <w:szCs w:val="22"/>
        </w:rPr>
        <w:t>一、投标文件封面</w:t>
      </w:r>
      <w:r>
        <w:rPr>
          <w:rFonts w:hint="eastAsia" w:ascii="宋体" w:hAnsi="宋体"/>
          <w:sz w:val="22"/>
          <w:szCs w:val="22"/>
          <w:lang w:eastAsia="zh-CN"/>
        </w:rPr>
        <w:t>格</w:t>
      </w:r>
      <w:r>
        <w:rPr>
          <w:rFonts w:hint="eastAsia" w:ascii="宋体" w:hAnsi="宋体"/>
          <w:sz w:val="22"/>
          <w:szCs w:val="22"/>
        </w:rPr>
        <w:t>式（格式详见第七部分 投标文件格式）</w:t>
      </w:r>
    </w:p>
    <w:p>
      <w:pPr>
        <w:adjustRightInd w:val="0"/>
        <w:snapToGrid w:val="0"/>
        <w:spacing w:line="440" w:lineRule="exact"/>
        <w:rPr>
          <w:rFonts w:hint="eastAsia" w:ascii="宋体" w:hAnsi="宋体"/>
          <w:b/>
          <w:bCs/>
          <w:sz w:val="22"/>
          <w:szCs w:val="22"/>
          <w:u w:val="single"/>
        </w:rPr>
      </w:pPr>
      <w:r>
        <w:rPr>
          <w:rFonts w:hint="eastAsia" w:ascii="宋体" w:hAnsi="宋体"/>
          <w:b/>
          <w:sz w:val="22"/>
          <w:szCs w:val="22"/>
          <w:u w:val="single"/>
        </w:rPr>
        <w:t>二、资信商务文件主要包括下列内容：</w:t>
      </w:r>
      <w:r>
        <w:rPr>
          <w:rFonts w:hint="eastAsia" w:ascii="宋体" w:hAnsi="宋体"/>
          <w:b/>
          <w:bCs/>
          <w:sz w:val="22"/>
          <w:szCs w:val="22"/>
          <w:u w:val="single"/>
        </w:rPr>
        <w:t>但不限于。</w:t>
      </w:r>
    </w:p>
    <w:p>
      <w:pPr>
        <w:widowControl/>
        <w:spacing w:line="440" w:lineRule="exact"/>
        <w:ind w:firstLine="440" w:firstLineChars="200"/>
        <w:jc w:val="left"/>
        <w:rPr>
          <w:rFonts w:hint="eastAsia" w:ascii="宋体" w:hAnsi="宋体"/>
          <w:sz w:val="22"/>
          <w:szCs w:val="22"/>
        </w:rPr>
      </w:pPr>
      <w:r>
        <w:rPr>
          <w:rFonts w:hint="eastAsia" w:ascii="宋体" w:hAnsi="宋体"/>
          <w:sz w:val="22"/>
          <w:szCs w:val="22"/>
        </w:rPr>
        <w:t>1、投标声明书（格式详见第七部分 投标文件格式）；</w:t>
      </w:r>
    </w:p>
    <w:p>
      <w:pPr>
        <w:widowControl/>
        <w:spacing w:line="440" w:lineRule="exact"/>
        <w:ind w:firstLine="440" w:firstLineChars="200"/>
        <w:jc w:val="left"/>
        <w:rPr>
          <w:rFonts w:hint="eastAsia" w:ascii="宋体" w:hAnsi="宋体"/>
          <w:sz w:val="22"/>
          <w:szCs w:val="22"/>
        </w:rPr>
      </w:pPr>
      <w:r>
        <w:rPr>
          <w:rFonts w:hint="eastAsia" w:ascii="宋体" w:hAnsi="宋体"/>
          <w:sz w:val="22"/>
          <w:szCs w:val="22"/>
        </w:rPr>
        <w:t>2、符合《中华人民共和国政府采购法》第二十二条规定的供应商资格条件，提供以下材料：</w:t>
      </w:r>
    </w:p>
    <w:p>
      <w:pPr>
        <w:spacing w:line="440" w:lineRule="exact"/>
        <w:ind w:firstLine="440" w:firstLineChars="200"/>
        <w:rPr>
          <w:rFonts w:hint="eastAsia" w:ascii="宋体" w:hAnsi="宋体"/>
          <w:sz w:val="22"/>
          <w:szCs w:val="22"/>
        </w:rPr>
      </w:pPr>
      <w:r>
        <w:rPr>
          <w:rFonts w:hint="eastAsia" w:ascii="宋体" w:hAnsi="宋体"/>
          <w:sz w:val="22"/>
          <w:szCs w:val="22"/>
        </w:rPr>
        <w:t>（1）有效的企业法人营业执照复印件（或事业法人登记证）；</w:t>
      </w:r>
    </w:p>
    <w:p>
      <w:pPr>
        <w:spacing w:line="440" w:lineRule="exact"/>
        <w:ind w:firstLine="440" w:firstLineChars="200"/>
        <w:rPr>
          <w:rFonts w:hint="eastAsia" w:ascii="宋体" w:hAnsi="宋体"/>
          <w:sz w:val="22"/>
          <w:szCs w:val="22"/>
        </w:rPr>
      </w:pPr>
      <w:r>
        <w:rPr>
          <w:rFonts w:hint="eastAsia" w:ascii="宋体" w:hAnsi="宋体"/>
          <w:sz w:val="22"/>
          <w:szCs w:val="22"/>
        </w:rPr>
        <w:t>（2）2019年财务状况报告复印件，其他组织或供应商新成立不足一年，提供银行出具的资信证明材料复印件；</w:t>
      </w:r>
    </w:p>
    <w:p>
      <w:pPr>
        <w:spacing w:line="440" w:lineRule="exact"/>
        <w:ind w:firstLine="440" w:firstLineChars="200"/>
        <w:rPr>
          <w:rFonts w:hint="eastAsia" w:ascii="宋体" w:hAnsi="宋体"/>
          <w:sz w:val="22"/>
          <w:szCs w:val="22"/>
        </w:rPr>
      </w:pPr>
      <w:r>
        <w:rPr>
          <w:rFonts w:hint="eastAsia" w:ascii="宋体" w:hAnsi="宋体"/>
          <w:sz w:val="22"/>
          <w:szCs w:val="22"/>
        </w:rPr>
        <w:t>（3）2020年开具的缴纳税收的凭据证明材料复印件；如依法免税的，应提供相应文件证明其依法免税；</w:t>
      </w:r>
    </w:p>
    <w:p>
      <w:pPr>
        <w:spacing w:line="440" w:lineRule="exact"/>
        <w:ind w:firstLine="440" w:firstLineChars="200"/>
        <w:rPr>
          <w:rFonts w:hint="eastAsia" w:ascii="宋体" w:hAnsi="宋体"/>
          <w:sz w:val="22"/>
          <w:szCs w:val="22"/>
        </w:rPr>
      </w:pPr>
      <w:r>
        <w:rPr>
          <w:rFonts w:hint="eastAsia" w:ascii="宋体" w:hAnsi="宋体"/>
          <w:sz w:val="22"/>
          <w:szCs w:val="22"/>
        </w:rPr>
        <w:t>（4）2020年开具的缴纳社会保险的凭据证明材料复印件；如依法不需要缴纳社会保障资金的，应提供相应文件证明其依法不需要缴纳社会保障资金；</w:t>
      </w:r>
    </w:p>
    <w:p>
      <w:pPr>
        <w:spacing w:line="440" w:lineRule="exact"/>
        <w:ind w:firstLine="440" w:firstLineChars="200"/>
        <w:rPr>
          <w:rFonts w:hint="eastAsia" w:ascii="宋体" w:hAnsi="宋体"/>
          <w:sz w:val="22"/>
          <w:szCs w:val="22"/>
        </w:rPr>
      </w:pPr>
      <w:r>
        <w:rPr>
          <w:rFonts w:hint="eastAsia" w:ascii="宋体" w:hAnsi="宋体"/>
          <w:sz w:val="22"/>
          <w:szCs w:val="22"/>
        </w:rPr>
        <w:t>（5）提供</w:t>
      </w:r>
      <w:r>
        <w:rPr>
          <w:rFonts w:ascii="宋体" w:hAnsi="宋体"/>
          <w:sz w:val="22"/>
          <w:szCs w:val="22"/>
        </w:rPr>
        <w:t>具有履行合同所必需的设备和专业技术能力</w:t>
      </w:r>
      <w:r>
        <w:rPr>
          <w:rFonts w:hint="eastAsia" w:ascii="宋体" w:hAnsi="宋体"/>
          <w:sz w:val="22"/>
          <w:szCs w:val="22"/>
        </w:rPr>
        <w:t>的书面声明（格式详见第七部分 投标文件格式）；</w:t>
      </w:r>
    </w:p>
    <w:p>
      <w:pPr>
        <w:spacing w:line="440" w:lineRule="exact"/>
        <w:ind w:firstLine="440" w:firstLineChars="200"/>
        <w:rPr>
          <w:rFonts w:hint="eastAsia" w:ascii="宋体" w:hAnsi="宋体"/>
          <w:sz w:val="22"/>
          <w:szCs w:val="22"/>
        </w:rPr>
      </w:pPr>
      <w:r>
        <w:rPr>
          <w:rFonts w:hint="eastAsia" w:ascii="宋体" w:hAnsi="宋体"/>
          <w:sz w:val="22"/>
          <w:szCs w:val="22"/>
        </w:rPr>
        <w:t>（6）提供参加政府采购活动前</w:t>
      </w:r>
      <w:r>
        <w:rPr>
          <w:rFonts w:ascii="宋体" w:hAnsi="宋体"/>
          <w:sz w:val="22"/>
          <w:szCs w:val="22"/>
        </w:rPr>
        <w:t>3</w:t>
      </w:r>
      <w:r>
        <w:rPr>
          <w:rFonts w:hint="eastAsia" w:ascii="宋体" w:hAnsi="宋体"/>
          <w:sz w:val="22"/>
          <w:szCs w:val="22"/>
        </w:rPr>
        <w:t>年内在经营活动中没有重大违法记录的书面声明（格式详见第七部分 投标文件格式）；</w:t>
      </w:r>
    </w:p>
    <w:p>
      <w:pPr>
        <w:pStyle w:val="26"/>
        <w:spacing w:line="440" w:lineRule="exact"/>
        <w:ind w:firstLine="440" w:firstLineChars="200"/>
        <w:rPr>
          <w:rFonts w:hint="eastAsia" w:hAnsi="宋体"/>
          <w:sz w:val="22"/>
          <w:szCs w:val="22"/>
          <w:lang w:val="en-US" w:eastAsia="zh-CN"/>
        </w:rPr>
      </w:pPr>
      <w:r>
        <w:rPr>
          <w:rFonts w:hint="eastAsia" w:hAnsi="宋体"/>
          <w:sz w:val="22"/>
          <w:szCs w:val="22"/>
          <w:lang w:eastAsia="zh-CN"/>
        </w:rPr>
        <w:t>3、</w:t>
      </w:r>
      <w:r>
        <w:rPr>
          <w:rFonts w:hint="eastAsia" w:hAnsi="宋体"/>
          <w:sz w:val="22"/>
          <w:szCs w:val="22"/>
        </w:rPr>
        <w:t>法定代表人身份证明或法定代表人授权委托书（格式详见第七部分 投标文件格式）</w:t>
      </w:r>
      <w:r>
        <w:rPr>
          <w:rFonts w:hint="eastAsia" w:hAnsi="宋体"/>
          <w:sz w:val="22"/>
          <w:szCs w:val="22"/>
          <w:lang w:eastAsia="zh-CN"/>
        </w:rPr>
        <w:t>；</w:t>
      </w:r>
      <w:r>
        <w:rPr>
          <w:rFonts w:hint="eastAsia" w:hAnsi="宋体"/>
          <w:sz w:val="22"/>
          <w:szCs w:val="22"/>
          <w:lang w:val="en-US" w:eastAsia="zh-CN"/>
        </w:rPr>
        <w:t xml:space="preserve">  </w:t>
      </w:r>
    </w:p>
    <w:p>
      <w:pPr>
        <w:widowControl/>
        <w:spacing w:line="440" w:lineRule="exact"/>
        <w:ind w:firstLine="440" w:firstLineChars="200"/>
        <w:jc w:val="left"/>
        <w:rPr>
          <w:rFonts w:hint="eastAsia" w:ascii="宋体" w:hAnsi="宋体"/>
          <w:sz w:val="22"/>
          <w:szCs w:val="22"/>
        </w:rPr>
      </w:pPr>
      <w:r>
        <w:rPr>
          <w:rFonts w:hint="eastAsia" w:ascii="宋体" w:hAnsi="宋体" w:cs="宋体"/>
          <w:sz w:val="22"/>
          <w:szCs w:val="22"/>
        </w:rPr>
        <w:t>4、商业贿赂行为承诺书</w:t>
      </w:r>
      <w:r>
        <w:rPr>
          <w:rFonts w:hint="eastAsia" w:ascii="宋体" w:hAnsi="宋体"/>
          <w:sz w:val="22"/>
          <w:szCs w:val="22"/>
        </w:rPr>
        <w:t>（格式详见第七部分 投标文件格式）</w:t>
      </w:r>
      <w:r>
        <w:rPr>
          <w:rFonts w:hint="eastAsia" w:ascii="宋体" w:hAnsi="宋体" w:cs="宋体"/>
          <w:sz w:val="22"/>
          <w:szCs w:val="22"/>
        </w:rPr>
        <w:t>；</w:t>
      </w:r>
    </w:p>
    <w:p>
      <w:pPr>
        <w:widowControl/>
        <w:spacing w:line="440" w:lineRule="exact"/>
        <w:ind w:firstLine="440" w:firstLineChars="200"/>
        <w:jc w:val="left"/>
        <w:rPr>
          <w:rFonts w:hint="eastAsia" w:ascii="宋体" w:hAnsi="宋体"/>
          <w:sz w:val="22"/>
          <w:szCs w:val="22"/>
        </w:rPr>
      </w:pPr>
      <w:r>
        <w:rPr>
          <w:rFonts w:hint="eastAsia" w:ascii="宋体" w:hAnsi="宋体"/>
          <w:sz w:val="22"/>
          <w:szCs w:val="22"/>
        </w:rPr>
        <w:t>5、服务条款偏离表（格式详见第七部分 投标文件格式）；</w:t>
      </w:r>
      <w:r>
        <w:rPr>
          <w:rFonts w:hint="eastAsia" w:ascii="宋体" w:hAnsi="宋体"/>
          <w:sz w:val="22"/>
          <w:szCs w:val="22"/>
        </w:rPr>
        <w:tab/>
      </w:r>
    </w:p>
    <w:p>
      <w:pPr>
        <w:widowControl/>
        <w:spacing w:line="440" w:lineRule="exact"/>
        <w:ind w:firstLine="440" w:firstLineChars="200"/>
        <w:jc w:val="left"/>
        <w:rPr>
          <w:rFonts w:hint="eastAsia" w:ascii="宋体" w:hAnsi="宋体"/>
          <w:sz w:val="22"/>
          <w:szCs w:val="22"/>
        </w:rPr>
      </w:pPr>
      <w:r>
        <w:rPr>
          <w:rFonts w:hint="eastAsia" w:ascii="宋体" w:hAnsi="宋体"/>
          <w:sz w:val="22"/>
          <w:szCs w:val="22"/>
        </w:rPr>
        <w:t>6、商务条款偏离表（格式详见第七部分 投标文件格式）；</w:t>
      </w:r>
    </w:p>
    <w:p>
      <w:pPr>
        <w:widowControl/>
        <w:spacing w:line="440" w:lineRule="exact"/>
        <w:ind w:firstLine="440" w:firstLineChars="200"/>
        <w:jc w:val="left"/>
        <w:rPr>
          <w:rFonts w:hint="eastAsia" w:ascii="宋体" w:hAnsi="宋体"/>
          <w:sz w:val="22"/>
          <w:szCs w:val="22"/>
        </w:rPr>
      </w:pPr>
      <w:r>
        <w:rPr>
          <w:rFonts w:hint="eastAsia" w:ascii="宋体" w:hAnsi="宋体"/>
          <w:sz w:val="22"/>
          <w:szCs w:val="22"/>
        </w:rPr>
        <w:t>7、根据资信商务标评审内容需提供的相应证明资料复印件（如: 投标人的资格（质）证书、荣誉证书、体系认证证书、类似项目业绩，如有）；</w:t>
      </w:r>
    </w:p>
    <w:p>
      <w:pPr>
        <w:adjustRightInd w:val="0"/>
        <w:snapToGrid w:val="0"/>
        <w:spacing w:line="440" w:lineRule="exact"/>
        <w:ind w:firstLine="431" w:firstLineChars="196"/>
        <w:rPr>
          <w:rFonts w:hint="eastAsia" w:ascii="宋体" w:hAnsi="宋体"/>
          <w:bCs/>
          <w:sz w:val="22"/>
          <w:szCs w:val="22"/>
        </w:rPr>
      </w:pPr>
      <w:r>
        <w:rPr>
          <w:rFonts w:hint="eastAsia" w:ascii="宋体" w:hAnsi="宋体"/>
          <w:bCs/>
          <w:sz w:val="22"/>
          <w:szCs w:val="22"/>
        </w:rPr>
        <w:t>8、</w:t>
      </w:r>
      <w:r>
        <w:rPr>
          <w:rFonts w:hint="eastAsia" w:ascii="宋体" w:hAnsi="宋体"/>
          <w:sz w:val="22"/>
          <w:szCs w:val="22"/>
        </w:rPr>
        <w:t>根据评审需要或采购文件要求,投标人自行考虑需提供的资料（如有）。</w:t>
      </w:r>
    </w:p>
    <w:p>
      <w:pPr>
        <w:pStyle w:val="26"/>
        <w:spacing w:line="440" w:lineRule="exact"/>
        <w:ind w:firstLine="440" w:firstLineChars="200"/>
        <w:rPr>
          <w:rFonts w:hint="eastAsia" w:hAnsi="宋体"/>
          <w:sz w:val="22"/>
          <w:szCs w:val="22"/>
          <w:lang w:eastAsia="zh-CN"/>
        </w:rPr>
      </w:pPr>
      <w:r>
        <w:rPr>
          <w:rFonts w:hint="eastAsia" w:hAnsi="宋体"/>
          <w:b/>
          <w:sz w:val="22"/>
          <w:szCs w:val="22"/>
          <w:lang w:eastAsia="zh-CN"/>
        </w:rPr>
        <w:t>三、</w:t>
      </w:r>
      <w:r>
        <w:rPr>
          <w:rFonts w:hint="eastAsia" w:hAnsi="宋体" w:cs="Arial"/>
          <w:b/>
          <w:sz w:val="22"/>
          <w:szCs w:val="22"/>
          <w:u w:val="single"/>
        </w:rPr>
        <w:t>技术文件</w:t>
      </w:r>
      <w:r>
        <w:rPr>
          <w:rFonts w:hint="eastAsia" w:hAnsi="宋体" w:cs="Arial"/>
          <w:b/>
          <w:sz w:val="22"/>
          <w:szCs w:val="22"/>
          <w:u w:val="single"/>
          <w:lang w:eastAsia="zh-CN"/>
        </w:rPr>
        <w:t>编制说明：</w:t>
      </w:r>
      <w:r>
        <w:rPr>
          <w:rFonts w:hint="eastAsia" w:hAnsi="宋体" w:cs="Arial"/>
          <w:b/>
          <w:sz w:val="22"/>
          <w:szCs w:val="22"/>
          <w:u w:val="single"/>
        </w:rPr>
        <w:t>技术文件</w:t>
      </w:r>
      <w:r>
        <w:rPr>
          <w:rFonts w:hint="eastAsia" w:hAnsi="宋体" w:cs="Arial"/>
          <w:b/>
          <w:sz w:val="22"/>
          <w:szCs w:val="22"/>
          <w:u w:val="single"/>
          <w:lang w:eastAsia="zh-CN"/>
        </w:rPr>
        <w:t>为明标，</w:t>
      </w:r>
      <w:r>
        <w:rPr>
          <w:rFonts w:hint="eastAsia" w:hAnsi="宋体" w:cs="Arial"/>
          <w:b/>
          <w:sz w:val="22"/>
          <w:szCs w:val="22"/>
          <w:u w:val="single"/>
        </w:rPr>
        <w:t>无固定格式，由各投标人依据评标办法自行编写</w:t>
      </w:r>
      <w:r>
        <w:rPr>
          <w:rFonts w:hint="eastAsia" w:hAnsi="宋体" w:cs="Arial"/>
          <w:b/>
          <w:sz w:val="22"/>
          <w:szCs w:val="22"/>
          <w:u w:val="single"/>
          <w:lang w:eastAsia="zh-CN"/>
        </w:rPr>
        <w:t>，应编制目录，根据评标办法的顺序编制以便评委逐一核对评审。</w:t>
      </w:r>
      <w:r>
        <w:rPr>
          <w:rFonts w:hint="eastAsia" w:hAnsi="宋体"/>
          <w:sz w:val="22"/>
          <w:szCs w:val="22"/>
        </w:rPr>
        <w:t>技术标建议篇幅不宜过长，建议页数不超过150页为宜（A3或A4不限，单双面不限），相关证书复印件页数不计算在内。</w:t>
      </w:r>
    </w:p>
    <w:p>
      <w:pPr>
        <w:adjustRightInd w:val="0"/>
        <w:snapToGrid w:val="0"/>
        <w:spacing w:line="440" w:lineRule="exact"/>
        <w:ind w:firstLine="431" w:firstLineChars="196"/>
        <w:rPr>
          <w:rFonts w:hint="eastAsia" w:ascii="宋体" w:hAnsi="宋体"/>
          <w:b/>
          <w:bCs/>
          <w:sz w:val="22"/>
          <w:szCs w:val="22"/>
        </w:rPr>
      </w:pPr>
      <w:r>
        <w:rPr>
          <w:rFonts w:hint="eastAsia" w:ascii="宋体" w:hAnsi="宋体"/>
          <w:b/>
          <w:sz w:val="22"/>
          <w:szCs w:val="22"/>
        </w:rPr>
        <w:t>四、报价文件主要包括下列内容：</w:t>
      </w:r>
      <w:r>
        <w:rPr>
          <w:rFonts w:hint="eastAsia" w:ascii="宋体" w:hAnsi="宋体"/>
          <w:b/>
          <w:bCs/>
          <w:sz w:val="22"/>
          <w:szCs w:val="22"/>
        </w:rPr>
        <w:t>但不限于。</w:t>
      </w:r>
    </w:p>
    <w:p>
      <w:pPr>
        <w:spacing w:line="440" w:lineRule="exact"/>
        <w:ind w:firstLine="440" w:firstLineChars="200"/>
        <w:rPr>
          <w:rFonts w:hint="eastAsia" w:ascii="宋体" w:hAnsi="宋体" w:cs="宋体"/>
          <w:kern w:val="0"/>
          <w:sz w:val="22"/>
          <w:szCs w:val="22"/>
        </w:rPr>
      </w:pPr>
      <w:r>
        <w:rPr>
          <w:rFonts w:hint="eastAsia" w:ascii="宋体" w:hAnsi="宋体" w:cs="宋体"/>
          <w:kern w:val="0"/>
          <w:sz w:val="22"/>
          <w:szCs w:val="22"/>
        </w:rPr>
        <w:t>1、投标响应函</w:t>
      </w:r>
      <w:r>
        <w:rPr>
          <w:rFonts w:hint="eastAsia" w:ascii="宋体" w:hAnsi="宋体"/>
          <w:sz w:val="22"/>
          <w:szCs w:val="22"/>
        </w:rPr>
        <w:t>（格式详见第七部分 投标文件格式）</w:t>
      </w:r>
      <w:r>
        <w:rPr>
          <w:rFonts w:hint="eastAsia" w:ascii="宋体" w:hAnsi="宋体" w:cs="宋体"/>
          <w:kern w:val="0"/>
          <w:sz w:val="22"/>
          <w:szCs w:val="22"/>
        </w:rPr>
        <w:t>；</w:t>
      </w:r>
    </w:p>
    <w:p>
      <w:pPr>
        <w:spacing w:line="440" w:lineRule="exact"/>
        <w:ind w:firstLine="440" w:firstLineChars="200"/>
        <w:rPr>
          <w:rFonts w:hint="eastAsia" w:ascii="宋体" w:hAnsi="宋体" w:cs="宋体"/>
          <w:kern w:val="0"/>
          <w:sz w:val="22"/>
          <w:szCs w:val="22"/>
        </w:rPr>
      </w:pPr>
      <w:r>
        <w:rPr>
          <w:rFonts w:hint="eastAsia" w:ascii="宋体" w:hAnsi="宋体" w:cs="宋体"/>
          <w:kern w:val="0"/>
          <w:sz w:val="22"/>
          <w:szCs w:val="22"/>
        </w:rPr>
        <w:t>2、开标一览表</w:t>
      </w:r>
      <w:r>
        <w:rPr>
          <w:rFonts w:hint="eastAsia" w:ascii="宋体" w:hAnsi="宋体"/>
          <w:sz w:val="22"/>
          <w:szCs w:val="22"/>
        </w:rPr>
        <w:t>（格式详见第七部分 投标文件格式）</w:t>
      </w:r>
      <w:r>
        <w:rPr>
          <w:rFonts w:hint="eastAsia" w:ascii="宋体" w:hAnsi="宋体" w:cs="宋体"/>
          <w:kern w:val="0"/>
          <w:sz w:val="22"/>
          <w:szCs w:val="22"/>
        </w:rPr>
        <w:t>；</w:t>
      </w:r>
    </w:p>
    <w:p>
      <w:pPr>
        <w:spacing w:line="440" w:lineRule="exact"/>
        <w:ind w:firstLine="440" w:firstLineChars="200"/>
        <w:rPr>
          <w:rFonts w:hint="eastAsia" w:ascii="宋体" w:hAnsi="宋体" w:cs="宋体"/>
          <w:kern w:val="0"/>
          <w:sz w:val="22"/>
          <w:szCs w:val="22"/>
        </w:rPr>
      </w:pPr>
      <w:r>
        <w:rPr>
          <w:rFonts w:hint="eastAsia" w:ascii="宋体" w:hAnsi="宋体" w:cs="宋体"/>
          <w:kern w:val="0"/>
          <w:sz w:val="22"/>
          <w:szCs w:val="22"/>
        </w:rPr>
        <w:t>3、投标分项报价表</w:t>
      </w:r>
      <w:r>
        <w:rPr>
          <w:rFonts w:hint="eastAsia" w:ascii="宋体" w:hAnsi="宋体"/>
          <w:sz w:val="22"/>
          <w:szCs w:val="22"/>
        </w:rPr>
        <w:t>（格式详见第七部分 投标文件格式）</w:t>
      </w:r>
      <w:r>
        <w:rPr>
          <w:rFonts w:hint="eastAsia" w:ascii="宋体" w:hAnsi="宋体" w:cs="宋体"/>
          <w:kern w:val="0"/>
          <w:sz w:val="22"/>
          <w:szCs w:val="22"/>
        </w:rPr>
        <w:t>；</w:t>
      </w:r>
    </w:p>
    <w:p>
      <w:pPr>
        <w:spacing w:line="440" w:lineRule="exact"/>
        <w:ind w:firstLine="440" w:firstLineChars="200"/>
        <w:rPr>
          <w:rFonts w:hint="eastAsia" w:ascii="宋体" w:hAnsi="宋体"/>
          <w:sz w:val="22"/>
          <w:szCs w:val="22"/>
        </w:rPr>
      </w:pPr>
      <w:r>
        <w:rPr>
          <w:rFonts w:hint="eastAsia" w:ascii="宋体" w:hAnsi="宋体" w:cs="宋体"/>
          <w:kern w:val="0"/>
          <w:sz w:val="22"/>
          <w:szCs w:val="22"/>
        </w:rPr>
        <w:t>4、</w:t>
      </w:r>
      <w:r>
        <w:rPr>
          <w:rFonts w:hint="eastAsia" w:ascii="宋体" w:hAnsi="宋体" w:cs="Arial"/>
          <w:sz w:val="22"/>
          <w:szCs w:val="22"/>
        </w:rPr>
        <w:t>中小企业声明函</w:t>
      </w:r>
      <w:r>
        <w:rPr>
          <w:rFonts w:hint="eastAsia" w:ascii="宋体" w:hAnsi="宋体"/>
          <w:sz w:val="22"/>
          <w:szCs w:val="22"/>
        </w:rPr>
        <w:t>（如需请提供）（格式详见第七部分 投标文件格式）；</w:t>
      </w:r>
    </w:p>
    <w:p>
      <w:pPr>
        <w:spacing w:line="440" w:lineRule="exact"/>
        <w:ind w:firstLine="440" w:firstLineChars="200"/>
        <w:rPr>
          <w:rFonts w:hint="eastAsia" w:ascii="宋体" w:hAnsi="宋体" w:cs="宋体"/>
          <w:kern w:val="0"/>
          <w:sz w:val="22"/>
          <w:szCs w:val="22"/>
        </w:rPr>
      </w:pPr>
      <w:r>
        <w:rPr>
          <w:rFonts w:hint="eastAsia" w:ascii="宋体" w:hAnsi="宋体" w:cs="宋体"/>
          <w:kern w:val="0"/>
          <w:sz w:val="22"/>
          <w:szCs w:val="22"/>
        </w:rPr>
        <w:t>5、</w:t>
      </w:r>
      <w:r>
        <w:rPr>
          <w:rFonts w:hint="eastAsia" w:ascii="宋体" w:hAnsi="宋体"/>
          <w:sz w:val="22"/>
          <w:szCs w:val="22"/>
        </w:rPr>
        <w:t>残疾人福利性单位声明函（如有请提供）（格式详见第七部分 投标文件格式）；</w:t>
      </w:r>
    </w:p>
    <w:p>
      <w:pPr>
        <w:adjustRightInd w:val="0"/>
        <w:snapToGrid w:val="0"/>
        <w:spacing w:line="440" w:lineRule="exact"/>
        <w:ind w:firstLine="440" w:firstLineChars="200"/>
        <w:jc w:val="left"/>
        <w:rPr>
          <w:rFonts w:hint="eastAsia" w:ascii="宋体" w:hAnsi="宋体"/>
          <w:sz w:val="22"/>
          <w:szCs w:val="22"/>
        </w:rPr>
      </w:pPr>
      <w:r>
        <w:rPr>
          <w:rFonts w:hint="eastAsia" w:ascii="宋体" w:hAnsi="宋体"/>
          <w:sz w:val="22"/>
          <w:szCs w:val="22"/>
        </w:rPr>
        <w:t>6、根据评审需要或采购文件要求,投标人自行考虑需提供的资料（如有）。</w:t>
      </w:r>
    </w:p>
    <w:p>
      <w:pPr>
        <w:adjustRightInd w:val="0"/>
        <w:snapToGrid w:val="0"/>
        <w:spacing w:line="360" w:lineRule="auto"/>
        <w:rPr>
          <w:rFonts w:hint="eastAsia" w:ascii="宋体" w:hAnsi="宋体"/>
          <w:sz w:val="22"/>
          <w:szCs w:val="22"/>
        </w:rPr>
      </w:pPr>
    </w:p>
    <w:p>
      <w:pPr>
        <w:adjustRightInd w:val="0"/>
        <w:snapToGrid w:val="0"/>
        <w:spacing w:line="360" w:lineRule="auto"/>
        <w:ind w:firstLine="440" w:firstLineChars="200"/>
        <w:rPr>
          <w:rFonts w:hint="eastAsia" w:ascii="宋体" w:hAnsi="宋体"/>
          <w:sz w:val="22"/>
          <w:szCs w:val="22"/>
        </w:rPr>
      </w:pPr>
      <w:r>
        <w:rPr>
          <w:rFonts w:hint="eastAsia" w:ascii="宋体" w:hAnsi="宋体"/>
          <w:sz w:val="22"/>
          <w:szCs w:val="22"/>
        </w:rPr>
        <w:t>注：未有规定格式的投标人自行编制相关表式和内容。</w:t>
      </w: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pStyle w:val="26"/>
        <w:adjustRightInd w:val="0"/>
        <w:snapToGrid w:val="0"/>
        <w:spacing w:line="360" w:lineRule="auto"/>
        <w:rPr>
          <w:rFonts w:hint="eastAsia" w:hAnsi="宋体"/>
          <w:sz w:val="28"/>
          <w:szCs w:val="28"/>
        </w:rPr>
      </w:pPr>
      <w:r>
        <w:rPr>
          <w:rFonts w:hint="eastAsia" w:hAnsi="宋体"/>
          <w:sz w:val="28"/>
          <w:szCs w:val="28"/>
        </w:rPr>
        <w:t>（</w:t>
      </w:r>
      <w:r>
        <w:rPr>
          <w:rFonts w:hint="eastAsia" w:hAnsi="宋体"/>
          <w:sz w:val="22"/>
          <w:szCs w:val="22"/>
        </w:rPr>
        <w:t>投标文件封面</w:t>
      </w:r>
      <w:r>
        <w:rPr>
          <w:rFonts w:hint="eastAsia" w:hAnsi="宋体"/>
          <w:sz w:val="22"/>
          <w:szCs w:val="22"/>
          <w:lang w:eastAsia="zh-CN"/>
        </w:rPr>
        <w:t>格</w:t>
      </w:r>
      <w:r>
        <w:rPr>
          <w:rFonts w:hint="eastAsia" w:hAnsi="宋体"/>
          <w:sz w:val="22"/>
          <w:szCs w:val="22"/>
        </w:rPr>
        <w:t>式</w:t>
      </w:r>
      <w:r>
        <w:rPr>
          <w:rFonts w:hint="eastAsia" w:hAnsi="宋体"/>
          <w:sz w:val="28"/>
          <w:szCs w:val="28"/>
        </w:rPr>
        <w:t>）</w:t>
      </w:r>
    </w:p>
    <w:p>
      <w:pPr>
        <w:pStyle w:val="26"/>
        <w:adjustRightInd w:val="0"/>
        <w:snapToGrid w:val="0"/>
        <w:spacing w:line="360" w:lineRule="auto"/>
        <w:rPr>
          <w:rFonts w:hint="eastAsia" w:hAnsi="宋体"/>
          <w:sz w:val="36"/>
        </w:rPr>
      </w:pPr>
    </w:p>
    <w:p>
      <w:pPr>
        <w:spacing w:before="31" w:beforeLines="10" w:line="360" w:lineRule="auto"/>
        <w:jc w:val="center"/>
        <w:rPr>
          <w:rFonts w:hint="eastAsia" w:ascii="宋体" w:hAnsi="宋体" w:cs="Arial"/>
          <w:b/>
          <w:sz w:val="32"/>
          <w:szCs w:val="32"/>
        </w:rPr>
      </w:pPr>
      <w:r>
        <w:rPr>
          <w:rFonts w:hint="eastAsia" w:ascii="宋体" w:hAnsi="宋体"/>
          <w:b/>
          <w:sz w:val="32"/>
          <w:szCs w:val="32"/>
        </w:rPr>
        <w:t>镇海区全区社会治安视频监控系统（2021年度）统筹运维服务项目</w:t>
      </w:r>
    </w:p>
    <w:p>
      <w:pPr>
        <w:spacing w:before="31" w:beforeLines="10" w:line="360" w:lineRule="auto"/>
        <w:jc w:val="center"/>
        <w:rPr>
          <w:rFonts w:hint="eastAsia" w:ascii="宋体" w:hAnsi="宋体" w:cs="Arial"/>
          <w:b/>
          <w:sz w:val="36"/>
          <w:szCs w:val="36"/>
        </w:rPr>
      </w:pPr>
    </w:p>
    <w:p>
      <w:pPr>
        <w:spacing w:before="31" w:beforeLines="10" w:line="360" w:lineRule="auto"/>
        <w:jc w:val="center"/>
        <w:rPr>
          <w:rFonts w:hint="eastAsia" w:ascii="宋体" w:hAnsi="宋体" w:cs="Arial"/>
          <w:b/>
          <w:sz w:val="32"/>
          <w:szCs w:val="32"/>
        </w:rPr>
      </w:pPr>
      <w:r>
        <w:rPr>
          <w:rFonts w:hint="eastAsia" w:ascii="宋体" w:hAnsi="宋体" w:cs="Arial"/>
          <w:b/>
          <w:sz w:val="32"/>
          <w:szCs w:val="32"/>
        </w:rPr>
        <w:t>采购编号：</w:t>
      </w:r>
      <w:r>
        <w:rPr>
          <w:rFonts w:ascii="宋体" w:hAnsi="宋体"/>
          <w:b/>
          <w:kern w:val="0"/>
          <w:sz w:val="32"/>
          <w:szCs w:val="32"/>
          <w:lang w:val="zh-CN"/>
        </w:rPr>
        <w:t>GTCG2020048</w:t>
      </w:r>
    </w:p>
    <w:p>
      <w:pPr>
        <w:pStyle w:val="26"/>
        <w:adjustRightInd w:val="0"/>
        <w:snapToGrid w:val="0"/>
        <w:spacing w:line="360" w:lineRule="auto"/>
        <w:ind w:firstLine="640" w:firstLineChars="200"/>
        <w:rPr>
          <w:rFonts w:hint="eastAsia" w:ascii="黑体" w:eastAsia="黑体"/>
          <w:sz w:val="32"/>
        </w:rPr>
      </w:pPr>
    </w:p>
    <w:p>
      <w:pPr>
        <w:pStyle w:val="26"/>
        <w:adjustRightInd w:val="0"/>
        <w:snapToGrid w:val="0"/>
        <w:spacing w:line="360" w:lineRule="auto"/>
        <w:ind w:firstLine="640" w:firstLineChars="200"/>
        <w:rPr>
          <w:rFonts w:hint="eastAsia" w:ascii="黑体" w:eastAsia="黑体"/>
          <w:sz w:val="32"/>
        </w:rPr>
      </w:pPr>
    </w:p>
    <w:p>
      <w:pPr>
        <w:pStyle w:val="26"/>
        <w:adjustRightInd w:val="0"/>
        <w:snapToGrid w:val="0"/>
        <w:spacing w:line="360" w:lineRule="auto"/>
        <w:ind w:firstLine="1680" w:firstLineChars="200"/>
        <w:rPr>
          <w:rFonts w:hint="eastAsia" w:hAnsi="宋体"/>
          <w:sz w:val="84"/>
          <w:szCs w:val="84"/>
        </w:rPr>
      </w:pPr>
      <w:r>
        <w:rPr>
          <w:rFonts w:hint="eastAsia" w:hAnsi="宋体"/>
          <w:b/>
          <w:sz w:val="84"/>
          <w:szCs w:val="84"/>
        </w:rPr>
        <w:t>投 标 文 件</w:t>
      </w:r>
    </w:p>
    <w:p>
      <w:pPr>
        <w:pStyle w:val="26"/>
        <w:adjustRightInd w:val="0"/>
        <w:snapToGrid w:val="0"/>
        <w:spacing w:line="360" w:lineRule="auto"/>
        <w:ind w:firstLine="640" w:firstLineChars="200"/>
        <w:rPr>
          <w:rFonts w:hint="eastAsia" w:ascii="黑体" w:eastAsia="黑体"/>
          <w:sz w:val="32"/>
        </w:rPr>
      </w:pPr>
    </w:p>
    <w:p>
      <w:pPr>
        <w:pStyle w:val="26"/>
        <w:adjustRightInd w:val="0"/>
        <w:snapToGrid w:val="0"/>
        <w:spacing w:line="360" w:lineRule="auto"/>
        <w:ind w:firstLine="640" w:firstLineChars="200"/>
        <w:rPr>
          <w:rFonts w:hint="eastAsia" w:ascii="黑体" w:eastAsia="黑体"/>
          <w:sz w:val="32"/>
        </w:rPr>
      </w:pPr>
    </w:p>
    <w:p>
      <w:pPr>
        <w:pStyle w:val="26"/>
        <w:adjustRightInd w:val="0"/>
        <w:snapToGrid w:val="0"/>
        <w:spacing w:line="360" w:lineRule="auto"/>
        <w:ind w:firstLine="640" w:firstLineChars="200"/>
        <w:rPr>
          <w:rFonts w:hint="eastAsia" w:ascii="黑体" w:eastAsia="黑体"/>
          <w:sz w:val="32"/>
        </w:rPr>
      </w:pPr>
    </w:p>
    <w:p>
      <w:pPr>
        <w:spacing w:line="700" w:lineRule="exact"/>
        <w:rPr>
          <w:rFonts w:hint="eastAsia" w:ascii="宋体"/>
          <w:b/>
          <w:sz w:val="28"/>
          <w:szCs w:val="28"/>
        </w:rPr>
      </w:pPr>
      <w:bookmarkStart w:id="105" w:name="_Toc335895417"/>
      <w:r>
        <w:rPr>
          <w:rFonts w:hint="eastAsia" w:ascii="宋体"/>
          <w:sz w:val="28"/>
          <w:szCs w:val="28"/>
        </w:rPr>
        <w:t>投标文件内容：</w:t>
      </w:r>
      <w:r>
        <w:rPr>
          <w:rFonts w:hint="eastAsia" w:ascii="宋体"/>
          <w:b/>
          <w:sz w:val="28"/>
          <w:szCs w:val="28"/>
          <w:u w:val="single"/>
        </w:rPr>
        <w:t>（</w:t>
      </w:r>
      <w:r>
        <w:rPr>
          <w:rFonts w:hint="eastAsia" w:ascii="宋体" w:hAnsi="宋体"/>
          <w:b/>
          <w:sz w:val="28"/>
          <w:szCs w:val="28"/>
          <w:u w:val="single"/>
        </w:rPr>
        <w:t>资信商务文件或技术文件或报价文件</w:t>
      </w:r>
      <w:r>
        <w:rPr>
          <w:rFonts w:hint="eastAsia" w:ascii="宋体"/>
          <w:b/>
          <w:sz w:val="28"/>
          <w:szCs w:val="28"/>
          <w:u w:val="single"/>
        </w:rPr>
        <w:t>）</w:t>
      </w:r>
      <w:r>
        <w:rPr>
          <w:rFonts w:hint="eastAsia" w:ascii="宋体" w:hAnsi="宋体"/>
          <w:b/>
          <w:sz w:val="28"/>
          <w:szCs w:val="28"/>
          <w:u w:val="single"/>
        </w:rPr>
        <w:t xml:space="preserve"> </w:t>
      </w:r>
    </w:p>
    <w:p>
      <w:pPr>
        <w:spacing w:line="700" w:lineRule="exact"/>
        <w:rPr>
          <w:rFonts w:hint="eastAsia" w:ascii="宋体"/>
          <w:b/>
          <w:sz w:val="28"/>
          <w:szCs w:val="28"/>
          <w:u w:val="single"/>
        </w:rPr>
      </w:pPr>
      <w:r>
        <w:rPr>
          <w:rFonts w:hint="eastAsia" w:ascii="宋体"/>
          <w:sz w:val="28"/>
          <w:szCs w:val="28"/>
        </w:rPr>
        <w:t>投标人：</w:t>
      </w:r>
      <w:r>
        <w:rPr>
          <w:rFonts w:hint="eastAsia" w:ascii="宋体"/>
          <w:b/>
          <w:sz w:val="28"/>
          <w:szCs w:val="28"/>
          <w:u w:val="single"/>
        </w:rPr>
        <w:t xml:space="preserve">                              </w:t>
      </w:r>
      <w:r>
        <w:rPr>
          <w:rFonts w:hint="eastAsia" w:ascii="宋体"/>
          <w:sz w:val="28"/>
          <w:szCs w:val="28"/>
          <w:u w:val="single"/>
        </w:rPr>
        <w:t xml:space="preserve">(盖章)       </w:t>
      </w:r>
    </w:p>
    <w:p>
      <w:pPr>
        <w:spacing w:line="700" w:lineRule="exact"/>
        <w:rPr>
          <w:rFonts w:hint="eastAsia" w:ascii="宋体"/>
          <w:sz w:val="28"/>
          <w:szCs w:val="28"/>
          <w:u w:val="single"/>
        </w:rPr>
      </w:pPr>
      <w:r>
        <w:rPr>
          <w:rFonts w:hint="eastAsia" w:ascii="宋体"/>
          <w:sz w:val="28"/>
          <w:szCs w:val="28"/>
        </w:rPr>
        <w:t>法定代表人或其委托代理人：</w:t>
      </w:r>
      <w:r>
        <w:rPr>
          <w:rFonts w:hint="eastAsia" w:ascii="宋体"/>
          <w:sz w:val="28"/>
          <w:szCs w:val="28"/>
          <w:u w:val="single"/>
        </w:rPr>
        <w:t xml:space="preserve">     (签字或盖章)        </w:t>
      </w:r>
    </w:p>
    <w:p>
      <w:pPr>
        <w:spacing w:line="700" w:lineRule="exact"/>
        <w:rPr>
          <w:rFonts w:hint="eastAsia" w:ascii="宋体"/>
          <w:sz w:val="28"/>
          <w:szCs w:val="28"/>
        </w:rPr>
      </w:pPr>
      <w:r>
        <w:rPr>
          <w:rFonts w:hint="eastAsia" w:ascii="宋体"/>
          <w:sz w:val="28"/>
          <w:szCs w:val="28"/>
        </w:rPr>
        <w:t>日期：</w:t>
      </w:r>
      <w:r>
        <w:rPr>
          <w:rFonts w:hint="eastAsia" w:ascii="宋体"/>
          <w:sz w:val="28"/>
          <w:szCs w:val="28"/>
          <w:u w:val="single"/>
        </w:rPr>
        <w:t xml:space="preserve">             </w:t>
      </w:r>
      <w:r>
        <w:rPr>
          <w:rFonts w:hint="eastAsia" w:ascii="宋体"/>
          <w:sz w:val="28"/>
          <w:szCs w:val="28"/>
        </w:rPr>
        <w:t>年</w:t>
      </w:r>
      <w:r>
        <w:rPr>
          <w:rFonts w:hint="eastAsia" w:ascii="宋体"/>
          <w:sz w:val="28"/>
          <w:szCs w:val="28"/>
          <w:u w:val="single"/>
        </w:rPr>
        <w:t xml:space="preserve">             </w:t>
      </w:r>
      <w:r>
        <w:rPr>
          <w:rFonts w:hint="eastAsia" w:ascii="宋体"/>
          <w:sz w:val="28"/>
          <w:szCs w:val="28"/>
        </w:rPr>
        <w:t>月</w:t>
      </w:r>
      <w:r>
        <w:rPr>
          <w:rFonts w:hint="eastAsia" w:ascii="宋体"/>
          <w:sz w:val="28"/>
          <w:szCs w:val="28"/>
          <w:u w:val="single"/>
        </w:rPr>
        <w:t xml:space="preserve">              </w:t>
      </w:r>
      <w:r>
        <w:rPr>
          <w:rFonts w:hint="eastAsia" w:ascii="宋体"/>
          <w:sz w:val="28"/>
          <w:szCs w:val="28"/>
        </w:rPr>
        <w:t>日</w:t>
      </w:r>
    </w:p>
    <w:p>
      <w:pPr>
        <w:jc w:val="center"/>
        <w:rPr>
          <w:rFonts w:hint="eastAsia" w:ascii="宋体" w:hAnsi="宋体"/>
          <w:b/>
          <w:sz w:val="28"/>
          <w:szCs w:val="28"/>
        </w:rPr>
      </w:pPr>
      <w:r>
        <w:rPr>
          <w:rFonts w:hint="eastAsia" w:ascii="黑体" w:eastAsia="黑体"/>
          <w:sz w:val="24"/>
        </w:rPr>
        <w:br w:type="page"/>
      </w:r>
      <w:r>
        <w:rPr>
          <w:rFonts w:hint="eastAsia" w:ascii="宋体" w:hAnsi="宋体"/>
          <w:b/>
          <w:sz w:val="28"/>
          <w:szCs w:val="28"/>
        </w:rPr>
        <w:t>投标声明书</w:t>
      </w:r>
    </w:p>
    <w:p>
      <w:pPr>
        <w:rPr>
          <w:rFonts w:hint="eastAsia" w:ascii="宋体" w:hAnsi="宋体"/>
          <w:b/>
        </w:rPr>
      </w:pPr>
    </w:p>
    <w:p>
      <w:pPr>
        <w:spacing w:line="360" w:lineRule="auto"/>
        <w:rPr>
          <w:rFonts w:hint="eastAsia" w:ascii="宋体" w:hAnsi="宋体"/>
          <w:b/>
          <w:sz w:val="22"/>
          <w:szCs w:val="22"/>
        </w:rPr>
      </w:pPr>
      <w:r>
        <w:rPr>
          <w:rFonts w:hint="eastAsia" w:ascii="宋体" w:hAnsi="宋体"/>
          <w:b/>
          <w:sz w:val="22"/>
          <w:szCs w:val="22"/>
        </w:rPr>
        <w:t>致：</w:t>
      </w:r>
      <w:r>
        <w:rPr>
          <w:rFonts w:hint="eastAsia" w:ascii="宋体" w:hAnsi="宋体"/>
          <w:b/>
          <w:sz w:val="22"/>
          <w:szCs w:val="22"/>
          <w:u w:val="single"/>
        </w:rPr>
        <w:t>宁波市公安局镇海分局</w:t>
      </w:r>
    </w:p>
    <w:p>
      <w:pPr>
        <w:snapToGrid w:val="0"/>
        <w:spacing w:before="156" w:beforeLines="50" w:line="360" w:lineRule="auto"/>
        <w:ind w:firstLine="444" w:firstLineChars="202"/>
        <w:rPr>
          <w:rFonts w:hint="eastAsia" w:ascii="宋体" w:hAnsi="宋体"/>
          <w:sz w:val="22"/>
          <w:szCs w:val="22"/>
        </w:rPr>
      </w:pPr>
      <w:r>
        <w:rPr>
          <w:rFonts w:hint="eastAsia" w:ascii="宋体" w:hAnsi="宋体"/>
          <w:sz w:val="22"/>
          <w:szCs w:val="22"/>
        </w:rPr>
        <w:t>关于贵单位</w:t>
      </w:r>
      <w:r>
        <w:rPr>
          <w:rFonts w:hint="eastAsia" w:ascii="宋体" w:hAnsi="宋体"/>
          <w:sz w:val="22"/>
          <w:szCs w:val="22"/>
          <w:u w:val="single"/>
        </w:rPr>
        <w:t xml:space="preserve">      </w:t>
      </w:r>
      <w:r>
        <w:rPr>
          <w:rFonts w:hint="eastAsia" w:ascii="宋体" w:hAnsi="宋体"/>
          <w:sz w:val="22"/>
          <w:szCs w:val="22"/>
        </w:rPr>
        <w:t>年</w:t>
      </w:r>
      <w:r>
        <w:rPr>
          <w:rFonts w:hint="eastAsia" w:ascii="宋体" w:hAnsi="宋体"/>
          <w:sz w:val="22"/>
          <w:szCs w:val="22"/>
          <w:u w:val="single"/>
        </w:rPr>
        <w:t>　　</w:t>
      </w:r>
      <w:r>
        <w:rPr>
          <w:rFonts w:hint="eastAsia" w:ascii="宋体" w:hAnsi="宋体"/>
          <w:sz w:val="22"/>
          <w:szCs w:val="22"/>
        </w:rPr>
        <w:t>月</w:t>
      </w:r>
      <w:r>
        <w:rPr>
          <w:rFonts w:hint="eastAsia" w:ascii="宋体" w:hAnsi="宋体"/>
          <w:sz w:val="22"/>
          <w:szCs w:val="22"/>
          <w:u w:val="single"/>
        </w:rPr>
        <w:t>　　</w:t>
      </w:r>
      <w:r>
        <w:rPr>
          <w:rFonts w:hint="eastAsia" w:ascii="宋体" w:hAnsi="宋体"/>
          <w:sz w:val="22"/>
          <w:szCs w:val="22"/>
        </w:rPr>
        <w:t>日发布</w:t>
      </w:r>
      <w:r>
        <w:rPr>
          <w:rFonts w:ascii="宋体" w:hAnsi="宋体"/>
          <w:sz w:val="22"/>
          <w:szCs w:val="22"/>
          <w:u w:val="single"/>
        </w:rPr>
        <w:t xml:space="preserve">  </w:t>
      </w:r>
      <w:r>
        <w:rPr>
          <w:rFonts w:hint="eastAsia" w:ascii="宋体" w:hAnsi="宋体"/>
          <w:kern w:val="28"/>
          <w:sz w:val="22"/>
          <w:szCs w:val="22"/>
          <w:u w:val="single"/>
        </w:rPr>
        <w:t>XXXXXXXXXXXXXXXXXXXXXXXXXXXX</w:t>
      </w:r>
      <w:r>
        <w:rPr>
          <w:rFonts w:ascii="宋体" w:hAnsi="宋体"/>
          <w:sz w:val="22"/>
          <w:szCs w:val="22"/>
          <w:u w:val="single"/>
        </w:rPr>
        <w:t xml:space="preserve">  </w:t>
      </w:r>
      <w:r>
        <w:rPr>
          <w:rFonts w:hint="eastAsia" w:ascii="宋体" w:hAnsi="宋体"/>
          <w:sz w:val="22"/>
          <w:szCs w:val="22"/>
        </w:rPr>
        <w:t>项目（采购编号：</w:t>
      </w:r>
      <w:r>
        <w:rPr>
          <w:rFonts w:hint="eastAsia" w:ascii="宋体" w:hAnsi="宋体"/>
          <w:sz w:val="22"/>
          <w:szCs w:val="22"/>
          <w:u w:val="single"/>
        </w:rPr>
        <w:t>　　   　</w:t>
      </w:r>
      <w:r>
        <w:rPr>
          <w:rFonts w:hint="eastAsia" w:ascii="宋体" w:hAnsi="宋体"/>
          <w:sz w:val="22"/>
          <w:szCs w:val="22"/>
        </w:rPr>
        <w:t>）的采购公告，本公司（企业）愿意参加投标，并声明：</w:t>
      </w:r>
    </w:p>
    <w:p>
      <w:pPr>
        <w:snapToGrid w:val="0"/>
        <w:spacing w:line="360" w:lineRule="auto"/>
        <w:ind w:firstLine="444" w:firstLineChars="202"/>
        <w:rPr>
          <w:rFonts w:hint="eastAsia" w:ascii="宋体" w:hAnsi="宋体"/>
          <w:sz w:val="22"/>
          <w:szCs w:val="22"/>
        </w:rPr>
      </w:pPr>
      <w:r>
        <w:rPr>
          <w:rFonts w:hint="eastAsia" w:ascii="宋体" w:hAnsi="宋体"/>
          <w:sz w:val="22"/>
          <w:szCs w:val="22"/>
        </w:rPr>
        <w:t>本公司（企业）具备</w:t>
      </w:r>
      <w:r>
        <w:rPr>
          <w:rFonts w:hint="eastAsia" w:ascii="宋体" w:hAnsi="宋体"/>
          <w:bCs/>
          <w:sz w:val="22"/>
          <w:szCs w:val="22"/>
        </w:rPr>
        <w:t>《中华人民共和国政府采购法》第二十二条资格条件，</w:t>
      </w:r>
      <w:r>
        <w:rPr>
          <w:rFonts w:hint="eastAsia" w:ascii="宋体" w:hAnsi="宋体"/>
          <w:sz w:val="22"/>
          <w:szCs w:val="22"/>
        </w:rPr>
        <w:t>并已清楚采购文件的要求及有关文件规定。</w:t>
      </w:r>
    </w:p>
    <w:p>
      <w:pPr>
        <w:spacing w:line="360" w:lineRule="auto"/>
        <w:ind w:firstLine="440" w:firstLineChars="200"/>
        <w:rPr>
          <w:rFonts w:hint="eastAsia" w:ascii="宋体" w:hAnsi="宋体" w:cs="宋体"/>
          <w:sz w:val="22"/>
          <w:szCs w:val="22"/>
        </w:rPr>
      </w:pPr>
      <w:r>
        <w:rPr>
          <w:rFonts w:hint="eastAsia" w:ascii="宋体" w:hAnsi="宋体"/>
          <w:sz w:val="22"/>
          <w:szCs w:val="22"/>
        </w:rPr>
        <w:t>本公司（企业）的法定代表人或单位负责人与所参投的本采购项目的其他供应商的法定代表人或单位负责人不为同一人且与其他供应商之间不存在直接控股、管理关系。</w:t>
      </w:r>
    </w:p>
    <w:p>
      <w:pPr>
        <w:snapToGrid w:val="0"/>
        <w:spacing w:line="360" w:lineRule="auto"/>
        <w:ind w:firstLine="440" w:firstLineChars="200"/>
        <w:rPr>
          <w:rFonts w:hint="eastAsia" w:ascii="宋体" w:hAnsi="宋体"/>
          <w:sz w:val="22"/>
          <w:szCs w:val="22"/>
        </w:rPr>
      </w:pPr>
      <w:r>
        <w:rPr>
          <w:rFonts w:hint="eastAsia" w:ascii="宋体" w:hAnsi="宋体"/>
          <w:sz w:val="22"/>
          <w:szCs w:val="22"/>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44" w:firstLineChars="202"/>
        <w:rPr>
          <w:rFonts w:hint="eastAsia" w:ascii="宋体" w:hAnsi="宋体"/>
          <w:sz w:val="22"/>
          <w:szCs w:val="22"/>
        </w:rPr>
      </w:pPr>
      <w:r>
        <w:rPr>
          <w:rFonts w:hint="eastAsia" w:ascii="宋体" w:hAnsi="宋体"/>
          <w:b/>
          <w:sz w:val="22"/>
          <w:szCs w:val="22"/>
        </w:rPr>
        <w:t>本公司（企业）</w:t>
      </w:r>
      <w:r>
        <w:rPr>
          <w:rFonts w:ascii="宋体" w:hAnsi="宋体"/>
          <w:b/>
          <w:sz w:val="22"/>
          <w:szCs w:val="22"/>
        </w:rPr>
        <w:t>具有履行合同所必需的设备和专业技术能力</w:t>
      </w:r>
      <w:r>
        <w:rPr>
          <w:rFonts w:hint="eastAsia" w:ascii="宋体" w:hAnsi="宋体"/>
          <w:b/>
          <w:sz w:val="22"/>
          <w:szCs w:val="22"/>
        </w:rPr>
        <w:t>，且本公司（企业）参加政府采购活动前</w:t>
      </w:r>
      <w:r>
        <w:rPr>
          <w:rFonts w:ascii="宋体" w:hAnsi="宋体"/>
          <w:b/>
          <w:sz w:val="22"/>
          <w:szCs w:val="22"/>
        </w:rPr>
        <w:t>3</w:t>
      </w:r>
      <w:r>
        <w:rPr>
          <w:rFonts w:hint="eastAsia" w:ascii="宋体" w:hAnsi="宋体"/>
          <w:b/>
          <w:sz w:val="22"/>
          <w:szCs w:val="22"/>
        </w:rPr>
        <w:t>年内在经营活动中没有重大违法记录。</w:t>
      </w:r>
      <w:r>
        <w:rPr>
          <w:rFonts w:hint="eastAsia" w:ascii="宋体" w:hAnsi="宋体"/>
          <w:sz w:val="22"/>
          <w:szCs w:val="22"/>
        </w:rPr>
        <w:t>否则，由此所造成的损失、不良后果及法律责任，一律由我公司（企业）承担。</w:t>
      </w:r>
    </w:p>
    <w:p>
      <w:pPr>
        <w:snapToGrid w:val="0"/>
        <w:spacing w:line="360" w:lineRule="auto"/>
        <w:ind w:firstLine="444" w:firstLineChars="202"/>
        <w:rPr>
          <w:rFonts w:hint="eastAsia" w:ascii="宋体" w:hAnsi="宋体"/>
          <w:b/>
          <w:bCs/>
          <w:sz w:val="22"/>
          <w:szCs w:val="22"/>
        </w:rPr>
      </w:pPr>
      <w:r>
        <w:rPr>
          <w:rFonts w:hint="eastAsia" w:ascii="宋体" w:hAnsi="宋体"/>
          <w:b/>
          <w:bCs/>
          <w:sz w:val="22"/>
          <w:szCs w:val="22"/>
        </w:rPr>
        <w:t>本公司（企业）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否则，由此所造成的损失、不良后果及法律责任，一律由我公司（企业）承担。</w:t>
      </w:r>
    </w:p>
    <w:p>
      <w:pPr>
        <w:snapToGrid w:val="0"/>
        <w:spacing w:line="360" w:lineRule="auto"/>
        <w:ind w:firstLine="444" w:firstLineChars="202"/>
        <w:rPr>
          <w:rFonts w:hint="eastAsia" w:ascii="宋体" w:hAnsi="宋体"/>
          <w:sz w:val="22"/>
          <w:szCs w:val="22"/>
        </w:rPr>
      </w:pPr>
      <w:r>
        <w:rPr>
          <w:rFonts w:hint="eastAsia" w:ascii="宋体" w:hAnsi="宋体"/>
          <w:sz w:val="22"/>
          <w:szCs w:val="22"/>
        </w:rPr>
        <w:t>本次招标采购活动中，如有违法、违规、弄虚作假行为，所造成的损失、不良后果及法律责任，一律由我公司（企业）承担。</w:t>
      </w:r>
    </w:p>
    <w:p>
      <w:pPr>
        <w:spacing w:line="360" w:lineRule="auto"/>
        <w:ind w:firstLine="420"/>
        <w:rPr>
          <w:rFonts w:hint="eastAsia" w:ascii="宋体" w:hAnsi="宋体"/>
          <w:b/>
          <w:sz w:val="22"/>
          <w:szCs w:val="22"/>
        </w:rPr>
      </w:pPr>
      <w:r>
        <w:rPr>
          <w:rFonts w:hint="eastAsia" w:ascii="宋体" w:hAnsi="宋体"/>
          <w:b/>
          <w:sz w:val="22"/>
          <w:szCs w:val="22"/>
        </w:rPr>
        <w:t>特此声明！</w:t>
      </w:r>
    </w:p>
    <w:p>
      <w:pPr>
        <w:adjustRightInd w:val="0"/>
        <w:snapToGrid w:val="0"/>
        <w:spacing w:line="360" w:lineRule="auto"/>
        <w:ind w:left="425"/>
        <w:rPr>
          <w:rFonts w:hint="eastAsia" w:ascii="宋体" w:hAnsi="宋体"/>
          <w:spacing w:val="4"/>
          <w:sz w:val="22"/>
          <w:szCs w:val="22"/>
        </w:rPr>
      </w:pPr>
    </w:p>
    <w:p>
      <w:pPr>
        <w:spacing w:line="360" w:lineRule="auto"/>
        <w:ind w:right="40"/>
        <w:jc w:val="right"/>
        <w:rPr>
          <w:rFonts w:hint="eastAsia" w:ascii="宋体" w:hAnsi="宋体"/>
          <w:sz w:val="22"/>
          <w:szCs w:val="22"/>
        </w:rPr>
      </w:pPr>
      <w:r>
        <w:rPr>
          <w:rFonts w:hint="eastAsia" w:ascii="宋体" w:hAnsi="宋体"/>
          <w:sz w:val="22"/>
          <w:szCs w:val="22"/>
        </w:rPr>
        <w:t>投标人：</w:t>
      </w:r>
      <w:r>
        <w:rPr>
          <w:rFonts w:hint="eastAsia" w:ascii="宋体" w:hAnsi="宋体"/>
          <w:sz w:val="22"/>
          <w:szCs w:val="22"/>
          <w:u w:val="single"/>
        </w:rPr>
        <w:t>（盖章）</w:t>
      </w:r>
    </w:p>
    <w:p>
      <w:pPr>
        <w:spacing w:line="360" w:lineRule="auto"/>
        <w:ind w:right="40"/>
        <w:jc w:val="right"/>
        <w:rPr>
          <w:rFonts w:hint="eastAsia" w:ascii="宋体" w:hAnsi="宋体"/>
          <w:sz w:val="22"/>
          <w:szCs w:val="22"/>
        </w:rPr>
      </w:pPr>
      <w:r>
        <w:rPr>
          <w:rFonts w:hint="eastAsia" w:ascii="宋体" w:hAnsi="宋体"/>
          <w:sz w:val="22"/>
          <w:szCs w:val="22"/>
        </w:rPr>
        <w:t xml:space="preserve">法定代表人或其委托代理人： </w:t>
      </w:r>
      <w:r>
        <w:rPr>
          <w:rFonts w:hint="eastAsia" w:ascii="宋体" w:hAnsi="宋体"/>
          <w:sz w:val="22"/>
          <w:szCs w:val="22"/>
          <w:u w:val="single"/>
        </w:rPr>
        <w:t>（签字或盖章）</w:t>
      </w:r>
    </w:p>
    <w:p>
      <w:pPr>
        <w:spacing w:line="360" w:lineRule="auto"/>
        <w:ind w:right="180"/>
        <w:jc w:val="right"/>
        <w:rPr>
          <w:rFonts w:hint="eastAsia" w:ascii="宋体" w:hAnsi="宋体"/>
          <w:sz w:val="22"/>
          <w:szCs w:val="22"/>
        </w:rPr>
      </w:pPr>
      <w:r>
        <w:rPr>
          <w:rFonts w:hint="eastAsia" w:ascii="宋体" w:hAnsi="宋体"/>
          <w:sz w:val="22"/>
          <w:szCs w:val="22"/>
        </w:rPr>
        <w:t>日  期：　　年　　月　　日</w:t>
      </w: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jc w:val="center"/>
        <w:rPr>
          <w:rFonts w:hint="eastAsia"/>
          <w:b/>
          <w:sz w:val="32"/>
          <w:szCs w:val="32"/>
        </w:rPr>
      </w:pPr>
      <w:r>
        <w:rPr>
          <w:rFonts w:hint="eastAsia"/>
          <w:b/>
          <w:sz w:val="32"/>
          <w:szCs w:val="32"/>
        </w:rPr>
        <w:t>具备履行合同所需的设备和专业技术能力的声明</w:t>
      </w:r>
    </w:p>
    <w:p>
      <w:pPr>
        <w:rPr>
          <w:rFonts w:hint="eastAsia"/>
        </w:rPr>
      </w:pPr>
    </w:p>
    <w:p>
      <w:pPr>
        <w:spacing w:line="360" w:lineRule="auto"/>
        <w:rPr>
          <w:rFonts w:hint="eastAsia"/>
        </w:rPr>
      </w:pPr>
      <w:r>
        <w:rPr>
          <w:rFonts w:hint="eastAsia"/>
        </w:rPr>
        <w:t xml:space="preserve"> </w:t>
      </w:r>
    </w:p>
    <w:p>
      <w:pPr>
        <w:spacing w:line="360" w:lineRule="auto"/>
        <w:ind w:firstLine="440" w:firstLineChars="200"/>
        <w:rPr>
          <w:rFonts w:hint="eastAsia" w:ascii="宋体" w:hAnsi="宋体"/>
          <w:sz w:val="22"/>
          <w:szCs w:val="22"/>
        </w:rPr>
      </w:pPr>
      <w:r>
        <w:rPr>
          <w:rFonts w:hint="eastAsia" w:ascii="宋体" w:hAnsi="宋体"/>
          <w:sz w:val="22"/>
          <w:szCs w:val="22"/>
        </w:rPr>
        <w:t>我公司（单位）具备履行合同所需的设备和专业技术能力，具体情况介绍如下：</w:t>
      </w:r>
    </w:p>
    <w:p>
      <w:pPr>
        <w:spacing w:line="360" w:lineRule="auto"/>
        <w:rPr>
          <w:rFonts w:hint="eastAsia" w:ascii="宋体" w:hAnsi="宋体"/>
          <w:sz w:val="22"/>
          <w:szCs w:val="22"/>
        </w:rPr>
      </w:pPr>
      <w:r>
        <w:rPr>
          <w:rFonts w:hint="eastAsia" w:ascii="宋体" w:hAnsi="宋体"/>
          <w:sz w:val="22"/>
          <w:szCs w:val="22"/>
        </w:rPr>
        <w:t xml:space="preserve">        （内容包括：主要设备、专业技术人员、公司资质（格）等）                                          </w:t>
      </w:r>
    </w:p>
    <w:p>
      <w:pPr>
        <w:spacing w:line="360" w:lineRule="auto"/>
        <w:rPr>
          <w:rFonts w:hint="eastAsia" w:ascii="宋体" w:hAnsi="宋体"/>
          <w:sz w:val="22"/>
          <w:szCs w:val="22"/>
        </w:rPr>
      </w:pPr>
      <w:r>
        <w:rPr>
          <w:rFonts w:hint="eastAsia" w:ascii="宋体" w:hAnsi="宋体"/>
          <w:sz w:val="22"/>
          <w:szCs w:val="22"/>
        </w:rPr>
        <w:t xml:space="preserve">                                                                            </w:t>
      </w:r>
    </w:p>
    <w:p>
      <w:pPr>
        <w:spacing w:line="360" w:lineRule="auto"/>
        <w:rPr>
          <w:rFonts w:hint="eastAsia" w:ascii="宋体" w:hAnsi="宋体"/>
          <w:sz w:val="22"/>
          <w:szCs w:val="22"/>
        </w:rPr>
      </w:pPr>
      <w:r>
        <w:rPr>
          <w:rFonts w:ascii="宋体" w:hAnsi="宋体"/>
          <w:sz w:val="22"/>
          <w:szCs w:val="22"/>
        </w:rPr>
        <w:t>……</w:t>
      </w:r>
      <w:r>
        <w:rPr>
          <w:rFonts w:hint="eastAsia" w:ascii="宋体" w:hAnsi="宋体"/>
          <w:sz w:val="22"/>
          <w:szCs w:val="22"/>
        </w:rPr>
        <w:t>..</w:t>
      </w:r>
    </w:p>
    <w:p>
      <w:pPr>
        <w:spacing w:line="360" w:lineRule="auto"/>
        <w:rPr>
          <w:rFonts w:hint="eastAsia" w:ascii="宋体" w:hAnsi="宋体"/>
          <w:sz w:val="22"/>
          <w:szCs w:val="22"/>
        </w:rPr>
      </w:pPr>
      <w:r>
        <w:rPr>
          <w:rFonts w:hint="eastAsia" w:ascii="宋体" w:hAnsi="宋体"/>
          <w:sz w:val="22"/>
          <w:szCs w:val="22"/>
        </w:rPr>
        <w:t xml:space="preserve">     特此承诺。</w:t>
      </w:r>
    </w:p>
    <w:p>
      <w:pPr>
        <w:tabs>
          <w:tab w:val="left" w:pos="7480"/>
        </w:tabs>
        <w:autoSpaceDE w:val="0"/>
        <w:autoSpaceDN w:val="0"/>
        <w:adjustRightInd w:val="0"/>
        <w:spacing w:line="360" w:lineRule="exact"/>
        <w:rPr>
          <w:rFonts w:hint="eastAsia" w:ascii="宋体" w:hAnsi="宋体"/>
          <w:sz w:val="22"/>
          <w:szCs w:val="22"/>
        </w:rPr>
      </w:pPr>
    </w:p>
    <w:p>
      <w:pPr>
        <w:tabs>
          <w:tab w:val="left" w:pos="7480"/>
        </w:tabs>
        <w:autoSpaceDE w:val="0"/>
        <w:autoSpaceDN w:val="0"/>
        <w:adjustRightInd w:val="0"/>
        <w:spacing w:line="360" w:lineRule="exact"/>
        <w:rPr>
          <w:rFonts w:hint="eastAsia" w:ascii="宋体" w:hAnsi="宋体"/>
          <w:sz w:val="22"/>
          <w:szCs w:val="22"/>
        </w:rPr>
      </w:pPr>
    </w:p>
    <w:p>
      <w:pPr>
        <w:tabs>
          <w:tab w:val="left" w:pos="7480"/>
        </w:tabs>
        <w:autoSpaceDE w:val="0"/>
        <w:autoSpaceDN w:val="0"/>
        <w:adjustRightInd w:val="0"/>
        <w:spacing w:line="360" w:lineRule="exact"/>
        <w:rPr>
          <w:rFonts w:hint="eastAsia" w:ascii="宋体" w:hAnsi="宋体"/>
          <w:sz w:val="22"/>
          <w:szCs w:val="22"/>
        </w:rPr>
      </w:pPr>
    </w:p>
    <w:p>
      <w:pPr>
        <w:tabs>
          <w:tab w:val="left" w:pos="7480"/>
        </w:tabs>
        <w:autoSpaceDE w:val="0"/>
        <w:autoSpaceDN w:val="0"/>
        <w:adjustRightInd w:val="0"/>
        <w:spacing w:line="360" w:lineRule="exact"/>
        <w:rPr>
          <w:rFonts w:hint="eastAsia" w:ascii="宋体" w:hAnsi="宋体"/>
          <w:sz w:val="22"/>
          <w:szCs w:val="22"/>
        </w:rPr>
      </w:pPr>
    </w:p>
    <w:p>
      <w:pPr>
        <w:spacing w:line="360" w:lineRule="auto"/>
        <w:ind w:right="40"/>
        <w:jc w:val="right"/>
        <w:rPr>
          <w:rFonts w:hint="eastAsia" w:ascii="宋体" w:hAnsi="宋体"/>
          <w:sz w:val="22"/>
          <w:szCs w:val="22"/>
        </w:rPr>
      </w:pPr>
      <w:r>
        <w:rPr>
          <w:rFonts w:hint="eastAsia" w:ascii="宋体" w:hAnsi="宋体"/>
          <w:sz w:val="22"/>
          <w:szCs w:val="22"/>
        </w:rPr>
        <w:t>投标人：</w:t>
      </w:r>
      <w:r>
        <w:rPr>
          <w:rFonts w:hint="eastAsia" w:ascii="宋体" w:hAnsi="宋体"/>
          <w:sz w:val="22"/>
          <w:szCs w:val="22"/>
          <w:u w:val="single"/>
        </w:rPr>
        <w:t>（盖章）</w:t>
      </w:r>
    </w:p>
    <w:p>
      <w:pPr>
        <w:spacing w:line="360" w:lineRule="auto"/>
        <w:ind w:right="40"/>
        <w:jc w:val="right"/>
        <w:rPr>
          <w:rFonts w:hint="eastAsia" w:ascii="宋体" w:hAnsi="宋体"/>
          <w:sz w:val="22"/>
          <w:szCs w:val="22"/>
        </w:rPr>
      </w:pPr>
      <w:r>
        <w:rPr>
          <w:rFonts w:hint="eastAsia" w:ascii="宋体" w:hAnsi="宋体"/>
          <w:sz w:val="22"/>
          <w:szCs w:val="22"/>
        </w:rPr>
        <w:t xml:space="preserve">法定代表人或其委托代理人： </w:t>
      </w:r>
      <w:r>
        <w:rPr>
          <w:rFonts w:hint="eastAsia" w:ascii="宋体" w:hAnsi="宋体"/>
          <w:sz w:val="22"/>
          <w:szCs w:val="22"/>
          <w:u w:val="single"/>
        </w:rPr>
        <w:t>（签字或盖章）</w:t>
      </w:r>
    </w:p>
    <w:p>
      <w:pPr>
        <w:spacing w:line="360" w:lineRule="auto"/>
        <w:ind w:right="180"/>
        <w:jc w:val="right"/>
        <w:rPr>
          <w:rFonts w:hint="eastAsia" w:ascii="宋体" w:hAnsi="宋体"/>
          <w:sz w:val="22"/>
          <w:szCs w:val="22"/>
        </w:rPr>
      </w:pPr>
      <w:r>
        <w:rPr>
          <w:rFonts w:hint="eastAsia" w:ascii="宋体" w:hAnsi="宋体"/>
          <w:sz w:val="22"/>
          <w:szCs w:val="22"/>
        </w:rPr>
        <w:t>日  期：　　年　　月　　日</w:t>
      </w: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r>
        <w:rPr>
          <w:rFonts w:ascii="黑体" w:eastAsia="黑体"/>
          <w:sz w:val="24"/>
        </w:rPr>
        <w:drawing>
          <wp:inline distT="0" distB="0" distL="114300" distR="114300">
            <wp:extent cx="5938520" cy="72739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tretch>
                      <a:fillRect/>
                    </a:stretch>
                  </pic:blipFill>
                  <pic:spPr>
                    <a:xfrm>
                      <a:off x="0" y="0"/>
                      <a:ext cx="5938520" cy="7273925"/>
                    </a:xfrm>
                    <a:prstGeom prst="rect">
                      <a:avLst/>
                    </a:prstGeom>
                    <a:noFill/>
                    <a:ln>
                      <a:noFill/>
                    </a:ln>
                  </pic:spPr>
                </pic:pic>
              </a:graphicData>
            </a:graphic>
          </wp:inline>
        </w:drawing>
      </w: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jc w:val="center"/>
        <w:rPr>
          <w:rFonts w:hint="eastAsia"/>
          <w:b/>
          <w:sz w:val="32"/>
          <w:szCs w:val="32"/>
        </w:rPr>
      </w:pPr>
      <w:r>
        <w:rPr>
          <w:rFonts w:hint="eastAsia"/>
          <w:b/>
          <w:sz w:val="32"/>
          <w:szCs w:val="32"/>
        </w:rPr>
        <w:t>近三年在政府采购活动中无重大违法记录的声明</w:t>
      </w:r>
    </w:p>
    <w:p>
      <w:pPr>
        <w:rPr>
          <w:rFonts w:hint="eastAsia"/>
        </w:rPr>
      </w:pPr>
    </w:p>
    <w:p>
      <w:pPr>
        <w:rPr>
          <w:rFonts w:hint="eastAsia"/>
        </w:rPr>
      </w:pPr>
    </w:p>
    <w:p>
      <w:pPr>
        <w:spacing w:line="360" w:lineRule="auto"/>
        <w:rPr>
          <w:rFonts w:hint="eastAsia"/>
          <w:sz w:val="22"/>
          <w:szCs w:val="22"/>
        </w:rPr>
      </w:pPr>
      <w:r>
        <w:rPr>
          <w:rFonts w:hint="eastAsia"/>
        </w:rPr>
        <w:t xml:space="preserve">    </w:t>
      </w:r>
      <w:r>
        <w:rPr>
          <w:rFonts w:hint="eastAsia"/>
          <w:sz w:val="22"/>
          <w:szCs w:val="22"/>
        </w:rPr>
        <w:t xml:space="preserve"> 参加本项目政府采购活动前三年内，在经营活动中没有重大违法记录，特此声明。</w:t>
      </w:r>
    </w:p>
    <w:p>
      <w:pPr>
        <w:spacing w:line="360" w:lineRule="auto"/>
        <w:rPr>
          <w:rFonts w:hint="eastAsia"/>
          <w:sz w:val="22"/>
          <w:szCs w:val="22"/>
        </w:rPr>
      </w:pPr>
    </w:p>
    <w:p>
      <w:pPr>
        <w:tabs>
          <w:tab w:val="left" w:pos="7480"/>
        </w:tabs>
        <w:autoSpaceDE w:val="0"/>
        <w:autoSpaceDN w:val="0"/>
        <w:adjustRightInd w:val="0"/>
        <w:spacing w:line="360" w:lineRule="exact"/>
        <w:rPr>
          <w:rFonts w:hint="eastAsia" w:ascii="黑体" w:eastAsia="黑体"/>
          <w:sz w:val="22"/>
          <w:szCs w:val="22"/>
        </w:rPr>
      </w:pPr>
    </w:p>
    <w:p>
      <w:pPr>
        <w:tabs>
          <w:tab w:val="left" w:pos="7480"/>
        </w:tabs>
        <w:autoSpaceDE w:val="0"/>
        <w:autoSpaceDN w:val="0"/>
        <w:adjustRightInd w:val="0"/>
        <w:spacing w:line="360" w:lineRule="exact"/>
        <w:rPr>
          <w:rFonts w:hint="eastAsia" w:ascii="黑体" w:eastAsia="黑体"/>
          <w:sz w:val="22"/>
          <w:szCs w:val="22"/>
        </w:rPr>
      </w:pPr>
    </w:p>
    <w:p>
      <w:pPr>
        <w:spacing w:line="360" w:lineRule="auto"/>
        <w:ind w:right="40"/>
        <w:jc w:val="right"/>
        <w:rPr>
          <w:rFonts w:hint="eastAsia" w:ascii="宋体" w:hAnsi="宋体"/>
          <w:sz w:val="22"/>
          <w:szCs w:val="22"/>
        </w:rPr>
      </w:pPr>
      <w:r>
        <w:rPr>
          <w:rFonts w:hint="eastAsia" w:ascii="宋体" w:hAnsi="宋体"/>
          <w:sz w:val="22"/>
          <w:szCs w:val="22"/>
        </w:rPr>
        <w:t>投标人：</w:t>
      </w:r>
      <w:r>
        <w:rPr>
          <w:rFonts w:hint="eastAsia" w:ascii="宋体" w:hAnsi="宋体"/>
          <w:sz w:val="22"/>
          <w:szCs w:val="22"/>
          <w:u w:val="single"/>
        </w:rPr>
        <w:t>（盖章）</w:t>
      </w:r>
    </w:p>
    <w:p>
      <w:pPr>
        <w:spacing w:line="360" w:lineRule="auto"/>
        <w:ind w:right="40"/>
        <w:jc w:val="right"/>
        <w:rPr>
          <w:rFonts w:hint="eastAsia" w:ascii="宋体" w:hAnsi="宋体"/>
          <w:sz w:val="22"/>
          <w:szCs w:val="22"/>
        </w:rPr>
      </w:pPr>
      <w:r>
        <w:rPr>
          <w:rFonts w:hint="eastAsia" w:ascii="宋体" w:hAnsi="宋体"/>
          <w:sz w:val="22"/>
          <w:szCs w:val="22"/>
        </w:rPr>
        <w:t xml:space="preserve">法定代表人或其委托代理人： </w:t>
      </w:r>
      <w:r>
        <w:rPr>
          <w:rFonts w:hint="eastAsia" w:ascii="宋体" w:hAnsi="宋体"/>
          <w:sz w:val="22"/>
          <w:szCs w:val="22"/>
          <w:u w:val="single"/>
        </w:rPr>
        <w:t>（签字或盖章）</w:t>
      </w:r>
    </w:p>
    <w:p>
      <w:pPr>
        <w:spacing w:line="360" w:lineRule="auto"/>
        <w:ind w:right="180"/>
        <w:jc w:val="right"/>
        <w:rPr>
          <w:rFonts w:hint="eastAsia" w:ascii="宋体" w:hAnsi="宋体"/>
          <w:sz w:val="22"/>
          <w:szCs w:val="22"/>
        </w:rPr>
      </w:pPr>
      <w:r>
        <w:rPr>
          <w:rFonts w:hint="eastAsia" w:ascii="宋体" w:hAnsi="宋体"/>
          <w:sz w:val="22"/>
          <w:szCs w:val="22"/>
        </w:rPr>
        <w:t>日  期：　　年　　月　　日</w:t>
      </w: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snapToGrid w:val="0"/>
        <w:spacing w:before="156" w:beforeLines="50" w:after="50" w:line="360" w:lineRule="auto"/>
        <w:jc w:val="center"/>
        <w:rPr>
          <w:rFonts w:hint="eastAsia" w:ascii="宋体" w:hAnsi="宋体"/>
          <w:b/>
          <w:sz w:val="36"/>
          <w:szCs w:val="36"/>
        </w:rPr>
      </w:pPr>
      <w:r>
        <w:rPr>
          <w:rFonts w:hint="eastAsia" w:ascii="宋体" w:hAnsi="宋体"/>
          <w:b/>
          <w:sz w:val="36"/>
          <w:szCs w:val="36"/>
        </w:rPr>
        <w:t>法定代表人身份证明</w:t>
      </w:r>
    </w:p>
    <w:p>
      <w:pPr>
        <w:spacing w:line="360" w:lineRule="auto"/>
        <w:jc w:val="center"/>
        <w:rPr>
          <w:rFonts w:hint="eastAsia" w:ascii="宋体" w:hAnsi="宋体"/>
          <w:b/>
          <w:sz w:val="22"/>
          <w:szCs w:val="22"/>
        </w:rPr>
      </w:pPr>
      <w:r>
        <w:rPr>
          <w:rFonts w:hint="eastAsia" w:ascii="宋体" w:hAnsi="宋体"/>
          <w:bCs/>
          <w:sz w:val="22"/>
          <w:szCs w:val="22"/>
        </w:rPr>
        <w:t>（法定代表人不来投标的，此表不用）</w:t>
      </w:r>
    </w:p>
    <w:p>
      <w:pPr>
        <w:spacing w:line="360" w:lineRule="auto"/>
        <w:ind w:firstLine="440" w:firstLineChars="200"/>
        <w:rPr>
          <w:rFonts w:ascii="宋体" w:hAnsi="宋体"/>
          <w:sz w:val="22"/>
          <w:szCs w:val="22"/>
        </w:rPr>
      </w:pPr>
      <w:r>
        <w:rPr>
          <w:rFonts w:hint="eastAsia" w:ascii="宋体" w:hAnsi="宋体"/>
          <w:sz w:val="22"/>
          <w:szCs w:val="22"/>
        </w:rPr>
        <w:t>供应商名称：</w:t>
      </w:r>
      <w:r>
        <w:rPr>
          <w:rFonts w:hint="eastAsia" w:ascii="宋体" w:hAnsi="宋体"/>
          <w:sz w:val="22"/>
          <w:szCs w:val="22"/>
          <w:u w:val="single"/>
        </w:rPr>
        <w:t xml:space="preserve">                                        </w:t>
      </w:r>
    </w:p>
    <w:p>
      <w:pPr>
        <w:spacing w:line="360" w:lineRule="auto"/>
        <w:ind w:firstLine="440" w:firstLineChars="200"/>
        <w:rPr>
          <w:rFonts w:ascii="宋体" w:hAnsi="宋体"/>
          <w:sz w:val="22"/>
          <w:szCs w:val="22"/>
        </w:rPr>
      </w:pPr>
      <w:r>
        <w:rPr>
          <w:rFonts w:hint="eastAsia" w:ascii="宋体" w:hAnsi="宋体"/>
          <w:sz w:val="22"/>
          <w:szCs w:val="22"/>
        </w:rPr>
        <w:t>单位性质：</w:t>
      </w:r>
      <w:r>
        <w:rPr>
          <w:rFonts w:hint="eastAsia" w:ascii="宋体" w:hAnsi="宋体"/>
          <w:sz w:val="22"/>
          <w:szCs w:val="22"/>
          <w:u w:val="single"/>
        </w:rPr>
        <w:t xml:space="preserve">                                          </w:t>
      </w:r>
      <w:r>
        <w:rPr>
          <w:rFonts w:hint="eastAsia" w:ascii="宋体" w:hAnsi="宋体"/>
          <w:sz w:val="22"/>
          <w:szCs w:val="22"/>
        </w:rPr>
        <w:t xml:space="preserve"> </w:t>
      </w:r>
    </w:p>
    <w:p>
      <w:pPr>
        <w:spacing w:line="360" w:lineRule="auto"/>
        <w:ind w:firstLine="440" w:firstLineChars="200"/>
        <w:rPr>
          <w:rFonts w:ascii="宋体" w:hAnsi="宋体"/>
          <w:sz w:val="22"/>
          <w:szCs w:val="22"/>
        </w:rPr>
      </w:pPr>
      <w:r>
        <w:rPr>
          <w:rFonts w:hint="eastAsia" w:ascii="宋体" w:hAnsi="宋体"/>
          <w:sz w:val="22"/>
          <w:szCs w:val="22"/>
        </w:rPr>
        <w:t>地址：</w:t>
      </w:r>
      <w:r>
        <w:rPr>
          <w:rFonts w:hint="eastAsia" w:ascii="宋体" w:hAnsi="宋体"/>
          <w:sz w:val="22"/>
          <w:szCs w:val="22"/>
          <w:u w:val="single"/>
        </w:rPr>
        <w:t xml:space="preserve">                                              </w:t>
      </w:r>
    </w:p>
    <w:p>
      <w:pPr>
        <w:spacing w:line="360" w:lineRule="auto"/>
        <w:ind w:firstLine="440" w:firstLineChars="200"/>
        <w:rPr>
          <w:rFonts w:ascii="宋体" w:hAnsi="宋体"/>
          <w:sz w:val="22"/>
          <w:szCs w:val="22"/>
        </w:rPr>
      </w:pPr>
      <w:r>
        <w:rPr>
          <w:rFonts w:hint="eastAsia" w:ascii="宋体" w:hAnsi="宋体"/>
          <w:sz w:val="22"/>
          <w:szCs w:val="22"/>
        </w:rPr>
        <w:t>成立时间：</w:t>
      </w:r>
      <w:r>
        <w:rPr>
          <w:rFonts w:hint="eastAsia" w:ascii="宋体" w:hAnsi="宋体"/>
          <w:sz w:val="22"/>
          <w:szCs w:val="22"/>
          <w:u w:val="single"/>
        </w:rPr>
        <w:t xml:space="preserve">            </w:t>
      </w:r>
      <w:r>
        <w:rPr>
          <w:rFonts w:hint="eastAsia" w:ascii="宋体" w:hAnsi="宋体"/>
          <w:sz w:val="22"/>
          <w:szCs w:val="22"/>
        </w:rPr>
        <w:t>年</w:t>
      </w:r>
      <w:r>
        <w:rPr>
          <w:rFonts w:hint="eastAsia" w:ascii="宋体" w:hAnsi="宋体"/>
          <w:sz w:val="22"/>
          <w:szCs w:val="22"/>
          <w:u w:val="single"/>
        </w:rPr>
        <w:t xml:space="preserve">       </w:t>
      </w:r>
      <w:r>
        <w:rPr>
          <w:rFonts w:hint="eastAsia" w:ascii="宋体" w:hAnsi="宋体"/>
          <w:sz w:val="22"/>
          <w:szCs w:val="22"/>
        </w:rPr>
        <w:t>月</w:t>
      </w:r>
      <w:r>
        <w:rPr>
          <w:rFonts w:hint="eastAsia" w:ascii="宋体" w:hAnsi="宋体"/>
          <w:sz w:val="22"/>
          <w:szCs w:val="22"/>
          <w:u w:val="single"/>
        </w:rPr>
        <w:t xml:space="preserve">           </w:t>
      </w:r>
      <w:r>
        <w:rPr>
          <w:rFonts w:hint="eastAsia" w:ascii="宋体" w:hAnsi="宋体"/>
          <w:sz w:val="22"/>
          <w:szCs w:val="22"/>
        </w:rPr>
        <w:t>日</w:t>
      </w:r>
    </w:p>
    <w:p>
      <w:pPr>
        <w:spacing w:line="360" w:lineRule="auto"/>
        <w:ind w:firstLine="440" w:firstLineChars="200"/>
        <w:rPr>
          <w:rFonts w:ascii="宋体" w:hAnsi="宋体"/>
          <w:sz w:val="22"/>
          <w:szCs w:val="22"/>
        </w:rPr>
      </w:pPr>
      <w:r>
        <w:rPr>
          <w:rFonts w:hint="eastAsia" w:ascii="宋体" w:hAnsi="宋体"/>
          <w:sz w:val="22"/>
          <w:szCs w:val="22"/>
        </w:rPr>
        <w:t>经营期限：</w:t>
      </w:r>
      <w:r>
        <w:rPr>
          <w:rFonts w:hint="eastAsia" w:ascii="宋体" w:hAnsi="宋体"/>
          <w:sz w:val="22"/>
          <w:szCs w:val="22"/>
          <w:u w:val="single"/>
        </w:rPr>
        <w:t xml:space="preserve">                                    </w:t>
      </w:r>
      <w:r>
        <w:rPr>
          <w:rFonts w:hint="eastAsia" w:ascii="宋体" w:hAnsi="宋体"/>
          <w:sz w:val="22"/>
          <w:szCs w:val="22"/>
        </w:rPr>
        <w:t xml:space="preserve"> </w:t>
      </w:r>
    </w:p>
    <w:p>
      <w:pPr>
        <w:spacing w:line="360" w:lineRule="auto"/>
        <w:ind w:firstLine="440" w:firstLineChars="200"/>
        <w:rPr>
          <w:rFonts w:ascii="宋体" w:hAnsi="宋体"/>
          <w:sz w:val="22"/>
          <w:szCs w:val="22"/>
        </w:rPr>
      </w:pPr>
      <w:r>
        <w:rPr>
          <w:rFonts w:hint="eastAsia" w:ascii="宋体" w:hAnsi="宋体"/>
          <w:sz w:val="22"/>
          <w:szCs w:val="22"/>
        </w:rPr>
        <w:t>姓名：</w:t>
      </w:r>
      <w:r>
        <w:rPr>
          <w:rFonts w:hint="eastAsia" w:ascii="宋体" w:hAnsi="宋体"/>
          <w:sz w:val="22"/>
          <w:szCs w:val="22"/>
          <w:u w:val="single"/>
        </w:rPr>
        <w:t xml:space="preserve">       </w:t>
      </w:r>
      <w:r>
        <w:rPr>
          <w:rFonts w:hint="eastAsia" w:ascii="宋体" w:hAnsi="宋体"/>
          <w:sz w:val="22"/>
          <w:szCs w:val="22"/>
        </w:rPr>
        <w:t>性别：</w:t>
      </w:r>
      <w:r>
        <w:rPr>
          <w:rFonts w:hint="eastAsia" w:ascii="宋体" w:hAnsi="宋体"/>
          <w:sz w:val="22"/>
          <w:szCs w:val="22"/>
          <w:u w:val="single"/>
        </w:rPr>
        <w:t xml:space="preserve">       </w:t>
      </w:r>
      <w:r>
        <w:rPr>
          <w:rFonts w:hint="eastAsia" w:ascii="宋体" w:hAnsi="宋体"/>
          <w:sz w:val="22"/>
          <w:szCs w:val="22"/>
        </w:rPr>
        <w:t>年龄：</w:t>
      </w:r>
      <w:r>
        <w:rPr>
          <w:rFonts w:hint="eastAsia" w:ascii="宋体" w:hAnsi="宋体"/>
          <w:sz w:val="22"/>
          <w:szCs w:val="22"/>
          <w:u w:val="single"/>
        </w:rPr>
        <w:t xml:space="preserve">    周岁  </w:t>
      </w:r>
      <w:r>
        <w:rPr>
          <w:rFonts w:hint="eastAsia" w:ascii="宋体" w:hAnsi="宋体"/>
          <w:sz w:val="22"/>
          <w:szCs w:val="22"/>
        </w:rPr>
        <w:t>职务：</w:t>
      </w:r>
      <w:r>
        <w:rPr>
          <w:rFonts w:hint="eastAsia" w:ascii="宋体" w:hAnsi="宋体"/>
          <w:sz w:val="22"/>
          <w:szCs w:val="22"/>
          <w:u w:val="single"/>
        </w:rPr>
        <w:t xml:space="preserve">        </w:t>
      </w:r>
    </w:p>
    <w:p>
      <w:pPr>
        <w:spacing w:line="360" w:lineRule="auto"/>
        <w:ind w:firstLine="440" w:firstLineChars="200"/>
        <w:rPr>
          <w:rFonts w:ascii="宋体" w:hAnsi="宋体"/>
          <w:sz w:val="22"/>
          <w:szCs w:val="22"/>
          <w:u w:val="single"/>
        </w:rPr>
      </w:pPr>
      <w:r>
        <w:rPr>
          <w:rFonts w:hint="eastAsia" w:ascii="宋体" w:hAnsi="宋体"/>
          <w:sz w:val="22"/>
          <w:szCs w:val="22"/>
        </w:rPr>
        <w:t>身份证号码：</w:t>
      </w:r>
      <w:r>
        <w:rPr>
          <w:rFonts w:hint="eastAsia" w:ascii="宋体" w:hAnsi="宋体"/>
          <w:sz w:val="22"/>
          <w:szCs w:val="22"/>
          <w:u w:val="single"/>
        </w:rPr>
        <w:t xml:space="preserve">                             </w:t>
      </w:r>
    </w:p>
    <w:p>
      <w:pPr>
        <w:spacing w:line="360" w:lineRule="auto"/>
        <w:ind w:firstLine="440" w:firstLineChars="200"/>
        <w:rPr>
          <w:rFonts w:ascii="宋体" w:hAnsi="宋体"/>
          <w:sz w:val="22"/>
          <w:szCs w:val="22"/>
        </w:rPr>
      </w:pPr>
      <w:r>
        <w:rPr>
          <w:rFonts w:hint="eastAsia" w:ascii="宋体" w:hAnsi="宋体"/>
          <w:sz w:val="22"/>
          <w:szCs w:val="22"/>
        </w:rPr>
        <w:t>系</w:t>
      </w:r>
      <w:r>
        <w:rPr>
          <w:rFonts w:hint="eastAsia" w:ascii="宋体" w:hAnsi="宋体"/>
          <w:sz w:val="22"/>
          <w:szCs w:val="22"/>
          <w:u w:val="single"/>
        </w:rPr>
        <w:t xml:space="preserve">                                      </w:t>
      </w:r>
      <w:r>
        <w:rPr>
          <w:rFonts w:hint="eastAsia" w:ascii="宋体" w:hAnsi="宋体"/>
          <w:sz w:val="22"/>
          <w:szCs w:val="22"/>
        </w:rPr>
        <w:t>（供应商名称）的法定代表人。</w:t>
      </w:r>
    </w:p>
    <w:p>
      <w:pPr>
        <w:spacing w:line="360" w:lineRule="auto"/>
        <w:ind w:firstLine="880" w:firstLineChars="400"/>
        <w:rPr>
          <w:rFonts w:hint="eastAsia" w:ascii="宋体" w:hAnsi="宋体"/>
          <w:sz w:val="22"/>
          <w:szCs w:val="22"/>
        </w:rPr>
      </w:pPr>
    </w:p>
    <w:p>
      <w:pPr>
        <w:spacing w:line="360" w:lineRule="auto"/>
        <w:ind w:firstLine="880" w:firstLineChars="400"/>
        <w:rPr>
          <w:rFonts w:ascii="宋体" w:hAnsi="宋体"/>
          <w:sz w:val="22"/>
          <w:szCs w:val="22"/>
        </w:rPr>
      </w:pPr>
      <w:r>
        <w:rPr>
          <w:rFonts w:hint="eastAsia" w:ascii="宋体" w:hAnsi="宋体"/>
          <w:sz w:val="22"/>
          <w:szCs w:val="22"/>
        </w:rPr>
        <w:t>特此证明。</w:t>
      </w:r>
    </w:p>
    <w:p>
      <w:pPr>
        <w:spacing w:line="360" w:lineRule="auto"/>
        <w:ind w:firstLine="440" w:firstLineChars="200"/>
        <w:rPr>
          <w:rFonts w:ascii="宋体" w:hAnsi="宋体"/>
          <w:sz w:val="22"/>
          <w:szCs w:val="22"/>
        </w:rPr>
      </w:pPr>
    </w:p>
    <w:p>
      <w:pPr>
        <w:spacing w:line="360" w:lineRule="auto"/>
        <w:ind w:firstLine="440" w:firstLineChars="200"/>
        <w:rPr>
          <w:rFonts w:ascii="宋体" w:hAnsi="宋体"/>
          <w:sz w:val="22"/>
          <w:szCs w:val="22"/>
        </w:rPr>
      </w:pPr>
    </w:p>
    <w:p>
      <w:pPr>
        <w:spacing w:line="360" w:lineRule="auto"/>
        <w:ind w:right="40"/>
        <w:jc w:val="right"/>
        <w:rPr>
          <w:rFonts w:hint="eastAsia" w:ascii="宋体" w:hAnsi="宋体"/>
          <w:sz w:val="22"/>
          <w:szCs w:val="22"/>
        </w:rPr>
      </w:pPr>
      <w:r>
        <w:rPr>
          <w:rFonts w:hint="eastAsia" w:ascii="宋体" w:hAnsi="宋体"/>
          <w:sz w:val="22"/>
          <w:szCs w:val="22"/>
        </w:rPr>
        <w:t>投标人：</w:t>
      </w:r>
      <w:r>
        <w:rPr>
          <w:rFonts w:hint="eastAsia" w:ascii="宋体" w:hAnsi="宋体"/>
          <w:sz w:val="22"/>
          <w:szCs w:val="22"/>
          <w:u w:val="single"/>
        </w:rPr>
        <w:t>（盖章）</w:t>
      </w:r>
    </w:p>
    <w:p>
      <w:pPr>
        <w:spacing w:line="360" w:lineRule="auto"/>
        <w:ind w:right="180"/>
        <w:jc w:val="right"/>
        <w:rPr>
          <w:rFonts w:hint="eastAsia" w:ascii="宋体" w:hAnsi="宋体"/>
          <w:sz w:val="22"/>
          <w:szCs w:val="22"/>
        </w:rPr>
      </w:pPr>
      <w:r>
        <w:rPr>
          <w:rFonts w:hint="eastAsia" w:ascii="宋体" w:hAnsi="宋体"/>
          <w:sz w:val="22"/>
          <w:szCs w:val="22"/>
        </w:rPr>
        <w:t>日  期：　　年　　月　　日</w:t>
      </w:r>
    </w:p>
    <w:p>
      <w:pPr>
        <w:spacing w:line="360" w:lineRule="auto"/>
        <w:rPr>
          <w:rFonts w:ascii="宋体" w:hAnsi="宋体"/>
          <w:sz w:val="22"/>
          <w:szCs w:val="22"/>
        </w:rPr>
      </w:pPr>
    </w:p>
    <w:p>
      <w:pPr>
        <w:spacing w:line="360" w:lineRule="auto"/>
        <w:rPr>
          <w:rFonts w:hint="eastAsia" w:ascii="宋体" w:hAnsi="宋体"/>
          <w:b/>
          <w:sz w:val="22"/>
          <w:szCs w:val="22"/>
        </w:rPr>
      </w:pPr>
    </w:p>
    <w:p>
      <w:pPr>
        <w:spacing w:line="360" w:lineRule="auto"/>
        <w:rPr>
          <w:rFonts w:hint="eastAsia" w:ascii="宋体" w:hAnsi="宋体"/>
          <w:b/>
          <w:sz w:val="22"/>
          <w:szCs w:val="22"/>
        </w:rPr>
      </w:pPr>
    </w:p>
    <w:p>
      <w:pPr>
        <w:spacing w:line="360" w:lineRule="auto"/>
        <w:rPr>
          <w:rFonts w:ascii="宋体" w:hAnsi="宋体"/>
          <w:b/>
          <w:sz w:val="22"/>
          <w:szCs w:val="22"/>
        </w:rPr>
      </w:pPr>
      <w:r>
        <w:rPr>
          <w:rFonts w:hint="eastAsia" w:ascii="宋体" w:hAnsi="宋体"/>
          <w:b/>
          <w:sz w:val="22"/>
          <w:szCs w:val="22"/>
        </w:rPr>
        <w:t>附法定代表人身份证复印件（正反面）：</w:t>
      </w:r>
    </w:p>
    <w:p>
      <w:pPr>
        <w:rPr>
          <w:rFonts w:ascii="宋体" w:hAnsi="宋体"/>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spacing w:line="360" w:lineRule="auto"/>
        <w:jc w:val="center"/>
        <w:rPr>
          <w:rFonts w:hint="eastAsia"/>
          <w:b/>
          <w:sz w:val="36"/>
          <w:szCs w:val="36"/>
        </w:rPr>
      </w:pPr>
      <w:r>
        <w:rPr>
          <w:b/>
          <w:bCs/>
          <w:sz w:val="28"/>
          <w:szCs w:val="28"/>
        </w:rPr>
        <w:br w:type="page"/>
      </w:r>
      <w:r>
        <w:rPr>
          <w:rFonts w:hint="eastAsia" w:ascii="宋体" w:hAnsi="宋体"/>
          <w:b/>
          <w:sz w:val="36"/>
          <w:szCs w:val="36"/>
        </w:rPr>
        <w:t>法定代表人授权委托书</w:t>
      </w:r>
    </w:p>
    <w:p>
      <w:pPr>
        <w:spacing w:line="360" w:lineRule="auto"/>
        <w:jc w:val="center"/>
        <w:rPr>
          <w:rFonts w:hint="eastAsia"/>
          <w:b/>
          <w:sz w:val="22"/>
          <w:szCs w:val="22"/>
        </w:rPr>
      </w:pPr>
      <w:r>
        <w:rPr>
          <w:rFonts w:hint="eastAsia" w:ascii="宋体" w:hAnsi="宋体"/>
          <w:bCs/>
          <w:sz w:val="22"/>
          <w:szCs w:val="22"/>
        </w:rPr>
        <w:t>（法定代表人来投标的，此表不用）</w:t>
      </w:r>
    </w:p>
    <w:p>
      <w:pPr>
        <w:snapToGrid w:val="0"/>
        <w:spacing w:line="360" w:lineRule="auto"/>
        <w:rPr>
          <w:rFonts w:hint="eastAsia" w:ascii="宋体" w:hAnsi="宋体"/>
          <w:bCs/>
          <w:sz w:val="22"/>
          <w:szCs w:val="22"/>
        </w:rPr>
      </w:pPr>
    </w:p>
    <w:p>
      <w:pPr>
        <w:snapToGrid w:val="0"/>
        <w:spacing w:line="360" w:lineRule="auto"/>
        <w:rPr>
          <w:rFonts w:hint="eastAsia" w:ascii="宋体" w:hAnsi="宋体"/>
          <w:sz w:val="22"/>
          <w:szCs w:val="22"/>
        </w:rPr>
      </w:pPr>
      <w:r>
        <w:rPr>
          <w:rFonts w:hint="eastAsia" w:ascii="宋体" w:hAnsi="宋体"/>
          <w:bCs/>
          <w:sz w:val="22"/>
          <w:szCs w:val="22"/>
        </w:rPr>
        <w:t>致：</w:t>
      </w:r>
      <w:r>
        <w:rPr>
          <w:rFonts w:hint="eastAsia" w:ascii="宋体" w:hAnsi="宋体"/>
          <w:sz w:val="22"/>
          <w:szCs w:val="22"/>
          <w:u w:val="single"/>
        </w:rPr>
        <w:t xml:space="preserve">              </w:t>
      </w:r>
      <w:r>
        <w:rPr>
          <w:rFonts w:hint="eastAsia" w:ascii="宋体" w:hAnsi="宋体"/>
          <w:sz w:val="22"/>
          <w:szCs w:val="22"/>
        </w:rPr>
        <w:t>（采购单位名称）</w:t>
      </w:r>
      <w:r>
        <w:rPr>
          <w:rFonts w:hint="eastAsia" w:ascii="宋体" w:hAnsi="宋体"/>
          <w:b/>
          <w:bCs/>
          <w:sz w:val="22"/>
          <w:szCs w:val="22"/>
        </w:rPr>
        <w:t xml:space="preserve"> </w:t>
      </w:r>
      <w:r>
        <w:rPr>
          <w:rFonts w:hint="eastAsia" w:ascii="宋体" w:hAnsi="宋体"/>
          <w:sz w:val="22"/>
          <w:szCs w:val="22"/>
        </w:rPr>
        <w:t>：</w:t>
      </w:r>
    </w:p>
    <w:p>
      <w:pPr>
        <w:snapToGrid w:val="0"/>
        <w:spacing w:line="360" w:lineRule="auto"/>
        <w:ind w:firstLine="440" w:firstLineChars="200"/>
        <w:rPr>
          <w:rFonts w:hint="eastAsia" w:ascii="宋体" w:hAnsi="宋体"/>
          <w:sz w:val="22"/>
          <w:szCs w:val="22"/>
          <w:u w:val="single"/>
        </w:rPr>
      </w:pPr>
      <w:r>
        <w:rPr>
          <w:rFonts w:hint="eastAsia" w:ascii="宋体" w:hAnsi="宋体"/>
          <w:sz w:val="22"/>
          <w:szCs w:val="22"/>
        </w:rPr>
        <w:t>我</w:t>
      </w:r>
      <w:r>
        <w:rPr>
          <w:rFonts w:hint="eastAsia" w:ascii="宋体" w:hAnsi="宋体"/>
          <w:sz w:val="22"/>
          <w:szCs w:val="22"/>
          <w:u w:val="single"/>
        </w:rPr>
        <w:t xml:space="preserve">          </w:t>
      </w:r>
      <w:r>
        <w:rPr>
          <w:rFonts w:hint="eastAsia" w:ascii="宋体" w:hAnsi="宋体"/>
          <w:sz w:val="22"/>
          <w:szCs w:val="22"/>
        </w:rPr>
        <w:t>（姓名）系</w:t>
      </w:r>
      <w:r>
        <w:rPr>
          <w:rFonts w:hint="eastAsia" w:ascii="宋体" w:hAnsi="宋体"/>
          <w:sz w:val="22"/>
          <w:szCs w:val="22"/>
          <w:u w:val="single"/>
        </w:rPr>
        <w:t xml:space="preserve">           </w:t>
      </w:r>
      <w:r>
        <w:rPr>
          <w:rFonts w:hint="eastAsia" w:ascii="宋体" w:hAnsi="宋体"/>
          <w:sz w:val="22"/>
          <w:szCs w:val="22"/>
        </w:rPr>
        <w:t xml:space="preserve">（供应商名称）的法定代表人，现授权委托本单位在职职工 </w:t>
      </w:r>
      <w:r>
        <w:rPr>
          <w:rFonts w:hint="eastAsia" w:ascii="宋体" w:hAnsi="宋体"/>
          <w:sz w:val="22"/>
          <w:szCs w:val="22"/>
          <w:u w:val="single"/>
        </w:rPr>
        <w:t xml:space="preserve">           </w:t>
      </w:r>
      <w:r>
        <w:rPr>
          <w:rFonts w:hint="eastAsia" w:ascii="宋体" w:hAnsi="宋体"/>
          <w:sz w:val="22"/>
          <w:szCs w:val="22"/>
        </w:rPr>
        <w:t>（姓名）以我方的名义参加</w:t>
      </w:r>
      <w:r>
        <w:rPr>
          <w:rFonts w:hint="eastAsia" w:ascii="宋体" w:hAnsi="宋体"/>
          <w:sz w:val="22"/>
          <w:szCs w:val="22"/>
          <w:u w:val="single"/>
        </w:rPr>
        <w:t xml:space="preserve">       （项目名称）           </w:t>
      </w:r>
      <w:r>
        <w:rPr>
          <w:rFonts w:hint="eastAsia" w:ascii="宋体" w:hAnsi="宋体"/>
          <w:sz w:val="22"/>
          <w:szCs w:val="22"/>
        </w:rPr>
        <w:t>的政府采购的投标活动，并代表我方全权办理针对上述项目的投标、开标、评标、签约等具体事务和签署相关文件。</w:t>
      </w:r>
    </w:p>
    <w:p>
      <w:pPr>
        <w:snapToGrid w:val="0"/>
        <w:spacing w:line="360" w:lineRule="auto"/>
        <w:ind w:firstLine="440" w:firstLineChars="200"/>
        <w:rPr>
          <w:rFonts w:hint="eastAsia" w:ascii="宋体" w:hAnsi="宋体"/>
          <w:sz w:val="22"/>
          <w:szCs w:val="22"/>
          <w:u w:val="single"/>
        </w:rPr>
      </w:pPr>
      <w:r>
        <w:rPr>
          <w:rFonts w:hint="eastAsia" w:ascii="宋体" w:hAnsi="宋体"/>
          <w:sz w:val="22"/>
          <w:szCs w:val="22"/>
        </w:rPr>
        <w:t>我方对被授权人的签名事项负全部责任。</w:t>
      </w:r>
    </w:p>
    <w:p>
      <w:pPr>
        <w:snapToGrid w:val="0"/>
        <w:spacing w:line="360" w:lineRule="auto"/>
        <w:ind w:firstLine="440" w:firstLineChars="200"/>
        <w:rPr>
          <w:rFonts w:hint="eastAsia" w:ascii="宋体" w:hAnsi="宋体"/>
          <w:sz w:val="22"/>
          <w:szCs w:val="22"/>
        </w:rPr>
      </w:pPr>
      <w:r>
        <w:rPr>
          <w:rFonts w:hint="eastAsia" w:ascii="宋体" w:hAnsi="宋体"/>
          <w:sz w:val="22"/>
          <w:szCs w:val="22"/>
        </w:rPr>
        <w:t>在撤销授权的书面通知以前，本授权书一直有效。被授权人在授权书有效期内签署的所有文件不因授权的撤销而失效。</w:t>
      </w:r>
    </w:p>
    <w:p>
      <w:pPr>
        <w:snapToGrid w:val="0"/>
        <w:spacing w:line="360" w:lineRule="auto"/>
        <w:ind w:firstLine="480"/>
        <w:rPr>
          <w:rFonts w:hint="eastAsia" w:ascii="宋体" w:hAnsi="宋体"/>
          <w:sz w:val="22"/>
          <w:szCs w:val="22"/>
        </w:rPr>
      </w:pPr>
      <w:r>
        <w:rPr>
          <w:rFonts w:hint="eastAsia" w:ascii="宋体" w:hAnsi="宋体"/>
          <w:sz w:val="22"/>
          <w:szCs w:val="22"/>
        </w:rPr>
        <w:t>被授权人无转委托权，特此委托。</w:t>
      </w:r>
    </w:p>
    <w:p>
      <w:pPr>
        <w:snapToGrid w:val="0"/>
        <w:spacing w:line="360" w:lineRule="auto"/>
        <w:rPr>
          <w:rFonts w:hint="eastAsia" w:ascii="宋体" w:hAnsi="宋体"/>
          <w:sz w:val="22"/>
          <w:szCs w:val="22"/>
        </w:rPr>
      </w:pPr>
    </w:p>
    <w:p>
      <w:pPr>
        <w:snapToGrid w:val="0"/>
        <w:spacing w:line="360" w:lineRule="auto"/>
        <w:rPr>
          <w:rFonts w:hint="eastAsia" w:ascii="宋体" w:hAnsi="宋体"/>
          <w:sz w:val="22"/>
          <w:szCs w:val="22"/>
        </w:rPr>
      </w:pPr>
    </w:p>
    <w:p>
      <w:pPr>
        <w:snapToGrid w:val="0"/>
        <w:spacing w:line="360" w:lineRule="auto"/>
        <w:rPr>
          <w:rFonts w:hint="eastAsia" w:ascii="宋体" w:hAnsi="宋体"/>
          <w:sz w:val="22"/>
          <w:szCs w:val="22"/>
        </w:rPr>
      </w:pPr>
      <w:r>
        <w:rPr>
          <w:rFonts w:hint="eastAsia" w:ascii="宋体" w:hAnsi="宋体"/>
          <w:sz w:val="22"/>
          <w:szCs w:val="22"/>
        </w:rPr>
        <w:t>被授权人身份证号码：</w:t>
      </w:r>
      <w:r>
        <w:rPr>
          <w:rFonts w:hint="eastAsia" w:ascii="宋体" w:hAnsi="宋体"/>
          <w:sz w:val="22"/>
          <w:szCs w:val="22"/>
          <w:u w:val="single"/>
        </w:rPr>
        <w:t xml:space="preserve">                             </w:t>
      </w:r>
      <w:r>
        <w:rPr>
          <w:rFonts w:hint="eastAsia" w:ascii="宋体" w:hAnsi="宋体"/>
          <w:sz w:val="22"/>
          <w:szCs w:val="22"/>
        </w:rPr>
        <w:t xml:space="preserve"> </w:t>
      </w:r>
    </w:p>
    <w:p>
      <w:pPr>
        <w:snapToGrid w:val="0"/>
        <w:spacing w:line="360" w:lineRule="auto"/>
        <w:rPr>
          <w:rFonts w:hint="eastAsia" w:ascii="宋体" w:hAnsi="宋体"/>
          <w:sz w:val="22"/>
          <w:szCs w:val="22"/>
        </w:rPr>
      </w:pPr>
      <w:r>
        <w:rPr>
          <w:rFonts w:hint="eastAsia" w:ascii="宋体" w:hAnsi="宋体"/>
          <w:sz w:val="22"/>
          <w:szCs w:val="22"/>
        </w:rPr>
        <w:t xml:space="preserve">                                    </w:t>
      </w:r>
    </w:p>
    <w:p>
      <w:pPr>
        <w:snapToGrid w:val="0"/>
        <w:spacing w:line="360" w:lineRule="auto"/>
        <w:rPr>
          <w:rFonts w:hint="eastAsia" w:ascii="宋体" w:hAnsi="宋体"/>
          <w:sz w:val="22"/>
          <w:szCs w:val="22"/>
        </w:rPr>
      </w:pPr>
    </w:p>
    <w:p>
      <w:pPr>
        <w:spacing w:line="360" w:lineRule="auto"/>
        <w:ind w:right="40"/>
        <w:jc w:val="right"/>
        <w:rPr>
          <w:rFonts w:hint="eastAsia" w:ascii="宋体" w:hAnsi="宋体"/>
          <w:sz w:val="22"/>
          <w:szCs w:val="22"/>
        </w:rPr>
      </w:pPr>
      <w:r>
        <w:rPr>
          <w:rFonts w:hint="eastAsia" w:ascii="宋体" w:hAnsi="宋体"/>
          <w:sz w:val="22"/>
          <w:szCs w:val="22"/>
        </w:rPr>
        <w:t>投标人：</w:t>
      </w:r>
      <w:r>
        <w:rPr>
          <w:rFonts w:hint="eastAsia" w:ascii="宋体" w:hAnsi="宋体"/>
          <w:sz w:val="22"/>
          <w:szCs w:val="22"/>
          <w:u w:val="single"/>
        </w:rPr>
        <w:t>（盖章）</w:t>
      </w:r>
    </w:p>
    <w:p>
      <w:pPr>
        <w:spacing w:line="360" w:lineRule="auto"/>
        <w:ind w:right="40"/>
        <w:jc w:val="right"/>
        <w:rPr>
          <w:rFonts w:hint="eastAsia" w:ascii="宋体" w:hAnsi="宋体"/>
          <w:sz w:val="22"/>
          <w:szCs w:val="22"/>
        </w:rPr>
      </w:pPr>
      <w:r>
        <w:rPr>
          <w:rFonts w:hint="eastAsia" w:ascii="宋体" w:hAnsi="宋体"/>
          <w:sz w:val="22"/>
          <w:szCs w:val="22"/>
        </w:rPr>
        <w:t xml:space="preserve">法定代表人： </w:t>
      </w:r>
      <w:r>
        <w:rPr>
          <w:rFonts w:hint="eastAsia" w:ascii="宋体" w:hAnsi="宋体"/>
          <w:sz w:val="22"/>
          <w:szCs w:val="22"/>
          <w:u w:val="single"/>
        </w:rPr>
        <w:t>（签字或盖章）</w:t>
      </w:r>
    </w:p>
    <w:p>
      <w:pPr>
        <w:spacing w:line="360" w:lineRule="auto"/>
        <w:ind w:right="180"/>
        <w:jc w:val="right"/>
        <w:rPr>
          <w:rFonts w:hint="eastAsia" w:ascii="宋体" w:hAnsi="宋体"/>
          <w:sz w:val="22"/>
          <w:szCs w:val="22"/>
        </w:rPr>
      </w:pPr>
      <w:r>
        <w:rPr>
          <w:rFonts w:hint="eastAsia" w:ascii="宋体" w:hAnsi="宋体"/>
          <w:sz w:val="22"/>
          <w:szCs w:val="22"/>
        </w:rPr>
        <w:t>日  期：　　年　　月　　日</w:t>
      </w:r>
    </w:p>
    <w:p>
      <w:pPr>
        <w:spacing w:line="360" w:lineRule="auto"/>
        <w:rPr>
          <w:rFonts w:hint="eastAsia" w:ascii="宋体" w:hAnsi="宋体"/>
          <w:b/>
          <w:sz w:val="22"/>
          <w:szCs w:val="22"/>
        </w:rPr>
      </w:pPr>
    </w:p>
    <w:p>
      <w:pPr>
        <w:spacing w:line="360" w:lineRule="auto"/>
        <w:rPr>
          <w:rFonts w:hint="eastAsia" w:ascii="宋体" w:hAnsi="宋体"/>
          <w:b/>
          <w:sz w:val="22"/>
          <w:szCs w:val="22"/>
        </w:rPr>
      </w:pPr>
    </w:p>
    <w:p>
      <w:pPr>
        <w:snapToGrid w:val="0"/>
        <w:spacing w:before="50" w:after="50" w:line="360" w:lineRule="auto"/>
        <w:rPr>
          <w:rFonts w:hint="eastAsia" w:ascii="宋体" w:hAnsi="宋体"/>
          <w:b/>
          <w:sz w:val="22"/>
          <w:szCs w:val="22"/>
        </w:rPr>
      </w:pPr>
      <w:r>
        <w:rPr>
          <w:rFonts w:hint="eastAsia" w:ascii="宋体" w:hAnsi="宋体"/>
          <w:b/>
          <w:sz w:val="22"/>
          <w:szCs w:val="22"/>
        </w:rPr>
        <w:t>附：法定代表人身份证复印件（正反面）、授权代表身份证复印件（正反面）。</w:t>
      </w:r>
    </w:p>
    <w:p>
      <w:pPr>
        <w:tabs>
          <w:tab w:val="left" w:pos="7480"/>
        </w:tabs>
        <w:autoSpaceDE w:val="0"/>
        <w:autoSpaceDN w:val="0"/>
        <w:adjustRightInd w:val="0"/>
        <w:spacing w:line="360" w:lineRule="exact"/>
        <w:rPr>
          <w:rFonts w:hint="eastAsia" w:ascii="黑体" w:eastAsia="黑体"/>
          <w:sz w:val="24"/>
        </w:rPr>
      </w:pPr>
      <w:r>
        <w:rPr>
          <w:rFonts w:hint="eastAsia" w:ascii="宋体" w:hAnsi="宋体"/>
          <w:b/>
          <w:szCs w:val="21"/>
        </w:rPr>
        <w:br w:type="page"/>
      </w:r>
    </w:p>
    <w:p>
      <w:pPr>
        <w:spacing w:line="480" w:lineRule="exact"/>
        <w:jc w:val="center"/>
        <w:rPr>
          <w:rFonts w:hint="eastAsia" w:ascii="宋体" w:hAnsi="宋体"/>
          <w:b/>
          <w:bCs/>
          <w:sz w:val="36"/>
          <w:szCs w:val="36"/>
        </w:rPr>
      </w:pPr>
      <w:r>
        <w:rPr>
          <w:rFonts w:hint="eastAsia" w:ascii="宋体" w:hAnsi="宋体"/>
          <w:b/>
          <w:bCs/>
          <w:sz w:val="36"/>
          <w:szCs w:val="36"/>
        </w:rPr>
        <w:t>供应商</w:t>
      </w:r>
      <w:r>
        <w:rPr>
          <w:rFonts w:ascii="宋体" w:hAnsi="宋体"/>
          <w:b/>
          <w:bCs/>
          <w:sz w:val="36"/>
          <w:szCs w:val="36"/>
        </w:rPr>
        <w:t>自觉</w:t>
      </w:r>
      <w:r>
        <w:rPr>
          <w:rFonts w:hint="eastAsia" w:ascii="宋体" w:hAnsi="宋体"/>
          <w:b/>
          <w:bCs/>
          <w:sz w:val="36"/>
          <w:szCs w:val="36"/>
        </w:rPr>
        <w:t>抵制政府采</w:t>
      </w:r>
      <w:r>
        <w:rPr>
          <w:rFonts w:ascii="宋体" w:hAnsi="宋体"/>
          <w:b/>
          <w:bCs/>
          <w:sz w:val="36"/>
          <w:szCs w:val="36"/>
        </w:rPr>
        <w:t>购领</w:t>
      </w:r>
      <w:r>
        <w:rPr>
          <w:rFonts w:hint="eastAsia" w:ascii="宋体" w:hAnsi="宋体"/>
          <w:b/>
          <w:bCs/>
          <w:sz w:val="36"/>
          <w:szCs w:val="36"/>
        </w:rPr>
        <w:t>域</w:t>
      </w:r>
    </w:p>
    <w:p>
      <w:pPr>
        <w:spacing w:line="480" w:lineRule="exact"/>
        <w:jc w:val="center"/>
        <w:rPr>
          <w:rFonts w:hint="eastAsia" w:ascii="宋体" w:hAnsi="宋体"/>
          <w:b/>
          <w:bCs/>
          <w:sz w:val="36"/>
          <w:szCs w:val="36"/>
        </w:rPr>
      </w:pPr>
      <w:r>
        <w:rPr>
          <w:rFonts w:hint="eastAsia" w:ascii="宋体" w:hAnsi="宋体"/>
          <w:b/>
          <w:bCs/>
          <w:sz w:val="36"/>
          <w:szCs w:val="36"/>
        </w:rPr>
        <w:t>商</w:t>
      </w:r>
      <w:r>
        <w:rPr>
          <w:rFonts w:ascii="宋体" w:hAnsi="宋体"/>
          <w:b/>
          <w:bCs/>
          <w:sz w:val="36"/>
          <w:szCs w:val="36"/>
        </w:rPr>
        <w:t>业贿赂</w:t>
      </w:r>
      <w:r>
        <w:rPr>
          <w:rFonts w:hint="eastAsia" w:ascii="宋体" w:hAnsi="宋体"/>
          <w:b/>
          <w:bCs/>
          <w:sz w:val="36"/>
          <w:szCs w:val="36"/>
        </w:rPr>
        <w:t>行</w:t>
      </w:r>
      <w:r>
        <w:rPr>
          <w:rFonts w:ascii="宋体" w:hAnsi="宋体"/>
          <w:b/>
          <w:bCs/>
          <w:sz w:val="36"/>
          <w:szCs w:val="36"/>
        </w:rPr>
        <w:t>为</w:t>
      </w:r>
      <w:r>
        <w:rPr>
          <w:rFonts w:hint="eastAsia" w:ascii="宋体" w:hAnsi="宋体"/>
          <w:b/>
          <w:bCs/>
          <w:sz w:val="36"/>
          <w:szCs w:val="36"/>
        </w:rPr>
        <w:t>承</w:t>
      </w:r>
      <w:r>
        <w:rPr>
          <w:rFonts w:ascii="宋体" w:hAnsi="宋体"/>
          <w:b/>
          <w:bCs/>
          <w:sz w:val="36"/>
          <w:szCs w:val="36"/>
        </w:rPr>
        <w:t>诺书</w:t>
      </w:r>
    </w:p>
    <w:p>
      <w:pPr>
        <w:spacing w:line="480" w:lineRule="exact"/>
        <w:jc w:val="center"/>
        <w:rPr>
          <w:rFonts w:hint="eastAsia" w:ascii="宋体" w:hAnsi="宋体"/>
          <w:b/>
          <w:bCs/>
          <w:sz w:val="36"/>
          <w:szCs w:val="36"/>
        </w:rPr>
      </w:pPr>
    </w:p>
    <w:p>
      <w:pPr>
        <w:spacing w:after="156" w:afterLines="50" w:line="360" w:lineRule="auto"/>
        <w:rPr>
          <w:rFonts w:hint="eastAsia" w:ascii="宋体" w:hAnsi="宋体"/>
          <w:b/>
          <w:sz w:val="22"/>
          <w:szCs w:val="22"/>
          <w:u w:val="single"/>
        </w:rPr>
      </w:pPr>
      <w:r>
        <w:rPr>
          <w:rFonts w:hint="eastAsia" w:ascii="宋体" w:hAnsi="宋体"/>
          <w:b/>
          <w:sz w:val="22"/>
          <w:szCs w:val="22"/>
        </w:rPr>
        <w:t>致：</w:t>
      </w:r>
      <w:r>
        <w:rPr>
          <w:rFonts w:hint="eastAsia" w:ascii="宋体" w:hAnsi="宋体"/>
          <w:b/>
          <w:sz w:val="22"/>
          <w:szCs w:val="22"/>
          <w:u w:val="single"/>
        </w:rPr>
        <w:t>宁波市公安局镇海分局</w:t>
      </w:r>
    </w:p>
    <w:p>
      <w:pPr>
        <w:spacing w:after="156" w:afterLines="50" w:line="360" w:lineRule="auto"/>
        <w:ind w:firstLine="440" w:firstLineChars="200"/>
        <w:rPr>
          <w:rFonts w:hint="eastAsia" w:ascii="宋体" w:hAnsi="宋体"/>
          <w:sz w:val="22"/>
          <w:szCs w:val="22"/>
          <w:lang w:eastAsia="zh-TW"/>
        </w:rPr>
      </w:pPr>
      <w:r>
        <w:rPr>
          <w:rFonts w:ascii="宋体" w:hAnsi="宋体"/>
          <w:sz w:val="22"/>
          <w:szCs w:val="22"/>
        </w:rPr>
        <w:t>开</w:t>
      </w:r>
      <w:r>
        <w:rPr>
          <w:rFonts w:hint="eastAsia" w:ascii="宋体" w:hAnsi="宋体"/>
          <w:sz w:val="22"/>
          <w:szCs w:val="22"/>
        </w:rPr>
        <w:t>展治理政府采</w:t>
      </w:r>
      <w:r>
        <w:rPr>
          <w:rFonts w:ascii="宋体" w:hAnsi="宋体"/>
          <w:sz w:val="22"/>
          <w:szCs w:val="22"/>
        </w:rPr>
        <w:t>购领</w:t>
      </w:r>
      <w:r>
        <w:rPr>
          <w:rFonts w:hint="eastAsia" w:ascii="宋体" w:hAnsi="宋体"/>
          <w:sz w:val="22"/>
          <w:szCs w:val="22"/>
        </w:rPr>
        <w:t>域商</w:t>
      </w:r>
      <w:r>
        <w:rPr>
          <w:rFonts w:ascii="宋体" w:hAnsi="宋体"/>
          <w:sz w:val="22"/>
          <w:szCs w:val="22"/>
        </w:rPr>
        <w:t>业贿赂专项工</w:t>
      </w:r>
      <w:r>
        <w:rPr>
          <w:rFonts w:hint="eastAsia" w:ascii="宋体" w:hAnsi="宋体"/>
          <w:sz w:val="22"/>
          <w:szCs w:val="22"/>
        </w:rPr>
        <w:t>作，是中央确定的治理商</w:t>
      </w:r>
      <w:r>
        <w:rPr>
          <w:rFonts w:ascii="宋体" w:hAnsi="宋体"/>
          <w:sz w:val="22"/>
          <w:szCs w:val="22"/>
        </w:rPr>
        <w:t>业贿赂</w:t>
      </w:r>
      <w:r>
        <w:rPr>
          <w:rFonts w:hint="eastAsia" w:ascii="宋体" w:hAnsi="宋体"/>
          <w:sz w:val="22"/>
          <w:szCs w:val="22"/>
        </w:rPr>
        <w:t>六</w:t>
      </w:r>
      <w:r>
        <w:rPr>
          <w:rFonts w:ascii="宋体" w:hAnsi="宋体"/>
          <w:sz w:val="22"/>
          <w:szCs w:val="22"/>
        </w:rPr>
        <w:t>个</w:t>
      </w:r>
      <w:r>
        <w:rPr>
          <w:rFonts w:hint="eastAsia" w:ascii="宋体" w:hAnsi="宋体"/>
          <w:sz w:val="22"/>
          <w:szCs w:val="22"/>
        </w:rPr>
        <w:t>重</w:t>
      </w:r>
      <w:r>
        <w:rPr>
          <w:rFonts w:ascii="宋体" w:hAnsi="宋体"/>
          <w:sz w:val="22"/>
          <w:szCs w:val="22"/>
        </w:rPr>
        <w:t>点领</w:t>
      </w:r>
      <w:r>
        <w:rPr>
          <w:rFonts w:hint="eastAsia" w:ascii="宋体" w:hAnsi="宋体"/>
          <w:sz w:val="22"/>
          <w:szCs w:val="22"/>
        </w:rPr>
        <w:t>域之一，它既是完善市</w:t>
      </w:r>
      <w:r>
        <w:rPr>
          <w:rFonts w:ascii="宋体" w:hAnsi="宋体"/>
          <w:sz w:val="22"/>
          <w:szCs w:val="22"/>
        </w:rPr>
        <w:t>场经济</w:t>
      </w:r>
      <w:r>
        <w:rPr>
          <w:rFonts w:hint="eastAsia" w:ascii="宋体" w:hAnsi="宋体"/>
          <w:sz w:val="22"/>
          <w:szCs w:val="22"/>
        </w:rPr>
        <w:t>、构建社</w:t>
      </w:r>
      <w:r>
        <w:rPr>
          <w:rFonts w:ascii="宋体" w:hAnsi="宋体"/>
          <w:sz w:val="22"/>
          <w:szCs w:val="22"/>
        </w:rPr>
        <w:t>会主义</w:t>
      </w:r>
      <w:r>
        <w:rPr>
          <w:rFonts w:hint="eastAsia" w:ascii="宋体" w:hAnsi="宋体"/>
          <w:sz w:val="22"/>
          <w:szCs w:val="22"/>
        </w:rPr>
        <w:t>和</w:t>
      </w:r>
      <w:r>
        <w:rPr>
          <w:rFonts w:ascii="宋体" w:hAnsi="宋体"/>
          <w:sz w:val="22"/>
          <w:szCs w:val="22"/>
        </w:rPr>
        <w:t>谐</w:t>
      </w:r>
      <w:r>
        <w:rPr>
          <w:rFonts w:hint="eastAsia" w:ascii="宋体" w:hAnsi="宋体"/>
          <w:sz w:val="22"/>
          <w:szCs w:val="22"/>
        </w:rPr>
        <w:t>社</w:t>
      </w:r>
      <w:r>
        <w:rPr>
          <w:rFonts w:ascii="宋体" w:hAnsi="宋体"/>
          <w:sz w:val="22"/>
          <w:szCs w:val="22"/>
        </w:rPr>
        <w:t>会</w:t>
      </w:r>
      <w:r>
        <w:rPr>
          <w:rFonts w:hint="eastAsia" w:ascii="宋体" w:hAnsi="宋体"/>
          <w:sz w:val="22"/>
          <w:szCs w:val="22"/>
        </w:rPr>
        <w:t>的客</w:t>
      </w:r>
      <w:r>
        <w:rPr>
          <w:rFonts w:ascii="宋体" w:hAnsi="宋体"/>
          <w:sz w:val="22"/>
          <w:szCs w:val="22"/>
        </w:rPr>
        <w:t>观需</w:t>
      </w:r>
      <w:r>
        <w:rPr>
          <w:rFonts w:hint="eastAsia" w:ascii="宋体" w:hAnsi="宋体"/>
          <w:sz w:val="22"/>
          <w:szCs w:val="22"/>
        </w:rPr>
        <w:t>要，又是</w:t>
      </w:r>
      <w:r>
        <w:rPr>
          <w:rFonts w:ascii="宋体" w:hAnsi="宋体"/>
          <w:sz w:val="22"/>
          <w:szCs w:val="22"/>
        </w:rPr>
        <w:t>从</w:t>
      </w:r>
      <w:r>
        <w:rPr>
          <w:rFonts w:hint="eastAsia" w:ascii="宋体" w:hAnsi="宋体"/>
          <w:sz w:val="22"/>
          <w:szCs w:val="22"/>
        </w:rPr>
        <w:t>源</w:t>
      </w:r>
      <w:r>
        <w:rPr>
          <w:rFonts w:ascii="宋体" w:hAnsi="宋体"/>
          <w:sz w:val="22"/>
          <w:szCs w:val="22"/>
        </w:rPr>
        <w:t>头</w:t>
      </w:r>
      <w:r>
        <w:rPr>
          <w:rFonts w:hint="eastAsia" w:ascii="宋体" w:hAnsi="宋体"/>
          <w:sz w:val="22"/>
          <w:szCs w:val="22"/>
        </w:rPr>
        <w:t>上抑制腐</w:t>
      </w:r>
      <w:r>
        <w:rPr>
          <w:rFonts w:ascii="宋体" w:hAnsi="宋体"/>
          <w:sz w:val="22"/>
          <w:szCs w:val="22"/>
        </w:rPr>
        <w:t>败</w:t>
      </w:r>
      <w:r>
        <w:rPr>
          <w:rFonts w:hint="eastAsia" w:ascii="宋体" w:hAnsi="宋体"/>
          <w:sz w:val="22"/>
          <w:szCs w:val="22"/>
        </w:rPr>
        <w:t>的有力措施，意</w:t>
      </w:r>
      <w:r>
        <w:rPr>
          <w:rFonts w:ascii="宋体" w:hAnsi="宋体"/>
          <w:sz w:val="22"/>
          <w:szCs w:val="22"/>
        </w:rPr>
        <w:t>义</w:t>
      </w:r>
      <w:r>
        <w:rPr>
          <w:rFonts w:hint="eastAsia" w:ascii="宋体" w:hAnsi="宋体"/>
          <w:sz w:val="22"/>
          <w:szCs w:val="22"/>
        </w:rPr>
        <w:t>重大、影</w:t>
      </w:r>
      <w:r>
        <w:rPr>
          <w:rFonts w:ascii="宋体" w:hAnsi="宋体"/>
          <w:sz w:val="22"/>
          <w:szCs w:val="22"/>
        </w:rPr>
        <w:t>响</w:t>
      </w:r>
      <w:r>
        <w:rPr>
          <w:rFonts w:hint="eastAsia" w:ascii="宋体" w:hAnsi="宋体"/>
          <w:sz w:val="22"/>
          <w:szCs w:val="22"/>
        </w:rPr>
        <w:t>深</w:t>
      </w:r>
      <w:r>
        <w:rPr>
          <w:rFonts w:ascii="宋体" w:hAnsi="宋体"/>
          <w:sz w:val="22"/>
          <w:szCs w:val="22"/>
        </w:rPr>
        <w:t>远</w:t>
      </w:r>
      <w:r>
        <w:rPr>
          <w:rFonts w:hint="eastAsia" w:ascii="宋体" w:hAnsi="宋体"/>
          <w:sz w:val="22"/>
          <w:szCs w:val="22"/>
        </w:rPr>
        <w:t>。</w:t>
      </w:r>
      <w:r>
        <w:rPr>
          <w:rFonts w:ascii="宋体" w:hAnsi="宋体"/>
          <w:sz w:val="22"/>
          <w:szCs w:val="22"/>
        </w:rPr>
        <w:t>为</w:t>
      </w:r>
      <w:r>
        <w:rPr>
          <w:rFonts w:hint="eastAsia" w:ascii="宋体" w:hAnsi="宋体"/>
          <w:sz w:val="22"/>
          <w:szCs w:val="22"/>
        </w:rPr>
        <w:t>深入</w:t>
      </w:r>
      <w:r>
        <w:rPr>
          <w:rFonts w:ascii="宋体" w:hAnsi="宋体"/>
          <w:sz w:val="22"/>
          <w:szCs w:val="22"/>
        </w:rPr>
        <w:t>贯彻</w:t>
      </w:r>
      <w:r>
        <w:rPr>
          <w:rFonts w:hint="eastAsia" w:ascii="宋体" w:hAnsi="宋体"/>
          <w:sz w:val="22"/>
          <w:szCs w:val="22"/>
        </w:rPr>
        <w:t>落</w:t>
      </w:r>
      <w:r>
        <w:rPr>
          <w:rFonts w:ascii="宋体" w:hAnsi="宋体"/>
          <w:sz w:val="22"/>
          <w:szCs w:val="22"/>
        </w:rPr>
        <w:t>实</w:t>
      </w:r>
      <w:r>
        <w:rPr>
          <w:rFonts w:hint="eastAsia" w:ascii="宋体" w:hAnsi="宋体"/>
          <w:sz w:val="22"/>
          <w:szCs w:val="22"/>
        </w:rPr>
        <w:t>中央和省委、省、市、区政府的有</w:t>
      </w:r>
      <w:r>
        <w:rPr>
          <w:rFonts w:ascii="宋体" w:hAnsi="宋体"/>
          <w:sz w:val="22"/>
          <w:szCs w:val="22"/>
        </w:rPr>
        <w:t>关</w:t>
      </w:r>
      <w:r>
        <w:rPr>
          <w:rFonts w:hint="eastAsia" w:ascii="宋体" w:hAnsi="宋体"/>
          <w:sz w:val="22"/>
          <w:szCs w:val="22"/>
        </w:rPr>
        <w:t>部署及要求，</w:t>
      </w:r>
      <w:r>
        <w:rPr>
          <w:rFonts w:ascii="宋体" w:hAnsi="宋体"/>
          <w:sz w:val="22"/>
          <w:szCs w:val="22"/>
        </w:rPr>
        <w:t>进</w:t>
      </w:r>
      <w:r>
        <w:rPr>
          <w:rFonts w:hint="eastAsia" w:ascii="宋体" w:hAnsi="宋体"/>
          <w:sz w:val="22"/>
          <w:szCs w:val="22"/>
        </w:rPr>
        <w:t>一步</w:t>
      </w:r>
      <w:r>
        <w:rPr>
          <w:rFonts w:ascii="宋体" w:hAnsi="宋体"/>
          <w:sz w:val="22"/>
          <w:szCs w:val="22"/>
        </w:rPr>
        <w:t>规</w:t>
      </w:r>
      <w:r>
        <w:rPr>
          <w:rFonts w:hint="eastAsia" w:ascii="宋体" w:hAnsi="宋体"/>
          <w:sz w:val="22"/>
          <w:szCs w:val="22"/>
        </w:rPr>
        <w:t>范政府采</w:t>
      </w:r>
      <w:r>
        <w:rPr>
          <w:rFonts w:ascii="宋体" w:hAnsi="宋体"/>
          <w:sz w:val="22"/>
          <w:szCs w:val="22"/>
        </w:rPr>
        <w:t>购行为</w:t>
      </w:r>
      <w:r>
        <w:rPr>
          <w:rFonts w:hint="eastAsia" w:ascii="宋体" w:hAnsi="宋体"/>
          <w:sz w:val="22"/>
          <w:szCs w:val="22"/>
        </w:rPr>
        <w:t>，</w:t>
      </w:r>
      <w:r>
        <w:rPr>
          <w:rFonts w:ascii="宋体" w:hAnsi="宋体"/>
          <w:sz w:val="22"/>
          <w:szCs w:val="22"/>
        </w:rPr>
        <w:t>营</w:t>
      </w:r>
      <w:r>
        <w:rPr>
          <w:rFonts w:hint="eastAsia" w:ascii="宋体" w:hAnsi="宋体"/>
          <w:sz w:val="22"/>
          <w:szCs w:val="22"/>
        </w:rPr>
        <w:t>造公平</w:t>
      </w:r>
      <w:r>
        <w:rPr>
          <w:rFonts w:ascii="宋体" w:hAnsi="宋体"/>
          <w:sz w:val="22"/>
          <w:szCs w:val="22"/>
        </w:rPr>
        <w:t>竞争</w:t>
      </w:r>
      <w:r>
        <w:rPr>
          <w:rFonts w:hint="eastAsia" w:ascii="宋体" w:hAnsi="宋体"/>
          <w:sz w:val="22"/>
          <w:szCs w:val="22"/>
        </w:rPr>
        <w:t>的政府采</w:t>
      </w:r>
      <w:r>
        <w:rPr>
          <w:rFonts w:ascii="宋体" w:hAnsi="宋体"/>
          <w:sz w:val="22"/>
          <w:szCs w:val="22"/>
        </w:rPr>
        <w:t>购</w:t>
      </w:r>
      <w:r>
        <w:rPr>
          <w:rFonts w:hint="eastAsia" w:ascii="宋体" w:hAnsi="宋体"/>
          <w:sz w:val="22"/>
          <w:szCs w:val="22"/>
        </w:rPr>
        <w:t>市</w:t>
      </w:r>
      <w:r>
        <w:rPr>
          <w:rFonts w:ascii="宋体" w:hAnsi="宋体"/>
          <w:sz w:val="22"/>
          <w:szCs w:val="22"/>
        </w:rPr>
        <w:t>场环</w:t>
      </w:r>
      <w:r>
        <w:rPr>
          <w:rFonts w:hint="eastAsia" w:ascii="宋体" w:hAnsi="宋体"/>
          <w:sz w:val="22"/>
          <w:szCs w:val="22"/>
        </w:rPr>
        <w:t>境，</w:t>
      </w:r>
      <w:r>
        <w:rPr>
          <w:rFonts w:ascii="宋体" w:hAnsi="宋体"/>
          <w:sz w:val="22"/>
          <w:szCs w:val="22"/>
        </w:rPr>
        <w:t>维护政</w:t>
      </w:r>
      <w:r>
        <w:rPr>
          <w:rFonts w:hint="eastAsia" w:ascii="宋体" w:hAnsi="宋体"/>
          <w:sz w:val="22"/>
          <w:szCs w:val="22"/>
        </w:rPr>
        <w:t>府采</w:t>
      </w:r>
      <w:r>
        <w:rPr>
          <w:rFonts w:ascii="宋体" w:hAnsi="宋体"/>
          <w:sz w:val="22"/>
          <w:szCs w:val="22"/>
        </w:rPr>
        <w:t>购</w:t>
      </w:r>
      <w:r>
        <w:rPr>
          <w:rFonts w:hint="eastAsia" w:ascii="宋体" w:hAnsi="宋体"/>
          <w:sz w:val="22"/>
          <w:szCs w:val="22"/>
        </w:rPr>
        <w:t>制度良好</w:t>
      </w:r>
      <w:r>
        <w:rPr>
          <w:rFonts w:ascii="宋体" w:hAnsi="宋体"/>
          <w:sz w:val="22"/>
          <w:szCs w:val="22"/>
        </w:rPr>
        <w:t>声誉</w:t>
      </w:r>
      <w:r>
        <w:rPr>
          <w:rFonts w:hint="eastAsia" w:ascii="宋体" w:hAnsi="宋体"/>
          <w:sz w:val="22"/>
          <w:szCs w:val="22"/>
        </w:rPr>
        <w:t>，在</w:t>
      </w:r>
      <w:r>
        <w:rPr>
          <w:rFonts w:ascii="宋体" w:hAnsi="宋体"/>
          <w:sz w:val="22"/>
          <w:szCs w:val="22"/>
        </w:rPr>
        <w:t>参</w:t>
      </w:r>
      <w:r>
        <w:rPr>
          <w:rFonts w:hint="eastAsia" w:ascii="宋体" w:hAnsi="宋体"/>
          <w:sz w:val="22"/>
          <w:szCs w:val="22"/>
        </w:rPr>
        <w:t>与</w:t>
      </w:r>
      <w:r>
        <w:rPr>
          <w:rFonts w:hint="eastAsia"/>
          <w:sz w:val="22"/>
          <w:szCs w:val="22"/>
        </w:rPr>
        <w:t>采购代理机构</w:t>
      </w:r>
      <w:r>
        <w:rPr>
          <w:rFonts w:ascii="宋体" w:hAnsi="宋体"/>
          <w:sz w:val="22"/>
          <w:szCs w:val="22"/>
        </w:rPr>
        <w:t>组织的</w:t>
      </w:r>
      <w:r>
        <w:rPr>
          <w:rFonts w:hint="eastAsia" w:ascii="宋体" w:hAnsi="宋体"/>
          <w:sz w:val="22"/>
          <w:szCs w:val="22"/>
        </w:rPr>
        <w:t>政府采</w:t>
      </w:r>
      <w:r>
        <w:rPr>
          <w:rFonts w:ascii="宋体" w:hAnsi="宋体"/>
          <w:sz w:val="22"/>
          <w:szCs w:val="22"/>
        </w:rPr>
        <w:t>购</w:t>
      </w:r>
      <w:r>
        <w:rPr>
          <w:rFonts w:hint="eastAsia" w:ascii="宋体" w:hAnsi="宋体"/>
          <w:sz w:val="22"/>
          <w:szCs w:val="22"/>
        </w:rPr>
        <w:t>活</w:t>
      </w:r>
      <w:r>
        <w:rPr>
          <w:rFonts w:ascii="宋体" w:hAnsi="宋体"/>
          <w:sz w:val="22"/>
          <w:szCs w:val="22"/>
        </w:rPr>
        <w:t>动中</w:t>
      </w:r>
      <w:r>
        <w:rPr>
          <w:rFonts w:hint="eastAsia" w:ascii="宋体" w:hAnsi="宋体"/>
          <w:sz w:val="22"/>
          <w:szCs w:val="22"/>
        </w:rPr>
        <w:t>，我方庄重承</w:t>
      </w:r>
      <w:r>
        <w:rPr>
          <w:rFonts w:ascii="宋体" w:hAnsi="宋体"/>
          <w:sz w:val="22"/>
          <w:szCs w:val="22"/>
        </w:rPr>
        <w:t>诺</w:t>
      </w:r>
      <w:r>
        <w:rPr>
          <w:rFonts w:hint="eastAsia" w:ascii="宋体" w:hAnsi="宋体"/>
          <w:sz w:val="22"/>
          <w:szCs w:val="22"/>
        </w:rPr>
        <w:t>：</w:t>
      </w:r>
    </w:p>
    <w:p>
      <w:pPr>
        <w:spacing w:after="156" w:afterLines="50" w:line="360" w:lineRule="auto"/>
        <w:ind w:firstLine="440" w:firstLineChars="200"/>
        <w:rPr>
          <w:rFonts w:hint="eastAsia"/>
          <w:sz w:val="22"/>
          <w:szCs w:val="22"/>
        </w:rPr>
      </w:pPr>
      <w:r>
        <w:rPr>
          <w:rFonts w:hint="eastAsia"/>
          <w:sz w:val="22"/>
          <w:szCs w:val="22"/>
        </w:rPr>
        <w:t>一、依法参与政府采购活动，遵纪守法，诚信经营，公平竞争。</w:t>
      </w:r>
    </w:p>
    <w:p>
      <w:pPr>
        <w:spacing w:after="156" w:afterLines="50" w:line="360" w:lineRule="auto"/>
        <w:ind w:firstLine="440" w:firstLineChars="200"/>
        <w:rPr>
          <w:rFonts w:hint="eastAsia"/>
          <w:sz w:val="22"/>
          <w:szCs w:val="22"/>
        </w:rPr>
      </w:pPr>
      <w:r>
        <w:rPr>
          <w:rFonts w:hint="eastAsia"/>
          <w:sz w:val="22"/>
          <w:szCs w:val="22"/>
        </w:rPr>
        <w:t>二、不向采购单位、采购代理机构和政府采购评审专家提供任何形式的商业贿赂；对索取或接受商业贿赂的单位和个人，及时向财政部门和纪检监察机关举报。</w:t>
      </w:r>
    </w:p>
    <w:p>
      <w:pPr>
        <w:spacing w:after="156" w:afterLines="50" w:line="360" w:lineRule="auto"/>
        <w:ind w:firstLine="440" w:firstLineChars="200"/>
        <w:rPr>
          <w:rFonts w:hint="eastAsia" w:ascii="宋体" w:hAnsi="宋体"/>
          <w:sz w:val="22"/>
          <w:szCs w:val="22"/>
        </w:rPr>
      </w:pPr>
      <w:r>
        <w:rPr>
          <w:rFonts w:hint="eastAsia" w:ascii="宋体" w:hAnsi="宋体"/>
          <w:sz w:val="22"/>
          <w:szCs w:val="22"/>
        </w:rPr>
        <w:t>三、不以提</w:t>
      </w:r>
      <w:r>
        <w:rPr>
          <w:rFonts w:ascii="宋体" w:hAnsi="宋体"/>
          <w:sz w:val="22"/>
          <w:szCs w:val="22"/>
        </w:rPr>
        <w:t>供虚假资质</w:t>
      </w:r>
      <w:r>
        <w:rPr>
          <w:rFonts w:hint="eastAsia" w:ascii="宋体" w:hAnsi="宋体"/>
          <w:sz w:val="22"/>
          <w:szCs w:val="22"/>
        </w:rPr>
        <w:t>文件等形式</w:t>
      </w:r>
      <w:r>
        <w:rPr>
          <w:rFonts w:ascii="宋体" w:hAnsi="宋体"/>
          <w:sz w:val="22"/>
          <w:szCs w:val="22"/>
        </w:rPr>
        <w:t>参</w:t>
      </w:r>
      <w:r>
        <w:rPr>
          <w:rFonts w:hint="eastAsia" w:ascii="宋体" w:hAnsi="宋体"/>
          <w:sz w:val="22"/>
          <w:szCs w:val="22"/>
        </w:rPr>
        <w:t>与政府采</w:t>
      </w:r>
      <w:r>
        <w:rPr>
          <w:rFonts w:ascii="宋体" w:hAnsi="宋体"/>
          <w:sz w:val="22"/>
          <w:szCs w:val="22"/>
        </w:rPr>
        <w:t>购</w:t>
      </w:r>
      <w:r>
        <w:rPr>
          <w:rFonts w:hint="eastAsia" w:ascii="宋体" w:hAnsi="宋体"/>
          <w:sz w:val="22"/>
          <w:szCs w:val="22"/>
        </w:rPr>
        <w:t>活</w:t>
      </w:r>
      <w:r>
        <w:rPr>
          <w:rFonts w:ascii="宋体" w:hAnsi="宋体"/>
          <w:sz w:val="22"/>
          <w:szCs w:val="22"/>
        </w:rPr>
        <w:t>动</w:t>
      </w:r>
      <w:r>
        <w:rPr>
          <w:rFonts w:hint="eastAsia" w:ascii="宋体" w:hAnsi="宋体"/>
          <w:sz w:val="22"/>
          <w:szCs w:val="22"/>
        </w:rPr>
        <w:t>，不以</w:t>
      </w:r>
      <w:r>
        <w:rPr>
          <w:rFonts w:ascii="宋体" w:hAnsi="宋体"/>
          <w:sz w:val="22"/>
          <w:szCs w:val="22"/>
        </w:rPr>
        <w:t>虚</w:t>
      </w:r>
      <w:r>
        <w:rPr>
          <w:rFonts w:hint="eastAsia" w:ascii="宋体" w:hAnsi="宋体"/>
          <w:sz w:val="22"/>
          <w:szCs w:val="22"/>
        </w:rPr>
        <w:t>假材料</w:t>
      </w:r>
      <w:r>
        <w:rPr>
          <w:rFonts w:ascii="宋体" w:hAnsi="宋体"/>
          <w:sz w:val="22"/>
          <w:szCs w:val="22"/>
        </w:rPr>
        <w:t>谋</w:t>
      </w:r>
      <w:r>
        <w:rPr>
          <w:rFonts w:hint="eastAsia" w:ascii="宋体" w:hAnsi="宋体"/>
          <w:sz w:val="22"/>
          <w:szCs w:val="22"/>
        </w:rPr>
        <w:t>取中</w:t>
      </w:r>
      <w:r>
        <w:rPr>
          <w:rFonts w:ascii="宋体" w:hAnsi="宋体"/>
          <w:sz w:val="22"/>
          <w:szCs w:val="22"/>
        </w:rPr>
        <w:t>标</w:t>
      </w:r>
      <w:r>
        <w:rPr>
          <w:rFonts w:hint="eastAsia" w:ascii="宋体" w:hAnsi="宋体"/>
          <w:sz w:val="22"/>
          <w:szCs w:val="22"/>
        </w:rPr>
        <w:t>。</w:t>
      </w:r>
    </w:p>
    <w:p>
      <w:pPr>
        <w:spacing w:after="156" w:afterLines="50" w:line="360" w:lineRule="auto"/>
        <w:ind w:firstLine="440" w:firstLineChars="200"/>
        <w:rPr>
          <w:rFonts w:hint="eastAsia" w:ascii="宋体" w:hAnsi="宋体"/>
          <w:sz w:val="22"/>
          <w:szCs w:val="22"/>
        </w:rPr>
      </w:pPr>
      <w:r>
        <w:rPr>
          <w:rFonts w:hint="eastAsia" w:ascii="宋体" w:hAnsi="宋体"/>
          <w:sz w:val="22"/>
          <w:szCs w:val="22"/>
        </w:rPr>
        <w:t>四、不采取不正</w:t>
      </w:r>
      <w:r>
        <w:rPr>
          <w:rFonts w:ascii="宋体" w:hAnsi="宋体"/>
          <w:sz w:val="22"/>
          <w:szCs w:val="22"/>
        </w:rPr>
        <w:t>当</w:t>
      </w:r>
      <w:r>
        <w:rPr>
          <w:rFonts w:hint="eastAsia" w:ascii="宋体" w:hAnsi="宋体"/>
          <w:sz w:val="22"/>
          <w:szCs w:val="22"/>
        </w:rPr>
        <w:t>手段</w:t>
      </w:r>
      <w:r>
        <w:rPr>
          <w:rFonts w:ascii="宋体" w:hAnsi="宋体"/>
          <w:sz w:val="22"/>
          <w:szCs w:val="22"/>
        </w:rPr>
        <w:t>诋毁</w:t>
      </w:r>
      <w:r>
        <w:rPr>
          <w:rFonts w:hint="eastAsia" w:ascii="宋体" w:hAnsi="宋体"/>
          <w:sz w:val="22"/>
          <w:szCs w:val="22"/>
        </w:rPr>
        <w:t>、排</w:t>
      </w:r>
      <w:r>
        <w:rPr>
          <w:rFonts w:ascii="宋体" w:hAnsi="宋体"/>
          <w:sz w:val="22"/>
          <w:szCs w:val="22"/>
        </w:rPr>
        <w:t>挤</w:t>
      </w:r>
      <w:r>
        <w:rPr>
          <w:rFonts w:hint="eastAsia" w:ascii="宋体" w:hAnsi="宋体"/>
          <w:sz w:val="22"/>
          <w:szCs w:val="22"/>
        </w:rPr>
        <w:t>其他供应商，与其他</w:t>
      </w:r>
      <w:r>
        <w:rPr>
          <w:rFonts w:ascii="宋体" w:hAnsi="宋体"/>
          <w:sz w:val="22"/>
          <w:szCs w:val="22"/>
        </w:rPr>
        <w:t>参</w:t>
      </w:r>
      <w:r>
        <w:rPr>
          <w:rFonts w:hint="eastAsia" w:ascii="宋体" w:hAnsi="宋体"/>
          <w:sz w:val="22"/>
          <w:szCs w:val="22"/>
        </w:rPr>
        <w:t>与政府采</w:t>
      </w:r>
      <w:r>
        <w:rPr>
          <w:rFonts w:ascii="宋体" w:hAnsi="宋体"/>
          <w:sz w:val="22"/>
          <w:szCs w:val="22"/>
        </w:rPr>
        <w:t>购</w:t>
      </w:r>
      <w:r>
        <w:rPr>
          <w:rFonts w:hint="eastAsia" w:ascii="宋体" w:hAnsi="宋体"/>
          <w:sz w:val="22"/>
          <w:szCs w:val="22"/>
        </w:rPr>
        <w:t>活</w:t>
      </w:r>
      <w:r>
        <w:rPr>
          <w:rFonts w:ascii="宋体" w:hAnsi="宋体"/>
          <w:sz w:val="22"/>
          <w:szCs w:val="22"/>
        </w:rPr>
        <w:t>动</w:t>
      </w:r>
      <w:r>
        <w:rPr>
          <w:rFonts w:hint="eastAsia" w:ascii="宋体" w:hAnsi="宋体"/>
          <w:sz w:val="22"/>
          <w:szCs w:val="22"/>
        </w:rPr>
        <w:t>供应商保持良性的</w:t>
      </w:r>
      <w:r>
        <w:rPr>
          <w:rFonts w:ascii="宋体" w:hAnsi="宋体"/>
          <w:sz w:val="22"/>
          <w:szCs w:val="22"/>
        </w:rPr>
        <w:t>竞争关</w:t>
      </w:r>
      <w:r>
        <w:rPr>
          <w:rFonts w:hint="eastAsia" w:ascii="宋体" w:hAnsi="宋体"/>
          <w:sz w:val="22"/>
          <w:szCs w:val="22"/>
        </w:rPr>
        <w:t>系。</w:t>
      </w:r>
    </w:p>
    <w:p>
      <w:pPr>
        <w:spacing w:after="156" w:afterLines="50" w:line="360" w:lineRule="auto"/>
        <w:ind w:firstLine="440" w:firstLineChars="200"/>
        <w:rPr>
          <w:rFonts w:hint="eastAsia" w:ascii="宋体" w:hAnsi="宋体"/>
          <w:sz w:val="22"/>
          <w:szCs w:val="22"/>
        </w:rPr>
      </w:pPr>
      <w:r>
        <w:rPr>
          <w:rFonts w:hint="eastAsia" w:ascii="宋体" w:hAnsi="宋体"/>
          <w:sz w:val="22"/>
          <w:szCs w:val="22"/>
        </w:rPr>
        <w:t>五、不与采购单位、</w:t>
      </w:r>
      <w:r>
        <w:rPr>
          <w:rFonts w:hint="eastAsia"/>
          <w:sz w:val="22"/>
          <w:szCs w:val="22"/>
        </w:rPr>
        <w:t>采购代理机构</w:t>
      </w:r>
      <w:r>
        <w:rPr>
          <w:rFonts w:hint="eastAsia" w:ascii="宋体" w:hAnsi="宋体"/>
          <w:sz w:val="22"/>
          <w:szCs w:val="22"/>
        </w:rPr>
        <w:t>和政府采</w:t>
      </w:r>
      <w:r>
        <w:rPr>
          <w:rFonts w:ascii="宋体" w:hAnsi="宋体"/>
          <w:sz w:val="22"/>
          <w:szCs w:val="22"/>
        </w:rPr>
        <w:t>购评审专</w:t>
      </w:r>
      <w:r>
        <w:rPr>
          <w:rFonts w:hint="eastAsia" w:ascii="宋体" w:hAnsi="宋体"/>
          <w:sz w:val="22"/>
          <w:szCs w:val="22"/>
        </w:rPr>
        <w:t>家</w:t>
      </w:r>
      <w:r>
        <w:rPr>
          <w:rFonts w:ascii="宋体" w:hAnsi="宋体"/>
          <w:sz w:val="22"/>
          <w:szCs w:val="22"/>
        </w:rPr>
        <w:t>恶</w:t>
      </w:r>
      <w:r>
        <w:rPr>
          <w:rFonts w:hint="eastAsia" w:ascii="宋体" w:hAnsi="宋体"/>
          <w:sz w:val="22"/>
          <w:szCs w:val="22"/>
        </w:rPr>
        <w:t>意串通，</w:t>
      </w:r>
      <w:r>
        <w:rPr>
          <w:rFonts w:ascii="宋体" w:hAnsi="宋体"/>
          <w:sz w:val="22"/>
          <w:szCs w:val="22"/>
        </w:rPr>
        <w:t>自觉维护政</w:t>
      </w:r>
      <w:r>
        <w:rPr>
          <w:rFonts w:hint="eastAsia" w:ascii="宋体" w:hAnsi="宋体"/>
          <w:sz w:val="22"/>
          <w:szCs w:val="22"/>
        </w:rPr>
        <w:t>府采</w:t>
      </w:r>
      <w:r>
        <w:rPr>
          <w:rFonts w:ascii="宋体" w:hAnsi="宋体"/>
          <w:sz w:val="22"/>
          <w:szCs w:val="22"/>
        </w:rPr>
        <w:t>购公</w:t>
      </w:r>
      <w:r>
        <w:rPr>
          <w:rFonts w:hint="eastAsia" w:ascii="宋体" w:hAnsi="宋体"/>
          <w:sz w:val="22"/>
          <w:szCs w:val="22"/>
        </w:rPr>
        <w:t>平</w:t>
      </w:r>
      <w:r>
        <w:rPr>
          <w:rFonts w:ascii="宋体" w:hAnsi="宋体"/>
          <w:sz w:val="22"/>
          <w:szCs w:val="22"/>
        </w:rPr>
        <w:t>竞争</w:t>
      </w:r>
      <w:r>
        <w:rPr>
          <w:rFonts w:hint="eastAsia" w:ascii="宋体" w:hAnsi="宋体"/>
          <w:sz w:val="22"/>
          <w:szCs w:val="22"/>
        </w:rPr>
        <w:t>的市</w:t>
      </w:r>
      <w:r>
        <w:rPr>
          <w:rFonts w:ascii="宋体" w:hAnsi="宋体"/>
          <w:sz w:val="22"/>
          <w:szCs w:val="22"/>
        </w:rPr>
        <w:t>场</w:t>
      </w:r>
      <w:r>
        <w:rPr>
          <w:rFonts w:hint="eastAsia" w:ascii="宋体" w:hAnsi="宋体"/>
          <w:sz w:val="22"/>
          <w:szCs w:val="22"/>
        </w:rPr>
        <w:t>秩序。</w:t>
      </w:r>
    </w:p>
    <w:p>
      <w:pPr>
        <w:spacing w:after="156" w:afterLines="50" w:line="360" w:lineRule="auto"/>
        <w:ind w:firstLine="440" w:firstLineChars="200"/>
        <w:rPr>
          <w:rFonts w:hint="eastAsia" w:ascii="宋体" w:hAnsi="宋体"/>
          <w:sz w:val="22"/>
          <w:szCs w:val="22"/>
        </w:rPr>
      </w:pPr>
      <w:r>
        <w:rPr>
          <w:rFonts w:hint="eastAsia" w:ascii="宋体" w:hAnsi="宋体"/>
          <w:sz w:val="22"/>
          <w:szCs w:val="22"/>
        </w:rPr>
        <w:t>六、不与其他供应商串通采取</w:t>
      </w:r>
      <w:r>
        <w:rPr>
          <w:rFonts w:ascii="宋体" w:hAnsi="宋体"/>
          <w:sz w:val="22"/>
          <w:szCs w:val="22"/>
        </w:rPr>
        <w:t>围标、</w:t>
      </w:r>
      <w:r>
        <w:rPr>
          <w:rFonts w:hint="eastAsia" w:ascii="宋体" w:hAnsi="宋体"/>
          <w:sz w:val="22"/>
          <w:szCs w:val="22"/>
        </w:rPr>
        <w:t>陪</w:t>
      </w:r>
      <w:r>
        <w:rPr>
          <w:rFonts w:ascii="宋体" w:hAnsi="宋体"/>
          <w:sz w:val="22"/>
          <w:szCs w:val="22"/>
        </w:rPr>
        <w:t>标等</w:t>
      </w:r>
      <w:r>
        <w:rPr>
          <w:rFonts w:hint="eastAsia" w:ascii="宋体" w:hAnsi="宋体"/>
          <w:sz w:val="22"/>
          <w:szCs w:val="22"/>
        </w:rPr>
        <w:t>商</w:t>
      </w:r>
      <w:r>
        <w:rPr>
          <w:rFonts w:ascii="宋体" w:hAnsi="宋体"/>
          <w:sz w:val="22"/>
          <w:szCs w:val="22"/>
        </w:rPr>
        <w:t>业</w:t>
      </w:r>
      <w:r>
        <w:rPr>
          <w:rFonts w:hint="eastAsia" w:ascii="宋体" w:hAnsi="宋体"/>
          <w:sz w:val="22"/>
          <w:szCs w:val="22"/>
        </w:rPr>
        <w:t>欺</w:t>
      </w:r>
      <w:r>
        <w:rPr>
          <w:rFonts w:ascii="宋体" w:hAnsi="宋体"/>
          <w:sz w:val="22"/>
          <w:szCs w:val="22"/>
        </w:rPr>
        <w:t>诈</w:t>
      </w:r>
      <w:r>
        <w:rPr>
          <w:rFonts w:hint="eastAsia" w:ascii="宋体" w:hAnsi="宋体"/>
          <w:sz w:val="22"/>
          <w:szCs w:val="22"/>
        </w:rPr>
        <w:t>手段</w:t>
      </w:r>
      <w:r>
        <w:rPr>
          <w:rFonts w:ascii="宋体" w:hAnsi="宋体"/>
          <w:sz w:val="22"/>
          <w:szCs w:val="22"/>
        </w:rPr>
        <w:t>谋</w:t>
      </w:r>
      <w:r>
        <w:rPr>
          <w:rFonts w:hint="eastAsia" w:ascii="宋体" w:hAnsi="宋体"/>
          <w:sz w:val="22"/>
          <w:szCs w:val="22"/>
        </w:rPr>
        <w:t>取中</w:t>
      </w:r>
      <w:r>
        <w:rPr>
          <w:rFonts w:ascii="宋体" w:hAnsi="宋体"/>
          <w:sz w:val="22"/>
          <w:szCs w:val="22"/>
        </w:rPr>
        <w:t>标</w:t>
      </w:r>
      <w:r>
        <w:rPr>
          <w:rFonts w:hint="eastAsia" w:ascii="宋体" w:hAnsi="宋体"/>
          <w:sz w:val="22"/>
          <w:szCs w:val="22"/>
        </w:rPr>
        <w:t>，</w:t>
      </w:r>
      <w:r>
        <w:rPr>
          <w:rFonts w:ascii="宋体" w:hAnsi="宋体"/>
          <w:sz w:val="22"/>
          <w:szCs w:val="22"/>
        </w:rPr>
        <w:t>积极维护国</w:t>
      </w:r>
      <w:r>
        <w:rPr>
          <w:rFonts w:hint="eastAsia" w:ascii="宋体" w:hAnsi="宋体"/>
          <w:sz w:val="22"/>
          <w:szCs w:val="22"/>
        </w:rPr>
        <w:t>家利益、社</w:t>
      </w:r>
      <w:r>
        <w:rPr>
          <w:rFonts w:ascii="宋体" w:hAnsi="宋体"/>
          <w:sz w:val="22"/>
          <w:szCs w:val="22"/>
        </w:rPr>
        <w:t>会</w:t>
      </w:r>
      <w:r>
        <w:rPr>
          <w:rFonts w:hint="eastAsia" w:ascii="宋体" w:hAnsi="宋体"/>
          <w:sz w:val="22"/>
          <w:szCs w:val="22"/>
        </w:rPr>
        <w:t>公共利益和采购单位的合法</w:t>
      </w:r>
      <w:r>
        <w:rPr>
          <w:rFonts w:ascii="宋体" w:hAnsi="宋体"/>
          <w:sz w:val="22"/>
          <w:szCs w:val="22"/>
        </w:rPr>
        <w:t>权益。</w:t>
      </w:r>
    </w:p>
    <w:p>
      <w:pPr>
        <w:spacing w:after="156" w:afterLines="50" w:line="360" w:lineRule="auto"/>
        <w:ind w:firstLine="440" w:firstLineChars="200"/>
        <w:rPr>
          <w:rFonts w:hint="eastAsia" w:ascii="宋体" w:hAnsi="宋体"/>
          <w:sz w:val="22"/>
          <w:szCs w:val="22"/>
        </w:rPr>
      </w:pPr>
      <w:r>
        <w:rPr>
          <w:rFonts w:hint="eastAsia" w:ascii="宋体" w:hAnsi="宋体"/>
          <w:sz w:val="22"/>
          <w:szCs w:val="22"/>
        </w:rPr>
        <w:t>七、</w:t>
      </w:r>
      <w:r>
        <w:rPr>
          <w:rFonts w:ascii="宋体" w:hAnsi="宋体"/>
          <w:sz w:val="22"/>
          <w:szCs w:val="22"/>
        </w:rPr>
        <w:t>严格</w:t>
      </w:r>
      <w:r>
        <w:rPr>
          <w:rFonts w:hint="eastAsia" w:ascii="宋体" w:hAnsi="宋体"/>
          <w:sz w:val="22"/>
          <w:szCs w:val="22"/>
        </w:rPr>
        <w:t>履行政府采</w:t>
      </w:r>
      <w:r>
        <w:rPr>
          <w:rFonts w:ascii="宋体" w:hAnsi="宋体"/>
          <w:sz w:val="22"/>
          <w:szCs w:val="22"/>
        </w:rPr>
        <w:t>购</w:t>
      </w:r>
      <w:r>
        <w:rPr>
          <w:rFonts w:hint="eastAsia" w:ascii="宋体" w:hAnsi="宋体"/>
          <w:sz w:val="22"/>
          <w:szCs w:val="22"/>
        </w:rPr>
        <w:t>合</w:t>
      </w:r>
      <w:r>
        <w:rPr>
          <w:rFonts w:ascii="宋体" w:hAnsi="宋体"/>
          <w:sz w:val="22"/>
          <w:szCs w:val="22"/>
        </w:rPr>
        <w:t>同约</w:t>
      </w:r>
      <w:r>
        <w:rPr>
          <w:rFonts w:hint="eastAsia" w:ascii="宋体" w:hAnsi="宋体"/>
          <w:sz w:val="22"/>
          <w:szCs w:val="22"/>
        </w:rPr>
        <w:t>定</w:t>
      </w:r>
      <w:r>
        <w:rPr>
          <w:rFonts w:ascii="宋体" w:hAnsi="宋体"/>
          <w:sz w:val="22"/>
          <w:szCs w:val="22"/>
        </w:rPr>
        <w:t>义务</w:t>
      </w:r>
      <w:r>
        <w:rPr>
          <w:rFonts w:hint="eastAsia" w:ascii="宋体" w:hAnsi="宋体"/>
          <w:sz w:val="22"/>
          <w:szCs w:val="22"/>
        </w:rPr>
        <w:t>，不在政府采</w:t>
      </w:r>
      <w:r>
        <w:rPr>
          <w:rFonts w:ascii="宋体" w:hAnsi="宋体"/>
          <w:sz w:val="22"/>
          <w:szCs w:val="22"/>
        </w:rPr>
        <w:t>购</w:t>
      </w:r>
      <w:r>
        <w:rPr>
          <w:rFonts w:hint="eastAsia" w:ascii="宋体" w:hAnsi="宋体"/>
          <w:sz w:val="22"/>
          <w:szCs w:val="22"/>
        </w:rPr>
        <w:t>合同</w:t>
      </w:r>
      <w:r>
        <w:rPr>
          <w:rFonts w:ascii="宋体" w:hAnsi="宋体"/>
          <w:sz w:val="22"/>
          <w:szCs w:val="22"/>
        </w:rPr>
        <w:t>执</w:t>
      </w:r>
      <w:r>
        <w:rPr>
          <w:rFonts w:hint="eastAsia" w:ascii="宋体" w:hAnsi="宋体"/>
          <w:sz w:val="22"/>
          <w:szCs w:val="22"/>
        </w:rPr>
        <w:t>行</w:t>
      </w:r>
      <w:r>
        <w:rPr>
          <w:rFonts w:ascii="宋体" w:hAnsi="宋体"/>
          <w:sz w:val="22"/>
          <w:szCs w:val="22"/>
        </w:rPr>
        <w:t>过</w:t>
      </w:r>
      <w:r>
        <w:rPr>
          <w:rFonts w:hint="eastAsia" w:ascii="宋体" w:hAnsi="宋体"/>
          <w:sz w:val="22"/>
          <w:szCs w:val="22"/>
        </w:rPr>
        <w:t>程中采取降低</w:t>
      </w:r>
      <w:r>
        <w:rPr>
          <w:rFonts w:ascii="宋体" w:hAnsi="宋体"/>
          <w:sz w:val="22"/>
          <w:szCs w:val="22"/>
        </w:rPr>
        <w:t>质</w:t>
      </w:r>
      <w:r>
        <w:rPr>
          <w:rFonts w:hint="eastAsia" w:ascii="宋体" w:hAnsi="宋体"/>
          <w:sz w:val="22"/>
          <w:szCs w:val="22"/>
        </w:rPr>
        <w:t>量或</w:t>
      </w:r>
      <w:r>
        <w:rPr>
          <w:rFonts w:ascii="宋体" w:hAnsi="宋体"/>
          <w:sz w:val="22"/>
          <w:szCs w:val="22"/>
        </w:rPr>
        <w:t>标</w:t>
      </w:r>
      <w:r>
        <w:rPr>
          <w:rFonts w:hint="eastAsia" w:ascii="宋体" w:hAnsi="宋体"/>
          <w:sz w:val="22"/>
          <w:szCs w:val="22"/>
        </w:rPr>
        <w:t>准、</w:t>
      </w:r>
      <w:r>
        <w:rPr>
          <w:rFonts w:ascii="宋体" w:hAnsi="宋体"/>
          <w:sz w:val="22"/>
          <w:szCs w:val="22"/>
        </w:rPr>
        <w:t>减</w:t>
      </w:r>
      <w:r>
        <w:rPr>
          <w:rFonts w:hint="eastAsia" w:ascii="宋体" w:hAnsi="宋体"/>
          <w:sz w:val="22"/>
          <w:szCs w:val="22"/>
        </w:rPr>
        <w:t>少</w:t>
      </w:r>
      <w:r>
        <w:rPr>
          <w:rFonts w:ascii="宋体" w:hAnsi="宋体"/>
          <w:sz w:val="22"/>
          <w:szCs w:val="22"/>
        </w:rPr>
        <w:t>数</w:t>
      </w:r>
      <w:r>
        <w:rPr>
          <w:rFonts w:hint="eastAsia" w:ascii="宋体" w:hAnsi="宋体"/>
          <w:sz w:val="22"/>
          <w:szCs w:val="22"/>
        </w:rPr>
        <w:t>量、拖延交付</w:t>
      </w:r>
      <w:r>
        <w:rPr>
          <w:rFonts w:ascii="宋体" w:hAnsi="宋体"/>
          <w:sz w:val="22"/>
          <w:szCs w:val="22"/>
        </w:rPr>
        <w:t>时间</w:t>
      </w:r>
      <w:r>
        <w:rPr>
          <w:rFonts w:hint="eastAsia" w:ascii="宋体" w:hAnsi="宋体"/>
          <w:sz w:val="22"/>
          <w:szCs w:val="22"/>
        </w:rPr>
        <w:t>等方式</w:t>
      </w:r>
      <w:r>
        <w:rPr>
          <w:rFonts w:ascii="宋体" w:hAnsi="宋体"/>
          <w:sz w:val="22"/>
          <w:szCs w:val="22"/>
        </w:rPr>
        <w:t>损</w:t>
      </w:r>
      <w:r>
        <w:rPr>
          <w:rFonts w:hint="eastAsia" w:ascii="宋体" w:hAnsi="宋体"/>
          <w:sz w:val="22"/>
          <w:szCs w:val="22"/>
        </w:rPr>
        <w:t>害采购单位的利益，并</w:t>
      </w:r>
      <w:r>
        <w:rPr>
          <w:rFonts w:ascii="宋体" w:hAnsi="宋体"/>
          <w:sz w:val="22"/>
          <w:szCs w:val="22"/>
        </w:rPr>
        <w:t>自觉</w:t>
      </w:r>
      <w:r>
        <w:rPr>
          <w:rFonts w:hint="eastAsia" w:ascii="宋体" w:hAnsi="宋体"/>
          <w:sz w:val="22"/>
          <w:szCs w:val="22"/>
        </w:rPr>
        <w:t>承</w:t>
      </w:r>
      <w:r>
        <w:rPr>
          <w:rFonts w:ascii="宋体" w:hAnsi="宋体"/>
          <w:sz w:val="22"/>
          <w:szCs w:val="22"/>
        </w:rPr>
        <w:t>担违约责</w:t>
      </w:r>
      <w:r>
        <w:rPr>
          <w:rFonts w:hint="eastAsia" w:ascii="宋体" w:hAnsi="宋体"/>
          <w:sz w:val="22"/>
          <w:szCs w:val="22"/>
        </w:rPr>
        <w:t>任。</w:t>
      </w:r>
    </w:p>
    <w:p>
      <w:pPr>
        <w:spacing w:after="156" w:afterLines="50" w:line="360" w:lineRule="auto"/>
        <w:ind w:firstLine="440" w:firstLineChars="200"/>
        <w:rPr>
          <w:rFonts w:hint="eastAsia" w:ascii="宋体" w:hAnsi="宋体"/>
          <w:sz w:val="22"/>
          <w:szCs w:val="22"/>
        </w:rPr>
      </w:pPr>
      <w:r>
        <w:rPr>
          <w:rFonts w:hint="eastAsia" w:ascii="宋体" w:hAnsi="宋体"/>
          <w:sz w:val="22"/>
          <w:szCs w:val="22"/>
        </w:rPr>
        <w:t>八、</w:t>
      </w:r>
      <w:r>
        <w:rPr>
          <w:rFonts w:ascii="宋体" w:hAnsi="宋体"/>
          <w:sz w:val="22"/>
          <w:szCs w:val="22"/>
        </w:rPr>
        <w:t>自觉</w:t>
      </w:r>
      <w:r>
        <w:rPr>
          <w:rFonts w:hint="eastAsia" w:ascii="宋体" w:hAnsi="宋体"/>
          <w:sz w:val="22"/>
          <w:szCs w:val="22"/>
        </w:rPr>
        <w:t>接受并</w:t>
      </w:r>
      <w:r>
        <w:rPr>
          <w:rFonts w:ascii="宋体" w:hAnsi="宋体"/>
          <w:sz w:val="22"/>
          <w:szCs w:val="22"/>
        </w:rPr>
        <w:t>积极配</w:t>
      </w:r>
      <w:r>
        <w:rPr>
          <w:rFonts w:hint="eastAsia" w:ascii="宋体" w:hAnsi="宋体"/>
          <w:sz w:val="22"/>
          <w:szCs w:val="22"/>
        </w:rPr>
        <w:t>合</w:t>
      </w:r>
      <w:r>
        <w:rPr>
          <w:rFonts w:ascii="宋体" w:hAnsi="宋体"/>
          <w:sz w:val="22"/>
          <w:szCs w:val="22"/>
        </w:rPr>
        <w:t>财</w:t>
      </w:r>
      <w:r>
        <w:rPr>
          <w:rFonts w:hint="eastAsia" w:ascii="宋体" w:hAnsi="宋体"/>
          <w:sz w:val="22"/>
          <w:szCs w:val="22"/>
        </w:rPr>
        <w:t>政</w:t>
      </w:r>
      <w:r>
        <w:rPr>
          <w:rFonts w:ascii="宋体" w:hAnsi="宋体"/>
          <w:sz w:val="22"/>
          <w:szCs w:val="22"/>
        </w:rPr>
        <w:t>部门</w:t>
      </w:r>
      <w:r>
        <w:rPr>
          <w:rFonts w:hint="eastAsia" w:ascii="宋体" w:hAnsi="宋体"/>
          <w:sz w:val="22"/>
          <w:szCs w:val="22"/>
        </w:rPr>
        <w:t>和</w:t>
      </w:r>
      <w:r>
        <w:rPr>
          <w:rFonts w:ascii="宋体" w:hAnsi="宋体"/>
          <w:sz w:val="22"/>
          <w:szCs w:val="22"/>
        </w:rPr>
        <w:t>纪检监</w:t>
      </w:r>
      <w:r>
        <w:rPr>
          <w:rFonts w:hint="eastAsia" w:ascii="宋体" w:hAnsi="宋体"/>
          <w:sz w:val="22"/>
          <w:szCs w:val="22"/>
        </w:rPr>
        <w:t>察机</w:t>
      </w:r>
      <w:r>
        <w:rPr>
          <w:rFonts w:ascii="宋体" w:hAnsi="宋体"/>
          <w:sz w:val="22"/>
          <w:szCs w:val="22"/>
        </w:rPr>
        <w:t>关</w:t>
      </w:r>
      <w:r>
        <w:rPr>
          <w:rFonts w:hint="eastAsia" w:ascii="宋体" w:hAnsi="宋体"/>
          <w:sz w:val="22"/>
          <w:szCs w:val="22"/>
        </w:rPr>
        <w:t>依法</w:t>
      </w:r>
      <w:r>
        <w:rPr>
          <w:rFonts w:ascii="宋体" w:hAnsi="宋体"/>
          <w:sz w:val="22"/>
          <w:szCs w:val="22"/>
        </w:rPr>
        <w:t>实</w:t>
      </w:r>
      <w:r>
        <w:rPr>
          <w:rFonts w:hint="eastAsia" w:ascii="宋体" w:hAnsi="宋体"/>
          <w:sz w:val="22"/>
          <w:szCs w:val="22"/>
        </w:rPr>
        <w:t>施的</w:t>
      </w:r>
      <w:r>
        <w:rPr>
          <w:rFonts w:ascii="宋体" w:hAnsi="宋体"/>
          <w:sz w:val="22"/>
          <w:szCs w:val="22"/>
        </w:rPr>
        <w:t>监督检</w:t>
      </w:r>
      <w:r>
        <w:rPr>
          <w:rFonts w:hint="eastAsia" w:ascii="宋体" w:hAnsi="宋体"/>
          <w:sz w:val="22"/>
          <w:szCs w:val="22"/>
        </w:rPr>
        <w:t>查，如</w:t>
      </w:r>
      <w:r>
        <w:rPr>
          <w:rFonts w:ascii="宋体" w:hAnsi="宋体"/>
          <w:sz w:val="22"/>
          <w:szCs w:val="22"/>
        </w:rPr>
        <w:t>实</w:t>
      </w:r>
      <w:r>
        <w:rPr>
          <w:rFonts w:hint="eastAsia" w:ascii="宋体" w:hAnsi="宋体"/>
          <w:sz w:val="22"/>
          <w:szCs w:val="22"/>
        </w:rPr>
        <w:t>反映情</w:t>
      </w:r>
      <w:r>
        <w:rPr>
          <w:rFonts w:ascii="宋体" w:hAnsi="宋体"/>
          <w:sz w:val="22"/>
          <w:szCs w:val="22"/>
        </w:rPr>
        <w:t>况</w:t>
      </w:r>
      <w:r>
        <w:rPr>
          <w:rFonts w:hint="eastAsia" w:ascii="宋体" w:hAnsi="宋体"/>
          <w:sz w:val="22"/>
          <w:szCs w:val="22"/>
        </w:rPr>
        <w:t>，</w:t>
      </w:r>
      <w:r>
        <w:rPr>
          <w:rFonts w:ascii="宋体" w:hAnsi="宋体"/>
          <w:sz w:val="22"/>
          <w:szCs w:val="22"/>
        </w:rPr>
        <w:t>及时</w:t>
      </w:r>
      <w:r>
        <w:rPr>
          <w:rFonts w:hint="eastAsia" w:ascii="宋体" w:hAnsi="宋体"/>
          <w:sz w:val="22"/>
          <w:szCs w:val="22"/>
        </w:rPr>
        <w:t>提供有</w:t>
      </w:r>
      <w:r>
        <w:rPr>
          <w:rFonts w:ascii="宋体" w:hAnsi="宋体"/>
          <w:sz w:val="22"/>
          <w:szCs w:val="22"/>
        </w:rPr>
        <w:t>关证</w:t>
      </w:r>
      <w:r>
        <w:rPr>
          <w:rFonts w:hint="eastAsia" w:ascii="宋体" w:hAnsi="宋体"/>
          <w:sz w:val="22"/>
          <w:szCs w:val="22"/>
        </w:rPr>
        <w:t>明材料。</w:t>
      </w:r>
    </w:p>
    <w:p>
      <w:pPr>
        <w:spacing w:line="360" w:lineRule="auto"/>
        <w:ind w:right="40"/>
        <w:jc w:val="right"/>
        <w:rPr>
          <w:rFonts w:hint="eastAsia" w:ascii="宋体" w:hAnsi="宋体"/>
          <w:sz w:val="22"/>
          <w:szCs w:val="22"/>
        </w:rPr>
      </w:pPr>
      <w:r>
        <w:rPr>
          <w:rFonts w:hint="eastAsia" w:ascii="宋体" w:hAnsi="宋体"/>
          <w:sz w:val="22"/>
          <w:szCs w:val="22"/>
        </w:rPr>
        <w:t>投标人：</w:t>
      </w:r>
      <w:r>
        <w:rPr>
          <w:rFonts w:hint="eastAsia" w:ascii="宋体" w:hAnsi="宋体"/>
          <w:sz w:val="22"/>
          <w:szCs w:val="22"/>
          <w:u w:val="single"/>
        </w:rPr>
        <w:t>（盖章）</w:t>
      </w:r>
    </w:p>
    <w:p>
      <w:pPr>
        <w:spacing w:line="360" w:lineRule="auto"/>
        <w:ind w:right="40"/>
        <w:jc w:val="right"/>
        <w:rPr>
          <w:rFonts w:hint="eastAsia" w:ascii="宋体" w:hAnsi="宋体"/>
          <w:sz w:val="22"/>
          <w:szCs w:val="22"/>
        </w:rPr>
      </w:pPr>
      <w:r>
        <w:rPr>
          <w:rFonts w:hint="eastAsia" w:ascii="宋体" w:hAnsi="宋体"/>
          <w:sz w:val="22"/>
          <w:szCs w:val="22"/>
        </w:rPr>
        <w:t xml:space="preserve">法定代表人或其委托代理人： </w:t>
      </w:r>
      <w:r>
        <w:rPr>
          <w:rFonts w:hint="eastAsia" w:ascii="宋体" w:hAnsi="宋体"/>
          <w:sz w:val="22"/>
          <w:szCs w:val="22"/>
          <w:u w:val="single"/>
        </w:rPr>
        <w:t>（签字或盖章）</w:t>
      </w:r>
    </w:p>
    <w:p>
      <w:pPr>
        <w:spacing w:line="360" w:lineRule="auto"/>
        <w:ind w:right="180"/>
        <w:jc w:val="right"/>
        <w:rPr>
          <w:rFonts w:hint="eastAsia" w:ascii="宋体" w:hAnsi="宋体"/>
          <w:sz w:val="22"/>
          <w:szCs w:val="22"/>
        </w:rPr>
      </w:pPr>
      <w:r>
        <w:rPr>
          <w:rFonts w:hint="eastAsia" w:ascii="宋体" w:hAnsi="宋体"/>
          <w:sz w:val="22"/>
          <w:szCs w:val="22"/>
        </w:rPr>
        <w:t>日  期：　　年　　月　　日</w:t>
      </w:r>
    </w:p>
    <w:p>
      <w:pPr>
        <w:tabs>
          <w:tab w:val="left" w:pos="7480"/>
        </w:tabs>
        <w:autoSpaceDE w:val="0"/>
        <w:autoSpaceDN w:val="0"/>
        <w:adjustRightInd w:val="0"/>
        <w:spacing w:line="360" w:lineRule="exact"/>
        <w:rPr>
          <w:rFonts w:hint="eastAsia" w:ascii="黑体" w:eastAsia="黑体"/>
          <w:sz w:val="24"/>
        </w:rPr>
      </w:pPr>
    </w:p>
    <w:p>
      <w:pPr>
        <w:snapToGrid w:val="0"/>
        <w:spacing w:before="50" w:after="156" w:afterLines="50" w:line="360" w:lineRule="auto"/>
        <w:jc w:val="center"/>
        <w:rPr>
          <w:rFonts w:hint="eastAsia" w:ascii="宋体" w:hAnsi="宋体" w:cs="宋体"/>
          <w:b/>
          <w:bCs/>
          <w:sz w:val="32"/>
          <w:szCs w:val="32"/>
        </w:rPr>
      </w:pPr>
      <w:r>
        <w:rPr>
          <w:rFonts w:hint="eastAsia" w:ascii="宋体" w:hAnsi="宋体" w:cs="宋体"/>
          <w:b/>
          <w:bCs/>
          <w:sz w:val="32"/>
          <w:szCs w:val="32"/>
        </w:rPr>
        <w:t>服务条款偏离表</w:t>
      </w:r>
    </w:p>
    <w:p>
      <w:pPr>
        <w:snapToGrid w:val="0"/>
        <w:spacing w:before="50"/>
        <w:rPr>
          <w:rFonts w:hint="eastAsia" w:ascii="宋体" w:hAnsi="宋体"/>
          <w:sz w:val="22"/>
          <w:szCs w:val="22"/>
          <w:u w:val="single"/>
        </w:rPr>
      </w:pPr>
      <w:r>
        <w:rPr>
          <w:rFonts w:hint="eastAsia" w:ascii="宋体" w:hAnsi="宋体"/>
          <w:sz w:val="22"/>
          <w:szCs w:val="22"/>
        </w:rPr>
        <w:t xml:space="preserve">项目名称：                      </w:t>
      </w:r>
    </w:p>
    <w:tbl>
      <w:tblPr>
        <w:tblStyle w:val="5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0"/>
            <w:vAlign w:val="center"/>
          </w:tcPr>
          <w:p>
            <w:pPr>
              <w:spacing w:line="360" w:lineRule="auto"/>
              <w:jc w:val="center"/>
              <w:rPr>
                <w:rFonts w:ascii="宋体" w:hAnsi="宋体"/>
                <w:sz w:val="22"/>
                <w:szCs w:val="22"/>
              </w:rPr>
            </w:pPr>
            <w:r>
              <w:rPr>
                <w:rFonts w:hint="eastAsia" w:ascii="宋体" w:hAnsi="宋体" w:cs="宋体"/>
                <w:sz w:val="22"/>
                <w:szCs w:val="22"/>
              </w:rPr>
              <w:t>条款号</w:t>
            </w:r>
          </w:p>
        </w:tc>
        <w:tc>
          <w:tcPr>
            <w:tcW w:w="4647" w:type="dxa"/>
            <w:noWrap w:val="0"/>
            <w:vAlign w:val="center"/>
          </w:tcPr>
          <w:p>
            <w:pPr>
              <w:spacing w:line="360" w:lineRule="auto"/>
              <w:jc w:val="center"/>
              <w:rPr>
                <w:rFonts w:ascii="宋体" w:hAnsi="宋体"/>
                <w:sz w:val="22"/>
                <w:szCs w:val="22"/>
              </w:rPr>
            </w:pPr>
            <w:r>
              <w:rPr>
                <w:rFonts w:hint="eastAsia" w:ascii="宋体" w:hAnsi="宋体" w:cs="宋体"/>
                <w:sz w:val="22"/>
                <w:szCs w:val="22"/>
              </w:rPr>
              <w:t>采购文件的服务条款</w:t>
            </w:r>
          </w:p>
        </w:tc>
        <w:tc>
          <w:tcPr>
            <w:tcW w:w="1575" w:type="dxa"/>
            <w:noWrap w:val="0"/>
            <w:vAlign w:val="center"/>
          </w:tcPr>
          <w:p>
            <w:pPr>
              <w:spacing w:line="360" w:lineRule="auto"/>
              <w:jc w:val="center"/>
              <w:rPr>
                <w:rFonts w:ascii="宋体" w:hAnsi="宋体"/>
                <w:sz w:val="22"/>
                <w:szCs w:val="22"/>
              </w:rPr>
            </w:pPr>
            <w:r>
              <w:rPr>
                <w:rFonts w:hint="eastAsia" w:ascii="宋体" w:hAnsi="宋体" w:cs="宋体"/>
                <w:sz w:val="22"/>
                <w:szCs w:val="22"/>
              </w:rPr>
              <w:t>投标文件的</w:t>
            </w:r>
          </w:p>
          <w:p>
            <w:pPr>
              <w:spacing w:line="360" w:lineRule="auto"/>
              <w:jc w:val="center"/>
              <w:rPr>
                <w:rFonts w:ascii="宋体" w:hAnsi="宋体"/>
                <w:sz w:val="22"/>
                <w:szCs w:val="22"/>
              </w:rPr>
            </w:pPr>
            <w:r>
              <w:rPr>
                <w:rFonts w:hint="eastAsia" w:ascii="宋体" w:hAnsi="宋体" w:cs="宋体"/>
                <w:sz w:val="22"/>
                <w:szCs w:val="22"/>
              </w:rPr>
              <w:t>响应情况</w:t>
            </w:r>
          </w:p>
        </w:tc>
        <w:tc>
          <w:tcPr>
            <w:tcW w:w="1185" w:type="dxa"/>
            <w:noWrap w:val="0"/>
            <w:vAlign w:val="center"/>
          </w:tcPr>
          <w:p>
            <w:pPr>
              <w:spacing w:line="360" w:lineRule="auto"/>
              <w:jc w:val="center"/>
              <w:rPr>
                <w:rFonts w:ascii="宋体" w:hAnsi="宋体"/>
                <w:sz w:val="22"/>
                <w:szCs w:val="22"/>
              </w:rPr>
            </w:pPr>
            <w:r>
              <w:rPr>
                <w:rFonts w:hint="eastAsia" w:ascii="宋体" w:hAnsi="宋体" w:cs="宋体"/>
                <w:sz w:val="22"/>
                <w:szCs w:val="22"/>
              </w:rPr>
              <w:t>说明（偏离</w:t>
            </w:r>
            <w:r>
              <w:rPr>
                <w:rFonts w:ascii="宋体" w:hAnsi="宋体" w:cs="宋体"/>
                <w:sz w:val="22"/>
                <w:szCs w:val="22"/>
              </w:rPr>
              <w:t>/</w:t>
            </w:r>
            <w:r>
              <w:rPr>
                <w:rFonts w:hint="eastAsia" w:ascii="宋体" w:hAnsi="宋体" w:cs="宋体"/>
                <w:sz w:val="22"/>
                <w:szCs w:val="22"/>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ascii="宋体" w:hAnsi="宋体"/>
                <w:sz w:val="22"/>
                <w:szCs w:val="22"/>
              </w:rPr>
            </w:pPr>
          </w:p>
        </w:tc>
        <w:tc>
          <w:tcPr>
            <w:tcW w:w="4647" w:type="dxa"/>
            <w:noWrap w:val="0"/>
            <w:vAlign w:val="center"/>
          </w:tcPr>
          <w:p>
            <w:pPr>
              <w:spacing w:line="360" w:lineRule="auto"/>
              <w:rPr>
                <w:rFonts w:ascii="宋体" w:hAnsi="宋体"/>
                <w:b/>
                <w:bCs/>
                <w:sz w:val="22"/>
                <w:szCs w:val="22"/>
              </w:rPr>
            </w:pPr>
          </w:p>
        </w:tc>
        <w:tc>
          <w:tcPr>
            <w:tcW w:w="1575" w:type="dxa"/>
            <w:noWrap w:val="0"/>
            <w:vAlign w:val="center"/>
          </w:tcPr>
          <w:p>
            <w:pPr>
              <w:spacing w:line="360" w:lineRule="auto"/>
              <w:jc w:val="center"/>
              <w:rPr>
                <w:rFonts w:ascii="宋体" w:hAnsi="宋体"/>
                <w:sz w:val="22"/>
                <w:szCs w:val="22"/>
              </w:rPr>
            </w:pPr>
          </w:p>
        </w:tc>
        <w:tc>
          <w:tcPr>
            <w:tcW w:w="1185" w:type="dxa"/>
            <w:noWrap w:val="0"/>
            <w:vAlign w:val="center"/>
          </w:tcPr>
          <w:p>
            <w:pPr>
              <w:spacing w:line="360" w:lineRule="auto"/>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ascii="宋体" w:hAnsi="宋体"/>
                <w:sz w:val="22"/>
                <w:szCs w:val="22"/>
              </w:rPr>
            </w:pPr>
          </w:p>
        </w:tc>
        <w:tc>
          <w:tcPr>
            <w:tcW w:w="4647" w:type="dxa"/>
            <w:noWrap w:val="0"/>
            <w:vAlign w:val="center"/>
          </w:tcPr>
          <w:p>
            <w:pPr>
              <w:spacing w:line="360" w:lineRule="auto"/>
              <w:rPr>
                <w:rFonts w:ascii="宋体" w:hAnsi="宋体"/>
                <w:b/>
                <w:bCs/>
                <w:sz w:val="22"/>
                <w:szCs w:val="22"/>
              </w:rPr>
            </w:pPr>
          </w:p>
        </w:tc>
        <w:tc>
          <w:tcPr>
            <w:tcW w:w="1575" w:type="dxa"/>
            <w:noWrap w:val="0"/>
            <w:vAlign w:val="center"/>
          </w:tcPr>
          <w:p>
            <w:pPr>
              <w:spacing w:line="360" w:lineRule="auto"/>
              <w:jc w:val="center"/>
              <w:rPr>
                <w:rFonts w:ascii="宋体" w:hAnsi="宋体"/>
                <w:sz w:val="22"/>
                <w:szCs w:val="22"/>
              </w:rPr>
            </w:pPr>
          </w:p>
        </w:tc>
        <w:tc>
          <w:tcPr>
            <w:tcW w:w="1185" w:type="dxa"/>
            <w:noWrap w:val="0"/>
            <w:vAlign w:val="center"/>
          </w:tcPr>
          <w:p>
            <w:pPr>
              <w:spacing w:line="360" w:lineRule="auto"/>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ascii="宋体" w:hAnsi="宋体"/>
                <w:sz w:val="22"/>
                <w:szCs w:val="22"/>
              </w:rPr>
            </w:pPr>
          </w:p>
        </w:tc>
        <w:tc>
          <w:tcPr>
            <w:tcW w:w="4647" w:type="dxa"/>
            <w:noWrap w:val="0"/>
            <w:vAlign w:val="center"/>
          </w:tcPr>
          <w:p>
            <w:pPr>
              <w:spacing w:line="360" w:lineRule="auto"/>
              <w:rPr>
                <w:rFonts w:ascii="宋体" w:hAnsi="宋体"/>
                <w:b/>
                <w:bCs/>
                <w:sz w:val="22"/>
                <w:szCs w:val="22"/>
              </w:rPr>
            </w:pPr>
          </w:p>
        </w:tc>
        <w:tc>
          <w:tcPr>
            <w:tcW w:w="1575" w:type="dxa"/>
            <w:noWrap w:val="0"/>
            <w:vAlign w:val="center"/>
          </w:tcPr>
          <w:p>
            <w:pPr>
              <w:spacing w:line="360" w:lineRule="auto"/>
              <w:jc w:val="center"/>
              <w:rPr>
                <w:rFonts w:ascii="宋体" w:hAnsi="宋体"/>
                <w:sz w:val="22"/>
                <w:szCs w:val="22"/>
              </w:rPr>
            </w:pPr>
          </w:p>
        </w:tc>
        <w:tc>
          <w:tcPr>
            <w:tcW w:w="1185" w:type="dxa"/>
            <w:noWrap w:val="0"/>
            <w:vAlign w:val="center"/>
          </w:tcPr>
          <w:p>
            <w:pPr>
              <w:spacing w:line="360" w:lineRule="auto"/>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ascii="宋体" w:hAnsi="宋体"/>
                <w:sz w:val="22"/>
                <w:szCs w:val="22"/>
              </w:rPr>
            </w:pPr>
          </w:p>
        </w:tc>
        <w:tc>
          <w:tcPr>
            <w:tcW w:w="4647" w:type="dxa"/>
            <w:noWrap w:val="0"/>
            <w:vAlign w:val="center"/>
          </w:tcPr>
          <w:p>
            <w:pPr>
              <w:spacing w:line="360" w:lineRule="auto"/>
              <w:rPr>
                <w:rFonts w:ascii="宋体" w:hAnsi="宋体"/>
                <w:b/>
                <w:bCs/>
                <w:sz w:val="22"/>
                <w:szCs w:val="22"/>
              </w:rPr>
            </w:pPr>
          </w:p>
        </w:tc>
        <w:tc>
          <w:tcPr>
            <w:tcW w:w="1575" w:type="dxa"/>
            <w:noWrap w:val="0"/>
            <w:vAlign w:val="center"/>
          </w:tcPr>
          <w:p>
            <w:pPr>
              <w:spacing w:line="360" w:lineRule="auto"/>
              <w:jc w:val="center"/>
              <w:rPr>
                <w:rFonts w:ascii="宋体" w:hAnsi="宋体"/>
                <w:sz w:val="22"/>
                <w:szCs w:val="22"/>
              </w:rPr>
            </w:pPr>
          </w:p>
        </w:tc>
        <w:tc>
          <w:tcPr>
            <w:tcW w:w="1185" w:type="dxa"/>
            <w:noWrap w:val="0"/>
            <w:vAlign w:val="center"/>
          </w:tcPr>
          <w:p>
            <w:pPr>
              <w:spacing w:line="360" w:lineRule="auto"/>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ascii="宋体" w:hAnsi="宋体"/>
                <w:sz w:val="22"/>
                <w:szCs w:val="22"/>
              </w:rPr>
            </w:pPr>
          </w:p>
        </w:tc>
        <w:tc>
          <w:tcPr>
            <w:tcW w:w="4647" w:type="dxa"/>
            <w:noWrap w:val="0"/>
            <w:vAlign w:val="center"/>
          </w:tcPr>
          <w:p>
            <w:pPr>
              <w:spacing w:line="360" w:lineRule="auto"/>
              <w:rPr>
                <w:rFonts w:ascii="宋体" w:hAnsi="宋体"/>
                <w:sz w:val="22"/>
                <w:szCs w:val="22"/>
              </w:rPr>
            </w:pPr>
          </w:p>
        </w:tc>
        <w:tc>
          <w:tcPr>
            <w:tcW w:w="1575" w:type="dxa"/>
            <w:noWrap w:val="0"/>
            <w:vAlign w:val="center"/>
          </w:tcPr>
          <w:p>
            <w:pPr>
              <w:spacing w:line="360" w:lineRule="auto"/>
              <w:jc w:val="center"/>
              <w:rPr>
                <w:rFonts w:ascii="宋体" w:hAnsi="宋体"/>
                <w:sz w:val="22"/>
                <w:szCs w:val="22"/>
              </w:rPr>
            </w:pPr>
          </w:p>
        </w:tc>
        <w:tc>
          <w:tcPr>
            <w:tcW w:w="1185" w:type="dxa"/>
            <w:noWrap w:val="0"/>
            <w:vAlign w:val="center"/>
          </w:tcPr>
          <w:p>
            <w:pPr>
              <w:spacing w:line="360" w:lineRule="auto"/>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ascii="宋体" w:hAnsi="宋体"/>
                <w:sz w:val="22"/>
                <w:szCs w:val="22"/>
              </w:rPr>
            </w:pPr>
          </w:p>
        </w:tc>
        <w:tc>
          <w:tcPr>
            <w:tcW w:w="4647" w:type="dxa"/>
            <w:noWrap w:val="0"/>
            <w:vAlign w:val="center"/>
          </w:tcPr>
          <w:p>
            <w:pPr>
              <w:spacing w:line="360" w:lineRule="auto"/>
              <w:rPr>
                <w:rFonts w:ascii="宋体" w:hAnsi="宋体"/>
                <w:sz w:val="22"/>
                <w:szCs w:val="22"/>
              </w:rPr>
            </w:pPr>
          </w:p>
        </w:tc>
        <w:tc>
          <w:tcPr>
            <w:tcW w:w="1575" w:type="dxa"/>
            <w:noWrap w:val="0"/>
            <w:vAlign w:val="center"/>
          </w:tcPr>
          <w:p>
            <w:pPr>
              <w:spacing w:line="360" w:lineRule="auto"/>
              <w:jc w:val="center"/>
              <w:rPr>
                <w:rFonts w:ascii="宋体" w:hAnsi="宋体"/>
                <w:sz w:val="22"/>
                <w:szCs w:val="22"/>
              </w:rPr>
            </w:pPr>
          </w:p>
        </w:tc>
        <w:tc>
          <w:tcPr>
            <w:tcW w:w="1185" w:type="dxa"/>
            <w:noWrap w:val="0"/>
            <w:vAlign w:val="center"/>
          </w:tcPr>
          <w:p>
            <w:pPr>
              <w:spacing w:line="360" w:lineRule="auto"/>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ascii="宋体" w:hAnsi="宋体"/>
                <w:sz w:val="22"/>
                <w:szCs w:val="22"/>
              </w:rPr>
            </w:pPr>
          </w:p>
        </w:tc>
        <w:tc>
          <w:tcPr>
            <w:tcW w:w="4647" w:type="dxa"/>
            <w:noWrap w:val="0"/>
            <w:vAlign w:val="center"/>
          </w:tcPr>
          <w:p>
            <w:pPr>
              <w:spacing w:line="360" w:lineRule="auto"/>
              <w:rPr>
                <w:rFonts w:ascii="宋体" w:hAnsi="宋体"/>
                <w:sz w:val="22"/>
                <w:szCs w:val="22"/>
              </w:rPr>
            </w:pPr>
          </w:p>
        </w:tc>
        <w:tc>
          <w:tcPr>
            <w:tcW w:w="1575" w:type="dxa"/>
            <w:noWrap w:val="0"/>
            <w:vAlign w:val="center"/>
          </w:tcPr>
          <w:p>
            <w:pPr>
              <w:spacing w:line="360" w:lineRule="auto"/>
              <w:jc w:val="center"/>
              <w:rPr>
                <w:rFonts w:ascii="宋体" w:hAnsi="宋体"/>
                <w:sz w:val="22"/>
                <w:szCs w:val="22"/>
              </w:rPr>
            </w:pPr>
          </w:p>
        </w:tc>
        <w:tc>
          <w:tcPr>
            <w:tcW w:w="1185" w:type="dxa"/>
            <w:noWrap w:val="0"/>
            <w:vAlign w:val="center"/>
          </w:tcPr>
          <w:p>
            <w:pPr>
              <w:spacing w:line="360" w:lineRule="auto"/>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ascii="宋体" w:hAnsi="宋体"/>
                <w:sz w:val="22"/>
                <w:szCs w:val="22"/>
              </w:rPr>
            </w:pPr>
          </w:p>
        </w:tc>
        <w:tc>
          <w:tcPr>
            <w:tcW w:w="4647" w:type="dxa"/>
            <w:noWrap w:val="0"/>
            <w:vAlign w:val="center"/>
          </w:tcPr>
          <w:p>
            <w:pPr>
              <w:spacing w:line="360" w:lineRule="auto"/>
              <w:rPr>
                <w:rFonts w:ascii="宋体" w:hAnsi="宋体"/>
                <w:sz w:val="22"/>
                <w:szCs w:val="22"/>
              </w:rPr>
            </w:pPr>
          </w:p>
        </w:tc>
        <w:tc>
          <w:tcPr>
            <w:tcW w:w="1575" w:type="dxa"/>
            <w:noWrap w:val="0"/>
            <w:vAlign w:val="center"/>
          </w:tcPr>
          <w:p>
            <w:pPr>
              <w:spacing w:line="360" w:lineRule="auto"/>
              <w:jc w:val="center"/>
              <w:rPr>
                <w:rFonts w:ascii="宋体" w:hAnsi="宋体"/>
                <w:sz w:val="22"/>
                <w:szCs w:val="22"/>
              </w:rPr>
            </w:pPr>
          </w:p>
        </w:tc>
        <w:tc>
          <w:tcPr>
            <w:tcW w:w="1185" w:type="dxa"/>
            <w:noWrap w:val="0"/>
            <w:vAlign w:val="center"/>
          </w:tcPr>
          <w:p>
            <w:pPr>
              <w:spacing w:line="360" w:lineRule="auto"/>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ascii="宋体" w:hAnsi="宋体"/>
                <w:sz w:val="22"/>
                <w:szCs w:val="22"/>
              </w:rPr>
            </w:pPr>
          </w:p>
        </w:tc>
        <w:tc>
          <w:tcPr>
            <w:tcW w:w="4647" w:type="dxa"/>
            <w:noWrap w:val="0"/>
            <w:vAlign w:val="center"/>
          </w:tcPr>
          <w:p>
            <w:pPr>
              <w:spacing w:line="360" w:lineRule="auto"/>
              <w:rPr>
                <w:rFonts w:ascii="宋体" w:hAnsi="宋体"/>
                <w:sz w:val="22"/>
                <w:szCs w:val="22"/>
              </w:rPr>
            </w:pPr>
          </w:p>
        </w:tc>
        <w:tc>
          <w:tcPr>
            <w:tcW w:w="1575" w:type="dxa"/>
            <w:noWrap w:val="0"/>
            <w:vAlign w:val="center"/>
          </w:tcPr>
          <w:p>
            <w:pPr>
              <w:spacing w:line="360" w:lineRule="auto"/>
              <w:jc w:val="center"/>
              <w:rPr>
                <w:rFonts w:ascii="宋体" w:hAnsi="宋体"/>
                <w:sz w:val="22"/>
                <w:szCs w:val="22"/>
              </w:rPr>
            </w:pPr>
          </w:p>
        </w:tc>
        <w:tc>
          <w:tcPr>
            <w:tcW w:w="1185" w:type="dxa"/>
            <w:noWrap w:val="0"/>
            <w:vAlign w:val="center"/>
          </w:tcPr>
          <w:p>
            <w:pPr>
              <w:spacing w:line="360" w:lineRule="auto"/>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ascii="宋体" w:hAnsi="宋体"/>
                <w:sz w:val="22"/>
                <w:szCs w:val="22"/>
              </w:rPr>
            </w:pPr>
          </w:p>
        </w:tc>
        <w:tc>
          <w:tcPr>
            <w:tcW w:w="4647" w:type="dxa"/>
            <w:noWrap w:val="0"/>
            <w:vAlign w:val="center"/>
          </w:tcPr>
          <w:p>
            <w:pPr>
              <w:spacing w:line="360" w:lineRule="auto"/>
              <w:rPr>
                <w:rFonts w:ascii="宋体" w:hAnsi="宋体"/>
                <w:sz w:val="22"/>
                <w:szCs w:val="22"/>
              </w:rPr>
            </w:pPr>
          </w:p>
        </w:tc>
        <w:tc>
          <w:tcPr>
            <w:tcW w:w="1575" w:type="dxa"/>
            <w:noWrap w:val="0"/>
            <w:vAlign w:val="center"/>
          </w:tcPr>
          <w:p>
            <w:pPr>
              <w:spacing w:line="360" w:lineRule="auto"/>
              <w:jc w:val="center"/>
              <w:rPr>
                <w:rFonts w:ascii="宋体" w:hAnsi="宋体"/>
                <w:sz w:val="22"/>
                <w:szCs w:val="22"/>
              </w:rPr>
            </w:pPr>
          </w:p>
        </w:tc>
        <w:tc>
          <w:tcPr>
            <w:tcW w:w="1185" w:type="dxa"/>
            <w:noWrap w:val="0"/>
            <w:vAlign w:val="center"/>
          </w:tcPr>
          <w:p>
            <w:pPr>
              <w:spacing w:line="360" w:lineRule="auto"/>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ascii="宋体" w:hAnsi="宋体"/>
                <w:sz w:val="22"/>
                <w:szCs w:val="22"/>
              </w:rPr>
            </w:pPr>
          </w:p>
        </w:tc>
        <w:tc>
          <w:tcPr>
            <w:tcW w:w="4647" w:type="dxa"/>
            <w:noWrap w:val="0"/>
            <w:vAlign w:val="center"/>
          </w:tcPr>
          <w:p>
            <w:pPr>
              <w:spacing w:line="360" w:lineRule="auto"/>
              <w:rPr>
                <w:rFonts w:ascii="宋体" w:hAnsi="宋体"/>
                <w:sz w:val="22"/>
                <w:szCs w:val="22"/>
              </w:rPr>
            </w:pPr>
          </w:p>
        </w:tc>
        <w:tc>
          <w:tcPr>
            <w:tcW w:w="1575" w:type="dxa"/>
            <w:noWrap w:val="0"/>
            <w:vAlign w:val="center"/>
          </w:tcPr>
          <w:p>
            <w:pPr>
              <w:spacing w:line="360" w:lineRule="auto"/>
              <w:jc w:val="center"/>
              <w:rPr>
                <w:rFonts w:ascii="宋体" w:hAnsi="宋体"/>
                <w:sz w:val="22"/>
                <w:szCs w:val="22"/>
              </w:rPr>
            </w:pPr>
          </w:p>
        </w:tc>
        <w:tc>
          <w:tcPr>
            <w:tcW w:w="1185" w:type="dxa"/>
            <w:noWrap w:val="0"/>
            <w:vAlign w:val="center"/>
          </w:tcPr>
          <w:p>
            <w:pPr>
              <w:spacing w:line="360" w:lineRule="auto"/>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ascii="宋体" w:hAnsi="宋体"/>
                <w:sz w:val="22"/>
                <w:szCs w:val="22"/>
              </w:rPr>
            </w:pPr>
          </w:p>
        </w:tc>
        <w:tc>
          <w:tcPr>
            <w:tcW w:w="4647" w:type="dxa"/>
            <w:noWrap w:val="0"/>
            <w:vAlign w:val="center"/>
          </w:tcPr>
          <w:p>
            <w:pPr>
              <w:spacing w:line="360" w:lineRule="auto"/>
              <w:rPr>
                <w:rFonts w:ascii="宋体" w:hAnsi="宋体"/>
                <w:sz w:val="22"/>
                <w:szCs w:val="22"/>
              </w:rPr>
            </w:pPr>
          </w:p>
        </w:tc>
        <w:tc>
          <w:tcPr>
            <w:tcW w:w="1575" w:type="dxa"/>
            <w:noWrap w:val="0"/>
            <w:vAlign w:val="center"/>
          </w:tcPr>
          <w:p>
            <w:pPr>
              <w:spacing w:line="360" w:lineRule="auto"/>
              <w:jc w:val="center"/>
              <w:rPr>
                <w:rFonts w:ascii="宋体" w:hAnsi="宋体"/>
                <w:sz w:val="22"/>
                <w:szCs w:val="22"/>
              </w:rPr>
            </w:pPr>
          </w:p>
        </w:tc>
        <w:tc>
          <w:tcPr>
            <w:tcW w:w="1185" w:type="dxa"/>
            <w:noWrap w:val="0"/>
            <w:vAlign w:val="center"/>
          </w:tcPr>
          <w:p>
            <w:pPr>
              <w:spacing w:line="360" w:lineRule="auto"/>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ascii="宋体" w:hAnsi="宋体"/>
                <w:sz w:val="22"/>
                <w:szCs w:val="22"/>
              </w:rPr>
            </w:pPr>
          </w:p>
        </w:tc>
        <w:tc>
          <w:tcPr>
            <w:tcW w:w="4647" w:type="dxa"/>
            <w:noWrap w:val="0"/>
            <w:vAlign w:val="center"/>
          </w:tcPr>
          <w:p>
            <w:pPr>
              <w:spacing w:line="360" w:lineRule="auto"/>
              <w:rPr>
                <w:rFonts w:ascii="宋体" w:hAnsi="宋体"/>
                <w:sz w:val="22"/>
                <w:szCs w:val="22"/>
              </w:rPr>
            </w:pPr>
          </w:p>
        </w:tc>
        <w:tc>
          <w:tcPr>
            <w:tcW w:w="1575" w:type="dxa"/>
            <w:noWrap w:val="0"/>
            <w:vAlign w:val="center"/>
          </w:tcPr>
          <w:p>
            <w:pPr>
              <w:spacing w:line="360" w:lineRule="auto"/>
              <w:jc w:val="center"/>
              <w:rPr>
                <w:rFonts w:ascii="宋体" w:hAnsi="宋体"/>
                <w:sz w:val="22"/>
                <w:szCs w:val="22"/>
              </w:rPr>
            </w:pPr>
          </w:p>
        </w:tc>
        <w:tc>
          <w:tcPr>
            <w:tcW w:w="1185" w:type="dxa"/>
            <w:noWrap w:val="0"/>
            <w:vAlign w:val="center"/>
          </w:tcPr>
          <w:p>
            <w:pPr>
              <w:spacing w:line="360" w:lineRule="auto"/>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ascii="宋体" w:hAnsi="宋体"/>
                <w:sz w:val="22"/>
                <w:szCs w:val="22"/>
              </w:rPr>
            </w:pPr>
          </w:p>
        </w:tc>
        <w:tc>
          <w:tcPr>
            <w:tcW w:w="4647" w:type="dxa"/>
            <w:noWrap w:val="0"/>
            <w:vAlign w:val="center"/>
          </w:tcPr>
          <w:p>
            <w:pPr>
              <w:spacing w:line="360" w:lineRule="auto"/>
              <w:rPr>
                <w:rFonts w:ascii="宋体" w:hAnsi="宋体"/>
                <w:sz w:val="22"/>
                <w:szCs w:val="22"/>
              </w:rPr>
            </w:pPr>
          </w:p>
        </w:tc>
        <w:tc>
          <w:tcPr>
            <w:tcW w:w="1575" w:type="dxa"/>
            <w:noWrap w:val="0"/>
            <w:vAlign w:val="center"/>
          </w:tcPr>
          <w:p>
            <w:pPr>
              <w:spacing w:line="360" w:lineRule="auto"/>
              <w:jc w:val="center"/>
              <w:rPr>
                <w:rFonts w:ascii="宋体" w:hAnsi="宋体"/>
                <w:sz w:val="22"/>
                <w:szCs w:val="22"/>
              </w:rPr>
            </w:pPr>
          </w:p>
        </w:tc>
        <w:tc>
          <w:tcPr>
            <w:tcW w:w="1185" w:type="dxa"/>
            <w:noWrap w:val="0"/>
            <w:vAlign w:val="center"/>
          </w:tcPr>
          <w:p>
            <w:pPr>
              <w:spacing w:line="360" w:lineRule="auto"/>
              <w:jc w:val="center"/>
              <w:rPr>
                <w:rFonts w:ascii="宋体" w:hAnsi="宋体"/>
                <w:sz w:val="22"/>
                <w:szCs w:val="22"/>
              </w:rPr>
            </w:pPr>
          </w:p>
        </w:tc>
      </w:tr>
    </w:tbl>
    <w:p>
      <w:pPr>
        <w:snapToGrid w:val="0"/>
        <w:spacing w:before="50"/>
        <w:rPr>
          <w:rFonts w:hint="eastAsia" w:ascii="宋体" w:hAnsi="宋体"/>
          <w:sz w:val="22"/>
          <w:szCs w:val="22"/>
        </w:rPr>
      </w:pPr>
    </w:p>
    <w:p>
      <w:pPr>
        <w:spacing w:line="360" w:lineRule="auto"/>
        <w:ind w:right="40"/>
        <w:jc w:val="right"/>
        <w:rPr>
          <w:rFonts w:hint="eastAsia" w:ascii="宋体" w:hAnsi="宋体"/>
          <w:sz w:val="22"/>
          <w:szCs w:val="22"/>
        </w:rPr>
      </w:pPr>
      <w:r>
        <w:rPr>
          <w:rFonts w:hint="eastAsia" w:ascii="宋体" w:hAnsi="宋体"/>
          <w:sz w:val="22"/>
          <w:szCs w:val="22"/>
        </w:rPr>
        <w:t>投标人：</w:t>
      </w:r>
      <w:r>
        <w:rPr>
          <w:rFonts w:hint="eastAsia" w:ascii="宋体" w:hAnsi="宋体"/>
          <w:sz w:val="22"/>
          <w:szCs w:val="22"/>
          <w:u w:val="single"/>
        </w:rPr>
        <w:t>（盖章）</w:t>
      </w:r>
    </w:p>
    <w:p>
      <w:pPr>
        <w:spacing w:line="360" w:lineRule="auto"/>
        <w:ind w:right="40"/>
        <w:jc w:val="right"/>
        <w:rPr>
          <w:rFonts w:hint="eastAsia" w:ascii="宋体" w:hAnsi="宋体"/>
          <w:sz w:val="22"/>
          <w:szCs w:val="22"/>
        </w:rPr>
      </w:pPr>
      <w:r>
        <w:rPr>
          <w:rFonts w:hint="eastAsia" w:ascii="宋体" w:hAnsi="宋体"/>
          <w:sz w:val="22"/>
          <w:szCs w:val="22"/>
        </w:rPr>
        <w:t xml:space="preserve">法定代表人或其委托代理人： </w:t>
      </w:r>
      <w:r>
        <w:rPr>
          <w:rFonts w:hint="eastAsia" w:ascii="宋体" w:hAnsi="宋体"/>
          <w:sz w:val="22"/>
          <w:szCs w:val="22"/>
          <w:u w:val="single"/>
        </w:rPr>
        <w:t>（签字或盖章）</w:t>
      </w:r>
    </w:p>
    <w:p>
      <w:pPr>
        <w:spacing w:line="360" w:lineRule="auto"/>
        <w:ind w:right="180"/>
        <w:jc w:val="right"/>
        <w:rPr>
          <w:rFonts w:hint="eastAsia" w:ascii="宋体" w:hAnsi="宋体"/>
          <w:sz w:val="22"/>
          <w:szCs w:val="22"/>
        </w:rPr>
      </w:pPr>
      <w:r>
        <w:rPr>
          <w:rFonts w:hint="eastAsia" w:ascii="宋体" w:hAnsi="宋体"/>
          <w:sz w:val="22"/>
          <w:szCs w:val="22"/>
        </w:rPr>
        <w:t>日  期：　　年　　月　　日</w:t>
      </w:r>
    </w:p>
    <w:p>
      <w:pPr>
        <w:pStyle w:val="21"/>
        <w:spacing w:line="360" w:lineRule="auto"/>
        <w:ind w:left="0" w:leftChars="0"/>
        <w:rPr>
          <w:rFonts w:ascii="宋体" w:hAnsi="宋体"/>
          <w:sz w:val="22"/>
          <w:szCs w:val="22"/>
          <w:u w:val="single"/>
        </w:rPr>
      </w:pPr>
      <w:r>
        <w:rPr>
          <w:rFonts w:hint="eastAsia" w:ascii="宋体" w:hAnsi="宋体"/>
          <w:sz w:val="22"/>
          <w:szCs w:val="22"/>
          <w:u w:val="single"/>
        </w:rPr>
        <w:t>备注填写说明：1、列明采购文件的</w:t>
      </w:r>
      <w:r>
        <w:rPr>
          <w:rFonts w:hint="eastAsia" w:ascii="宋体" w:hAnsi="宋体" w:cs="宋体"/>
          <w:sz w:val="22"/>
          <w:szCs w:val="22"/>
          <w:u w:val="single"/>
        </w:rPr>
        <w:t>服务条款</w:t>
      </w:r>
      <w:r>
        <w:rPr>
          <w:rFonts w:hint="eastAsia" w:ascii="宋体" w:hAnsi="宋体"/>
          <w:sz w:val="22"/>
          <w:szCs w:val="22"/>
          <w:u w:val="single"/>
        </w:rPr>
        <w:t>与投标文件对应响应，并说明偏离状况；2、若均无偏离在本表空白处醒目地注明“无任何服务条款偏离”的字样即可。</w:t>
      </w:r>
    </w:p>
    <w:p>
      <w:pPr>
        <w:snapToGrid w:val="0"/>
        <w:spacing w:before="50"/>
        <w:rPr>
          <w:rFonts w:hint="eastAsia" w:ascii="宋体" w:hAnsi="宋体"/>
          <w:szCs w:val="21"/>
        </w:rPr>
      </w:pPr>
    </w:p>
    <w:p>
      <w:pPr>
        <w:snapToGrid w:val="0"/>
        <w:spacing w:before="50"/>
        <w:rPr>
          <w:rFonts w:hint="eastAsia" w:ascii="宋体" w:hAnsi="宋体"/>
          <w:sz w:val="22"/>
          <w:szCs w:val="22"/>
        </w:rPr>
      </w:pPr>
      <w:r>
        <w:rPr>
          <w:rFonts w:hint="eastAsia" w:ascii="宋体" w:hAnsi="宋体"/>
          <w:szCs w:val="21"/>
        </w:rPr>
        <w:br w:type="page"/>
      </w:r>
    </w:p>
    <w:p>
      <w:pPr>
        <w:snapToGrid w:val="0"/>
        <w:spacing w:before="50" w:after="156" w:afterLines="50" w:line="360" w:lineRule="auto"/>
        <w:jc w:val="center"/>
        <w:rPr>
          <w:rFonts w:hint="eastAsia" w:ascii="宋体" w:hAnsi="宋体" w:cs="宋体"/>
          <w:b/>
          <w:bCs/>
          <w:sz w:val="32"/>
          <w:szCs w:val="32"/>
        </w:rPr>
      </w:pPr>
      <w:r>
        <w:rPr>
          <w:rFonts w:hint="eastAsia" w:ascii="宋体" w:hAnsi="宋体" w:cs="宋体"/>
          <w:b/>
          <w:bCs/>
          <w:sz w:val="32"/>
          <w:szCs w:val="32"/>
        </w:rPr>
        <w:t>商务条款偏离表</w:t>
      </w:r>
    </w:p>
    <w:p>
      <w:pPr>
        <w:snapToGrid w:val="0"/>
        <w:spacing w:before="50"/>
        <w:rPr>
          <w:rFonts w:hint="eastAsia" w:ascii="宋体" w:hAnsi="宋体"/>
          <w:sz w:val="22"/>
          <w:szCs w:val="22"/>
          <w:u w:val="single"/>
        </w:rPr>
      </w:pPr>
      <w:r>
        <w:rPr>
          <w:rFonts w:hint="eastAsia" w:ascii="宋体" w:hAnsi="宋体"/>
          <w:sz w:val="22"/>
          <w:szCs w:val="22"/>
        </w:rPr>
        <w:t xml:space="preserve">项目名称：                      </w:t>
      </w:r>
    </w:p>
    <w:tbl>
      <w:tblPr>
        <w:tblStyle w:val="5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0"/>
            <w:vAlign w:val="center"/>
          </w:tcPr>
          <w:p>
            <w:pPr>
              <w:spacing w:line="360" w:lineRule="auto"/>
              <w:jc w:val="center"/>
              <w:rPr>
                <w:rFonts w:ascii="宋体" w:hAnsi="宋体"/>
                <w:sz w:val="22"/>
                <w:szCs w:val="22"/>
              </w:rPr>
            </w:pPr>
            <w:r>
              <w:rPr>
                <w:rFonts w:hint="eastAsia" w:ascii="宋体" w:hAnsi="宋体" w:cs="宋体"/>
                <w:sz w:val="22"/>
                <w:szCs w:val="22"/>
              </w:rPr>
              <w:t>条款号</w:t>
            </w:r>
          </w:p>
        </w:tc>
        <w:tc>
          <w:tcPr>
            <w:tcW w:w="4647" w:type="dxa"/>
            <w:noWrap w:val="0"/>
            <w:vAlign w:val="center"/>
          </w:tcPr>
          <w:p>
            <w:pPr>
              <w:spacing w:line="360" w:lineRule="auto"/>
              <w:jc w:val="center"/>
              <w:rPr>
                <w:rFonts w:ascii="宋体" w:hAnsi="宋体"/>
                <w:sz w:val="22"/>
                <w:szCs w:val="22"/>
              </w:rPr>
            </w:pPr>
            <w:r>
              <w:rPr>
                <w:rFonts w:hint="eastAsia" w:ascii="宋体" w:hAnsi="宋体" w:cs="宋体"/>
                <w:sz w:val="22"/>
                <w:szCs w:val="22"/>
              </w:rPr>
              <w:t>采购文件的商务条款</w:t>
            </w:r>
          </w:p>
        </w:tc>
        <w:tc>
          <w:tcPr>
            <w:tcW w:w="1575" w:type="dxa"/>
            <w:noWrap w:val="0"/>
            <w:vAlign w:val="center"/>
          </w:tcPr>
          <w:p>
            <w:pPr>
              <w:spacing w:line="360" w:lineRule="auto"/>
              <w:jc w:val="center"/>
              <w:rPr>
                <w:rFonts w:ascii="宋体" w:hAnsi="宋体"/>
                <w:sz w:val="22"/>
                <w:szCs w:val="22"/>
              </w:rPr>
            </w:pPr>
            <w:r>
              <w:rPr>
                <w:rFonts w:hint="eastAsia" w:ascii="宋体" w:hAnsi="宋体" w:cs="宋体"/>
                <w:sz w:val="22"/>
                <w:szCs w:val="22"/>
              </w:rPr>
              <w:t>投标文件的</w:t>
            </w:r>
          </w:p>
          <w:p>
            <w:pPr>
              <w:spacing w:line="360" w:lineRule="auto"/>
              <w:jc w:val="center"/>
              <w:rPr>
                <w:rFonts w:ascii="宋体" w:hAnsi="宋体"/>
                <w:sz w:val="22"/>
                <w:szCs w:val="22"/>
              </w:rPr>
            </w:pPr>
            <w:r>
              <w:rPr>
                <w:rFonts w:hint="eastAsia" w:ascii="宋体" w:hAnsi="宋体" w:cs="宋体"/>
                <w:sz w:val="22"/>
                <w:szCs w:val="22"/>
              </w:rPr>
              <w:t>响应情况</w:t>
            </w:r>
          </w:p>
        </w:tc>
        <w:tc>
          <w:tcPr>
            <w:tcW w:w="1185" w:type="dxa"/>
            <w:noWrap w:val="0"/>
            <w:vAlign w:val="center"/>
          </w:tcPr>
          <w:p>
            <w:pPr>
              <w:spacing w:line="360" w:lineRule="auto"/>
              <w:jc w:val="center"/>
              <w:rPr>
                <w:rFonts w:ascii="宋体" w:hAnsi="宋体"/>
                <w:sz w:val="22"/>
                <w:szCs w:val="22"/>
              </w:rPr>
            </w:pPr>
            <w:r>
              <w:rPr>
                <w:rFonts w:hint="eastAsia" w:ascii="宋体" w:hAnsi="宋体" w:cs="宋体"/>
                <w:sz w:val="22"/>
                <w:szCs w:val="22"/>
              </w:rPr>
              <w:t>说明（偏离</w:t>
            </w:r>
            <w:r>
              <w:rPr>
                <w:rFonts w:ascii="宋体" w:hAnsi="宋体" w:cs="宋体"/>
                <w:sz w:val="22"/>
                <w:szCs w:val="22"/>
              </w:rPr>
              <w:t>/</w:t>
            </w:r>
            <w:r>
              <w:rPr>
                <w:rFonts w:hint="eastAsia" w:ascii="宋体" w:hAnsi="宋体" w:cs="宋体"/>
                <w:sz w:val="22"/>
                <w:szCs w:val="22"/>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ascii="宋体" w:hAnsi="宋体"/>
                <w:sz w:val="22"/>
                <w:szCs w:val="22"/>
              </w:rPr>
            </w:pPr>
          </w:p>
        </w:tc>
        <w:tc>
          <w:tcPr>
            <w:tcW w:w="4647" w:type="dxa"/>
            <w:noWrap w:val="0"/>
            <w:vAlign w:val="center"/>
          </w:tcPr>
          <w:p>
            <w:pPr>
              <w:spacing w:line="360" w:lineRule="auto"/>
              <w:rPr>
                <w:rFonts w:ascii="宋体" w:hAnsi="宋体"/>
                <w:b/>
                <w:bCs/>
                <w:sz w:val="22"/>
                <w:szCs w:val="22"/>
              </w:rPr>
            </w:pPr>
          </w:p>
        </w:tc>
        <w:tc>
          <w:tcPr>
            <w:tcW w:w="1575" w:type="dxa"/>
            <w:noWrap w:val="0"/>
            <w:vAlign w:val="center"/>
          </w:tcPr>
          <w:p>
            <w:pPr>
              <w:spacing w:line="360" w:lineRule="auto"/>
              <w:jc w:val="center"/>
              <w:rPr>
                <w:rFonts w:ascii="宋体" w:hAnsi="宋体"/>
                <w:sz w:val="22"/>
                <w:szCs w:val="22"/>
              </w:rPr>
            </w:pPr>
          </w:p>
        </w:tc>
        <w:tc>
          <w:tcPr>
            <w:tcW w:w="1185" w:type="dxa"/>
            <w:noWrap w:val="0"/>
            <w:vAlign w:val="center"/>
          </w:tcPr>
          <w:p>
            <w:pPr>
              <w:spacing w:line="360" w:lineRule="auto"/>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ascii="宋体" w:hAnsi="宋体"/>
                <w:sz w:val="22"/>
                <w:szCs w:val="22"/>
              </w:rPr>
            </w:pPr>
          </w:p>
        </w:tc>
        <w:tc>
          <w:tcPr>
            <w:tcW w:w="4647" w:type="dxa"/>
            <w:noWrap w:val="0"/>
            <w:vAlign w:val="center"/>
          </w:tcPr>
          <w:p>
            <w:pPr>
              <w:spacing w:line="360" w:lineRule="auto"/>
              <w:rPr>
                <w:rFonts w:ascii="宋体" w:hAnsi="宋体"/>
                <w:b/>
                <w:bCs/>
                <w:sz w:val="22"/>
                <w:szCs w:val="22"/>
              </w:rPr>
            </w:pPr>
          </w:p>
        </w:tc>
        <w:tc>
          <w:tcPr>
            <w:tcW w:w="1575" w:type="dxa"/>
            <w:noWrap w:val="0"/>
            <w:vAlign w:val="center"/>
          </w:tcPr>
          <w:p>
            <w:pPr>
              <w:spacing w:line="360" w:lineRule="auto"/>
              <w:jc w:val="center"/>
              <w:rPr>
                <w:rFonts w:ascii="宋体" w:hAnsi="宋体"/>
                <w:sz w:val="22"/>
                <w:szCs w:val="22"/>
              </w:rPr>
            </w:pPr>
          </w:p>
        </w:tc>
        <w:tc>
          <w:tcPr>
            <w:tcW w:w="1185" w:type="dxa"/>
            <w:noWrap w:val="0"/>
            <w:vAlign w:val="center"/>
          </w:tcPr>
          <w:p>
            <w:pPr>
              <w:spacing w:line="360" w:lineRule="auto"/>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ascii="宋体" w:hAnsi="宋体"/>
                <w:sz w:val="22"/>
                <w:szCs w:val="22"/>
              </w:rPr>
            </w:pPr>
          </w:p>
        </w:tc>
        <w:tc>
          <w:tcPr>
            <w:tcW w:w="4647" w:type="dxa"/>
            <w:noWrap w:val="0"/>
            <w:vAlign w:val="center"/>
          </w:tcPr>
          <w:p>
            <w:pPr>
              <w:spacing w:line="360" w:lineRule="auto"/>
              <w:rPr>
                <w:rFonts w:ascii="宋体" w:hAnsi="宋体"/>
                <w:b/>
                <w:bCs/>
                <w:sz w:val="22"/>
                <w:szCs w:val="22"/>
              </w:rPr>
            </w:pPr>
          </w:p>
        </w:tc>
        <w:tc>
          <w:tcPr>
            <w:tcW w:w="1575" w:type="dxa"/>
            <w:noWrap w:val="0"/>
            <w:vAlign w:val="center"/>
          </w:tcPr>
          <w:p>
            <w:pPr>
              <w:spacing w:line="360" w:lineRule="auto"/>
              <w:jc w:val="center"/>
              <w:rPr>
                <w:rFonts w:ascii="宋体" w:hAnsi="宋体"/>
                <w:sz w:val="22"/>
                <w:szCs w:val="22"/>
              </w:rPr>
            </w:pPr>
          </w:p>
        </w:tc>
        <w:tc>
          <w:tcPr>
            <w:tcW w:w="1185" w:type="dxa"/>
            <w:noWrap w:val="0"/>
            <w:vAlign w:val="center"/>
          </w:tcPr>
          <w:p>
            <w:pPr>
              <w:spacing w:line="360" w:lineRule="auto"/>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ascii="宋体" w:hAnsi="宋体"/>
                <w:sz w:val="22"/>
                <w:szCs w:val="22"/>
              </w:rPr>
            </w:pPr>
          </w:p>
        </w:tc>
        <w:tc>
          <w:tcPr>
            <w:tcW w:w="4647" w:type="dxa"/>
            <w:noWrap w:val="0"/>
            <w:vAlign w:val="center"/>
          </w:tcPr>
          <w:p>
            <w:pPr>
              <w:spacing w:line="360" w:lineRule="auto"/>
              <w:rPr>
                <w:rFonts w:ascii="宋体" w:hAnsi="宋体"/>
                <w:b/>
                <w:bCs/>
                <w:sz w:val="22"/>
                <w:szCs w:val="22"/>
              </w:rPr>
            </w:pPr>
          </w:p>
        </w:tc>
        <w:tc>
          <w:tcPr>
            <w:tcW w:w="1575" w:type="dxa"/>
            <w:noWrap w:val="0"/>
            <w:vAlign w:val="center"/>
          </w:tcPr>
          <w:p>
            <w:pPr>
              <w:spacing w:line="360" w:lineRule="auto"/>
              <w:jc w:val="center"/>
              <w:rPr>
                <w:rFonts w:ascii="宋体" w:hAnsi="宋体"/>
                <w:sz w:val="22"/>
                <w:szCs w:val="22"/>
              </w:rPr>
            </w:pPr>
          </w:p>
        </w:tc>
        <w:tc>
          <w:tcPr>
            <w:tcW w:w="1185" w:type="dxa"/>
            <w:noWrap w:val="0"/>
            <w:vAlign w:val="center"/>
          </w:tcPr>
          <w:p>
            <w:pPr>
              <w:spacing w:line="360" w:lineRule="auto"/>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ascii="宋体" w:hAnsi="宋体"/>
                <w:sz w:val="22"/>
                <w:szCs w:val="22"/>
              </w:rPr>
            </w:pPr>
          </w:p>
        </w:tc>
        <w:tc>
          <w:tcPr>
            <w:tcW w:w="4647" w:type="dxa"/>
            <w:noWrap w:val="0"/>
            <w:vAlign w:val="center"/>
          </w:tcPr>
          <w:p>
            <w:pPr>
              <w:spacing w:line="360" w:lineRule="auto"/>
              <w:rPr>
                <w:rFonts w:ascii="宋体" w:hAnsi="宋体"/>
                <w:sz w:val="22"/>
                <w:szCs w:val="22"/>
              </w:rPr>
            </w:pPr>
          </w:p>
        </w:tc>
        <w:tc>
          <w:tcPr>
            <w:tcW w:w="1575" w:type="dxa"/>
            <w:noWrap w:val="0"/>
            <w:vAlign w:val="center"/>
          </w:tcPr>
          <w:p>
            <w:pPr>
              <w:spacing w:line="360" w:lineRule="auto"/>
              <w:jc w:val="center"/>
              <w:rPr>
                <w:rFonts w:ascii="宋体" w:hAnsi="宋体"/>
                <w:sz w:val="22"/>
                <w:szCs w:val="22"/>
              </w:rPr>
            </w:pPr>
          </w:p>
        </w:tc>
        <w:tc>
          <w:tcPr>
            <w:tcW w:w="1185" w:type="dxa"/>
            <w:noWrap w:val="0"/>
            <w:vAlign w:val="center"/>
          </w:tcPr>
          <w:p>
            <w:pPr>
              <w:spacing w:line="360" w:lineRule="auto"/>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ascii="宋体" w:hAnsi="宋体"/>
                <w:sz w:val="22"/>
                <w:szCs w:val="22"/>
              </w:rPr>
            </w:pPr>
          </w:p>
        </w:tc>
        <w:tc>
          <w:tcPr>
            <w:tcW w:w="4647" w:type="dxa"/>
            <w:noWrap w:val="0"/>
            <w:vAlign w:val="center"/>
          </w:tcPr>
          <w:p>
            <w:pPr>
              <w:spacing w:line="360" w:lineRule="auto"/>
              <w:rPr>
                <w:rFonts w:ascii="宋体" w:hAnsi="宋体"/>
                <w:sz w:val="22"/>
                <w:szCs w:val="22"/>
              </w:rPr>
            </w:pPr>
          </w:p>
        </w:tc>
        <w:tc>
          <w:tcPr>
            <w:tcW w:w="1575" w:type="dxa"/>
            <w:noWrap w:val="0"/>
            <w:vAlign w:val="center"/>
          </w:tcPr>
          <w:p>
            <w:pPr>
              <w:spacing w:line="360" w:lineRule="auto"/>
              <w:jc w:val="center"/>
              <w:rPr>
                <w:rFonts w:ascii="宋体" w:hAnsi="宋体"/>
                <w:sz w:val="22"/>
                <w:szCs w:val="22"/>
              </w:rPr>
            </w:pPr>
          </w:p>
        </w:tc>
        <w:tc>
          <w:tcPr>
            <w:tcW w:w="1185" w:type="dxa"/>
            <w:noWrap w:val="0"/>
            <w:vAlign w:val="center"/>
          </w:tcPr>
          <w:p>
            <w:pPr>
              <w:spacing w:line="360" w:lineRule="auto"/>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ascii="宋体" w:hAnsi="宋体"/>
                <w:sz w:val="22"/>
                <w:szCs w:val="22"/>
              </w:rPr>
            </w:pPr>
          </w:p>
        </w:tc>
        <w:tc>
          <w:tcPr>
            <w:tcW w:w="4647" w:type="dxa"/>
            <w:noWrap w:val="0"/>
            <w:vAlign w:val="center"/>
          </w:tcPr>
          <w:p>
            <w:pPr>
              <w:spacing w:line="360" w:lineRule="auto"/>
              <w:rPr>
                <w:rFonts w:ascii="宋体" w:hAnsi="宋体"/>
                <w:sz w:val="22"/>
                <w:szCs w:val="22"/>
              </w:rPr>
            </w:pPr>
          </w:p>
        </w:tc>
        <w:tc>
          <w:tcPr>
            <w:tcW w:w="1575" w:type="dxa"/>
            <w:noWrap w:val="0"/>
            <w:vAlign w:val="center"/>
          </w:tcPr>
          <w:p>
            <w:pPr>
              <w:spacing w:line="360" w:lineRule="auto"/>
              <w:jc w:val="center"/>
              <w:rPr>
                <w:rFonts w:ascii="宋体" w:hAnsi="宋体"/>
                <w:sz w:val="22"/>
                <w:szCs w:val="22"/>
              </w:rPr>
            </w:pPr>
          </w:p>
        </w:tc>
        <w:tc>
          <w:tcPr>
            <w:tcW w:w="1185" w:type="dxa"/>
            <w:noWrap w:val="0"/>
            <w:vAlign w:val="center"/>
          </w:tcPr>
          <w:p>
            <w:pPr>
              <w:spacing w:line="360" w:lineRule="auto"/>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ascii="宋体" w:hAnsi="宋体"/>
                <w:sz w:val="22"/>
                <w:szCs w:val="22"/>
              </w:rPr>
            </w:pPr>
          </w:p>
        </w:tc>
        <w:tc>
          <w:tcPr>
            <w:tcW w:w="4647" w:type="dxa"/>
            <w:noWrap w:val="0"/>
            <w:vAlign w:val="center"/>
          </w:tcPr>
          <w:p>
            <w:pPr>
              <w:spacing w:line="360" w:lineRule="auto"/>
              <w:rPr>
                <w:rFonts w:ascii="宋体" w:hAnsi="宋体"/>
                <w:sz w:val="22"/>
                <w:szCs w:val="22"/>
              </w:rPr>
            </w:pPr>
          </w:p>
        </w:tc>
        <w:tc>
          <w:tcPr>
            <w:tcW w:w="1575" w:type="dxa"/>
            <w:noWrap w:val="0"/>
            <w:vAlign w:val="center"/>
          </w:tcPr>
          <w:p>
            <w:pPr>
              <w:spacing w:line="360" w:lineRule="auto"/>
              <w:jc w:val="center"/>
              <w:rPr>
                <w:rFonts w:ascii="宋体" w:hAnsi="宋体"/>
                <w:sz w:val="22"/>
                <w:szCs w:val="22"/>
              </w:rPr>
            </w:pPr>
          </w:p>
        </w:tc>
        <w:tc>
          <w:tcPr>
            <w:tcW w:w="1185" w:type="dxa"/>
            <w:noWrap w:val="0"/>
            <w:vAlign w:val="center"/>
          </w:tcPr>
          <w:p>
            <w:pPr>
              <w:spacing w:line="360" w:lineRule="auto"/>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ascii="宋体" w:hAnsi="宋体"/>
                <w:sz w:val="22"/>
                <w:szCs w:val="22"/>
              </w:rPr>
            </w:pPr>
          </w:p>
        </w:tc>
        <w:tc>
          <w:tcPr>
            <w:tcW w:w="4647" w:type="dxa"/>
            <w:noWrap w:val="0"/>
            <w:vAlign w:val="center"/>
          </w:tcPr>
          <w:p>
            <w:pPr>
              <w:spacing w:line="360" w:lineRule="auto"/>
              <w:rPr>
                <w:rFonts w:ascii="宋体" w:hAnsi="宋体"/>
                <w:sz w:val="22"/>
                <w:szCs w:val="22"/>
              </w:rPr>
            </w:pPr>
          </w:p>
        </w:tc>
        <w:tc>
          <w:tcPr>
            <w:tcW w:w="1575" w:type="dxa"/>
            <w:noWrap w:val="0"/>
            <w:vAlign w:val="center"/>
          </w:tcPr>
          <w:p>
            <w:pPr>
              <w:spacing w:line="360" w:lineRule="auto"/>
              <w:jc w:val="center"/>
              <w:rPr>
                <w:rFonts w:ascii="宋体" w:hAnsi="宋体"/>
                <w:sz w:val="22"/>
                <w:szCs w:val="22"/>
              </w:rPr>
            </w:pPr>
          </w:p>
        </w:tc>
        <w:tc>
          <w:tcPr>
            <w:tcW w:w="1185" w:type="dxa"/>
            <w:noWrap w:val="0"/>
            <w:vAlign w:val="center"/>
          </w:tcPr>
          <w:p>
            <w:pPr>
              <w:spacing w:line="360" w:lineRule="auto"/>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ascii="宋体" w:hAnsi="宋体"/>
                <w:sz w:val="22"/>
                <w:szCs w:val="22"/>
              </w:rPr>
            </w:pPr>
          </w:p>
        </w:tc>
        <w:tc>
          <w:tcPr>
            <w:tcW w:w="4647" w:type="dxa"/>
            <w:noWrap w:val="0"/>
            <w:vAlign w:val="center"/>
          </w:tcPr>
          <w:p>
            <w:pPr>
              <w:spacing w:line="360" w:lineRule="auto"/>
              <w:rPr>
                <w:rFonts w:ascii="宋体" w:hAnsi="宋体"/>
                <w:sz w:val="22"/>
                <w:szCs w:val="22"/>
              </w:rPr>
            </w:pPr>
          </w:p>
        </w:tc>
        <w:tc>
          <w:tcPr>
            <w:tcW w:w="1575" w:type="dxa"/>
            <w:noWrap w:val="0"/>
            <w:vAlign w:val="center"/>
          </w:tcPr>
          <w:p>
            <w:pPr>
              <w:spacing w:line="360" w:lineRule="auto"/>
              <w:jc w:val="center"/>
              <w:rPr>
                <w:rFonts w:ascii="宋体" w:hAnsi="宋体"/>
                <w:sz w:val="22"/>
                <w:szCs w:val="22"/>
              </w:rPr>
            </w:pPr>
          </w:p>
        </w:tc>
        <w:tc>
          <w:tcPr>
            <w:tcW w:w="1185" w:type="dxa"/>
            <w:noWrap w:val="0"/>
            <w:vAlign w:val="center"/>
          </w:tcPr>
          <w:p>
            <w:pPr>
              <w:spacing w:line="360" w:lineRule="auto"/>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ascii="宋体" w:hAnsi="宋体"/>
                <w:sz w:val="22"/>
                <w:szCs w:val="22"/>
              </w:rPr>
            </w:pPr>
          </w:p>
        </w:tc>
        <w:tc>
          <w:tcPr>
            <w:tcW w:w="4647" w:type="dxa"/>
            <w:noWrap w:val="0"/>
            <w:vAlign w:val="center"/>
          </w:tcPr>
          <w:p>
            <w:pPr>
              <w:spacing w:line="360" w:lineRule="auto"/>
              <w:rPr>
                <w:rFonts w:ascii="宋体" w:hAnsi="宋体"/>
                <w:sz w:val="22"/>
                <w:szCs w:val="22"/>
              </w:rPr>
            </w:pPr>
          </w:p>
        </w:tc>
        <w:tc>
          <w:tcPr>
            <w:tcW w:w="1575" w:type="dxa"/>
            <w:noWrap w:val="0"/>
            <w:vAlign w:val="center"/>
          </w:tcPr>
          <w:p>
            <w:pPr>
              <w:spacing w:line="360" w:lineRule="auto"/>
              <w:jc w:val="center"/>
              <w:rPr>
                <w:rFonts w:ascii="宋体" w:hAnsi="宋体"/>
                <w:sz w:val="22"/>
                <w:szCs w:val="22"/>
              </w:rPr>
            </w:pPr>
          </w:p>
        </w:tc>
        <w:tc>
          <w:tcPr>
            <w:tcW w:w="1185" w:type="dxa"/>
            <w:noWrap w:val="0"/>
            <w:vAlign w:val="center"/>
          </w:tcPr>
          <w:p>
            <w:pPr>
              <w:spacing w:line="360" w:lineRule="auto"/>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ascii="宋体" w:hAnsi="宋体"/>
                <w:sz w:val="22"/>
                <w:szCs w:val="22"/>
              </w:rPr>
            </w:pPr>
          </w:p>
        </w:tc>
        <w:tc>
          <w:tcPr>
            <w:tcW w:w="4647" w:type="dxa"/>
            <w:noWrap w:val="0"/>
            <w:vAlign w:val="center"/>
          </w:tcPr>
          <w:p>
            <w:pPr>
              <w:spacing w:line="360" w:lineRule="auto"/>
              <w:rPr>
                <w:rFonts w:ascii="宋体" w:hAnsi="宋体"/>
                <w:sz w:val="22"/>
                <w:szCs w:val="22"/>
              </w:rPr>
            </w:pPr>
          </w:p>
        </w:tc>
        <w:tc>
          <w:tcPr>
            <w:tcW w:w="1575" w:type="dxa"/>
            <w:noWrap w:val="0"/>
            <w:vAlign w:val="center"/>
          </w:tcPr>
          <w:p>
            <w:pPr>
              <w:spacing w:line="360" w:lineRule="auto"/>
              <w:jc w:val="center"/>
              <w:rPr>
                <w:rFonts w:ascii="宋体" w:hAnsi="宋体"/>
                <w:sz w:val="22"/>
                <w:szCs w:val="22"/>
              </w:rPr>
            </w:pPr>
          </w:p>
        </w:tc>
        <w:tc>
          <w:tcPr>
            <w:tcW w:w="1185" w:type="dxa"/>
            <w:noWrap w:val="0"/>
            <w:vAlign w:val="center"/>
          </w:tcPr>
          <w:p>
            <w:pPr>
              <w:spacing w:line="360" w:lineRule="auto"/>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ascii="宋体" w:hAnsi="宋体"/>
                <w:sz w:val="22"/>
                <w:szCs w:val="22"/>
              </w:rPr>
            </w:pPr>
          </w:p>
        </w:tc>
        <w:tc>
          <w:tcPr>
            <w:tcW w:w="4647" w:type="dxa"/>
            <w:noWrap w:val="0"/>
            <w:vAlign w:val="center"/>
          </w:tcPr>
          <w:p>
            <w:pPr>
              <w:spacing w:line="360" w:lineRule="auto"/>
              <w:rPr>
                <w:rFonts w:ascii="宋体" w:hAnsi="宋体"/>
                <w:sz w:val="22"/>
                <w:szCs w:val="22"/>
              </w:rPr>
            </w:pPr>
          </w:p>
        </w:tc>
        <w:tc>
          <w:tcPr>
            <w:tcW w:w="1575" w:type="dxa"/>
            <w:noWrap w:val="0"/>
            <w:vAlign w:val="center"/>
          </w:tcPr>
          <w:p>
            <w:pPr>
              <w:spacing w:line="360" w:lineRule="auto"/>
              <w:jc w:val="center"/>
              <w:rPr>
                <w:rFonts w:ascii="宋体" w:hAnsi="宋体"/>
                <w:sz w:val="22"/>
                <w:szCs w:val="22"/>
              </w:rPr>
            </w:pPr>
          </w:p>
        </w:tc>
        <w:tc>
          <w:tcPr>
            <w:tcW w:w="1185" w:type="dxa"/>
            <w:noWrap w:val="0"/>
            <w:vAlign w:val="center"/>
          </w:tcPr>
          <w:p>
            <w:pPr>
              <w:spacing w:line="360" w:lineRule="auto"/>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ascii="宋体" w:hAnsi="宋体"/>
                <w:sz w:val="22"/>
                <w:szCs w:val="22"/>
              </w:rPr>
            </w:pPr>
          </w:p>
        </w:tc>
        <w:tc>
          <w:tcPr>
            <w:tcW w:w="4647" w:type="dxa"/>
            <w:noWrap w:val="0"/>
            <w:vAlign w:val="center"/>
          </w:tcPr>
          <w:p>
            <w:pPr>
              <w:spacing w:line="360" w:lineRule="auto"/>
              <w:rPr>
                <w:rFonts w:ascii="宋体" w:hAnsi="宋体"/>
                <w:sz w:val="22"/>
                <w:szCs w:val="22"/>
              </w:rPr>
            </w:pPr>
          </w:p>
        </w:tc>
        <w:tc>
          <w:tcPr>
            <w:tcW w:w="1575" w:type="dxa"/>
            <w:noWrap w:val="0"/>
            <w:vAlign w:val="center"/>
          </w:tcPr>
          <w:p>
            <w:pPr>
              <w:spacing w:line="360" w:lineRule="auto"/>
              <w:jc w:val="center"/>
              <w:rPr>
                <w:rFonts w:ascii="宋体" w:hAnsi="宋体"/>
                <w:sz w:val="22"/>
                <w:szCs w:val="22"/>
              </w:rPr>
            </w:pPr>
          </w:p>
        </w:tc>
        <w:tc>
          <w:tcPr>
            <w:tcW w:w="1185" w:type="dxa"/>
            <w:noWrap w:val="0"/>
            <w:vAlign w:val="center"/>
          </w:tcPr>
          <w:p>
            <w:pPr>
              <w:spacing w:line="360" w:lineRule="auto"/>
              <w:jc w:val="center"/>
              <w:rPr>
                <w:rFonts w:ascii="宋体" w:hAnsi="宋体"/>
                <w:sz w:val="22"/>
                <w:szCs w:val="22"/>
              </w:rPr>
            </w:pPr>
          </w:p>
        </w:tc>
      </w:tr>
    </w:tbl>
    <w:p>
      <w:pPr>
        <w:snapToGrid w:val="0"/>
        <w:spacing w:before="50"/>
        <w:rPr>
          <w:rFonts w:hint="eastAsia" w:ascii="宋体" w:hAnsi="宋体"/>
          <w:sz w:val="22"/>
          <w:szCs w:val="22"/>
        </w:rPr>
      </w:pPr>
    </w:p>
    <w:p>
      <w:pPr>
        <w:spacing w:line="360" w:lineRule="auto"/>
        <w:ind w:right="40"/>
        <w:jc w:val="right"/>
        <w:rPr>
          <w:rFonts w:hint="eastAsia" w:ascii="宋体" w:hAnsi="宋体"/>
          <w:sz w:val="22"/>
          <w:szCs w:val="22"/>
        </w:rPr>
      </w:pPr>
      <w:r>
        <w:rPr>
          <w:rFonts w:hint="eastAsia" w:ascii="宋体" w:hAnsi="宋体"/>
          <w:sz w:val="22"/>
          <w:szCs w:val="22"/>
        </w:rPr>
        <w:t>投标人：</w:t>
      </w:r>
      <w:r>
        <w:rPr>
          <w:rFonts w:hint="eastAsia" w:ascii="宋体" w:hAnsi="宋体"/>
          <w:sz w:val="22"/>
          <w:szCs w:val="22"/>
          <w:u w:val="single"/>
        </w:rPr>
        <w:t>（盖章）</w:t>
      </w:r>
    </w:p>
    <w:p>
      <w:pPr>
        <w:spacing w:line="360" w:lineRule="auto"/>
        <w:ind w:right="40"/>
        <w:jc w:val="right"/>
        <w:rPr>
          <w:rFonts w:hint="eastAsia" w:ascii="宋体" w:hAnsi="宋体"/>
          <w:sz w:val="22"/>
          <w:szCs w:val="22"/>
        </w:rPr>
      </w:pPr>
      <w:r>
        <w:rPr>
          <w:rFonts w:hint="eastAsia" w:ascii="宋体" w:hAnsi="宋体"/>
          <w:sz w:val="22"/>
          <w:szCs w:val="22"/>
        </w:rPr>
        <w:t xml:space="preserve">法定代表人或其委托代理人： </w:t>
      </w:r>
      <w:r>
        <w:rPr>
          <w:rFonts w:hint="eastAsia" w:ascii="宋体" w:hAnsi="宋体"/>
          <w:sz w:val="22"/>
          <w:szCs w:val="22"/>
          <w:u w:val="single"/>
        </w:rPr>
        <w:t>（签字或盖章）</w:t>
      </w:r>
    </w:p>
    <w:p>
      <w:pPr>
        <w:spacing w:line="360" w:lineRule="auto"/>
        <w:ind w:right="180"/>
        <w:jc w:val="right"/>
        <w:rPr>
          <w:rFonts w:hint="eastAsia" w:ascii="宋体" w:hAnsi="宋体"/>
          <w:sz w:val="22"/>
          <w:szCs w:val="22"/>
        </w:rPr>
      </w:pPr>
      <w:r>
        <w:rPr>
          <w:rFonts w:hint="eastAsia" w:ascii="宋体" w:hAnsi="宋体"/>
          <w:sz w:val="22"/>
          <w:szCs w:val="22"/>
        </w:rPr>
        <w:t>日  期：　　年　　月　　日</w:t>
      </w:r>
    </w:p>
    <w:p>
      <w:pPr>
        <w:pStyle w:val="21"/>
        <w:spacing w:line="360" w:lineRule="auto"/>
        <w:ind w:left="0" w:leftChars="0"/>
        <w:rPr>
          <w:rFonts w:ascii="宋体" w:hAnsi="宋体"/>
          <w:sz w:val="22"/>
          <w:szCs w:val="22"/>
          <w:u w:val="single"/>
        </w:rPr>
      </w:pPr>
      <w:r>
        <w:rPr>
          <w:rFonts w:hint="eastAsia" w:ascii="宋体" w:hAnsi="宋体"/>
          <w:sz w:val="22"/>
          <w:szCs w:val="22"/>
          <w:u w:val="single"/>
        </w:rPr>
        <w:t>备注填写说明：1、列明采购文件的</w:t>
      </w:r>
      <w:r>
        <w:rPr>
          <w:rFonts w:hint="eastAsia" w:ascii="宋体" w:hAnsi="宋体" w:cs="宋体"/>
          <w:sz w:val="22"/>
          <w:szCs w:val="22"/>
          <w:u w:val="single"/>
        </w:rPr>
        <w:t>商务条款</w:t>
      </w:r>
      <w:r>
        <w:rPr>
          <w:rFonts w:hint="eastAsia" w:ascii="宋体" w:hAnsi="宋体"/>
          <w:sz w:val="22"/>
          <w:szCs w:val="22"/>
          <w:u w:val="single"/>
        </w:rPr>
        <w:t>与投标文件对应响应，并说明偏离状况；2、若均无偏离在本表空白处醒目地注明“无任何商务条款偏离”的字样即可。</w:t>
      </w:r>
    </w:p>
    <w:p>
      <w:pPr>
        <w:tabs>
          <w:tab w:val="left" w:pos="7480"/>
        </w:tabs>
        <w:autoSpaceDE w:val="0"/>
        <w:autoSpaceDN w:val="0"/>
        <w:adjustRightInd w:val="0"/>
        <w:spacing w:line="360" w:lineRule="exact"/>
        <w:rPr>
          <w:rFonts w:hint="eastAsia" w:ascii="黑体" w:eastAsia="黑体"/>
          <w:sz w:val="24"/>
        </w:rPr>
      </w:pPr>
    </w:p>
    <w:p>
      <w:pPr>
        <w:adjustRightInd w:val="0"/>
        <w:snapToGrid w:val="0"/>
        <w:spacing w:before="240" w:line="360" w:lineRule="auto"/>
        <w:jc w:val="center"/>
        <w:outlineLvl w:val="2"/>
        <w:rPr>
          <w:rFonts w:hint="eastAsia" w:ascii="宋体" w:hAnsi="宋体"/>
          <w:b/>
          <w:sz w:val="36"/>
        </w:rPr>
      </w:pPr>
      <w:r>
        <w:rPr>
          <w:rFonts w:hint="eastAsia" w:ascii="宋体" w:hAnsi="宋体"/>
          <w:b/>
          <w:kern w:val="0"/>
          <w:sz w:val="36"/>
        </w:rPr>
        <w:t>投标响应</w:t>
      </w:r>
      <w:r>
        <w:rPr>
          <w:rFonts w:hint="eastAsia" w:ascii="宋体" w:hAnsi="宋体"/>
          <w:b/>
          <w:sz w:val="36"/>
        </w:rPr>
        <w:t>函</w:t>
      </w:r>
    </w:p>
    <w:p>
      <w:pPr>
        <w:spacing w:after="156" w:afterLines="50" w:line="360" w:lineRule="auto"/>
        <w:rPr>
          <w:rFonts w:hint="eastAsia" w:ascii="宋体" w:hAnsi="宋体"/>
          <w:b/>
          <w:sz w:val="22"/>
          <w:szCs w:val="22"/>
          <w:u w:val="single"/>
        </w:rPr>
      </w:pPr>
      <w:r>
        <w:rPr>
          <w:rFonts w:hint="eastAsia" w:ascii="宋体" w:hAnsi="宋体"/>
          <w:b/>
          <w:sz w:val="22"/>
          <w:szCs w:val="22"/>
        </w:rPr>
        <w:t>致：</w:t>
      </w:r>
      <w:r>
        <w:rPr>
          <w:rFonts w:hint="eastAsia" w:ascii="宋体" w:hAnsi="宋体"/>
          <w:b/>
          <w:sz w:val="22"/>
          <w:szCs w:val="22"/>
          <w:u w:val="single"/>
        </w:rPr>
        <w:t>宁波市公安局镇海分局</w:t>
      </w:r>
    </w:p>
    <w:p>
      <w:pPr>
        <w:spacing w:before="31" w:beforeLines="10" w:line="360" w:lineRule="auto"/>
        <w:ind w:firstLine="330" w:firstLineChars="150"/>
        <w:rPr>
          <w:rFonts w:hint="eastAsia" w:ascii="宋体" w:hAnsi="宋体"/>
          <w:sz w:val="22"/>
          <w:szCs w:val="22"/>
        </w:rPr>
      </w:pPr>
      <w:r>
        <w:rPr>
          <w:rFonts w:hint="eastAsia" w:ascii="宋体" w:hAnsi="宋体"/>
          <w:kern w:val="0"/>
          <w:sz w:val="22"/>
          <w:szCs w:val="22"/>
          <w:u w:val="single"/>
          <w:lang w:val="zh-CN"/>
        </w:rPr>
        <w:t xml:space="preserve">                                                </w:t>
      </w:r>
      <w:r>
        <w:rPr>
          <w:rFonts w:hint="eastAsia" w:ascii="宋体" w:hAnsi="宋体"/>
          <w:sz w:val="22"/>
          <w:szCs w:val="22"/>
        </w:rPr>
        <w:t>(投标人全称)授权</w:t>
      </w:r>
      <w:r>
        <w:rPr>
          <w:rFonts w:hint="eastAsia" w:ascii="宋体" w:hAnsi="宋体"/>
          <w:kern w:val="0"/>
          <w:sz w:val="22"/>
          <w:szCs w:val="22"/>
          <w:u w:val="single"/>
          <w:lang w:val="zh-CN"/>
        </w:rPr>
        <w:t xml:space="preserve">                    </w:t>
      </w:r>
      <w:r>
        <w:rPr>
          <w:rFonts w:hint="eastAsia" w:ascii="宋体" w:hAnsi="宋体"/>
          <w:sz w:val="22"/>
          <w:szCs w:val="22"/>
        </w:rPr>
        <w:t>(全权代表姓名)</w:t>
      </w:r>
      <w:r>
        <w:rPr>
          <w:rFonts w:hint="eastAsia" w:ascii="宋体" w:hAnsi="宋体"/>
          <w:kern w:val="0"/>
          <w:sz w:val="22"/>
          <w:szCs w:val="22"/>
          <w:u w:val="single"/>
          <w:lang w:val="zh-CN"/>
        </w:rPr>
        <w:t xml:space="preserve">              </w:t>
      </w:r>
      <w:r>
        <w:rPr>
          <w:rFonts w:hint="eastAsia" w:ascii="宋体" w:hAnsi="宋体"/>
          <w:sz w:val="22"/>
          <w:szCs w:val="22"/>
        </w:rPr>
        <w:t>(职务、职称)为全权代表，参加贵方组织的</w:t>
      </w:r>
      <w:r>
        <w:rPr>
          <w:rFonts w:hint="eastAsia" w:ascii="宋体" w:hAnsi="宋体"/>
          <w:sz w:val="22"/>
          <w:szCs w:val="22"/>
          <w:u w:val="single"/>
        </w:rPr>
        <w:t>镇海区全区社会治安视频监控系统（2021年度）统筹运维服务项目</w:t>
      </w:r>
      <w:r>
        <w:rPr>
          <w:rFonts w:hint="eastAsia" w:ascii="宋体" w:hAnsi="宋体"/>
          <w:sz w:val="22"/>
          <w:szCs w:val="22"/>
        </w:rPr>
        <w:t>采购的有关活动，并对此项目进行投标。为此：</w:t>
      </w:r>
    </w:p>
    <w:p>
      <w:pPr>
        <w:adjustRightInd w:val="0"/>
        <w:snapToGrid w:val="0"/>
        <w:spacing w:line="360" w:lineRule="auto"/>
        <w:ind w:firstLine="440" w:firstLineChars="200"/>
        <w:rPr>
          <w:rFonts w:hint="eastAsia" w:ascii="宋体" w:hAnsi="宋体"/>
          <w:sz w:val="22"/>
          <w:szCs w:val="22"/>
        </w:rPr>
      </w:pPr>
      <w:r>
        <w:rPr>
          <w:rFonts w:hint="eastAsia" w:ascii="宋体" w:hAnsi="宋体"/>
          <w:sz w:val="22"/>
          <w:szCs w:val="22"/>
        </w:rPr>
        <w:t>1、我方同意采购文件</w:t>
      </w:r>
      <w:r>
        <w:rPr>
          <w:rFonts w:hint="eastAsia" w:ascii="宋体" w:hAnsi="宋体"/>
          <w:kern w:val="44"/>
          <w:sz w:val="22"/>
          <w:szCs w:val="22"/>
        </w:rPr>
        <w:t>须知</w:t>
      </w:r>
      <w:r>
        <w:rPr>
          <w:rFonts w:hint="eastAsia" w:ascii="宋体" w:hAnsi="宋体"/>
          <w:sz w:val="22"/>
          <w:szCs w:val="22"/>
        </w:rPr>
        <w:t>规定的开标日期起遵守本投标书中的承诺且在投标有效期满之前均具有约束力。</w:t>
      </w:r>
    </w:p>
    <w:p>
      <w:pPr>
        <w:adjustRightInd w:val="0"/>
        <w:snapToGrid w:val="0"/>
        <w:spacing w:line="360" w:lineRule="auto"/>
        <w:ind w:firstLine="440" w:firstLineChars="200"/>
        <w:rPr>
          <w:rFonts w:hint="eastAsia" w:ascii="宋体" w:hAnsi="宋体"/>
          <w:sz w:val="22"/>
          <w:szCs w:val="22"/>
        </w:rPr>
      </w:pPr>
      <w:r>
        <w:rPr>
          <w:rFonts w:hint="eastAsia" w:ascii="宋体" w:hAnsi="宋体"/>
          <w:sz w:val="22"/>
          <w:szCs w:val="22"/>
        </w:rPr>
        <w:t>2、我方承诺已经具备《中华人民共和国政府采购法》中规定的参加政府采购活动的服务商应当具备的条件：</w:t>
      </w:r>
    </w:p>
    <w:p>
      <w:pPr>
        <w:adjustRightInd w:val="0"/>
        <w:snapToGrid w:val="0"/>
        <w:spacing w:line="360" w:lineRule="auto"/>
        <w:ind w:firstLine="440" w:firstLineChars="200"/>
        <w:rPr>
          <w:rFonts w:hint="eastAsia" w:ascii="宋体" w:hAnsi="宋体"/>
          <w:sz w:val="22"/>
          <w:szCs w:val="22"/>
        </w:rPr>
      </w:pPr>
      <w:r>
        <w:rPr>
          <w:rFonts w:hint="eastAsia" w:ascii="宋体" w:hAnsi="宋体"/>
          <w:sz w:val="22"/>
          <w:szCs w:val="22"/>
        </w:rPr>
        <w:t>(1)具有独立承担民事责任的能力；</w:t>
      </w:r>
    </w:p>
    <w:p>
      <w:pPr>
        <w:adjustRightInd w:val="0"/>
        <w:snapToGrid w:val="0"/>
        <w:spacing w:line="360" w:lineRule="auto"/>
        <w:ind w:firstLine="440" w:firstLineChars="200"/>
        <w:rPr>
          <w:rFonts w:hint="eastAsia" w:ascii="宋体" w:hAnsi="宋体"/>
          <w:sz w:val="22"/>
          <w:szCs w:val="22"/>
        </w:rPr>
      </w:pPr>
      <w:r>
        <w:rPr>
          <w:rFonts w:hint="eastAsia" w:ascii="宋体" w:hAnsi="宋体"/>
          <w:sz w:val="22"/>
          <w:szCs w:val="22"/>
        </w:rPr>
        <w:t>(2)遵守国家法律、行政法规，具有良好的信誉和商业道德；</w:t>
      </w:r>
    </w:p>
    <w:p>
      <w:pPr>
        <w:adjustRightInd w:val="0"/>
        <w:snapToGrid w:val="0"/>
        <w:spacing w:line="360" w:lineRule="auto"/>
        <w:ind w:firstLine="440" w:firstLineChars="200"/>
        <w:rPr>
          <w:rFonts w:hint="eastAsia" w:ascii="宋体" w:hAnsi="宋体"/>
          <w:sz w:val="22"/>
          <w:szCs w:val="22"/>
        </w:rPr>
      </w:pPr>
      <w:r>
        <w:rPr>
          <w:rFonts w:hint="eastAsia" w:ascii="宋体" w:hAnsi="宋体"/>
          <w:sz w:val="22"/>
          <w:szCs w:val="22"/>
        </w:rPr>
        <w:t>(3)具有履行合同的能力和良好的履行合同记录；</w:t>
      </w:r>
    </w:p>
    <w:p>
      <w:pPr>
        <w:adjustRightInd w:val="0"/>
        <w:snapToGrid w:val="0"/>
        <w:spacing w:line="360" w:lineRule="auto"/>
        <w:ind w:firstLine="440" w:firstLineChars="200"/>
        <w:rPr>
          <w:rFonts w:hint="eastAsia" w:ascii="宋体" w:hAnsi="宋体"/>
          <w:sz w:val="22"/>
          <w:szCs w:val="22"/>
        </w:rPr>
      </w:pPr>
      <w:r>
        <w:rPr>
          <w:rFonts w:hint="eastAsia" w:ascii="宋体" w:hAnsi="宋体"/>
          <w:sz w:val="22"/>
          <w:szCs w:val="22"/>
        </w:rPr>
        <w:t>(4)良好的资金、财务状况；</w:t>
      </w:r>
    </w:p>
    <w:p>
      <w:pPr>
        <w:adjustRightInd w:val="0"/>
        <w:snapToGrid w:val="0"/>
        <w:spacing w:line="360" w:lineRule="auto"/>
        <w:ind w:firstLine="440" w:firstLineChars="200"/>
        <w:rPr>
          <w:rFonts w:hint="eastAsia" w:ascii="宋体" w:hAnsi="宋体"/>
          <w:sz w:val="22"/>
          <w:szCs w:val="22"/>
        </w:rPr>
      </w:pPr>
      <w:r>
        <w:rPr>
          <w:rFonts w:hint="eastAsia" w:ascii="宋体" w:hAnsi="宋体"/>
          <w:sz w:val="22"/>
          <w:szCs w:val="22"/>
        </w:rPr>
        <w:t>(5)提供的产品和服务符合中国政府规定的相应标准和环保标准；</w:t>
      </w:r>
    </w:p>
    <w:p>
      <w:pPr>
        <w:adjustRightInd w:val="0"/>
        <w:snapToGrid w:val="0"/>
        <w:spacing w:line="360" w:lineRule="auto"/>
        <w:ind w:firstLine="440" w:firstLineChars="200"/>
        <w:rPr>
          <w:rFonts w:hint="eastAsia" w:ascii="宋体" w:hAnsi="宋体"/>
          <w:sz w:val="22"/>
          <w:szCs w:val="22"/>
        </w:rPr>
      </w:pPr>
      <w:r>
        <w:rPr>
          <w:rFonts w:hint="eastAsia" w:ascii="宋体" w:hAnsi="宋体"/>
          <w:sz w:val="22"/>
          <w:szCs w:val="22"/>
        </w:rPr>
        <w:t>(6)没有违反政府采购法规、政策的记录；</w:t>
      </w:r>
    </w:p>
    <w:p>
      <w:pPr>
        <w:adjustRightInd w:val="0"/>
        <w:snapToGrid w:val="0"/>
        <w:spacing w:line="360" w:lineRule="auto"/>
        <w:ind w:firstLine="440" w:firstLineChars="200"/>
        <w:rPr>
          <w:rFonts w:hint="eastAsia" w:ascii="宋体" w:hAnsi="宋体"/>
          <w:sz w:val="22"/>
          <w:szCs w:val="22"/>
        </w:rPr>
      </w:pPr>
      <w:r>
        <w:rPr>
          <w:rFonts w:hint="eastAsia" w:ascii="宋体" w:hAnsi="宋体"/>
          <w:sz w:val="22"/>
          <w:szCs w:val="22"/>
        </w:rPr>
        <w:t>(7)没有发生重大经济纠纷和走私犯罪记录。</w:t>
      </w:r>
    </w:p>
    <w:p>
      <w:pPr>
        <w:adjustRightInd w:val="0"/>
        <w:snapToGrid w:val="0"/>
        <w:spacing w:line="360" w:lineRule="auto"/>
        <w:ind w:firstLine="440" w:firstLineChars="200"/>
        <w:rPr>
          <w:rFonts w:hint="eastAsia" w:ascii="宋体" w:hAnsi="宋体"/>
          <w:sz w:val="22"/>
          <w:szCs w:val="22"/>
        </w:rPr>
      </w:pPr>
      <w:r>
        <w:rPr>
          <w:rFonts w:hint="eastAsia" w:ascii="宋体" w:hAnsi="宋体"/>
          <w:sz w:val="22"/>
          <w:szCs w:val="22"/>
        </w:rPr>
        <w:t>3、提供</w:t>
      </w:r>
      <w:r>
        <w:rPr>
          <w:rFonts w:hint="eastAsia" w:ascii="宋体" w:hAnsi="宋体"/>
          <w:kern w:val="44"/>
          <w:sz w:val="22"/>
          <w:szCs w:val="22"/>
        </w:rPr>
        <w:t>采购文件须知</w:t>
      </w:r>
      <w:r>
        <w:rPr>
          <w:rFonts w:hint="eastAsia" w:ascii="宋体" w:hAnsi="宋体"/>
          <w:sz w:val="22"/>
          <w:szCs w:val="22"/>
        </w:rPr>
        <w:t>规定的全部投标文件，具体内容为：</w:t>
      </w:r>
    </w:p>
    <w:p>
      <w:pPr>
        <w:adjustRightInd w:val="0"/>
        <w:snapToGrid w:val="0"/>
        <w:spacing w:line="360" w:lineRule="auto"/>
        <w:ind w:firstLine="440" w:firstLineChars="200"/>
        <w:rPr>
          <w:rFonts w:hint="eastAsia" w:ascii="宋体" w:hAnsi="宋体"/>
          <w:sz w:val="22"/>
          <w:szCs w:val="22"/>
        </w:rPr>
      </w:pPr>
      <w:r>
        <w:rPr>
          <w:rFonts w:hint="eastAsia" w:ascii="宋体" w:hAnsi="宋体"/>
          <w:sz w:val="22"/>
          <w:szCs w:val="22"/>
        </w:rPr>
        <w:t>(1)报价文件、</w:t>
      </w:r>
      <w:r>
        <w:rPr>
          <w:rFonts w:hint="eastAsia" w:ascii="宋体" w:hAnsi="宋体"/>
          <w:kern w:val="0"/>
          <w:sz w:val="22"/>
          <w:szCs w:val="22"/>
          <w:lang w:val="zh-CN"/>
        </w:rPr>
        <w:t>技术文件和资信</w:t>
      </w:r>
      <w:r>
        <w:rPr>
          <w:rFonts w:hint="eastAsia" w:ascii="宋体" w:hAnsi="宋体"/>
          <w:sz w:val="22"/>
          <w:szCs w:val="22"/>
          <w:lang w:val="zh-CN"/>
        </w:rPr>
        <w:t>商务文件</w:t>
      </w:r>
      <w:r>
        <w:rPr>
          <w:rFonts w:hint="eastAsia" w:ascii="宋体" w:hAnsi="宋体"/>
          <w:sz w:val="22"/>
          <w:szCs w:val="22"/>
        </w:rPr>
        <w:t>；</w:t>
      </w:r>
    </w:p>
    <w:p>
      <w:pPr>
        <w:adjustRightInd w:val="0"/>
        <w:snapToGrid w:val="0"/>
        <w:spacing w:line="360" w:lineRule="auto"/>
        <w:ind w:firstLine="440" w:firstLineChars="200"/>
        <w:rPr>
          <w:rFonts w:hint="eastAsia" w:ascii="宋体" w:hAnsi="宋体"/>
          <w:sz w:val="22"/>
          <w:szCs w:val="22"/>
        </w:rPr>
      </w:pPr>
      <w:r>
        <w:rPr>
          <w:rFonts w:hint="eastAsia" w:ascii="宋体" w:hAnsi="宋体"/>
          <w:sz w:val="22"/>
          <w:szCs w:val="22"/>
        </w:rPr>
        <w:t>(2)按采购文件要求提供服务的投标报价详见开标一览表；</w:t>
      </w:r>
    </w:p>
    <w:p>
      <w:pPr>
        <w:adjustRightInd w:val="0"/>
        <w:snapToGrid w:val="0"/>
        <w:spacing w:line="360" w:lineRule="auto"/>
        <w:ind w:firstLine="440" w:firstLineChars="200"/>
        <w:rPr>
          <w:rFonts w:hint="eastAsia" w:ascii="宋体" w:hAnsi="宋体"/>
          <w:sz w:val="22"/>
          <w:szCs w:val="22"/>
        </w:rPr>
      </w:pPr>
      <w:r>
        <w:rPr>
          <w:rFonts w:hint="eastAsia" w:ascii="宋体" w:hAnsi="宋体"/>
          <w:sz w:val="22"/>
          <w:szCs w:val="22"/>
        </w:rPr>
        <w:t>(3)保证忠实地执行双方所签订的合同，并承担合同规定的责任和义务；</w:t>
      </w:r>
    </w:p>
    <w:p>
      <w:pPr>
        <w:adjustRightInd w:val="0"/>
        <w:snapToGrid w:val="0"/>
        <w:spacing w:line="360" w:lineRule="auto"/>
        <w:ind w:firstLine="440" w:firstLineChars="200"/>
        <w:rPr>
          <w:rFonts w:hint="eastAsia" w:ascii="宋体" w:hAnsi="宋体"/>
          <w:sz w:val="22"/>
          <w:szCs w:val="22"/>
        </w:rPr>
      </w:pPr>
      <w:r>
        <w:rPr>
          <w:rFonts w:hint="eastAsia" w:ascii="宋体" w:hAnsi="宋体"/>
          <w:sz w:val="22"/>
          <w:szCs w:val="22"/>
        </w:rPr>
        <w:t>(4)保证遵守采购文件中的其他有关规定。</w:t>
      </w:r>
    </w:p>
    <w:p>
      <w:pPr>
        <w:adjustRightInd w:val="0"/>
        <w:snapToGrid w:val="0"/>
        <w:spacing w:line="360" w:lineRule="auto"/>
        <w:ind w:firstLine="440" w:firstLineChars="200"/>
        <w:rPr>
          <w:rFonts w:hint="eastAsia" w:ascii="宋体" w:hAnsi="宋体"/>
          <w:sz w:val="22"/>
          <w:szCs w:val="22"/>
        </w:rPr>
      </w:pPr>
      <w:r>
        <w:rPr>
          <w:rFonts w:hint="eastAsia" w:ascii="宋体" w:hAnsi="宋体"/>
          <w:sz w:val="22"/>
          <w:szCs w:val="22"/>
        </w:rPr>
        <w:t>4、我方保证不会在投标有效期内撤回投标文件。</w:t>
      </w:r>
    </w:p>
    <w:p>
      <w:pPr>
        <w:adjustRightInd w:val="0"/>
        <w:snapToGrid w:val="0"/>
        <w:spacing w:line="360" w:lineRule="auto"/>
        <w:ind w:firstLine="440" w:firstLineChars="200"/>
        <w:rPr>
          <w:rFonts w:hint="eastAsia" w:ascii="宋体" w:hAnsi="宋体"/>
          <w:sz w:val="22"/>
          <w:szCs w:val="22"/>
        </w:rPr>
      </w:pPr>
      <w:r>
        <w:rPr>
          <w:rFonts w:hint="eastAsia" w:ascii="宋体" w:hAnsi="宋体"/>
          <w:sz w:val="22"/>
          <w:szCs w:val="22"/>
        </w:rPr>
        <w:t>5、我方完全理解贵方不一定要接受最低价的投标。</w:t>
      </w:r>
    </w:p>
    <w:p>
      <w:pPr>
        <w:adjustRightInd w:val="0"/>
        <w:snapToGrid w:val="0"/>
        <w:spacing w:line="360" w:lineRule="auto"/>
        <w:ind w:firstLine="440" w:firstLineChars="200"/>
        <w:rPr>
          <w:rFonts w:hint="eastAsia" w:ascii="宋体" w:hAnsi="宋体"/>
          <w:sz w:val="22"/>
          <w:szCs w:val="22"/>
        </w:rPr>
      </w:pPr>
      <w:r>
        <w:rPr>
          <w:rFonts w:hint="eastAsia" w:ascii="宋体" w:hAnsi="宋体"/>
          <w:sz w:val="22"/>
          <w:szCs w:val="22"/>
        </w:rPr>
        <w:t>6、我方愿意向贵方提供任何与该项投标有关的数据、情况和服务资料。若贵方需要，我方愿意提供我方作出的一切承诺的证明材料。</w:t>
      </w:r>
    </w:p>
    <w:p>
      <w:pPr>
        <w:spacing w:line="360" w:lineRule="auto"/>
        <w:ind w:firstLine="440" w:firstLineChars="200"/>
        <w:rPr>
          <w:rFonts w:hint="eastAsia" w:ascii="宋体" w:hAnsi="宋体"/>
          <w:sz w:val="22"/>
          <w:szCs w:val="22"/>
        </w:rPr>
      </w:pPr>
      <w:r>
        <w:rPr>
          <w:rFonts w:hint="eastAsia" w:ascii="宋体" w:hAnsi="宋体"/>
          <w:sz w:val="22"/>
          <w:szCs w:val="22"/>
        </w:rPr>
        <w:t>7、我方已详细审核全部采购文件，包括采购文件修改书（如有的话）、参考资料</w:t>
      </w:r>
    </w:p>
    <w:p>
      <w:pPr>
        <w:spacing w:line="360" w:lineRule="auto"/>
        <w:rPr>
          <w:rFonts w:hint="eastAsia" w:ascii="宋体" w:hAnsi="宋体"/>
          <w:sz w:val="22"/>
          <w:szCs w:val="22"/>
        </w:rPr>
      </w:pPr>
      <w:r>
        <w:rPr>
          <w:rFonts w:hint="eastAsia" w:ascii="宋体" w:hAnsi="宋体"/>
          <w:sz w:val="22"/>
          <w:szCs w:val="22"/>
        </w:rPr>
        <w:t>及有关附件，确认无误。我方完全理解并接受采购文件的各项规定和要求，对采购文件的合理性、合法性不再有异议。</w:t>
      </w:r>
    </w:p>
    <w:p>
      <w:pPr>
        <w:adjustRightInd w:val="0"/>
        <w:snapToGrid w:val="0"/>
        <w:spacing w:line="360" w:lineRule="auto"/>
        <w:ind w:firstLine="440" w:firstLineChars="200"/>
        <w:rPr>
          <w:rFonts w:hint="eastAsia" w:ascii="宋体" w:hAnsi="宋体"/>
          <w:sz w:val="22"/>
          <w:szCs w:val="22"/>
        </w:rPr>
      </w:pPr>
      <w:r>
        <w:rPr>
          <w:rFonts w:hint="eastAsia" w:ascii="宋体" w:hAnsi="宋体"/>
          <w:sz w:val="22"/>
          <w:szCs w:val="22"/>
        </w:rPr>
        <w:t>8、我方将严格遵守《中华人民共和国政府采购法》第七十七条规定，服务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360" w:lineRule="auto"/>
        <w:ind w:firstLine="440" w:firstLineChars="200"/>
        <w:rPr>
          <w:rFonts w:hint="eastAsia" w:ascii="宋体" w:hAnsi="宋体"/>
          <w:sz w:val="22"/>
          <w:szCs w:val="22"/>
        </w:rPr>
      </w:pPr>
      <w:r>
        <w:rPr>
          <w:rFonts w:hint="eastAsia" w:ascii="宋体" w:hAnsi="宋体"/>
          <w:sz w:val="22"/>
          <w:szCs w:val="22"/>
        </w:rPr>
        <w:t>(1)提供虚假材料谋取中标、成交的；</w:t>
      </w:r>
    </w:p>
    <w:p>
      <w:pPr>
        <w:adjustRightInd w:val="0"/>
        <w:snapToGrid w:val="0"/>
        <w:spacing w:line="360" w:lineRule="auto"/>
        <w:ind w:firstLine="440" w:firstLineChars="200"/>
        <w:rPr>
          <w:rFonts w:hint="eastAsia" w:ascii="宋体" w:hAnsi="宋体"/>
          <w:sz w:val="22"/>
          <w:szCs w:val="22"/>
        </w:rPr>
      </w:pPr>
      <w:r>
        <w:rPr>
          <w:rFonts w:hint="eastAsia" w:ascii="宋体" w:hAnsi="宋体"/>
          <w:sz w:val="22"/>
          <w:szCs w:val="22"/>
        </w:rPr>
        <w:t>(2)采取不正当手段诋毁、排挤其他服务商的；</w:t>
      </w:r>
    </w:p>
    <w:p>
      <w:pPr>
        <w:adjustRightInd w:val="0"/>
        <w:snapToGrid w:val="0"/>
        <w:spacing w:line="360" w:lineRule="auto"/>
        <w:ind w:firstLine="440" w:firstLineChars="200"/>
        <w:rPr>
          <w:rFonts w:hint="eastAsia" w:ascii="宋体" w:hAnsi="宋体"/>
          <w:sz w:val="22"/>
          <w:szCs w:val="22"/>
        </w:rPr>
      </w:pPr>
      <w:r>
        <w:rPr>
          <w:rFonts w:hint="eastAsia" w:ascii="宋体" w:hAnsi="宋体"/>
          <w:sz w:val="22"/>
          <w:szCs w:val="22"/>
        </w:rPr>
        <w:t>(3)与招标人、其它服务商或者招标代理机构恶意串通的；</w:t>
      </w:r>
    </w:p>
    <w:p>
      <w:pPr>
        <w:adjustRightInd w:val="0"/>
        <w:snapToGrid w:val="0"/>
        <w:spacing w:line="360" w:lineRule="auto"/>
        <w:ind w:firstLine="440" w:firstLineChars="200"/>
        <w:rPr>
          <w:rFonts w:hint="eastAsia" w:ascii="宋体" w:hAnsi="宋体"/>
          <w:sz w:val="22"/>
          <w:szCs w:val="22"/>
        </w:rPr>
      </w:pPr>
      <w:r>
        <w:rPr>
          <w:rFonts w:hint="eastAsia" w:ascii="宋体" w:hAnsi="宋体"/>
          <w:sz w:val="22"/>
          <w:szCs w:val="22"/>
        </w:rPr>
        <w:t>(4)向招标人、招标代理机构行贿或者提供其他不正当利益的；</w:t>
      </w:r>
    </w:p>
    <w:p>
      <w:pPr>
        <w:adjustRightInd w:val="0"/>
        <w:snapToGrid w:val="0"/>
        <w:spacing w:line="360" w:lineRule="auto"/>
        <w:ind w:firstLine="440" w:firstLineChars="200"/>
        <w:rPr>
          <w:rFonts w:hint="eastAsia" w:ascii="宋体" w:hAnsi="宋体"/>
          <w:sz w:val="22"/>
          <w:szCs w:val="22"/>
        </w:rPr>
      </w:pPr>
      <w:r>
        <w:rPr>
          <w:rFonts w:hint="eastAsia" w:ascii="宋体" w:hAnsi="宋体"/>
          <w:sz w:val="22"/>
          <w:szCs w:val="22"/>
        </w:rPr>
        <w:t>(5)在招标采购过程中与招标人进行协商谈判的；</w:t>
      </w:r>
    </w:p>
    <w:p>
      <w:pPr>
        <w:adjustRightInd w:val="0"/>
        <w:snapToGrid w:val="0"/>
        <w:spacing w:line="360" w:lineRule="auto"/>
        <w:ind w:firstLine="440" w:firstLineChars="200"/>
        <w:rPr>
          <w:rFonts w:hint="eastAsia" w:ascii="宋体" w:hAnsi="宋体"/>
          <w:sz w:val="22"/>
          <w:szCs w:val="22"/>
        </w:rPr>
      </w:pPr>
      <w:r>
        <w:rPr>
          <w:rFonts w:hint="eastAsia" w:ascii="宋体" w:hAnsi="宋体"/>
          <w:sz w:val="22"/>
          <w:szCs w:val="22"/>
        </w:rPr>
        <w:t>(6)拒绝有关部门监督检查或提供虚假情况的。</w:t>
      </w:r>
    </w:p>
    <w:p>
      <w:pPr>
        <w:adjustRightInd w:val="0"/>
        <w:snapToGrid w:val="0"/>
        <w:spacing w:line="360" w:lineRule="auto"/>
        <w:ind w:firstLine="440" w:firstLineChars="200"/>
        <w:rPr>
          <w:rFonts w:hint="eastAsia" w:ascii="宋体" w:hAnsi="宋体"/>
          <w:sz w:val="22"/>
          <w:szCs w:val="22"/>
        </w:rPr>
      </w:pPr>
      <w:r>
        <w:rPr>
          <w:rFonts w:hint="eastAsia" w:ascii="宋体" w:hAnsi="宋体"/>
          <w:sz w:val="22"/>
          <w:szCs w:val="22"/>
        </w:rPr>
        <w:t>服务商有前款第(1)至(5)项情形之一的，中标、成交无效。</w:t>
      </w:r>
    </w:p>
    <w:p>
      <w:pPr>
        <w:adjustRightInd w:val="0"/>
        <w:snapToGrid w:val="0"/>
        <w:spacing w:line="360" w:lineRule="auto"/>
        <w:ind w:left="420" w:leftChars="200"/>
        <w:rPr>
          <w:rFonts w:hint="eastAsia" w:ascii="宋体" w:hAnsi="宋体" w:cs="宋体"/>
          <w:kern w:val="0"/>
          <w:sz w:val="22"/>
          <w:szCs w:val="22"/>
          <w:lang w:val="zh-CN"/>
        </w:rPr>
      </w:pPr>
    </w:p>
    <w:p>
      <w:pPr>
        <w:spacing w:line="360" w:lineRule="auto"/>
        <w:ind w:right="260" w:firstLine="440" w:firstLineChars="200"/>
        <w:jc w:val="left"/>
        <w:rPr>
          <w:rFonts w:hint="eastAsia" w:ascii="宋体" w:hAnsi="宋体"/>
          <w:sz w:val="22"/>
          <w:szCs w:val="22"/>
        </w:rPr>
      </w:pPr>
      <w:r>
        <w:rPr>
          <w:rFonts w:hint="eastAsia" w:ascii="宋体" w:hAnsi="宋体"/>
          <w:sz w:val="22"/>
          <w:szCs w:val="22"/>
        </w:rPr>
        <w:t>投标人：</w:t>
      </w:r>
      <w:r>
        <w:rPr>
          <w:rFonts w:hint="eastAsia" w:ascii="宋体" w:hAnsi="宋体"/>
          <w:sz w:val="22"/>
          <w:szCs w:val="22"/>
          <w:u w:val="single"/>
        </w:rPr>
        <w:t>（盖章）</w:t>
      </w:r>
    </w:p>
    <w:p>
      <w:pPr>
        <w:spacing w:line="360" w:lineRule="auto"/>
        <w:ind w:right="40" w:firstLine="440" w:firstLineChars="200"/>
        <w:jc w:val="left"/>
        <w:rPr>
          <w:rFonts w:hint="eastAsia" w:ascii="宋体" w:hAnsi="宋体"/>
          <w:sz w:val="22"/>
          <w:szCs w:val="22"/>
        </w:rPr>
      </w:pPr>
      <w:r>
        <w:rPr>
          <w:rFonts w:hint="eastAsia" w:ascii="宋体" w:hAnsi="宋体"/>
          <w:sz w:val="22"/>
          <w:szCs w:val="22"/>
        </w:rPr>
        <w:t xml:space="preserve">法定代表人或其委托代理人： </w:t>
      </w:r>
      <w:r>
        <w:rPr>
          <w:rFonts w:hint="eastAsia" w:ascii="宋体" w:hAnsi="宋体"/>
          <w:sz w:val="22"/>
          <w:szCs w:val="22"/>
          <w:u w:val="single"/>
        </w:rPr>
        <w:t>（签字或盖章）</w:t>
      </w:r>
    </w:p>
    <w:p>
      <w:pPr>
        <w:adjustRightInd w:val="0"/>
        <w:snapToGrid w:val="0"/>
        <w:spacing w:line="360" w:lineRule="auto"/>
        <w:ind w:left="420" w:leftChars="200"/>
        <w:rPr>
          <w:rFonts w:hint="eastAsia" w:ascii="宋体" w:hAnsi="宋体" w:cs="宋体"/>
          <w:kern w:val="0"/>
          <w:sz w:val="22"/>
          <w:szCs w:val="22"/>
        </w:rPr>
      </w:pPr>
      <w:r>
        <w:rPr>
          <w:rFonts w:hint="eastAsia" w:ascii="宋体" w:hAnsi="宋体" w:cs="宋体"/>
          <w:kern w:val="0"/>
          <w:sz w:val="22"/>
          <w:szCs w:val="22"/>
          <w:lang w:val="zh-CN"/>
        </w:rPr>
        <w:t xml:space="preserve">联系电话： </w:t>
      </w:r>
      <w:r>
        <w:rPr>
          <w:rFonts w:hint="eastAsia" w:ascii="宋体" w:hAnsi="宋体" w:cs="宋体"/>
          <w:kern w:val="0"/>
          <w:sz w:val="22"/>
          <w:szCs w:val="22"/>
          <w:u w:val="single"/>
          <w:lang w:val="zh-CN"/>
        </w:rPr>
        <w:t xml:space="preserve">          </w:t>
      </w:r>
      <w:r>
        <w:rPr>
          <w:rFonts w:hint="eastAsia" w:ascii="宋体" w:hAnsi="宋体" w:cs="宋体"/>
          <w:kern w:val="0"/>
          <w:sz w:val="22"/>
          <w:szCs w:val="22"/>
          <w:lang w:val="zh-CN"/>
        </w:rPr>
        <w:t xml:space="preserve">传真：  </w:t>
      </w:r>
      <w:r>
        <w:rPr>
          <w:rFonts w:hint="eastAsia" w:ascii="宋体" w:hAnsi="宋体" w:cs="宋体"/>
          <w:kern w:val="0"/>
          <w:sz w:val="22"/>
          <w:szCs w:val="22"/>
          <w:u w:val="single"/>
          <w:lang w:val="zh-CN"/>
        </w:rPr>
        <w:t xml:space="preserve">           </w:t>
      </w:r>
      <w:r>
        <w:rPr>
          <w:rFonts w:hint="eastAsia" w:ascii="宋体" w:hAnsi="宋体" w:cs="宋体"/>
          <w:kern w:val="0"/>
          <w:sz w:val="22"/>
          <w:szCs w:val="22"/>
          <w:lang w:val="zh-CN"/>
        </w:rPr>
        <w:t xml:space="preserve"> 电子邮件：</w:t>
      </w:r>
      <w:r>
        <w:rPr>
          <w:rFonts w:hint="eastAsia" w:ascii="宋体" w:hAnsi="宋体" w:cs="宋体"/>
          <w:kern w:val="0"/>
          <w:sz w:val="22"/>
          <w:szCs w:val="22"/>
          <w:u w:val="single"/>
          <w:lang w:val="zh-CN"/>
        </w:rPr>
        <w:t xml:space="preserve">              </w:t>
      </w:r>
    </w:p>
    <w:p>
      <w:pPr>
        <w:adjustRightInd w:val="0"/>
        <w:snapToGrid w:val="0"/>
        <w:spacing w:line="360" w:lineRule="auto"/>
        <w:ind w:left="420" w:leftChars="200"/>
        <w:rPr>
          <w:rFonts w:hint="eastAsia" w:ascii="宋体" w:hAnsi="宋体" w:cs="宋体"/>
          <w:kern w:val="0"/>
          <w:sz w:val="22"/>
          <w:szCs w:val="22"/>
        </w:rPr>
      </w:pPr>
      <w:r>
        <w:rPr>
          <w:rFonts w:hint="eastAsia" w:ascii="宋体" w:hAnsi="宋体" w:cs="宋体"/>
          <w:kern w:val="0"/>
          <w:sz w:val="22"/>
          <w:szCs w:val="22"/>
          <w:lang w:val="zh-CN"/>
        </w:rPr>
        <w:t>联系地址：</w:t>
      </w:r>
      <w:r>
        <w:rPr>
          <w:rFonts w:hint="eastAsia" w:ascii="宋体" w:hAnsi="宋体" w:cs="宋体"/>
          <w:kern w:val="0"/>
          <w:sz w:val="22"/>
          <w:szCs w:val="22"/>
          <w:u w:val="single"/>
          <w:lang w:val="zh-CN"/>
        </w:rPr>
        <w:t xml:space="preserve">                                                    </w:t>
      </w:r>
    </w:p>
    <w:p>
      <w:pPr>
        <w:adjustRightInd w:val="0"/>
        <w:snapToGrid w:val="0"/>
        <w:spacing w:line="360" w:lineRule="auto"/>
        <w:ind w:left="420" w:leftChars="200"/>
        <w:rPr>
          <w:rFonts w:hint="eastAsia" w:ascii="宋体" w:hAnsi="宋体" w:cs="宋体"/>
          <w:kern w:val="0"/>
          <w:sz w:val="22"/>
          <w:szCs w:val="22"/>
        </w:rPr>
      </w:pPr>
      <w:r>
        <w:rPr>
          <w:rFonts w:hint="eastAsia" w:ascii="宋体" w:hAnsi="宋体" w:cs="宋体"/>
          <w:kern w:val="0"/>
          <w:sz w:val="22"/>
          <w:szCs w:val="22"/>
          <w:lang w:val="zh-CN"/>
        </w:rPr>
        <w:t>邮政编码：</w:t>
      </w:r>
      <w:r>
        <w:rPr>
          <w:rFonts w:hint="eastAsia" w:ascii="宋体" w:hAnsi="宋体" w:cs="宋体"/>
          <w:kern w:val="0"/>
          <w:sz w:val="22"/>
          <w:szCs w:val="22"/>
          <w:u w:val="single"/>
          <w:lang w:val="zh-CN"/>
        </w:rPr>
        <w:t xml:space="preserve">                     </w:t>
      </w:r>
      <w:r>
        <w:rPr>
          <w:rFonts w:hint="eastAsia" w:ascii="宋体" w:hAnsi="宋体" w:cs="宋体"/>
          <w:kern w:val="0"/>
          <w:sz w:val="22"/>
          <w:szCs w:val="22"/>
          <w:lang w:val="zh-CN"/>
        </w:rPr>
        <w:t>传真号码：</w:t>
      </w:r>
      <w:r>
        <w:rPr>
          <w:rFonts w:hint="eastAsia" w:ascii="宋体" w:hAnsi="宋体" w:cs="宋体"/>
          <w:kern w:val="0"/>
          <w:sz w:val="22"/>
          <w:szCs w:val="22"/>
          <w:u w:val="single"/>
          <w:lang w:val="zh-CN"/>
        </w:rPr>
        <w:t xml:space="preserve">                     </w:t>
      </w:r>
    </w:p>
    <w:p>
      <w:pPr>
        <w:adjustRightInd w:val="0"/>
        <w:snapToGrid w:val="0"/>
        <w:spacing w:line="360" w:lineRule="auto"/>
        <w:ind w:firstLine="440" w:firstLineChars="200"/>
        <w:rPr>
          <w:rFonts w:hint="eastAsia" w:ascii="宋体" w:hAnsi="宋体" w:cs="宋体"/>
          <w:kern w:val="0"/>
          <w:sz w:val="22"/>
          <w:szCs w:val="22"/>
          <w:u w:val="single"/>
        </w:rPr>
      </w:pPr>
      <w:r>
        <w:rPr>
          <w:rFonts w:hint="eastAsia" w:ascii="宋体" w:hAnsi="宋体" w:cs="宋体"/>
          <w:kern w:val="0"/>
          <w:sz w:val="22"/>
          <w:szCs w:val="22"/>
          <w:lang w:val="zh-CN"/>
        </w:rPr>
        <w:t>日</w:t>
      </w:r>
      <w:r>
        <w:rPr>
          <w:rFonts w:hint="eastAsia" w:ascii="宋体" w:hAnsi="宋体" w:cs="宋体"/>
          <w:kern w:val="0"/>
          <w:sz w:val="22"/>
          <w:szCs w:val="22"/>
        </w:rPr>
        <w:t xml:space="preserve">    </w:t>
      </w:r>
      <w:r>
        <w:rPr>
          <w:rFonts w:hint="eastAsia" w:ascii="宋体" w:hAnsi="宋体" w:cs="宋体"/>
          <w:kern w:val="0"/>
          <w:sz w:val="22"/>
          <w:szCs w:val="22"/>
          <w:lang w:val="zh-CN"/>
        </w:rPr>
        <w:t>期</w:t>
      </w:r>
      <w:r>
        <w:rPr>
          <w:rFonts w:hint="eastAsia" w:ascii="宋体" w:hAnsi="宋体" w:cs="宋体"/>
          <w:kern w:val="0"/>
          <w:sz w:val="22"/>
          <w:szCs w:val="22"/>
        </w:rPr>
        <w:t xml:space="preserve">： </w:t>
      </w:r>
      <w:r>
        <w:rPr>
          <w:rFonts w:hint="eastAsia" w:ascii="宋体" w:hAnsi="宋体" w:cs="宋体"/>
          <w:kern w:val="0"/>
          <w:sz w:val="22"/>
          <w:szCs w:val="22"/>
          <w:u w:val="single"/>
        </w:rPr>
        <w:t xml:space="preserve">       </w:t>
      </w:r>
      <w:r>
        <w:rPr>
          <w:rFonts w:hint="eastAsia" w:ascii="宋体" w:hAnsi="宋体" w:cs="宋体"/>
          <w:kern w:val="0"/>
          <w:sz w:val="22"/>
          <w:szCs w:val="22"/>
          <w:lang w:val="zh-CN"/>
        </w:rPr>
        <w:t>年</w:t>
      </w:r>
      <w:r>
        <w:rPr>
          <w:rFonts w:hint="eastAsia" w:ascii="宋体" w:hAnsi="宋体" w:cs="宋体"/>
          <w:kern w:val="0"/>
          <w:sz w:val="22"/>
          <w:szCs w:val="22"/>
          <w:u w:val="single"/>
        </w:rPr>
        <w:t xml:space="preserve">  </w:t>
      </w:r>
      <w:r>
        <w:rPr>
          <w:rFonts w:hint="eastAsia" w:ascii="宋体" w:hAnsi="宋体" w:cs="宋体"/>
          <w:kern w:val="0"/>
          <w:sz w:val="22"/>
          <w:szCs w:val="22"/>
          <w:u w:val="single"/>
        </w:rPr>
        <w:tab/>
      </w:r>
      <w:r>
        <w:rPr>
          <w:rFonts w:hint="eastAsia" w:ascii="宋体" w:hAnsi="宋体" w:cs="宋体"/>
          <w:kern w:val="0"/>
          <w:sz w:val="22"/>
          <w:szCs w:val="22"/>
          <w:u w:val="single"/>
        </w:rPr>
        <w:t xml:space="preserve"> </w:t>
      </w:r>
      <w:r>
        <w:rPr>
          <w:rFonts w:hint="eastAsia" w:ascii="宋体" w:hAnsi="宋体" w:cs="宋体"/>
          <w:kern w:val="0"/>
          <w:sz w:val="22"/>
          <w:szCs w:val="22"/>
          <w:lang w:val="zh-CN"/>
        </w:rPr>
        <w:t>月</w:t>
      </w:r>
      <w:r>
        <w:rPr>
          <w:rFonts w:hint="eastAsia" w:ascii="宋体" w:hAnsi="宋体" w:cs="宋体"/>
          <w:kern w:val="0"/>
          <w:sz w:val="22"/>
          <w:szCs w:val="22"/>
          <w:u w:val="single"/>
          <w:lang w:val="zh-CN"/>
        </w:rPr>
        <w:t xml:space="preserve">    </w:t>
      </w:r>
      <w:r>
        <w:rPr>
          <w:rFonts w:hint="eastAsia" w:ascii="宋体" w:hAnsi="宋体" w:cs="宋体"/>
          <w:kern w:val="0"/>
          <w:sz w:val="22"/>
          <w:szCs w:val="22"/>
          <w:lang w:val="zh-CN"/>
        </w:rPr>
        <w:t>日</w:t>
      </w:r>
    </w:p>
    <w:p>
      <w:pPr>
        <w:adjustRightInd w:val="0"/>
        <w:snapToGrid w:val="0"/>
        <w:spacing w:line="360" w:lineRule="auto"/>
        <w:rPr>
          <w:rFonts w:hint="eastAsia" w:ascii="宋体" w:hAnsi="宋体"/>
          <w:b/>
          <w:kern w:val="0"/>
          <w:sz w:val="22"/>
          <w:szCs w:val="22"/>
          <w:lang w:val="zh-CN"/>
        </w:rPr>
      </w:pPr>
      <w:r>
        <w:rPr>
          <w:rFonts w:hint="eastAsia" w:ascii="宋体" w:hAnsi="宋体"/>
          <w:b/>
          <w:kern w:val="0"/>
          <w:sz w:val="22"/>
          <w:szCs w:val="22"/>
          <w:lang w:val="zh-CN"/>
        </w:rPr>
        <w:t>注：未按照本投标响应函要求填报的将被视为非实质性响应，从而可能导致该</w:t>
      </w:r>
      <w:r>
        <w:rPr>
          <w:rFonts w:hint="eastAsia" w:ascii="宋体" w:hAnsi="宋体"/>
          <w:b/>
          <w:sz w:val="22"/>
          <w:szCs w:val="22"/>
        </w:rPr>
        <w:t>投标</w:t>
      </w:r>
      <w:r>
        <w:rPr>
          <w:rFonts w:hint="eastAsia" w:ascii="宋体" w:hAnsi="宋体"/>
          <w:b/>
          <w:kern w:val="0"/>
          <w:sz w:val="22"/>
          <w:szCs w:val="22"/>
          <w:lang w:val="zh-CN"/>
        </w:rPr>
        <w:t>文件被拒绝。</w:t>
      </w: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pStyle w:val="244"/>
        <w:keepNext w:val="0"/>
        <w:pageBreakBefore w:val="0"/>
        <w:tabs>
          <w:tab w:val="left" w:pos="420"/>
        </w:tabs>
        <w:adjustRightInd w:val="0"/>
        <w:snapToGrid w:val="0"/>
        <w:outlineLvl w:val="2"/>
        <w:rPr>
          <w:rFonts w:hint="eastAsia" w:ascii="宋体" w:hAnsi="宋体" w:eastAsia="宋体"/>
          <w:kern w:val="2"/>
        </w:rPr>
      </w:pPr>
      <w:r>
        <w:rPr>
          <w:rFonts w:hint="eastAsia" w:ascii="宋体" w:hAnsi="宋体" w:eastAsia="宋体"/>
          <w:kern w:val="2"/>
        </w:rPr>
        <w:t>开标一览表</w:t>
      </w:r>
    </w:p>
    <w:p>
      <w:pPr>
        <w:spacing w:before="31" w:beforeLines="10" w:line="360" w:lineRule="auto"/>
        <w:rPr>
          <w:rFonts w:hint="eastAsia" w:ascii="宋体" w:hAnsi="宋体"/>
          <w:b/>
          <w:sz w:val="22"/>
          <w:szCs w:val="22"/>
          <w:u w:val="single"/>
        </w:rPr>
      </w:pPr>
      <w:r>
        <w:rPr>
          <w:rFonts w:hint="eastAsia" w:ascii="宋体" w:hAnsi="宋体"/>
          <w:b/>
          <w:sz w:val="22"/>
          <w:szCs w:val="22"/>
        </w:rPr>
        <w:t>致：</w:t>
      </w:r>
      <w:r>
        <w:rPr>
          <w:rFonts w:hint="eastAsia" w:ascii="宋体" w:hAnsi="宋体"/>
          <w:b/>
          <w:sz w:val="22"/>
          <w:szCs w:val="22"/>
          <w:u w:val="single"/>
        </w:rPr>
        <w:t>宁波市公安局镇海分局</w:t>
      </w:r>
    </w:p>
    <w:p>
      <w:pPr>
        <w:spacing w:before="31" w:beforeLines="10" w:line="360" w:lineRule="auto"/>
        <w:ind w:firstLine="440" w:firstLineChars="200"/>
        <w:rPr>
          <w:rFonts w:hint="eastAsia" w:ascii="宋体" w:hAnsi="宋体"/>
          <w:kern w:val="0"/>
          <w:sz w:val="22"/>
          <w:szCs w:val="22"/>
          <w:lang w:val="zh-CN"/>
        </w:rPr>
      </w:pPr>
      <w:r>
        <w:rPr>
          <w:rFonts w:hint="eastAsia" w:ascii="宋体" w:hAnsi="宋体"/>
          <w:kern w:val="0"/>
          <w:sz w:val="22"/>
          <w:szCs w:val="22"/>
          <w:lang w:val="zh-CN"/>
        </w:rPr>
        <w:t>按你方采购文件要求，我们，本投标文件签字方，谨此向你方发出要约如下：如你方接受本投标文件，我方承诺按照如下开标一览表的价格完成采购编号为(</w:t>
      </w:r>
      <w:r>
        <w:rPr>
          <w:rFonts w:ascii="宋体" w:hAnsi="宋体"/>
          <w:kern w:val="0"/>
          <w:sz w:val="22"/>
          <w:szCs w:val="22"/>
          <w:lang w:val="zh-CN"/>
        </w:rPr>
        <w:t>GTCG2020048</w:t>
      </w:r>
      <w:r>
        <w:rPr>
          <w:rFonts w:hint="eastAsia" w:ascii="宋体" w:hAnsi="宋体"/>
          <w:kern w:val="0"/>
          <w:sz w:val="22"/>
          <w:szCs w:val="22"/>
          <w:lang w:val="zh-CN"/>
        </w:rPr>
        <w:t>)的采购文件[项目名称：镇海区全区社会治安视频监控系统（2021年度）统筹运维服务项目</w:t>
      </w:r>
      <w:r>
        <w:rPr>
          <w:rFonts w:hint="eastAsia" w:ascii="宋体" w:hAnsi="宋体"/>
          <w:sz w:val="22"/>
          <w:szCs w:val="22"/>
        </w:rPr>
        <w:t>]</w:t>
      </w:r>
      <w:r>
        <w:rPr>
          <w:rFonts w:hint="eastAsia" w:ascii="宋体" w:hAnsi="宋体"/>
          <w:kern w:val="0"/>
          <w:sz w:val="22"/>
          <w:szCs w:val="22"/>
          <w:lang w:val="zh-CN"/>
        </w:rPr>
        <w:t>实施。</w:t>
      </w:r>
    </w:p>
    <w:p>
      <w:pPr>
        <w:adjustRightInd w:val="0"/>
        <w:snapToGrid w:val="0"/>
        <w:spacing w:line="360" w:lineRule="auto"/>
        <w:ind w:firstLine="3643" w:firstLineChars="1656"/>
        <w:rPr>
          <w:rFonts w:hint="eastAsia" w:ascii="宋体" w:hAnsi="宋体"/>
          <w:b/>
          <w:kern w:val="0"/>
          <w:sz w:val="22"/>
          <w:szCs w:val="22"/>
          <w:lang w:val="zh-CN"/>
        </w:rPr>
      </w:pPr>
      <w:r>
        <w:rPr>
          <w:rFonts w:hint="eastAsia" w:ascii="宋体" w:hAnsi="宋体"/>
          <w:b/>
          <w:kern w:val="0"/>
          <w:sz w:val="22"/>
          <w:szCs w:val="22"/>
          <w:lang w:val="zh-CN"/>
        </w:rPr>
        <w:t>开标一览表</w:t>
      </w:r>
    </w:p>
    <w:tbl>
      <w:tblPr>
        <w:tblStyle w:val="52"/>
        <w:tblW w:w="943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019"/>
        <w:gridCol w:w="3044"/>
        <w:gridCol w:w="337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49" w:hRule="atLeast"/>
          <w:tblHeader/>
          <w:jc w:val="center"/>
        </w:trPr>
        <w:tc>
          <w:tcPr>
            <w:tcW w:w="3019" w:type="dxa"/>
            <w:tcBorders>
              <w:top w:val="single" w:color="auto" w:sz="4" w:space="0"/>
              <w:left w:val="single" w:color="auto" w:sz="4" w:space="0"/>
              <w:bottom w:val="single" w:color="auto" w:sz="6" w:space="0"/>
              <w:right w:val="single" w:color="auto" w:sz="4" w:space="0"/>
            </w:tcBorders>
            <w:noWrap w:val="0"/>
            <w:vAlign w:val="center"/>
          </w:tcPr>
          <w:p>
            <w:pPr>
              <w:spacing w:line="360" w:lineRule="auto"/>
              <w:jc w:val="center"/>
              <w:rPr>
                <w:rFonts w:ascii="宋体" w:hAnsi="宋体"/>
                <w:sz w:val="22"/>
                <w:szCs w:val="22"/>
                <w:lang w:val="en-GB"/>
              </w:rPr>
            </w:pPr>
            <w:r>
              <w:rPr>
                <w:rFonts w:hint="eastAsia" w:ascii="宋体" w:hAnsi="宋体"/>
                <w:sz w:val="22"/>
                <w:szCs w:val="22"/>
                <w:lang w:val="en-GB"/>
              </w:rPr>
              <w:t>项目名称</w:t>
            </w:r>
          </w:p>
        </w:tc>
        <w:tc>
          <w:tcPr>
            <w:tcW w:w="3044" w:type="dxa"/>
            <w:tcBorders>
              <w:top w:val="single" w:color="auto" w:sz="4" w:space="0"/>
              <w:left w:val="single" w:color="auto" w:sz="4" w:space="0"/>
              <w:bottom w:val="single" w:color="auto" w:sz="6" w:space="0"/>
              <w:right w:val="single" w:color="auto" w:sz="4" w:space="0"/>
            </w:tcBorders>
            <w:noWrap w:val="0"/>
            <w:vAlign w:val="center"/>
          </w:tcPr>
          <w:p>
            <w:pPr>
              <w:spacing w:line="360" w:lineRule="auto"/>
              <w:jc w:val="center"/>
              <w:rPr>
                <w:rFonts w:ascii="宋体" w:hAnsi="宋体"/>
                <w:sz w:val="22"/>
                <w:szCs w:val="22"/>
                <w:lang w:val="en-GB"/>
              </w:rPr>
            </w:pPr>
            <w:r>
              <w:rPr>
                <w:rFonts w:hint="eastAsia" w:ascii="宋体" w:hAnsi="宋体" w:cs="Arial"/>
                <w:b/>
                <w:bCs/>
                <w:color w:val="000000"/>
                <w:sz w:val="22"/>
                <w:szCs w:val="22"/>
              </w:rPr>
              <w:t>服务期限</w:t>
            </w:r>
          </w:p>
        </w:tc>
        <w:tc>
          <w:tcPr>
            <w:tcW w:w="3375" w:type="dxa"/>
            <w:tcBorders>
              <w:top w:val="single" w:color="auto" w:sz="4" w:space="0"/>
              <w:left w:val="single" w:color="auto" w:sz="4" w:space="0"/>
              <w:bottom w:val="single" w:color="auto" w:sz="6" w:space="0"/>
              <w:right w:val="single" w:color="auto" w:sz="4" w:space="0"/>
            </w:tcBorders>
            <w:noWrap w:val="0"/>
            <w:vAlign w:val="center"/>
          </w:tcPr>
          <w:p>
            <w:pPr>
              <w:spacing w:line="360" w:lineRule="auto"/>
              <w:jc w:val="center"/>
              <w:rPr>
                <w:rFonts w:ascii="宋体" w:hAnsi="宋体"/>
                <w:sz w:val="22"/>
                <w:szCs w:val="22"/>
                <w:lang w:val="en-GB"/>
              </w:rPr>
            </w:pPr>
            <w:r>
              <w:rPr>
                <w:rFonts w:hint="eastAsia" w:ascii="宋体" w:hAnsi="宋体" w:cs="宋体"/>
                <w:bCs/>
                <w:sz w:val="22"/>
                <w:szCs w:val="22"/>
              </w:rPr>
              <w:t>服务费</w:t>
            </w:r>
            <w:r>
              <w:rPr>
                <w:rFonts w:hint="eastAsia" w:ascii="宋体" w:hAnsi="宋体"/>
                <w:sz w:val="22"/>
                <w:szCs w:val="22"/>
                <w:lang w:val="en-GB"/>
              </w:rPr>
              <w:t>小写（年）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855" w:hRule="atLeast"/>
          <w:jc w:val="center"/>
        </w:trPr>
        <w:tc>
          <w:tcPr>
            <w:tcW w:w="3019" w:type="dxa"/>
            <w:tcBorders>
              <w:top w:val="single" w:color="auto" w:sz="6" w:space="0"/>
              <w:left w:val="single" w:color="auto" w:sz="4" w:space="0"/>
              <w:bottom w:val="single" w:color="auto" w:sz="6" w:space="0"/>
              <w:right w:val="single" w:color="auto" w:sz="4" w:space="0"/>
            </w:tcBorders>
            <w:noWrap w:val="0"/>
            <w:vAlign w:val="center"/>
          </w:tcPr>
          <w:p>
            <w:pPr>
              <w:spacing w:line="360" w:lineRule="auto"/>
              <w:jc w:val="center"/>
              <w:rPr>
                <w:rFonts w:ascii="宋体" w:hAnsi="宋体"/>
                <w:sz w:val="22"/>
                <w:szCs w:val="22"/>
                <w:lang w:val="en-GB"/>
              </w:rPr>
            </w:pPr>
            <w:r>
              <w:rPr>
                <w:rFonts w:hint="eastAsia" w:ascii="宋体" w:hAnsi="宋体"/>
                <w:sz w:val="22"/>
                <w:szCs w:val="22"/>
              </w:rPr>
              <w:t xml:space="preserve">镇海区全区社会治安视频监控系统（2021年度）统筹运维服务项目 </w:t>
            </w:r>
          </w:p>
        </w:tc>
        <w:tc>
          <w:tcPr>
            <w:tcW w:w="3044" w:type="dxa"/>
            <w:tcBorders>
              <w:top w:val="single" w:color="auto" w:sz="6" w:space="0"/>
              <w:left w:val="single" w:color="auto" w:sz="4" w:space="0"/>
              <w:bottom w:val="single" w:color="auto" w:sz="6" w:space="0"/>
              <w:right w:val="single" w:color="auto" w:sz="4" w:space="0"/>
            </w:tcBorders>
            <w:noWrap w:val="0"/>
            <w:vAlign w:val="center"/>
          </w:tcPr>
          <w:p>
            <w:pPr>
              <w:spacing w:line="360" w:lineRule="auto"/>
              <w:jc w:val="left"/>
              <w:rPr>
                <w:rFonts w:ascii="宋体" w:hAnsi="宋体"/>
                <w:sz w:val="22"/>
                <w:szCs w:val="22"/>
                <w:lang w:val="en-GB"/>
              </w:rPr>
            </w:pPr>
            <w:r>
              <w:rPr>
                <w:rFonts w:hint="eastAsia" w:ascii="宋体" w:hAnsi="宋体" w:cs="Arial"/>
                <w:bCs/>
                <w:color w:val="000000"/>
                <w:sz w:val="22"/>
                <w:szCs w:val="22"/>
              </w:rPr>
              <w:t>本项目服务期限为一年，</w:t>
            </w:r>
            <w:r>
              <w:rPr>
                <w:rFonts w:hint="eastAsia" w:ascii="宋体" w:hAnsi="宋体"/>
                <w:bCs/>
                <w:sz w:val="22"/>
                <w:szCs w:val="22"/>
              </w:rPr>
              <w:t>其中前二个月为试用期，试用期内若考核不合格</w:t>
            </w:r>
            <w:r>
              <w:rPr>
                <w:rFonts w:hint="eastAsia" w:ascii="宋体" w:hAnsi="宋体"/>
                <w:sz w:val="22"/>
                <w:szCs w:val="22"/>
              </w:rPr>
              <w:t>采购人有权单方解除合同</w:t>
            </w:r>
          </w:p>
        </w:tc>
        <w:tc>
          <w:tcPr>
            <w:tcW w:w="3375" w:type="dxa"/>
            <w:tcBorders>
              <w:top w:val="single" w:color="auto" w:sz="6" w:space="0"/>
              <w:left w:val="single" w:color="auto" w:sz="4" w:space="0"/>
              <w:bottom w:val="single" w:color="auto" w:sz="6" w:space="0"/>
              <w:right w:val="single" w:color="auto" w:sz="4" w:space="0"/>
            </w:tcBorders>
            <w:noWrap w:val="0"/>
            <w:vAlign w:val="center"/>
          </w:tcPr>
          <w:p>
            <w:pPr>
              <w:spacing w:line="360" w:lineRule="auto"/>
              <w:jc w:val="center"/>
              <w:rPr>
                <w:rFonts w:ascii="宋体" w:hAnsi="宋体"/>
                <w:sz w:val="22"/>
                <w:szCs w:val="22"/>
                <w:lang w:val="en-GB"/>
              </w:rPr>
            </w:pPr>
            <w:r>
              <w:rPr>
                <w:rFonts w:hint="eastAsia" w:ascii="宋体" w:hAnsi="宋体"/>
                <w:sz w:val="22"/>
                <w:szCs w:val="22"/>
                <w:lang w:val="en-GB"/>
              </w:rPr>
              <w:t xml:space="preserve">                     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71" w:hRule="atLeast"/>
          <w:jc w:val="center"/>
        </w:trPr>
        <w:tc>
          <w:tcPr>
            <w:tcW w:w="6063" w:type="dxa"/>
            <w:gridSpan w:val="2"/>
            <w:tcBorders>
              <w:top w:val="single" w:color="auto" w:sz="6" w:space="0"/>
              <w:left w:val="single" w:color="auto" w:sz="4" w:space="0"/>
              <w:bottom w:val="single" w:color="auto" w:sz="6" w:space="0"/>
              <w:right w:val="single" w:color="auto" w:sz="6" w:space="0"/>
            </w:tcBorders>
            <w:noWrap w:val="0"/>
            <w:vAlign w:val="center"/>
          </w:tcPr>
          <w:p>
            <w:pPr>
              <w:spacing w:line="360" w:lineRule="auto"/>
              <w:jc w:val="center"/>
              <w:rPr>
                <w:rFonts w:ascii="宋体" w:hAnsi="宋体"/>
                <w:sz w:val="22"/>
                <w:szCs w:val="22"/>
                <w:lang w:val="en-GB"/>
              </w:rPr>
            </w:pPr>
            <w:r>
              <w:rPr>
                <w:rFonts w:hint="eastAsia" w:ascii="宋体" w:hAnsi="宋体"/>
                <w:sz w:val="22"/>
                <w:szCs w:val="22"/>
                <w:lang w:val="en-GB"/>
              </w:rPr>
              <w:t>总报价（年）（大写）</w:t>
            </w:r>
          </w:p>
        </w:tc>
        <w:tc>
          <w:tcPr>
            <w:tcW w:w="3375" w:type="dxa"/>
            <w:tcBorders>
              <w:top w:val="single" w:color="auto" w:sz="4" w:space="0"/>
              <w:left w:val="single" w:color="auto" w:sz="6" w:space="0"/>
              <w:bottom w:val="single" w:color="auto" w:sz="4" w:space="0"/>
              <w:right w:val="single" w:color="auto" w:sz="4" w:space="0"/>
            </w:tcBorders>
            <w:noWrap w:val="0"/>
            <w:vAlign w:val="center"/>
          </w:tcPr>
          <w:p>
            <w:pPr>
              <w:spacing w:line="360" w:lineRule="auto"/>
              <w:jc w:val="center"/>
              <w:rPr>
                <w:rFonts w:ascii="宋体" w:hAnsi="宋体"/>
                <w:sz w:val="22"/>
                <w:szCs w:val="22"/>
                <w:lang w:val="en-GB"/>
              </w:rPr>
            </w:pPr>
            <w:r>
              <w:rPr>
                <w:rFonts w:hint="eastAsia" w:ascii="宋体" w:hAnsi="宋体"/>
                <w:sz w:val="22"/>
                <w:szCs w:val="22"/>
                <w:lang w:val="en-GB"/>
              </w:rPr>
              <w:t xml:space="preserve">          </w:t>
            </w:r>
          </w:p>
        </w:tc>
      </w:tr>
    </w:tbl>
    <w:p>
      <w:pPr>
        <w:adjustRightInd w:val="0"/>
        <w:snapToGrid w:val="0"/>
        <w:spacing w:line="360" w:lineRule="auto"/>
        <w:ind w:firstLine="480"/>
        <w:rPr>
          <w:rFonts w:hint="eastAsia" w:ascii="宋体" w:hAnsi="宋体"/>
          <w:kern w:val="0"/>
          <w:sz w:val="22"/>
          <w:szCs w:val="22"/>
          <w:lang w:val="zh-CN"/>
        </w:rPr>
      </w:pPr>
      <w:r>
        <w:rPr>
          <w:rFonts w:hint="eastAsia" w:ascii="宋体" w:hAnsi="宋体"/>
          <w:kern w:val="0"/>
          <w:sz w:val="22"/>
          <w:szCs w:val="22"/>
          <w:lang w:val="zh-CN"/>
        </w:rPr>
        <w:t>1、本投标文件及其所附文件涵盖了我方要约的全部内容。</w:t>
      </w:r>
    </w:p>
    <w:p>
      <w:pPr>
        <w:adjustRightInd w:val="0"/>
        <w:snapToGrid w:val="0"/>
        <w:spacing w:line="360" w:lineRule="auto"/>
        <w:ind w:firstLine="480"/>
        <w:rPr>
          <w:rFonts w:hint="eastAsia" w:ascii="宋体" w:hAnsi="宋体"/>
          <w:kern w:val="0"/>
          <w:sz w:val="22"/>
          <w:szCs w:val="22"/>
        </w:rPr>
      </w:pPr>
      <w:r>
        <w:rPr>
          <w:rFonts w:hint="eastAsia" w:ascii="宋体" w:hAnsi="宋体"/>
          <w:kern w:val="0"/>
          <w:sz w:val="22"/>
          <w:szCs w:val="22"/>
          <w:lang w:val="zh-CN"/>
        </w:rPr>
        <w:t>(1)我方要约有效期为</w:t>
      </w:r>
      <w:r>
        <w:rPr>
          <w:rFonts w:ascii="宋体" w:hAnsi="宋体"/>
          <w:color w:val="000000"/>
          <w:sz w:val="22"/>
          <w:szCs w:val="22"/>
        </w:rPr>
        <w:t>开标之日起</w:t>
      </w:r>
      <w:r>
        <w:rPr>
          <w:rFonts w:hint="eastAsia" w:ascii="宋体" w:hAnsi="宋体"/>
          <w:color w:val="000000"/>
          <w:sz w:val="22"/>
          <w:szCs w:val="22"/>
        </w:rPr>
        <w:t>九十</w:t>
      </w:r>
      <w:r>
        <w:rPr>
          <w:rFonts w:ascii="宋体" w:hAnsi="宋体"/>
          <w:color w:val="000000"/>
          <w:sz w:val="22"/>
          <w:szCs w:val="22"/>
        </w:rPr>
        <w:t>日历天</w:t>
      </w:r>
      <w:r>
        <w:rPr>
          <w:rFonts w:hint="eastAsia" w:ascii="宋体" w:hAnsi="宋体"/>
          <w:kern w:val="0"/>
          <w:sz w:val="22"/>
          <w:szCs w:val="22"/>
          <w:lang w:val="zh-CN"/>
        </w:rPr>
        <w:t>；</w:t>
      </w:r>
    </w:p>
    <w:p>
      <w:pPr>
        <w:adjustRightInd w:val="0"/>
        <w:snapToGrid w:val="0"/>
        <w:spacing w:line="360" w:lineRule="auto"/>
        <w:ind w:firstLine="480"/>
        <w:rPr>
          <w:rFonts w:hint="eastAsia" w:ascii="宋体" w:hAnsi="宋体"/>
          <w:kern w:val="0"/>
          <w:sz w:val="22"/>
          <w:szCs w:val="22"/>
        </w:rPr>
      </w:pPr>
      <w:r>
        <w:rPr>
          <w:rFonts w:hint="eastAsia" w:ascii="宋体" w:hAnsi="宋体"/>
          <w:kern w:val="0"/>
          <w:sz w:val="22"/>
          <w:szCs w:val="22"/>
          <w:lang w:val="zh-CN"/>
        </w:rPr>
        <w:t>(2)在投标有效标期内，我方受投标文件之价目表上我方要约金额的约束。</w:t>
      </w:r>
    </w:p>
    <w:p>
      <w:pPr>
        <w:adjustRightInd w:val="0"/>
        <w:snapToGrid w:val="0"/>
        <w:spacing w:line="360" w:lineRule="auto"/>
        <w:ind w:firstLine="480"/>
        <w:rPr>
          <w:rFonts w:hint="eastAsia" w:ascii="宋体" w:hAnsi="宋体"/>
          <w:kern w:val="0"/>
          <w:sz w:val="22"/>
          <w:szCs w:val="22"/>
        </w:rPr>
      </w:pPr>
      <w:r>
        <w:rPr>
          <w:rFonts w:hint="eastAsia" w:ascii="宋体" w:hAnsi="宋体"/>
          <w:kern w:val="0"/>
          <w:sz w:val="22"/>
          <w:szCs w:val="22"/>
          <w:lang w:val="zh-CN"/>
        </w:rPr>
        <w:t>2、本投标文件，你方之接受函，对我们双方均具约束力。</w:t>
      </w:r>
    </w:p>
    <w:p>
      <w:pPr>
        <w:adjustRightInd w:val="0"/>
        <w:snapToGrid w:val="0"/>
        <w:spacing w:line="360" w:lineRule="auto"/>
        <w:ind w:firstLine="480"/>
        <w:rPr>
          <w:rFonts w:hint="eastAsia" w:ascii="宋体" w:hAnsi="宋体"/>
          <w:kern w:val="0"/>
          <w:sz w:val="22"/>
          <w:szCs w:val="22"/>
        </w:rPr>
      </w:pPr>
      <w:r>
        <w:rPr>
          <w:rFonts w:hint="eastAsia" w:ascii="宋体" w:hAnsi="宋体"/>
          <w:kern w:val="0"/>
          <w:sz w:val="22"/>
          <w:szCs w:val="22"/>
          <w:lang w:val="zh-CN"/>
        </w:rPr>
        <w:t>3、根据具体情况而拒绝任一或所有投标文件完全取决于你方。你方没有义务一定要接受最低报价的投标文件或某一特定投标文件，也不需为拒绝某一投标文件作出任何解释。</w:t>
      </w:r>
    </w:p>
    <w:p>
      <w:pPr>
        <w:adjustRightInd w:val="0"/>
        <w:snapToGrid w:val="0"/>
        <w:spacing w:line="360" w:lineRule="auto"/>
        <w:ind w:left="719" w:hanging="240"/>
        <w:rPr>
          <w:rFonts w:hint="eastAsia" w:ascii="宋体" w:hAnsi="宋体"/>
          <w:kern w:val="0"/>
          <w:sz w:val="22"/>
          <w:szCs w:val="22"/>
          <w:lang w:val="zh-CN"/>
        </w:rPr>
      </w:pPr>
      <w:r>
        <w:rPr>
          <w:rFonts w:hint="eastAsia" w:ascii="宋体" w:hAnsi="宋体"/>
          <w:kern w:val="0"/>
          <w:sz w:val="22"/>
          <w:szCs w:val="22"/>
          <w:lang w:val="zh-CN"/>
        </w:rPr>
        <w:t>4、另外，我方承诺还将就你方所要求的进一步信息提供给你方。</w:t>
      </w:r>
    </w:p>
    <w:p>
      <w:pPr>
        <w:autoSpaceDE w:val="0"/>
        <w:autoSpaceDN w:val="0"/>
        <w:adjustRightInd w:val="0"/>
        <w:spacing w:line="360" w:lineRule="auto"/>
        <w:ind w:firstLine="330" w:firstLineChars="150"/>
        <w:rPr>
          <w:rFonts w:hint="eastAsia" w:ascii="宋体" w:hAnsi="宋体" w:cs="宋体"/>
          <w:kern w:val="0"/>
          <w:sz w:val="22"/>
          <w:szCs w:val="22"/>
          <w:lang w:val="zh-CN"/>
        </w:rPr>
      </w:pPr>
    </w:p>
    <w:p>
      <w:pPr>
        <w:autoSpaceDE w:val="0"/>
        <w:autoSpaceDN w:val="0"/>
        <w:adjustRightInd w:val="0"/>
        <w:spacing w:line="360" w:lineRule="auto"/>
        <w:ind w:firstLine="330" w:firstLineChars="150"/>
        <w:rPr>
          <w:rFonts w:hint="eastAsia" w:ascii="宋体" w:hAnsi="宋体" w:cs="宋体"/>
          <w:kern w:val="0"/>
          <w:sz w:val="22"/>
          <w:szCs w:val="22"/>
          <w:lang w:val="zh-CN"/>
        </w:rPr>
      </w:pPr>
    </w:p>
    <w:p>
      <w:pPr>
        <w:spacing w:line="360" w:lineRule="auto"/>
        <w:ind w:right="40"/>
        <w:jc w:val="right"/>
        <w:rPr>
          <w:rFonts w:hint="eastAsia" w:ascii="宋体" w:hAnsi="宋体"/>
          <w:sz w:val="22"/>
          <w:szCs w:val="22"/>
        </w:rPr>
      </w:pPr>
      <w:r>
        <w:rPr>
          <w:rFonts w:hint="eastAsia" w:ascii="宋体" w:hAnsi="宋体"/>
          <w:sz w:val="22"/>
          <w:szCs w:val="22"/>
        </w:rPr>
        <w:t>投标人：</w:t>
      </w:r>
      <w:r>
        <w:rPr>
          <w:rFonts w:hint="eastAsia" w:ascii="宋体" w:hAnsi="宋体"/>
          <w:sz w:val="22"/>
          <w:szCs w:val="22"/>
          <w:u w:val="single"/>
        </w:rPr>
        <w:t>（盖章）</w:t>
      </w:r>
    </w:p>
    <w:p>
      <w:pPr>
        <w:spacing w:line="360" w:lineRule="auto"/>
        <w:ind w:right="40"/>
        <w:jc w:val="right"/>
        <w:rPr>
          <w:rFonts w:hint="eastAsia" w:ascii="宋体" w:hAnsi="宋体"/>
          <w:sz w:val="22"/>
          <w:szCs w:val="22"/>
        </w:rPr>
      </w:pPr>
      <w:r>
        <w:rPr>
          <w:rFonts w:hint="eastAsia" w:ascii="宋体" w:hAnsi="宋体"/>
          <w:sz w:val="22"/>
          <w:szCs w:val="22"/>
        </w:rPr>
        <w:t xml:space="preserve">法定代表人或其委托代理人： </w:t>
      </w:r>
      <w:r>
        <w:rPr>
          <w:rFonts w:hint="eastAsia" w:ascii="宋体" w:hAnsi="宋体"/>
          <w:sz w:val="22"/>
          <w:szCs w:val="22"/>
          <w:u w:val="single"/>
        </w:rPr>
        <w:t>（签字或盖章）</w:t>
      </w:r>
    </w:p>
    <w:p>
      <w:pPr>
        <w:spacing w:line="360" w:lineRule="auto"/>
        <w:ind w:right="180"/>
        <w:jc w:val="right"/>
        <w:rPr>
          <w:rFonts w:hint="eastAsia" w:ascii="宋体" w:hAnsi="宋体"/>
          <w:sz w:val="22"/>
          <w:szCs w:val="22"/>
        </w:rPr>
      </w:pPr>
      <w:r>
        <w:rPr>
          <w:rFonts w:hint="eastAsia" w:ascii="宋体" w:hAnsi="宋体"/>
          <w:sz w:val="22"/>
          <w:szCs w:val="22"/>
        </w:rPr>
        <w:t>日  期：　　年　　月　　日</w:t>
      </w: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pStyle w:val="244"/>
        <w:keepNext w:val="0"/>
        <w:pageBreakBefore w:val="0"/>
        <w:tabs>
          <w:tab w:val="left" w:pos="420"/>
        </w:tabs>
        <w:adjustRightInd w:val="0"/>
        <w:snapToGrid w:val="0"/>
        <w:outlineLvl w:val="2"/>
        <w:rPr>
          <w:rFonts w:hint="eastAsia" w:ascii="宋体" w:hAnsi="宋体" w:eastAsia="宋体"/>
          <w:kern w:val="2"/>
        </w:rPr>
      </w:pPr>
    </w:p>
    <w:p>
      <w:pPr>
        <w:pStyle w:val="244"/>
        <w:keepNext w:val="0"/>
        <w:pageBreakBefore w:val="0"/>
        <w:tabs>
          <w:tab w:val="left" w:pos="420"/>
        </w:tabs>
        <w:adjustRightInd w:val="0"/>
        <w:snapToGrid w:val="0"/>
        <w:outlineLvl w:val="2"/>
        <w:rPr>
          <w:rFonts w:hint="eastAsia" w:ascii="宋体" w:hAnsi="宋体" w:eastAsia="宋体"/>
          <w:kern w:val="2"/>
        </w:rPr>
      </w:pPr>
      <w:r>
        <w:rPr>
          <w:rFonts w:hint="eastAsia" w:ascii="宋体" w:hAnsi="宋体" w:eastAsia="宋体"/>
          <w:kern w:val="2"/>
        </w:rPr>
        <w:t>投标分项报价表</w:t>
      </w:r>
    </w:p>
    <w:p>
      <w:pPr>
        <w:spacing w:line="360" w:lineRule="auto"/>
        <w:ind w:left="105" w:leftChars="50" w:right="105" w:rightChars="50" w:firstLine="318" w:firstLineChars="150"/>
        <w:rPr>
          <w:rFonts w:hint="eastAsia" w:ascii="宋体" w:hAnsi="宋体" w:cs="宋体"/>
          <w:spacing w:val="-4"/>
          <w:sz w:val="22"/>
          <w:szCs w:val="22"/>
          <w:lang w:bidi="ar"/>
        </w:rPr>
      </w:pPr>
      <w:r>
        <w:rPr>
          <w:rFonts w:hint="eastAsia" w:ascii="宋体" w:hAnsi="宋体" w:cs="宋体"/>
          <w:spacing w:val="-4"/>
          <w:sz w:val="22"/>
          <w:szCs w:val="22"/>
          <w:lang w:bidi="ar"/>
        </w:rPr>
        <w:t>采购项目：</w:t>
      </w:r>
    </w:p>
    <w:p>
      <w:pPr>
        <w:spacing w:line="360" w:lineRule="auto"/>
        <w:ind w:left="105" w:leftChars="50" w:right="105" w:rightChars="50" w:firstLine="318" w:firstLineChars="150"/>
        <w:rPr>
          <w:rFonts w:hint="eastAsia" w:ascii="宋体" w:hAnsi="宋体" w:cs="宋体"/>
          <w:spacing w:val="-4"/>
          <w:sz w:val="22"/>
          <w:szCs w:val="22"/>
          <w:lang w:bidi="ar"/>
        </w:rPr>
      </w:pPr>
      <w:r>
        <w:rPr>
          <w:rFonts w:hint="eastAsia" w:ascii="宋体" w:hAnsi="宋体" w:cs="宋体"/>
          <w:spacing w:val="-4"/>
          <w:sz w:val="22"/>
          <w:szCs w:val="22"/>
          <w:lang w:bidi="ar"/>
        </w:rPr>
        <w:t>项目编号：</w:t>
      </w:r>
    </w:p>
    <w:tbl>
      <w:tblPr>
        <w:tblStyle w:val="52"/>
        <w:tblW w:w="0" w:type="auto"/>
        <w:jc w:val="center"/>
        <w:tblLayout w:type="fixed"/>
        <w:tblCellMar>
          <w:top w:w="0" w:type="dxa"/>
          <w:left w:w="108" w:type="dxa"/>
          <w:bottom w:w="0" w:type="dxa"/>
          <w:right w:w="108" w:type="dxa"/>
        </w:tblCellMar>
      </w:tblPr>
      <w:tblGrid>
        <w:gridCol w:w="1001"/>
        <w:gridCol w:w="3651"/>
        <w:gridCol w:w="1610"/>
        <w:gridCol w:w="1253"/>
        <w:gridCol w:w="1432"/>
      </w:tblGrid>
      <w:tr>
        <w:tblPrEx>
          <w:tblCellMar>
            <w:top w:w="0" w:type="dxa"/>
            <w:left w:w="108" w:type="dxa"/>
            <w:bottom w:w="0" w:type="dxa"/>
            <w:right w:w="108" w:type="dxa"/>
          </w:tblCellMar>
        </w:tblPrEx>
        <w:trPr>
          <w:wBefore w:w="0" w:type="dxa"/>
          <w:wAfter w:w="0" w:type="dxa"/>
          <w:trHeight w:val="673"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105" w:leftChars="50" w:right="105" w:rightChars="50"/>
              <w:jc w:val="center"/>
              <w:rPr>
                <w:rFonts w:hint="eastAsia" w:ascii="宋体" w:hAnsi="宋体" w:cs="宋体"/>
                <w:spacing w:val="20"/>
                <w:sz w:val="22"/>
                <w:szCs w:val="22"/>
              </w:rPr>
            </w:pPr>
            <w:r>
              <w:rPr>
                <w:rFonts w:hint="eastAsia" w:ascii="宋体" w:hAnsi="宋体" w:cs="宋体"/>
                <w:sz w:val="22"/>
                <w:szCs w:val="22"/>
                <w:lang w:bidi="ar"/>
              </w:rPr>
              <w:t>序号</w:t>
            </w:r>
          </w:p>
        </w:tc>
        <w:tc>
          <w:tcPr>
            <w:tcW w:w="3651" w:type="dxa"/>
            <w:tcBorders>
              <w:top w:val="single" w:color="auto" w:sz="4" w:space="0"/>
              <w:left w:val="nil"/>
              <w:bottom w:val="single" w:color="auto" w:sz="4" w:space="0"/>
              <w:right w:val="single" w:color="auto" w:sz="4" w:space="0"/>
            </w:tcBorders>
            <w:noWrap w:val="0"/>
            <w:vAlign w:val="center"/>
          </w:tcPr>
          <w:p>
            <w:pPr>
              <w:snapToGrid w:val="0"/>
              <w:spacing w:line="360" w:lineRule="auto"/>
              <w:ind w:left="105" w:leftChars="50" w:right="105" w:rightChars="50"/>
              <w:jc w:val="center"/>
              <w:rPr>
                <w:rFonts w:hint="eastAsia" w:ascii="宋体" w:hAnsi="宋体" w:cs="宋体"/>
                <w:spacing w:val="20"/>
                <w:sz w:val="22"/>
                <w:szCs w:val="22"/>
              </w:rPr>
            </w:pPr>
            <w:r>
              <w:rPr>
                <w:rFonts w:hint="eastAsia" w:ascii="宋体" w:hAnsi="宋体" w:cs="宋体"/>
                <w:spacing w:val="20"/>
                <w:sz w:val="22"/>
                <w:szCs w:val="22"/>
                <w:lang w:bidi="ar"/>
              </w:rPr>
              <w:t>项目内容</w:t>
            </w:r>
          </w:p>
        </w:tc>
        <w:tc>
          <w:tcPr>
            <w:tcW w:w="1610" w:type="dxa"/>
            <w:tcBorders>
              <w:top w:val="single" w:color="auto" w:sz="4" w:space="0"/>
              <w:left w:val="nil"/>
              <w:bottom w:val="single" w:color="auto" w:sz="4" w:space="0"/>
              <w:right w:val="single" w:color="auto" w:sz="4" w:space="0"/>
            </w:tcBorders>
            <w:noWrap w:val="0"/>
            <w:vAlign w:val="center"/>
          </w:tcPr>
          <w:p>
            <w:pPr>
              <w:snapToGrid w:val="0"/>
              <w:spacing w:line="360" w:lineRule="auto"/>
              <w:ind w:left="105" w:leftChars="50" w:right="105" w:rightChars="50"/>
              <w:jc w:val="center"/>
              <w:rPr>
                <w:rFonts w:hint="eastAsia" w:ascii="宋体" w:hAnsi="宋体" w:cs="宋体"/>
                <w:spacing w:val="20"/>
                <w:sz w:val="22"/>
                <w:szCs w:val="22"/>
              </w:rPr>
            </w:pPr>
            <w:r>
              <w:rPr>
                <w:rFonts w:hint="eastAsia" w:ascii="宋体" w:hAnsi="宋体" w:cs="宋体"/>
                <w:sz w:val="22"/>
                <w:szCs w:val="22"/>
                <w:lang w:bidi="ar"/>
              </w:rPr>
              <w:t>单位及数量</w:t>
            </w:r>
          </w:p>
        </w:tc>
        <w:tc>
          <w:tcPr>
            <w:tcW w:w="1253" w:type="dxa"/>
            <w:tcBorders>
              <w:top w:val="single" w:color="auto" w:sz="4" w:space="0"/>
              <w:left w:val="nil"/>
              <w:bottom w:val="single" w:color="auto" w:sz="4" w:space="0"/>
              <w:right w:val="single" w:color="auto" w:sz="4" w:space="0"/>
            </w:tcBorders>
            <w:noWrap w:val="0"/>
            <w:vAlign w:val="center"/>
          </w:tcPr>
          <w:p>
            <w:pPr>
              <w:snapToGrid w:val="0"/>
              <w:spacing w:line="360" w:lineRule="auto"/>
              <w:ind w:left="105" w:leftChars="50" w:right="105" w:rightChars="50"/>
              <w:jc w:val="center"/>
              <w:rPr>
                <w:rFonts w:hint="eastAsia" w:ascii="宋体" w:hAnsi="宋体" w:cs="宋体"/>
                <w:spacing w:val="20"/>
                <w:sz w:val="22"/>
                <w:szCs w:val="22"/>
              </w:rPr>
            </w:pPr>
            <w:r>
              <w:rPr>
                <w:rFonts w:hint="eastAsia" w:ascii="宋体" w:hAnsi="宋体" w:cs="宋体"/>
                <w:sz w:val="22"/>
                <w:szCs w:val="22"/>
                <w:lang w:bidi="ar"/>
              </w:rPr>
              <w:t>单价（元）</w:t>
            </w:r>
          </w:p>
        </w:tc>
        <w:tc>
          <w:tcPr>
            <w:tcW w:w="1432" w:type="dxa"/>
            <w:tcBorders>
              <w:top w:val="single" w:color="auto" w:sz="4" w:space="0"/>
              <w:left w:val="nil"/>
              <w:bottom w:val="single" w:color="auto" w:sz="4" w:space="0"/>
              <w:right w:val="single" w:color="auto" w:sz="4" w:space="0"/>
            </w:tcBorders>
            <w:noWrap w:val="0"/>
            <w:vAlign w:val="center"/>
          </w:tcPr>
          <w:p>
            <w:pPr>
              <w:snapToGrid w:val="0"/>
              <w:spacing w:line="360" w:lineRule="auto"/>
              <w:ind w:left="105" w:leftChars="50" w:right="105" w:rightChars="50"/>
              <w:jc w:val="center"/>
              <w:rPr>
                <w:rFonts w:hint="eastAsia" w:ascii="宋体" w:hAnsi="宋体" w:cs="宋体"/>
                <w:spacing w:val="20"/>
                <w:sz w:val="22"/>
                <w:szCs w:val="22"/>
              </w:rPr>
            </w:pPr>
            <w:r>
              <w:rPr>
                <w:rFonts w:hint="eastAsia" w:ascii="宋体" w:hAnsi="宋体" w:cs="宋体"/>
                <w:sz w:val="22"/>
                <w:szCs w:val="22"/>
                <w:lang w:bidi="ar"/>
              </w:rPr>
              <w:t>合价（元）</w:t>
            </w:r>
          </w:p>
        </w:tc>
      </w:tr>
      <w:tr>
        <w:tblPrEx>
          <w:tblCellMar>
            <w:top w:w="0" w:type="dxa"/>
            <w:left w:w="108" w:type="dxa"/>
            <w:bottom w:w="0" w:type="dxa"/>
            <w:right w:w="108" w:type="dxa"/>
          </w:tblCellMar>
        </w:tblPrEx>
        <w:trPr>
          <w:wBefore w:w="0" w:type="dxa"/>
          <w:wAfter w:w="0" w:type="dxa"/>
          <w:jc w:val="center"/>
        </w:trPr>
        <w:tc>
          <w:tcPr>
            <w:tcW w:w="100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3651"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1610"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1253"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1432"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r>
      <w:tr>
        <w:tblPrEx>
          <w:tblCellMar>
            <w:top w:w="0" w:type="dxa"/>
            <w:left w:w="108" w:type="dxa"/>
            <w:bottom w:w="0" w:type="dxa"/>
            <w:right w:w="108" w:type="dxa"/>
          </w:tblCellMar>
        </w:tblPrEx>
        <w:trPr>
          <w:wBefore w:w="0" w:type="dxa"/>
          <w:wAfter w:w="0" w:type="dxa"/>
          <w:jc w:val="center"/>
        </w:trPr>
        <w:tc>
          <w:tcPr>
            <w:tcW w:w="100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3651"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1610"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1253"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1432"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r>
      <w:tr>
        <w:tblPrEx>
          <w:tblCellMar>
            <w:top w:w="0" w:type="dxa"/>
            <w:left w:w="108" w:type="dxa"/>
            <w:bottom w:w="0" w:type="dxa"/>
            <w:right w:w="108" w:type="dxa"/>
          </w:tblCellMar>
        </w:tblPrEx>
        <w:trPr>
          <w:wBefore w:w="0" w:type="dxa"/>
          <w:wAfter w:w="0" w:type="dxa"/>
          <w:jc w:val="center"/>
        </w:trPr>
        <w:tc>
          <w:tcPr>
            <w:tcW w:w="100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3651"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1610"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1253"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1432"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r>
      <w:tr>
        <w:tblPrEx>
          <w:tblCellMar>
            <w:top w:w="0" w:type="dxa"/>
            <w:left w:w="108" w:type="dxa"/>
            <w:bottom w:w="0" w:type="dxa"/>
            <w:right w:w="108" w:type="dxa"/>
          </w:tblCellMar>
        </w:tblPrEx>
        <w:trPr>
          <w:wBefore w:w="0" w:type="dxa"/>
          <w:wAfter w:w="0" w:type="dxa"/>
          <w:jc w:val="center"/>
        </w:trPr>
        <w:tc>
          <w:tcPr>
            <w:tcW w:w="100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3651"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1610"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1253"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1432"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r>
      <w:tr>
        <w:tblPrEx>
          <w:tblCellMar>
            <w:top w:w="0" w:type="dxa"/>
            <w:left w:w="108" w:type="dxa"/>
            <w:bottom w:w="0" w:type="dxa"/>
            <w:right w:w="108" w:type="dxa"/>
          </w:tblCellMar>
        </w:tblPrEx>
        <w:trPr>
          <w:wBefore w:w="0" w:type="dxa"/>
          <w:wAfter w:w="0" w:type="dxa"/>
          <w:jc w:val="center"/>
        </w:trPr>
        <w:tc>
          <w:tcPr>
            <w:tcW w:w="100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3651"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1610"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1253"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1432"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r>
      <w:tr>
        <w:tblPrEx>
          <w:tblCellMar>
            <w:top w:w="0" w:type="dxa"/>
            <w:left w:w="108" w:type="dxa"/>
            <w:bottom w:w="0" w:type="dxa"/>
            <w:right w:w="108" w:type="dxa"/>
          </w:tblCellMar>
        </w:tblPrEx>
        <w:trPr>
          <w:wBefore w:w="0" w:type="dxa"/>
          <w:wAfter w:w="0" w:type="dxa"/>
          <w:jc w:val="center"/>
        </w:trPr>
        <w:tc>
          <w:tcPr>
            <w:tcW w:w="100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3651"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1610"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1253"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1432"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r>
      <w:tr>
        <w:tblPrEx>
          <w:tblCellMar>
            <w:top w:w="0" w:type="dxa"/>
            <w:left w:w="108" w:type="dxa"/>
            <w:bottom w:w="0" w:type="dxa"/>
            <w:right w:w="108" w:type="dxa"/>
          </w:tblCellMar>
        </w:tblPrEx>
        <w:trPr>
          <w:wBefore w:w="0" w:type="dxa"/>
          <w:wAfter w:w="0" w:type="dxa"/>
          <w:jc w:val="center"/>
        </w:trPr>
        <w:tc>
          <w:tcPr>
            <w:tcW w:w="100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3651"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1610"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1253"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1432"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r>
      <w:tr>
        <w:tblPrEx>
          <w:tblCellMar>
            <w:top w:w="0" w:type="dxa"/>
            <w:left w:w="108" w:type="dxa"/>
            <w:bottom w:w="0" w:type="dxa"/>
            <w:right w:w="108" w:type="dxa"/>
          </w:tblCellMar>
        </w:tblPrEx>
        <w:trPr>
          <w:wBefore w:w="0" w:type="dxa"/>
          <w:wAfter w:w="0" w:type="dxa"/>
          <w:trHeight w:val="369"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3651"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1610"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1253"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1432"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r>
      <w:tr>
        <w:tblPrEx>
          <w:tblCellMar>
            <w:top w:w="0" w:type="dxa"/>
            <w:left w:w="108" w:type="dxa"/>
            <w:bottom w:w="0" w:type="dxa"/>
            <w:right w:w="108" w:type="dxa"/>
          </w:tblCellMar>
        </w:tblPrEx>
        <w:trPr>
          <w:wBefore w:w="0" w:type="dxa"/>
          <w:wAfter w:w="0" w:type="dxa"/>
          <w:trHeight w:val="351"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3651"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1610"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1253"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1432"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r>
      <w:tr>
        <w:tblPrEx>
          <w:tblCellMar>
            <w:top w:w="0" w:type="dxa"/>
            <w:left w:w="108" w:type="dxa"/>
            <w:bottom w:w="0" w:type="dxa"/>
            <w:right w:w="108" w:type="dxa"/>
          </w:tblCellMar>
        </w:tblPrEx>
        <w:trPr>
          <w:wBefore w:w="0" w:type="dxa"/>
          <w:wAfter w:w="0" w:type="dxa"/>
          <w:trHeight w:val="452"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3651"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1610"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1253"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1432"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r>
      <w:tr>
        <w:tblPrEx>
          <w:tblCellMar>
            <w:top w:w="0" w:type="dxa"/>
            <w:left w:w="108" w:type="dxa"/>
            <w:bottom w:w="0" w:type="dxa"/>
            <w:right w:w="108" w:type="dxa"/>
          </w:tblCellMar>
        </w:tblPrEx>
        <w:trPr>
          <w:wBefore w:w="0" w:type="dxa"/>
          <w:wAfter w:w="0" w:type="dxa"/>
          <w:trHeight w:val="452"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3651"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1610"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1253"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1432"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r>
      <w:tr>
        <w:tblPrEx>
          <w:tblCellMar>
            <w:top w:w="0" w:type="dxa"/>
            <w:left w:w="108" w:type="dxa"/>
            <w:bottom w:w="0" w:type="dxa"/>
            <w:right w:w="108" w:type="dxa"/>
          </w:tblCellMar>
        </w:tblPrEx>
        <w:trPr>
          <w:wBefore w:w="0" w:type="dxa"/>
          <w:wAfter w:w="0" w:type="dxa"/>
          <w:trHeight w:val="452"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3651"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1610"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1253"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1432"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r>
      <w:tr>
        <w:tblPrEx>
          <w:tblCellMar>
            <w:top w:w="0" w:type="dxa"/>
            <w:left w:w="108" w:type="dxa"/>
            <w:bottom w:w="0" w:type="dxa"/>
            <w:right w:w="108" w:type="dxa"/>
          </w:tblCellMar>
        </w:tblPrEx>
        <w:trPr>
          <w:wBefore w:w="0" w:type="dxa"/>
          <w:wAfter w:w="0" w:type="dxa"/>
          <w:trHeight w:val="452"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3651"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1610"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1253"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1432"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r>
      <w:tr>
        <w:tblPrEx>
          <w:tblCellMar>
            <w:top w:w="0" w:type="dxa"/>
            <w:left w:w="108" w:type="dxa"/>
            <w:bottom w:w="0" w:type="dxa"/>
            <w:right w:w="108" w:type="dxa"/>
          </w:tblCellMar>
        </w:tblPrEx>
        <w:trPr>
          <w:wBefore w:w="0" w:type="dxa"/>
          <w:wAfter w:w="0" w:type="dxa"/>
          <w:trHeight w:val="452"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3651"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1610"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1253"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c>
          <w:tcPr>
            <w:tcW w:w="1432"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r>
      <w:tr>
        <w:tblPrEx>
          <w:tblCellMar>
            <w:top w:w="0" w:type="dxa"/>
            <w:left w:w="108" w:type="dxa"/>
            <w:bottom w:w="0" w:type="dxa"/>
            <w:right w:w="108" w:type="dxa"/>
          </w:tblCellMar>
        </w:tblPrEx>
        <w:trPr>
          <w:wBefore w:w="0" w:type="dxa"/>
          <w:wAfter w:w="0" w:type="dxa"/>
          <w:trHeight w:val="452" w:hRule="atLeast"/>
          <w:jc w:val="center"/>
        </w:trPr>
        <w:tc>
          <w:tcPr>
            <w:tcW w:w="7515" w:type="dxa"/>
            <w:gridSpan w:val="4"/>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r>
              <w:rPr>
                <w:rFonts w:hint="eastAsia" w:ascii="宋体" w:hAnsi="宋体" w:cs="宋体"/>
                <w:spacing w:val="20"/>
                <w:sz w:val="22"/>
                <w:szCs w:val="22"/>
              </w:rPr>
              <w:t>总报价合计（年）</w:t>
            </w:r>
          </w:p>
        </w:tc>
        <w:tc>
          <w:tcPr>
            <w:tcW w:w="1432" w:type="dxa"/>
            <w:tcBorders>
              <w:top w:val="single" w:color="auto" w:sz="4" w:space="0"/>
              <w:left w:val="nil"/>
              <w:bottom w:val="single" w:color="auto" w:sz="4" w:space="0"/>
              <w:right w:val="single" w:color="auto" w:sz="4" w:space="0"/>
            </w:tcBorders>
            <w:noWrap w:val="0"/>
            <w:vAlign w:val="top"/>
          </w:tcPr>
          <w:p>
            <w:pPr>
              <w:snapToGrid w:val="0"/>
              <w:spacing w:line="360" w:lineRule="auto"/>
              <w:ind w:left="105" w:leftChars="50" w:right="105" w:rightChars="50"/>
              <w:jc w:val="center"/>
              <w:rPr>
                <w:rFonts w:hint="eastAsia" w:ascii="宋体" w:hAnsi="宋体" w:cs="宋体"/>
                <w:spacing w:val="20"/>
                <w:sz w:val="22"/>
                <w:szCs w:val="22"/>
              </w:rPr>
            </w:pPr>
          </w:p>
        </w:tc>
      </w:tr>
    </w:tbl>
    <w:p>
      <w:pPr>
        <w:pStyle w:val="26"/>
        <w:adjustRightInd w:val="0"/>
        <w:snapToGrid w:val="0"/>
        <w:spacing w:line="360" w:lineRule="auto"/>
        <w:ind w:left="105" w:leftChars="50" w:right="105" w:rightChars="50" w:firstLine="550" w:firstLineChars="250"/>
        <w:rPr>
          <w:rFonts w:hint="eastAsia" w:hAnsi="宋体"/>
          <w:kern w:val="0"/>
          <w:sz w:val="22"/>
          <w:szCs w:val="22"/>
          <w:lang w:val="zh-CN"/>
        </w:rPr>
      </w:pPr>
      <w:r>
        <w:rPr>
          <w:rFonts w:hint="eastAsia" w:hAnsi="宋体"/>
          <w:kern w:val="0"/>
          <w:sz w:val="22"/>
          <w:szCs w:val="22"/>
          <w:lang w:val="zh-CN"/>
        </w:rPr>
        <w:t xml:space="preserve"> </w:t>
      </w:r>
      <w:r>
        <w:rPr>
          <w:rFonts w:hint="eastAsia" w:hAnsi="宋体"/>
          <w:b/>
          <w:kern w:val="0"/>
          <w:sz w:val="22"/>
          <w:szCs w:val="22"/>
          <w:lang w:val="zh-CN"/>
        </w:rPr>
        <w:t xml:space="preserve"> </w:t>
      </w:r>
      <w:r>
        <w:rPr>
          <w:rFonts w:hint="eastAsia" w:hAnsi="宋体"/>
          <w:b/>
          <w:kern w:val="0"/>
          <w:sz w:val="22"/>
          <w:szCs w:val="22"/>
        </w:rPr>
        <w:t>注：</w:t>
      </w:r>
      <w:r>
        <w:rPr>
          <w:rFonts w:hint="eastAsia" w:hAnsi="宋体"/>
          <w:b/>
          <w:sz w:val="22"/>
          <w:szCs w:val="22"/>
        </w:rPr>
        <w:t>报价应包括项目涉及的一切相关费用</w:t>
      </w:r>
      <w:r>
        <w:rPr>
          <w:rFonts w:hint="eastAsia" w:hAnsi="宋体"/>
          <w:b/>
          <w:sz w:val="22"/>
          <w:szCs w:val="22"/>
          <w:lang w:eastAsia="zh-CN"/>
        </w:rPr>
        <w:t>，</w:t>
      </w:r>
      <w:r>
        <w:rPr>
          <w:rFonts w:hint="eastAsia" w:hAnsi="宋体" w:cs="宋体"/>
          <w:b/>
          <w:sz w:val="22"/>
          <w:szCs w:val="22"/>
        </w:rPr>
        <w:t>投标单位可根据实际情况自行调整表格</w:t>
      </w:r>
      <w:r>
        <w:rPr>
          <w:rFonts w:hint="eastAsia" w:hAnsi="宋体"/>
          <w:b/>
          <w:bCs/>
          <w:sz w:val="22"/>
          <w:szCs w:val="22"/>
        </w:rPr>
        <w:t>。</w:t>
      </w:r>
    </w:p>
    <w:p>
      <w:pPr>
        <w:spacing w:line="360" w:lineRule="auto"/>
        <w:ind w:left="105" w:leftChars="50" w:right="105" w:rightChars="50"/>
        <w:jc w:val="right"/>
        <w:rPr>
          <w:rFonts w:hint="eastAsia" w:ascii="宋体" w:hAnsi="宋体"/>
          <w:sz w:val="22"/>
          <w:szCs w:val="22"/>
        </w:rPr>
      </w:pPr>
      <w:r>
        <w:rPr>
          <w:rFonts w:hint="eastAsia" w:ascii="宋体" w:hAnsi="宋体"/>
          <w:sz w:val="22"/>
          <w:szCs w:val="22"/>
        </w:rPr>
        <w:t xml:space="preserve">                                    投标人：</w:t>
      </w:r>
      <w:r>
        <w:rPr>
          <w:rFonts w:hint="eastAsia" w:ascii="宋体" w:hAnsi="宋体"/>
          <w:sz w:val="22"/>
          <w:szCs w:val="22"/>
          <w:u w:val="single"/>
        </w:rPr>
        <w:t>（盖章）</w:t>
      </w:r>
    </w:p>
    <w:p>
      <w:pPr>
        <w:spacing w:line="360" w:lineRule="auto"/>
        <w:ind w:left="105" w:leftChars="50" w:right="105" w:rightChars="50"/>
        <w:jc w:val="right"/>
        <w:rPr>
          <w:rFonts w:hint="eastAsia" w:ascii="宋体" w:hAnsi="宋体"/>
          <w:sz w:val="22"/>
          <w:szCs w:val="22"/>
        </w:rPr>
      </w:pPr>
      <w:r>
        <w:rPr>
          <w:rFonts w:hint="eastAsia" w:ascii="宋体" w:hAnsi="宋体"/>
          <w:sz w:val="22"/>
          <w:szCs w:val="22"/>
        </w:rPr>
        <w:t xml:space="preserve">法定代表人或其委托代理人： </w:t>
      </w:r>
      <w:r>
        <w:rPr>
          <w:rFonts w:hint="eastAsia" w:ascii="宋体" w:hAnsi="宋体"/>
          <w:sz w:val="22"/>
          <w:szCs w:val="22"/>
          <w:u w:val="single"/>
        </w:rPr>
        <w:t>（签字或盖章）</w:t>
      </w:r>
    </w:p>
    <w:p>
      <w:pPr>
        <w:spacing w:line="360" w:lineRule="auto"/>
        <w:ind w:left="105" w:leftChars="50" w:right="105" w:rightChars="50"/>
        <w:jc w:val="right"/>
        <w:rPr>
          <w:rFonts w:hint="eastAsia" w:ascii="宋体" w:hAnsi="宋体"/>
          <w:sz w:val="22"/>
          <w:szCs w:val="22"/>
        </w:rPr>
      </w:pPr>
      <w:r>
        <w:rPr>
          <w:rFonts w:hint="eastAsia" w:ascii="宋体" w:hAnsi="宋体"/>
          <w:sz w:val="22"/>
          <w:szCs w:val="22"/>
        </w:rPr>
        <w:t>日  期：　　年　　月　　日</w:t>
      </w:r>
    </w:p>
    <w:p>
      <w:pPr>
        <w:pStyle w:val="26"/>
        <w:adjustRightInd w:val="0"/>
        <w:snapToGrid w:val="0"/>
        <w:spacing w:line="360" w:lineRule="auto"/>
        <w:ind w:firstLine="700"/>
        <w:rPr>
          <w:rFonts w:hint="eastAsia" w:hAnsi="宋体"/>
        </w:rPr>
      </w:pPr>
      <w:r>
        <w:rPr>
          <w:rFonts w:hint="eastAsia" w:hAnsi="宋体"/>
        </w:rPr>
        <w:t xml:space="preserve">  </w:t>
      </w: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tabs>
          <w:tab w:val="left" w:pos="7480"/>
        </w:tabs>
        <w:autoSpaceDE w:val="0"/>
        <w:autoSpaceDN w:val="0"/>
        <w:adjustRightInd w:val="0"/>
        <w:spacing w:line="360" w:lineRule="exact"/>
        <w:rPr>
          <w:rFonts w:hint="eastAsia" w:ascii="黑体" w:eastAsia="黑体"/>
          <w:sz w:val="24"/>
        </w:rPr>
      </w:pPr>
    </w:p>
    <w:p>
      <w:pPr>
        <w:jc w:val="center"/>
        <w:rPr>
          <w:b/>
          <w:sz w:val="32"/>
          <w:szCs w:val="32"/>
        </w:rPr>
      </w:pPr>
      <w:r>
        <w:rPr>
          <w:rFonts w:hint="eastAsia"/>
          <w:b/>
          <w:sz w:val="32"/>
          <w:szCs w:val="32"/>
        </w:rPr>
        <w:t>中小企业</w:t>
      </w:r>
      <w:r>
        <w:rPr>
          <w:b/>
          <w:sz w:val="32"/>
          <w:szCs w:val="32"/>
        </w:rPr>
        <w:t>声明函</w:t>
      </w:r>
      <w:r>
        <w:rPr>
          <w:rFonts w:hint="eastAsia"/>
          <w:b/>
          <w:sz w:val="32"/>
          <w:szCs w:val="32"/>
        </w:rPr>
        <w:t>（如需）</w:t>
      </w:r>
    </w:p>
    <w:p>
      <w:pPr>
        <w:rPr>
          <w:sz w:val="24"/>
        </w:rPr>
      </w:pPr>
    </w:p>
    <w:p>
      <w:pPr>
        <w:spacing w:line="360" w:lineRule="auto"/>
        <w:ind w:firstLine="440" w:firstLineChars="200"/>
        <w:rPr>
          <w:rFonts w:ascii="宋体" w:hAnsi="宋体"/>
          <w:sz w:val="22"/>
          <w:szCs w:val="22"/>
        </w:rPr>
      </w:pPr>
      <w:r>
        <w:rPr>
          <w:rFonts w:ascii="宋体" w:hAnsi="宋体"/>
          <w:sz w:val="22"/>
          <w:szCs w:val="22"/>
        </w:rPr>
        <w:t>根据</w:t>
      </w:r>
      <w:r>
        <w:rPr>
          <w:rFonts w:hint="eastAsia" w:ascii="宋体" w:hAnsi="宋体"/>
          <w:sz w:val="22"/>
          <w:szCs w:val="22"/>
        </w:rPr>
        <w:t>财政部</w:t>
      </w:r>
      <w:r>
        <w:rPr>
          <w:rFonts w:ascii="宋体" w:hAnsi="宋体"/>
          <w:sz w:val="22"/>
          <w:szCs w:val="22"/>
        </w:rPr>
        <w:t>《政府采购促进中小企业发展暂行办法》（财库</w:t>
      </w:r>
      <w:r>
        <w:rPr>
          <w:rFonts w:hint="eastAsia" w:ascii="宋体" w:hAnsi="宋体"/>
          <w:sz w:val="22"/>
          <w:szCs w:val="22"/>
        </w:rPr>
        <w:t>〔</w:t>
      </w:r>
      <w:r>
        <w:rPr>
          <w:rFonts w:ascii="宋体" w:hAnsi="宋体"/>
          <w:sz w:val="22"/>
          <w:szCs w:val="22"/>
        </w:rPr>
        <w:t>2011</w:t>
      </w:r>
      <w:r>
        <w:rPr>
          <w:rFonts w:hint="eastAsia" w:ascii="宋体" w:hAnsi="宋体"/>
          <w:sz w:val="22"/>
          <w:szCs w:val="22"/>
        </w:rPr>
        <w:t>〕</w:t>
      </w:r>
      <w:r>
        <w:rPr>
          <w:rFonts w:ascii="宋体" w:hAnsi="宋体"/>
          <w:sz w:val="22"/>
          <w:szCs w:val="22"/>
        </w:rPr>
        <w:t>181号）</w:t>
      </w:r>
      <w:r>
        <w:rPr>
          <w:rFonts w:hint="eastAsia" w:ascii="宋体" w:hAnsi="宋体"/>
          <w:sz w:val="22"/>
          <w:szCs w:val="22"/>
        </w:rPr>
        <w:t>和宁波市财政局《关于政府采购促进中小企业发展若干问题的通知》（甬采购办〔</w:t>
      </w:r>
      <w:r>
        <w:rPr>
          <w:rFonts w:ascii="宋体" w:hAnsi="宋体"/>
          <w:sz w:val="22"/>
          <w:szCs w:val="22"/>
        </w:rPr>
        <w:t>201</w:t>
      </w:r>
      <w:r>
        <w:rPr>
          <w:rFonts w:hint="eastAsia" w:ascii="宋体" w:hAnsi="宋体"/>
          <w:sz w:val="22"/>
          <w:szCs w:val="22"/>
        </w:rPr>
        <w:t>2〕1427号）的</w:t>
      </w:r>
      <w:r>
        <w:rPr>
          <w:rFonts w:ascii="宋体" w:hAnsi="宋体"/>
          <w:sz w:val="22"/>
          <w:szCs w:val="22"/>
        </w:rPr>
        <w:t>规定，本</w:t>
      </w:r>
      <w:r>
        <w:rPr>
          <w:rFonts w:hint="eastAsia" w:ascii="宋体" w:hAnsi="宋体"/>
          <w:sz w:val="22"/>
          <w:szCs w:val="22"/>
        </w:rPr>
        <w:t>单位</w:t>
      </w:r>
      <w:r>
        <w:rPr>
          <w:rFonts w:ascii="宋体" w:hAnsi="宋体"/>
          <w:sz w:val="22"/>
          <w:szCs w:val="22"/>
        </w:rPr>
        <w:t>郑重声明：</w:t>
      </w:r>
    </w:p>
    <w:p>
      <w:pPr>
        <w:spacing w:line="360" w:lineRule="auto"/>
        <w:ind w:firstLine="440" w:firstLineChars="200"/>
        <w:rPr>
          <w:rFonts w:ascii="宋体" w:hAnsi="宋体"/>
          <w:sz w:val="22"/>
          <w:szCs w:val="22"/>
        </w:rPr>
      </w:pPr>
      <w:r>
        <w:rPr>
          <w:rFonts w:ascii="宋体" w:hAnsi="宋体"/>
          <w:sz w:val="22"/>
          <w:szCs w:val="22"/>
        </w:rPr>
        <w:t>1</w:t>
      </w:r>
      <w:r>
        <w:rPr>
          <w:rFonts w:hint="eastAsia" w:ascii="宋体" w:hAnsi="宋体"/>
          <w:sz w:val="22"/>
          <w:szCs w:val="22"/>
        </w:rPr>
        <w:t>、依据</w:t>
      </w:r>
      <w:r>
        <w:rPr>
          <w:rFonts w:ascii="宋体" w:hAnsi="宋体"/>
          <w:sz w:val="22"/>
          <w:szCs w:val="22"/>
        </w:rPr>
        <w:t>工业和信息化部、国家统计局、国家发展和改革委员会、财政部《关于印发中小企业划型标准规定的通知》（工信部联企业</w:t>
      </w:r>
      <w:r>
        <w:rPr>
          <w:rFonts w:hint="eastAsia" w:ascii="宋体" w:hAnsi="宋体"/>
          <w:sz w:val="22"/>
          <w:szCs w:val="22"/>
        </w:rPr>
        <w:t>〔</w:t>
      </w:r>
      <w:r>
        <w:rPr>
          <w:rFonts w:ascii="宋体" w:hAnsi="宋体"/>
          <w:sz w:val="22"/>
          <w:szCs w:val="22"/>
        </w:rPr>
        <w:t>2011</w:t>
      </w:r>
      <w:r>
        <w:rPr>
          <w:rFonts w:hint="eastAsia" w:ascii="宋体" w:hAnsi="宋体"/>
          <w:sz w:val="22"/>
          <w:szCs w:val="22"/>
        </w:rPr>
        <w:t>〕</w:t>
      </w:r>
      <w:r>
        <w:rPr>
          <w:rFonts w:ascii="宋体" w:hAnsi="宋体"/>
          <w:sz w:val="22"/>
          <w:szCs w:val="22"/>
        </w:rPr>
        <w:t>300号）规定的划分标准，本</w:t>
      </w:r>
      <w:r>
        <w:rPr>
          <w:rFonts w:hint="eastAsia" w:ascii="宋体" w:hAnsi="宋体"/>
          <w:sz w:val="22"/>
          <w:szCs w:val="22"/>
        </w:rPr>
        <w:t>单位</w:t>
      </w:r>
      <w:r>
        <w:rPr>
          <w:rFonts w:ascii="宋体" w:hAnsi="宋体"/>
          <w:sz w:val="22"/>
          <w:szCs w:val="22"/>
        </w:rPr>
        <w:t>为______（</w:t>
      </w:r>
      <w:r>
        <w:rPr>
          <w:rFonts w:hint="eastAsia" w:ascii="宋体" w:hAnsi="宋体"/>
          <w:sz w:val="22"/>
          <w:szCs w:val="22"/>
        </w:rPr>
        <w:t>大型、</w:t>
      </w:r>
      <w:r>
        <w:rPr>
          <w:rFonts w:ascii="宋体" w:hAnsi="宋体"/>
          <w:sz w:val="22"/>
          <w:szCs w:val="22"/>
        </w:rPr>
        <w:t>中型、小型、微型</w:t>
      </w:r>
      <w:r>
        <w:rPr>
          <w:rFonts w:hint="eastAsia" w:ascii="宋体" w:hAnsi="宋体"/>
          <w:sz w:val="22"/>
          <w:szCs w:val="22"/>
        </w:rPr>
        <w:t>、不划型</w:t>
      </w:r>
      <w:r>
        <w:rPr>
          <w:rFonts w:ascii="宋体" w:hAnsi="宋体"/>
          <w:sz w:val="22"/>
          <w:szCs w:val="22"/>
        </w:rPr>
        <w:t>）企业</w:t>
      </w:r>
      <w:r>
        <w:rPr>
          <w:rFonts w:hint="eastAsia" w:ascii="宋体" w:hAnsi="宋体"/>
          <w:sz w:val="22"/>
          <w:szCs w:val="22"/>
        </w:rPr>
        <w:t>，其中所属行业为</w:t>
      </w:r>
      <w:r>
        <w:rPr>
          <w:rFonts w:ascii="宋体" w:hAnsi="宋体"/>
          <w:sz w:val="22"/>
          <w:szCs w:val="22"/>
        </w:rPr>
        <w:t>________________</w:t>
      </w:r>
      <w:r>
        <w:rPr>
          <w:rFonts w:hint="eastAsia" w:ascii="宋体" w:hAnsi="宋体"/>
          <w:sz w:val="22"/>
          <w:szCs w:val="22"/>
        </w:rPr>
        <w:t>、上年末从业人员</w:t>
      </w:r>
      <w:r>
        <w:rPr>
          <w:rFonts w:ascii="宋体" w:hAnsi="宋体"/>
          <w:sz w:val="22"/>
          <w:szCs w:val="22"/>
        </w:rPr>
        <w:t>____</w:t>
      </w:r>
      <w:r>
        <w:rPr>
          <w:rFonts w:hint="eastAsia" w:ascii="宋体" w:hAnsi="宋体"/>
          <w:sz w:val="22"/>
          <w:szCs w:val="22"/>
        </w:rPr>
        <w:t>人、上年营业收入</w:t>
      </w:r>
      <w:r>
        <w:rPr>
          <w:rFonts w:ascii="宋体" w:hAnsi="宋体"/>
          <w:sz w:val="22"/>
          <w:szCs w:val="22"/>
        </w:rPr>
        <w:t>____</w:t>
      </w:r>
      <w:r>
        <w:rPr>
          <w:rFonts w:hint="eastAsia" w:ascii="宋体" w:hAnsi="宋体"/>
          <w:sz w:val="22"/>
          <w:szCs w:val="22"/>
        </w:rPr>
        <w:t>万元、上年资产总额</w:t>
      </w:r>
      <w:r>
        <w:rPr>
          <w:rFonts w:ascii="宋体" w:hAnsi="宋体"/>
          <w:sz w:val="22"/>
          <w:szCs w:val="22"/>
        </w:rPr>
        <w:t>____</w:t>
      </w:r>
      <w:r>
        <w:rPr>
          <w:rFonts w:hint="eastAsia" w:ascii="宋体" w:hAnsi="宋体"/>
          <w:sz w:val="22"/>
          <w:szCs w:val="22"/>
        </w:rPr>
        <w:t>万元。</w:t>
      </w:r>
    </w:p>
    <w:p>
      <w:pPr>
        <w:spacing w:line="360" w:lineRule="auto"/>
        <w:ind w:firstLine="440" w:firstLineChars="200"/>
        <w:rPr>
          <w:rFonts w:ascii="宋体" w:hAnsi="宋体"/>
          <w:sz w:val="22"/>
          <w:szCs w:val="22"/>
        </w:rPr>
      </w:pPr>
      <w:r>
        <w:rPr>
          <w:rFonts w:hint="eastAsia" w:ascii="宋体" w:hAnsi="宋体"/>
          <w:sz w:val="22"/>
          <w:szCs w:val="22"/>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360" w:lineRule="auto"/>
        <w:ind w:firstLine="440" w:firstLineChars="200"/>
        <w:rPr>
          <w:rFonts w:ascii="宋体" w:hAnsi="宋体"/>
          <w:sz w:val="22"/>
          <w:szCs w:val="22"/>
        </w:rPr>
      </w:pPr>
      <w:r>
        <w:rPr>
          <w:rFonts w:hint="eastAsia" w:ascii="宋体" w:hAnsi="宋体"/>
          <w:sz w:val="22"/>
          <w:szCs w:val="22"/>
        </w:rPr>
        <w:t>本公司对上述声明的真实性负责。如有虚假，将依法承担相应责任</w:t>
      </w:r>
      <w:r>
        <w:rPr>
          <w:rFonts w:ascii="宋体" w:hAnsi="宋体"/>
          <w:sz w:val="22"/>
          <w:szCs w:val="22"/>
        </w:rPr>
        <w:t> </w:t>
      </w:r>
    </w:p>
    <w:p>
      <w:pPr>
        <w:spacing w:line="360" w:lineRule="auto"/>
        <w:rPr>
          <w:sz w:val="24"/>
        </w:rPr>
      </w:pPr>
      <w:r>
        <w:rPr>
          <w:sz w:val="24"/>
        </w:rPr>
        <w:t>　　</w:t>
      </w:r>
      <w:r>
        <w:rPr>
          <w:rFonts w:hint="eastAsia"/>
          <w:sz w:val="24"/>
        </w:rPr>
        <w:t xml:space="preserve">     </w:t>
      </w:r>
    </w:p>
    <w:p>
      <w:pPr>
        <w:spacing w:line="360" w:lineRule="auto"/>
        <w:rPr>
          <w:sz w:val="24"/>
        </w:rPr>
      </w:pPr>
    </w:p>
    <w:p>
      <w:pPr>
        <w:spacing w:line="360" w:lineRule="auto"/>
        <w:rPr>
          <w:sz w:val="24"/>
        </w:rPr>
      </w:pPr>
    </w:p>
    <w:p>
      <w:pPr>
        <w:spacing w:line="360" w:lineRule="auto"/>
        <w:ind w:right="40"/>
        <w:jc w:val="right"/>
        <w:rPr>
          <w:rFonts w:hint="eastAsia" w:ascii="宋体" w:hAnsi="宋体"/>
          <w:sz w:val="22"/>
          <w:szCs w:val="22"/>
        </w:rPr>
      </w:pPr>
      <w:r>
        <w:rPr>
          <w:rFonts w:hint="eastAsia" w:ascii="宋体" w:hAnsi="宋体"/>
          <w:sz w:val="22"/>
          <w:szCs w:val="22"/>
        </w:rPr>
        <w:t xml:space="preserve">   投标人：</w:t>
      </w:r>
      <w:r>
        <w:rPr>
          <w:rFonts w:hint="eastAsia" w:ascii="宋体" w:hAnsi="宋体"/>
          <w:sz w:val="22"/>
          <w:szCs w:val="22"/>
          <w:u w:val="single"/>
        </w:rPr>
        <w:t>（盖章）</w:t>
      </w:r>
    </w:p>
    <w:p>
      <w:pPr>
        <w:spacing w:line="360" w:lineRule="auto"/>
        <w:ind w:right="40"/>
        <w:jc w:val="right"/>
        <w:rPr>
          <w:rFonts w:hint="eastAsia" w:ascii="宋体" w:hAnsi="宋体"/>
          <w:sz w:val="22"/>
          <w:szCs w:val="22"/>
        </w:rPr>
      </w:pPr>
      <w:r>
        <w:rPr>
          <w:rFonts w:hint="eastAsia" w:ascii="宋体" w:hAnsi="宋体"/>
          <w:sz w:val="22"/>
          <w:szCs w:val="22"/>
        </w:rPr>
        <w:t xml:space="preserve">法定代表人或其委托代理人： </w:t>
      </w:r>
      <w:r>
        <w:rPr>
          <w:rFonts w:hint="eastAsia" w:ascii="宋体" w:hAnsi="宋体"/>
          <w:sz w:val="22"/>
          <w:szCs w:val="22"/>
          <w:u w:val="single"/>
        </w:rPr>
        <w:t>（签字或盖章）</w:t>
      </w:r>
    </w:p>
    <w:p>
      <w:pPr>
        <w:spacing w:line="360" w:lineRule="auto"/>
        <w:ind w:right="180"/>
        <w:jc w:val="right"/>
        <w:rPr>
          <w:rFonts w:hint="eastAsia" w:ascii="宋体" w:hAnsi="宋体"/>
          <w:sz w:val="22"/>
          <w:szCs w:val="22"/>
        </w:rPr>
      </w:pPr>
      <w:r>
        <w:rPr>
          <w:rFonts w:hint="eastAsia" w:ascii="宋体" w:hAnsi="宋体"/>
          <w:sz w:val="22"/>
          <w:szCs w:val="22"/>
        </w:rPr>
        <w:t>日  期：　　年　　月　　日</w:t>
      </w:r>
    </w:p>
    <w:p>
      <w:pPr>
        <w:spacing w:line="588" w:lineRule="exact"/>
        <w:jc w:val="left"/>
        <w:rPr>
          <w:rFonts w:ascii="仿宋_GB2312" w:eastAsia="仿宋_GB2312"/>
          <w:b/>
          <w:spacing w:val="6"/>
          <w:sz w:val="30"/>
          <w:szCs w:val="30"/>
        </w:rPr>
      </w:pPr>
      <w:r>
        <w:rPr>
          <w:sz w:val="24"/>
        </w:rPr>
        <w:br w:type="page"/>
      </w:r>
      <w:r>
        <w:rPr>
          <w:rFonts w:hint="eastAsia"/>
          <w:b/>
          <w:sz w:val="30"/>
          <w:szCs w:val="30"/>
        </w:rPr>
        <w:t>残疾人福利性单位声明函（供应商为</w:t>
      </w:r>
      <w:r>
        <w:rPr>
          <w:rFonts w:hint="eastAsia" w:ascii="宋体" w:hAnsi="宋体"/>
          <w:b/>
          <w:spacing w:val="6"/>
          <w:sz w:val="30"/>
          <w:szCs w:val="30"/>
        </w:rPr>
        <w:t>残疾人福利性单位的需填写</w:t>
      </w:r>
      <w:r>
        <w:rPr>
          <w:rFonts w:hint="eastAsia"/>
          <w:b/>
          <w:sz w:val="30"/>
          <w:szCs w:val="30"/>
        </w:rPr>
        <w:t>）</w:t>
      </w:r>
    </w:p>
    <w:p>
      <w:pPr>
        <w:rPr>
          <w:rFonts w:eastAsia="仿宋_GB2312"/>
          <w:b/>
          <w:spacing w:val="6"/>
          <w:szCs w:val="28"/>
        </w:rPr>
      </w:pPr>
    </w:p>
    <w:p>
      <w:pPr>
        <w:spacing w:line="360" w:lineRule="auto"/>
        <w:jc w:val="center"/>
        <w:rPr>
          <w:rFonts w:ascii="宋体" w:hAnsi="宋体"/>
          <w:b/>
          <w:spacing w:val="6"/>
          <w:sz w:val="22"/>
          <w:szCs w:val="22"/>
        </w:rPr>
      </w:pPr>
      <w:r>
        <w:rPr>
          <w:rFonts w:hint="eastAsia" w:ascii="宋体" w:hAnsi="宋体"/>
          <w:b/>
          <w:spacing w:val="6"/>
          <w:sz w:val="22"/>
          <w:szCs w:val="22"/>
        </w:rPr>
        <w:t>残疾人福利性单位声明函（如有）</w:t>
      </w:r>
    </w:p>
    <w:p>
      <w:pPr>
        <w:spacing w:line="360" w:lineRule="auto"/>
        <w:rPr>
          <w:rFonts w:ascii="宋体" w:hAnsi="宋体"/>
          <w:b/>
          <w:spacing w:val="6"/>
          <w:sz w:val="22"/>
          <w:szCs w:val="22"/>
        </w:rPr>
      </w:pPr>
    </w:p>
    <w:p>
      <w:pPr>
        <w:spacing w:line="360" w:lineRule="auto"/>
        <w:ind w:firstLine="464" w:firstLineChars="200"/>
        <w:rPr>
          <w:rFonts w:ascii="宋体" w:hAnsi="宋体"/>
          <w:spacing w:val="6"/>
          <w:sz w:val="22"/>
          <w:szCs w:val="22"/>
        </w:rPr>
      </w:pPr>
      <w:r>
        <w:rPr>
          <w:rFonts w:hint="eastAsia" w:ascii="宋体" w:hAnsi="宋体"/>
          <w:spacing w:val="6"/>
          <w:sz w:val="22"/>
          <w:szCs w:val="22"/>
        </w:rPr>
        <w:t>本单位郑重声明，根据《财政部 民政部 中国残疾人联合会关于促进残疾人就业政府采购政策的通知》（财库</w:t>
      </w:r>
      <w:r>
        <w:rPr>
          <w:rFonts w:hint="eastAsia" w:ascii="宋体" w:hAnsi="宋体"/>
          <w:sz w:val="22"/>
          <w:szCs w:val="22"/>
        </w:rPr>
        <w:t>〔2017〕 141</w:t>
      </w:r>
      <w:r>
        <w:rPr>
          <w:rFonts w:hint="eastAsia" w:ascii="宋体" w:hAnsi="宋体"/>
          <w:spacing w:val="6"/>
          <w:sz w:val="22"/>
          <w:szCs w:val="22"/>
        </w:rPr>
        <w:t>号）的规定，本单位为</w:t>
      </w:r>
      <w:r>
        <w:rPr>
          <w:rFonts w:hint="eastAsia" w:ascii="宋体" w:hAnsi="宋体"/>
          <w:spacing w:val="6"/>
          <w:sz w:val="22"/>
          <w:szCs w:val="22"/>
          <w:u w:val="single"/>
        </w:rPr>
        <w:t xml:space="preserve">    （</w:t>
      </w:r>
      <w:r>
        <w:rPr>
          <w:rFonts w:hint="eastAsia" w:ascii="宋体" w:hAnsi="宋体"/>
          <w:spacing w:val="6"/>
          <w:sz w:val="22"/>
          <w:szCs w:val="22"/>
        </w:rPr>
        <w:t>符合/不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64" w:firstLineChars="200"/>
        <w:rPr>
          <w:rFonts w:ascii="宋体" w:hAnsi="宋体"/>
          <w:spacing w:val="6"/>
          <w:sz w:val="22"/>
          <w:szCs w:val="22"/>
        </w:rPr>
      </w:pPr>
      <w:r>
        <w:rPr>
          <w:rFonts w:hint="eastAsia" w:ascii="宋体" w:hAnsi="宋体"/>
          <w:spacing w:val="6"/>
          <w:sz w:val="22"/>
          <w:szCs w:val="22"/>
        </w:rPr>
        <w:t>本单位对上述声明的真实性负责。如有虚假，将依法承担相应责任。</w:t>
      </w:r>
    </w:p>
    <w:p>
      <w:pPr>
        <w:spacing w:line="360" w:lineRule="auto"/>
        <w:ind w:firstLine="464" w:firstLineChars="200"/>
        <w:rPr>
          <w:rFonts w:ascii="宋体" w:hAnsi="宋体"/>
          <w:spacing w:val="6"/>
          <w:sz w:val="22"/>
          <w:szCs w:val="22"/>
        </w:rPr>
      </w:pPr>
    </w:p>
    <w:p>
      <w:pPr>
        <w:spacing w:line="360" w:lineRule="auto"/>
        <w:ind w:firstLine="464" w:firstLineChars="200"/>
        <w:rPr>
          <w:rFonts w:ascii="宋体" w:hAnsi="宋体"/>
          <w:spacing w:val="6"/>
          <w:sz w:val="22"/>
          <w:szCs w:val="22"/>
        </w:rPr>
      </w:pPr>
    </w:p>
    <w:p>
      <w:pPr>
        <w:spacing w:line="360" w:lineRule="auto"/>
        <w:ind w:right="40"/>
        <w:jc w:val="right"/>
        <w:rPr>
          <w:rFonts w:hint="eastAsia" w:ascii="宋体" w:hAnsi="宋体"/>
          <w:sz w:val="22"/>
          <w:szCs w:val="22"/>
        </w:rPr>
      </w:pPr>
      <w:r>
        <w:rPr>
          <w:rFonts w:hint="eastAsia" w:ascii="宋体" w:hAnsi="宋体"/>
          <w:spacing w:val="6"/>
          <w:sz w:val="22"/>
          <w:szCs w:val="22"/>
        </w:rPr>
        <w:t xml:space="preserve">             </w:t>
      </w:r>
      <w:r>
        <w:rPr>
          <w:rFonts w:hint="eastAsia" w:ascii="宋体" w:hAnsi="宋体"/>
          <w:sz w:val="22"/>
          <w:szCs w:val="22"/>
        </w:rPr>
        <w:t xml:space="preserve">   投标人：</w:t>
      </w:r>
      <w:r>
        <w:rPr>
          <w:rFonts w:hint="eastAsia" w:ascii="宋体" w:hAnsi="宋体"/>
          <w:sz w:val="22"/>
          <w:szCs w:val="22"/>
          <w:u w:val="single"/>
        </w:rPr>
        <w:t>（盖章）</w:t>
      </w:r>
    </w:p>
    <w:p>
      <w:pPr>
        <w:spacing w:line="360" w:lineRule="auto"/>
        <w:ind w:right="40"/>
        <w:jc w:val="right"/>
        <w:rPr>
          <w:rFonts w:hint="eastAsia" w:ascii="宋体" w:hAnsi="宋体"/>
          <w:sz w:val="22"/>
          <w:szCs w:val="22"/>
        </w:rPr>
      </w:pPr>
      <w:r>
        <w:rPr>
          <w:rFonts w:hint="eastAsia" w:ascii="宋体" w:hAnsi="宋体"/>
          <w:sz w:val="22"/>
          <w:szCs w:val="22"/>
        </w:rPr>
        <w:t xml:space="preserve">法定代表人或其委托代理人： </w:t>
      </w:r>
      <w:r>
        <w:rPr>
          <w:rFonts w:hint="eastAsia" w:ascii="宋体" w:hAnsi="宋体"/>
          <w:sz w:val="22"/>
          <w:szCs w:val="22"/>
          <w:u w:val="single"/>
        </w:rPr>
        <w:t>（签字或盖章）</w:t>
      </w:r>
    </w:p>
    <w:p>
      <w:pPr>
        <w:tabs>
          <w:tab w:val="left" w:pos="4860"/>
        </w:tabs>
        <w:spacing w:line="360" w:lineRule="auto"/>
        <w:ind w:right="130" w:firstLine="440" w:firstLineChars="200"/>
        <w:jc w:val="right"/>
        <w:rPr>
          <w:rFonts w:hint="eastAsia" w:ascii="宋体" w:hAnsi="宋体"/>
          <w:sz w:val="32"/>
          <w:szCs w:val="32"/>
        </w:rPr>
      </w:pPr>
      <w:r>
        <w:rPr>
          <w:rFonts w:hint="eastAsia" w:ascii="宋体" w:hAnsi="宋体"/>
          <w:sz w:val="22"/>
          <w:szCs w:val="22"/>
        </w:rPr>
        <w:t>日  期：　　年　　月　　日</w:t>
      </w:r>
      <w:bookmarkEnd w:id="103"/>
      <w:bookmarkEnd w:id="104"/>
      <w:bookmarkEnd w:id="105"/>
    </w:p>
    <w:sectPr>
      <w:pgSz w:w="11906" w:h="16838"/>
      <w:pgMar w:top="964" w:right="991" w:bottom="1304" w:left="1418" w:header="386"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BatangChe">
    <w:altName w:val="Malgun Gothic"/>
    <w:panose1 w:val="02030609000101010101"/>
    <w:charset w:val="81"/>
    <w:family w:val="modern"/>
    <w:pitch w:val="default"/>
    <w:sig w:usb0="B00002AF" w:usb1="69D77CFB" w:usb2="00000030" w:usb3="00000000" w:csb0="4008009F" w:csb1="DFD7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zjaf">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1" w:usb1="080E0000" w:usb2="00000010" w:usb3="00000000" w:csb0="00040000"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01"/>
    <w:family w:val="auto"/>
    <w:pitch w:val="default"/>
    <w:sig w:usb0="00000000" w:usb1="00000000" w:usb2="00000000" w:usb3="00000000" w:csb0="00040001" w:csb1="00000000"/>
  </w:font>
  <w:font w:name="Arial Unicode MS">
    <w:altName w:val="Arial"/>
    <w:panose1 w:val="020B0604020202020204"/>
    <w:charset w:val="00"/>
    <w:family w:val="roman"/>
    <w:pitch w:val="default"/>
    <w:sig w:usb0="00000003" w:usb1="00000000" w:usb2="00000000" w:usb3="00000000" w:csb0="00000001" w:csb1="00000000"/>
  </w:font>
  <w:font w:name="宋体..鍼笁鍼.">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Tms Rmn">
    <w:altName w:val="Segoe Print"/>
    <w:panose1 w:val="02020603040505020304"/>
    <w:charset w:val="00"/>
    <w:family w:val="roman"/>
    <w:pitch w:val="default"/>
    <w:sig w:usb0="00000003"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top w:val="thinThickSmallGap" w:color="622423" w:sz="24" w:space="1"/>
      </w:pBdr>
      <w:tabs>
        <w:tab w:val="right" w:pos="9864"/>
        <w:tab w:val="clear" w:pos="4153"/>
        <w:tab w:val="clear" w:pos="8306"/>
      </w:tabs>
    </w:pPr>
    <w:r>
      <w:rPr>
        <w:rFonts w:hint="eastAsia" w:ascii="宋体" w:hAnsi="宋体"/>
        <w:color w:val="000000"/>
        <w:szCs w:val="21"/>
      </w:rPr>
      <w:t xml:space="preserve">宁波市镇海国泰工程建设投资管理咨询有限公司      第 </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PAGE  \* Arabic  \* MERGEFORMAT</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szCs w:val="21"/>
        <w:lang/>
      </w:rPr>
      <w:t>14</w:t>
    </w:r>
    <w:r>
      <w:rPr>
        <w:rFonts w:ascii="宋体" w:hAnsi="宋体"/>
        <w:color w:val="000000"/>
        <w:szCs w:val="21"/>
      </w:rPr>
      <w:fldChar w:fldCharType="end"/>
    </w:r>
    <w:r>
      <w:rPr>
        <w:rFonts w:hint="eastAsia" w:ascii="宋体" w:hAnsi="宋体"/>
        <w:color w:val="000000"/>
        <w:szCs w:val="21"/>
      </w:rPr>
      <w:t>页 共</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NUMPAGES  \* Arabic  \* MERGEFORMAT</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szCs w:val="21"/>
        <w:lang/>
      </w:rPr>
      <w:t>30</w:t>
    </w:r>
    <w:r>
      <w:rPr>
        <w:rFonts w:ascii="宋体" w:hAnsi="宋体"/>
        <w:color w:val="000000"/>
        <w:szCs w:val="21"/>
      </w:rPr>
      <w:fldChar w:fldCharType="end"/>
    </w:r>
    <w:r>
      <w:rPr>
        <w:rFonts w:hint="eastAsia" w:ascii="宋体" w:hAnsi="宋体"/>
        <w:color w:val="00000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7"/>
      </w:rPr>
    </w:pPr>
    <w:r>
      <w:fldChar w:fldCharType="begin"/>
    </w:r>
    <w:r>
      <w:rPr>
        <w:rStyle w:val="57"/>
      </w:rPr>
      <w:instrText xml:space="preserve">PAGE  </w:instrText>
    </w:r>
    <w:r>
      <w:fldChar w:fldCharType="end"/>
    </w:r>
  </w:p>
  <w:p>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57"/>
        <w:rFonts w:hint="eastAsia"/>
        <w:lang w:eastAsia="zh-CN"/>
      </w:rPr>
    </w:pPr>
  </w:p>
  <w:p>
    <w:pPr>
      <w:pStyle w:val="33"/>
      <w:pBdr>
        <w:top w:val="thinThickSmallGap" w:color="622423" w:sz="24" w:space="1"/>
      </w:pBdr>
      <w:tabs>
        <w:tab w:val="right" w:pos="9864"/>
        <w:tab w:val="clear" w:pos="4153"/>
        <w:tab w:val="clear" w:pos="8306"/>
      </w:tabs>
    </w:pPr>
    <w:r>
      <w:rPr>
        <w:rFonts w:hint="eastAsia" w:ascii="宋体" w:hAnsi="宋体"/>
        <w:color w:val="000000"/>
        <w:szCs w:val="21"/>
      </w:rPr>
      <w:t xml:space="preserve">宁波市镇海国泰工程建设投资管理咨询有限公司      第 </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PAGE  \* Arabic  \* MERGEFORMAT</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szCs w:val="21"/>
        <w:lang/>
      </w:rPr>
      <w:t>30</w:t>
    </w:r>
    <w:r>
      <w:rPr>
        <w:rFonts w:ascii="宋体" w:hAnsi="宋体"/>
        <w:color w:val="000000"/>
        <w:szCs w:val="21"/>
      </w:rPr>
      <w:fldChar w:fldCharType="end"/>
    </w:r>
    <w:r>
      <w:rPr>
        <w:rFonts w:hint="eastAsia" w:ascii="宋体" w:hAnsi="宋体"/>
        <w:color w:val="000000"/>
        <w:szCs w:val="21"/>
      </w:rPr>
      <w:t>页 共</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NUMPAGES  \* Arabic  \* MERGEFORMAT</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szCs w:val="21"/>
        <w:lang/>
      </w:rPr>
      <w:t>30</w:t>
    </w:r>
    <w:r>
      <w:rPr>
        <w:rFonts w:ascii="宋体" w:hAnsi="宋体"/>
        <w:color w:val="000000"/>
        <w:szCs w:val="21"/>
      </w:rPr>
      <w:fldChar w:fldCharType="end"/>
    </w:r>
    <w:r>
      <w:rPr>
        <w:rFonts w:hint="eastAsia" w:ascii="宋体" w:hAnsi="宋体"/>
        <w:color w:val="000000"/>
        <w:szCs w:val="21"/>
      </w:rPr>
      <w:t>页</w:t>
    </w:r>
  </w:p>
  <w:p>
    <w:pPr>
      <w:pStyle w:val="3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57"/>
      </w:rPr>
    </w:pPr>
    <w:r>
      <w:fldChar w:fldCharType="begin"/>
    </w:r>
    <w:r>
      <w:rPr>
        <w:rStyle w:val="57"/>
      </w:rPr>
      <w:instrText xml:space="preserve">PAGE  </w:instrText>
    </w:r>
    <w:r>
      <w:fldChar w:fldCharType="separate"/>
    </w:r>
    <w:r>
      <w:fldChar w:fldCharType="end"/>
    </w:r>
  </w:p>
  <w:p>
    <w:pPr>
      <w:pStyle w:val="3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hint="eastAsia"/>
        <w:lang w:eastAsia="zh-CN"/>
      </w:rPr>
    </w:pPr>
    <w:r>
      <w:rPr>
        <w:rFonts w:hint="eastAsia"/>
        <w:lang w:eastAsia="zh-CN"/>
      </w:rPr>
      <w:t>55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pPr>
    <w:r>
      <w:rPr>
        <w:rFonts w:hint="eastAsia"/>
      </w:rPr>
      <w:t>镇海区社会治安视频监控系统运维服务项目采购文件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rPr>
        <w:rFonts w:ascii="宋体" w:hAnsi="宋体"/>
      </w:rPr>
    </w:pPr>
    <w:r>
      <w:rPr>
        <w:rFonts w:hint="eastAsia" w:ascii="宋体" w:hAnsi="宋体"/>
        <w:bCs/>
        <w:szCs w:val="21"/>
      </w:rPr>
      <w:t xml:space="preserve">镇海区全区社会治安视频监控系统（2021年度）统筹运维服务项目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rPr>
        <w:rFonts w:ascii="宋体" w:hAnsi="宋体"/>
        <w:sz w:val="15"/>
        <w:szCs w:val="15"/>
        <w:lang w:eastAsia="zh-CN"/>
      </w:rPr>
    </w:pPr>
    <w:r>
      <w:rPr>
        <w:rFonts w:hint="eastAsia" w:ascii="宋体" w:hAnsi="宋体"/>
        <w:bCs/>
        <w:sz w:val="15"/>
        <w:szCs w:val="15"/>
      </w:rPr>
      <w:t xml:space="preserve">镇海区全区社会治安视频监控系统（2021年度）统筹运维服务项目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rPr>
        <w:rFonts w:ascii="宋体" w:hAnsi="宋体"/>
        <w:sz w:val="15"/>
        <w:szCs w:val="15"/>
      </w:rPr>
    </w:pPr>
    <w:r>
      <w:rPr>
        <w:rFonts w:hint="eastAsia" w:ascii="宋体" w:hAnsi="宋体"/>
        <w:bCs/>
        <w:sz w:val="15"/>
        <w:szCs w:val="15"/>
      </w:rPr>
      <w:t>镇海区全区社会治安视频监控系统（2021年度）统筹运维服务项目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rPr>
        <w:rFonts w:ascii="宋体" w:hAnsi="宋体"/>
      </w:rPr>
    </w:pPr>
    <w:r>
      <w:rPr>
        <w:rFonts w:hint="eastAsia" w:ascii="宋体" w:hAnsi="宋体"/>
        <w:bCs/>
        <w:sz w:val="15"/>
        <w:szCs w:val="15"/>
      </w:rPr>
      <w:t>镇海区全区社会治安视频监控系统（2021年度）统筹运维服务项目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rPr>
        <w:rFonts w:hint="eastAsia"/>
      </w:rPr>
    </w:pPr>
    <w:r>
      <w:rPr>
        <w:rFonts w:hint="eastAsia" w:ascii="宋体" w:hAnsi="宋体"/>
        <w:bCs/>
        <w:sz w:val="15"/>
        <w:szCs w:val="15"/>
      </w:rPr>
      <w:t>镇海区全区社会治安视频监控系统（2021年度）统筹运维服务项目</w:t>
    </w:r>
  </w:p>
  <w:p>
    <w:pPr>
      <w:pStyle w:val="34"/>
      <w:pBdr>
        <w:bottom w:val="none" w:color="auto" w:sz="0" w:space="0"/>
      </w:pBdr>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rPr>
        <w:rFonts w:ascii="宋体" w:hAnsi="宋体"/>
        <w:sz w:val="15"/>
        <w:szCs w:val="15"/>
      </w:rPr>
    </w:pPr>
    <w:r>
      <w:rPr>
        <w:rFonts w:hint="eastAsia" w:ascii="宋体" w:hAnsi="宋体"/>
        <w:bCs/>
        <w:sz w:val="15"/>
        <w:szCs w:val="15"/>
      </w:rPr>
      <w:t>镇海区全区社会治安视频监控系统（2021年度）统筹运维服务项目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ECC71D"/>
    <w:multiLevelType w:val="singleLevel"/>
    <w:tmpl w:val="C3ECC71D"/>
    <w:lvl w:ilvl="0" w:tentative="0">
      <w:start w:val="6"/>
      <w:numFmt w:val="chineseCounting"/>
      <w:suff w:val="nothing"/>
      <w:lvlText w:val="%1、"/>
      <w:lvlJc w:val="left"/>
      <w:rPr>
        <w:rFonts w:hint="eastAsia"/>
      </w:rPr>
    </w:lvl>
  </w:abstractNum>
  <w:abstractNum w:abstractNumId="1">
    <w:nsid w:val="F07FAF80"/>
    <w:multiLevelType w:val="singleLevel"/>
    <w:tmpl w:val="F07FAF80"/>
    <w:lvl w:ilvl="0" w:tentative="0">
      <w:start w:val="5"/>
      <w:numFmt w:val="chineseCounting"/>
      <w:suff w:val="nothing"/>
      <w:lvlText w:val="%1、"/>
      <w:lvlJc w:val="left"/>
      <w:rPr>
        <w:rFonts w:hint="eastAsia"/>
      </w:rPr>
    </w:lvl>
  </w:abstractNum>
  <w:abstractNum w:abstractNumId="2">
    <w:nsid w:val="FFFFFFFB"/>
    <w:multiLevelType w:val="multilevel"/>
    <w:tmpl w:val="FFFFFFFB"/>
    <w:lvl w:ilvl="0" w:tentative="0">
      <w:start w:val="1"/>
      <w:numFmt w:val="decimal"/>
      <w:pStyle w:val="278"/>
      <w:lvlText w:val="%1."/>
      <w:legacy w:legacy="1" w:legacySpace="144" w:legacyIndent="0"/>
      <w:lvlJc w:val="left"/>
    </w:lvl>
    <w:lvl w:ilvl="1" w:tentative="0">
      <w:start w:val="1"/>
      <w:numFmt w:val="decimal"/>
      <w:lvlText w:val="%1.%2"/>
      <w:legacy w:legacy="1" w:legacySpace="144" w:legacyIndent="0"/>
      <w:lvlJc w:val="left"/>
    </w:lvl>
    <w:lvl w:ilvl="2" w:tentative="0">
      <w:start w:val="1"/>
      <w:numFmt w:val="decimal"/>
      <w:lvlText w:val="%1.%2.%3"/>
      <w:legacy w:legacy="1" w:legacySpace="144" w:legacyIndent="0"/>
      <w:lvlJc w:val="left"/>
    </w:lvl>
    <w:lvl w:ilvl="3" w:tentative="0">
      <w:start w:val="1"/>
      <w:numFmt w:val="decimal"/>
      <w:lvlText w:val="%1.%2.%3.%4"/>
      <w:legacy w:legacy="1" w:legacySpace="144" w:legacyIndent="0"/>
      <w:lvlJc w:val="left"/>
    </w:lvl>
    <w:lvl w:ilvl="4" w:tentative="0">
      <w:start w:val="1"/>
      <w:numFmt w:val="decimal"/>
      <w:lvlText w:val="%1.%2.%3.%4.%5"/>
      <w:legacy w:legacy="1" w:legacySpace="144" w:legacyIndent="0"/>
      <w:lvlJc w:val="left"/>
    </w:lvl>
    <w:lvl w:ilvl="5" w:tentative="0">
      <w:start w:val="1"/>
      <w:numFmt w:val="decimal"/>
      <w:lvlText w:val="%1.%2.%3.%4.%5.%6"/>
      <w:legacy w:legacy="1" w:legacySpace="144" w:legacyIndent="0"/>
      <w:lvlJc w:val="left"/>
    </w:lvl>
    <w:lvl w:ilvl="6" w:tentative="0">
      <w:start w:val="1"/>
      <w:numFmt w:val="decimal"/>
      <w:lvlText w:val="%1.%2.%3.%4.%5.%6.%7"/>
      <w:legacy w:legacy="1" w:legacySpace="144" w:legacyIndent="0"/>
      <w:lvlJc w:val="left"/>
    </w:lvl>
    <w:lvl w:ilvl="7" w:tentative="0">
      <w:start w:val="1"/>
      <w:numFmt w:val="decimal"/>
      <w:lvlText w:val="%1.%2.%3.%4.%5.%6.%7.%8"/>
      <w:legacy w:legacy="1" w:legacySpace="144" w:legacyIndent="0"/>
      <w:lvlJc w:val="left"/>
    </w:lvl>
    <w:lvl w:ilvl="8" w:tentative="0">
      <w:start w:val="1"/>
      <w:numFmt w:val="decimal"/>
      <w:lvlText w:val="%1.%2.%3.%4.%5.%6.%7.%8.%9"/>
      <w:legacy w:legacy="1" w:legacySpace="144" w:legacyIndent="0"/>
      <w:lvlJc w:val="left"/>
    </w:lvl>
  </w:abstractNum>
  <w:abstractNum w:abstractNumId="3">
    <w:nsid w:val="00000010"/>
    <w:multiLevelType w:val="multilevel"/>
    <w:tmpl w:val="00000010"/>
    <w:lvl w:ilvl="0" w:tentative="0">
      <w:start w:val="1"/>
      <w:numFmt w:val="chineseCountingThousand"/>
      <w:pStyle w:val="411"/>
      <w:lvlText w:val="第%1章 "/>
      <w:lvlJc w:val="left"/>
      <w:pPr>
        <w:tabs>
          <w:tab w:val="left" w:pos="420"/>
        </w:tabs>
        <w:ind w:left="420" w:hanging="420"/>
      </w:pPr>
      <w:rPr>
        <w:rFonts w:hint="eastAsia"/>
      </w:rPr>
    </w:lvl>
    <w:lvl w:ilvl="1" w:tentative="0">
      <w:start w:val="1"/>
      <w:numFmt w:val="chineseCountingThousand"/>
      <w:pStyle w:val="87"/>
      <w:lvlText w:val="第%2节"/>
      <w:lvlJc w:val="left"/>
      <w:pPr>
        <w:tabs>
          <w:tab w:val="left" w:pos="2315"/>
        </w:tabs>
        <w:ind w:left="2315" w:hanging="575"/>
      </w:pPr>
      <w:rPr>
        <w:rFonts w:hint="eastAsia"/>
      </w:rPr>
    </w:lvl>
    <w:lvl w:ilvl="2" w:tentative="0">
      <w:start w:val="1"/>
      <w:numFmt w:val="chineseCounting"/>
      <w:lvlText w:val="%3、"/>
      <w:lvlJc w:val="left"/>
      <w:pPr>
        <w:tabs>
          <w:tab w:val="left" w:pos="1020"/>
        </w:tabs>
        <w:ind w:left="1020" w:hanging="720"/>
      </w:pPr>
      <w:rPr>
        <w:rFonts w:hint="eastAsia" w:ascii="宋体" w:hAnsi="宋体" w:eastAsia="宋体"/>
      </w:rPr>
    </w:lvl>
    <w:lvl w:ilvl="3" w:tentative="0">
      <w:start w:val="1"/>
      <w:numFmt w:val="decimal"/>
      <w:lvlText w:val="%4"/>
      <w:lvlJc w:val="left"/>
      <w:pPr>
        <w:tabs>
          <w:tab w:val="left" w:pos="2604"/>
        </w:tabs>
        <w:ind w:left="2604" w:hanging="864"/>
      </w:pPr>
      <w:rPr>
        <w:rFonts w:hint="eastAsia" w:ascii="宋体" w:hAnsi="宋体" w:eastAsia="宋体"/>
      </w:rPr>
    </w:lvl>
    <w:lvl w:ilvl="4" w:tentative="0">
      <w:start w:val="1"/>
      <w:numFmt w:val="decimal"/>
      <w:lvlText w:val="%3.%4.%5"/>
      <w:lvlJc w:val="left"/>
      <w:pPr>
        <w:tabs>
          <w:tab w:val="left" w:pos="1008"/>
        </w:tabs>
        <w:ind w:left="1008" w:hanging="1008"/>
      </w:pPr>
      <w:rPr>
        <w:rFonts w:hint="eastAsia"/>
      </w:rPr>
    </w:lvl>
    <w:lvl w:ilvl="5" w:tentative="0">
      <w:start w:val="1"/>
      <w:numFmt w:val="decimal"/>
      <w:lvlText w:val="%1.%2.%3.%4.%5.%6."/>
      <w:lvlJc w:val="left"/>
      <w:pPr>
        <w:tabs>
          <w:tab w:val="left" w:pos="1151"/>
        </w:tabs>
        <w:ind w:left="1151" w:hanging="1151"/>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3"/>
        </w:tabs>
        <w:ind w:left="1583" w:hanging="1583"/>
      </w:pPr>
      <w:rPr>
        <w:rFonts w:hint="eastAsia"/>
      </w:rPr>
    </w:lvl>
  </w:abstractNum>
  <w:abstractNum w:abstractNumId="4">
    <w:nsid w:val="0FFFFF83"/>
    <w:multiLevelType w:val="singleLevel"/>
    <w:tmpl w:val="0FFFFF83"/>
    <w:lvl w:ilvl="0" w:tentative="0">
      <w:start w:val="1"/>
      <w:numFmt w:val="bullet"/>
      <w:pStyle w:val="338"/>
      <w:lvlText w:val=""/>
      <w:lvlJc w:val="left"/>
      <w:pPr>
        <w:tabs>
          <w:tab w:val="left" w:pos="780"/>
        </w:tabs>
        <w:ind w:left="780" w:hanging="360"/>
      </w:pPr>
      <w:rPr>
        <w:rFonts w:hint="default" w:ascii="Wingdings" w:hAnsi="Wingdings"/>
      </w:rPr>
    </w:lvl>
  </w:abstractNum>
  <w:abstractNum w:abstractNumId="5">
    <w:nsid w:val="1FB509F3"/>
    <w:multiLevelType w:val="multilevel"/>
    <w:tmpl w:val="1FB509F3"/>
    <w:lvl w:ilvl="0" w:tentative="0">
      <w:start w:val="1"/>
      <w:numFmt w:val="decimal"/>
      <w:pStyle w:val="345"/>
      <w:lvlText w:val="%1、"/>
      <w:lvlJc w:val="left"/>
      <w:pPr>
        <w:tabs>
          <w:tab w:val="left" w:pos="306"/>
        </w:tabs>
        <w:ind w:left="306" w:hanging="360"/>
      </w:pPr>
      <w:rPr>
        <w:rFonts w:hint="eastAsia"/>
      </w:rPr>
    </w:lvl>
    <w:lvl w:ilvl="1" w:tentative="0">
      <w:start w:val="1"/>
      <w:numFmt w:val="lowerLetter"/>
      <w:pStyle w:val="169"/>
      <w:lvlText w:val="%2)"/>
      <w:lvlJc w:val="left"/>
      <w:pPr>
        <w:tabs>
          <w:tab w:val="left" w:pos="366"/>
        </w:tabs>
        <w:ind w:left="366" w:hanging="420"/>
      </w:pPr>
    </w:lvl>
    <w:lvl w:ilvl="2" w:tentative="0">
      <w:start w:val="1"/>
      <w:numFmt w:val="lowerRoman"/>
      <w:lvlText w:val="%3."/>
      <w:lvlJc w:val="right"/>
      <w:pPr>
        <w:tabs>
          <w:tab w:val="left" w:pos="786"/>
        </w:tabs>
        <w:ind w:left="786" w:hanging="420"/>
      </w:pPr>
    </w:lvl>
    <w:lvl w:ilvl="3" w:tentative="0">
      <w:start w:val="1"/>
      <w:numFmt w:val="decimal"/>
      <w:lvlText w:val="%4."/>
      <w:lvlJc w:val="left"/>
      <w:pPr>
        <w:tabs>
          <w:tab w:val="left" w:pos="1206"/>
        </w:tabs>
        <w:ind w:left="1206" w:hanging="420"/>
      </w:pPr>
    </w:lvl>
    <w:lvl w:ilvl="4" w:tentative="0">
      <w:start w:val="1"/>
      <w:numFmt w:val="lowerLetter"/>
      <w:lvlText w:val="%5)"/>
      <w:lvlJc w:val="left"/>
      <w:pPr>
        <w:tabs>
          <w:tab w:val="left" w:pos="1626"/>
        </w:tabs>
        <w:ind w:left="1626" w:hanging="420"/>
      </w:pPr>
    </w:lvl>
    <w:lvl w:ilvl="5" w:tentative="0">
      <w:start w:val="1"/>
      <w:numFmt w:val="lowerRoman"/>
      <w:lvlText w:val="%6."/>
      <w:lvlJc w:val="right"/>
      <w:pPr>
        <w:tabs>
          <w:tab w:val="left" w:pos="2046"/>
        </w:tabs>
        <w:ind w:left="2046" w:hanging="420"/>
      </w:pPr>
    </w:lvl>
    <w:lvl w:ilvl="6" w:tentative="0">
      <w:start w:val="1"/>
      <w:numFmt w:val="decimal"/>
      <w:lvlText w:val="%7."/>
      <w:lvlJc w:val="left"/>
      <w:pPr>
        <w:tabs>
          <w:tab w:val="left" w:pos="2466"/>
        </w:tabs>
        <w:ind w:left="2466" w:hanging="420"/>
      </w:pPr>
    </w:lvl>
    <w:lvl w:ilvl="7" w:tentative="0">
      <w:start w:val="1"/>
      <w:numFmt w:val="lowerLetter"/>
      <w:lvlText w:val="%8)"/>
      <w:lvlJc w:val="left"/>
      <w:pPr>
        <w:tabs>
          <w:tab w:val="left" w:pos="2886"/>
        </w:tabs>
        <w:ind w:left="2886" w:hanging="420"/>
      </w:pPr>
    </w:lvl>
    <w:lvl w:ilvl="8" w:tentative="0">
      <w:start w:val="1"/>
      <w:numFmt w:val="lowerRoman"/>
      <w:lvlText w:val="%9."/>
      <w:lvlJc w:val="right"/>
      <w:pPr>
        <w:tabs>
          <w:tab w:val="left" w:pos="3306"/>
        </w:tabs>
        <w:ind w:left="3306" w:hanging="420"/>
      </w:pPr>
    </w:lvl>
  </w:abstractNum>
  <w:abstractNum w:abstractNumId="6">
    <w:nsid w:val="550FCE05"/>
    <w:multiLevelType w:val="singleLevel"/>
    <w:tmpl w:val="550FCE05"/>
    <w:lvl w:ilvl="0" w:tentative="0">
      <w:start w:val="1"/>
      <w:numFmt w:val="chineseCounting"/>
      <w:pStyle w:val="307"/>
      <w:suff w:val="nothing"/>
      <w:lvlText w:val="%1、"/>
      <w:lvlJc w:val="left"/>
    </w:lvl>
  </w:abstractNum>
  <w:abstractNum w:abstractNumId="7">
    <w:nsid w:val="782E540B"/>
    <w:multiLevelType w:val="multilevel"/>
    <w:tmpl w:val="782E540B"/>
    <w:lvl w:ilvl="0" w:tentative="0">
      <w:start w:val="5"/>
      <w:numFmt w:val="japaneseCounting"/>
      <w:pStyle w:val="13"/>
      <w:lvlText w:val="第%1章、"/>
      <w:lvlJc w:val="left"/>
      <w:pPr>
        <w:tabs>
          <w:tab w:val="left" w:pos="5220"/>
        </w:tabs>
        <w:ind w:left="4530" w:hanging="1110"/>
      </w:pPr>
      <w:rPr>
        <w:rFonts w:hint="eastAsia"/>
      </w:rPr>
    </w:lvl>
    <w:lvl w:ilvl="1" w:tentative="0">
      <w:start w:val="1"/>
      <w:numFmt w:val="decimal"/>
      <w:lvlText w:val="%2."/>
      <w:lvlJc w:val="left"/>
      <w:pPr>
        <w:tabs>
          <w:tab w:val="left" w:pos="4200"/>
        </w:tabs>
        <w:ind w:left="4200" w:hanging="360"/>
      </w:pPr>
      <w:rPr>
        <w:rFonts w:hint="eastAsia"/>
      </w:rPr>
    </w:lvl>
    <w:lvl w:ilvl="2" w:tentative="0">
      <w:start w:val="1"/>
      <w:numFmt w:val="upperLetter"/>
      <w:lvlText w:val="%3."/>
      <w:lvlJc w:val="left"/>
      <w:pPr>
        <w:tabs>
          <w:tab w:val="left" w:pos="4620"/>
        </w:tabs>
        <w:ind w:left="4620" w:hanging="360"/>
      </w:pPr>
      <w:rPr>
        <w:rFonts w:hint="eastAsia"/>
      </w:rPr>
    </w:lvl>
    <w:lvl w:ilvl="3" w:tentative="0">
      <w:start w:val="1"/>
      <w:numFmt w:val="japaneseCounting"/>
      <w:lvlText w:val="%4、"/>
      <w:lvlJc w:val="left"/>
      <w:pPr>
        <w:tabs>
          <w:tab w:val="left" w:pos="5400"/>
        </w:tabs>
        <w:ind w:left="5400" w:hanging="720"/>
      </w:pPr>
      <w:rPr>
        <w:rFonts w:hint="eastAsia"/>
      </w:rPr>
    </w:lvl>
    <w:lvl w:ilvl="4" w:tentative="0">
      <w:start w:val="1"/>
      <w:numFmt w:val="decimal"/>
      <w:pStyle w:val="353"/>
      <w:lvlText w:val="%5."/>
      <w:lvlJc w:val="left"/>
      <w:pPr>
        <w:tabs>
          <w:tab w:val="left" w:pos="5520"/>
        </w:tabs>
        <w:ind w:left="5520" w:hanging="420"/>
      </w:pPr>
      <w:rPr>
        <w:rFonts w:hint="eastAsia"/>
      </w:rPr>
    </w:lvl>
    <w:lvl w:ilvl="5" w:tentative="0">
      <w:start w:val="1"/>
      <w:numFmt w:val="lowerRoman"/>
      <w:lvlText w:val="%6."/>
      <w:lvlJc w:val="right"/>
      <w:pPr>
        <w:tabs>
          <w:tab w:val="left" w:pos="5940"/>
        </w:tabs>
        <w:ind w:left="5940" w:hanging="420"/>
      </w:pPr>
    </w:lvl>
    <w:lvl w:ilvl="6" w:tentative="0">
      <w:start w:val="1"/>
      <w:numFmt w:val="decimal"/>
      <w:lvlText w:val="%7."/>
      <w:lvlJc w:val="left"/>
      <w:pPr>
        <w:tabs>
          <w:tab w:val="left" w:pos="6360"/>
        </w:tabs>
        <w:ind w:left="6360" w:hanging="420"/>
      </w:pPr>
    </w:lvl>
    <w:lvl w:ilvl="7" w:tentative="0">
      <w:start w:val="1"/>
      <w:numFmt w:val="lowerLetter"/>
      <w:lvlText w:val="%8)"/>
      <w:lvlJc w:val="left"/>
      <w:pPr>
        <w:tabs>
          <w:tab w:val="left" w:pos="6780"/>
        </w:tabs>
        <w:ind w:left="6780" w:hanging="420"/>
      </w:pPr>
    </w:lvl>
    <w:lvl w:ilvl="8" w:tentative="0">
      <w:start w:val="1"/>
      <w:numFmt w:val="lowerRoman"/>
      <w:lvlText w:val="%9."/>
      <w:lvlJc w:val="right"/>
      <w:pPr>
        <w:tabs>
          <w:tab w:val="left" w:pos="7200"/>
        </w:tabs>
        <w:ind w:left="7200" w:hanging="420"/>
      </w:pPr>
    </w:lvl>
  </w:abstractNum>
  <w:num w:numId="1">
    <w:abstractNumId w:val="7"/>
  </w:num>
  <w:num w:numId="2">
    <w:abstractNumId w:val="5"/>
  </w:num>
  <w:num w:numId="3">
    <w:abstractNumId w:val="3"/>
  </w:num>
  <w:num w:numId="4">
    <w:abstractNumId w:val="6"/>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105"/>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D8B"/>
    <w:rsid w:val="000000BA"/>
    <w:rsid w:val="00000F50"/>
    <w:rsid w:val="00001606"/>
    <w:rsid w:val="0000193E"/>
    <w:rsid w:val="00001DAE"/>
    <w:rsid w:val="00002A14"/>
    <w:rsid w:val="00002C6C"/>
    <w:rsid w:val="00003205"/>
    <w:rsid w:val="00003CCD"/>
    <w:rsid w:val="0000405A"/>
    <w:rsid w:val="0000426C"/>
    <w:rsid w:val="00004839"/>
    <w:rsid w:val="000077D5"/>
    <w:rsid w:val="000104ED"/>
    <w:rsid w:val="00010578"/>
    <w:rsid w:val="00010AF6"/>
    <w:rsid w:val="000122EE"/>
    <w:rsid w:val="00012543"/>
    <w:rsid w:val="00012BF8"/>
    <w:rsid w:val="000139A2"/>
    <w:rsid w:val="00015AB1"/>
    <w:rsid w:val="00015F32"/>
    <w:rsid w:val="00015FE6"/>
    <w:rsid w:val="00016CB1"/>
    <w:rsid w:val="00017F0F"/>
    <w:rsid w:val="00017FB5"/>
    <w:rsid w:val="0002067C"/>
    <w:rsid w:val="000221FC"/>
    <w:rsid w:val="0002249C"/>
    <w:rsid w:val="0002271D"/>
    <w:rsid w:val="00022B81"/>
    <w:rsid w:val="00022BDA"/>
    <w:rsid w:val="000233C1"/>
    <w:rsid w:val="00023EB4"/>
    <w:rsid w:val="00024077"/>
    <w:rsid w:val="000242DA"/>
    <w:rsid w:val="00024BF5"/>
    <w:rsid w:val="00026B88"/>
    <w:rsid w:val="000272B7"/>
    <w:rsid w:val="0002755C"/>
    <w:rsid w:val="00027570"/>
    <w:rsid w:val="00030EEF"/>
    <w:rsid w:val="00031F55"/>
    <w:rsid w:val="0003264A"/>
    <w:rsid w:val="000326F8"/>
    <w:rsid w:val="00033A5F"/>
    <w:rsid w:val="00034764"/>
    <w:rsid w:val="00035813"/>
    <w:rsid w:val="00035DC2"/>
    <w:rsid w:val="000362DF"/>
    <w:rsid w:val="00036A8F"/>
    <w:rsid w:val="00036FDF"/>
    <w:rsid w:val="0003700E"/>
    <w:rsid w:val="0003765C"/>
    <w:rsid w:val="00037C5C"/>
    <w:rsid w:val="00040690"/>
    <w:rsid w:val="00041230"/>
    <w:rsid w:val="0004161F"/>
    <w:rsid w:val="0004341C"/>
    <w:rsid w:val="00043802"/>
    <w:rsid w:val="00043AC9"/>
    <w:rsid w:val="00043C68"/>
    <w:rsid w:val="00043DA3"/>
    <w:rsid w:val="0004411A"/>
    <w:rsid w:val="000445F2"/>
    <w:rsid w:val="00044E7E"/>
    <w:rsid w:val="00045532"/>
    <w:rsid w:val="00045756"/>
    <w:rsid w:val="00045A92"/>
    <w:rsid w:val="000468FF"/>
    <w:rsid w:val="00046CC7"/>
    <w:rsid w:val="00047994"/>
    <w:rsid w:val="00050113"/>
    <w:rsid w:val="00050FB8"/>
    <w:rsid w:val="000518F5"/>
    <w:rsid w:val="0005242D"/>
    <w:rsid w:val="0005273B"/>
    <w:rsid w:val="00057ACA"/>
    <w:rsid w:val="0006137B"/>
    <w:rsid w:val="00061DBF"/>
    <w:rsid w:val="000626D9"/>
    <w:rsid w:val="00062E16"/>
    <w:rsid w:val="00063D93"/>
    <w:rsid w:val="00064006"/>
    <w:rsid w:val="00064FDD"/>
    <w:rsid w:val="00065CA4"/>
    <w:rsid w:val="00065EB4"/>
    <w:rsid w:val="00066D93"/>
    <w:rsid w:val="000673E9"/>
    <w:rsid w:val="0007108A"/>
    <w:rsid w:val="0007153F"/>
    <w:rsid w:val="0007200A"/>
    <w:rsid w:val="00073345"/>
    <w:rsid w:val="00073C6D"/>
    <w:rsid w:val="000757BD"/>
    <w:rsid w:val="000761E0"/>
    <w:rsid w:val="00076BC5"/>
    <w:rsid w:val="00077675"/>
    <w:rsid w:val="0007799F"/>
    <w:rsid w:val="000779EF"/>
    <w:rsid w:val="00077CB7"/>
    <w:rsid w:val="00077CE7"/>
    <w:rsid w:val="00080377"/>
    <w:rsid w:val="0008058A"/>
    <w:rsid w:val="0008071B"/>
    <w:rsid w:val="00080B0D"/>
    <w:rsid w:val="000817CD"/>
    <w:rsid w:val="00082C5A"/>
    <w:rsid w:val="00084FB7"/>
    <w:rsid w:val="0008585C"/>
    <w:rsid w:val="00085A10"/>
    <w:rsid w:val="0008722D"/>
    <w:rsid w:val="0009074D"/>
    <w:rsid w:val="000912A0"/>
    <w:rsid w:val="0009265E"/>
    <w:rsid w:val="00092897"/>
    <w:rsid w:val="00093B89"/>
    <w:rsid w:val="00093D3A"/>
    <w:rsid w:val="00093F7A"/>
    <w:rsid w:val="000948B9"/>
    <w:rsid w:val="00094967"/>
    <w:rsid w:val="00095092"/>
    <w:rsid w:val="00095F07"/>
    <w:rsid w:val="00096040"/>
    <w:rsid w:val="0009607E"/>
    <w:rsid w:val="00096517"/>
    <w:rsid w:val="00096CC6"/>
    <w:rsid w:val="00097D3B"/>
    <w:rsid w:val="000A0211"/>
    <w:rsid w:val="000A10B0"/>
    <w:rsid w:val="000A148B"/>
    <w:rsid w:val="000A1A36"/>
    <w:rsid w:val="000A1EDE"/>
    <w:rsid w:val="000A41B8"/>
    <w:rsid w:val="000A5146"/>
    <w:rsid w:val="000A54F3"/>
    <w:rsid w:val="000A56B7"/>
    <w:rsid w:val="000A5922"/>
    <w:rsid w:val="000A5FDD"/>
    <w:rsid w:val="000A6553"/>
    <w:rsid w:val="000A7694"/>
    <w:rsid w:val="000B10D9"/>
    <w:rsid w:val="000B1F7A"/>
    <w:rsid w:val="000B2C3D"/>
    <w:rsid w:val="000B35E3"/>
    <w:rsid w:val="000B38F1"/>
    <w:rsid w:val="000B3922"/>
    <w:rsid w:val="000B403B"/>
    <w:rsid w:val="000B4A3A"/>
    <w:rsid w:val="000B5150"/>
    <w:rsid w:val="000B5C7D"/>
    <w:rsid w:val="000B69B9"/>
    <w:rsid w:val="000B6A1A"/>
    <w:rsid w:val="000B7503"/>
    <w:rsid w:val="000C08CD"/>
    <w:rsid w:val="000C0CF8"/>
    <w:rsid w:val="000C0F71"/>
    <w:rsid w:val="000C2327"/>
    <w:rsid w:val="000C34DE"/>
    <w:rsid w:val="000C3912"/>
    <w:rsid w:val="000C3AA4"/>
    <w:rsid w:val="000C443E"/>
    <w:rsid w:val="000C560A"/>
    <w:rsid w:val="000C7587"/>
    <w:rsid w:val="000C772D"/>
    <w:rsid w:val="000C7931"/>
    <w:rsid w:val="000C7B1E"/>
    <w:rsid w:val="000C7DF3"/>
    <w:rsid w:val="000D05A5"/>
    <w:rsid w:val="000D26A0"/>
    <w:rsid w:val="000D26A7"/>
    <w:rsid w:val="000D285E"/>
    <w:rsid w:val="000D3F27"/>
    <w:rsid w:val="000D469F"/>
    <w:rsid w:val="000D47F6"/>
    <w:rsid w:val="000D4ADC"/>
    <w:rsid w:val="000D56AD"/>
    <w:rsid w:val="000D5859"/>
    <w:rsid w:val="000D5BA0"/>
    <w:rsid w:val="000D5C1D"/>
    <w:rsid w:val="000D6FC6"/>
    <w:rsid w:val="000D756C"/>
    <w:rsid w:val="000E0DB3"/>
    <w:rsid w:val="000E14DD"/>
    <w:rsid w:val="000E1AE4"/>
    <w:rsid w:val="000E27B1"/>
    <w:rsid w:val="000E36F1"/>
    <w:rsid w:val="000E379F"/>
    <w:rsid w:val="000E3CCF"/>
    <w:rsid w:val="000E3E8B"/>
    <w:rsid w:val="000E3F73"/>
    <w:rsid w:val="000E4EEF"/>
    <w:rsid w:val="000E72F5"/>
    <w:rsid w:val="000E780A"/>
    <w:rsid w:val="000F1815"/>
    <w:rsid w:val="000F2AF7"/>
    <w:rsid w:val="000F2DAE"/>
    <w:rsid w:val="000F31B5"/>
    <w:rsid w:val="000F3519"/>
    <w:rsid w:val="000F3C2D"/>
    <w:rsid w:val="000F3D84"/>
    <w:rsid w:val="000F4AB6"/>
    <w:rsid w:val="000F55EC"/>
    <w:rsid w:val="000F656C"/>
    <w:rsid w:val="000F6BA7"/>
    <w:rsid w:val="000F6DAE"/>
    <w:rsid w:val="000F6E5A"/>
    <w:rsid w:val="000F7322"/>
    <w:rsid w:val="000F74BF"/>
    <w:rsid w:val="000F775F"/>
    <w:rsid w:val="00100E28"/>
    <w:rsid w:val="001015C9"/>
    <w:rsid w:val="00102D0A"/>
    <w:rsid w:val="00103851"/>
    <w:rsid w:val="00103B6D"/>
    <w:rsid w:val="00104108"/>
    <w:rsid w:val="001046D1"/>
    <w:rsid w:val="00105223"/>
    <w:rsid w:val="001054E0"/>
    <w:rsid w:val="00105BC1"/>
    <w:rsid w:val="001064BC"/>
    <w:rsid w:val="001110F6"/>
    <w:rsid w:val="00111298"/>
    <w:rsid w:val="0011166E"/>
    <w:rsid w:val="00111F20"/>
    <w:rsid w:val="00112522"/>
    <w:rsid w:val="00112570"/>
    <w:rsid w:val="00112F5F"/>
    <w:rsid w:val="001136EF"/>
    <w:rsid w:val="00113799"/>
    <w:rsid w:val="00113B05"/>
    <w:rsid w:val="0011402A"/>
    <w:rsid w:val="0011446E"/>
    <w:rsid w:val="00114C53"/>
    <w:rsid w:val="00115757"/>
    <w:rsid w:val="00115B0A"/>
    <w:rsid w:val="0011637E"/>
    <w:rsid w:val="0011716C"/>
    <w:rsid w:val="001178FD"/>
    <w:rsid w:val="00117FC4"/>
    <w:rsid w:val="00121E46"/>
    <w:rsid w:val="00122459"/>
    <w:rsid w:val="00122553"/>
    <w:rsid w:val="001225F6"/>
    <w:rsid w:val="00125573"/>
    <w:rsid w:val="0012613F"/>
    <w:rsid w:val="0012684E"/>
    <w:rsid w:val="00126FCD"/>
    <w:rsid w:val="001278C0"/>
    <w:rsid w:val="001300F8"/>
    <w:rsid w:val="00131858"/>
    <w:rsid w:val="00131A2B"/>
    <w:rsid w:val="00131E72"/>
    <w:rsid w:val="00131EF0"/>
    <w:rsid w:val="00132569"/>
    <w:rsid w:val="00132CED"/>
    <w:rsid w:val="00132EB0"/>
    <w:rsid w:val="00133787"/>
    <w:rsid w:val="001348A4"/>
    <w:rsid w:val="00134EB2"/>
    <w:rsid w:val="0013538B"/>
    <w:rsid w:val="00135792"/>
    <w:rsid w:val="00136849"/>
    <w:rsid w:val="00136C79"/>
    <w:rsid w:val="0013702B"/>
    <w:rsid w:val="00137A6F"/>
    <w:rsid w:val="00137DE5"/>
    <w:rsid w:val="00137E45"/>
    <w:rsid w:val="00137FEF"/>
    <w:rsid w:val="00142488"/>
    <w:rsid w:val="00142741"/>
    <w:rsid w:val="00142FF0"/>
    <w:rsid w:val="00143A4A"/>
    <w:rsid w:val="00144568"/>
    <w:rsid w:val="00144601"/>
    <w:rsid w:val="0014586C"/>
    <w:rsid w:val="00145B32"/>
    <w:rsid w:val="00146102"/>
    <w:rsid w:val="001462C6"/>
    <w:rsid w:val="00146FE2"/>
    <w:rsid w:val="00147F0A"/>
    <w:rsid w:val="00150629"/>
    <w:rsid w:val="00151573"/>
    <w:rsid w:val="001537DB"/>
    <w:rsid w:val="00153F7C"/>
    <w:rsid w:val="00154374"/>
    <w:rsid w:val="001546EA"/>
    <w:rsid w:val="00154E29"/>
    <w:rsid w:val="001555F6"/>
    <w:rsid w:val="00155F99"/>
    <w:rsid w:val="00156D43"/>
    <w:rsid w:val="0015733E"/>
    <w:rsid w:val="00157B67"/>
    <w:rsid w:val="00157DFC"/>
    <w:rsid w:val="0016046B"/>
    <w:rsid w:val="00161284"/>
    <w:rsid w:val="00163476"/>
    <w:rsid w:val="0016376A"/>
    <w:rsid w:val="00164253"/>
    <w:rsid w:val="0016444B"/>
    <w:rsid w:val="001644DF"/>
    <w:rsid w:val="00164D33"/>
    <w:rsid w:val="00165CDC"/>
    <w:rsid w:val="00165D22"/>
    <w:rsid w:val="00167047"/>
    <w:rsid w:val="001704BB"/>
    <w:rsid w:val="001708ED"/>
    <w:rsid w:val="001734D5"/>
    <w:rsid w:val="00173583"/>
    <w:rsid w:val="00173852"/>
    <w:rsid w:val="00175AFA"/>
    <w:rsid w:val="001764FD"/>
    <w:rsid w:val="00176DD7"/>
    <w:rsid w:val="00176EFC"/>
    <w:rsid w:val="00177632"/>
    <w:rsid w:val="00177A84"/>
    <w:rsid w:val="00177D27"/>
    <w:rsid w:val="00181294"/>
    <w:rsid w:val="00182982"/>
    <w:rsid w:val="00182EC1"/>
    <w:rsid w:val="001849AE"/>
    <w:rsid w:val="00185107"/>
    <w:rsid w:val="0018527D"/>
    <w:rsid w:val="00186896"/>
    <w:rsid w:val="00190741"/>
    <w:rsid w:val="00191864"/>
    <w:rsid w:val="00191AF8"/>
    <w:rsid w:val="00193C21"/>
    <w:rsid w:val="00195692"/>
    <w:rsid w:val="00196937"/>
    <w:rsid w:val="001A01EF"/>
    <w:rsid w:val="001A1437"/>
    <w:rsid w:val="001A1841"/>
    <w:rsid w:val="001A24CB"/>
    <w:rsid w:val="001A259C"/>
    <w:rsid w:val="001A391D"/>
    <w:rsid w:val="001A519D"/>
    <w:rsid w:val="001A51E0"/>
    <w:rsid w:val="001A6B30"/>
    <w:rsid w:val="001A6C6F"/>
    <w:rsid w:val="001A6D37"/>
    <w:rsid w:val="001A6EDB"/>
    <w:rsid w:val="001A73CC"/>
    <w:rsid w:val="001B111D"/>
    <w:rsid w:val="001B179B"/>
    <w:rsid w:val="001B28AB"/>
    <w:rsid w:val="001B3FF3"/>
    <w:rsid w:val="001B4DD0"/>
    <w:rsid w:val="001B69FC"/>
    <w:rsid w:val="001B6E66"/>
    <w:rsid w:val="001B78A4"/>
    <w:rsid w:val="001B7F74"/>
    <w:rsid w:val="001C00BC"/>
    <w:rsid w:val="001C0516"/>
    <w:rsid w:val="001C0823"/>
    <w:rsid w:val="001C0EE6"/>
    <w:rsid w:val="001C180F"/>
    <w:rsid w:val="001C18C7"/>
    <w:rsid w:val="001C2601"/>
    <w:rsid w:val="001C3FD9"/>
    <w:rsid w:val="001C47FC"/>
    <w:rsid w:val="001C4AED"/>
    <w:rsid w:val="001C5A87"/>
    <w:rsid w:val="001C682F"/>
    <w:rsid w:val="001C6AF4"/>
    <w:rsid w:val="001C781A"/>
    <w:rsid w:val="001D21A5"/>
    <w:rsid w:val="001D21EB"/>
    <w:rsid w:val="001D286E"/>
    <w:rsid w:val="001D2ED5"/>
    <w:rsid w:val="001D39A4"/>
    <w:rsid w:val="001D4324"/>
    <w:rsid w:val="001D5A71"/>
    <w:rsid w:val="001D6655"/>
    <w:rsid w:val="001D6A6A"/>
    <w:rsid w:val="001D7447"/>
    <w:rsid w:val="001D76B2"/>
    <w:rsid w:val="001E02AB"/>
    <w:rsid w:val="001E0EF6"/>
    <w:rsid w:val="001E1520"/>
    <w:rsid w:val="001E1A0E"/>
    <w:rsid w:val="001E39CE"/>
    <w:rsid w:val="001E3F28"/>
    <w:rsid w:val="001E4183"/>
    <w:rsid w:val="001E5551"/>
    <w:rsid w:val="001E6E63"/>
    <w:rsid w:val="001E7A58"/>
    <w:rsid w:val="001E7B9E"/>
    <w:rsid w:val="001F0EC1"/>
    <w:rsid w:val="001F20BA"/>
    <w:rsid w:val="001F2923"/>
    <w:rsid w:val="001F2FB7"/>
    <w:rsid w:val="001F4278"/>
    <w:rsid w:val="001F485A"/>
    <w:rsid w:val="001F53C1"/>
    <w:rsid w:val="001F5AA7"/>
    <w:rsid w:val="001F601F"/>
    <w:rsid w:val="001F6307"/>
    <w:rsid w:val="001F6AB3"/>
    <w:rsid w:val="001F718B"/>
    <w:rsid w:val="001F7487"/>
    <w:rsid w:val="002018A6"/>
    <w:rsid w:val="00202450"/>
    <w:rsid w:val="0020311F"/>
    <w:rsid w:val="00204BE8"/>
    <w:rsid w:val="00204C37"/>
    <w:rsid w:val="00205988"/>
    <w:rsid w:val="002064DE"/>
    <w:rsid w:val="00206C9B"/>
    <w:rsid w:val="00207B03"/>
    <w:rsid w:val="002100B0"/>
    <w:rsid w:val="00210354"/>
    <w:rsid w:val="002104E8"/>
    <w:rsid w:val="00210F31"/>
    <w:rsid w:val="002111AB"/>
    <w:rsid w:val="002128BE"/>
    <w:rsid w:val="002129EA"/>
    <w:rsid w:val="002134B0"/>
    <w:rsid w:val="0021367B"/>
    <w:rsid w:val="002138DE"/>
    <w:rsid w:val="00213FB8"/>
    <w:rsid w:val="00213FCD"/>
    <w:rsid w:val="002149B1"/>
    <w:rsid w:val="00215345"/>
    <w:rsid w:val="0021616C"/>
    <w:rsid w:val="00217561"/>
    <w:rsid w:val="00217DCF"/>
    <w:rsid w:val="00220613"/>
    <w:rsid w:val="00220F47"/>
    <w:rsid w:val="00221374"/>
    <w:rsid w:val="00222CCC"/>
    <w:rsid w:val="00223877"/>
    <w:rsid w:val="002242C8"/>
    <w:rsid w:val="00224582"/>
    <w:rsid w:val="00224D0E"/>
    <w:rsid w:val="002251BE"/>
    <w:rsid w:val="002253D6"/>
    <w:rsid w:val="00225EA3"/>
    <w:rsid w:val="00226272"/>
    <w:rsid w:val="002265CC"/>
    <w:rsid w:val="002269FC"/>
    <w:rsid w:val="00226B1D"/>
    <w:rsid w:val="00226F4A"/>
    <w:rsid w:val="00227100"/>
    <w:rsid w:val="00227B99"/>
    <w:rsid w:val="0023087D"/>
    <w:rsid w:val="00230D7F"/>
    <w:rsid w:val="00231452"/>
    <w:rsid w:val="002314CB"/>
    <w:rsid w:val="00231D12"/>
    <w:rsid w:val="00232EE6"/>
    <w:rsid w:val="00233BDD"/>
    <w:rsid w:val="00233C15"/>
    <w:rsid w:val="00233DFA"/>
    <w:rsid w:val="002342B0"/>
    <w:rsid w:val="00236BEC"/>
    <w:rsid w:val="00236CFB"/>
    <w:rsid w:val="00236E5D"/>
    <w:rsid w:val="002373AC"/>
    <w:rsid w:val="00237688"/>
    <w:rsid w:val="0023770A"/>
    <w:rsid w:val="002379F0"/>
    <w:rsid w:val="002400F3"/>
    <w:rsid w:val="00240BEA"/>
    <w:rsid w:val="00240F8A"/>
    <w:rsid w:val="002459C4"/>
    <w:rsid w:val="00246121"/>
    <w:rsid w:val="00246220"/>
    <w:rsid w:val="00246A3F"/>
    <w:rsid w:val="002471FD"/>
    <w:rsid w:val="00247353"/>
    <w:rsid w:val="00247520"/>
    <w:rsid w:val="002476E5"/>
    <w:rsid w:val="00250BC6"/>
    <w:rsid w:val="002510F1"/>
    <w:rsid w:val="00251259"/>
    <w:rsid w:val="00251770"/>
    <w:rsid w:val="0025351B"/>
    <w:rsid w:val="00253D2D"/>
    <w:rsid w:val="00253F75"/>
    <w:rsid w:val="00255A5F"/>
    <w:rsid w:val="002564DC"/>
    <w:rsid w:val="0025790F"/>
    <w:rsid w:val="00257E2C"/>
    <w:rsid w:val="00257F11"/>
    <w:rsid w:val="00261222"/>
    <w:rsid w:val="00261C00"/>
    <w:rsid w:val="00262185"/>
    <w:rsid w:val="00262678"/>
    <w:rsid w:val="002626BE"/>
    <w:rsid w:val="00262946"/>
    <w:rsid w:val="002649D7"/>
    <w:rsid w:val="00264FC1"/>
    <w:rsid w:val="0026542D"/>
    <w:rsid w:val="00265FBD"/>
    <w:rsid w:val="00267964"/>
    <w:rsid w:val="002707E5"/>
    <w:rsid w:val="002708D2"/>
    <w:rsid w:val="002716AC"/>
    <w:rsid w:val="0027182A"/>
    <w:rsid w:val="00271971"/>
    <w:rsid w:val="00272AEF"/>
    <w:rsid w:val="00273500"/>
    <w:rsid w:val="00273A27"/>
    <w:rsid w:val="00273D1A"/>
    <w:rsid w:val="0027477F"/>
    <w:rsid w:val="002755C5"/>
    <w:rsid w:val="00275A2A"/>
    <w:rsid w:val="00275A50"/>
    <w:rsid w:val="00275F00"/>
    <w:rsid w:val="00276405"/>
    <w:rsid w:val="00276B06"/>
    <w:rsid w:val="00276BA7"/>
    <w:rsid w:val="00276CBD"/>
    <w:rsid w:val="002779E2"/>
    <w:rsid w:val="002806A7"/>
    <w:rsid w:val="002809C0"/>
    <w:rsid w:val="00280DE1"/>
    <w:rsid w:val="00280E37"/>
    <w:rsid w:val="00281DD9"/>
    <w:rsid w:val="00282EEE"/>
    <w:rsid w:val="00283299"/>
    <w:rsid w:val="00284BC0"/>
    <w:rsid w:val="00285133"/>
    <w:rsid w:val="0028706B"/>
    <w:rsid w:val="00290A21"/>
    <w:rsid w:val="00290E3D"/>
    <w:rsid w:val="0029253B"/>
    <w:rsid w:val="002928D0"/>
    <w:rsid w:val="0029376E"/>
    <w:rsid w:val="0029383D"/>
    <w:rsid w:val="00293BF6"/>
    <w:rsid w:val="002945E4"/>
    <w:rsid w:val="002948DB"/>
    <w:rsid w:val="00295ABF"/>
    <w:rsid w:val="0029667F"/>
    <w:rsid w:val="00296692"/>
    <w:rsid w:val="002967A6"/>
    <w:rsid w:val="00297AA1"/>
    <w:rsid w:val="00297B9F"/>
    <w:rsid w:val="002A0B07"/>
    <w:rsid w:val="002A1048"/>
    <w:rsid w:val="002A1265"/>
    <w:rsid w:val="002A19C3"/>
    <w:rsid w:val="002A229D"/>
    <w:rsid w:val="002A2401"/>
    <w:rsid w:val="002A2C5C"/>
    <w:rsid w:val="002A3444"/>
    <w:rsid w:val="002A5ED9"/>
    <w:rsid w:val="002A615D"/>
    <w:rsid w:val="002A686A"/>
    <w:rsid w:val="002A71CD"/>
    <w:rsid w:val="002A72FB"/>
    <w:rsid w:val="002A76C9"/>
    <w:rsid w:val="002B06EE"/>
    <w:rsid w:val="002B1457"/>
    <w:rsid w:val="002B146A"/>
    <w:rsid w:val="002B326C"/>
    <w:rsid w:val="002B3A78"/>
    <w:rsid w:val="002B4A07"/>
    <w:rsid w:val="002B56A5"/>
    <w:rsid w:val="002B5C7F"/>
    <w:rsid w:val="002B66EE"/>
    <w:rsid w:val="002B677F"/>
    <w:rsid w:val="002B6FD5"/>
    <w:rsid w:val="002C002F"/>
    <w:rsid w:val="002C1FFD"/>
    <w:rsid w:val="002C28D1"/>
    <w:rsid w:val="002C29AD"/>
    <w:rsid w:val="002C398D"/>
    <w:rsid w:val="002C4290"/>
    <w:rsid w:val="002C4488"/>
    <w:rsid w:val="002C4A58"/>
    <w:rsid w:val="002C511D"/>
    <w:rsid w:val="002C5F98"/>
    <w:rsid w:val="002C6A68"/>
    <w:rsid w:val="002C6ACB"/>
    <w:rsid w:val="002C7F24"/>
    <w:rsid w:val="002C7F39"/>
    <w:rsid w:val="002D0158"/>
    <w:rsid w:val="002D0658"/>
    <w:rsid w:val="002D08DE"/>
    <w:rsid w:val="002D16EC"/>
    <w:rsid w:val="002D2640"/>
    <w:rsid w:val="002D27F9"/>
    <w:rsid w:val="002D2828"/>
    <w:rsid w:val="002D29B1"/>
    <w:rsid w:val="002D2B71"/>
    <w:rsid w:val="002D30CC"/>
    <w:rsid w:val="002D4C78"/>
    <w:rsid w:val="002D5E90"/>
    <w:rsid w:val="002D62A5"/>
    <w:rsid w:val="002D6B63"/>
    <w:rsid w:val="002D7094"/>
    <w:rsid w:val="002D7133"/>
    <w:rsid w:val="002D7F05"/>
    <w:rsid w:val="002E0ACE"/>
    <w:rsid w:val="002E0C76"/>
    <w:rsid w:val="002E14B0"/>
    <w:rsid w:val="002E190B"/>
    <w:rsid w:val="002E383D"/>
    <w:rsid w:val="002E41E0"/>
    <w:rsid w:val="002E4BE3"/>
    <w:rsid w:val="002E50C2"/>
    <w:rsid w:val="002E5C7B"/>
    <w:rsid w:val="002E67B4"/>
    <w:rsid w:val="002E72FC"/>
    <w:rsid w:val="002E763E"/>
    <w:rsid w:val="002E7E83"/>
    <w:rsid w:val="002F05AA"/>
    <w:rsid w:val="002F05E1"/>
    <w:rsid w:val="002F069D"/>
    <w:rsid w:val="002F08A4"/>
    <w:rsid w:val="002F0D7C"/>
    <w:rsid w:val="002F101D"/>
    <w:rsid w:val="002F1E01"/>
    <w:rsid w:val="002F1EDE"/>
    <w:rsid w:val="002F3306"/>
    <w:rsid w:val="002F37B4"/>
    <w:rsid w:val="002F3FCD"/>
    <w:rsid w:val="002F4942"/>
    <w:rsid w:val="002F5764"/>
    <w:rsid w:val="002F64A1"/>
    <w:rsid w:val="002F6726"/>
    <w:rsid w:val="002F7A24"/>
    <w:rsid w:val="0030172C"/>
    <w:rsid w:val="003024CE"/>
    <w:rsid w:val="003029D7"/>
    <w:rsid w:val="00302B3A"/>
    <w:rsid w:val="00304C0A"/>
    <w:rsid w:val="00306F87"/>
    <w:rsid w:val="00307459"/>
    <w:rsid w:val="0030756D"/>
    <w:rsid w:val="00307645"/>
    <w:rsid w:val="00307E3B"/>
    <w:rsid w:val="00307F26"/>
    <w:rsid w:val="0031030A"/>
    <w:rsid w:val="00311569"/>
    <w:rsid w:val="00311FCE"/>
    <w:rsid w:val="00312D65"/>
    <w:rsid w:val="00313D9B"/>
    <w:rsid w:val="00314497"/>
    <w:rsid w:val="00314D7F"/>
    <w:rsid w:val="0031739F"/>
    <w:rsid w:val="0032100A"/>
    <w:rsid w:val="003211AB"/>
    <w:rsid w:val="003212E8"/>
    <w:rsid w:val="00321EB4"/>
    <w:rsid w:val="003228C1"/>
    <w:rsid w:val="003229EB"/>
    <w:rsid w:val="00322D4A"/>
    <w:rsid w:val="00323028"/>
    <w:rsid w:val="00325272"/>
    <w:rsid w:val="0032530E"/>
    <w:rsid w:val="00325412"/>
    <w:rsid w:val="00325720"/>
    <w:rsid w:val="00325C67"/>
    <w:rsid w:val="0032630D"/>
    <w:rsid w:val="00326950"/>
    <w:rsid w:val="00326C59"/>
    <w:rsid w:val="00326CF7"/>
    <w:rsid w:val="00327103"/>
    <w:rsid w:val="00330432"/>
    <w:rsid w:val="00332921"/>
    <w:rsid w:val="0033307C"/>
    <w:rsid w:val="00333668"/>
    <w:rsid w:val="00333FE7"/>
    <w:rsid w:val="003348BD"/>
    <w:rsid w:val="003357D2"/>
    <w:rsid w:val="003368F0"/>
    <w:rsid w:val="00337533"/>
    <w:rsid w:val="003407F4"/>
    <w:rsid w:val="00340A66"/>
    <w:rsid w:val="003412CB"/>
    <w:rsid w:val="003419E6"/>
    <w:rsid w:val="00341AC8"/>
    <w:rsid w:val="00342328"/>
    <w:rsid w:val="003432DF"/>
    <w:rsid w:val="00343D04"/>
    <w:rsid w:val="00343F1B"/>
    <w:rsid w:val="00344108"/>
    <w:rsid w:val="0034499E"/>
    <w:rsid w:val="00345C9F"/>
    <w:rsid w:val="00345CC6"/>
    <w:rsid w:val="003461F0"/>
    <w:rsid w:val="00346E85"/>
    <w:rsid w:val="003471DB"/>
    <w:rsid w:val="00347D5F"/>
    <w:rsid w:val="00350848"/>
    <w:rsid w:val="0035197F"/>
    <w:rsid w:val="00352E59"/>
    <w:rsid w:val="003536CC"/>
    <w:rsid w:val="0035531B"/>
    <w:rsid w:val="00355A26"/>
    <w:rsid w:val="00356228"/>
    <w:rsid w:val="00356810"/>
    <w:rsid w:val="00356D14"/>
    <w:rsid w:val="003570F2"/>
    <w:rsid w:val="00360006"/>
    <w:rsid w:val="003611EB"/>
    <w:rsid w:val="00361331"/>
    <w:rsid w:val="003628FE"/>
    <w:rsid w:val="0036330E"/>
    <w:rsid w:val="00363446"/>
    <w:rsid w:val="00363634"/>
    <w:rsid w:val="00363789"/>
    <w:rsid w:val="00363C36"/>
    <w:rsid w:val="00365158"/>
    <w:rsid w:val="003656F0"/>
    <w:rsid w:val="0036784D"/>
    <w:rsid w:val="0037001A"/>
    <w:rsid w:val="00370A7B"/>
    <w:rsid w:val="003715AD"/>
    <w:rsid w:val="00371B03"/>
    <w:rsid w:val="00371D1E"/>
    <w:rsid w:val="00374402"/>
    <w:rsid w:val="00374A52"/>
    <w:rsid w:val="0037573F"/>
    <w:rsid w:val="00376389"/>
    <w:rsid w:val="003770D3"/>
    <w:rsid w:val="00377992"/>
    <w:rsid w:val="00377B6F"/>
    <w:rsid w:val="0038200D"/>
    <w:rsid w:val="003824B6"/>
    <w:rsid w:val="00383923"/>
    <w:rsid w:val="0038509D"/>
    <w:rsid w:val="003850A2"/>
    <w:rsid w:val="00386865"/>
    <w:rsid w:val="00386BF2"/>
    <w:rsid w:val="00387369"/>
    <w:rsid w:val="00387F66"/>
    <w:rsid w:val="003910EF"/>
    <w:rsid w:val="003914DE"/>
    <w:rsid w:val="00391659"/>
    <w:rsid w:val="00391AEA"/>
    <w:rsid w:val="00391C83"/>
    <w:rsid w:val="00391ED2"/>
    <w:rsid w:val="00392114"/>
    <w:rsid w:val="003939F0"/>
    <w:rsid w:val="003939FE"/>
    <w:rsid w:val="00394030"/>
    <w:rsid w:val="0039409A"/>
    <w:rsid w:val="003948F6"/>
    <w:rsid w:val="003951AC"/>
    <w:rsid w:val="003A1A73"/>
    <w:rsid w:val="003A3DEE"/>
    <w:rsid w:val="003A4291"/>
    <w:rsid w:val="003A4471"/>
    <w:rsid w:val="003A447C"/>
    <w:rsid w:val="003A474E"/>
    <w:rsid w:val="003A477F"/>
    <w:rsid w:val="003A4C12"/>
    <w:rsid w:val="003A4CEB"/>
    <w:rsid w:val="003A4DF0"/>
    <w:rsid w:val="003A5256"/>
    <w:rsid w:val="003A53BE"/>
    <w:rsid w:val="003A583D"/>
    <w:rsid w:val="003A58C7"/>
    <w:rsid w:val="003A6244"/>
    <w:rsid w:val="003A6DE0"/>
    <w:rsid w:val="003A6E4B"/>
    <w:rsid w:val="003B0FCD"/>
    <w:rsid w:val="003B125C"/>
    <w:rsid w:val="003B192E"/>
    <w:rsid w:val="003B2FEB"/>
    <w:rsid w:val="003B317A"/>
    <w:rsid w:val="003B3242"/>
    <w:rsid w:val="003B3FCD"/>
    <w:rsid w:val="003B4FDD"/>
    <w:rsid w:val="003B56B3"/>
    <w:rsid w:val="003B5E72"/>
    <w:rsid w:val="003B69A9"/>
    <w:rsid w:val="003B6A30"/>
    <w:rsid w:val="003B6E9B"/>
    <w:rsid w:val="003B7377"/>
    <w:rsid w:val="003B79C1"/>
    <w:rsid w:val="003C0182"/>
    <w:rsid w:val="003C0A29"/>
    <w:rsid w:val="003C0B20"/>
    <w:rsid w:val="003C102D"/>
    <w:rsid w:val="003C1598"/>
    <w:rsid w:val="003C3B14"/>
    <w:rsid w:val="003C4944"/>
    <w:rsid w:val="003C4E8D"/>
    <w:rsid w:val="003C5125"/>
    <w:rsid w:val="003C5769"/>
    <w:rsid w:val="003C67D2"/>
    <w:rsid w:val="003C77E6"/>
    <w:rsid w:val="003D017C"/>
    <w:rsid w:val="003D0253"/>
    <w:rsid w:val="003D090B"/>
    <w:rsid w:val="003D1BE8"/>
    <w:rsid w:val="003D2351"/>
    <w:rsid w:val="003D2641"/>
    <w:rsid w:val="003D2D39"/>
    <w:rsid w:val="003D377C"/>
    <w:rsid w:val="003D39B9"/>
    <w:rsid w:val="003D420F"/>
    <w:rsid w:val="003D5785"/>
    <w:rsid w:val="003D616A"/>
    <w:rsid w:val="003D654B"/>
    <w:rsid w:val="003D6E7F"/>
    <w:rsid w:val="003D71C7"/>
    <w:rsid w:val="003D7DA5"/>
    <w:rsid w:val="003E0A39"/>
    <w:rsid w:val="003E0ACF"/>
    <w:rsid w:val="003E110E"/>
    <w:rsid w:val="003E15AC"/>
    <w:rsid w:val="003E169C"/>
    <w:rsid w:val="003E29DB"/>
    <w:rsid w:val="003E2FBC"/>
    <w:rsid w:val="003E32DD"/>
    <w:rsid w:val="003E3416"/>
    <w:rsid w:val="003E475C"/>
    <w:rsid w:val="003E588E"/>
    <w:rsid w:val="003E7442"/>
    <w:rsid w:val="003F0502"/>
    <w:rsid w:val="003F0FC4"/>
    <w:rsid w:val="003F1077"/>
    <w:rsid w:val="003F15D2"/>
    <w:rsid w:val="003F202E"/>
    <w:rsid w:val="003F2324"/>
    <w:rsid w:val="003F3245"/>
    <w:rsid w:val="003F3EB5"/>
    <w:rsid w:val="003F4083"/>
    <w:rsid w:val="003F448D"/>
    <w:rsid w:val="003F4EF9"/>
    <w:rsid w:val="003F5051"/>
    <w:rsid w:val="003F54D7"/>
    <w:rsid w:val="003F5CD9"/>
    <w:rsid w:val="003F5D15"/>
    <w:rsid w:val="003F6E73"/>
    <w:rsid w:val="003F744F"/>
    <w:rsid w:val="00400129"/>
    <w:rsid w:val="004005D9"/>
    <w:rsid w:val="004019BF"/>
    <w:rsid w:val="004027EC"/>
    <w:rsid w:val="00402A59"/>
    <w:rsid w:val="00402DAE"/>
    <w:rsid w:val="00403AC3"/>
    <w:rsid w:val="004041B5"/>
    <w:rsid w:val="0040531A"/>
    <w:rsid w:val="0040688F"/>
    <w:rsid w:val="004070EE"/>
    <w:rsid w:val="0040775F"/>
    <w:rsid w:val="00407E8A"/>
    <w:rsid w:val="004101ED"/>
    <w:rsid w:val="00410979"/>
    <w:rsid w:val="004116D2"/>
    <w:rsid w:val="00412DB5"/>
    <w:rsid w:val="004134EE"/>
    <w:rsid w:val="00413CFB"/>
    <w:rsid w:val="00413F56"/>
    <w:rsid w:val="0041494E"/>
    <w:rsid w:val="00415056"/>
    <w:rsid w:val="0041654B"/>
    <w:rsid w:val="0041696E"/>
    <w:rsid w:val="00416A13"/>
    <w:rsid w:val="004219D2"/>
    <w:rsid w:val="00421D55"/>
    <w:rsid w:val="00422E64"/>
    <w:rsid w:val="00423E44"/>
    <w:rsid w:val="00423EEE"/>
    <w:rsid w:val="004240B6"/>
    <w:rsid w:val="00425EAC"/>
    <w:rsid w:val="00426703"/>
    <w:rsid w:val="00426751"/>
    <w:rsid w:val="00427315"/>
    <w:rsid w:val="00427671"/>
    <w:rsid w:val="00427FD5"/>
    <w:rsid w:val="00430391"/>
    <w:rsid w:val="004310C6"/>
    <w:rsid w:val="00431325"/>
    <w:rsid w:val="004315B2"/>
    <w:rsid w:val="00431963"/>
    <w:rsid w:val="0043206E"/>
    <w:rsid w:val="00432A4B"/>
    <w:rsid w:val="00433799"/>
    <w:rsid w:val="00434898"/>
    <w:rsid w:val="0043504D"/>
    <w:rsid w:val="00435880"/>
    <w:rsid w:val="004359FC"/>
    <w:rsid w:val="00435E91"/>
    <w:rsid w:val="00436B38"/>
    <w:rsid w:val="00436C3B"/>
    <w:rsid w:val="00437B79"/>
    <w:rsid w:val="00440D7B"/>
    <w:rsid w:val="0044116D"/>
    <w:rsid w:val="004416CE"/>
    <w:rsid w:val="004417D9"/>
    <w:rsid w:val="00442570"/>
    <w:rsid w:val="00442F1F"/>
    <w:rsid w:val="004433B1"/>
    <w:rsid w:val="0044346D"/>
    <w:rsid w:val="00444E44"/>
    <w:rsid w:val="00444ECC"/>
    <w:rsid w:val="0044796B"/>
    <w:rsid w:val="00450FC0"/>
    <w:rsid w:val="0045179A"/>
    <w:rsid w:val="004519EC"/>
    <w:rsid w:val="004522A3"/>
    <w:rsid w:val="00453AA7"/>
    <w:rsid w:val="00453D5A"/>
    <w:rsid w:val="00454410"/>
    <w:rsid w:val="00454EF1"/>
    <w:rsid w:val="004557BE"/>
    <w:rsid w:val="00457048"/>
    <w:rsid w:val="00461EE8"/>
    <w:rsid w:val="00463832"/>
    <w:rsid w:val="00464B8E"/>
    <w:rsid w:val="00465047"/>
    <w:rsid w:val="00465FDF"/>
    <w:rsid w:val="00466601"/>
    <w:rsid w:val="004668BB"/>
    <w:rsid w:val="004674B1"/>
    <w:rsid w:val="00467620"/>
    <w:rsid w:val="0047073D"/>
    <w:rsid w:val="004708B4"/>
    <w:rsid w:val="00470B84"/>
    <w:rsid w:val="00470BF3"/>
    <w:rsid w:val="004721CE"/>
    <w:rsid w:val="0047267A"/>
    <w:rsid w:val="00472B70"/>
    <w:rsid w:val="00473114"/>
    <w:rsid w:val="00473BE2"/>
    <w:rsid w:val="004750BE"/>
    <w:rsid w:val="00475165"/>
    <w:rsid w:val="004764E3"/>
    <w:rsid w:val="00481F27"/>
    <w:rsid w:val="00483201"/>
    <w:rsid w:val="00483C6F"/>
    <w:rsid w:val="00484DBF"/>
    <w:rsid w:val="004864F3"/>
    <w:rsid w:val="00486C85"/>
    <w:rsid w:val="00487356"/>
    <w:rsid w:val="00490BD3"/>
    <w:rsid w:val="00491FA0"/>
    <w:rsid w:val="00493123"/>
    <w:rsid w:val="00493DB8"/>
    <w:rsid w:val="00495775"/>
    <w:rsid w:val="00495779"/>
    <w:rsid w:val="0049581C"/>
    <w:rsid w:val="00496241"/>
    <w:rsid w:val="004972DD"/>
    <w:rsid w:val="00497F68"/>
    <w:rsid w:val="004A0972"/>
    <w:rsid w:val="004A14CB"/>
    <w:rsid w:val="004A1518"/>
    <w:rsid w:val="004A1C94"/>
    <w:rsid w:val="004A1EA3"/>
    <w:rsid w:val="004A2901"/>
    <w:rsid w:val="004A3F54"/>
    <w:rsid w:val="004A44F0"/>
    <w:rsid w:val="004A4CC3"/>
    <w:rsid w:val="004A644A"/>
    <w:rsid w:val="004A64AD"/>
    <w:rsid w:val="004A77E9"/>
    <w:rsid w:val="004B2146"/>
    <w:rsid w:val="004B21D4"/>
    <w:rsid w:val="004B245B"/>
    <w:rsid w:val="004B287D"/>
    <w:rsid w:val="004B2C70"/>
    <w:rsid w:val="004B3BBD"/>
    <w:rsid w:val="004B3BE5"/>
    <w:rsid w:val="004B3FA4"/>
    <w:rsid w:val="004B5850"/>
    <w:rsid w:val="004B606E"/>
    <w:rsid w:val="004B6A5D"/>
    <w:rsid w:val="004B7B18"/>
    <w:rsid w:val="004B7E44"/>
    <w:rsid w:val="004C00DC"/>
    <w:rsid w:val="004C179E"/>
    <w:rsid w:val="004C229C"/>
    <w:rsid w:val="004C2CE0"/>
    <w:rsid w:val="004C33AD"/>
    <w:rsid w:val="004C5DA4"/>
    <w:rsid w:val="004C62F6"/>
    <w:rsid w:val="004C6338"/>
    <w:rsid w:val="004C7196"/>
    <w:rsid w:val="004C77D9"/>
    <w:rsid w:val="004D09D5"/>
    <w:rsid w:val="004D0B97"/>
    <w:rsid w:val="004D14E9"/>
    <w:rsid w:val="004D1FC4"/>
    <w:rsid w:val="004D251B"/>
    <w:rsid w:val="004D2DB6"/>
    <w:rsid w:val="004D3277"/>
    <w:rsid w:val="004D3F79"/>
    <w:rsid w:val="004D4051"/>
    <w:rsid w:val="004D4053"/>
    <w:rsid w:val="004D4C5F"/>
    <w:rsid w:val="004D5F0D"/>
    <w:rsid w:val="004D684A"/>
    <w:rsid w:val="004D7857"/>
    <w:rsid w:val="004E07DC"/>
    <w:rsid w:val="004E16B3"/>
    <w:rsid w:val="004E3F2E"/>
    <w:rsid w:val="004E43CA"/>
    <w:rsid w:val="004E4482"/>
    <w:rsid w:val="004E45C7"/>
    <w:rsid w:val="004E47C2"/>
    <w:rsid w:val="004E4ABF"/>
    <w:rsid w:val="004E617D"/>
    <w:rsid w:val="004E7A14"/>
    <w:rsid w:val="004F0598"/>
    <w:rsid w:val="004F23C7"/>
    <w:rsid w:val="004F24E4"/>
    <w:rsid w:val="004F2B9E"/>
    <w:rsid w:val="004F2F9F"/>
    <w:rsid w:val="004F349C"/>
    <w:rsid w:val="004F3C22"/>
    <w:rsid w:val="004F3C66"/>
    <w:rsid w:val="004F4824"/>
    <w:rsid w:val="004F4C34"/>
    <w:rsid w:val="004F50D4"/>
    <w:rsid w:val="004F53F6"/>
    <w:rsid w:val="004F6692"/>
    <w:rsid w:val="004F77E6"/>
    <w:rsid w:val="00500EAE"/>
    <w:rsid w:val="0050221D"/>
    <w:rsid w:val="00503D0D"/>
    <w:rsid w:val="00506486"/>
    <w:rsid w:val="00506898"/>
    <w:rsid w:val="00506D38"/>
    <w:rsid w:val="00506D7B"/>
    <w:rsid w:val="0050721D"/>
    <w:rsid w:val="00510347"/>
    <w:rsid w:val="005106CC"/>
    <w:rsid w:val="0051115E"/>
    <w:rsid w:val="005123DA"/>
    <w:rsid w:val="0051315F"/>
    <w:rsid w:val="0051353A"/>
    <w:rsid w:val="0051419C"/>
    <w:rsid w:val="00514281"/>
    <w:rsid w:val="00514470"/>
    <w:rsid w:val="0051457A"/>
    <w:rsid w:val="00515B23"/>
    <w:rsid w:val="00515E4E"/>
    <w:rsid w:val="005164E2"/>
    <w:rsid w:val="00516516"/>
    <w:rsid w:val="00517E92"/>
    <w:rsid w:val="005210F0"/>
    <w:rsid w:val="00521339"/>
    <w:rsid w:val="00522503"/>
    <w:rsid w:val="0052370B"/>
    <w:rsid w:val="0052420A"/>
    <w:rsid w:val="00525108"/>
    <w:rsid w:val="0052603C"/>
    <w:rsid w:val="005268DF"/>
    <w:rsid w:val="00526CD4"/>
    <w:rsid w:val="005271B1"/>
    <w:rsid w:val="0052781A"/>
    <w:rsid w:val="00527872"/>
    <w:rsid w:val="00531B72"/>
    <w:rsid w:val="00533CEB"/>
    <w:rsid w:val="00533F41"/>
    <w:rsid w:val="00534F25"/>
    <w:rsid w:val="00535BDE"/>
    <w:rsid w:val="00536997"/>
    <w:rsid w:val="00536B9A"/>
    <w:rsid w:val="00537DE3"/>
    <w:rsid w:val="00540621"/>
    <w:rsid w:val="0054098F"/>
    <w:rsid w:val="00540ED4"/>
    <w:rsid w:val="0054149C"/>
    <w:rsid w:val="00541FC0"/>
    <w:rsid w:val="00542C82"/>
    <w:rsid w:val="0054389B"/>
    <w:rsid w:val="00544700"/>
    <w:rsid w:val="00546090"/>
    <w:rsid w:val="0054714E"/>
    <w:rsid w:val="005475C6"/>
    <w:rsid w:val="00547CBB"/>
    <w:rsid w:val="00547DA0"/>
    <w:rsid w:val="005500D1"/>
    <w:rsid w:val="005501D1"/>
    <w:rsid w:val="00550D1C"/>
    <w:rsid w:val="005511C0"/>
    <w:rsid w:val="00552492"/>
    <w:rsid w:val="00552AC5"/>
    <w:rsid w:val="00552AE0"/>
    <w:rsid w:val="005534B5"/>
    <w:rsid w:val="00553606"/>
    <w:rsid w:val="00554AA9"/>
    <w:rsid w:val="005551B3"/>
    <w:rsid w:val="00556F6C"/>
    <w:rsid w:val="005578AA"/>
    <w:rsid w:val="00557934"/>
    <w:rsid w:val="0056021C"/>
    <w:rsid w:val="00560F66"/>
    <w:rsid w:val="00561CFB"/>
    <w:rsid w:val="00562207"/>
    <w:rsid w:val="00562E83"/>
    <w:rsid w:val="0056349A"/>
    <w:rsid w:val="00564949"/>
    <w:rsid w:val="005667F0"/>
    <w:rsid w:val="005669AC"/>
    <w:rsid w:val="00566DE1"/>
    <w:rsid w:val="00570EA4"/>
    <w:rsid w:val="00570EC4"/>
    <w:rsid w:val="005729C1"/>
    <w:rsid w:val="00572CBF"/>
    <w:rsid w:val="005733EE"/>
    <w:rsid w:val="00573BB2"/>
    <w:rsid w:val="005766BE"/>
    <w:rsid w:val="00577A01"/>
    <w:rsid w:val="00577E3C"/>
    <w:rsid w:val="00580EE7"/>
    <w:rsid w:val="005811EF"/>
    <w:rsid w:val="00581AB1"/>
    <w:rsid w:val="00582662"/>
    <w:rsid w:val="00582C41"/>
    <w:rsid w:val="005835AC"/>
    <w:rsid w:val="00583F4B"/>
    <w:rsid w:val="005842D1"/>
    <w:rsid w:val="00584557"/>
    <w:rsid w:val="00585340"/>
    <w:rsid w:val="0058540E"/>
    <w:rsid w:val="00585960"/>
    <w:rsid w:val="00585ADD"/>
    <w:rsid w:val="00585DD0"/>
    <w:rsid w:val="00586278"/>
    <w:rsid w:val="00587D2F"/>
    <w:rsid w:val="005906A4"/>
    <w:rsid w:val="00591ABB"/>
    <w:rsid w:val="005924AA"/>
    <w:rsid w:val="00592505"/>
    <w:rsid w:val="00592AFA"/>
    <w:rsid w:val="00594270"/>
    <w:rsid w:val="00595171"/>
    <w:rsid w:val="00595CC7"/>
    <w:rsid w:val="00595DA3"/>
    <w:rsid w:val="00596931"/>
    <w:rsid w:val="005977E7"/>
    <w:rsid w:val="005A0A84"/>
    <w:rsid w:val="005A1302"/>
    <w:rsid w:val="005A21EE"/>
    <w:rsid w:val="005A2561"/>
    <w:rsid w:val="005A4ED5"/>
    <w:rsid w:val="005A55F8"/>
    <w:rsid w:val="005A5AAE"/>
    <w:rsid w:val="005A63E6"/>
    <w:rsid w:val="005B0510"/>
    <w:rsid w:val="005B0D3C"/>
    <w:rsid w:val="005B1391"/>
    <w:rsid w:val="005B16A8"/>
    <w:rsid w:val="005B28DE"/>
    <w:rsid w:val="005B3559"/>
    <w:rsid w:val="005B3F0D"/>
    <w:rsid w:val="005B3FC1"/>
    <w:rsid w:val="005B56EF"/>
    <w:rsid w:val="005B5C6E"/>
    <w:rsid w:val="005B664D"/>
    <w:rsid w:val="005B6F36"/>
    <w:rsid w:val="005B715F"/>
    <w:rsid w:val="005B7507"/>
    <w:rsid w:val="005C007B"/>
    <w:rsid w:val="005C0840"/>
    <w:rsid w:val="005C166D"/>
    <w:rsid w:val="005C2076"/>
    <w:rsid w:val="005C2590"/>
    <w:rsid w:val="005C308D"/>
    <w:rsid w:val="005C398C"/>
    <w:rsid w:val="005C3A63"/>
    <w:rsid w:val="005C3D48"/>
    <w:rsid w:val="005C4E14"/>
    <w:rsid w:val="005C4E96"/>
    <w:rsid w:val="005C6D62"/>
    <w:rsid w:val="005C7C42"/>
    <w:rsid w:val="005D0CB9"/>
    <w:rsid w:val="005D0D48"/>
    <w:rsid w:val="005D0F49"/>
    <w:rsid w:val="005D17A6"/>
    <w:rsid w:val="005D1C75"/>
    <w:rsid w:val="005D2305"/>
    <w:rsid w:val="005D31ED"/>
    <w:rsid w:val="005D4A76"/>
    <w:rsid w:val="005D56C0"/>
    <w:rsid w:val="005D751C"/>
    <w:rsid w:val="005E0B33"/>
    <w:rsid w:val="005E1933"/>
    <w:rsid w:val="005E233B"/>
    <w:rsid w:val="005E2885"/>
    <w:rsid w:val="005E35A0"/>
    <w:rsid w:val="005E4A14"/>
    <w:rsid w:val="005E4D7A"/>
    <w:rsid w:val="005E657D"/>
    <w:rsid w:val="005F0CB3"/>
    <w:rsid w:val="005F1106"/>
    <w:rsid w:val="005F119B"/>
    <w:rsid w:val="005F2368"/>
    <w:rsid w:val="005F26BC"/>
    <w:rsid w:val="005F2D79"/>
    <w:rsid w:val="005F334F"/>
    <w:rsid w:val="005F42CE"/>
    <w:rsid w:val="005F5885"/>
    <w:rsid w:val="005F6616"/>
    <w:rsid w:val="005F6B1C"/>
    <w:rsid w:val="005F7031"/>
    <w:rsid w:val="005F7347"/>
    <w:rsid w:val="005F7611"/>
    <w:rsid w:val="005F7615"/>
    <w:rsid w:val="005F7951"/>
    <w:rsid w:val="0060047F"/>
    <w:rsid w:val="00600AF1"/>
    <w:rsid w:val="0060197B"/>
    <w:rsid w:val="00601A24"/>
    <w:rsid w:val="00601A94"/>
    <w:rsid w:val="00603A83"/>
    <w:rsid w:val="00604099"/>
    <w:rsid w:val="006041C3"/>
    <w:rsid w:val="00605024"/>
    <w:rsid w:val="006058CB"/>
    <w:rsid w:val="00605E98"/>
    <w:rsid w:val="00606E9D"/>
    <w:rsid w:val="006072EB"/>
    <w:rsid w:val="006077A9"/>
    <w:rsid w:val="00607F91"/>
    <w:rsid w:val="0061077A"/>
    <w:rsid w:val="00611305"/>
    <w:rsid w:val="00611306"/>
    <w:rsid w:val="00611BDB"/>
    <w:rsid w:val="00611DE3"/>
    <w:rsid w:val="00611F58"/>
    <w:rsid w:val="00612342"/>
    <w:rsid w:val="006129CC"/>
    <w:rsid w:val="00613BD7"/>
    <w:rsid w:val="00614B9E"/>
    <w:rsid w:val="006151DE"/>
    <w:rsid w:val="00615C76"/>
    <w:rsid w:val="006166AD"/>
    <w:rsid w:val="006178A2"/>
    <w:rsid w:val="0062003B"/>
    <w:rsid w:val="00620EB8"/>
    <w:rsid w:val="006214B8"/>
    <w:rsid w:val="00621C55"/>
    <w:rsid w:val="00621F3C"/>
    <w:rsid w:val="00622EB1"/>
    <w:rsid w:val="00624159"/>
    <w:rsid w:val="0062467A"/>
    <w:rsid w:val="00624FA6"/>
    <w:rsid w:val="00625D11"/>
    <w:rsid w:val="00625FDF"/>
    <w:rsid w:val="00626361"/>
    <w:rsid w:val="006263E3"/>
    <w:rsid w:val="00626456"/>
    <w:rsid w:val="006264DA"/>
    <w:rsid w:val="006266F0"/>
    <w:rsid w:val="00626891"/>
    <w:rsid w:val="00626A89"/>
    <w:rsid w:val="00630C75"/>
    <w:rsid w:val="00630FF6"/>
    <w:rsid w:val="0063108D"/>
    <w:rsid w:val="0063166A"/>
    <w:rsid w:val="0063173D"/>
    <w:rsid w:val="006320B7"/>
    <w:rsid w:val="00632307"/>
    <w:rsid w:val="00633B8F"/>
    <w:rsid w:val="00633EE2"/>
    <w:rsid w:val="0063440A"/>
    <w:rsid w:val="006347FA"/>
    <w:rsid w:val="00634C5B"/>
    <w:rsid w:val="00634C82"/>
    <w:rsid w:val="00634CE1"/>
    <w:rsid w:val="00634D43"/>
    <w:rsid w:val="00634FCD"/>
    <w:rsid w:val="00635757"/>
    <w:rsid w:val="00635B31"/>
    <w:rsid w:val="00635E7D"/>
    <w:rsid w:val="00636251"/>
    <w:rsid w:val="006362FA"/>
    <w:rsid w:val="0063665A"/>
    <w:rsid w:val="00636C76"/>
    <w:rsid w:val="0064015D"/>
    <w:rsid w:val="006433EF"/>
    <w:rsid w:val="00643FCA"/>
    <w:rsid w:val="00644A16"/>
    <w:rsid w:val="00644B5B"/>
    <w:rsid w:val="006453C2"/>
    <w:rsid w:val="006457A3"/>
    <w:rsid w:val="00645AD7"/>
    <w:rsid w:val="006473E0"/>
    <w:rsid w:val="00650A97"/>
    <w:rsid w:val="00651216"/>
    <w:rsid w:val="0065129B"/>
    <w:rsid w:val="0065137B"/>
    <w:rsid w:val="00651DBA"/>
    <w:rsid w:val="00651DC8"/>
    <w:rsid w:val="00652A4C"/>
    <w:rsid w:val="00652EC5"/>
    <w:rsid w:val="00653BF7"/>
    <w:rsid w:val="00654070"/>
    <w:rsid w:val="00661DFE"/>
    <w:rsid w:val="00662174"/>
    <w:rsid w:val="00662C6E"/>
    <w:rsid w:val="00662FB6"/>
    <w:rsid w:val="00664371"/>
    <w:rsid w:val="00664414"/>
    <w:rsid w:val="00666CDE"/>
    <w:rsid w:val="00667893"/>
    <w:rsid w:val="00667EF7"/>
    <w:rsid w:val="0067129E"/>
    <w:rsid w:val="006716E6"/>
    <w:rsid w:val="00671FBA"/>
    <w:rsid w:val="00672A82"/>
    <w:rsid w:val="00675290"/>
    <w:rsid w:val="0067541B"/>
    <w:rsid w:val="006755EE"/>
    <w:rsid w:val="00675BEE"/>
    <w:rsid w:val="00675EDF"/>
    <w:rsid w:val="0067785C"/>
    <w:rsid w:val="00677CDE"/>
    <w:rsid w:val="00677E83"/>
    <w:rsid w:val="00680DE0"/>
    <w:rsid w:val="006820F5"/>
    <w:rsid w:val="00682354"/>
    <w:rsid w:val="0068290F"/>
    <w:rsid w:val="006835AA"/>
    <w:rsid w:val="00683B5C"/>
    <w:rsid w:val="006844F3"/>
    <w:rsid w:val="0068456D"/>
    <w:rsid w:val="00684574"/>
    <w:rsid w:val="0068489E"/>
    <w:rsid w:val="006848FB"/>
    <w:rsid w:val="00685F0D"/>
    <w:rsid w:val="00686CE6"/>
    <w:rsid w:val="0068703E"/>
    <w:rsid w:val="00687848"/>
    <w:rsid w:val="006900BB"/>
    <w:rsid w:val="006910E8"/>
    <w:rsid w:val="00692417"/>
    <w:rsid w:val="00692B2E"/>
    <w:rsid w:val="006937A3"/>
    <w:rsid w:val="00693C73"/>
    <w:rsid w:val="006940E9"/>
    <w:rsid w:val="00694113"/>
    <w:rsid w:val="006943B7"/>
    <w:rsid w:val="0069460E"/>
    <w:rsid w:val="00695AEF"/>
    <w:rsid w:val="00695D01"/>
    <w:rsid w:val="006962B4"/>
    <w:rsid w:val="00696A84"/>
    <w:rsid w:val="00696B2A"/>
    <w:rsid w:val="00696CB9"/>
    <w:rsid w:val="00696D6E"/>
    <w:rsid w:val="006A113B"/>
    <w:rsid w:val="006A1844"/>
    <w:rsid w:val="006A1E80"/>
    <w:rsid w:val="006A2538"/>
    <w:rsid w:val="006A2D64"/>
    <w:rsid w:val="006A384D"/>
    <w:rsid w:val="006A4BFE"/>
    <w:rsid w:val="006A4FA6"/>
    <w:rsid w:val="006A5473"/>
    <w:rsid w:val="006A5723"/>
    <w:rsid w:val="006A70EC"/>
    <w:rsid w:val="006B1FAA"/>
    <w:rsid w:val="006B31AD"/>
    <w:rsid w:val="006B3494"/>
    <w:rsid w:val="006B6DA2"/>
    <w:rsid w:val="006B708D"/>
    <w:rsid w:val="006B7412"/>
    <w:rsid w:val="006B766B"/>
    <w:rsid w:val="006C0EB0"/>
    <w:rsid w:val="006C1271"/>
    <w:rsid w:val="006C19F9"/>
    <w:rsid w:val="006C1E67"/>
    <w:rsid w:val="006C25EF"/>
    <w:rsid w:val="006C2B75"/>
    <w:rsid w:val="006C2CF5"/>
    <w:rsid w:val="006C3CF3"/>
    <w:rsid w:val="006C55F9"/>
    <w:rsid w:val="006C674A"/>
    <w:rsid w:val="006C6BEA"/>
    <w:rsid w:val="006C703F"/>
    <w:rsid w:val="006D0770"/>
    <w:rsid w:val="006D0BE5"/>
    <w:rsid w:val="006D138F"/>
    <w:rsid w:val="006D20A4"/>
    <w:rsid w:val="006D2AFF"/>
    <w:rsid w:val="006D317B"/>
    <w:rsid w:val="006D4FA0"/>
    <w:rsid w:val="006D5C2D"/>
    <w:rsid w:val="006D5D43"/>
    <w:rsid w:val="006D66B3"/>
    <w:rsid w:val="006D6804"/>
    <w:rsid w:val="006D6C61"/>
    <w:rsid w:val="006D6FA8"/>
    <w:rsid w:val="006D7D3F"/>
    <w:rsid w:val="006E0ADA"/>
    <w:rsid w:val="006E11A0"/>
    <w:rsid w:val="006E2F03"/>
    <w:rsid w:val="006E3501"/>
    <w:rsid w:val="006E38EB"/>
    <w:rsid w:val="006E3B3C"/>
    <w:rsid w:val="006E4370"/>
    <w:rsid w:val="006E4C63"/>
    <w:rsid w:val="006E647C"/>
    <w:rsid w:val="006E701E"/>
    <w:rsid w:val="006F0708"/>
    <w:rsid w:val="006F0BAD"/>
    <w:rsid w:val="006F0C1B"/>
    <w:rsid w:val="006F16EB"/>
    <w:rsid w:val="006F1B4D"/>
    <w:rsid w:val="006F36CC"/>
    <w:rsid w:val="006F3AED"/>
    <w:rsid w:val="006F3C1D"/>
    <w:rsid w:val="006F413F"/>
    <w:rsid w:val="006F44B2"/>
    <w:rsid w:val="006F69BC"/>
    <w:rsid w:val="00700B3C"/>
    <w:rsid w:val="0070101C"/>
    <w:rsid w:val="00701757"/>
    <w:rsid w:val="00703569"/>
    <w:rsid w:val="00704F92"/>
    <w:rsid w:val="007057C7"/>
    <w:rsid w:val="00705B81"/>
    <w:rsid w:val="00705D4F"/>
    <w:rsid w:val="00706D44"/>
    <w:rsid w:val="00707D94"/>
    <w:rsid w:val="00707E2A"/>
    <w:rsid w:val="00707EED"/>
    <w:rsid w:val="007107AA"/>
    <w:rsid w:val="00710DE1"/>
    <w:rsid w:val="00710E8D"/>
    <w:rsid w:val="00710EF2"/>
    <w:rsid w:val="007122C1"/>
    <w:rsid w:val="0071295C"/>
    <w:rsid w:val="00712B18"/>
    <w:rsid w:val="00712F34"/>
    <w:rsid w:val="007132D6"/>
    <w:rsid w:val="00713948"/>
    <w:rsid w:val="00714046"/>
    <w:rsid w:val="00714913"/>
    <w:rsid w:val="00716352"/>
    <w:rsid w:val="007169ED"/>
    <w:rsid w:val="007176DA"/>
    <w:rsid w:val="00720B55"/>
    <w:rsid w:val="00720DDD"/>
    <w:rsid w:val="00721488"/>
    <w:rsid w:val="007215DB"/>
    <w:rsid w:val="0072160F"/>
    <w:rsid w:val="00722DBE"/>
    <w:rsid w:val="00722E60"/>
    <w:rsid w:val="007244A8"/>
    <w:rsid w:val="0072586F"/>
    <w:rsid w:val="00726906"/>
    <w:rsid w:val="0072724A"/>
    <w:rsid w:val="00727500"/>
    <w:rsid w:val="007278BE"/>
    <w:rsid w:val="0072795E"/>
    <w:rsid w:val="00727A8E"/>
    <w:rsid w:val="00730734"/>
    <w:rsid w:val="00731663"/>
    <w:rsid w:val="0073190C"/>
    <w:rsid w:val="00732AAE"/>
    <w:rsid w:val="00735616"/>
    <w:rsid w:val="00735CED"/>
    <w:rsid w:val="007370B9"/>
    <w:rsid w:val="00737687"/>
    <w:rsid w:val="00737ADF"/>
    <w:rsid w:val="00737FF3"/>
    <w:rsid w:val="007412B7"/>
    <w:rsid w:val="007417C1"/>
    <w:rsid w:val="00743FA8"/>
    <w:rsid w:val="00744384"/>
    <w:rsid w:val="00745614"/>
    <w:rsid w:val="00746404"/>
    <w:rsid w:val="00746AAD"/>
    <w:rsid w:val="00746FDD"/>
    <w:rsid w:val="00747187"/>
    <w:rsid w:val="00747802"/>
    <w:rsid w:val="00747E6B"/>
    <w:rsid w:val="00752B22"/>
    <w:rsid w:val="0075323A"/>
    <w:rsid w:val="007534CA"/>
    <w:rsid w:val="007539A2"/>
    <w:rsid w:val="00753BD5"/>
    <w:rsid w:val="00754BC6"/>
    <w:rsid w:val="00754E64"/>
    <w:rsid w:val="00754EBA"/>
    <w:rsid w:val="00755AC9"/>
    <w:rsid w:val="00755E3D"/>
    <w:rsid w:val="00755E92"/>
    <w:rsid w:val="00756D5F"/>
    <w:rsid w:val="0075703C"/>
    <w:rsid w:val="0075766D"/>
    <w:rsid w:val="00761300"/>
    <w:rsid w:val="00761648"/>
    <w:rsid w:val="00762306"/>
    <w:rsid w:val="00762C2C"/>
    <w:rsid w:val="00763BE4"/>
    <w:rsid w:val="00764BFB"/>
    <w:rsid w:val="007664FA"/>
    <w:rsid w:val="00766E08"/>
    <w:rsid w:val="007673E5"/>
    <w:rsid w:val="007674C6"/>
    <w:rsid w:val="007709B4"/>
    <w:rsid w:val="00770CE3"/>
    <w:rsid w:val="007717F4"/>
    <w:rsid w:val="00772D2B"/>
    <w:rsid w:val="007736F1"/>
    <w:rsid w:val="00773A00"/>
    <w:rsid w:val="007740AB"/>
    <w:rsid w:val="007745FC"/>
    <w:rsid w:val="00774862"/>
    <w:rsid w:val="00774C52"/>
    <w:rsid w:val="0077558F"/>
    <w:rsid w:val="007758BC"/>
    <w:rsid w:val="00775B4C"/>
    <w:rsid w:val="00777E38"/>
    <w:rsid w:val="00777EF4"/>
    <w:rsid w:val="00780222"/>
    <w:rsid w:val="00781458"/>
    <w:rsid w:val="00781A07"/>
    <w:rsid w:val="00782430"/>
    <w:rsid w:val="00782705"/>
    <w:rsid w:val="00783B25"/>
    <w:rsid w:val="00783DAF"/>
    <w:rsid w:val="00784254"/>
    <w:rsid w:val="00785579"/>
    <w:rsid w:val="00785F35"/>
    <w:rsid w:val="00786401"/>
    <w:rsid w:val="00786740"/>
    <w:rsid w:val="007872F8"/>
    <w:rsid w:val="0078770B"/>
    <w:rsid w:val="00787844"/>
    <w:rsid w:val="00787CE5"/>
    <w:rsid w:val="00790058"/>
    <w:rsid w:val="0079298E"/>
    <w:rsid w:val="007929B2"/>
    <w:rsid w:val="00795A54"/>
    <w:rsid w:val="0079651E"/>
    <w:rsid w:val="0079771F"/>
    <w:rsid w:val="00797F9E"/>
    <w:rsid w:val="007A03BB"/>
    <w:rsid w:val="007A0840"/>
    <w:rsid w:val="007A13A3"/>
    <w:rsid w:val="007A181B"/>
    <w:rsid w:val="007A19E4"/>
    <w:rsid w:val="007A1D27"/>
    <w:rsid w:val="007A26F4"/>
    <w:rsid w:val="007A492F"/>
    <w:rsid w:val="007A588C"/>
    <w:rsid w:val="007A5E3C"/>
    <w:rsid w:val="007A69BD"/>
    <w:rsid w:val="007A70D2"/>
    <w:rsid w:val="007B1284"/>
    <w:rsid w:val="007B1B47"/>
    <w:rsid w:val="007B1D66"/>
    <w:rsid w:val="007B364E"/>
    <w:rsid w:val="007B4186"/>
    <w:rsid w:val="007B57D5"/>
    <w:rsid w:val="007B5EBD"/>
    <w:rsid w:val="007B652A"/>
    <w:rsid w:val="007B728C"/>
    <w:rsid w:val="007B75E8"/>
    <w:rsid w:val="007B76CC"/>
    <w:rsid w:val="007B7CD0"/>
    <w:rsid w:val="007C1B25"/>
    <w:rsid w:val="007C1E67"/>
    <w:rsid w:val="007C20DE"/>
    <w:rsid w:val="007C2D78"/>
    <w:rsid w:val="007C30D0"/>
    <w:rsid w:val="007C3554"/>
    <w:rsid w:val="007C3C6C"/>
    <w:rsid w:val="007C4075"/>
    <w:rsid w:val="007C5B2C"/>
    <w:rsid w:val="007C60A5"/>
    <w:rsid w:val="007C651B"/>
    <w:rsid w:val="007C6CAE"/>
    <w:rsid w:val="007D08CC"/>
    <w:rsid w:val="007D0E7F"/>
    <w:rsid w:val="007D11A3"/>
    <w:rsid w:val="007D14D3"/>
    <w:rsid w:val="007D17F8"/>
    <w:rsid w:val="007D2082"/>
    <w:rsid w:val="007D351B"/>
    <w:rsid w:val="007D3EA4"/>
    <w:rsid w:val="007D459A"/>
    <w:rsid w:val="007D4F1C"/>
    <w:rsid w:val="007D5836"/>
    <w:rsid w:val="007D7EED"/>
    <w:rsid w:val="007E0091"/>
    <w:rsid w:val="007E1169"/>
    <w:rsid w:val="007E192F"/>
    <w:rsid w:val="007E2C0C"/>
    <w:rsid w:val="007E2C96"/>
    <w:rsid w:val="007E2ECC"/>
    <w:rsid w:val="007E3659"/>
    <w:rsid w:val="007E5861"/>
    <w:rsid w:val="007E6F52"/>
    <w:rsid w:val="007F034A"/>
    <w:rsid w:val="007F0C70"/>
    <w:rsid w:val="007F1E7C"/>
    <w:rsid w:val="007F3137"/>
    <w:rsid w:val="007F481A"/>
    <w:rsid w:val="007F5133"/>
    <w:rsid w:val="007F53CF"/>
    <w:rsid w:val="007F704A"/>
    <w:rsid w:val="00801B02"/>
    <w:rsid w:val="00802642"/>
    <w:rsid w:val="00802B18"/>
    <w:rsid w:val="00802BE7"/>
    <w:rsid w:val="008036E4"/>
    <w:rsid w:val="00803775"/>
    <w:rsid w:val="00803EEF"/>
    <w:rsid w:val="00803F20"/>
    <w:rsid w:val="00804A8B"/>
    <w:rsid w:val="00804B64"/>
    <w:rsid w:val="00805666"/>
    <w:rsid w:val="00807939"/>
    <w:rsid w:val="00807B58"/>
    <w:rsid w:val="0081048E"/>
    <w:rsid w:val="008113F9"/>
    <w:rsid w:val="008117F4"/>
    <w:rsid w:val="0081292E"/>
    <w:rsid w:val="00812AC5"/>
    <w:rsid w:val="00813008"/>
    <w:rsid w:val="00813F75"/>
    <w:rsid w:val="00814168"/>
    <w:rsid w:val="008173D1"/>
    <w:rsid w:val="00817FC7"/>
    <w:rsid w:val="00821A71"/>
    <w:rsid w:val="00823084"/>
    <w:rsid w:val="008236E8"/>
    <w:rsid w:val="00823A41"/>
    <w:rsid w:val="00823BF0"/>
    <w:rsid w:val="00824E07"/>
    <w:rsid w:val="0082534D"/>
    <w:rsid w:val="00826616"/>
    <w:rsid w:val="008276DF"/>
    <w:rsid w:val="00827CE0"/>
    <w:rsid w:val="0083085B"/>
    <w:rsid w:val="00830CEA"/>
    <w:rsid w:val="00831707"/>
    <w:rsid w:val="00832C08"/>
    <w:rsid w:val="0083344E"/>
    <w:rsid w:val="008336CE"/>
    <w:rsid w:val="00833992"/>
    <w:rsid w:val="00834C16"/>
    <w:rsid w:val="00834C54"/>
    <w:rsid w:val="0083516B"/>
    <w:rsid w:val="00835455"/>
    <w:rsid w:val="00836085"/>
    <w:rsid w:val="0083647F"/>
    <w:rsid w:val="00836645"/>
    <w:rsid w:val="00837A5D"/>
    <w:rsid w:val="00837BE6"/>
    <w:rsid w:val="00837ECB"/>
    <w:rsid w:val="0084018C"/>
    <w:rsid w:val="00840CED"/>
    <w:rsid w:val="00841092"/>
    <w:rsid w:val="00842078"/>
    <w:rsid w:val="00842408"/>
    <w:rsid w:val="008424B7"/>
    <w:rsid w:val="00844E58"/>
    <w:rsid w:val="0084556F"/>
    <w:rsid w:val="00845A00"/>
    <w:rsid w:val="00847F65"/>
    <w:rsid w:val="008515D0"/>
    <w:rsid w:val="00851691"/>
    <w:rsid w:val="00854207"/>
    <w:rsid w:val="0085517B"/>
    <w:rsid w:val="0085525F"/>
    <w:rsid w:val="00855A49"/>
    <w:rsid w:val="00856137"/>
    <w:rsid w:val="00857843"/>
    <w:rsid w:val="00857B5C"/>
    <w:rsid w:val="00860095"/>
    <w:rsid w:val="008601FC"/>
    <w:rsid w:val="00860752"/>
    <w:rsid w:val="008607BB"/>
    <w:rsid w:val="00860885"/>
    <w:rsid w:val="00860927"/>
    <w:rsid w:val="00861045"/>
    <w:rsid w:val="00862340"/>
    <w:rsid w:val="008623A2"/>
    <w:rsid w:val="0086254F"/>
    <w:rsid w:val="00863735"/>
    <w:rsid w:val="008647CB"/>
    <w:rsid w:val="00865258"/>
    <w:rsid w:val="00865C32"/>
    <w:rsid w:val="00866587"/>
    <w:rsid w:val="00866C65"/>
    <w:rsid w:val="00867662"/>
    <w:rsid w:val="00867AE7"/>
    <w:rsid w:val="0087056B"/>
    <w:rsid w:val="00870A7A"/>
    <w:rsid w:val="0087110A"/>
    <w:rsid w:val="008713D3"/>
    <w:rsid w:val="00871B68"/>
    <w:rsid w:val="008726D3"/>
    <w:rsid w:val="00873819"/>
    <w:rsid w:val="00873B4F"/>
    <w:rsid w:val="008745F0"/>
    <w:rsid w:val="00876401"/>
    <w:rsid w:val="00876E4E"/>
    <w:rsid w:val="008774D9"/>
    <w:rsid w:val="008800EE"/>
    <w:rsid w:val="00880108"/>
    <w:rsid w:val="008807D6"/>
    <w:rsid w:val="00881082"/>
    <w:rsid w:val="00883AB6"/>
    <w:rsid w:val="00884E4C"/>
    <w:rsid w:val="00885498"/>
    <w:rsid w:val="00885F21"/>
    <w:rsid w:val="00885F48"/>
    <w:rsid w:val="00886029"/>
    <w:rsid w:val="00886655"/>
    <w:rsid w:val="00886EFF"/>
    <w:rsid w:val="00887C2C"/>
    <w:rsid w:val="0089007E"/>
    <w:rsid w:val="00891716"/>
    <w:rsid w:val="00891964"/>
    <w:rsid w:val="00892F0C"/>
    <w:rsid w:val="0089386E"/>
    <w:rsid w:val="008939E8"/>
    <w:rsid w:val="00894D64"/>
    <w:rsid w:val="00895099"/>
    <w:rsid w:val="00895F44"/>
    <w:rsid w:val="0089622D"/>
    <w:rsid w:val="008969FB"/>
    <w:rsid w:val="00896E85"/>
    <w:rsid w:val="00897C9E"/>
    <w:rsid w:val="00897CE2"/>
    <w:rsid w:val="008A0DFF"/>
    <w:rsid w:val="008A1517"/>
    <w:rsid w:val="008A1C08"/>
    <w:rsid w:val="008A21ED"/>
    <w:rsid w:val="008A2FDE"/>
    <w:rsid w:val="008A4441"/>
    <w:rsid w:val="008A5CB9"/>
    <w:rsid w:val="008A5F73"/>
    <w:rsid w:val="008A611F"/>
    <w:rsid w:val="008A7DAC"/>
    <w:rsid w:val="008B120E"/>
    <w:rsid w:val="008B1219"/>
    <w:rsid w:val="008B229B"/>
    <w:rsid w:val="008B4672"/>
    <w:rsid w:val="008B5C39"/>
    <w:rsid w:val="008B6059"/>
    <w:rsid w:val="008B7541"/>
    <w:rsid w:val="008B76BF"/>
    <w:rsid w:val="008C04E2"/>
    <w:rsid w:val="008C0E54"/>
    <w:rsid w:val="008C0FE2"/>
    <w:rsid w:val="008C10CC"/>
    <w:rsid w:val="008C11AE"/>
    <w:rsid w:val="008C256B"/>
    <w:rsid w:val="008C3236"/>
    <w:rsid w:val="008C3557"/>
    <w:rsid w:val="008C37D3"/>
    <w:rsid w:val="008C574D"/>
    <w:rsid w:val="008C5C48"/>
    <w:rsid w:val="008C692D"/>
    <w:rsid w:val="008C73C7"/>
    <w:rsid w:val="008D071E"/>
    <w:rsid w:val="008D0F81"/>
    <w:rsid w:val="008D15CF"/>
    <w:rsid w:val="008D2139"/>
    <w:rsid w:val="008D39B3"/>
    <w:rsid w:val="008D42A9"/>
    <w:rsid w:val="008D42B6"/>
    <w:rsid w:val="008D469E"/>
    <w:rsid w:val="008D476A"/>
    <w:rsid w:val="008D4EA2"/>
    <w:rsid w:val="008D5502"/>
    <w:rsid w:val="008D5F68"/>
    <w:rsid w:val="008D68BD"/>
    <w:rsid w:val="008D6D89"/>
    <w:rsid w:val="008D75B6"/>
    <w:rsid w:val="008E0CBD"/>
    <w:rsid w:val="008E13A0"/>
    <w:rsid w:val="008E1EAC"/>
    <w:rsid w:val="008E22FB"/>
    <w:rsid w:val="008E2E7F"/>
    <w:rsid w:val="008E34DD"/>
    <w:rsid w:val="008E3CA9"/>
    <w:rsid w:val="008E5474"/>
    <w:rsid w:val="008E7B5C"/>
    <w:rsid w:val="008E7CAB"/>
    <w:rsid w:val="008F0B13"/>
    <w:rsid w:val="008F21E8"/>
    <w:rsid w:val="008F2B4D"/>
    <w:rsid w:val="008F44BC"/>
    <w:rsid w:val="008F4A68"/>
    <w:rsid w:val="008F53CE"/>
    <w:rsid w:val="008F54CA"/>
    <w:rsid w:val="008F594D"/>
    <w:rsid w:val="008F5A44"/>
    <w:rsid w:val="008F615D"/>
    <w:rsid w:val="008F7739"/>
    <w:rsid w:val="00900B33"/>
    <w:rsid w:val="00900B8B"/>
    <w:rsid w:val="00900BBD"/>
    <w:rsid w:val="00900F5D"/>
    <w:rsid w:val="00901DDE"/>
    <w:rsid w:val="00902845"/>
    <w:rsid w:val="00903615"/>
    <w:rsid w:val="009037FE"/>
    <w:rsid w:val="00903A0A"/>
    <w:rsid w:val="00903F25"/>
    <w:rsid w:val="00904DBD"/>
    <w:rsid w:val="00906D7D"/>
    <w:rsid w:val="00907316"/>
    <w:rsid w:val="00907C68"/>
    <w:rsid w:val="00907E4F"/>
    <w:rsid w:val="00910952"/>
    <w:rsid w:val="00910E91"/>
    <w:rsid w:val="00912037"/>
    <w:rsid w:val="00912F76"/>
    <w:rsid w:val="0091347A"/>
    <w:rsid w:val="00915460"/>
    <w:rsid w:val="009162CB"/>
    <w:rsid w:val="00916368"/>
    <w:rsid w:val="00916817"/>
    <w:rsid w:val="009171E9"/>
    <w:rsid w:val="0091793E"/>
    <w:rsid w:val="009179DA"/>
    <w:rsid w:val="00917C40"/>
    <w:rsid w:val="009206A9"/>
    <w:rsid w:val="00920CD2"/>
    <w:rsid w:val="009211A1"/>
    <w:rsid w:val="00921ABB"/>
    <w:rsid w:val="009222ED"/>
    <w:rsid w:val="009225A6"/>
    <w:rsid w:val="009245C0"/>
    <w:rsid w:val="00924D4E"/>
    <w:rsid w:val="00924E2B"/>
    <w:rsid w:val="00925F1E"/>
    <w:rsid w:val="00926D0D"/>
    <w:rsid w:val="0092716B"/>
    <w:rsid w:val="00927404"/>
    <w:rsid w:val="00927B8B"/>
    <w:rsid w:val="00930156"/>
    <w:rsid w:val="00930B6C"/>
    <w:rsid w:val="00931159"/>
    <w:rsid w:val="00931A36"/>
    <w:rsid w:val="0093278B"/>
    <w:rsid w:val="0093408B"/>
    <w:rsid w:val="009340C6"/>
    <w:rsid w:val="00934238"/>
    <w:rsid w:val="00934BF7"/>
    <w:rsid w:val="00934D94"/>
    <w:rsid w:val="009357F1"/>
    <w:rsid w:val="00935820"/>
    <w:rsid w:val="00935B1B"/>
    <w:rsid w:val="009360BA"/>
    <w:rsid w:val="009360C0"/>
    <w:rsid w:val="00936D3B"/>
    <w:rsid w:val="009370C7"/>
    <w:rsid w:val="00937690"/>
    <w:rsid w:val="00937B08"/>
    <w:rsid w:val="009403CE"/>
    <w:rsid w:val="0094111F"/>
    <w:rsid w:val="0094191A"/>
    <w:rsid w:val="00941FE4"/>
    <w:rsid w:val="0094207E"/>
    <w:rsid w:val="009420A9"/>
    <w:rsid w:val="009449C8"/>
    <w:rsid w:val="00944EAF"/>
    <w:rsid w:val="00945B0A"/>
    <w:rsid w:val="00946511"/>
    <w:rsid w:val="00946C60"/>
    <w:rsid w:val="00946E28"/>
    <w:rsid w:val="009473B1"/>
    <w:rsid w:val="00947FBD"/>
    <w:rsid w:val="009511D4"/>
    <w:rsid w:val="009520C2"/>
    <w:rsid w:val="00952EBB"/>
    <w:rsid w:val="009553D8"/>
    <w:rsid w:val="00955709"/>
    <w:rsid w:val="00955E53"/>
    <w:rsid w:val="009578F0"/>
    <w:rsid w:val="00957D09"/>
    <w:rsid w:val="00957FC8"/>
    <w:rsid w:val="0096052C"/>
    <w:rsid w:val="00961314"/>
    <w:rsid w:val="0096159B"/>
    <w:rsid w:val="00961758"/>
    <w:rsid w:val="00961CE5"/>
    <w:rsid w:val="009623A2"/>
    <w:rsid w:val="00962B37"/>
    <w:rsid w:val="00964416"/>
    <w:rsid w:val="009652F8"/>
    <w:rsid w:val="00965513"/>
    <w:rsid w:val="00965818"/>
    <w:rsid w:val="00965B48"/>
    <w:rsid w:val="0096633E"/>
    <w:rsid w:val="00970897"/>
    <w:rsid w:val="00971344"/>
    <w:rsid w:val="00973962"/>
    <w:rsid w:val="00973BA6"/>
    <w:rsid w:val="00973CC7"/>
    <w:rsid w:val="009776D5"/>
    <w:rsid w:val="00980749"/>
    <w:rsid w:val="009810C6"/>
    <w:rsid w:val="00981A25"/>
    <w:rsid w:val="00983571"/>
    <w:rsid w:val="00984451"/>
    <w:rsid w:val="00984C7A"/>
    <w:rsid w:val="00984D4B"/>
    <w:rsid w:val="00986115"/>
    <w:rsid w:val="00986655"/>
    <w:rsid w:val="00986C2B"/>
    <w:rsid w:val="00986FB0"/>
    <w:rsid w:val="009908AB"/>
    <w:rsid w:val="00990E39"/>
    <w:rsid w:val="009920E7"/>
    <w:rsid w:val="00992452"/>
    <w:rsid w:val="00993D19"/>
    <w:rsid w:val="00993DEC"/>
    <w:rsid w:val="00994142"/>
    <w:rsid w:val="00994722"/>
    <w:rsid w:val="009956C2"/>
    <w:rsid w:val="009959BA"/>
    <w:rsid w:val="0099630C"/>
    <w:rsid w:val="00996AEE"/>
    <w:rsid w:val="00997178"/>
    <w:rsid w:val="00997AE6"/>
    <w:rsid w:val="009A02B2"/>
    <w:rsid w:val="009A06A3"/>
    <w:rsid w:val="009A0786"/>
    <w:rsid w:val="009A0B3C"/>
    <w:rsid w:val="009A0B74"/>
    <w:rsid w:val="009A0CF6"/>
    <w:rsid w:val="009A24FF"/>
    <w:rsid w:val="009A4559"/>
    <w:rsid w:val="009A4EED"/>
    <w:rsid w:val="009A5116"/>
    <w:rsid w:val="009A53ED"/>
    <w:rsid w:val="009A5E6D"/>
    <w:rsid w:val="009A6D15"/>
    <w:rsid w:val="009A73FE"/>
    <w:rsid w:val="009A793C"/>
    <w:rsid w:val="009A7D6C"/>
    <w:rsid w:val="009B1B28"/>
    <w:rsid w:val="009B1EB7"/>
    <w:rsid w:val="009B24CA"/>
    <w:rsid w:val="009B277D"/>
    <w:rsid w:val="009B2894"/>
    <w:rsid w:val="009B2D7D"/>
    <w:rsid w:val="009B362A"/>
    <w:rsid w:val="009B3BFB"/>
    <w:rsid w:val="009B5024"/>
    <w:rsid w:val="009B6EB3"/>
    <w:rsid w:val="009C05E6"/>
    <w:rsid w:val="009C1164"/>
    <w:rsid w:val="009C13C5"/>
    <w:rsid w:val="009C1620"/>
    <w:rsid w:val="009C1AFF"/>
    <w:rsid w:val="009C1EC6"/>
    <w:rsid w:val="009C21EA"/>
    <w:rsid w:val="009C28B7"/>
    <w:rsid w:val="009C334A"/>
    <w:rsid w:val="009C3367"/>
    <w:rsid w:val="009C3C87"/>
    <w:rsid w:val="009C461F"/>
    <w:rsid w:val="009C4755"/>
    <w:rsid w:val="009C5521"/>
    <w:rsid w:val="009C6635"/>
    <w:rsid w:val="009D095B"/>
    <w:rsid w:val="009D0D04"/>
    <w:rsid w:val="009D138D"/>
    <w:rsid w:val="009D15DD"/>
    <w:rsid w:val="009D1D1A"/>
    <w:rsid w:val="009D2470"/>
    <w:rsid w:val="009D247B"/>
    <w:rsid w:val="009D2C86"/>
    <w:rsid w:val="009D3F76"/>
    <w:rsid w:val="009D4BF7"/>
    <w:rsid w:val="009D54B5"/>
    <w:rsid w:val="009E0E57"/>
    <w:rsid w:val="009E1DBD"/>
    <w:rsid w:val="009E35E8"/>
    <w:rsid w:val="009E44CC"/>
    <w:rsid w:val="009E4941"/>
    <w:rsid w:val="009E4989"/>
    <w:rsid w:val="009E4DF8"/>
    <w:rsid w:val="009E5E65"/>
    <w:rsid w:val="009E6A61"/>
    <w:rsid w:val="009E6EAE"/>
    <w:rsid w:val="009E790F"/>
    <w:rsid w:val="009E7AE6"/>
    <w:rsid w:val="009F007D"/>
    <w:rsid w:val="009F1F0A"/>
    <w:rsid w:val="009F20C3"/>
    <w:rsid w:val="009F241F"/>
    <w:rsid w:val="009F2B94"/>
    <w:rsid w:val="009F3178"/>
    <w:rsid w:val="009F38B2"/>
    <w:rsid w:val="009F43BD"/>
    <w:rsid w:val="009F443A"/>
    <w:rsid w:val="009F4E92"/>
    <w:rsid w:val="009F4F81"/>
    <w:rsid w:val="009F5D52"/>
    <w:rsid w:val="009F6112"/>
    <w:rsid w:val="00A0016D"/>
    <w:rsid w:val="00A002CA"/>
    <w:rsid w:val="00A0045B"/>
    <w:rsid w:val="00A00D01"/>
    <w:rsid w:val="00A00E95"/>
    <w:rsid w:val="00A0125D"/>
    <w:rsid w:val="00A01639"/>
    <w:rsid w:val="00A02A44"/>
    <w:rsid w:val="00A032C2"/>
    <w:rsid w:val="00A03696"/>
    <w:rsid w:val="00A04082"/>
    <w:rsid w:val="00A04565"/>
    <w:rsid w:val="00A04F58"/>
    <w:rsid w:val="00A0523D"/>
    <w:rsid w:val="00A057A2"/>
    <w:rsid w:val="00A06075"/>
    <w:rsid w:val="00A06B78"/>
    <w:rsid w:val="00A07704"/>
    <w:rsid w:val="00A11B10"/>
    <w:rsid w:val="00A11BBB"/>
    <w:rsid w:val="00A11D83"/>
    <w:rsid w:val="00A12569"/>
    <w:rsid w:val="00A1296A"/>
    <w:rsid w:val="00A12B9A"/>
    <w:rsid w:val="00A12F72"/>
    <w:rsid w:val="00A13024"/>
    <w:rsid w:val="00A13EE3"/>
    <w:rsid w:val="00A14124"/>
    <w:rsid w:val="00A14346"/>
    <w:rsid w:val="00A14B8F"/>
    <w:rsid w:val="00A14E5F"/>
    <w:rsid w:val="00A151C1"/>
    <w:rsid w:val="00A16A33"/>
    <w:rsid w:val="00A172D4"/>
    <w:rsid w:val="00A17D57"/>
    <w:rsid w:val="00A227D5"/>
    <w:rsid w:val="00A22A0C"/>
    <w:rsid w:val="00A22E33"/>
    <w:rsid w:val="00A23542"/>
    <w:rsid w:val="00A23C87"/>
    <w:rsid w:val="00A23E90"/>
    <w:rsid w:val="00A23FAE"/>
    <w:rsid w:val="00A24213"/>
    <w:rsid w:val="00A24771"/>
    <w:rsid w:val="00A248A6"/>
    <w:rsid w:val="00A25141"/>
    <w:rsid w:val="00A25777"/>
    <w:rsid w:val="00A261EB"/>
    <w:rsid w:val="00A26691"/>
    <w:rsid w:val="00A26CAC"/>
    <w:rsid w:val="00A272F7"/>
    <w:rsid w:val="00A2788F"/>
    <w:rsid w:val="00A27F55"/>
    <w:rsid w:val="00A30B4E"/>
    <w:rsid w:val="00A31457"/>
    <w:rsid w:val="00A32F8C"/>
    <w:rsid w:val="00A33470"/>
    <w:rsid w:val="00A33697"/>
    <w:rsid w:val="00A33EB8"/>
    <w:rsid w:val="00A34A2D"/>
    <w:rsid w:val="00A35113"/>
    <w:rsid w:val="00A354BE"/>
    <w:rsid w:val="00A357C4"/>
    <w:rsid w:val="00A35FAB"/>
    <w:rsid w:val="00A36248"/>
    <w:rsid w:val="00A369FD"/>
    <w:rsid w:val="00A37695"/>
    <w:rsid w:val="00A401E0"/>
    <w:rsid w:val="00A40F69"/>
    <w:rsid w:val="00A4101B"/>
    <w:rsid w:val="00A4175A"/>
    <w:rsid w:val="00A42876"/>
    <w:rsid w:val="00A42B45"/>
    <w:rsid w:val="00A42E03"/>
    <w:rsid w:val="00A43233"/>
    <w:rsid w:val="00A45679"/>
    <w:rsid w:val="00A45F65"/>
    <w:rsid w:val="00A50554"/>
    <w:rsid w:val="00A508E4"/>
    <w:rsid w:val="00A513C5"/>
    <w:rsid w:val="00A521B6"/>
    <w:rsid w:val="00A522C8"/>
    <w:rsid w:val="00A52368"/>
    <w:rsid w:val="00A529AB"/>
    <w:rsid w:val="00A53AA7"/>
    <w:rsid w:val="00A53C2F"/>
    <w:rsid w:val="00A5426B"/>
    <w:rsid w:val="00A54575"/>
    <w:rsid w:val="00A55AFB"/>
    <w:rsid w:val="00A569AB"/>
    <w:rsid w:val="00A56C9E"/>
    <w:rsid w:val="00A56D80"/>
    <w:rsid w:val="00A576C5"/>
    <w:rsid w:val="00A57E59"/>
    <w:rsid w:val="00A601F1"/>
    <w:rsid w:val="00A611F7"/>
    <w:rsid w:val="00A61389"/>
    <w:rsid w:val="00A62CED"/>
    <w:rsid w:val="00A6346F"/>
    <w:rsid w:val="00A642A0"/>
    <w:rsid w:val="00A644C0"/>
    <w:rsid w:val="00A644D1"/>
    <w:rsid w:val="00A646AA"/>
    <w:rsid w:val="00A6732F"/>
    <w:rsid w:val="00A67A07"/>
    <w:rsid w:val="00A67E5E"/>
    <w:rsid w:val="00A70717"/>
    <w:rsid w:val="00A70775"/>
    <w:rsid w:val="00A71DFE"/>
    <w:rsid w:val="00A725DA"/>
    <w:rsid w:val="00A72E35"/>
    <w:rsid w:val="00A734B7"/>
    <w:rsid w:val="00A75302"/>
    <w:rsid w:val="00A76229"/>
    <w:rsid w:val="00A777B7"/>
    <w:rsid w:val="00A77E46"/>
    <w:rsid w:val="00A81478"/>
    <w:rsid w:val="00A823AF"/>
    <w:rsid w:val="00A82B3B"/>
    <w:rsid w:val="00A82E8F"/>
    <w:rsid w:val="00A83351"/>
    <w:rsid w:val="00A83FB3"/>
    <w:rsid w:val="00A84A16"/>
    <w:rsid w:val="00A855A4"/>
    <w:rsid w:val="00A85C42"/>
    <w:rsid w:val="00A85E07"/>
    <w:rsid w:val="00A86548"/>
    <w:rsid w:val="00A9023B"/>
    <w:rsid w:val="00A908AC"/>
    <w:rsid w:val="00A912D6"/>
    <w:rsid w:val="00A915D7"/>
    <w:rsid w:val="00A91A45"/>
    <w:rsid w:val="00A91FB1"/>
    <w:rsid w:val="00A92CF3"/>
    <w:rsid w:val="00A930EB"/>
    <w:rsid w:val="00A9347C"/>
    <w:rsid w:val="00A94174"/>
    <w:rsid w:val="00A958ED"/>
    <w:rsid w:val="00A96002"/>
    <w:rsid w:val="00A9625C"/>
    <w:rsid w:val="00A9674C"/>
    <w:rsid w:val="00AA001F"/>
    <w:rsid w:val="00AA0783"/>
    <w:rsid w:val="00AA1871"/>
    <w:rsid w:val="00AA1CB8"/>
    <w:rsid w:val="00AA336F"/>
    <w:rsid w:val="00AA3404"/>
    <w:rsid w:val="00AA3417"/>
    <w:rsid w:val="00AA406D"/>
    <w:rsid w:val="00AA59E8"/>
    <w:rsid w:val="00AA6755"/>
    <w:rsid w:val="00AA6B1C"/>
    <w:rsid w:val="00AA6E61"/>
    <w:rsid w:val="00AA7699"/>
    <w:rsid w:val="00AB29AC"/>
    <w:rsid w:val="00AB465A"/>
    <w:rsid w:val="00AB5D25"/>
    <w:rsid w:val="00AB642B"/>
    <w:rsid w:val="00AB69E0"/>
    <w:rsid w:val="00AB6B78"/>
    <w:rsid w:val="00AB7D8C"/>
    <w:rsid w:val="00AC0118"/>
    <w:rsid w:val="00AC063F"/>
    <w:rsid w:val="00AC1D1D"/>
    <w:rsid w:val="00AC1F5B"/>
    <w:rsid w:val="00AC26C8"/>
    <w:rsid w:val="00AC27FC"/>
    <w:rsid w:val="00AC2DF1"/>
    <w:rsid w:val="00AC432B"/>
    <w:rsid w:val="00AC4909"/>
    <w:rsid w:val="00AC5B31"/>
    <w:rsid w:val="00AC64EF"/>
    <w:rsid w:val="00AC66B0"/>
    <w:rsid w:val="00AC6AB0"/>
    <w:rsid w:val="00AC6D13"/>
    <w:rsid w:val="00AD0339"/>
    <w:rsid w:val="00AD0B49"/>
    <w:rsid w:val="00AD0E6D"/>
    <w:rsid w:val="00AD1FEC"/>
    <w:rsid w:val="00AD3059"/>
    <w:rsid w:val="00AD3F21"/>
    <w:rsid w:val="00AD40E6"/>
    <w:rsid w:val="00AD50B2"/>
    <w:rsid w:val="00AD5FEA"/>
    <w:rsid w:val="00AD760C"/>
    <w:rsid w:val="00AE08B3"/>
    <w:rsid w:val="00AE2010"/>
    <w:rsid w:val="00AE3131"/>
    <w:rsid w:val="00AE338D"/>
    <w:rsid w:val="00AE346B"/>
    <w:rsid w:val="00AE3549"/>
    <w:rsid w:val="00AE4864"/>
    <w:rsid w:val="00AE623C"/>
    <w:rsid w:val="00AE6978"/>
    <w:rsid w:val="00AE70EE"/>
    <w:rsid w:val="00AE73E6"/>
    <w:rsid w:val="00AE7F66"/>
    <w:rsid w:val="00AF1107"/>
    <w:rsid w:val="00AF11BE"/>
    <w:rsid w:val="00AF1568"/>
    <w:rsid w:val="00AF1880"/>
    <w:rsid w:val="00AF189D"/>
    <w:rsid w:val="00AF1E05"/>
    <w:rsid w:val="00AF2173"/>
    <w:rsid w:val="00AF2F61"/>
    <w:rsid w:val="00AF34E5"/>
    <w:rsid w:val="00AF497D"/>
    <w:rsid w:val="00AF693E"/>
    <w:rsid w:val="00AF6A00"/>
    <w:rsid w:val="00AF77B8"/>
    <w:rsid w:val="00B00024"/>
    <w:rsid w:val="00B003DF"/>
    <w:rsid w:val="00B00BCB"/>
    <w:rsid w:val="00B0130E"/>
    <w:rsid w:val="00B01C10"/>
    <w:rsid w:val="00B02010"/>
    <w:rsid w:val="00B03385"/>
    <w:rsid w:val="00B04A6D"/>
    <w:rsid w:val="00B04B86"/>
    <w:rsid w:val="00B054E1"/>
    <w:rsid w:val="00B06798"/>
    <w:rsid w:val="00B06AC2"/>
    <w:rsid w:val="00B079CD"/>
    <w:rsid w:val="00B1048E"/>
    <w:rsid w:val="00B1264D"/>
    <w:rsid w:val="00B12F3A"/>
    <w:rsid w:val="00B13056"/>
    <w:rsid w:val="00B1395F"/>
    <w:rsid w:val="00B15A72"/>
    <w:rsid w:val="00B1647B"/>
    <w:rsid w:val="00B17FBE"/>
    <w:rsid w:val="00B20A33"/>
    <w:rsid w:val="00B232D5"/>
    <w:rsid w:val="00B23456"/>
    <w:rsid w:val="00B247A3"/>
    <w:rsid w:val="00B25263"/>
    <w:rsid w:val="00B257E5"/>
    <w:rsid w:val="00B258A5"/>
    <w:rsid w:val="00B25B1E"/>
    <w:rsid w:val="00B26694"/>
    <w:rsid w:val="00B268A6"/>
    <w:rsid w:val="00B26B87"/>
    <w:rsid w:val="00B279D3"/>
    <w:rsid w:val="00B318B5"/>
    <w:rsid w:val="00B31DBF"/>
    <w:rsid w:val="00B32884"/>
    <w:rsid w:val="00B32A91"/>
    <w:rsid w:val="00B3300C"/>
    <w:rsid w:val="00B34358"/>
    <w:rsid w:val="00B35B1F"/>
    <w:rsid w:val="00B35F3C"/>
    <w:rsid w:val="00B3665A"/>
    <w:rsid w:val="00B36DF8"/>
    <w:rsid w:val="00B37421"/>
    <w:rsid w:val="00B42900"/>
    <w:rsid w:val="00B42A0C"/>
    <w:rsid w:val="00B43EBA"/>
    <w:rsid w:val="00B441B1"/>
    <w:rsid w:val="00B44AF9"/>
    <w:rsid w:val="00B44E0A"/>
    <w:rsid w:val="00B451DA"/>
    <w:rsid w:val="00B45760"/>
    <w:rsid w:val="00B45AB3"/>
    <w:rsid w:val="00B461FE"/>
    <w:rsid w:val="00B46B0D"/>
    <w:rsid w:val="00B46CA4"/>
    <w:rsid w:val="00B46D5F"/>
    <w:rsid w:val="00B47937"/>
    <w:rsid w:val="00B47AFC"/>
    <w:rsid w:val="00B50511"/>
    <w:rsid w:val="00B50E91"/>
    <w:rsid w:val="00B514D8"/>
    <w:rsid w:val="00B51B0D"/>
    <w:rsid w:val="00B520C4"/>
    <w:rsid w:val="00B52669"/>
    <w:rsid w:val="00B545E2"/>
    <w:rsid w:val="00B561D4"/>
    <w:rsid w:val="00B56469"/>
    <w:rsid w:val="00B56D3B"/>
    <w:rsid w:val="00B56EE8"/>
    <w:rsid w:val="00B5718E"/>
    <w:rsid w:val="00B577B8"/>
    <w:rsid w:val="00B57965"/>
    <w:rsid w:val="00B579A0"/>
    <w:rsid w:val="00B579D3"/>
    <w:rsid w:val="00B607E7"/>
    <w:rsid w:val="00B608BC"/>
    <w:rsid w:val="00B608E1"/>
    <w:rsid w:val="00B60DA7"/>
    <w:rsid w:val="00B61823"/>
    <w:rsid w:val="00B62738"/>
    <w:rsid w:val="00B62DF7"/>
    <w:rsid w:val="00B6386B"/>
    <w:rsid w:val="00B6393B"/>
    <w:rsid w:val="00B64137"/>
    <w:rsid w:val="00B64A4C"/>
    <w:rsid w:val="00B64F23"/>
    <w:rsid w:val="00B6692E"/>
    <w:rsid w:val="00B67D85"/>
    <w:rsid w:val="00B7020F"/>
    <w:rsid w:val="00B71A85"/>
    <w:rsid w:val="00B725E9"/>
    <w:rsid w:val="00B726E8"/>
    <w:rsid w:val="00B73101"/>
    <w:rsid w:val="00B733CD"/>
    <w:rsid w:val="00B74470"/>
    <w:rsid w:val="00B74799"/>
    <w:rsid w:val="00B74ED4"/>
    <w:rsid w:val="00B75F23"/>
    <w:rsid w:val="00B75FD0"/>
    <w:rsid w:val="00B77094"/>
    <w:rsid w:val="00B77B82"/>
    <w:rsid w:val="00B77F32"/>
    <w:rsid w:val="00B80D25"/>
    <w:rsid w:val="00B815B3"/>
    <w:rsid w:val="00B81C9B"/>
    <w:rsid w:val="00B81D70"/>
    <w:rsid w:val="00B81E23"/>
    <w:rsid w:val="00B82B7E"/>
    <w:rsid w:val="00B833C0"/>
    <w:rsid w:val="00B83A9D"/>
    <w:rsid w:val="00B83EDD"/>
    <w:rsid w:val="00B844BD"/>
    <w:rsid w:val="00B846FB"/>
    <w:rsid w:val="00B85B98"/>
    <w:rsid w:val="00B85C53"/>
    <w:rsid w:val="00B86392"/>
    <w:rsid w:val="00B8677D"/>
    <w:rsid w:val="00B86ADB"/>
    <w:rsid w:val="00B872E2"/>
    <w:rsid w:val="00B87949"/>
    <w:rsid w:val="00B9013A"/>
    <w:rsid w:val="00B904B4"/>
    <w:rsid w:val="00B925F4"/>
    <w:rsid w:val="00B92EF0"/>
    <w:rsid w:val="00B9466E"/>
    <w:rsid w:val="00B966B0"/>
    <w:rsid w:val="00B9760B"/>
    <w:rsid w:val="00BA025E"/>
    <w:rsid w:val="00BA131A"/>
    <w:rsid w:val="00BA1FA9"/>
    <w:rsid w:val="00BA233F"/>
    <w:rsid w:val="00BA2AAA"/>
    <w:rsid w:val="00BA2BF9"/>
    <w:rsid w:val="00BA3CF4"/>
    <w:rsid w:val="00BA4043"/>
    <w:rsid w:val="00BA4272"/>
    <w:rsid w:val="00BA43C8"/>
    <w:rsid w:val="00BA43FE"/>
    <w:rsid w:val="00BA476E"/>
    <w:rsid w:val="00BA7D50"/>
    <w:rsid w:val="00BB03F1"/>
    <w:rsid w:val="00BB0B01"/>
    <w:rsid w:val="00BB0DE3"/>
    <w:rsid w:val="00BB1F49"/>
    <w:rsid w:val="00BB24F8"/>
    <w:rsid w:val="00BB4B24"/>
    <w:rsid w:val="00BB6082"/>
    <w:rsid w:val="00BC019C"/>
    <w:rsid w:val="00BC17A0"/>
    <w:rsid w:val="00BC24DC"/>
    <w:rsid w:val="00BC2842"/>
    <w:rsid w:val="00BC2A21"/>
    <w:rsid w:val="00BC2B81"/>
    <w:rsid w:val="00BC3D29"/>
    <w:rsid w:val="00BC407A"/>
    <w:rsid w:val="00BC410D"/>
    <w:rsid w:val="00BC549C"/>
    <w:rsid w:val="00BC6929"/>
    <w:rsid w:val="00BC75F3"/>
    <w:rsid w:val="00BC7A33"/>
    <w:rsid w:val="00BD1661"/>
    <w:rsid w:val="00BD1CA9"/>
    <w:rsid w:val="00BD21B2"/>
    <w:rsid w:val="00BD28AA"/>
    <w:rsid w:val="00BD2B83"/>
    <w:rsid w:val="00BD2CBB"/>
    <w:rsid w:val="00BD3855"/>
    <w:rsid w:val="00BD3EEF"/>
    <w:rsid w:val="00BD53E9"/>
    <w:rsid w:val="00BD5B4F"/>
    <w:rsid w:val="00BD6865"/>
    <w:rsid w:val="00BD788F"/>
    <w:rsid w:val="00BD7C57"/>
    <w:rsid w:val="00BD7E64"/>
    <w:rsid w:val="00BD7E76"/>
    <w:rsid w:val="00BE08E3"/>
    <w:rsid w:val="00BE09E7"/>
    <w:rsid w:val="00BE0B3B"/>
    <w:rsid w:val="00BE0C40"/>
    <w:rsid w:val="00BE0F6D"/>
    <w:rsid w:val="00BE1696"/>
    <w:rsid w:val="00BE2943"/>
    <w:rsid w:val="00BE3B02"/>
    <w:rsid w:val="00BE4B38"/>
    <w:rsid w:val="00BE5283"/>
    <w:rsid w:val="00BE531E"/>
    <w:rsid w:val="00BE545B"/>
    <w:rsid w:val="00BE557A"/>
    <w:rsid w:val="00BE6E96"/>
    <w:rsid w:val="00BE707C"/>
    <w:rsid w:val="00BE7F74"/>
    <w:rsid w:val="00BF0104"/>
    <w:rsid w:val="00BF0AE5"/>
    <w:rsid w:val="00BF141F"/>
    <w:rsid w:val="00BF1577"/>
    <w:rsid w:val="00BF3792"/>
    <w:rsid w:val="00BF4169"/>
    <w:rsid w:val="00BF49C9"/>
    <w:rsid w:val="00BF5008"/>
    <w:rsid w:val="00BF5533"/>
    <w:rsid w:val="00BF5FF6"/>
    <w:rsid w:val="00BF6710"/>
    <w:rsid w:val="00BF6D03"/>
    <w:rsid w:val="00BF7023"/>
    <w:rsid w:val="00C0025A"/>
    <w:rsid w:val="00C018FD"/>
    <w:rsid w:val="00C02022"/>
    <w:rsid w:val="00C02E77"/>
    <w:rsid w:val="00C035DD"/>
    <w:rsid w:val="00C0383E"/>
    <w:rsid w:val="00C04104"/>
    <w:rsid w:val="00C0492C"/>
    <w:rsid w:val="00C04C57"/>
    <w:rsid w:val="00C051F2"/>
    <w:rsid w:val="00C055CD"/>
    <w:rsid w:val="00C0590E"/>
    <w:rsid w:val="00C06647"/>
    <w:rsid w:val="00C1026B"/>
    <w:rsid w:val="00C11AC1"/>
    <w:rsid w:val="00C11BFE"/>
    <w:rsid w:val="00C1225F"/>
    <w:rsid w:val="00C12382"/>
    <w:rsid w:val="00C123B9"/>
    <w:rsid w:val="00C12FD2"/>
    <w:rsid w:val="00C13866"/>
    <w:rsid w:val="00C13942"/>
    <w:rsid w:val="00C13EB6"/>
    <w:rsid w:val="00C13F91"/>
    <w:rsid w:val="00C1406D"/>
    <w:rsid w:val="00C14556"/>
    <w:rsid w:val="00C15619"/>
    <w:rsid w:val="00C16DD8"/>
    <w:rsid w:val="00C16E3A"/>
    <w:rsid w:val="00C172F2"/>
    <w:rsid w:val="00C175E1"/>
    <w:rsid w:val="00C17C09"/>
    <w:rsid w:val="00C20165"/>
    <w:rsid w:val="00C2023E"/>
    <w:rsid w:val="00C207E2"/>
    <w:rsid w:val="00C21218"/>
    <w:rsid w:val="00C2272A"/>
    <w:rsid w:val="00C22A40"/>
    <w:rsid w:val="00C23084"/>
    <w:rsid w:val="00C244E2"/>
    <w:rsid w:val="00C258BC"/>
    <w:rsid w:val="00C25E1F"/>
    <w:rsid w:val="00C264CF"/>
    <w:rsid w:val="00C27639"/>
    <w:rsid w:val="00C30252"/>
    <w:rsid w:val="00C30EE3"/>
    <w:rsid w:val="00C31341"/>
    <w:rsid w:val="00C33729"/>
    <w:rsid w:val="00C33B9B"/>
    <w:rsid w:val="00C33CFD"/>
    <w:rsid w:val="00C34045"/>
    <w:rsid w:val="00C3543B"/>
    <w:rsid w:val="00C35860"/>
    <w:rsid w:val="00C35B96"/>
    <w:rsid w:val="00C35EF3"/>
    <w:rsid w:val="00C3626E"/>
    <w:rsid w:val="00C3649C"/>
    <w:rsid w:val="00C36F05"/>
    <w:rsid w:val="00C375A3"/>
    <w:rsid w:val="00C3787A"/>
    <w:rsid w:val="00C3796E"/>
    <w:rsid w:val="00C37BC1"/>
    <w:rsid w:val="00C40CF6"/>
    <w:rsid w:val="00C4143E"/>
    <w:rsid w:val="00C415B2"/>
    <w:rsid w:val="00C41751"/>
    <w:rsid w:val="00C41B7E"/>
    <w:rsid w:val="00C44579"/>
    <w:rsid w:val="00C45879"/>
    <w:rsid w:val="00C45BD5"/>
    <w:rsid w:val="00C46D9D"/>
    <w:rsid w:val="00C50A8D"/>
    <w:rsid w:val="00C50C60"/>
    <w:rsid w:val="00C52280"/>
    <w:rsid w:val="00C5293B"/>
    <w:rsid w:val="00C53145"/>
    <w:rsid w:val="00C54FCE"/>
    <w:rsid w:val="00C55073"/>
    <w:rsid w:val="00C5626E"/>
    <w:rsid w:val="00C564E2"/>
    <w:rsid w:val="00C565B0"/>
    <w:rsid w:val="00C5680F"/>
    <w:rsid w:val="00C568E5"/>
    <w:rsid w:val="00C578D9"/>
    <w:rsid w:val="00C57971"/>
    <w:rsid w:val="00C57E0C"/>
    <w:rsid w:val="00C603A1"/>
    <w:rsid w:val="00C60F41"/>
    <w:rsid w:val="00C6219A"/>
    <w:rsid w:val="00C62A86"/>
    <w:rsid w:val="00C63F2C"/>
    <w:rsid w:val="00C648D8"/>
    <w:rsid w:val="00C654ED"/>
    <w:rsid w:val="00C65AE4"/>
    <w:rsid w:val="00C66729"/>
    <w:rsid w:val="00C673CB"/>
    <w:rsid w:val="00C67832"/>
    <w:rsid w:val="00C71677"/>
    <w:rsid w:val="00C72EF5"/>
    <w:rsid w:val="00C748BD"/>
    <w:rsid w:val="00C7527A"/>
    <w:rsid w:val="00C75DF4"/>
    <w:rsid w:val="00C761DA"/>
    <w:rsid w:val="00C7679D"/>
    <w:rsid w:val="00C76BA7"/>
    <w:rsid w:val="00C76C7F"/>
    <w:rsid w:val="00C77376"/>
    <w:rsid w:val="00C7757B"/>
    <w:rsid w:val="00C77664"/>
    <w:rsid w:val="00C778FA"/>
    <w:rsid w:val="00C810A4"/>
    <w:rsid w:val="00C81ADC"/>
    <w:rsid w:val="00C81E5A"/>
    <w:rsid w:val="00C8285D"/>
    <w:rsid w:val="00C82B0B"/>
    <w:rsid w:val="00C83056"/>
    <w:rsid w:val="00C8320C"/>
    <w:rsid w:val="00C837E1"/>
    <w:rsid w:val="00C83D40"/>
    <w:rsid w:val="00C852FB"/>
    <w:rsid w:val="00C85D92"/>
    <w:rsid w:val="00C8693E"/>
    <w:rsid w:val="00C86A02"/>
    <w:rsid w:val="00C86EA1"/>
    <w:rsid w:val="00C86EF5"/>
    <w:rsid w:val="00C87A9E"/>
    <w:rsid w:val="00C87D27"/>
    <w:rsid w:val="00C90D5C"/>
    <w:rsid w:val="00C90FF8"/>
    <w:rsid w:val="00C91A93"/>
    <w:rsid w:val="00C91E2B"/>
    <w:rsid w:val="00C92E9D"/>
    <w:rsid w:val="00C9338A"/>
    <w:rsid w:val="00C94F3E"/>
    <w:rsid w:val="00C94FA7"/>
    <w:rsid w:val="00C9518F"/>
    <w:rsid w:val="00C961BF"/>
    <w:rsid w:val="00C9702E"/>
    <w:rsid w:val="00C97231"/>
    <w:rsid w:val="00C97780"/>
    <w:rsid w:val="00C97952"/>
    <w:rsid w:val="00C97C57"/>
    <w:rsid w:val="00C97D57"/>
    <w:rsid w:val="00C97DC5"/>
    <w:rsid w:val="00CA0452"/>
    <w:rsid w:val="00CA11EE"/>
    <w:rsid w:val="00CA206F"/>
    <w:rsid w:val="00CA258A"/>
    <w:rsid w:val="00CA2B7B"/>
    <w:rsid w:val="00CA3D71"/>
    <w:rsid w:val="00CA4D82"/>
    <w:rsid w:val="00CA5457"/>
    <w:rsid w:val="00CA6E36"/>
    <w:rsid w:val="00CA7765"/>
    <w:rsid w:val="00CB10DD"/>
    <w:rsid w:val="00CB1129"/>
    <w:rsid w:val="00CB13BF"/>
    <w:rsid w:val="00CB16AD"/>
    <w:rsid w:val="00CB2775"/>
    <w:rsid w:val="00CB2ADE"/>
    <w:rsid w:val="00CB2DE2"/>
    <w:rsid w:val="00CB2F09"/>
    <w:rsid w:val="00CB2FBF"/>
    <w:rsid w:val="00CB321B"/>
    <w:rsid w:val="00CB33B3"/>
    <w:rsid w:val="00CB4D37"/>
    <w:rsid w:val="00CB5309"/>
    <w:rsid w:val="00CB6B8E"/>
    <w:rsid w:val="00CB6CFE"/>
    <w:rsid w:val="00CB717E"/>
    <w:rsid w:val="00CB77B0"/>
    <w:rsid w:val="00CB7FF9"/>
    <w:rsid w:val="00CC0284"/>
    <w:rsid w:val="00CC034D"/>
    <w:rsid w:val="00CC0982"/>
    <w:rsid w:val="00CC21C5"/>
    <w:rsid w:val="00CC22DC"/>
    <w:rsid w:val="00CC286D"/>
    <w:rsid w:val="00CC2DE7"/>
    <w:rsid w:val="00CC3973"/>
    <w:rsid w:val="00CC3C37"/>
    <w:rsid w:val="00CC5710"/>
    <w:rsid w:val="00CC5718"/>
    <w:rsid w:val="00CC5FE4"/>
    <w:rsid w:val="00CC7402"/>
    <w:rsid w:val="00CC79A4"/>
    <w:rsid w:val="00CC7CE8"/>
    <w:rsid w:val="00CD0FF4"/>
    <w:rsid w:val="00CD1676"/>
    <w:rsid w:val="00CD2276"/>
    <w:rsid w:val="00CD243B"/>
    <w:rsid w:val="00CD2B52"/>
    <w:rsid w:val="00CD3A4B"/>
    <w:rsid w:val="00CD462A"/>
    <w:rsid w:val="00CD496E"/>
    <w:rsid w:val="00CD56AF"/>
    <w:rsid w:val="00CD5736"/>
    <w:rsid w:val="00CD5E19"/>
    <w:rsid w:val="00CD6218"/>
    <w:rsid w:val="00CD6A35"/>
    <w:rsid w:val="00CD741B"/>
    <w:rsid w:val="00CD792E"/>
    <w:rsid w:val="00CD7F50"/>
    <w:rsid w:val="00CE07D5"/>
    <w:rsid w:val="00CE0BF5"/>
    <w:rsid w:val="00CE105B"/>
    <w:rsid w:val="00CE1436"/>
    <w:rsid w:val="00CE1F62"/>
    <w:rsid w:val="00CE2D90"/>
    <w:rsid w:val="00CE2DCD"/>
    <w:rsid w:val="00CE563C"/>
    <w:rsid w:val="00CE6DAD"/>
    <w:rsid w:val="00CE78C0"/>
    <w:rsid w:val="00CE7B37"/>
    <w:rsid w:val="00CF0922"/>
    <w:rsid w:val="00CF2D63"/>
    <w:rsid w:val="00CF2FC9"/>
    <w:rsid w:val="00CF3C4C"/>
    <w:rsid w:val="00CF4A64"/>
    <w:rsid w:val="00CF5436"/>
    <w:rsid w:val="00CF57F2"/>
    <w:rsid w:val="00CF67EF"/>
    <w:rsid w:val="00CF6AA9"/>
    <w:rsid w:val="00CF6BE4"/>
    <w:rsid w:val="00CF6D1A"/>
    <w:rsid w:val="00CF6E2F"/>
    <w:rsid w:val="00CF713E"/>
    <w:rsid w:val="00CF71F6"/>
    <w:rsid w:val="00CF7579"/>
    <w:rsid w:val="00CF782C"/>
    <w:rsid w:val="00CF7BE5"/>
    <w:rsid w:val="00D0031B"/>
    <w:rsid w:val="00D00B55"/>
    <w:rsid w:val="00D0143C"/>
    <w:rsid w:val="00D01A39"/>
    <w:rsid w:val="00D02559"/>
    <w:rsid w:val="00D0311F"/>
    <w:rsid w:val="00D03CA4"/>
    <w:rsid w:val="00D046B1"/>
    <w:rsid w:val="00D04824"/>
    <w:rsid w:val="00D05DA5"/>
    <w:rsid w:val="00D05E55"/>
    <w:rsid w:val="00D06574"/>
    <w:rsid w:val="00D10206"/>
    <w:rsid w:val="00D107A4"/>
    <w:rsid w:val="00D12380"/>
    <w:rsid w:val="00D1248E"/>
    <w:rsid w:val="00D12BC7"/>
    <w:rsid w:val="00D12D54"/>
    <w:rsid w:val="00D135C2"/>
    <w:rsid w:val="00D15388"/>
    <w:rsid w:val="00D1664A"/>
    <w:rsid w:val="00D173B3"/>
    <w:rsid w:val="00D201C0"/>
    <w:rsid w:val="00D20512"/>
    <w:rsid w:val="00D20668"/>
    <w:rsid w:val="00D20EF0"/>
    <w:rsid w:val="00D21536"/>
    <w:rsid w:val="00D21E19"/>
    <w:rsid w:val="00D21EDC"/>
    <w:rsid w:val="00D231F3"/>
    <w:rsid w:val="00D2416A"/>
    <w:rsid w:val="00D24579"/>
    <w:rsid w:val="00D24ADE"/>
    <w:rsid w:val="00D24F6C"/>
    <w:rsid w:val="00D24FFF"/>
    <w:rsid w:val="00D25404"/>
    <w:rsid w:val="00D25879"/>
    <w:rsid w:val="00D25AB3"/>
    <w:rsid w:val="00D25FC6"/>
    <w:rsid w:val="00D261AF"/>
    <w:rsid w:val="00D275D6"/>
    <w:rsid w:val="00D27B80"/>
    <w:rsid w:val="00D3063B"/>
    <w:rsid w:val="00D307C6"/>
    <w:rsid w:val="00D31973"/>
    <w:rsid w:val="00D32362"/>
    <w:rsid w:val="00D33F89"/>
    <w:rsid w:val="00D348EE"/>
    <w:rsid w:val="00D34BE8"/>
    <w:rsid w:val="00D34C6B"/>
    <w:rsid w:val="00D3513E"/>
    <w:rsid w:val="00D3651A"/>
    <w:rsid w:val="00D36B8E"/>
    <w:rsid w:val="00D3712C"/>
    <w:rsid w:val="00D3721C"/>
    <w:rsid w:val="00D37B3A"/>
    <w:rsid w:val="00D40926"/>
    <w:rsid w:val="00D41205"/>
    <w:rsid w:val="00D41E38"/>
    <w:rsid w:val="00D422BD"/>
    <w:rsid w:val="00D42971"/>
    <w:rsid w:val="00D44694"/>
    <w:rsid w:val="00D44B2E"/>
    <w:rsid w:val="00D456B1"/>
    <w:rsid w:val="00D46935"/>
    <w:rsid w:val="00D46CB2"/>
    <w:rsid w:val="00D474F3"/>
    <w:rsid w:val="00D506A0"/>
    <w:rsid w:val="00D5170D"/>
    <w:rsid w:val="00D51E6F"/>
    <w:rsid w:val="00D53B3B"/>
    <w:rsid w:val="00D53E77"/>
    <w:rsid w:val="00D5437A"/>
    <w:rsid w:val="00D544D5"/>
    <w:rsid w:val="00D544FD"/>
    <w:rsid w:val="00D559DD"/>
    <w:rsid w:val="00D5723A"/>
    <w:rsid w:val="00D57248"/>
    <w:rsid w:val="00D57FEB"/>
    <w:rsid w:val="00D61940"/>
    <w:rsid w:val="00D620A6"/>
    <w:rsid w:val="00D6358D"/>
    <w:rsid w:val="00D64C22"/>
    <w:rsid w:val="00D660B9"/>
    <w:rsid w:val="00D66754"/>
    <w:rsid w:val="00D66F59"/>
    <w:rsid w:val="00D70275"/>
    <w:rsid w:val="00D71507"/>
    <w:rsid w:val="00D718DC"/>
    <w:rsid w:val="00D72959"/>
    <w:rsid w:val="00D73F80"/>
    <w:rsid w:val="00D74FBB"/>
    <w:rsid w:val="00D750E3"/>
    <w:rsid w:val="00D753B2"/>
    <w:rsid w:val="00D755CA"/>
    <w:rsid w:val="00D764DB"/>
    <w:rsid w:val="00D77E3D"/>
    <w:rsid w:val="00D810C5"/>
    <w:rsid w:val="00D81F52"/>
    <w:rsid w:val="00D8205B"/>
    <w:rsid w:val="00D83996"/>
    <w:rsid w:val="00D83E3D"/>
    <w:rsid w:val="00D849BF"/>
    <w:rsid w:val="00D8590B"/>
    <w:rsid w:val="00D86FFB"/>
    <w:rsid w:val="00D905BD"/>
    <w:rsid w:val="00D90BB4"/>
    <w:rsid w:val="00D93012"/>
    <w:rsid w:val="00D94EC8"/>
    <w:rsid w:val="00D95267"/>
    <w:rsid w:val="00D9678F"/>
    <w:rsid w:val="00D97790"/>
    <w:rsid w:val="00D97D5B"/>
    <w:rsid w:val="00DA0D61"/>
    <w:rsid w:val="00DA2738"/>
    <w:rsid w:val="00DA30FF"/>
    <w:rsid w:val="00DA3313"/>
    <w:rsid w:val="00DA37CE"/>
    <w:rsid w:val="00DA3C3D"/>
    <w:rsid w:val="00DA4F89"/>
    <w:rsid w:val="00DA616F"/>
    <w:rsid w:val="00DA707F"/>
    <w:rsid w:val="00DA71B4"/>
    <w:rsid w:val="00DA72EE"/>
    <w:rsid w:val="00DB1289"/>
    <w:rsid w:val="00DB371D"/>
    <w:rsid w:val="00DB38E8"/>
    <w:rsid w:val="00DB51F3"/>
    <w:rsid w:val="00DB55F9"/>
    <w:rsid w:val="00DB57F7"/>
    <w:rsid w:val="00DB637D"/>
    <w:rsid w:val="00DB6F35"/>
    <w:rsid w:val="00DB73CC"/>
    <w:rsid w:val="00DC1C3A"/>
    <w:rsid w:val="00DC33F1"/>
    <w:rsid w:val="00DC3AFC"/>
    <w:rsid w:val="00DC53EB"/>
    <w:rsid w:val="00DC5581"/>
    <w:rsid w:val="00DC60EB"/>
    <w:rsid w:val="00DC6130"/>
    <w:rsid w:val="00DC67B5"/>
    <w:rsid w:val="00DC6964"/>
    <w:rsid w:val="00DC6A44"/>
    <w:rsid w:val="00DC6B80"/>
    <w:rsid w:val="00DC7375"/>
    <w:rsid w:val="00DD01A4"/>
    <w:rsid w:val="00DD0EB4"/>
    <w:rsid w:val="00DD1EBC"/>
    <w:rsid w:val="00DD26EB"/>
    <w:rsid w:val="00DD2A5D"/>
    <w:rsid w:val="00DD30AF"/>
    <w:rsid w:val="00DD3A7D"/>
    <w:rsid w:val="00DD3E37"/>
    <w:rsid w:val="00DD4121"/>
    <w:rsid w:val="00DD4B69"/>
    <w:rsid w:val="00DD4BF5"/>
    <w:rsid w:val="00DD4D91"/>
    <w:rsid w:val="00DD51B2"/>
    <w:rsid w:val="00DD51D3"/>
    <w:rsid w:val="00DD5373"/>
    <w:rsid w:val="00DD59E7"/>
    <w:rsid w:val="00DD5B1B"/>
    <w:rsid w:val="00DD5FCF"/>
    <w:rsid w:val="00DD749E"/>
    <w:rsid w:val="00DE0411"/>
    <w:rsid w:val="00DE0AEF"/>
    <w:rsid w:val="00DE1231"/>
    <w:rsid w:val="00DE1409"/>
    <w:rsid w:val="00DE19DF"/>
    <w:rsid w:val="00DE269E"/>
    <w:rsid w:val="00DE3901"/>
    <w:rsid w:val="00DE40E9"/>
    <w:rsid w:val="00DE4B55"/>
    <w:rsid w:val="00DE59E8"/>
    <w:rsid w:val="00DE5D31"/>
    <w:rsid w:val="00DE603A"/>
    <w:rsid w:val="00DE74BA"/>
    <w:rsid w:val="00DF1583"/>
    <w:rsid w:val="00DF16CE"/>
    <w:rsid w:val="00DF1E39"/>
    <w:rsid w:val="00DF2010"/>
    <w:rsid w:val="00DF26B4"/>
    <w:rsid w:val="00DF2906"/>
    <w:rsid w:val="00DF3106"/>
    <w:rsid w:val="00DF3116"/>
    <w:rsid w:val="00DF51DD"/>
    <w:rsid w:val="00DF5BB0"/>
    <w:rsid w:val="00DF6169"/>
    <w:rsid w:val="00DF6C36"/>
    <w:rsid w:val="00DF6F29"/>
    <w:rsid w:val="00DF731C"/>
    <w:rsid w:val="00DF7427"/>
    <w:rsid w:val="00DF7B0A"/>
    <w:rsid w:val="00E01A51"/>
    <w:rsid w:val="00E02454"/>
    <w:rsid w:val="00E026ED"/>
    <w:rsid w:val="00E027FC"/>
    <w:rsid w:val="00E0321F"/>
    <w:rsid w:val="00E03B56"/>
    <w:rsid w:val="00E03DCC"/>
    <w:rsid w:val="00E055E0"/>
    <w:rsid w:val="00E05BDE"/>
    <w:rsid w:val="00E05DF6"/>
    <w:rsid w:val="00E067E8"/>
    <w:rsid w:val="00E069FB"/>
    <w:rsid w:val="00E06B79"/>
    <w:rsid w:val="00E06BC3"/>
    <w:rsid w:val="00E1002A"/>
    <w:rsid w:val="00E12084"/>
    <w:rsid w:val="00E12CD8"/>
    <w:rsid w:val="00E12D24"/>
    <w:rsid w:val="00E138CB"/>
    <w:rsid w:val="00E1465A"/>
    <w:rsid w:val="00E1482A"/>
    <w:rsid w:val="00E155CF"/>
    <w:rsid w:val="00E15F33"/>
    <w:rsid w:val="00E162C8"/>
    <w:rsid w:val="00E1632E"/>
    <w:rsid w:val="00E16642"/>
    <w:rsid w:val="00E1669C"/>
    <w:rsid w:val="00E166E9"/>
    <w:rsid w:val="00E167CE"/>
    <w:rsid w:val="00E17C27"/>
    <w:rsid w:val="00E2017E"/>
    <w:rsid w:val="00E208B6"/>
    <w:rsid w:val="00E21355"/>
    <w:rsid w:val="00E21386"/>
    <w:rsid w:val="00E213A9"/>
    <w:rsid w:val="00E21786"/>
    <w:rsid w:val="00E21906"/>
    <w:rsid w:val="00E22654"/>
    <w:rsid w:val="00E22AE4"/>
    <w:rsid w:val="00E23F3C"/>
    <w:rsid w:val="00E24843"/>
    <w:rsid w:val="00E24DEC"/>
    <w:rsid w:val="00E25890"/>
    <w:rsid w:val="00E25CBA"/>
    <w:rsid w:val="00E260E0"/>
    <w:rsid w:val="00E2647D"/>
    <w:rsid w:val="00E266BB"/>
    <w:rsid w:val="00E26A24"/>
    <w:rsid w:val="00E27CEC"/>
    <w:rsid w:val="00E3125A"/>
    <w:rsid w:val="00E312A1"/>
    <w:rsid w:val="00E31E64"/>
    <w:rsid w:val="00E31E79"/>
    <w:rsid w:val="00E3407E"/>
    <w:rsid w:val="00E3442D"/>
    <w:rsid w:val="00E35F1F"/>
    <w:rsid w:val="00E361DA"/>
    <w:rsid w:val="00E36272"/>
    <w:rsid w:val="00E36BA9"/>
    <w:rsid w:val="00E36F70"/>
    <w:rsid w:val="00E37FBC"/>
    <w:rsid w:val="00E40436"/>
    <w:rsid w:val="00E4182E"/>
    <w:rsid w:val="00E41B99"/>
    <w:rsid w:val="00E421FC"/>
    <w:rsid w:val="00E4222B"/>
    <w:rsid w:val="00E42C15"/>
    <w:rsid w:val="00E43D6B"/>
    <w:rsid w:val="00E43F1D"/>
    <w:rsid w:val="00E45110"/>
    <w:rsid w:val="00E469D4"/>
    <w:rsid w:val="00E46F37"/>
    <w:rsid w:val="00E470BB"/>
    <w:rsid w:val="00E50416"/>
    <w:rsid w:val="00E5087C"/>
    <w:rsid w:val="00E50BDA"/>
    <w:rsid w:val="00E513EA"/>
    <w:rsid w:val="00E51795"/>
    <w:rsid w:val="00E51A0E"/>
    <w:rsid w:val="00E521DB"/>
    <w:rsid w:val="00E53A64"/>
    <w:rsid w:val="00E53BB8"/>
    <w:rsid w:val="00E54AFB"/>
    <w:rsid w:val="00E54F3E"/>
    <w:rsid w:val="00E561C2"/>
    <w:rsid w:val="00E571C8"/>
    <w:rsid w:val="00E60929"/>
    <w:rsid w:val="00E60E81"/>
    <w:rsid w:val="00E61067"/>
    <w:rsid w:val="00E61E17"/>
    <w:rsid w:val="00E6324E"/>
    <w:rsid w:val="00E661E1"/>
    <w:rsid w:val="00E663DE"/>
    <w:rsid w:val="00E664EB"/>
    <w:rsid w:val="00E6665C"/>
    <w:rsid w:val="00E669F0"/>
    <w:rsid w:val="00E67369"/>
    <w:rsid w:val="00E71AF7"/>
    <w:rsid w:val="00E72802"/>
    <w:rsid w:val="00E72A1B"/>
    <w:rsid w:val="00E72F28"/>
    <w:rsid w:val="00E7425A"/>
    <w:rsid w:val="00E745DC"/>
    <w:rsid w:val="00E74772"/>
    <w:rsid w:val="00E747BA"/>
    <w:rsid w:val="00E77071"/>
    <w:rsid w:val="00E805E0"/>
    <w:rsid w:val="00E811A5"/>
    <w:rsid w:val="00E8263A"/>
    <w:rsid w:val="00E8298B"/>
    <w:rsid w:val="00E82B67"/>
    <w:rsid w:val="00E83FEC"/>
    <w:rsid w:val="00E85669"/>
    <w:rsid w:val="00E86066"/>
    <w:rsid w:val="00E870FB"/>
    <w:rsid w:val="00E873A2"/>
    <w:rsid w:val="00E87A94"/>
    <w:rsid w:val="00E903A6"/>
    <w:rsid w:val="00E91183"/>
    <w:rsid w:val="00E912DD"/>
    <w:rsid w:val="00E9177D"/>
    <w:rsid w:val="00E9231D"/>
    <w:rsid w:val="00E923C6"/>
    <w:rsid w:val="00E925C8"/>
    <w:rsid w:val="00E929E0"/>
    <w:rsid w:val="00E92A43"/>
    <w:rsid w:val="00E92C08"/>
    <w:rsid w:val="00E92DB5"/>
    <w:rsid w:val="00E946AB"/>
    <w:rsid w:val="00E94891"/>
    <w:rsid w:val="00E94D7C"/>
    <w:rsid w:val="00E950CE"/>
    <w:rsid w:val="00E95E36"/>
    <w:rsid w:val="00E97ADC"/>
    <w:rsid w:val="00EA05E0"/>
    <w:rsid w:val="00EA0738"/>
    <w:rsid w:val="00EA09C4"/>
    <w:rsid w:val="00EA0C91"/>
    <w:rsid w:val="00EA0CB7"/>
    <w:rsid w:val="00EA1E79"/>
    <w:rsid w:val="00EA254C"/>
    <w:rsid w:val="00EA2EB9"/>
    <w:rsid w:val="00EA35A5"/>
    <w:rsid w:val="00EA3DEA"/>
    <w:rsid w:val="00EA4210"/>
    <w:rsid w:val="00EA6780"/>
    <w:rsid w:val="00EA6882"/>
    <w:rsid w:val="00EA6CF5"/>
    <w:rsid w:val="00EA6F58"/>
    <w:rsid w:val="00EA71D4"/>
    <w:rsid w:val="00EA7E4C"/>
    <w:rsid w:val="00EA7F8C"/>
    <w:rsid w:val="00EB11AB"/>
    <w:rsid w:val="00EB1BB5"/>
    <w:rsid w:val="00EB42DA"/>
    <w:rsid w:val="00EB4627"/>
    <w:rsid w:val="00EB4B0C"/>
    <w:rsid w:val="00EB6358"/>
    <w:rsid w:val="00EB6969"/>
    <w:rsid w:val="00EB6B0C"/>
    <w:rsid w:val="00EB6EC7"/>
    <w:rsid w:val="00EC016F"/>
    <w:rsid w:val="00EC0B57"/>
    <w:rsid w:val="00EC113A"/>
    <w:rsid w:val="00EC11FE"/>
    <w:rsid w:val="00EC1C20"/>
    <w:rsid w:val="00EC1EF0"/>
    <w:rsid w:val="00EC21D9"/>
    <w:rsid w:val="00EC2AB7"/>
    <w:rsid w:val="00EC43EB"/>
    <w:rsid w:val="00EC494A"/>
    <w:rsid w:val="00EC4A98"/>
    <w:rsid w:val="00EC4CFB"/>
    <w:rsid w:val="00EC51BF"/>
    <w:rsid w:val="00EC53E1"/>
    <w:rsid w:val="00EC55F9"/>
    <w:rsid w:val="00EC581F"/>
    <w:rsid w:val="00EC6775"/>
    <w:rsid w:val="00EC6EF7"/>
    <w:rsid w:val="00EC73A2"/>
    <w:rsid w:val="00ED0425"/>
    <w:rsid w:val="00ED0694"/>
    <w:rsid w:val="00ED0F21"/>
    <w:rsid w:val="00ED123D"/>
    <w:rsid w:val="00ED1817"/>
    <w:rsid w:val="00ED1C19"/>
    <w:rsid w:val="00ED1D03"/>
    <w:rsid w:val="00ED1F65"/>
    <w:rsid w:val="00ED2371"/>
    <w:rsid w:val="00ED2738"/>
    <w:rsid w:val="00ED41F9"/>
    <w:rsid w:val="00ED4766"/>
    <w:rsid w:val="00ED5074"/>
    <w:rsid w:val="00ED5C19"/>
    <w:rsid w:val="00ED6732"/>
    <w:rsid w:val="00ED6F09"/>
    <w:rsid w:val="00ED7608"/>
    <w:rsid w:val="00EE07A1"/>
    <w:rsid w:val="00EE15AB"/>
    <w:rsid w:val="00EE16F7"/>
    <w:rsid w:val="00EE1B51"/>
    <w:rsid w:val="00EE1F50"/>
    <w:rsid w:val="00EE25FF"/>
    <w:rsid w:val="00EE2DDA"/>
    <w:rsid w:val="00EE3990"/>
    <w:rsid w:val="00EE49EC"/>
    <w:rsid w:val="00EE639F"/>
    <w:rsid w:val="00EE68FD"/>
    <w:rsid w:val="00EE78C7"/>
    <w:rsid w:val="00EE7AD1"/>
    <w:rsid w:val="00EE7B92"/>
    <w:rsid w:val="00EE7F6F"/>
    <w:rsid w:val="00EF0389"/>
    <w:rsid w:val="00EF0BED"/>
    <w:rsid w:val="00EF0E15"/>
    <w:rsid w:val="00EF1943"/>
    <w:rsid w:val="00EF1C29"/>
    <w:rsid w:val="00EF267F"/>
    <w:rsid w:val="00EF2B0A"/>
    <w:rsid w:val="00EF30B5"/>
    <w:rsid w:val="00EF32F8"/>
    <w:rsid w:val="00EF42A7"/>
    <w:rsid w:val="00EF5001"/>
    <w:rsid w:val="00EF5023"/>
    <w:rsid w:val="00EF672F"/>
    <w:rsid w:val="00EF6814"/>
    <w:rsid w:val="00EF6CCC"/>
    <w:rsid w:val="00EF72B7"/>
    <w:rsid w:val="00F00255"/>
    <w:rsid w:val="00F0055D"/>
    <w:rsid w:val="00F008FE"/>
    <w:rsid w:val="00F00CED"/>
    <w:rsid w:val="00F015E4"/>
    <w:rsid w:val="00F02356"/>
    <w:rsid w:val="00F02A71"/>
    <w:rsid w:val="00F041FF"/>
    <w:rsid w:val="00F04277"/>
    <w:rsid w:val="00F053C2"/>
    <w:rsid w:val="00F054EB"/>
    <w:rsid w:val="00F057D0"/>
    <w:rsid w:val="00F06704"/>
    <w:rsid w:val="00F06B7B"/>
    <w:rsid w:val="00F0708A"/>
    <w:rsid w:val="00F07285"/>
    <w:rsid w:val="00F0732E"/>
    <w:rsid w:val="00F07629"/>
    <w:rsid w:val="00F107BE"/>
    <w:rsid w:val="00F12DCC"/>
    <w:rsid w:val="00F14D7C"/>
    <w:rsid w:val="00F162B9"/>
    <w:rsid w:val="00F1704C"/>
    <w:rsid w:val="00F17A6B"/>
    <w:rsid w:val="00F17FB1"/>
    <w:rsid w:val="00F20674"/>
    <w:rsid w:val="00F20BDE"/>
    <w:rsid w:val="00F20F86"/>
    <w:rsid w:val="00F21FDF"/>
    <w:rsid w:val="00F2438A"/>
    <w:rsid w:val="00F24676"/>
    <w:rsid w:val="00F24E18"/>
    <w:rsid w:val="00F25CC8"/>
    <w:rsid w:val="00F25ED6"/>
    <w:rsid w:val="00F27AA5"/>
    <w:rsid w:val="00F324DA"/>
    <w:rsid w:val="00F33211"/>
    <w:rsid w:val="00F3478E"/>
    <w:rsid w:val="00F347BB"/>
    <w:rsid w:val="00F34C99"/>
    <w:rsid w:val="00F34E34"/>
    <w:rsid w:val="00F367BC"/>
    <w:rsid w:val="00F375A1"/>
    <w:rsid w:val="00F37B89"/>
    <w:rsid w:val="00F37E53"/>
    <w:rsid w:val="00F402AF"/>
    <w:rsid w:val="00F40AF7"/>
    <w:rsid w:val="00F41221"/>
    <w:rsid w:val="00F41303"/>
    <w:rsid w:val="00F41386"/>
    <w:rsid w:val="00F418E5"/>
    <w:rsid w:val="00F43B29"/>
    <w:rsid w:val="00F4442E"/>
    <w:rsid w:val="00F44D14"/>
    <w:rsid w:val="00F44DC8"/>
    <w:rsid w:val="00F45BDC"/>
    <w:rsid w:val="00F46966"/>
    <w:rsid w:val="00F4699A"/>
    <w:rsid w:val="00F47D7C"/>
    <w:rsid w:val="00F50216"/>
    <w:rsid w:val="00F50680"/>
    <w:rsid w:val="00F50CA4"/>
    <w:rsid w:val="00F5122C"/>
    <w:rsid w:val="00F53450"/>
    <w:rsid w:val="00F535CE"/>
    <w:rsid w:val="00F54086"/>
    <w:rsid w:val="00F5449E"/>
    <w:rsid w:val="00F544F7"/>
    <w:rsid w:val="00F54EFB"/>
    <w:rsid w:val="00F55813"/>
    <w:rsid w:val="00F56826"/>
    <w:rsid w:val="00F56AB1"/>
    <w:rsid w:val="00F60FAA"/>
    <w:rsid w:val="00F61015"/>
    <w:rsid w:val="00F6218E"/>
    <w:rsid w:val="00F62B88"/>
    <w:rsid w:val="00F62C93"/>
    <w:rsid w:val="00F630A8"/>
    <w:rsid w:val="00F638FB"/>
    <w:rsid w:val="00F64AD5"/>
    <w:rsid w:val="00F664DF"/>
    <w:rsid w:val="00F66800"/>
    <w:rsid w:val="00F66B8D"/>
    <w:rsid w:val="00F67D99"/>
    <w:rsid w:val="00F701F5"/>
    <w:rsid w:val="00F70E6A"/>
    <w:rsid w:val="00F7225B"/>
    <w:rsid w:val="00F72299"/>
    <w:rsid w:val="00F722AD"/>
    <w:rsid w:val="00F73992"/>
    <w:rsid w:val="00F7410F"/>
    <w:rsid w:val="00F7449E"/>
    <w:rsid w:val="00F74A16"/>
    <w:rsid w:val="00F74BAC"/>
    <w:rsid w:val="00F7660C"/>
    <w:rsid w:val="00F76CC4"/>
    <w:rsid w:val="00F77C4D"/>
    <w:rsid w:val="00F80361"/>
    <w:rsid w:val="00F808E1"/>
    <w:rsid w:val="00F8184F"/>
    <w:rsid w:val="00F81CE5"/>
    <w:rsid w:val="00F83ACA"/>
    <w:rsid w:val="00F83DA0"/>
    <w:rsid w:val="00F84A50"/>
    <w:rsid w:val="00F855FC"/>
    <w:rsid w:val="00F857FC"/>
    <w:rsid w:val="00F8698C"/>
    <w:rsid w:val="00F86EF3"/>
    <w:rsid w:val="00F905BE"/>
    <w:rsid w:val="00F91160"/>
    <w:rsid w:val="00F92468"/>
    <w:rsid w:val="00F925DB"/>
    <w:rsid w:val="00F92626"/>
    <w:rsid w:val="00F92916"/>
    <w:rsid w:val="00F92DFB"/>
    <w:rsid w:val="00F939CB"/>
    <w:rsid w:val="00F94070"/>
    <w:rsid w:val="00F957ED"/>
    <w:rsid w:val="00F95C80"/>
    <w:rsid w:val="00F95CD9"/>
    <w:rsid w:val="00F96C86"/>
    <w:rsid w:val="00FA005A"/>
    <w:rsid w:val="00FA0237"/>
    <w:rsid w:val="00FA09DE"/>
    <w:rsid w:val="00FA09F7"/>
    <w:rsid w:val="00FA0D8B"/>
    <w:rsid w:val="00FA0DC7"/>
    <w:rsid w:val="00FA11E5"/>
    <w:rsid w:val="00FA16AF"/>
    <w:rsid w:val="00FA2B6A"/>
    <w:rsid w:val="00FA33F1"/>
    <w:rsid w:val="00FA51FD"/>
    <w:rsid w:val="00FA611D"/>
    <w:rsid w:val="00FA74AA"/>
    <w:rsid w:val="00FA773C"/>
    <w:rsid w:val="00FA782C"/>
    <w:rsid w:val="00FB1617"/>
    <w:rsid w:val="00FB1E0A"/>
    <w:rsid w:val="00FB2292"/>
    <w:rsid w:val="00FB2BDD"/>
    <w:rsid w:val="00FB31D8"/>
    <w:rsid w:val="00FB4248"/>
    <w:rsid w:val="00FB4589"/>
    <w:rsid w:val="00FB5E80"/>
    <w:rsid w:val="00FB5EAC"/>
    <w:rsid w:val="00FB6023"/>
    <w:rsid w:val="00FB66AB"/>
    <w:rsid w:val="00FC01AD"/>
    <w:rsid w:val="00FC0C63"/>
    <w:rsid w:val="00FC11BF"/>
    <w:rsid w:val="00FC1D01"/>
    <w:rsid w:val="00FC1F2B"/>
    <w:rsid w:val="00FC2430"/>
    <w:rsid w:val="00FC2998"/>
    <w:rsid w:val="00FC42E2"/>
    <w:rsid w:val="00FC5266"/>
    <w:rsid w:val="00FC569E"/>
    <w:rsid w:val="00FC5917"/>
    <w:rsid w:val="00FC68E8"/>
    <w:rsid w:val="00FD1FCD"/>
    <w:rsid w:val="00FD22A8"/>
    <w:rsid w:val="00FD3289"/>
    <w:rsid w:val="00FD4202"/>
    <w:rsid w:val="00FD5602"/>
    <w:rsid w:val="00FD5866"/>
    <w:rsid w:val="00FD6510"/>
    <w:rsid w:val="00FD6598"/>
    <w:rsid w:val="00FE2B03"/>
    <w:rsid w:val="00FE355C"/>
    <w:rsid w:val="00FE3AB0"/>
    <w:rsid w:val="00FE3DDC"/>
    <w:rsid w:val="00FE4527"/>
    <w:rsid w:val="00FE494A"/>
    <w:rsid w:val="00FE7053"/>
    <w:rsid w:val="00FE7355"/>
    <w:rsid w:val="00FE75FA"/>
    <w:rsid w:val="00FF0336"/>
    <w:rsid w:val="00FF1452"/>
    <w:rsid w:val="00FF158E"/>
    <w:rsid w:val="00FF35AC"/>
    <w:rsid w:val="00FF5C2E"/>
    <w:rsid w:val="00FF5CEE"/>
    <w:rsid w:val="00FF6390"/>
    <w:rsid w:val="00FF643F"/>
    <w:rsid w:val="00FF726A"/>
    <w:rsid w:val="03AD0411"/>
    <w:rsid w:val="03EB1B72"/>
    <w:rsid w:val="04AA2CD9"/>
    <w:rsid w:val="05D23F9D"/>
    <w:rsid w:val="07440D6B"/>
    <w:rsid w:val="076E4C19"/>
    <w:rsid w:val="07E16F76"/>
    <w:rsid w:val="084F5350"/>
    <w:rsid w:val="091B7D5F"/>
    <w:rsid w:val="092143B0"/>
    <w:rsid w:val="09A34A1A"/>
    <w:rsid w:val="09A972E5"/>
    <w:rsid w:val="0C21404B"/>
    <w:rsid w:val="0C335AD5"/>
    <w:rsid w:val="0C8E6A1C"/>
    <w:rsid w:val="0DC27B7B"/>
    <w:rsid w:val="0F194118"/>
    <w:rsid w:val="0FC75EF9"/>
    <w:rsid w:val="0FE76B66"/>
    <w:rsid w:val="10086985"/>
    <w:rsid w:val="10D900A6"/>
    <w:rsid w:val="110E0014"/>
    <w:rsid w:val="133714E5"/>
    <w:rsid w:val="145E6879"/>
    <w:rsid w:val="14980D4E"/>
    <w:rsid w:val="14EE7E4F"/>
    <w:rsid w:val="15A30AF5"/>
    <w:rsid w:val="15EC6D60"/>
    <w:rsid w:val="168017F8"/>
    <w:rsid w:val="17606E66"/>
    <w:rsid w:val="17D24946"/>
    <w:rsid w:val="18871369"/>
    <w:rsid w:val="18AE139E"/>
    <w:rsid w:val="18F57010"/>
    <w:rsid w:val="190A5C2F"/>
    <w:rsid w:val="191856F0"/>
    <w:rsid w:val="19B672FD"/>
    <w:rsid w:val="1AD03FBA"/>
    <w:rsid w:val="1BD363C7"/>
    <w:rsid w:val="1C4409D4"/>
    <w:rsid w:val="1C8F6CD8"/>
    <w:rsid w:val="1CC85561"/>
    <w:rsid w:val="1E2E794D"/>
    <w:rsid w:val="1E662C59"/>
    <w:rsid w:val="1EBE75EB"/>
    <w:rsid w:val="1EF93872"/>
    <w:rsid w:val="20CC2261"/>
    <w:rsid w:val="210E79E7"/>
    <w:rsid w:val="21571FA8"/>
    <w:rsid w:val="2224112A"/>
    <w:rsid w:val="23814F49"/>
    <w:rsid w:val="25B707A0"/>
    <w:rsid w:val="25B968C2"/>
    <w:rsid w:val="268A53AC"/>
    <w:rsid w:val="26F85D1F"/>
    <w:rsid w:val="27AA6D0F"/>
    <w:rsid w:val="28ED3A7A"/>
    <w:rsid w:val="29A7761D"/>
    <w:rsid w:val="2A0E3DD3"/>
    <w:rsid w:val="2A32323D"/>
    <w:rsid w:val="2A486063"/>
    <w:rsid w:val="2ABD2CA9"/>
    <w:rsid w:val="2ACC3B53"/>
    <w:rsid w:val="2B73446C"/>
    <w:rsid w:val="2BB849E9"/>
    <w:rsid w:val="2C150691"/>
    <w:rsid w:val="2CDF4E16"/>
    <w:rsid w:val="2D227C53"/>
    <w:rsid w:val="2E222E04"/>
    <w:rsid w:val="2EC22208"/>
    <w:rsid w:val="2F306A43"/>
    <w:rsid w:val="2FD61B27"/>
    <w:rsid w:val="3043153E"/>
    <w:rsid w:val="31385460"/>
    <w:rsid w:val="319F2B58"/>
    <w:rsid w:val="3225059B"/>
    <w:rsid w:val="32801548"/>
    <w:rsid w:val="32E70599"/>
    <w:rsid w:val="340D327F"/>
    <w:rsid w:val="34BA0A88"/>
    <w:rsid w:val="3539662A"/>
    <w:rsid w:val="364B743F"/>
    <w:rsid w:val="365646D3"/>
    <w:rsid w:val="369C08F8"/>
    <w:rsid w:val="3719716F"/>
    <w:rsid w:val="37527E18"/>
    <w:rsid w:val="3816051C"/>
    <w:rsid w:val="38360444"/>
    <w:rsid w:val="38533CFC"/>
    <w:rsid w:val="38D00523"/>
    <w:rsid w:val="39D36E51"/>
    <w:rsid w:val="3A7007A7"/>
    <w:rsid w:val="3AE059CC"/>
    <w:rsid w:val="3B584BCB"/>
    <w:rsid w:val="3BA46AFE"/>
    <w:rsid w:val="3CCE0E50"/>
    <w:rsid w:val="3D822FC9"/>
    <w:rsid w:val="3E1B2219"/>
    <w:rsid w:val="3EF8243B"/>
    <w:rsid w:val="3F1C0717"/>
    <w:rsid w:val="3FB41B8F"/>
    <w:rsid w:val="401A53A8"/>
    <w:rsid w:val="40261D3C"/>
    <w:rsid w:val="402C7B0B"/>
    <w:rsid w:val="40495A31"/>
    <w:rsid w:val="405765FD"/>
    <w:rsid w:val="40B152EF"/>
    <w:rsid w:val="418D10ED"/>
    <w:rsid w:val="4391491D"/>
    <w:rsid w:val="43BB4713"/>
    <w:rsid w:val="47342061"/>
    <w:rsid w:val="48445F2B"/>
    <w:rsid w:val="490F2CF3"/>
    <w:rsid w:val="49A05DF7"/>
    <w:rsid w:val="49C31612"/>
    <w:rsid w:val="4C981B00"/>
    <w:rsid w:val="4E384598"/>
    <w:rsid w:val="4EFA3B7A"/>
    <w:rsid w:val="4F395256"/>
    <w:rsid w:val="4F3E73B7"/>
    <w:rsid w:val="4F696A1D"/>
    <w:rsid w:val="4FE42D85"/>
    <w:rsid w:val="50405E34"/>
    <w:rsid w:val="50F04D5A"/>
    <w:rsid w:val="525D629B"/>
    <w:rsid w:val="52736A2A"/>
    <w:rsid w:val="534A1973"/>
    <w:rsid w:val="54107F1D"/>
    <w:rsid w:val="54547030"/>
    <w:rsid w:val="55521DB2"/>
    <w:rsid w:val="55D86277"/>
    <w:rsid w:val="57240578"/>
    <w:rsid w:val="573678EC"/>
    <w:rsid w:val="57DE00B6"/>
    <w:rsid w:val="591700FF"/>
    <w:rsid w:val="59866495"/>
    <w:rsid w:val="5A7916CA"/>
    <w:rsid w:val="5AD517F9"/>
    <w:rsid w:val="5BFE2F86"/>
    <w:rsid w:val="5BFF53EC"/>
    <w:rsid w:val="5C331929"/>
    <w:rsid w:val="5D646AA7"/>
    <w:rsid w:val="5EBE75C7"/>
    <w:rsid w:val="5FAC67FA"/>
    <w:rsid w:val="5FFC0FFC"/>
    <w:rsid w:val="61116C3B"/>
    <w:rsid w:val="61690221"/>
    <w:rsid w:val="62FF78E6"/>
    <w:rsid w:val="63A52D9F"/>
    <w:rsid w:val="63D45DC3"/>
    <w:rsid w:val="64C37127"/>
    <w:rsid w:val="651A43EC"/>
    <w:rsid w:val="658F19D1"/>
    <w:rsid w:val="65D05947"/>
    <w:rsid w:val="66064BB5"/>
    <w:rsid w:val="67FD365C"/>
    <w:rsid w:val="68822F81"/>
    <w:rsid w:val="689A3CB5"/>
    <w:rsid w:val="68AB1C6C"/>
    <w:rsid w:val="69025352"/>
    <w:rsid w:val="696304FF"/>
    <w:rsid w:val="6A40123B"/>
    <w:rsid w:val="6A8045F6"/>
    <w:rsid w:val="6C1A423A"/>
    <w:rsid w:val="6C41645B"/>
    <w:rsid w:val="6C614D9A"/>
    <w:rsid w:val="6C81602B"/>
    <w:rsid w:val="6D9373D2"/>
    <w:rsid w:val="6DFE6878"/>
    <w:rsid w:val="6F763A4C"/>
    <w:rsid w:val="70BE2E1D"/>
    <w:rsid w:val="712672D9"/>
    <w:rsid w:val="715D308E"/>
    <w:rsid w:val="72567DFB"/>
    <w:rsid w:val="728963C2"/>
    <w:rsid w:val="74070164"/>
    <w:rsid w:val="742D14A3"/>
    <w:rsid w:val="74F000FC"/>
    <w:rsid w:val="758D4998"/>
    <w:rsid w:val="7595393C"/>
    <w:rsid w:val="75B76741"/>
    <w:rsid w:val="75E57E40"/>
    <w:rsid w:val="7614630D"/>
    <w:rsid w:val="782F21D6"/>
    <w:rsid w:val="787E3729"/>
    <w:rsid w:val="78832E40"/>
    <w:rsid w:val="78E5389F"/>
    <w:rsid w:val="79C4331A"/>
    <w:rsid w:val="7A2F74E4"/>
    <w:rsid w:val="7A6C1CC3"/>
    <w:rsid w:val="7B5D0D72"/>
    <w:rsid w:val="7BFD31C2"/>
    <w:rsid w:val="7C5F1C3D"/>
    <w:rsid w:val="7CD5418D"/>
    <w:rsid w:val="7CEC1060"/>
    <w:rsid w:val="7E3030AD"/>
    <w:rsid w:val="7EC300D7"/>
    <w:rsid w:val="7EFB62E1"/>
    <w:rsid w:val="7F8026C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99" w:semiHidden="0" w:name="footnote reference"/>
    <w:lsdException w:qFormat="1" w:uiPriority="0" w:semiHidden="0" w:name="annotation reference"/>
    <w:lsdException w:unhideWhenUsed="0" w:uiPriority="99"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uiPriority="99" w:semiHidden="0" w:name=""/>
    <w:lsdException w:uiPriority="99" w:semiHidden="0" w:nam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126"/>
    <w:qFormat/>
    <w:uiPriority w:val="0"/>
    <w:pPr>
      <w:keepNext/>
      <w:keepLines/>
      <w:numPr>
        <w:ilvl w:val="0"/>
        <w:numId w:val="1"/>
      </w:numPr>
      <w:spacing w:before="340" w:after="330" w:line="578" w:lineRule="auto"/>
      <w:outlineLvl w:val="0"/>
    </w:pPr>
    <w:rPr>
      <w:b/>
      <w:kern w:val="44"/>
      <w:sz w:val="44"/>
      <w:szCs w:val="20"/>
    </w:rPr>
  </w:style>
  <w:style w:type="paragraph" w:styleId="3">
    <w:name w:val="heading 2"/>
    <w:basedOn w:val="1"/>
    <w:next w:val="1"/>
    <w:link w:val="19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63"/>
    <w:qFormat/>
    <w:uiPriority w:val="0"/>
    <w:pPr>
      <w:keepNext/>
      <w:keepLines/>
      <w:spacing w:before="260" w:after="260"/>
      <w:jc w:val="center"/>
      <w:outlineLvl w:val="2"/>
    </w:pPr>
    <w:rPr>
      <w:b/>
      <w:bCs/>
      <w:sz w:val="24"/>
      <w:szCs w:val="32"/>
    </w:rPr>
  </w:style>
  <w:style w:type="paragraph" w:styleId="5">
    <w:name w:val="heading 4"/>
    <w:basedOn w:val="1"/>
    <w:next w:val="1"/>
    <w:link w:val="10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link w:val="212"/>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54">
    <w:name w:val="Default Paragraph Font"/>
    <w:unhideWhenUsed/>
    <w:uiPriority w:val="1"/>
  </w:style>
  <w:style w:type="table" w:default="1" w:styleId="52">
    <w:name w:val="Normal Table"/>
    <w:unhideWhenUsed/>
    <w:uiPriority w:val="99"/>
    <w:tblPr>
      <w:tblStyle w:val="52"/>
      <w:tblCellMar>
        <w:top w:w="0" w:type="dxa"/>
        <w:left w:w="108" w:type="dxa"/>
        <w:bottom w:w="0" w:type="dxa"/>
        <w:right w:w="108" w:type="dxa"/>
      </w:tblCellMar>
    </w:tblPr>
  </w:style>
  <w:style w:type="paragraph" w:styleId="11">
    <w:name w:val="List 3"/>
    <w:basedOn w:val="1"/>
    <w:uiPriority w:val="99"/>
    <w:pPr>
      <w:ind w:left="100" w:leftChars="400" w:hanging="200" w:hangingChars="200"/>
    </w:pPr>
    <w:rPr>
      <w:szCs w:val="20"/>
    </w:rPr>
  </w:style>
  <w:style w:type="paragraph" w:styleId="12">
    <w:name w:val="toc 7"/>
    <w:basedOn w:val="1"/>
    <w:next w:val="1"/>
    <w:uiPriority w:val="0"/>
    <w:pPr>
      <w:ind w:left="2520" w:leftChars="1200"/>
    </w:pPr>
  </w:style>
  <w:style w:type="paragraph" w:styleId="13">
    <w:name w:val="List Number"/>
    <w:basedOn w:val="1"/>
    <w:qFormat/>
    <w:uiPriority w:val="0"/>
    <w:pPr>
      <w:numPr>
        <w:ilvl w:val="0"/>
        <w:numId w:val="1"/>
      </w:numPr>
      <w:tabs>
        <w:tab w:val="left" w:pos="360"/>
      </w:tabs>
    </w:pPr>
    <w:rPr>
      <w:szCs w:val="21"/>
    </w:rPr>
  </w:style>
  <w:style w:type="paragraph" w:styleId="14">
    <w:name w:val="Normal Indent"/>
    <w:basedOn w:val="1"/>
    <w:link w:val="179"/>
    <w:qFormat/>
    <w:uiPriority w:val="0"/>
    <w:pPr>
      <w:adjustRightInd w:val="0"/>
      <w:spacing w:line="315" w:lineRule="atLeast"/>
      <w:ind w:firstLine="420"/>
      <w:jc w:val="left"/>
      <w:textAlignment w:val="baseline"/>
    </w:pPr>
    <w:rPr>
      <w:rFonts w:ascii="宋体"/>
      <w:kern w:val="0"/>
      <w:szCs w:val="20"/>
    </w:rPr>
  </w:style>
  <w:style w:type="paragraph" w:styleId="15">
    <w:name w:val="caption"/>
    <w:basedOn w:val="1"/>
    <w:next w:val="1"/>
    <w:qFormat/>
    <w:uiPriority w:val="0"/>
    <w:rPr>
      <w:rFonts w:ascii="Cambria" w:hAnsi="Cambria" w:eastAsia="黑体" w:cs="Times New Roman"/>
      <w:sz w:val="20"/>
      <w:szCs w:val="20"/>
    </w:rPr>
  </w:style>
  <w:style w:type="paragraph" w:styleId="16">
    <w:name w:val="Document Map"/>
    <w:basedOn w:val="1"/>
    <w:semiHidden/>
    <w:uiPriority w:val="0"/>
    <w:pPr>
      <w:shd w:val="clear" w:color="auto" w:fill="000080"/>
    </w:pPr>
  </w:style>
  <w:style w:type="paragraph" w:styleId="17">
    <w:name w:val="annotation text"/>
    <w:basedOn w:val="1"/>
    <w:link w:val="107"/>
    <w:qFormat/>
    <w:uiPriority w:val="99"/>
    <w:pPr>
      <w:jc w:val="left"/>
    </w:pPr>
  </w:style>
  <w:style w:type="paragraph" w:styleId="18">
    <w:name w:val="Salutation"/>
    <w:basedOn w:val="1"/>
    <w:next w:val="1"/>
    <w:link w:val="201"/>
    <w:uiPriority w:val="0"/>
    <w:pPr>
      <w:numPr>
        <w:ilvl w:val="0"/>
        <w:numId w:val="2"/>
      </w:numPr>
      <w:tabs>
        <w:tab w:val="left" w:pos="1078"/>
      </w:tabs>
      <w:ind w:left="0" w:firstLine="0"/>
    </w:pPr>
    <w:rPr>
      <w:rFonts w:ascii="宋体"/>
      <w:sz w:val="24"/>
      <w:szCs w:val="20"/>
    </w:rPr>
  </w:style>
  <w:style w:type="paragraph" w:styleId="19">
    <w:name w:val="Body Text 3"/>
    <w:basedOn w:val="1"/>
    <w:uiPriority w:val="0"/>
    <w:pPr>
      <w:jc w:val="center"/>
    </w:pPr>
    <w:rPr>
      <w:rFonts w:ascii="宋体"/>
      <w:szCs w:val="20"/>
    </w:rPr>
  </w:style>
  <w:style w:type="paragraph" w:styleId="20">
    <w:name w:val="Body Text"/>
    <w:basedOn w:val="1"/>
    <w:link w:val="114"/>
    <w:qFormat/>
    <w:uiPriority w:val="0"/>
    <w:pPr>
      <w:spacing w:after="120"/>
    </w:pPr>
  </w:style>
  <w:style w:type="paragraph" w:styleId="21">
    <w:name w:val="Body Text Indent"/>
    <w:basedOn w:val="1"/>
    <w:link w:val="131"/>
    <w:qFormat/>
    <w:uiPriority w:val="0"/>
    <w:pPr>
      <w:spacing w:after="120"/>
      <w:ind w:left="420" w:leftChars="200"/>
    </w:pPr>
  </w:style>
  <w:style w:type="paragraph" w:styleId="22">
    <w:name w:val="List 2"/>
    <w:basedOn w:val="1"/>
    <w:qFormat/>
    <w:uiPriority w:val="0"/>
    <w:pPr>
      <w:ind w:left="100" w:leftChars="200" w:hanging="200" w:hangingChars="200"/>
    </w:pPr>
    <w:rPr>
      <w:szCs w:val="21"/>
    </w:rPr>
  </w:style>
  <w:style w:type="paragraph" w:styleId="23">
    <w:name w:val="Block Text"/>
    <w:basedOn w:val="1"/>
    <w:unhideWhenUsed/>
    <w:qFormat/>
    <w:uiPriority w:val="99"/>
    <w:pPr>
      <w:spacing w:after="120"/>
      <w:ind w:left="1440" w:leftChars="700" w:right="1440" w:rightChars="700"/>
    </w:pPr>
    <w:rPr>
      <w:szCs w:val="21"/>
    </w:rPr>
  </w:style>
  <w:style w:type="paragraph" w:styleId="24">
    <w:name w:val="toc 5"/>
    <w:basedOn w:val="1"/>
    <w:next w:val="1"/>
    <w:uiPriority w:val="0"/>
    <w:pPr>
      <w:ind w:left="1680" w:leftChars="800"/>
    </w:pPr>
  </w:style>
  <w:style w:type="paragraph" w:styleId="25">
    <w:name w:val="toc 3"/>
    <w:basedOn w:val="1"/>
    <w:next w:val="1"/>
    <w:uiPriority w:val="0"/>
    <w:pPr>
      <w:tabs>
        <w:tab w:val="right" w:leader="dot" w:pos="9180"/>
      </w:tabs>
    </w:pPr>
    <w:rPr>
      <w:lang/>
    </w:rPr>
  </w:style>
  <w:style w:type="paragraph" w:styleId="26">
    <w:name w:val="Plain Text"/>
    <w:basedOn w:val="1"/>
    <w:link w:val="116"/>
    <w:qFormat/>
    <w:uiPriority w:val="0"/>
    <w:rPr>
      <w:rFonts w:ascii="宋体" w:hAnsi="Courier New"/>
      <w:szCs w:val="21"/>
    </w:rPr>
  </w:style>
  <w:style w:type="paragraph" w:styleId="27">
    <w:name w:val="toc 8"/>
    <w:basedOn w:val="1"/>
    <w:next w:val="1"/>
    <w:uiPriority w:val="0"/>
    <w:pPr>
      <w:ind w:left="2940" w:leftChars="1400"/>
    </w:pPr>
  </w:style>
  <w:style w:type="paragraph" w:styleId="28">
    <w:name w:val="index 3"/>
    <w:basedOn w:val="1"/>
    <w:next w:val="1"/>
    <w:uiPriority w:val="0"/>
    <w:pPr>
      <w:adjustRightInd w:val="0"/>
      <w:spacing w:line="360" w:lineRule="atLeast"/>
      <w:ind w:left="400" w:leftChars="400"/>
      <w:jc w:val="left"/>
      <w:textAlignment w:val="baseline"/>
    </w:pPr>
    <w:rPr>
      <w:kern w:val="0"/>
      <w:sz w:val="24"/>
      <w:szCs w:val="20"/>
    </w:rPr>
  </w:style>
  <w:style w:type="paragraph" w:styleId="29">
    <w:name w:val="Date"/>
    <w:basedOn w:val="1"/>
    <w:next w:val="1"/>
    <w:link w:val="197"/>
    <w:qFormat/>
    <w:uiPriority w:val="0"/>
    <w:pPr>
      <w:adjustRightInd w:val="0"/>
      <w:spacing w:line="312" w:lineRule="atLeast"/>
      <w:textAlignment w:val="baseline"/>
    </w:pPr>
    <w:rPr>
      <w:rFonts w:ascii="仿宋_GB2312" w:eastAsia="仿宋_GB2312"/>
      <w:kern w:val="0"/>
      <w:sz w:val="28"/>
      <w:szCs w:val="20"/>
    </w:rPr>
  </w:style>
  <w:style w:type="paragraph" w:styleId="30">
    <w:name w:val="Body Text Indent 2"/>
    <w:basedOn w:val="1"/>
    <w:link w:val="77"/>
    <w:uiPriority w:val="0"/>
    <w:pPr>
      <w:spacing w:after="120" w:line="480" w:lineRule="auto"/>
      <w:ind w:left="420" w:leftChars="200"/>
    </w:pPr>
  </w:style>
  <w:style w:type="paragraph" w:styleId="31">
    <w:name w:val="endnote text"/>
    <w:basedOn w:val="1"/>
    <w:link w:val="122"/>
    <w:uiPriority w:val="0"/>
    <w:pPr>
      <w:snapToGrid w:val="0"/>
      <w:jc w:val="left"/>
    </w:pPr>
  </w:style>
  <w:style w:type="paragraph" w:styleId="32">
    <w:name w:val="Balloon Text"/>
    <w:basedOn w:val="1"/>
    <w:link w:val="149"/>
    <w:qFormat/>
    <w:uiPriority w:val="0"/>
    <w:rPr>
      <w:sz w:val="18"/>
      <w:szCs w:val="18"/>
    </w:rPr>
  </w:style>
  <w:style w:type="paragraph" w:styleId="33">
    <w:name w:val="footer"/>
    <w:basedOn w:val="1"/>
    <w:link w:val="200"/>
    <w:qFormat/>
    <w:uiPriority w:val="0"/>
    <w:pPr>
      <w:tabs>
        <w:tab w:val="center" w:pos="4153"/>
        <w:tab w:val="right" w:pos="8306"/>
      </w:tabs>
      <w:adjustRightInd w:val="0"/>
      <w:spacing w:line="240" w:lineRule="atLeast"/>
      <w:jc w:val="left"/>
      <w:textAlignment w:val="baseline"/>
    </w:pPr>
    <w:rPr>
      <w:kern w:val="0"/>
      <w:sz w:val="18"/>
      <w:szCs w:val="20"/>
    </w:rPr>
  </w:style>
  <w:style w:type="paragraph" w:styleId="34">
    <w:name w:val="header"/>
    <w:basedOn w:val="1"/>
    <w:link w:val="135"/>
    <w:qFormat/>
    <w:uiPriority w:val="99"/>
    <w:pPr>
      <w:pBdr>
        <w:bottom w:val="single" w:color="auto" w:sz="6" w:space="1"/>
      </w:pBdr>
      <w:tabs>
        <w:tab w:val="center" w:pos="4153"/>
        <w:tab w:val="right" w:pos="8306"/>
      </w:tabs>
      <w:adjustRightInd w:val="0"/>
      <w:spacing w:line="240" w:lineRule="atLeast"/>
      <w:jc w:val="center"/>
      <w:textAlignment w:val="baseline"/>
    </w:pPr>
    <w:rPr>
      <w:kern w:val="0"/>
      <w:sz w:val="18"/>
      <w:szCs w:val="20"/>
    </w:rPr>
  </w:style>
  <w:style w:type="paragraph" w:styleId="35">
    <w:name w:val="toc 1"/>
    <w:basedOn w:val="1"/>
    <w:next w:val="1"/>
    <w:uiPriority w:val="39"/>
    <w:pPr>
      <w:tabs>
        <w:tab w:val="right" w:leader="dot" w:pos="8834"/>
      </w:tabs>
      <w:spacing w:line="600" w:lineRule="exact"/>
    </w:pPr>
    <w:rPr>
      <w:szCs w:val="28"/>
      <w:lang/>
    </w:rPr>
  </w:style>
  <w:style w:type="paragraph" w:styleId="36">
    <w:name w:val="toc 4"/>
    <w:basedOn w:val="1"/>
    <w:next w:val="1"/>
    <w:uiPriority w:val="0"/>
    <w:pPr>
      <w:ind w:left="1260" w:leftChars="600"/>
    </w:pPr>
  </w:style>
  <w:style w:type="paragraph" w:styleId="37">
    <w:name w:val="Subtitle"/>
    <w:basedOn w:val="1"/>
    <w:next w:val="1"/>
    <w:link w:val="189"/>
    <w:qFormat/>
    <w:uiPriority w:val="0"/>
    <w:pPr>
      <w:spacing w:before="240" w:after="60" w:line="312" w:lineRule="auto"/>
      <w:jc w:val="center"/>
      <w:outlineLvl w:val="1"/>
    </w:pPr>
    <w:rPr>
      <w:rFonts w:ascii="Calibri Light" w:hAnsi="Calibri Light"/>
      <w:b/>
      <w:bCs/>
      <w:kern w:val="28"/>
      <w:sz w:val="32"/>
      <w:szCs w:val="32"/>
    </w:rPr>
  </w:style>
  <w:style w:type="paragraph" w:styleId="38">
    <w:name w:val="List"/>
    <w:basedOn w:val="1"/>
    <w:uiPriority w:val="0"/>
    <w:pPr>
      <w:ind w:left="200" w:hanging="200" w:hangingChars="200"/>
    </w:pPr>
  </w:style>
  <w:style w:type="paragraph" w:styleId="39">
    <w:name w:val="footnote text"/>
    <w:basedOn w:val="1"/>
    <w:link w:val="185"/>
    <w:uiPriority w:val="0"/>
    <w:pPr>
      <w:snapToGrid w:val="0"/>
      <w:jc w:val="left"/>
    </w:pPr>
    <w:rPr>
      <w:sz w:val="18"/>
      <w:szCs w:val="18"/>
    </w:rPr>
  </w:style>
  <w:style w:type="paragraph" w:styleId="40">
    <w:name w:val="toc 6"/>
    <w:basedOn w:val="1"/>
    <w:next w:val="1"/>
    <w:uiPriority w:val="0"/>
    <w:pPr>
      <w:ind w:left="2100" w:leftChars="1000"/>
    </w:pPr>
  </w:style>
  <w:style w:type="paragraph" w:styleId="41">
    <w:name w:val="Body Text Indent 3"/>
    <w:basedOn w:val="1"/>
    <w:link w:val="112"/>
    <w:qFormat/>
    <w:uiPriority w:val="0"/>
    <w:pPr>
      <w:spacing w:after="120"/>
      <w:ind w:left="420" w:leftChars="200"/>
    </w:pPr>
    <w:rPr>
      <w:sz w:val="16"/>
      <w:szCs w:val="16"/>
    </w:rPr>
  </w:style>
  <w:style w:type="paragraph" w:styleId="42">
    <w:name w:val="table of figures"/>
    <w:basedOn w:val="1"/>
    <w:next w:val="1"/>
    <w:semiHidden/>
    <w:uiPriority w:val="0"/>
    <w:pPr>
      <w:tabs>
        <w:tab w:val="left" w:pos="510"/>
      </w:tabs>
      <w:adjustRightInd w:val="0"/>
      <w:spacing w:line="240" w:lineRule="atLeast"/>
      <w:textAlignment w:val="baseline"/>
    </w:pPr>
    <w:rPr>
      <w:kern w:val="0"/>
      <w:sz w:val="24"/>
      <w:szCs w:val="20"/>
    </w:rPr>
  </w:style>
  <w:style w:type="paragraph" w:styleId="43">
    <w:name w:val="toc 2"/>
    <w:basedOn w:val="1"/>
    <w:next w:val="1"/>
    <w:uiPriority w:val="0"/>
    <w:pPr>
      <w:tabs>
        <w:tab w:val="right" w:leader="dot" w:pos="9180"/>
      </w:tabs>
      <w:jc w:val="left"/>
    </w:pPr>
    <w:rPr>
      <w:smallCaps/>
      <w:lang/>
    </w:rPr>
  </w:style>
  <w:style w:type="paragraph" w:styleId="44">
    <w:name w:val="toc 9"/>
    <w:basedOn w:val="1"/>
    <w:next w:val="1"/>
    <w:uiPriority w:val="0"/>
    <w:pPr>
      <w:ind w:left="3360" w:leftChars="1600"/>
    </w:pPr>
  </w:style>
  <w:style w:type="paragraph" w:styleId="45">
    <w:name w:val="Body Text 2"/>
    <w:basedOn w:val="1"/>
    <w:link w:val="92"/>
    <w:qFormat/>
    <w:uiPriority w:val="0"/>
    <w:rPr>
      <w:sz w:val="24"/>
    </w:rPr>
  </w:style>
  <w:style w:type="paragraph" w:styleId="46">
    <w:name w:val="List Continue 2"/>
    <w:basedOn w:val="1"/>
    <w:uiPriority w:val="0"/>
    <w:pPr>
      <w:spacing w:after="120"/>
      <w:ind w:left="840" w:leftChars="400"/>
    </w:pPr>
  </w:style>
  <w:style w:type="paragraph" w:styleId="4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8">
    <w:name w:val="index 1"/>
    <w:basedOn w:val="1"/>
    <w:next w:val="1"/>
    <w:uiPriority w:val="0"/>
  </w:style>
  <w:style w:type="paragraph" w:styleId="49">
    <w:name w:val="Title"/>
    <w:basedOn w:val="1"/>
    <w:next w:val="1"/>
    <w:link w:val="160"/>
    <w:qFormat/>
    <w:uiPriority w:val="0"/>
    <w:pPr>
      <w:spacing w:before="240" w:after="60"/>
      <w:jc w:val="center"/>
      <w:outlineLvl w:val="0"/>
    </w:pPr>
    <w:rPr>
      <w:rFonts w:ascii="Cambria" w:hAnsi="Cambria"/>
      <w:b/>
      <w:bCs/>
      <w:sz w:val="32"/>
      <w:szCs w:val="32"/>
    </w:rPr>
  </w:style>
  <w:style w:type="paragraph" w:styleId="50">
    <w:name w:val="annotation subject"/>
    <w:basedOn w:val="17"/>
    <w:next w:val="17"/>
    <w:link w:val="93"/>
    <w:unhideWhenUsed/>
    <w:qFormat/>
    <w:uiPriority w:val="99"/>
    <w:rPr>
      <w:b/>
      <w:bCs/>
    </w:rPr>
  </w:style>
  <w:style w:type="paragraph" w:styleId="51">
    <w:name w:val="Body Text First Indent"/>
    <w:basedOn w:val="20"/>
    <w:link w:val="137"/>
    <w:qFormat/>
    <w:uiPriority w:val="0"/>
    <w:pPr>
      <w:autoSpaceDE w:val="0"/>
      <w:autoSpaceDN w:val="0"/>
      <w:adjustRightInd w:val="0"/>
      <w:spacing w:after="0"/>
      <w:jc w:val="left"/>
    </w:pPr>
    <w:rPr>
      <w:kern w:val="0"/>
      <w:szCs w:val="20"/>
    </w:rPr>
  </w:style>
  <w:style w:type="table" w:styleId="53">
    <w:name w:val="Table Grid"/>
    <w:basedOn w:val="52"/>
    <w:qFormat/>
    <w:uiPriority w:val="0"/>
    <w:pPr>
      <w:widowControl w:val="0"/>
      <w:jc w:val="both"/>
    </w:pPr>
    <w:tblPr>
      <w:tblStyle w:val="5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0"/>
    <w:rPr>
      <w:b/>
      <w:bCs/>
    </w:rPr>
  </w:style>
  <w:style w:type="character" w:styleId="56">
    <w:name w:val="endnote reference"/>
    <w:uiPriority w:val="0"/>
    <w:rPr>
      <w:vertAlign w:val="superscript"/>
    </w:rPr>
  </w:style>
  <w:style w:type="character" w:styleId="57">
    <w:name w:val="page number"/>
    <w:basedOn w:val="54"/>
    <w:qFormat/>
    <w:uiPriority w:val="0"/>
  </w:style>
  <w:style w:type="character" w:styleId="58">
    <w:name w:val="FollowedHyperlink"/>
    <w:qFormat/>
    <w:uiPriority w:val="0"/>
    <w:rPr>
      <w:color w:val="800080"/>
      <w:u w:val="single"/>
    </w:rPr>
  </w:style>
  <w:style w:type="character" w:styleId="59">
    <w:name w:val="Emphasis"/>
    <w:qFormat/>
    <w:uiPriority w:val="0"/>
    <w:rPr>
      <w:i/>
      <w:iCs/>
    </w:rPr>
  </w:style>
  <w:style w:type="character" w:styleId="60">
    <w:name w:val="line number"/>
    <w:basedOn w:val="54"/>
    <w:uiPriority w:val="99"/>
  </w:style>
  <w:style w:type="character" w:styleId="61">
    <w:name w:val="HTML Typewriter"/>
    <w:uiPriority w:val="0"/>
    <w:rPr>
      <w:rFonts w:ascii="黑体" w:hAnsi="Courier New" w:eastAsia="黑体" w:cs="Courier New"/>
      <w:spacing w:val="312"/>
      <w:sz w:val="18"/>
      <w:szCs w:val="18"/>
    </w:rPr>
  </w:style>
  <w:style w:type="character" w:styleId="62">
    <w:name w:val="Hyperlink"/>
    <w:qFormat/>
    <w:uiPriority w:val="99"/>
    <w:rPr>
      <w:color w:val="0000FF"/>
      <w:u w:val="single"/>
    </w:rPr>
  </w:style>
  <w:style w:type="character" w:styleId="63">
    <w:name w:val="annotation reference"/>
    <w:unhideWhenUsed/>
    <w:qFormat/>
    <w:uiPriority w:val="0"/>
    <w:rPr>
      <w:sz w:val="21"/>
      <w:szCs w:val="21"/>
    </w:rPr>
  </w:style>
  <w:style w:type="character" w:styleId="64">
    <w:name w:val="footnote reference"/>
    <w:uiPriority w:val="99"/>
    <w:rPr>
      <w:vertAlign w:val="superscript"/>
    </w:rPr>
  </w:style>
  <w:style w:type="character" w:customStyle="1" w:styleId="65">
    <w:name w:val="已访问的超链接1"/>
    <w:uiPriority w:val="0"/>
    <w:rPr>
      <w:color w:val="800080"/>
      <w:u w:val="single"/>
    </w:rPr>
  </w:style>
  <w:style w:type="character" w:customStyle="1" w:styleId="66">
    <w:name w:val="Char Char9"/>
    <w:uiPriority w:val="0"/>
    <w:rPr>
      <w:kern w:val="2"/>
      <w:sz w:val="18"/>
      <w:szCs w:val="18"/>
    </w:rPr>
  </w:style>
  <w:style w:type="character" w:customStyle="1" w:styleId="67">
    <w:name w:val="font71"/>
    <w:uiPriority w:val="0"/>
    <w:rPr>
      <w:rFonts w:ascii="BatangChe" w:hAnsi="BatangChe" w:eastAsia="BatangChe" w:cs="BatangChe"/>
      <w:color w:val="000000"/>
      <w:sz w:val="20"/>
      <w:szCs w:val="20"/>
      <w:u w:val="none"/>
    </w:rPr>
  </w:style>
  <w:style w:type="character" w:customStyle="1" w:styleId="68">
    <w:name w:val="font101"/>
    <w:basedOn w:val="54"/>
    <w:uiPriority w:val="0"/>
    <w:rPr>
      <w:rFonts w:hint="eastAsia" w:ascii="宋体" w:hAnsi="宋体" w:eastAsia="宋体" w:cs="宋体"/>
      <w:color w:val="000000"/>
      <w:sz w:val="20"/>
      <w:szCs w:val="20"/>
      <w:u w:val="none"/>
    </w:rPr>
  </w:style>
  <w:style w:type="character" w:customStyle="1" w:styleId="69">
    <w:name w:val="副标题 Char"/>
    <w:uiPriority w:val="0"/>
    <w:rPr>
      <w:rFonts w:ascii="Calibri Light" w:hAnsi="Calibri Light" w:cs="Times New Roman"/>
      <w:b/>
      <w:bCs/>
      <w:kern w:val="28"/>
      <w:sz w:val="32"/>
      <w:szCs w:val="32"/>
    </w:rPr>
  </w:style>
  <w:style w:type="character" w:customStyle="1" w:styleId="70">
    <w:name w:val="jbox-icon-success"/>
    <w:basedOn w:val="54"/>
    <w:uiPriority w:val="0"/>
  </w:style>
  <w:style w:type="character" w:customStyle="1" w:styleId="71">
    <w:name w:val="标题 1 Char"/>
    <w:qFormat/>
    <w:locked/>
    <w:uiPriority w:val="0"/>
    <w:rPr>
      <w:rFonts w:eastAsia="宋体"/>
      <w:b/>
      <w:bCs/>
      <w:kern w:val="44"/>
      <w:sz w:val="44"/>
      <w:szCs w:val="44"/>
      <w:lang w:val="en-US" w:eastAsia="zh-CN" w:bidi="ar-SA"/>
    </w:rPr>
  </w:style>
  <w:style w:type="character" w:customStyle="1" w:styleId="72">
    <w:name w:val="称呼 Char1"/>
    <w:basedOn w:val="54"/>
    <w:uiPriority w:val="0"/>
    <w:rPr>
      <w:kern w:val="2"/>
      <w:sz w:val="21"/>
      <w:szCs w:val="24"/>
    </w:rPr>
  </w:style>
  <w:style w:type="character" w:customStyle="1" w:styleId="73">
    <w:name w:val="标题 4 Char"/>
    <w:qFormat/>
    <w:uiPriority w:val="0"/>
    <w:rPr>
      <w:rFonts w:ascii="Arial" w:hAnsi="Arial" w:eastAsia="黑体"/>
      <w:b/>
      <w:bCs/>
      <w:kern w:val="2"/>
      <w:sz w:val="28"/>
      <w:szCs w:val="28"/>
      <w:lang w:val="en-US" w:eastAsia="zh-CN" w:bidi="ar-SA"/>
    </w:rPr>
  </w:style>
  <w:style w:type="character" w:customStyle="1" w:styleId="74">
    <w:name w:val="text1"/>
    <w:uiPriority w:val="0"/>
    <w:rPr>
      <w:color w:val="000000"/>
      <w:sz w:val="24"/>
      <w:szCs w:val="24"/>
    </w:rPr>
  </w:style>
  <w:style w:type="character" w:customStyle="1" w:styleId="75">
    <w:name w:val="font11"/>
    <w:uiPriority w:val="0"/>
    <w:rPr>
      <w:rFonts w:hint="default" w:ascii="仿宋_GB2312" w:eastAsia="仿宋_GB2312" w:cs="仿宋_GB2312"/>
      <w:color w:val="000000"/>
      <w:sz w:val="20"/>
      <w:szCs w:val="20"/>
      <w:u w:val="none"/>
    </w:rPr>
  </w:style>
  <w:style w:type="character" w:customStyle="1" w:styleId="76">
    <w:name w:val="title11"/>
    <w:basedOn w:val="54"/>
    <w:uiPriority w:val="0"/>
    <w:rPr>
      <w:sz w:val="21"/>
    </w:rPr>
  </w:style>
  <w:style w:type="character" w:customStyle="1" w:styleId="77">
    <w:name w:val="正文文本缩进 2 Char"/>
    <w:link w:val="30"/>
    <w:uiPriority w:val="0"/>
    <w:rPr>
      <w:kern w:val="2"/>
      <w:sz w:val="21"/>
      <w:szCs w:val="24"/>
    </w:rPr>
  </w:style>
  <w:style w:type="character" w:customStyle="1" w:styleId="78">
    <w:name w:val="chs1"/>
    <w:uiPriority w:val="0"/>
    <w:rPr>
      <w:sz w:val="18"/>
      <w:szCs w:val="18"/>
    </w:rPr>
  </w:style>
  <w:style w:type="character" w:customStyle="1" w:styleId="79">
    <w:name w:val="批注文字 Char1"/>
    <w:uiPriority w:val="99"/>
    <w:rPr>
      <w:kern w:val="2"/>
      <w:sz w:val="21"/>
      <w:szCs w:val="24"/>
    </w:rPr>
  </w:style>
  <w:style w:type="character" w:customStyle="1" w:styleId="80">
    <w:name w:val="Ref Heading 1"/>
    <w:aliases w:val="rh1,Heading sql,sect 1.2.3.4,h4,heading 4,sect 1.2.3.41,Ref Heading 11,rh11,sect 1.2.3.42,Ref Heading 12,rh12,sect 1.2.3.411,Ref Heading 111,rh111,sect 1.2.3.43,Ref Heading 13,rh13,sect 1.2.3.412,Ref Heading 112,rh112,PIM 4,(一)"/>
    <w:uiPriority w:val="0"/>
  </w:style>
  <w:style w:type="character" w:customStyle="1" w:styleId="81">
    <w:name w:val="dg2"/>
    <w:basedOn w:val="54"/>
    <w:uiPriority w:val="0"/>
  </w:style>
  <w:style w:type="character" w:customStyle="1" w:styleId="82">
    <w:name w:val="zjaf121"/>
    <w:basedOn w:val="54"/>
    <w:uiPriority w:val="0"/>
    <w:rPr>
      <w:rFonts w:hint="default" w:ascii="zjaf" w:hAnsi="zjaf"/>
      <w:sz w:val="23"/>
      <w:szCs w:val="23"/>
    </w:rPr>
  </w:style>
  <w:style w:type="character" w:customStyle="1" w:styleId="83">
    <w:name w:val="Body Text Indent Char1"/>
    <w:basedOn w:val="54"/>
    <w:semiHidden/>
    <w:uiPriority w:val="99"/>
    <w:rPr>
      <w:szCs w:val="20"/>
    </w:rPr>
  </w:style>
  <w:style w:type="character" w:customStyle="1" w:styleId="84">
    <w:name w:val="正文首行缩进 Char1"/>
    <w:qFormat/>
    <w:uiPriority w:val="0"/>
  </w:style>
  <w:style w:type="character" w:customStyle="1" w:styleId="85">
    <w:name w:val="font51"/>
    <w:uiPriority w:val="0"/>
    <w:rPr>
      <w:rFonts w:hint="default" w:ascii="Times New Roman" w:hAnsi="Times New Roman" w:cs="Times New Roman"/>
      <w:color w:val="000000"/>
      <w:sz w:val="20"/>
      <w:szCs w:val="20"/>
      <w:u w:val="none"/>
    </w:rPr>
  </w:style>
  <w:style w:type="character" w:customStyle="1" w:styleId="86">
    <w:name w:val="2级标题 Char"/>
    <w:link w:val="87"/>
    <w:uiPriority w:val="0"/>
    <w:rPr>
      <w:rFonts w:ascii="Arial" w:hAnsi="黑体" w:eastAsia="黑体"/>
      <w:b/>
      <w:kern w:val="2"/>
      <w:sz w:val="24"/>
      <w:szCs w:val="24"/>
    </w:rPr>
  </w:style>
  <w:style w:type="paragraph" w:customStyle="1" w:styleId="87">
    <w:name w:val="2级标题"/>
    <w:basedOn w:val="1"/>
    <w:link w:val="86"/>
    <w:qFormat/>
    <w:uiPriority w:val="0"/>
    <w:pPr>
      <w:numPr>
        <w:ilvl w:val="1"/>
        <w:numId w:val="3"/>
      </w:numPr>
      <w:tabs>
        <w:tab w:val="left" w:pos="1710"/>
      </w:tabs>
      <w:spacing w:line="360" w:lineRule="auto"/>
      <w:ind w:left="861" w:hanging="612"/>
      <w:outlineLvl w:val="1"/>
    </w:pPr>
    <w:rPr>
      <w:rFonts w:ascii="Arial" w:hAnsi="黑体" w:eastAsia="黑体"/>
      <w:b/>
      <w:sz w:val="24"/>
    </w:rPr>
  </w:style>
  <w:style w:type="character" w:customStyle="1" w:styleId="88">
    <w:name w:val="jn_4"/>
    <w:basedOn w:val="54"/>
    <w:uiPriority w:val="0"/>
  </w:style>
  <w:style w:type="character" w:customStyle="1" w:styleId="89">
    <w:name w:val="Table Text Char1"/>
    <w:basedOn w:val="54"/>
    <w:uiPriority w:val="0"/>
    <w:rPr>
      <w:rFonts w:ascii="Arial" w:hAnsi="Arial" w:eastAsia="宋体"/>
      <w:sz w:val="18"/>
      <w:lang w:val="en-US" w:eastAsia="zh-CN" w:bidi="ar-SA"/>
    </w:rPr>
  </w:style>
  <w:style w:type="character" w:customStyle="1" w:styleId="90">
    <w:name w:val="z-窗体顶端 Char2"/>
    <w:link w:val="91"/>
    <w:uiPriority w:val="99"/>
    <w:rPr>
      <w:rFonts w:ascii="Arial" w:hAnsi="Arial" w:cs="Arial"/>
      <w:vanish/>
      <w:sz w:val="16"/>
      <w:szCs w:val="16"/>
    </w:rPr>
  </w:style>
  <w:style w:type="paragraph" w:styleId="91">
    <w:name w:val=""/>
    <w:basedOn w:val="1"/>
    <w:next w:val="1"/>
    <w:link w:val="90"/>
    <w:unhideWhenUsed/>
    <w:uiPriority w:val="99"/>
    <w:pPr>
      <w:widowControl/>
      <w:pBdr>
        <w:bottom w:val="single" w:color="auto" w:sz="6" w:space="1"/>
      </w:pBdr>
      <w:jc w:val="center"/>
    </w:pPr>
    <w:rPr>
      <w:rFonts w:ascii="Arial" w:hAnsi="Arial"/>
      <w:vanish/>
      <w:kern w:val="0"/>
      <w:sz w:val="16"/>
      <w:szCs w:val="16"/>
    </w:rPr>
  </w:style>
  <w:style w:type="character" w:customStyle="1" w:styleId="92">
    <w:name w:val="正文文本 2 Char"/>
    <w:link w:val="45"/>
    <w:uiPriority w:val="0"/>
    <w:rPr>
      <w:kern w:val="2"/>
      <w:sz w:val="24"/>
      <w:szCs w:val="24"/>
    </w:rPr>
  </w:style>
  <w:style w:type="character" w:customStyle="1" w:styleId="93">
    <w:name w:val="批注主题 Char2"/>
    <w:link w:val="50"/>
    <w:uiPriority w:val="99"/>
    <w:rPr>
      <w:b/>
      <w:bCs/>
      <w:kern w:val="2"/>
      <w:sz w:val="21"/>
      <w:szCs w:val="24"/>
    </w:rPr>
  </w:style>
  <w:style w:type="character" w:customStyle="1" w:styleId="94">
    <w:name w:val="font21"/>
    <w:uiPriority w:val="0"/>
    <w:rPr>
      <w:rFonts w:ascii="Arial" w:hAnsi="Arial" w:cs="Arial"/>
      <w:color w:val="000000"/>
      <w:sz w:val="20"/>
      <w:szCs w:val="20"/>
      <w:u w:val="none"/>
    </w:rPr>
  </w:style>
  <w:style w:type="character" w:customStyle="1" w:styleId="95">
    <w:name w:val="font91"/>
    <w:basedOn w:val="54"/>
    <w:uiPriority w:val="0"/>
    <w:rPr>
      <w:rFonts w:hint="eastAsia" w:ascii="宋体" w:hAnsi="宋体" w:eastAsia="宋体" w:cs="宋体"/>
      <w:b/>
      <w:color w:val="000000"/>
      <w:sz w:val="20"/>
      <w:szCs w:val="20"/>
      <w:u w:val="none"/>
    </w:rPr>
  </w:style>
  <w:style w:type="character" w:customStyle="1" w:styleId="96">
    <w:name w:val="Table Text Char Char Char Char"/>
    <w:uiPriority w:val="0"/>
    <w:rPr>
      <w:rFonts w:ascii="Arial" w:hAnsi="Arial" w:eastAsia="宋体" w:cs="Arial"/>
      <w:kern w:val="2"/>
      <w:sz w:val="18"/>
      <w:szCs w:val="18"/>
      <w:lang w:val="en-US" w:eastAsia="zh-CN" w:bidi="ar-SA"/>
    </w:rPr>
  </w:style>
  <w:style w:type="character" w:customStyle="1" w:styleId="97">
    <w:name w:val="jbox-icon-none"/>
    <w:uiPriority w:val="0"/>
    <w:rPr>
      <w:vanish/>
    </w:rPr>
  </w:style>
  <w:style w:type="character" w:customStyle="1" w:styleId="98">
    <w:name w:val="列出段落 Char"/>
    <w:link w:val="99"/>
    <w:locked/>
    <w:uiPriority w:val="0"/>
    <w:rPr>
      <w:kern w:val="2"/>
      <w:sz w:val="21"/>
      <w:szCs w:val="24"/>
    </w:rPr>
  </w:style>
  <w:style w:type="paragraph" w:styleId="99">
    <w:name w:val="List Paragraph"/>
    <w:basedOn w:val="1"/>
    <w:link w:val="98"/>
    <w:qFormat/>
    <w:uiPriority w:val="0"/>
    <w:pPr>
      <w:ind w:firstLine="420" w:firstLineChars="200"/>
    </w:pPr>
  </w:style>
  <w:style w:type="character" w:customStyle="1" w:styleId="100">
    <w:name w:val="标题 4 Char1"/>
    <w:link w:val="5"/>
    <w:uiPriority w:val="0"/>
    <w:rPr>
      <w:rFonts w:ascii="Arial" w:hAnsi="Arial" w:eastAsia="黑体"/>
      <w:b/>
      <w:bCs/>
      <w:kern w:val="2"/>
      <w:sz w:val="28"/>
      <w:szCs w:val="28"/>
    </w:rPr>
  </w:style>
  <w:style w:type="character" w:customStyle="1" w:styleId="101">
    <w:name w:val="subheader"/>
    <w:basedOn w:val="54"/>
    <w:uiPriority w:val="0"/>
  </w:style>
  <w:style w:type="character" w:customStyle="1" w:styleId="102">
    <w:name w:val="aa1"/>
    <w:uiPriority w:val="0"/>
    <w:rPr>
      <w:spacing w:val="300"/>
    </w:rPr>
  </w:style>
  <w:style w:type="character" w:customStyle="1" w:styleId="103">
    <w:name w:val="Body Text Char1"/>
    <w:basedOn w:val="54"/>
    <w:semiHidden/>
    <w:uiPriority w:val="99"/>
    <w:rPr>
      <w:szCs w:val="20"/>
    </w:rPr>
  </w:style>
  <w:style w:type="character" w:customStyle="1" w:styleId="104">
    <w:name w:val="a41"/>
    <w:uiPriority w:val="0"/>
    <w:rPr>
      <w:color w:val="666666"/>
      <w:sz w:val="26"/>
      <w:szCs w:val="26"/>
    </w:rPr>
  </w:style>
  <w:style w:type="character" w:customStyle="1" w:styleId="105">
    <w:name w:val="jbox-icon-error"/>
    <w:basedOn w:val="54"/>
    <w:uiPriority w:val="0"/>
  </w:style>
  <w:style w:type="character" w:customStyle="1" w:styleId="106">
    <w:name w:val="标题 3 字符"/>
    <w:uiPriority w:val="9"/>
    <w:rPr>
      <w:b/>
      <w:bCs/>
      <w:sz w:val="32"/>
      <w:szCs w:val="32"/>
    </w:rPr>
  </w:style>
  <w:style w:type="character" w:customStyle="1" w:styleId="107">
    <w:name w:val="批注文字 Char2"/>
    <w:link w:val="17"/>
    <w:uiPriority w:val="99"/>
    <w:rPr>
      <w:kern w:val="2"/>
      <w:sz w:val="21"/>
      <w:szCs w:val="24"/>
    </w:rPr>
  </w:style>
  <w:style w:type="character" w:customStyle="1" w:styleId="108">
    <w:name w:val="批注主题 Char"/>
    <w:uiPriority w:val="0"/>
    <w:rPr>
      <w:b/>
      <w:bCs/>
      <w:kern w:val="2"/>
      <w:sz w:val="21"/>
      <w:szCs w:val="24"/>
    </w:rPr>
  </w:style>
  <w:style w:type="character" w:customStyle="1" w:styleId="109">
    <w:name w:val="text"/>
    <w:basedOn w:val="54"/>
    <w:uiPriority w:val="0"/>
  </w:style>
  <w:style w:type="character" w:customStyle="1" w:styleId="110">
    <w:name w:val="font41"/>
    <w:uiPriority w:val="0"/>
    <w:rPr>
      <w:rFonts w:hint="eastAsia" w:ascii="宋体" w:hAnsi="宋体" w:eastAsia="宋体" w:cs="宋体"/>
      <w:color w:val="000000"/>
      <w:sz w:val="22"/>
      <w:szCs w:val="22"/>
      <w:u w:val="none"/>
    </w:rPr>
  </w:style>
  <w:style w:type="character" w:customStyle="1" w:styleId="111">
    <w:name w:val="font61"/>
    <w:uiPriority w:val="0"/>
    <w:rPr>
      <w:rFonts w:hint="eastAsia" w:ascii="宋体" w:hAnsi="宋体" w:eastAsia="宋体" w:cs="宋体"/>
      <w:color w:val="000000"/>
      <w:sz w:val="22"/>
      <w:szCs w:val="22"/>
      <w:u w:val="none"/>
    </w:rPr>
  </w:style>
  <w:style w:type="character" w:customStyle="1" w:styleId="112">
    <w:name w:val="正文文本缩进 3 Char"/>
    <w:link w:val="41"/>
    <w:uiPriority w:val="0"/>
    <w:rPr>
      <w:kern w:val="2"/>
      <w:sz w:val="16"/>
      <w:szCs w:val="16"/>
    </w:rPr>
  </w:style>
  <w:style w:type="character" w:customStyle="1" w:styleId="113">
    <w:name w:val="Body Text First Indent Char1"/>
    <w:basedOn w:val="114"/>
    <w:semiHidden/>
    <w:uiPriority w:val="99"/>
    <w:rPr>
      <w:rFonts w:ascii="宋体" w:hAnsi="宋体" w:eastAsia="宋体"/>
      <w:sz w:val="24"/>
      <w:szCs w:val="20"/>
      <w:lang w:bidi="ar-SA"/>
    </w:rPr>
  </w:style>
  <w:style w:type="character" w:customStyle="1" w:styleId="114">
    <w:name w:val="正文文本 Char"/>
    <w:link w:val="20"/>
    <w:uiPriority w:val="0"/>
    <w:rPr>
      <w:kern w:val="2"/>
      <w:sz w:val="21"/>
      <w:szCs w:val="24"/>
    </w:rPr>
  </w:style>
  <w:style w:type="character" w:customStyle="1" w:styleId="115">
    <w:name w:val="font01"/>
    <w:uiPriority w:val="0"/>
    <w:rPr>
      <w:rFonts w:hint="eastAsia" w:ascii="宋体" w:hAnsi="宋体" w:eastAsia="宋体" w:cs="宋体"/>
      <w:color w:val="000000"/>
      <w:sz w:val="20"/>
      <w:szCs w:val="20"/>
      <w:u w:val="none"/>
      <w:vertAlign w:val="superscript"/>
    </w:rPr>
  </w:style>
  <w:style w:type="character" w:customStyle="1" w:styleId="116">
    <w:name w:val="纯文本 Char"/>
    <w:link w:val="26"/>
    <w:qFormat/>
    <w:uiPriority w:val="0"/>
    <w:rPr>
      <w:rFonts w:ascii="宋体" w:hAnsi="Courier New" w:cs="Courier New"/>
      <w:kern w:val="2"/>
      <w:sz w:val="21"/>
      <w:szCs w:val="21"/>
    </w:rPr>
  </w:style>
  <w:style w:type="character" w:customStyle="1" w:styleId="117">
    <w:name w:val="批注主题 Char1"/>
    <w:uiPriority w:val="99"/>
    <w:rPr>
      <w:b/>
      <w:bCs/>
      <w:kern w:val="2"/>
      <w:sz w:val="21"/>
      <w:szCs w:val="24"/>
    </w:rPr>
  </w:style>
  <w:style w:type="character" w:customStyle="1" w:styleId="118">
    <w:name w:val="标书正文格式 Char Char Char"/>
    <w:basedOn w:val="54"/>
    <w:link w:val="119"/>
    <w:uiPriority w:val="0"/>
    <w:rPr>
      <w:rFonts w:eastAsia="楷体_GB2312"/>
      <w:kern w:val="2"/>
      <w:sz w:val="24"/>
      <w:lang w:val="en-US" w:eastAsia="zh-CN" w:bidi="ar-SA"/>
    </w:rPr>
  </w:style>
  <w:style w:type="paragraph" w:customStyle="1" w:styleId="119">
    <w:name w:val="标书正文格式 Char Char"/>
    <w:link w:val="118"/>
    <w:uiPriority w:val="0"/>
    <w:pPr>
      <w:spacing w:line="360" w:lineRule="auto"/>
      <w:ind w:firstLine="200" w:firstLineChars="200"/>
    </w:pPr>
    <w:rPr>
      <w:rFonts w:eastAsia="楷体_GB2312"/>
      <w:kern w:val="2"/>
      <w:sz w:val="24"/>
      <w:lang w:val="en-US" w:eastAsia="zh-CN" w:bidi="ar-SA"/>
    </w:rPr>
  </w:style>
  <w:style w:type="character" w:customStyle="1" w:styleId="120">
    <w:name w:val="标书正文 Char"/>
    <w:link w:val="121"/>
    <w:uiPriority w:val="0"/>
    <w:rPr>
      <w:kern w:val="2"/>
      <w:sz w:val="24"/>
      <w:szCs w:val="22"/>
    </w:rPr>
  </w:style>
  <w:style w:type="paragraph" w:customStyle="1" w:styleId="121">
    <w:name w:val="标书正文"/>
    <w:basedOn w:val="1"/>
    <w:link w:val="120"/>
    <w:qFormat/>
    <w:uiPriority w:val="0"/>
    <w:pPr>
      <w:spacing w:line="400" w:lineRule="exact"/>
    </w:pPr>
    <w:rPr>
      <w:sz w:val="24"/>
      <w:szCs w:val="22"/>
    </w:rPr>
  </w:style>
  <w:style w:type="character" w:customStyle="1" w:styleId="122">
    <w:name w:val="尾注文本 Char"/>
    <w:link w:val="31"/>
    <w:uiPriority w:val="0"/>
    <w:rPr>
      <w:kern w:val="2"/>
      <w:sz w:val="21"/>
      <w:szCs w:val="24"/>
    </w:rPr>
  </w:style>
  <w:style w:type="character" w:customStyle="1" w:styleId="123">
    <w:name w:val="正文2 Char Char"/>
    <w:link w:val="124"/>
    <w:uiPriority w:val="0"/>
    <w:rPr>
      <w:kern w:val="2"/>
      <w:sz w:val="24"/>
    </w:rPr>
  </w:style>
  <w:style w:type="paragraph" w:customStyle="1" w:styleId="124">
    <w:name w:val="正文2"/>
    <w:basedOn w:val="1"/>
    <w:link w:val="123"/>
    <w:uiPriority w:val="0"/>
    <w:pPr>
      <w:spacing w:before="156" w:line="360" w:lineRule="auto"/>
      <w:ind w:firstLine="510" w:firstLineChars="200"/>
    </w:pPr>
    <w:rPr>
      <w:sz w:val="24"/>
      <w:szCs w:val="20"/>
    </w:rPr>
  </w:style>
  <w:style w:type="character" w:customStyle="1" w:styleId="125">
    <w:name w:val=" Char Char10"/>
    <w:qFormat/>
    <w:locked/>
    <w:uiPriority w:val="0"/>
    <w:rPr>
      <w:rFonts w:ascii="宋体" w:hAnsi="Courier New" w:eastAsia="宋体" w:cs="宋体"/>
      <w:lang w:val="en-US" w:eastAsia="zh-CN"/>
    </w:rPr>
  </w:style>
  <w:style w:type="character" w:customStyle="1" w:styleId="126">
    <w:name w:val="标题 1 Char2"/>
    <w:link w:val="2"/>
    <w:uiPriority w:val="0"/>
    <w:rPr>
      <w:b/>
      <w:kern w:val="44"/>
      <w:sz w:val="44"/>
    </w:rPr>
  </w:style>
  <w:style w:type="character" w:customStyle="1" w:styleId="127">
    <w:name w:val="标书正文格式 Char"/>
    <w:basedOn w:val="54"/>
    <w:link w:val="128"/>
    <w:uiPriority w:val="0"/>
    <w:rPr>
      <w:rFonts w:eastAsia="仿宋_GB2312"/>
      <w:kern w:val="2"/>
      <w:sz w:val="24"/>
      <w:szCs w:val="24"/>
      <w:lang w:val="en-US" w:eastAsia="zh-CN" w:bidi="ar-SA"/>
    </w:rPr>
  </w:style>
  <w:style w:type="paragraph" w:customStyle="1" w:styleId="128">
    <w:name w:val="标书正文格式"/>
    <w:link w:val="127"/>
    <w:uiPriority w:val="0"/>
    <w:pPr>
      <w:spacing w:line="360" w:lineRule="auto"/>
      <w:ind w:firstLine="200" w:firstLineChars="200"/>
    </w:pPr>
    <w:rPr>
      <w:rFonts w:eastAsia="仿宋_GB2312"/>
      <w:kern w:val="2"/>
      <w:sz w:val="24"/>
      <w:szCs w:val="24"/>
      <w:lang w:val="en-US" w:eastAsia="zh-CN" w:bidi="ar-SA"/>
    </w:rPr>
  </w:style>
  <w:style w:type="character" w:customStyle="1" w:styleId="129">
    <w:name w:val="页脚 字符"/>
    <w:semiHidden/>
    <w:uiPriority w:val="99"/>
    <w:rPr>
      <w:rFonts w:ascii="Times New Roman" w:hAnsi="Times New Roman"/>
      <w:kern w:val="2"/>
      <w:sz w:val="18"/>
      <w:szCs w:val="18"/>
    </w:rPr>
  </w:style>
  <w:style w:type="character" w:customStyle="1" w:styleId="130">
    <w:name w:val=" Char Char13"/>
    <w:qFormat/>
    <w:locked/>
    <w:uiPriority w:val="0"/>
    <w:rPr>
      <w:rFonts w:ascii="宋体" w:hAnsi="Courier New" w:eastAsia="宋体" w:cs="宋体"/>
      <w:sz w:val="24"/>
      <w:szCs w:val="24"/>
    </w:rPr>
  </w:style>
  <w:style w:type="character" w:customStyle="1" w:styleId="131">
    <w:name w:val="正文文本缩进 Char"/>
    <w:link w:val="21"/>
    <w:qFormat/>
    <w:locked/>
    <w:uiPriority w:val="0"/>
    <w:rPr>
      <w:kern w:val="2"/>
      <w:sz w:val="21"/>
      <w:szCs w:val="24"/>
    </w:rPr>
  </w:style>
  <w:style w:type="character" w:customStyle="1" w:styleId="132">
    <w:name w:val="font31"/>
    <w:uiPriority w:val="0"/>
    <w:rPr>
      <w:rFonts w:hint="default" w:ascii="仿宋_GB2312" w:eastAsia="仿宋_GB2312" w:cs="仿宋_GB2312"/>
      <w:color w:val="000000"/>
      <w:sz w:val="20"/>
      <w:szCs w:val="20"/>
      <w:u w:val="none"/>
    </w:rPr>
  </w:style>
  <w:style w:type="character" w:customStyle="1" w:styleId="133">
    <w:name w:val="Body Text Indent 2 Char1"/>
    <w:basedOn w:val="54"/>
    <w:semiHidden/>
    <w:uiPriority w:val="99"/>
    <w:rPr>
      <w:szCs w:val="20"/>
    </w:rPr>
  </w:style>
  <w:style w:type="character" w:customStyle="1" w:styleId="134">
    <w:name w:val="layui-laypage-curr"/>
    <w:basedOn w:val="54"/>
    <w:uiPriority w:val="0"/>
  </w:style>
  <w:style w:type="character" w:customStyle="1" w:styleId="135">
    <w:name w:val="页眉 Char"/>
    <w:link w:val="34"/>
    <w:qFormat/>
    <w:uiPriority w:val="99"/>
    <w:rPr>
      <w:sz w:val="18"/>
    </w:rPr>
  </w:style>
  <w:style w:type="character" w:customStyle="1" w:styleId="136">
    <w:name w:val="批注框文本 Char"/>
    <w:uiPriority w:val="0"/>
    <w:rPr>
      <w:kern w:val="2"/>
      <w:sz w:val="18"/>
      <w:szCs w:val="18"/>
    </w:rPr>
  </w:style>
  <w:style w:type="character" w:customStyle="1" w:styleId="137">
    <w:name w:val="正文首行缩进 Char"/>
    <w:basedOn w:val="114"/>
    <w:link w:val="51"/>
    <w:uiPriority w:val="0"/>
  </w:style>
  <w:style w:type="character" w:customStyle="1" w:styleId="138">
    <w:name w:val="de-line-l"/>
    <w:basedOn w:val="54"/>
    <w:uiPriority w:val="0"/>
  </w:style>
  <w:style w:type="character" w:customStyle="1" w:styleId="139">
    <w:name w:val="z-窗体底端 Char1"/>
    <w:uiPriority w:val="99"/>
    <w:rPr>
      <w:rFonts w:ascii="Arial" w:hAnsi="Arial" w:cs="Arial"/>
      <w:vanish/>
      <w:sz w:val="16"/>
      <w:szCs w:val="16"/>
    </w:rPr>
  </w:style>
  <w:style w:type="character" w:customStyle="1" w:styleId="140">
    <w:name w:val="页眉 Char1"/>
    <w:uiPriority w:val="0"/>
    <w:rPr>
      <w:kern w:val="2"/>
      <w:sz w:val="18"/>
      <w:szCs w:val="18"/>
    </w:rPr>
  </w:style>
  <w:style w:type="character" w:customStyle="1" w:styleId="141">
    <w:name w:val="首行缩进2字符 Char Char"/>
    <w:link w:val="142"/>
    <w:uiPriority w:val="0"/>
    <w:rPr>
      <w:sz w:val="24"/>
      <w:szCs w:val="24"/>
    </w:rPr>
  </w:style>
  <w:style w:type="paragraph" w:customStyle="1" w:styleId="142">
    <w:name w:val="首行缩进2字符"/>
    <w:basedOn w:val="1"/>
    <w:link w:val="141"/>
    <w:uiPriority w:val="0"/>
    <w:pPr>
      <w:spacing w:line="360" w:lineRule="auto"/>
      <w:ind w:firstLine="200" w:firstLineChars="200"/>
    </w:pPr>
    <w:rPr>
      <w:kern w:val="0"/>
      <w:sz w:val="24"/>
    </w:rPr>
  </w:style>
  <w:style w:type="character" w:customStyle="1" w:styleId="143">
    <w:name w:val="Body Text 2 Char1"/>
    <w:basedOn w:val="54"/>
    <w:semiHidden/>
    <w:uiPriority w:val="99"/>
    <w:rPr>
      <w:szCs w:val="20"/>
    </w:rPr>
  </w:style>
  <w:style w:type="character" w:customStyle="1" w:styleId="144">
    <w:name w:val="标题 2 Char1"/>
    <w:qFormat/>
    <w:uiPriority w:val="0"/>
    <w:rPr>
      <w:rFonts w:ascii="Arial" w:hAnsi="Arial" w:eastAsia="黑体"/>
      <w:b/>
      <w:bCs/>
      <w:kern w:val="2"/>
      <w:sz w:val="32"/>
      <w:szCs w:val="32"/>
    </w:rPr>
  </w:style>
  <w:style w:type="character" w:customStyle="1" w:styleId="145">
    <w:name w:val="z-窗体底端 Char"/>
    <w:semiHidden/>
    <w:uiPriority w:val="99"/>
    <w:rPr>
      <w:rFonts w:ascii="Arial" w:hAnsi="Arial" w:cs="Arial"/>
      <w:vanish/>
      <w:kern w:val="2"/>
      <w:sz w:val="16"/>
      <w:szCs w:val="16"/>
    </w:rPr>
  </w:style>
  <w:style w:type="character" w:customStyle="1" w:styleId="146">
    <w:name w:val="jbox-icon-question"/>
    <w:basedOn w:val="54"/>
    <w:uiPriority w:val="0"/>
  </w:style>
  <w:style w:type="character" w:customStyle="1" w:styleId="147">
    <w:name w:val="Date Char1"/>
    <w:basedOn w:val="54"/>
    <w:semiHidden/>
    <w:uiPriority w:val="99"/>
    <w:rPr>
      <w:szCs w:val="20"/>
    </w:rPr>
  </w:style>
  <w:style w:type="character" w:customStyle="1" w:styleId="148">
    <w:name w:val="z-窗体顶端 Char"/>
    <w:semiHidden/>
    <w:uiPriority w:val="99"/>
    <w:rPr>
      <w:rFonts w:ascii="Arial" w:hAnsi="Arial" w:cs="Arial"/>
      <w:vanish/>
      <w:kern w:val="2"/>
      <w:sz w:val="16"/>
      <w:szCs w:val="16"/>
    </w:rPr>
  </w:style>
  <w:style w:type="character" w:customStyle="1" w:styleId="149">
    <w:name w:val="批注框文本 Char1"/>
    <w:link w:val="32"/>
    <w:uiPriority w:val="0"/>
    <w:rPr>
      <w:kern w:val="2"/>
      <w:sz w:val="18"/>
      <w:szCs w:val="18"/>
    </w:rPr>
  </w:style>
  <w:style w:type="character" w:customStyle="1" w:styleId="150">
    <w:name w:val="无间隔 Char"/>
    <w:link w:val="151"/>
    <w:uiPriority w:val="1"/>
    <w:rPr>
      <w:rFonts w:ascii="Calibri" w:hAnsi="Calibri"/>
      <w:sz w:val="22"/>
      <w:szCs w:val="22"/>
      <w:lang w:val="en-US" w:eastAsia="zh-CN" w:bidi="ar-SA"/>
    </w:rPr>
  </w:style>
  <w:style w:type="paragraph" w:styleId="151">
    <w:name w:val="No Spacing"/>
    <w:link w:val="150"/>
    <w:qFormat/>
    <w:uiPriority w:val="1"/>
    <w:rPr>
      <w:rFonts w:ascii="Calibri" w:hAnsi="Calibri"/>
      <w:sz w:val="22"/>
      <w:szCs w:val="22"/>
      <w:lang w:val="en-US" w:eastAsia="zh-CN" w:bidi="ar-SA"/>
    </w:rPr>
  </w:style>
  <w:style w:type="character" w:customStyle="1" w:styleId="152">
    <w:name w:val="Footnote Text Char1"/>
    <w:basedOn w:val="54"/>
    <w:semiHidden/>
    <w:uiPriority w:val="99"/>
    <w:rPr>
      <w:sz w:val="18"/>
      <w:szCs w:val="18"/>
    </w:rPr>
  </w:style>
  <w:style w:type="character" w:customStyle="1" w:styleId="153">
    <w:name w:val=" Char Char"/>
    <w:basedOn w:val="54"/>
    <w:uiPriority w:val="0"/>
    <w:rPr>
      <w:rFonts w:ascii="Arial" w:hAnsi="Arial" w:eastAsia="黑体"/>
      <w:b/>
      <w:kern w:val="2"/>
      <w:sz w:val="32"/>
      <w:lang w:val="en-US" w:eastAsia="zh-CN" w:bidi="ar-SA"/>
    </w:rPr>
  </w:style>
  <w:style w:type="character" w:customStyle="1" w:styleId="154">
    <w:name w:val="jbox-icon-warning"/>
    <w:basedOn w:val="54"/>
    <w:uiPriority w:val="0"/>
  </w:style>
  <w:style w:type="character" w:customStyle="1" w:styleId="155">
    <w:name w:val="z-窗体底端 Char2"/>
    <w:link w:val="156"/>
    <w:uiPriority w:val="99"/>
    <w:rPr>
      <w:rFonts w:ascii="Arial" w:hAnsi="Arial" w:cs="Arial"/>
      <w:vanish/>
      <w:sz w:val="16"/>
      <w:szCs w:val="16"/>
    </w:rPr>
  </w:style>
  <w:style w:type="paragraph" w:styleId="156">
    <w:name w:val=""/>
    <w:basedOn w:val="1"/>
    <w:next w:val="1"/>
    <w:link w:val="155"/>
    <w:unhideWhenUsed/>
    <w:uiPriority w:val="99"/>
    <w:pPr>
      <w:widowControl/>
      <w:pBdr>
        <w:top w:val="single" w:color="auto" w:sz="6" w:space="1"/>
      </w:pBdr>
      <w:jc w:val="center"/>
    </w:pPr>
    <w:rPr>
      <w:rFonts w:ascii="Arial" w:hAnsi="Arial"/>
      <w:vanish/>
      <w:kern w:val="0"/>
      <w:sz w:val="16"/>
      <w:szCs w:val="16"/>
    </w:rPr>
  </w:style>
  <w:style w:type="character" w:customStyle="1" w:styleId="157">
    <w:name w:val="jbox-icon"/>
    <w:basedOn w:val="54"/>
    <w:uiPriority w:val="0"/>
  </w:style>
  <w:style w:type="character" w:customStyle="1" w:styleId="158">
    <w:name w:val="Plain Text Char1"/>
    <w:basedOn w:val="54"/>
    <w:semiHidden/>
    <w:uiPriority w:val="99"/>
    <w:rPr>
      <w:rFonts w:ascii="宋体" w:hAnsi="Courier New" w:cs="Courier New"/>
      <w:szCs w:val="21"/>
    </w:rPr>
  </w:style>
  <w:style w:type="character" w:customStyle="1" w:styleId="159">
    <w:name w:val="纯文本 字符"/>
    <w:qFormat/>
    <w:uiPriority w:val="0"/>
    <w:rPr>
      <w:rFonts w:ascii="宋体" w:hAnsi="Courier New"/>
      <w:kern w:val="2"/>
      <w:sz w:val="21"/>
    </w:rPr>
  </w:style>
  <w:style w:type="character" w:customStyle="1" w:styleId="160">
    <w:name w:val="标题 Char"/>
    <w:link w:val="49"/>
    <w:uiPriority w:val="0"/>
    <w:rPr>
      <w:rFonts w:ascii="Cambria" w:hAnsi="Cambria"/>
      <w:b/>
      <w:bCs/>
      <w:kern w:val="2"/>
      <w:sz w:val="32"/>
      <w:szCs w:val="32"/>
    </w:rPr>
  </w:style>
  <w:style w:type="character" w:customStyle="1" w:styleId="161">
    <w:name w:val="font81"/>
    <w:basedOn w:val="54"/>
    <w:uiPriority w:val="0"/>
    <w:rPr>
      <w:rFonts w:hint="default" w:ascii="Times New Roman" w:hAnsi="Times New Roman" w:cs="Times New Roman"/>
      <w:b/>
      <w:color w:val="000000"/>
      <w:sz w:val="20"/>
      <w:szCs w:val="20"/>
      <w:u w:val="none"/>
    </w:rPr>
  </w:style>
  <w:style w:type="character" w:customStyle="1" w:styleId="162">
    <w:name w:val="font141"/>
    <w:basedOn w:val="54"/>
    <w:uiPriority w:val="0"/>
    <w:rPr>
      <w:rFonts w:hint="default" w:ascii="Times New Roman" w:hAnsi="Times New Roman" w:cs="Times New Roman"/>
      <w:b/>
      <w:color w:val="000000"/>
      <w:sz w:val="20"/>
      <w:szCs w:val="20"/>
      <w:u w:val="none"/>
    </w:rPr>
  </w:style>
  <w:style w:type="character" w:customStyle="1" w:styleId="163">
    <w:name w:val="标题 3 Char"/>
    <w:link w:val="4"/>
    <w:uiPriority w:val="0"/>
    <w:rPr>
      <w:b/>
      <w:bCs/>
      <w:kern w:val="2"/>
      <w:sz w:val="24"/>
      <w:szCs w:val="32"/>
    </w:rPr>
  </w:style>
  <w:style w:type="character" w:customStyle="1" w:styleId="164">
    <w:name w:val="font131"/>
    <w:basedOn w:val="54"/>
    <w:uiPriority w:val="0"/>
    <w:rPr>
      <w:rFonts w:hint="default" w:ascii="Times New Roman" w:hAnsi="Times New Roman" w:cs="Times New Roman"/>
      <w:b/>
      <w:color w:val="000000"/>
      <w:sz w:val="20"/>
      <w:szCs w:val="20"/>
      <w:u w:val="none"/>
    </w:rPr>
  </w:style>
  <w:style w:type="character" w:customStyle="1" w:styleId="165">
    <w:name w:val="标题 1 Char1"/>
    <w:uiPriority w:val="0"/>
    <w:rPr>
      <w:b/>
      <w:kern w:val="44"/>
      <w:sz w:val="44"/>
    </w:rPr>
  </w:style>
  <w:style w:type="character" w:customStyle="1" w:styleId="166">
    <w:name w:val="font151"/>
    <w:basedOn w:val="54"/>
    <w:uiPriority w:val="0"/>
    <w:rPr>
      <w:rFonts w:hint="eastAsia" w:ascii="宋体" w:hAnsi="宋体" w:eastAsia="宋体" w:cs="宋体"/>
      <w:b/>
      <w:color w:val="000000"/>
      <w:sz w:val="20"/>
      <w:szCs w:val="20"/>
      <w:u w:val="none"/>
    </w:rPr>
  </w:style>
  <w:style w:type="character" w:customStyle="1" w:styleId="167">
    <w:name w:val="纯文本 Char2"/>
    <w:qFormat/>
    <w:locked/>
    <w:uiPriority w:val="0"/>
    <w:rPr>
      <w:rFonts w:ascii="宋体" w:hAnsi="Courier New" w:eastAsia="宋体" w:cs="宋体"/>
      <w:kern w:val="2"/>
      <w:sz w:val="24"/>
      <w:szCs w:val="24"/>
      <w:lang w:val="en-US" w:eastAsia="zh-CN" w:bidi="ar-SA"/>
    </w:rPr>
  </w:style>
  <w:style w:type="character" w:customStyle="1" w:styleId="168">
    <w:name w:val="1级标题 Char"/>
    <w:link w:val="169"/>
    <w:uiPriority w:val="0"/>
    <w:rPr>
      <w:rFonts w:ascii="Arial" w:hAnsi="Arial" w:eastAsia="黑体"/>
      <w:b/>
      <w:bCs/>
      <w:kern w:val="2"/>
      <w:sz w:val="28"/>
      <w:szCs w:val="24"/>
    </w:rPr>
  </w:style>
  <w:style w:type="paragraph" w:customStyle="1" w:styleId="169">
    <w:name w:val="1级标题"/>
    <w:basedOn w:val="1"/>
    <w:link w:val="168"/>
    <w:qFormat/>
    <w:uiPriority w:val="0"/>
    <w:pPr>
      <w:numPr>
        <w:ilvl w:val="1"/>
        <w:numId w:val="2"/>
      </w:numPr>
      <w:tabs>
        <w:tab w:val="left" w:pos="1558"/>
      </w:tabs>
      <w:spacing w:before="60" w:after="60"/>
      <w:ind w:left="612" w:hanging="612"/>
      <w:outlineLvl w:val="0"/>
    </w:pPr>
    <w:rPr>
      <w:rFonts w:ascii="Arial" w:hAnsi="Arial" w:eastAsia="黑体"/>
      <w:b/>
      <w:bCs/>
      <w:sz w:val="28"/>
    </w:rPr>
  </w:style>
  <w:style w:type="character" w:customStyle="1" w:styleId="170">
    <w:name w:val="标题 1 Char Char"/>
    <w:qFormat/>
    <w:uiPriority w:val="0"/>
    <w:rPr>
      <w:rFonts w:eastAsia="宋体"/>
      <w:b/>
      <w:spacing w:val="-2"/>
      <w:sz w:val="24"/>
      <w:lang w:val="en-US" w:eastAsia="zh-CN"/>
    </w:rPr>
  </w:style>
  <w:style w:type="character" w:customStyle="1" w:styleId="171">
    <w:name w:val="jbox-icon-info"/>
    <w:basedOn w:val="54"/>
    <w:uiPriority w:val="0"/>
  </w:style>
  <w:style w:type="character" w:customStyle="1" w:styleId="172">
    <w:name w:val="批注文字 Char"/>
    <w:uiPriority w:val="0"/>
    <w:rPr>
      <w:kern w:val="2"/>
      <w:sz w:val="21"/>
      <w:szCs w:val="24"/>
    </w:rPr>
  </w:style>
  <w:style w:type="character" w:customStyle="1" w:styleId="173">
    <w:name w:val="Balloon Text Char1"/>
    <w:basedOn w:val="54"/>
    <w:semiHidden/>
    <w:uiPriority w:val="99"/>
    <w:rPr>
      <w:sz w:val="16"/>
      <w:szCs w:val="0"/>
    </w:rPr>
  </w:style>
  <w:style w:type="character" w:customStyle="1" w:styleId="174">
    <w:name w:val="Salutation Char1"/>
    <w:basedOn w:val="54"/>
    <w:semiHidden/>
    <w:uiPriority w:val="99"/>
    <w:rPr>
      <w:szCs w:val="20"/>
    </w:rPr>
  </w:style>
  <w:style w:type="character" w:customStyle="1" w:styleId="175">
    <w:name w:val="Footer Char1"/>
    <w:basedOn w:val="54"/>
    <w:semiHidden/>
    <w:uiPriority w:val="99"/>
    <w:rPr>
      <w:sz w:val="18"/>
      <w:szCs w:val="18"/>
    </w:rPr>
  </w:style>
  <w:style w:type="character" w:customStyle="1" w:styleId="176">
    <w:name w:val="*正文 Char"/>
    <w:link w:val="177"/>
    <w:uiPriority w:val="0"/>
    <w:rPr>
      <w:rFonts w:ascii="宋体" w:hAnsi="宋体"/>
      <w:kern w:val="2"/>
      <w:sz w:val="22"/>
      <w:szCs w:val="24"/>
    </w:rPr>
  </w:style>
  <w:style w:type="paragraph" w:customStyle="1" w:styleId="177">
    <w:name w:val="*正文"/>
    <w:basedOn w:val="1"/>
    <w:link w:val="176"/>
    <w:qFormat/>
    <w:uiPriority w:val="0"/>
    <w:pPr>
      <w:spacing w:line="360" w:lineRule="auto"/>
      <w:ind w:firstLine="200" w:firstLineChars="200"/>
    </w:pPr>
    <w:rPr>
      <w:rFonts w:ascii="宋体" w:hAnsi="宋体"/>
      <w:sz w:val="22"/>
    </w:rPr>
  </w:style>
  <w:style w:type="character" w:customStyle="1" w:styleId="178">
    <w:name w:val="Heading 1 Char"/>
    <w:basedOn w:val="54"/>
    <w:locked/>
    <w:uiPriority w:val="0"/>
    <w:rPr>
      <w:rFonts w:cs="Times New Roman"/>
      <w:b/>
      <w:bCs/>
      <w:kern w:val="44"/>
      <w:sz w:val="44"/>
      <w:szCs w:val="44"/>
    </w:rPr>
  </w:style>
  <w:style w:type="character" w:customStyle="1" w:styleId="179">
    <w:name w:val="正文缩进 Char"/>
    <w:link w:val="14"/>
    <w:qFormat/>
    <w:uiPriority w:val="0"/>
    <w:rPr>
      <w:rFonts w:ascii="宋体"/>
      <w:sz w:val="21"/>
    </w:rPr>
  </w:style>
  <w:style w:type="character" w:customStyle="1" w:styleId="180">
    <w:name w:val="标题 2 Char2"/>
    <w:basedOn w:val="54"/>
    <w:uiPriority w:val="0"/>
    <w:rPr>
      <w:rFonts w:ascii="Arial" w:hAnsi="Arial" w:eastAsia="黑体"/>
      <w:b/>
      <w:kern w:val="2"/>
      <w:sz w:val="32"/>
      <w:lang w:val="en-US" w:eastAsia="zh-CN" w:bidi="ar-SA"/>
    </w:rPr>
  </w:style>
  <w:style w:type="character" w:customStyle="1" w:styleId="181">
    <w:name w:val="Header Char1"/>
    <w:basedOn w:val="54"/>
    <w:semiHidden/>
    <w:uiPriority w:val="99"/>
    <w:rPr>
      <w:sz w:val="18"/>
      <w:szCs w:val="18"/>
    </w:rPr>
  </w:style>
  <w:style w:type="character" w:customStyle="1" w:styleId="182">
    <w:name w:val="页眉 字符"/>
    <w:semiHidden/>
    <w:uiPriority w:val="99"/>
    <w:rPr>
      <w:rFonts w:ascii="Times New Roman" w:hAnsi="Times New Roman"/>
      <w:kern w:val="2"/>
      <w:sz w:val="18"/>
      <w:szCs w:val="18"/>
    </w:rPr>
  </w:style>
  <w:style w:type="character" w:customStyle="1" w:styleId="183">
    <w:name w:val="jbox-icon-loading"/>
    <w:basedOn w:val="54"/>
    <w:uiPriority w:val="0"/>
  </w:style>
  <w:style w:type="character" w:customStyle="1" w:styleId="184">
    <w:name w:val="a-size-large1"/>
    <w:basedOn w:val="54"/>
    <w:uiPriority w:val="0"/>
    <w:rPr>
      <w:rFonts w:hint="default" w:ascii="Arial" w:hAnsi="Arial" w:cs="Arial"/>
    </w:rPr>
  </w:style>
  <w:style w:type="character" w:customStyle="1" w:styleId="185">
    <w:name w:val="脚注文本 Char"/>
    <w:link w:val="39"/>
    <w:uiPriority w:val="0"/>
    <w:rPr>
      <w:kern w:val="2"/>
      <w:sz w:val="18"/>
      <w:szCs w:val="18"/>
    </w:rPr>
  </w:style>
  <w:style w:type="character" w:customStyle="1" w:styleId="186">
    <w:name w:val="三级 Char"/>
    <w:link w:val="187"/>
    <w:uiPriority w:val="0"/>
    <w:rPr>
      <w:rFonts w:eastAsia="黑体"/>
      <w:kern w:val="2"/>
      <w:sz w:val="24"/>
      <w:szCs w:val="22"/>
    </w:rPr>
  </w:style>
  <w:style w:type="paragraph" w:customStyle="1" w:styleId="187">
    <w:name w:val="三级"/>
    <w:basedOn w:val="1"/>
    <w:link w:val="186"/>
    <w:qFormat/>
    <w:uiPriority w:val="0"/>
    <w:pPr>
      <w:spacing w:before="120" w:after="120" w:line="400" w:lineRule="exact"/>
    </w:pPr>
    <w:rPr>
      <w:rFonts w:eastAsia="黑体"/>
      <w:sz w:val="24"/>
      <w:szCs w:val="22"/>
    </w:rPr>
  </w:style>
  <w:style w:type="character" w:customStyle="1" w:styleId="188">
    <w:name w:val="group_leftheader_middle"/>
    <w:basedOn w:val="54"/>
    <w:uiPriority w:val="0"/>
  </w:style>
  <w:style w:type="character" w:customStyle="1" w:styleId="189">
    <w:name w:val="副标题 Char1"/>
    <w:link w:val="37"/>
    <w:uiPriority w:val="0"/>
    <w:rPr>
      <w:rFonts w:ascii="Calibri Light" w:hAnsi="Calibri Light"/>
      <w:b/>
      <w:bCs/>
      <w:kern w:val="28"/>
      <w:sz w:val="32"/>
      <w:szCs w:val="32"/>
    </w:rPr>
  </w:style>
  <w:style w:type="character" w:customStyle="1" w:styleId="190">
    <w:name w:val="标题 2 Char"/>
    <w:link w:val="3"/>
    <w:qFormat/>
    <w:uiPriority w:val="0"/>
    <w:rPr>
      <w:rFonts w:ascii="Arial" w:hAnsi="Arial" w:eastAsia="黑体"/>
      <w:b/>
      <w:bCs/>
      <w:kern w:val="2"/>
      <w:sz w:val="32"/>
      <w:szCs w:val="32"/>
    </w:rPr>
  </w:style>
  <w:style w:type="character" w:customStyle="1" w:styleId="191">
    <w:name w:val="style11"/>
    <w:basedOn w:val="54"/>
    <w:uiPriority w:val="0"/>
    <w:rPr>
      <w:sz w:val="18"/>
      <w:szCs w:val="18"/>
    </w:rPr>
  </w:style>
  <w:style w:type="character" w:customStyle="1" w:styleId="192">
    <w:name w:val="标题 Char1"/>
    <w:uiPriority w:val="0"/>
    <w:rPr>
      <w:rFonts w:ascii="Cambria" w:hAnsi="Cambria" w:cs="Times New Roman"/>
      <w:b/>
      <w:bCs/>
      <w:kern w:val="2"/>
      <w:sz w:val="32"/>
      <w:szCs w:val="32"/>
    </w:rPr>
  </w:style>
  <w:style w:type="character" w:customStyle="1" w:styleId="193">
    <w:name w:val="apple-converted-space"/>
    <w:basedOn w:val="54"/>
    <w:uiPriority w:val="0"/>
  </w:style>
  <w:style w:type="character" w:customStyle="1" w:styleId="194">
    <w:name w:val="1级 Char"/>
    <w:link w:val="195"/>
    <w:uiPriority w:val="0"/>
    <w:rPr>
      <w:rFonts w:ascii="Arial" w:hAnsi="Arial" w:eastAsia="黑体"/>
      <w:b/>
      <w:bCs/>
      <w:kern w:val="2"/>
      <w:sz w:val="28"/>
      <w:szCs w:val="24"/>
    </w:rPr>
  </w:style>
  <w:style w:type="paragraph" w:customStyle="1" w:styleId="195">
    <w:name w:val="1级"/>
    <w:basedOn w:val="169"/>
    <w:link w:val="194"/>
    <w:qFormat/>
    <w:uiPriority w:val="0"/>
    <w:pPr>
      <w:tabs>
        <w:tab w:val="left" w:pos="615"/>
        <w:tab w:val="clear" w:pos="1558"/>
      </w:tabs>
      <w:ind w:left="615" w:hanging="615"/>
    </w:pPr>
  </w:style>
  <w:style w:type="character" w:customStyle="1" w:styleId="196">
    <w:name w:val="fonts031"/>
    <w:basedOn w:val="54"/>
    <w:uiPriority w:val="0"/>
    <w:rPr>
      <w:rFonts w:hint="eastAsia" w:ascii="宋体" w:hAnsi="宋体" w:eastAsia="宋体"/>
      <w:color w:val="005A86"/>
      <w:sz w:val="20"/>
      <w:szCs w:val="20"/>
      <w:u w:val="none"/>
    </w:rPr>
  </w:style>
  <w:style w:type="character" w:customStyle="1" w:styleId="197">
    <w:name w:val="日期 Char"/>
    <w:link w:val="29"/>
    <w:uiPriority w:val="0"/>
    <w:rPr>
      <w:rFonts w:ascii="仿宋_GB2312" w:eastAsia="仿宋_GB2312"/>
      <w:sz w:val="28"/>
    </w:rPr>
  </w:style>
  <w:style w:type="character" w:customStyle="1" w:styleId="198">
    <w:name w:val="style13"/>
    <w:basedOn w:val="54"/>
    <w:uiPriority w:val="0"/>
  </w:style>
  <w:style w:type="character" w:customStyle="1" w:styleId="199">
    <w:name w:val=" Char Char7"/>
    <w:qFormat/>
    <w:uiPriority w:val="0"/>
    <w:rPr>
      <w:rFonts w:ascii="宋体" w:hAnsi="Courier New" w:eastAsia="宋体"/>
      <w:kern w:val="2"/>
      <w:sz w:val="24"/>
      <w:szCs w:val="24"/>
      <w:lang w:val="en-US" w:eastAsia="zh-CN" w:bidi="ar-SA"/>
    </w:rPr>
  </w:style>
  <w:style w:type="character" w:customStyle="1" w:styleId="200">
    <w:name w:val="页脚 Char"/>
    <w:link w:val="33"/>
    <w:qFormat/>
    <w:uiPriority w:val="0"/>
    <w:rPr>
      <w:sz w:val="18"/>
    </w:rPr>
  </w:style>
  <w:style w:type="character" w:customStyle="1" w:styleId="201">
    <w:name w:val="称呼 Char"/>
    <w:link w:val="18"/>
    <w:uiPriority w:val="0"/>
    <w:rPr>
      <w:rFonts w:ascii="宋体"/>
      <w:kern w:val="2"/>
      <w:sz w:val="24"/>
    </w:rPr>
  </w:style>
  <w:style w:type="character" w:customStyle="1" w:styleId="202">
    <w:name w:val="标题 41"/>
    <w:aliases w:val="H41,Ref Heading 14,rh14,Heading sql1,sect 1.2.3.44,h41,heading 41,sect 1.2.3.413,Ref Heading 113,rh113,sect 1.2.3.421,Ref Heading 121,rh121,sect 1.2.3.4111,Ref Heading 1111,rh1111,sect 1.2.3.431,Ref Heading 131,rh131,sect 1.2.3.4121,rh1121,PIM 41"/>
    <w:uiPriority w:val="0"/>
  </w:style>
  <w:style w:type="character" w:customStyle="1" w:styleId="203">
    <w:name w:val="071"/>
    <w:uiPriority w:val="0"/>
    <w:rPr>
      <w:rFonts w:ascii="??" w:hAnsi="??" w:cs="Times New Roman"/>
      <w:color w:val="000000"/>
      <w:sz w:val="24"/>
      <w:szCs w:val="24"/>
      <w:u w:val="none"/>
      <w:lang w:bidi="ar-SA"/>
    </w:rPr>
  </w:style>
  <w:style w:type="character" w:customStyle="1" w:styleId="204">
    <w:name w:val="z-窗体顶端 Char1"/>
    <w:uiPriority w:val="99"/>
    <w:rPr>
      <w:rFonts w:ascii="Arial" w:hAnsi="Arial" w:cs="Arial"/>
      <w:vanish/>
      <w:sz w:val="16"/>
      <w:szCs w:val="16"/>
    </w:rPr>
  </w:style>
  <w:style w:type="character" w:customStyle="1" w:styleId="205">
    <w:name w:val="3级标题 Char"/>
    <w:link w:val="206"/>
    <w:uiPriority w:val="0"/>
    <w:rPr>
      <w:rFonts w:ascii="Arial" w:hAnsi="Arial" w:eastAsia="黑体"/>
      <w:b/>
      <w:spacing w:val="4"/>
      <w:kern w:val="2"/>
      <w:sz w:val="21"/>
      <w:szCs w:val="21"/>
    </w:rPr>
  </w:style>
  <w:style w:type="paragraph" w:customStyle="1" w:styleId="206">
    <w:name w:val="3级标题"/>
    <w:basedOn w:val="1"/>
    <w:link w:val="205"/>
    <w:qFormat/>
    <w:uiPriority w:val="0"/>
    <w:pPr>
      <w:snapToGrid w:val="0"/>
      <w:spacing w:before="60" w:after="60" w:line="400" w:lineRule="exact"/>
    </w:pPr>
    <w:rPr>
      <w:rFonts w:ascii="Arial" w:hAnsi="Arial" w:eastAsia="黑体"/>
      <w:b/>
      <w:spacing w:val="4"/>
      <w:szCs w:val="21"/>
    </w:rPr>
  </w:style>
  <w:style w:type="character" w:customStyle="1" w:styleId="207">
    <w:name w:val="Heading 3 Char"/>
    <w:basedOn w:val="54"/>
    <w:locked/>
    <w:uiPriority w:val="0"/>
    <w:rPr>
      <w:rFonts w:cs="Times New Roman"/>
      <w:b/>
      <w:bCs/>
      <w:sz w:val="32"/>
      <w:szCs w:val="32"/>
    </w:rPr>
  </w:style>
  <w:style w:type="character" w:customStyle="1" w:styleId="208">
    <w:name w:val="z21"/>
    <w:uiPriority w:val="0"/>
    <w:rPr>
      <w:color w:val="000000"/>
      <w:spacing w:val="340"/>
      <w:sz w:val="18"/>
      <w:szCs w:val="18"/>
    </w:rPr>
  </w:style>
  <w:style w:type="character" w:customStyle="1" w:styleId="209">
    <w:name w:val="样式 标题 1合同标题卷标题H1h1Level 1 Topic HeadingH11H12H111H13H1... Char Char"/>
    <w:uiPriority w:val="0"/>
    <w:rPr>
      <w:rFonts w:ascii="宋体" w:hAnsi="宋体" w:eastAsia="宋体"/>
      <w:b/>
      <w:bCs/>
      <w:kern w:val="44"/>
      <w:sz w:val="24"/>
      <w:szCs w:val="44"/>
      <w:lang w:val="en-US" w:eastAsia="zh-CN" w:bidi="ar-SA"/>
    </w:rPr>
  </w:style>
  <w:style w:type="character" w:customStyle="1" w:styleId="210">
    <w:name w:val="纯文本 Char1"/>
    <w:aliases w:val="Texte Char,纯文本 Char Char2,普通文字 Char Char,纯文本 Char Char Char1,普通文字 Char1,普通文字1 Char,普通文字2 Char,普通文字3 Char,普通文字4 Char,普通文字5 Char,普通文字6 Char,普通文字11 Char,普通文字21 Char,普通文字31 Char,普通文字41 Char,普通文字7 Char,正 文 1 Char,纯文本 Char1 Char Char Char,小 Char"/>
    <w:qFormat/>
    <w:uiPriority w:val="0"/>
    <w:rPr>
      <w:rFonts w:ascii="宋体" w:hAnsi="Courier New" w:cs="Courier New"/>
      <w:kern w:val="2"/>
      <w:sz w:val="21"/>
      <w:szCs w:val="21"/>
    </w:rPr>
  </w:style>
  <w:style w:type="character" w:customStyle="1" w:styleId="211">
    <w:name w:val="v151"/>
    <w:basedOn w:val="54"/>
    <w:uiPriority w:val="0"/>
    <w:rPr>
      <w:sz w:val="18"/>
      <w:szCs w:val="18"/>
    </w:rPr>
  </w:style>
  <w:style w:type="character" w:customStyle="1" w:styleId="212">
    <w:name w:val="标题 6 Char"/>
    <w:basedOn w:val="54"/>
    <w:link w:val="7"/>
    <w:locked/>
    <w:uiPriority w:val="0"/>
    <w:rPr>
      <w:rFonts w:ascii="Arial" w:hAnsi="Arial" w:eastAsia="黑体"/>
      <w:b/>
      <w:bCs/>
      <w:kern w:val="2"/>
      <w:sz w:val="24"/>
      <w:szCs w:val="24"/>
    </w:rPr>
  </w:style>
  <w:style w:type="character" w:customStyle="1" w:styleId="213">
    <w:name w:val="font111"/>
    <w:basedOn w:val="54"/>
    <w:uiPriority w:val="0"/>
    <w:rPr>
      <w:rFonts w:hint="eastAsia" w:ascii="宋体" w:hAnsi="宋体" w:eastAsia="宋体" w:cs="宋体"/>
      <w:color w:val="000000"/>
      <w:sz w:val="20"/>
      <w:szCs w:val="20"/>
      <w:u w:val="none"/>
    </w:rPr>
  </w:style>
  <w:style w:type="character" w:customStyle="1" w:styleId="214">
    <w:name w:val="正文缩进 Char1"/>
    <w:qFormat/>
    <w:uiPriority w:val="0"/>
    <w:rPr>
      <w:sz w:val="21"/>
      <w:szCs w:val="21"/>
    </w:rPr>
  </w:style>
  <w:style w:type="character" w:customStyle="1" w:styleId="215">
    <w:name w:val="jn_2"/>
    <w:basedOn w:val="54"/>
    <w:uiPriority w:val="0"/>
  </w:style>
  <w:style w:type="character" w:customStyle="1" w:styleId="216">
    <w:name w:val="Heading 2 Char"/>
    <w:basedOn w:val="54"/>
    <w:locked/>
    <w:uiPriority w:val="0"/>
    <w:rPr>
      <w:rFonts w:ascii="Cambria" w:hAnsi="Cambria" w:eastAsia="宋体" w:cs="黑体"/>
      <w:b/>
      <w:bCs/>
      <w:sz w:val="32"/>
      <w:szCs w:val="32"/>
    </w:rPr>
  </w:style>
  <w:style w:type="character" w:customStyle="1" w:styleId="217">
    <w:name w:val="en"/>
    <w:basedOn w:val="54"/>
    <w:uiPriority w:val="0"/>
  </w:style>
  <w:style w:type="paragraph" w:customStyle="1" w:styleId="218">
    <w:name w:val="表"/>
    <w:basedOn w:val="26"/>
    <w:uiPriority w:val="0"/>
    <w:pPr>
      <w:keepNext/>
      <w:tabs>
        <w:tab w:val="left" w:pos="720"/>
      </w:tabs>
      <w:autoSpaceDE w:val="0"/>
      <w:autoSpaceDN w:val="0"/>
      <w:adjustRightInd w:val="0"/>
      <w:spacing w:line="240" w:lineRule="exact"/>
      <w:jc w:val="center"/>
      <w:textAlignment w:val="baseline"/>
    </w:pPr>
    <w:rPr>
      <w:rFonts w:ascii="Times New Roman" w:hAnsi="Times New Roman" w:eastAsia="楷体_GB2312" w:cs="Times New Roman"/>
      <w:kern w:val="0"/>
      <w:sz w:val="24"/>
      <w:szCs w:val="20"/>
    </w:rPr>
  </w:style>
  <w:style w:type="paragraph" w:customStyle="1" w:styleId="219">
    <w:name w:val="xl50"/>
    <w:basedOn w:val="1"/>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b/>
      <w:bCs/>
      <w:kern w:val="0"/>
      <w:sz w:val="22"/>
      <w:szCs w:val="22"/>
    </w:rPr>
  </w:style>
  <w:style w:type="paragraph" w:customStyle="1" w:styleId="220">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21">
    <w:name w:val="xl80"/>
    <w:basedOn w:val="1"/>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eastAsia="Arial Unicode MS"/>
      <w:kern w:val="0"/>
      <w:sz w:val="24"/>
    </w:rPr>
  </w:style>
  <w:style w:type="paragraph" w:customStyle="1" w:styleId="222">
    <w:name w:val="正文 1"/>
    <w:basedOn w:val="1"/>
    <w:uiPriority w:val="0"/>
    <w:pPr>
      <w:autoSpaceDE w:val="0"/>
      <w:autoSpaceDN w:val="0"/>
      <w:adjustRightInd w:val="0"/>
      <w:spacing w:before="80" w:after="80" w:line="360" w:lineRule="auto"/>
      <w:ind w:left="1134"/>
    </w:pPr>
    <w:rPr>
      <w:kern w:val="0"/>
      <w:szCs w:val="20"/>
    </w:rPr>
  </w:style>
  <w:style w:type="paragraph" w:customStyle="1" w:styleId="223">
    <w:name w:val="xl88"/>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224">
    <w:name w:val="xl53"/>
    <w:basedOn w:val="1"/>
    <w:uiPriority w:val="0"/>
    <w:pPr>
      <w:widowControl/>
      <w:pBdr>
        <w:top w:val="single" w:color="auto" w:sz="4" w:space="0"/>
        <w:bottom w:val="single" w:color="auto" w:sz="4" w:space="0"/>
      </w:pBdr>
      <w:spacing w:before="100" w:beforeAutospacing="1" w:after="100" w:afterAutospacing="1"/>
      <w:jc w:val="center"/>
      <w:textAlignment w:val="center"/>
    </w:pPr>
    <w:rPr>
      <w:b/>
      <w:bCs/>
      <w:kern w:val="0"/>
      <w:sz w:val="22"/>
      <w:szCs w:val="22"/>
    </w:rPr>
  </w:style>
  <w:style w:type="paragraph" w:customStyle="1" w:styleId="225">
    <w:name w:val="Default"/>
    <w:uiPriority w:val="0"/>
    <w:pPr>
      <w:widowControl w:val="0"/>
      <w:autoSpaceDE w:val="0"/>
      <w:autoSpaceDN w:val="0"/>
      <w:adjustRightInd w:val="0"/>
    </w:pPr>
    <w:rPr>
      <w:rFonts w:ascii="宋体..鍼笁鍼." w:hAnsi="Calibri" w:eastAsia="宋体..鍼笁鍼." w:cs="宋体..鍼笁鍼."/>
      <w:color w:val="000000"/>
      <w:sz w:val="24"/>
      <w:szCs w:val="24"/>
      <w:lang w:val="en-US" w:eastAsia="zh-CN" w:bidi="ar-SA"/>
    </w:rPr>
  </w:style>
  <w:style w:type="paragraph" w:customStyle="1" w:styleId="226">
    <w:name w:val="font8"/>
    <w:basedOn w:val="1"/>
    <w:uiPriority w:val="0"/>
    <w:pPr>
      <w:widowControl/>
      <w:spacing w:before="100" w:beforeAutospacing="1" w:after="100" w:afterAutospacing="1"/>
      <w:jc w:val="left"/>
    </w:pPr>
    <w:rPr>
      <w:rFonts w:hint="eastAsia" w:ascii="宋体" w:hAnsi="宋体"/>
      <w:kern w:val="0"/>
      <w:sz w:val="20"/>
      <w:szCs w:val="20"/>
    </w:rPr>
  </w:style>
  <w:style w:type="paragraph" w:customStyle="1" w:styleId="227">
    <w:name w:val="xl70"/>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228">
    <w:name w:val="xl66"/>
    <w:basedOn w:val="1"/>
    <w:uiPriority w:val="0"/>
    <w:pPr>
      <w:widowControl/>
      <w:spacing w:before="100" w:beforeAutospacing="1" w:after="100" w:afterAutospacing="1"/>
      <w:jc w:val="left"/>
    </w:pPr>
    <w:rPr>
      <w:rFonts w:ascii="宋体" w:hAnsi="宋体" w:cs="宋体"/>
      <w:b/>
      <w:bCs/>
      <w:kern w:val="0"/>
      <w:sz w:val="24"/>
    </w:rPr>
  </w:style>
  <w:style w:type="paragraph" w:customStyle="1" w:styleId="229">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230">
    <w:name w:val="CM4"/>
    <w:basedOn w:val="225"/>
    <w:next w:val="225"/>
    <w:uiPriority w:val="0"/>
    <w:pPr>
      <w:spacing w:after="523"/>
    </w:pPr>
    <w:rPr>
      <w:rFonts w:ascii="黑体" w:hAnsi="Times New Roman" w:eastAsia="黑体" w:cs="Times New Roman"/>
      <w:color w:val="auto"/>
    </w:rPr>
  </w:style>
  <w:style w:type="paragraph" w:customStyle="1" w:styleId="231">
    <w:name w:val="Table Text"/>
    <w:uiPriority w:val="0"/>
    <w:pPr>
      <w:snapToGrid w:val="0"/>
      <w:spacing w:before="80" w:after="80"/>
    </w:pPr>
    <w:rPr>
      <w:rFonts w:ascii="Arial" w:hAnsi="Arial"/>
      <w:sz w:val="18"/>
      <w:lang w:val="en-US" w:eastAsia="zh-CN" w:bidi="ar-SA"/>
    </w:rPr>
  </w:style>
  <w:style w:type="paragraph" w:customStyle="1" w:styleId="232">
    <w:name w:val="xl56"/>
    <w:basedOn w:val="1"/>
    <w:uiPriority w:val="0"/>
    <w:pPr>
      <w:widowControl/>
      <w:pBdr>
        <w:bottom w:val="single" w:color="auto" w:sz="4" w:space="0"/>
      </w:pBdr>
      <w:spacing w:before="100" w:beforeAutospacing="1" w:after="100" w:afterAutospacing="1"/>
      <w:jc w:val="center"/>
      <w:textAlignment w:val="center"/>
    </w:pPr>
    <w:rPr>
      <w:b/>
      <w:bCs/>
      <w:kern w:val="0"/>
      <w:sz w:val="22"/>
      <w:szCs w:val="22"/>
    </w:rPr>
  </w:style>
  <w:style w:type="paragraph" w:customStyle="1" w:styleId="233">
    <w:name w:val="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34">
    <w:name w:val="List Paragraph1"/>
    <w:basedOn w:val="1"/>
    <w:uiPriority w:val="0"/>
    <w:pPr>
      <w:ind w:firstLine="420" w:firstLineChars="200"/>
    </w:pPr>
    <w:rPr>
      <w:rFonts w:ascii="Calibri" w:hAnsi="Calibri" w:cs="黑体"/>
      <w:szCs w:val="22"/>
    </w:rPr>
  </w:style>
  <w:style w:type="paragraph" w:customStyle="1" w:styleId="235">
    <w:name w:val=" Char Char Char Char"/>
    <w:basedOn w:val="1"/>
    <w:uiPriority w:val="0"/>
    <w:rPr>
      <w:rFonts w:ascii="Tahoma" w:hAnsi="Tahoma"/>
      <w:sz w:val="24"/>
      <w:szCs w:val="20"/>
    </w:rPr>
  </w:style>
  <w:style w:type="paragraph" w:customStyle="1" w:styleId="236">
    <w:name w:val="正文空2格  1."/>
    <w:basedOn w:val="1"/>
    <w:uiPriority w:val="0"/>
    <w:pPr>
      <w:adjustRightInd w:val="0"/>
      <w:spacing w:line="360" w:lineRule="auto"/>
      <w:ind w:firstLine="480" w:firstLineChars="200"/>
      <w:textAlignment w:val="baseline"/>
    </w:pPr>
    <w:rPr>
      <w:rFonts w:ascii="宋体" w:eastAsia="仿宋" w:cs="宋体"/>
      <w:kern w:val="0"/>
      <w:sz w:val="28"/>
      <w:szCs w:val="20"/>
    </w:rPr>
  </w:style>
  <w:style w:type="paragraph" w:customStyle="1" w:styleId="237">
    <w:name w:val="No Spacing"/>
    <w:uiPriority w:val="0"/>
    <w:rPr>
      <w:rFonts w:ascii="Calibri" w:hAnsi="Calibri"/>
      <w:sz w:val="22"/>
      <w:szCs w:val="22"/>
      <w:lang w:val="en-US" w:eastAsia="en-US" w:bidi="ar-SA"/>
    </w:rPr>
  </w:style>
  <w:style w:type="paragraph" w:customStyle="1" w:styleId="238">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styleId="239">
    <w:name w:val=""/>
    <w:unhideWhenUsed/>
    <w:uiPriority w:val="99"/>
    <w:rPr>
      <w:kern w:val="2"/>
      <w:sz w:val="21"/>
      <w:szCs w:val="24"/>
      <w:lang w:val="en-US" w:eastAsia="zh-CN" w:bidi="ar-SA"/>
    </w:rPr>
  </w:style>
  <w:style w:type="paragraph" w:customStyle="1" w:styleId="240">
    <w:name w:val="方案正文"/>
    <w:basedOn w:val="1"/>
    <w:uiPriority w:val="0"/>
    <w:pPr>
      <w:adjustRightInd w:val="0"/>
      <w:spacing w:line="360" w:lineRule="auto"/>
      <w:textAlignment w:val="baseline"/>
    </w:pPr>
    <w:rPr>
      <w:rFonts w:ascii="宋体" w:hAnsi="宋体"/>
      <w:kern w:val="0"/>
      <w:szCs w:val="20"/>
    </w:rPr>
  </w:style>
  <w:style w:type="paragraph" w:customStyle="1" w:styleId="241">
    <w:name w:val="±íÏî"/>
    <w:basedOn w:val="1"/>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242">
    <w:name w:val="样式 样式 样式 标题 2 + 左  1 字符 + 左侧:  1 字符 + 左  0 字符"/>
    <w:basedOn w:val="1"/>
    <w:uiPriority w:val="0"/>
    <w:pPr>
      <w:keepNext/>
      <w:keepLines/>
      <w:spacing w:before="120" w:after="120" w:line="520" w:lineRule="atLeast"/>
      <w:outlineLvl w:val="1"/>
    </w:pPr>
    <w:rPr>
      <w:b/>
      <w:bCs/>
      <w:sz w:val="24"/>
    </w:rPr>
  </w:style>
  <w:style w:type="paragraph" w:customStyle="1" w:styleId="243">
    <w:name w:val="font0"/>
    <w:basedOn w:val="1"/>
    <w:uiPriority w:val="0"/>
    <w:pPr>
      <w:widowControl/>
      <w:spacing w:before="100" w:beforeAutospacing="1" w:after="100" w:afterAutospacing="1"/>
      <w:jc w:val="left"/>
    </w:pPr>
    <w:rPr>
      <w:rFonts w:hint="eastAsia" w:ascii="宋体" w:hAnsi="宋体"/>
      <w:kern w:val="0"/>
      <w:sz w:val="24"/>
    </w:rPr>
  </w:style>
  <w:style w:type="paragraph" w:customStyle="1" w:styleId="244">
    <w:name w:val="部分1"/>
    <w:basedOn w:val="1"/>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45">
    <w:name w:val="此正文"/>
    <w:basedOn w:val="1"/>
    <w:uiPriority w:val="0"/>
    <w:pPr>
      <w:spacing w:line="360" w:lineRule="auto"/>
      <w:ind w:firstLine="200" w:firstLineChars="200"/>
    </w:pPr>
    <w:rPr>
      <w:sz w:val="24"/>
    </w:rPr>
  </w:style>
  <w:style w:type="paragraph" w:customStyle="1" w:styleId="246">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247">
    <w:name w:val="hc正文1.5"/>
    <w:basedOn w:val="1"/>
    <w:qFormat/>
    <w:uiPriority w:val="0"/>
    <w:pPr>
      <w:tabs>
        <w:tab w:val="left" w:pos="3265"/>
      </w:tabs>
      <w:spacing w:beforeLines="20" w:afterLines="20" w:line="460" w:lineRule="exact"/>
      <w:ind w:firstLine="480" w:firstLineChars="200"/>
    </w:pPr>
    <w:rPr>
      <w:rFonts w:ascii="宋体" w:hAnsi="宋体" w:cs="仿宋_GB2312"/>
    </w:rPr>
  </w:style>
  <w:style w:type="paragraph" w:customStyle="1" w:styleId="248">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249">
    <w:name w:val="xl47"/>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hint="eastAsia" w:ascii="楷体_GB2312" w:hAnsi="Arial Unicode MS" w:eastAsia="楷体_GB2312" w:cs="Arial Unicode MS"/>
      <w:b/>
      <w:bCs/>
      <w:kern w:val="0"/>
      <w:sz w:val="24"/>
    </w:rPr>
  </w:style>
  <w:style w:type="paragraph" w:customStyle="1" w:styleId="250">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51">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52">
    <w:name w:val="Char"/>
    <w:basedOn w:val="1"/>
    <w:uiPriority w:val="0"/>
    <w:pPr>
      <w:ind w:firstLine="200" w:firstLineChars="200"/>
    </w:pPr>
    <w:rPr>
      <w:rFonts w:ascii="Tahoma" w:hAnsi="Tahoma"/>
      <w:sz w:val="24"/>
      <w:szCs w:val="20"/>
    </w:rPr>
  </w:style>
  <w:style w:type="paragraph" w:customStyle="1" w:styleId="253">
    <w:name w:val="正文空格"/>
    <w:basedOn w:val="1"/>
    <w:next w:val="1"/>
    <w:qFormat/>
    <w:uiPriority w:val="0"/>
    <w:pPr>
      <w:spacing w:line="400" w:lineRule="exact"/>
      <w:ind w:firstLine="200" w:firstLineChars="200"/>
    </w:pPr>
    <w:rPr>
      <w:sz w:val="24"/>
      <w:szCs w:val="22"/>
    </w:rPr>
  </w:style>
  <w:style w:type="paragraph" w:customStyle="1" w:styleId="254">
    <w:name w:val="CM34"/>
    <w:basedOn w:val="225"/>
    <w:next w:val="225"/>
    <w:uiPriority w:val="0"/>
    <w:pPr>
      <w:spacing w:after="403"/>
    </w:pPr>
    <w:rPr>
      <w:rFonts w:ascii="黑体" w:hAnsi="Times New Roman" w:eastAsia="黑体" w:cs="Times New Roman"/>
      <w:color w:val="auto"/>
      <w:szCs w:val="20"/>
    </w:rPr>
  </w:style>
  <w:style w:type="paragraph" w:customStyle="1" w:styleId="255">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256">
    <w:name w:val="一级"/>
    <w:basedOn w:val="1"/>
    <w:next w:val="1"/>
    <w:qFormat/>
    <w:uiPriority w:val="0"/>
    <w:pPr>
      <w:spacing w:before="360" w:after="360" w:line="400" w:lineRule="exact"/>
      <w:outlineLvl w:val="1"/>
    </w:pPr>
    <w:rPr>
      <w:rFonts w:eastAsia="黑体"/>
      <w:sz w:val="28"/>
      <w:szCs w:val="22"/>
    </w:rPr>
  </w:style>
  <w:style w:type="paragraph" w:customStyle="1" w:styleId="257">
    <w:name w:val="首行缩进"/>
    <w:basedOn w:val="1"/>
    <w:uiPriority w:val="0"/>
    <w:pPr>
      <w:keepNext/>
      <w:spacing w:line="520" w:lineRule="exact"/>
    </w:pPr>
    <w:rPr>
      <w:bCs/>
      <w:kern w:val="0"/>
      <w:sz w:val="24"/>
      <w:szCs w:val="28"/>
      <w:lang/>
    </w:rPr>
  </w:style>
  <w:style w:type="paragraph" w:customStyle="1" w:styleId="258">
    <w:name w:val="xl52"/>
    <w:basedOn w:val="1"/>
    <w:uiPriority w:val="0"/>
    <w:pPr>
      <w:widowControl/>
      <w:pBdr>
        <w:top w:val="single" w:color="auto" w:sz="4" w:space="0"/>
        <w:bottom w:val="single" w:color="auto" w:sz="4" w:space="0"/>
      </w:pBdr>
      <w:spacing w:before="100" w:beforeAutospacing="1" w:after="100" w:afterAutospacing="1"/>
      <w:jc w:val="center"/>
      <w:textAlignment w:val="center"/>
    </w:pPr>
    <w:rPr>
      <w:b/>
      <w:bCs/>
      <w:kern w:val="0"/>
      <w:sz w:val="22"/>
      <w:szCs w:val="22"/>
    </w:rPr>
  </w:style>
  <w:style w:type="paragraph" w:customStyle="1" w:styleId="259">
    <w:name w:val="Normal Indent"/>
    <w:basedOn w:val="1"/>
    <w:uiPriority w:val="0"/>
    <w:pPr>
      <w:spacing w:after="156" w:afterLines="50" w:line="360" w:lineRule="auto"/>
      <w:ind w:firstLine="420" w:firstLineChars="200"/>
    </w:pPr>
  </w:style>
  <w:style w:type="paragraph" w:customStyle="1" w:styleId="260">
    <w:name w:val="缺省文本:1"/>
    <w:basedOn w:val="1"/>
    <w:uiPriority w:val="0"/>
    <w:pPr>
      <w:autoSpaceDE w:val="0"/>
      <w:autoSpaceDN w:val="0"/>
      <w:adjustRightInd w:val="0"/>
      <w:spacing w:line="400" w:lineRule="exact"/>
      <w:ind w:firstLine="539"/>
    </w:pPr>
    <w:rPr>
      <w:kern w:val="0"/>
      <w:sz w:val="24"/>
    </w:rPr>
  </w:style>
  <w:style w:type="paragraph" w:customStyle="1" w:styleId="261">
    <w:name w:val=" Char Char2 Char"/>
    <w:basedOn w:val="1"/>
    <w:uiPriority w:val="0"/>
    <w:pPr>
      <w:keepNext/>
      <w:keepLines/>
      <w:pageBreakBefore/>
      <w:tabs>
        <w:tab w:val="left" w:pos="845"/>
      </w:tabs>
      <w:ind w:left="845" w:hanging="420"/>
    </w:pPr>
    <w:rPr>
      <w:rFonts w:ascii="Tahoma" w:hAnsi="Tahoma"/>
      <w:sz w:val="24"/>
      <w:szCs w:val="20"/>
    </w:rPr>
  </w:style>
  <w:style w:type="paragraph" w:customStyle="1" w:styleId="262">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63">
    <w:name w:val="xl9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264">
    <w:name w:val="xl97"/>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Arial Unicode MS"/>
      <w:kern w:val="0"/>
      <w:sz w:val="24"/>
    </w:rPr>
  </w:style>
  <w:style w:type="paragraph" w:customStyle="1" w:styleId="265">
    <w:name w:val="my-style"/>
    <w:basedOn w:val="1"/>
    <w:uiPriority w:val="0"/>
    <w:pPr>
      <w:widowControl/>
      <w:spacing w:before="100" w:beforeAutospacing="1" w:after="100" w:afterAutospacing="1"/>
      <w:jc w:val="left"/>
    </w:pPr>
    <w:rPr>
      <w:rFonts w:ascii="宋体" w:hAnsi="宋体"/>
      <w:kern w:val="0"/>
      <w:sz w:val="24"/>
      <w:szCs w:val="20"/>
    </w:rPr>
  </w:style>
  <w:style w:type="paragraph" w:customStyle="1" w:styleId="266">
    <w:name w:val="样式1"/>
    <w:basedOn w:val="5"/>
    <w:uiPriority w:val="0"/>
  </w:style>
  <w:style w:type="paragraph" w:customStyle="1" w:styleId="267">
    <w:name w:val="xl65"/>
    <w:basedOn w:val="1"/>
    <w:uiPriority w:val="0"/>
    <w:pPr>
      <w:widowControl/>
      <w:spacing w:before="100" w:beforeAutospacing="1" w:after="100" w:afterAutospacing="1"/>
      <w:jc w:val="center"/>
    </w:pPr>
    <w:rPr>
      <w:rFonts w:ascii="宋体" w:hAnsi="宋体" w:cs="宋体"/>
      <w:kern w:val="0"/>
      <w:sz w:val="24"/>
    </w:rPr>
  </w:style>
  <w:style w:type="paragraph" w:customStyle="1" w:styleId="268">
    <w:name w:val="表格1"/>
    <w:basedOn w:val="1"/>
    <w:uiPriority w:val="0"/>
    <w:pPr>
      <w:adjustRightInd w:val="0"/>
      <w:spacing w:line="420" w:lineRule="atLeast"/>
      <w:ind w:left="284"/>
      <w:textAlignment w:val="baseline"/>
    </w:pPr>
    <w:rPr>
      <w:kern w:val="0"/>
      <w:szCs w:val="20"/>
    </w:rPr>
  </w:style>
  <w:style w:type="paragraph" w:customStyle="1" w:styleId="269">
    <w:name w:val="二级"/>
    <w:basedOn w:val="270"/>
    <w:next w:val="1"/>
    <w:qFormat/>
    <w:uiPriority w:val="0"/>
    <w:pPr>
      <w:spacing w:before="240" w:after="240"/>
      <w:outlineLvl w:val="2"/>
    </w:pPr>
    <w:rPr>
      <w:rFonts w:eastAsia="黑体"/>
      <w:sz w:val="28"/>
    </w:rPr>
  </w:style>
  <w:style w:type="paragraph" w:customStyle="1" w:styleId="270">
    <w:name w:val="要求正文"/>
    <w:basedOn w:val="1"/>
    <w:qFormat/>
    <w:uiPriority w:val="0"/>
    <w:pPr>
      <w:spacing w:line="400" w:lineRule="exact"/>
    </w:pPr>
    <w:rPr>
      <w:sz w:val="24"/>
      <w:szCs w:val="22"/>
    </w:rPr>
  </w:style>
  <w:style w:type="paragraph" w:customStyle="1" w:styleId="271">
    <w:name w:val=" Char Char Char Char Char Char Char"/>
    <w:basedOn w:val="1"/>
    <w:qFormat/>
    <w:uiPriority w:val="0"/>
    <w:rPr>
      <w:rFonts w:ascii="仿宋_GB2312" w:eastAsia="仿宋_GB2312"/>
      <w:b/>
      <w:sz w:val="32"/>
      <w:szCs w:val="32"/>
    </w:rPr>
  </w:style>
  <w:style w:type="paragraph" w:customStyle="1" w:styleId="272">
    <w:name w:val="Char11"/>
    <w:basedOn w:val="1"/>
    <w:uiPriority w:val="0"/>
    <w:pPr>
      <w:widowControl/>
      <w:spacing w:after="160" w:line="240" w:lineRule="exact"/>
      <w:jc w:val="left"/>
    </w:pPr>
    <w:rPr>
      <w:rFonts w:ascii="Verdana" w:hAnsi="Verdana" w:cs="Verdana"/>
      <w:kern w:val="0"/>
      <w:szCs w:val="21"/>
      <w:lang w:eastAsia="en-US"/>
    </w:rPr>
  </w:style>
  <w:style w:type="paragraph" w:customStyle="1" w:styleId="273">
    <w:name w:val="xl60"/>
    <w:basedOn w:val="1"/>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rPr>
  </w:style>
  <w:style w:type="paragraph" w:customStyle="1" w:styleId="274">
    <w:name w:val="默认段落字体 Para Char Char Char Char Char Char Char Char Char1 Char Char Char Char"/>
    <w:basedOn w:val="1"/>
    <w:qFormat/>
    <w:uiPriority w:val="0"/>
    <w:rPr>
      <w:rFonts w:ascii="Tahoma" w:hAnsi="Tahoma" w:cs="Tahoma"/>
      <w:sz w:val="24"/>
    </w:rPr>
  </w:style>
  <w:style w:type="paragraph" w:customStyle="1" w:styleId="275">
    <w:name w:val="￥正文"/>
    <w:basedOn w:val="1"/>
    <w:qFormat/>
    <w:uiPriority w:val="0"/>
    <w:pPr>
      <w:spacing w:line="360" w:lineRule="auto"/>
      <w:ind w:firstLine="200" w:firstLineChars="200"/>
    </w:pPr>
    <w:rPr>
      <w:rFonts w:ascii="Calibri" w:hAnsi="Calibri"/>
      <w:kern w:val="0"/>
      <w:sz w:val="24"/>
      <w:lang w:eastAsia="en-US"/>
    </w:rPr>
  </w:style>
  <w:style w:type="paragraph" w:customStyle="1" w:styleId="276">
    <w:name w:val="xl4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楷体_GB2312" w:hAnsi="Arial Unicode MS" w:eastAsia="楷体_GB2312" w:cs="Arial Unicode MS"/>
      <w:kern w:val="0"/>
      <w:sz w:val="24"/>
    </w:rPr>
  </w:style>
  <w:style w:type="paragraph" w:customStyle="1" w:styleId="277">
    <w:name w:val="xl78"/>
    <w:basedOn w:val="1"/>
    <w:uiPriority w:val="0"/>
    <w:pPr>
      <w:widowControl/>
      <w:numPr>
        <w:ilvl w:val="0"/>
        <w:numId w:val="4"/>
      </w:numPr>
      <w:pBdr>
        <w:top w:val="single" w:color="auto" w:sz="4" w:space="0"/>
        <w:bottom w:val="single" w:color="auto" w:sz="4" w:space="0"/>
      </w:pBdr>
      <w:shd w:val="clear" w:color="auto" w:fill="FFFFFF"/>
      <w:spacing w:before="100" w:beforeAutospacing="1" w:after="100" w:afterAutospacing="1"/>
      <w:ind w:left="0" w:firstLine="0"/>
      <w:jc w:val="right"/>
    </w:pPr>
    <w:rPr>
      <w:rFonts w:ascii="Arial Unicode MS" w:hAnsi="Arial Unicode MS" w:eastAsia="Arial Unicode MS" w:cs="Arial Unicode MS"/>
      <w:kern w:val="0"/>
      <w:sz w:val="24"/>
    </w:rPr>
  </w:style>
  <w:style w:type="paragraph" w:customStyle="1" w:styleId="278">
    <w:name w:val="xl92"/>
    <w:basedOn w:val="1"/>
    <w:uiPriority w:val="0"/>
    <w:pPr>
      <w:widowControl/>
      <w:numPr>
        <w:ilvl w:val="0"/>
        <w:numId w:val="5"/>
      </w:numPr>
      <w:pBdr>
        <w:left w:val="single" w:color="auto" w:sz="4" w:space="0"/>
        <w:bottom w:val="single" w:color="auto" w:sz="4" w:space="0"/>
        <w:right w:val="single" w:color="auto" w:sz="4" w:space="0"/>
      </w:pBdr>
      <w:shd w:val="clear" w:color="auto" w:fill="FFFFFF"/>
      <w:spacing w:before="100" w:beforeAutospacing="1" w:after="100" w:afterAutospacing="1"/>
      <w:ind w:left="0" w:firstLine="0"/>
      <w:jc w:val="center"/>
    </w:pPr>
    <w:rPr>
      <w:rFonts w:eastAsia="Arial Unicode MS"/>
      <w:kern w:val="0"/>
      <w:sz w:val="24"/>
    </w:rPr>
  </w:style>
  <w:style w:type="paragraph" w:customStyle="1" w:styleId="279">
    <w:name w:val="标准小三"/>
    <w:basedOn w:val="1"/>
    <w:uiPriority w:val="0"/>
    <w:pPr>
      <w:snapToGrid w:val="0"/>
      <w:spacing w:line="700" w:lineRule="exact"/>
      <w:ind w:firstLine="200" w:firstLineChars="200"/>
    </w:pPr>
    <w:rPr>
      <w:rFonts w:ascii="宋体" w:hAnsi="宋体" w:eastAsia="仿宋_GB2312"/>
      <w:kern w:val="0"/>
      <w:sz w:val="30"/>
      <w:szCs w:val="32"/>
    </w:rPr>
  </w:style>
  <w:style w:type="paragraph" w:customStyle="1" w:styleId="280">
    <w:name w:val="msonormalcxspmiddle"/>
    <w:basedOn w:val="1"/>
    <w:uiPriority w:val="0"/>
    <w:pPr>
      <w:widowControl/>
      <w:spacing w:before="100" w:beforeAutospacing="1" w:after="100" w:afterAutospacing="1"/>
      <w:jc w:val="left"/>
    </w:pPr>
    <w:rPr>
      <w:rFonts w:ascii="宋体" w:hAnsi="宋体" w:cs="宋体"/>
      <w:kern w:val="0"/>
      <w:sz w:val="24"/>
    </w:rPr>
  </w:style>
  <w:style w:type="paragraph" w:customStyle="1" w:styleId="281">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82">
    <w:name w:val="正文不缩进"/>
    <w:basedOn w:val="1"/>
    <w:uiPriority w:val="0"/>
    <w:pPr>
      <w:adjustRightInd w:val="0"/>
      <w:spacing w:line="360" w:lineRule="auto"/>
      <w:jc w:val="left"/>
      <w:textAlignment w:val="baseline"/>
    </w:pPr>
    <w:rPr>
      <w:kern w:val="0"/>
      <w:sz w:val="24"/>
      <w:szCs w:val="20"/>
    </w:rPr>
  </w:style>
  <w:style w:type="paragraph" w:customStyle="1" w:styleId="283">
    <w:name w:val="xl98"/>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eastAsia="Arial Unicode MS"/>
      <w:kern w:val="0"/>
      <w:sz w:val="24"/>
    </w:rPr>
  </w:style>
  <w:style w:type="paragraph" w:customStyle="1" w:styleId="284">
    <w:name w:val="font6"/>
    <w:basedOn w:val="1"/>
    <w:uiPriority w:val="0"/>
    <w:pPr>
      <w:widowControl/>
      <w:spacing w:before="100" w:beforeAutospacing="1" w:after="100" w:afterAutospacing="1"/>
      <w:jc w:val="left"/>
    </w:pPr>
    <w:rPr>
      <w:kern w:val="0"/>
      <w:sz w:val="20"/>
      <w:szCs w:val="20"/>
    </w:rPr>
  </w:style>
  <w:style w:type="paragraph" w:customStyle="1" w:styleId="285">
    <w:name w:val="xl81"/>
    <w:basedOn w:val="1"/>
    <w:uiPriority w:val="0"/>
    <w:pPr>
      <w:widowControl/>
      <w:pBdr>
        <w:top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rPr>
  </w:style>
  <w:style w:type="paragraph" w:customStyle="1" w:styleId="286">
    <w:name w:val=" Char1 Char Char Char Char Char Char"/>
    <w:basedOn w:val="1"/>
    <w:uiPriority w:val="0"/>
    <w:rPr>
      <w:rFonts w:ascii="Tahoma" w:hAnsi="Tahoma"/>
      <w:sz w:val="24"/>
      <w:szCs w:val="20"/>
    </w:rPr>
  </w:style>
  <w:style w:type="paragraph" w:customStyle="1" w:styleId="287">
    <w:name w:val="表格内容"/>
    <w:basedOn w:val="1"/>
    <w:uiPriority w:val="0"/>
    <w:pPr>
      <w:widowControl/>
      <w:autoSpaceDE w:val="0"/>
      <w:autoSpaceDN w:val="0"/>
      <w:adjustRightInd w:val="0"/>
      <w:ind w:left="-99" w:leftChars="-37"/>
      <w:jc w:val="center"/>
      <w:textAlignment w:val="baseline"/>
    </w:pPr>
    <w:rPr>
      <w:rFonts w:hAnsi="宋体"/>
      <w:snapToGrid/>
      <w:kern w:val="0"/>
      <w:sz w:val="24"/>
      <w:szCs w:val="21"/>
    </w:rPr>
  </w:style>
  <w:style w:type="paragraph" w:customStyle="1" w:styleId="288">
    <w:name w:val="Normal"/>
    <w:qFormat/>
    <w:uiPriority w:val="0"/>
    <w:pPr>
      <w:widowControl w:val="0"/>
      <w:jc w:val="both"/>
    </w:pPr>
    <w:rPr>
      <w:rFonts w:hint="eastAsia"/>
      <w:kern w:val="2"/>
      <w:sz w:val="21"/>
      <w:lang w:val="en-US" w:eastAsia="zh-CN" w:bidi="ar-SA"/>
    </w:rPr>
  </w:style>
  <w:style w:type="paragraph" w:customStyle="1" w:styleId="289">
    <w:name w:val="xl42"/>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hint="eastAsia" w:ascii="楷体_GB2312" w:hAnsi="Arial Unicode MS" w:eastAsia="楷体_GB2312" w:cs="Arial Unicode MS"/>
      <w:b/>
      <w:bCs/>
      <w:kern w:val="0"/>
      <w:sz w:val="24"/>
    </w:rPr>
  </w:style>
  <w:style w:type="paragraph" w:customStyle="1" w:styleId="290">
    <w:name w:val="xl8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rPr>
  </w:style>
  <w:style w:type="paragraph" w:customStyle="1" w:styleId="291">
    <w:name w:val="正文加粗"/>
    <w:basedOn w:val="1"/>
    <w:next w:val="1"/>
    <w:uiPriority w:val="0"/>
    <w:pPr>
      <w:spacing w:before="120" w:beforeLines="50" w:after="120" w:afterLines="50" w:line="360" w:lineRule="auto"/>
    </w:pPr>
    <w:rPr>
      <w:rFonts w:ascii="宋体"/>
      <w:b/>
      <w:sz w:val="24"/>
    </w:rPr>
  </w:style>
  <w:style w:type="paragraph" w:customStyle="1" w:styleId="292">
    <w:name w:val="标准小四"/>
    <w:basedOn w:val="1"/>
    <w:uiPriority w:val="0"/>
    <w:pPr>
      <w:spacing w:line="360" w:lineRule="auto"/>
      <w:ind w:firstLine="200" w:firstLineChars="200"/>
    </w:pPr>
    <w:rPr>
      <w:rFonts w:ascii="Arial" w:hAnsi="Arial"/>
      <w:sz w:val="24"/>
      <w:szCs w:val="21"/>
    </w:rPr>
  </w:style>
  <w:style w:type="paragraph" w:customStyle="1" w:styleId="293">
    <w:name w:val="def章节标题1"/>
    <w:basedOn w:val="1"/>
    <w:uiPriority w:val="0"/>
    <w:pPr>
      <w:keepNext/>
      <w:keepLines/>
      <w:tabs>
        <w:tab w:val="left" w:pos="930"/>
      </w:tabs>
      <w:spacing w:before="100" w:beforeAutospacing="1" w:after="100" w:afterAutospacing="1" w:line="360" w:lineRule="auto"/>
      <w:jc w:val="left"/>
      <w:outlineLvl w:val="0"/>
    </w:pPr>
    <w:rPr>
      <w:b/>
      <w:kern w:val="44"/>
      <w:sz w:val="24"/>
      <w:szCs w:val="44"/>
    </w:rPr>
  </w:style>
  <w:style w:type="paragraph" w:customStyle="1" w:styleId="294">
    <w:name w:val="正文编号内容"/>
    <w:basedOn w:val="51"/>
    <w:next w:val="51"/>
    <w:uiPriority w:val="0"/>
    <w:pPr>
      <w:widowControl/>
      <w:tabs>
        <w:tab w:val="left" w:pos="930"/>
      </w:tabs>
      <w:suppressAutoHyphens/>
      <w:autoSpaceDE/>
      <w:autoSpaceDN/>
      <w:adjustRightInd/>
      <w:ind w:left="930" w:hanging="420"/>
      <w:jc w:val="both"/>
    </w:pPr>
    <w:rPr>
      <w:rFonts w:ascii="黑体" w:hAnsi="华文细黑"/>
      <w:kern w:val="2"/>
      <w:sz w:val="24"/>
      <w:lang w:val="en-US" w:eastAsia="zh-CN"/>
    </w:rPr>
  </w:style>
  <w:style w:type="paragraph" w:customStyle="1" w:styleId="295">
    <w:name w:val="标题样式"/>
    <w:basedOn w:val="1"/>
    <w:uiPriority w:val="0"/>
    <w:pPr>
      <w:tabs>
        <w:tab w:val="left" w:pos="420"/>
      </w:tabs>
      <w:spacing w:line="360" w:lineRule="auto"/>
    </w:pPr>
    <w:rPr>
      <w:rFonts w:ascii="宋体" w:hAnsi="宋体"/>
      <w:sz w:val="24"/>
      <w:lang/>
    </w:rPr>
  </w:style>
  <w:style w:type="paragraph" w:customStyle="1" w:styleId="296">
    <w:name w:val="列出段落1"/>
    <w:basedOn w:val="1"/>
    <w:qFormat/>
    <w:uiPriority w:val="0"/>
    <w:pPr>
      <w:ind w:firstLine="200" w:firstLineChars="200"/>
    </w:pPr>
    <w:rPr>
      <w:rFonts w:ascii="Calibri" w:hAnsi="Calibri" w:cs="Arial"/>
    </w:rPr>
  </w:style>
  <w:style w:type="paragraph" w:customStyle="1" w:styleId="297">
    <w:name w:val="xl94"/>
    <w:basedOn w:val="1"/>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298">
    <w:name w:val="xl22"/>
    <w:basedOn w:val="1"/>
    <w:uiPriority w:val="0"/>
    <w:pPr>
      <w:widowControl/>
      <w:pBdr>
        <w:top w:val="single" w:color="auto" w:sz="4" w:space="0"/>
        <w:left w:val="single" w:color="auto" w:sz="4" w:space="0"/>
      </w:pBdr>
      <w:spacing w:before="100" w:beforeAutospacing="1" w:after="100" w:afterAutospacing="1"/>
      <w:jc w:val="center"/>
    </w:pPr>
    <w:rPr>
      <w:rFonts w:ascii="Arial Unicode MS" w:hAnsi="Arial Unicode MS" w:eastAsia="Arial Unicode MS"/>
      <w:kern w:val="0"/>
      <w:sz w:val="24"/>
    </w:rPr>
  </w:style>
  <w:style w:type="paragraph" w:customStyle="1" w:styleId="299">
    <w:name w:val="greytype"/>
    <w:basedOn w:val="1"/>
    <w:uiPriority w:val="0"/>
    <w:pPr>
      <w:widowControl/>
      <w:spacing w:line="200" w:lineRule="atLeast"/>
      <w:jc w:val="left"/>
    </w:pPr>
    <w:rPr>
      <w:rFonts w:ascii="宋体" w:hAnsi="宋体" w:cs="宋体"/>
      <w:kern w:val="0"/>
      <w:sz w:val="15"/>
      <w:szCs w:val="15"/>
    </w:rPr>
  </w:style>
  <w:style w:type="paragraph" w:customStyle="1" w:styleId="300">
    <w:name w:val="xl54"/>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szCs w:val="20"/>
    </w:rPr>
  </w:style>
  <w:style w:type="paragraph" w:customStyle="1" w:styleId="301">
    <w:name w:val="xl9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302">
    <w:name w:val="样式 正文首行缩进正文首行缩进 Char Char Char Char正文首行缩进 Char Char Char Char ..."/>
    <w:basedOn w:val="1"/>
    <w:uiPriority w:val="0"/>
    <w:pPr>
      <w:spacing w:afterLines="50" w:line="320" w:lineRule="exact"/>
      <w:ind w:firstLine="200" w:firstLineChars="200"/>
    </w:pPr>
    <w:rPr>
      <w:rFonts w:ascii="Calibri" w:hAnsi="Calibri" w:cs="宋体"/>
      <w:sz w:val="24"/>
      <w:szCs w:val="22"/>
    </w:rPr>
  </w:style>
  <w:style w:type="paragraph" w:customStyle="1" w:styleId="303">
    <w:name w:val="正文段"/>
    <w:basedOn w:val="1"/>
    <w:uiPriority w:val="0"/>
    <w:pPr>
      <w:widowControl/>
      <w:adjustRightInd w:val="0"/>
      <w:spacing w:after="240" w:line="360" w:lineRule="atLeast"/>
      <w:ind w:firstLine="454"/>
      <w:textAlignment w:val="bottom"/>
    </w:pPr>
    <w:rPr>
      <w:rFonts w:ascii="宋体"/>
      <w:kern w:val="0"/>
      <w:sz w:val="24"/>
      <w:szCs w:val="20"/>
    </w:rPr>
  </w:style>
  <w:style w:type="paragraph" w:customStyle="1" w:styleId="304">
    <w:name w:val="xl74"/>
    <w:basedOn w:val="1"/>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305">
    <w:name w:val="文字"/>
    <w:basedOn w:val="1"/>
    <w:uiPriority w:val="0"/>
    <w:pPr>
      <w:tabs>
        <w:tab w:val="left" w:pos="8520"/>
      </w:tabs>
      <w:spacing w:line="312" w:lineRule="auto"/>
      <w:ind w:right="-210" w:firstLine="556"/>
    </w:pPr>
    <w:rPr>
      <w:rFonts w:ascii="宋体"/>
      <w:sz w:val="28"/>
      <w:szCs w:val="20"/>
    </w:rPr>
  </w:style>
  <w:style w:type="paragraph" w:customStyle="1" w:styleId="306">
    <w:name w:val="5"/>
    <w:basedOn w:val="1"/>
    <w:next w:val="30"/>
    <w:uiPriority w:val="0"/>
    <w:pPr>
      <w:tabs>
        <w:tab w:val="left" w:pos="665"/>
      </w:tabs>
      <w:spacing w:line="360" w:lineRule="auto"/>
      <w:ind w:left="244" w:firstLine="476"/>
    </w:pPr>
    <w:rPr>
      <w:rFonts w:ascii="仿宋_GB2312" w:hAnsi="宋体" w:eastAsia="仿宋_GB2312"/>
      <w:sz w:val="24"/>
      <w:szCs w:val="20"/>
    </w:rPr>
  </w:style>
  <w:style w:type="paragraph" w:customStyle="1" w:styleId="307">
    <w:name w:val="样式 标题 1 + 长城黑体 小二 非加粗"/>
    <w:basedOn w:val="2"/>
    <w:uiPriority w:val="99"/>
    <w:pPr>
      <w:numPr>
        <w:ilvl w:val="0"/>
        <w:numId w:val="4"/>
      </w:numPr>
      <w:tabs>
        <w:tab w:val="left" w:pos="720"/>
        <w:tab w:val="clear" w:pos="5220"/>
      </w:tabs>
      <w:spacing w:before="100" w:beforeAutospacing="1" w:after="100" w:afterAutospacing="1" w:line="240" w:lineRule="auto"/>
      <w:jc w:val="center"/>
    </w:pPr>
    <w:rPr>
      <w:rFonts w:ascii="宋体" w:hAnsi="宋体"/>
      <w:sz w:val="32"/>
      <w:szCs w:val="32"/>
    </w:rPr>
  </w:style>
  <w:style w:type="paragraph" w:customStyle="1" w:styleId="308">
    <w:name w:val="font7"/>
    <w:basedOn w:val="1"/>
    <w:uiPriority w:val="0"/>
    <w:pPr>
      <w:widowControl/>
      <w:spacing w:before="100" w:beforeAutospacing="1" w:after="100" w:afterAutospacing="1"/>
      <w:jc w:val="left"/>
    </w:pPr>
    <w:rPr>
      <w:kern w:val="0"/>
      <w:sz w:val="20"/>
      <w:szCs w:val="20"/>
    </w:rPr>
  </w:style>
  <w:style w:type="paragraph" w:customStyle="1" w:styleId="309">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10">
    <w:name w:val="rm"/>
    <w:basedOn w:val="1"/>
    <w:uiPriority w:val="0"/>
    <w:pPr>
      <w:widowControl/>
      <w:spacing w:before="100" w:beforeAutospacing="1" w:after="100" w:afterAutospacing="1"/>
      <w:jc w:val="left"/>
    </w:pPr>
    <w:rPr>
      <w:rFonts w:ascii="宋体" w:hAnsi="宋体" w:cs="宋体"/>
      <w:kern w:val="0"/>
      <w:sz w:val="24"/>
    </w:rPr>
  </w:style>
  <w:style w:type="paragraph" w:customStyle="1" w:styleId="311">
    <w:name w:val="font10"/>
    <w:basedOn w:val="1"/>
    <w:uiPriority w:val="0"/>
    <w:pPr>
      <w:widowControl/>
      <w:spacing w:before="100" w:beforeAutospacing="1" w:after="100" w:afterAutospacing="1"/>
      <w:jc w:val="left"/>
    </w:pPr>
    <w:rPr>
      <w:rFonts w:ascii="宋体" w:cs="Arial Unicode MS"/>
      <w:kern w:val="0"/>
      <w:sz w:val="24"/>
    </w:rPr>
  </w:style>
  <w:style w:type="paragraph" w:customStyle="1" w:styleId="312">
    <w:name w:val="中等深浅网格 21"/>
    <w:qFormat/>
    <w:uiPriority w:val="1"/>
    <w:pPr>
      <w:widowControl w:val="0"/>
      <w:autoSpaceDE w:val="0"/>
      <w:autoSpaceDN w:val="0"/>
      <w:adjustRightInd w:val="0"/>
      <w:jc w:val="both"/>
      <w:textAlignment w:val="baseline"/>
    </w:pPr>
    <w:rPr>
      <w:sz w:val="21"/>
      <w:lang w:val="en-US" w:eastAsia="zh-CN" w:bidi="ar-SA"/>
    </w:rPr>
  </w:style>
  <w:style w:type="paragraph" w:customStyle="1" w:styleId="313">
    <w:name w:val="Table Text Char"/>
    <w:uiPriority w:val="0"/>
    <w:pPr>
      <w:snapToGrid w:val="0"/>
      <w:spacing w:before="80" w:after="80"/>
    </w:pPr>
    <w:rPr>
      <w:rFonts w:ascii="Arial" w:hAnsi="Arial" w:cs="Arial"/>
      <w:kern w:val="2"/>
      <w:sz w:val="18"/>
      <w:szCs w:val="21"/>
      <w:lang w:val="en-US" w:eastAsia="zh-CN" w:bidi="ar-SA"/>
    </w:rPr>
  </w:style>
  <w:style w:type="paragraph" w:customStyle="1" w:styleId="314">
    <w:name w:val="xl63"/>
    <w:basedOn w:val="1"/>
    <w:uiPriority w:val="0"/>
    <w:pPr>
      <w:widowControl/>
      <w:pBdr>
        <w:bottom w:val="single" w:color="auto" w:sz="4" w:space="0"/>
      </w:pBdr>
      <w:shd w:val="clear" w:color="auto" w:fill="FFFFFF"/>
      <w:spacing w:before="100" w:beforeAutospacing="1" w:after="100" w:afterAutospacing="1"/>
      <w:jc w:val="center"/>
    </w:pPr>
    <w:rPr>
      <w:rFonts w:ascii="Arial Unicode MS" w:hAnsi="Arial Unicode MS" w:eastAsia="Arial Unicode MS" w:cs="Arial Unicode MS"/>
      <w:b/>
      <w:bCs/>
      <w:kern w:val="0"/>
      <w:sz w:val="24"/>
    </w:rPr>
  </w:style>
  <w:style w:type="paragraph" w:customStyle="1" w:styleId="315">
    <w:name w:val="xl41"/>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hint="eastAsia" w:ascii="楷体_GB2312" w:hAnsi="Arial Unicode MS" w:eastAsia="楷体_GB2312" w:cs="Arial Unicode MS"/>
      <w:kern w:val="0"/>
      <w:sz w:val="24"/>
    </w:rPr>
  </w:style>
  <w:style w:type="paragraph" w:customStyle="1" w:styleId="316">
    <w:name w:val="reader-word-layer"/>
    <w:basedOn w:val="1"/>
    <w:uiPriority w:val="0"/>
    <w:pPr>
      <w:widowControl/>
      <w:spacing w:before="100" w:beforeAutospacing="1" w:after="100" w:afterAutospacing="1"/>
      <w:jc w:val="left"/>
    </w:pPr>
    <w:rPr>
      <w:rFonts w:ascii="宋体" w:cs="宋体"/>
      <w:kern w:val="0"/>
      <w:sz w:val="24"/>
    </w:rPr>
  </w:style>
  <w:style w:type="paragraph" w:customStyle="1" w:styleId="317">
    <w:name w:val="标准正文"/>
    <w:basedOn w:val="1"/>
    <w:uiPriority w:val="0"/>
    <w:pPr>
      <w:spacing w:line="240" w:lineRule="atLeast"/>
      <w:ind w:firstLine="200" w:firstLineChars="200"/>
    </w:pPr>
    <w:rPr>
      <w:rFonts w:ascii="宋体"/>
      <w:szCs w:val="21"/>
    </w:rPr>
  </w:style>
  <w:style w:type="paragraph" w:customStyle="1" w:styleId="318">
    <w:name w:val="xl5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Arial Unicode MS" w:hAnsi="Arial Unicode MS" w:eastAsia="Arial Unicode MS" w:cs="Arial Unicode MS"/>
      <w:kern w:val="0"/>
      <w:sz w:val="24"/>
    </w:rPr>
  </w:style>
  <w:style w:type="paragraph" w:customStyle="1" w:styleId="319">
    <w:name w:val="xl87"/>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320">
    <w:name w:val="三级标题"/>
    <w:basedOn w:val="1"/>
    <w:uiPriority w:val="0"/>
    <w:pPr>
      <w:snapToGrid w:val="0"/>
      <w:spacing w:before="50" w:beforeLines="50" w:after="50" w:afterLines="50"/>
      <w:ind w:firstLine="200" w:firstLineChars="200"/>
      <w:jc w:val="left"/>
      <w:outlineLvl w:val="2"/>
    </w:pPr>
    <w:rPr>
      <w:rFonts w:ascii="宋体"/>
      <w:b/>
      <w:bCs/>
      <w:color w:val="000000"/>
      <w:kern w:val="0"/>
      <w:szCs w:val="21"/>
    </w:rPr>
  </w:style>
  <w:style w:type="paragraph" w:customStyle="1" w:styleId="321">
    <w:name w:val="xl95"/>
    <w:basedOn w:val="1"/>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rPr>
  </w:style>
  <w:style w:type="paragraph" w:customStyle="1" w:styleId="322">
    <w:name w:val="xl51"/>
    <w:basedOn w:val="1"/>
    <w:uiPriority w:val="0"/>
    <w:pPr>
      <w:widowControl/>
      <w:pBdr>
        <w:top w:val="single" w:color="auto" w:sz="4" w:space="0"/>
        <w:bottom w:val="single" w:color="auto" w:sz="4" w:space="0"/>
      </w:pBdr>
      <w:spacing w:before="100" w:beforeAutospacing="1" w:after="100" w:afterAutospacing="1"/>
      <w:jc w:val="center"/>
      <w:textAlignment w:val="center"/>
    </w:pPr>
    <w:rPr>
      <w:b/>
      <w:bCs/>
      <w:kern w:val="0"/>
      <w:sz w:val="22"/>
      <w:szCs w:val="22"/>
    </w:rPr>
  </w:style>
  <w:style w:type="paragraph" w:customStyle="1" w:styleId="323">
    <w:name w:val="标题1-WMD"/>
    <w:basedOn w:val="324"/>
    <w:uiPriority w:val="0"/>
    <w:pPr>
      <w:pBdr>
        <w:top w:val="single" w:color="auto" w:sz="12" w:space="0"/>
        <w:bottom w:val="single" w:color="auto" w:sz="12" w:space="0"/>
      </w:pBdr>
    </w:pPr>
    <w:rPr>
      <w:rFonts w:ascii="楷体_GB2312"/>
      <w:sz w:val="32"/>
    </w:rPr>
  </w:style>
  <w:style w:type="paragraph" w:customStyle="1" w:styleId="324">
    <w:name w:val="标题-WMD"/>
    <w:basedOn w:val="2"/>
    <w:uiPriority w:val="0"/>
    <w:pPr>
      <w:numPr>
        <w:ilvl w:val="0"/>
        <w:numId w:val="0"/>
      </w:numPr>
      <w:pBdr>
        <w:top w:val="single" w:color="auto" w:sz="12" w:space="1"/>
        <w:left w:val="single" w:color="auto" w:sz="12" w:space="4"/>
        <w:bottom w:val="single" w:color="auto" w:sz="12" w:space="1"/>
        <w:right w:val="single" w:color="auto" w:sz="12" w:space="4"/>
      </w:pBdr>
      <w:shd w:val="clear" w:color="auto" w:fill="C0C0C0"/>
      <w:tabs>
        <w:tab w:val="clear" w:pos="5220"/>
      </w:tabs>
      <w:spacing w:line="360" w:lineRule="auto"/>
      <w:jc w:val="center"/>
    </w:pPr>
    <w:rPr>
      <w:rFonts w:eastAsia="楷体_GB2312"/>
      <w:kern w:val="36"/>
      <w:sz w:val="36"/>
      <w:lang w:val="en-US" w:eastAsia="zh-CN"/>
    </w:rPr>
  </w:style>
  <w:style w:type="paragraph" w:customStyle="1" w:styleId="325">
    <w:name w:val="表身"/>
    <w:basedOn w:val="1"/>
    <w:uiPriority w:val="0"/>
    <w:pPr>
      <w:autoSpaceDE w:val="0"/>
      <w:autoSpaceDN w:val="0"/>
      <w:adjustRightInd w:val="0"/>
      <w:spacing w:line="300" w:lineRule="auto"/>
      <w:jc w:val="left"/>
    </w:pPr>
    <w:rPr>
      <w:kern w:val="0"/>
      <w:sz w:val="18"/>
      <w:szCs w:val="20"/>
    </w:rPr>
  </w:style>
  <w:style w:type="paragraph" w:customStyle="1" w:styleId="326">
    <w:name w:val="È±Ê¡ÎÄ±¾"/>
    <w:basedOn w:val="1"/>
    <w:uiPriority w:val="0"/>
    <w:pPr>
      <w:widowControl/>
      <w:overflowPunct w:val="0"/>
      <w:autoSpaceDE w:val="0"/>
      <w:autoSpaceDN w:val="0"/>
      <w:adjustRightInd w:val="0"/>
      <w:spacing w:line="360" w:lineRule="auto"/>
      <w:textAlignment w:val="baseline"/>
    </w:pPr>
    <w:rPr>
      <w:kern w:val="0"/>
      <w:szCs w:val="20"/>
    </w:rPr>
  </w:style>
  <w:style w:type="paragraph" w:customStyle="1" w:styleId="327">
    <w:name w:val="Char Char Char Char"/>
    <w:basedOn w:val="1"/>
    <w:uiPriority w:val="0"/>
  </w:style>
  <w:style w:type="paragraph" w:customStyle="1" w:styleId="328">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kern w:val="0"/>
      <w:sz w:val="28"/>
      <w:szCs w:val="28"/>
    </w:rPr>
  </w:style>
  <w:style w:type="paragraph" w:customStyle="1" w:styleId="329">
    <w:name w:val=" Char Char Char Char Char"/>
    <w:basedOn w:val="1"/>
    <w:uiPriority w:val="0"/>
    <w:rPr>
      <w:rFonts w:ascii="Tahoma" w:hAnsi="Tahoma"/>
      <w:sz w:val="24"/>
      <w:szCs w:val="20"/>
    </w:rPr>
  </w:style>
  <w:style w:type="paragraph" w:customStyle="1" w:styleId="330">
    <w:name w:val="二级标题"/>
    <w:basedOn w:val="26"/>
    <w:uiPriority w:val="0"/>
    <w:pPr>
      <w:snapToGrid w:val="0"/>
      <w:spacing w:before="50" w:beforeLines="50" w:after="50" w:afterLines="50"/>
      <w:ind w:firstLine="200" w:firstLineChars="200"/>
      <w:outlineLvl w:val="1"/>
    </w:pPr>
    <w:rPr>
      <w:rFonts w:hAnsi="Times New Roman"/>
      <w:b/>
      <w:bCs/>
      <w:kern w:val="0"/>
      <w:lang w:val="en-US" w:eastAsia="zh-CN"/>
    </w:rPr>
  </w:style>
  <w:style w:type="paragraph" w:customStyle="1" w:styleId="331">
    <w:name w:val="Char Char Char Char Char Char Char1"/>
    <w:basedOn w:val="1"/>
    <w:uiPriority w:val="0"/>
    <w:rPr>
      <w:rFonts w:ascii="仿宋_GB2312" w:eastAsia="仿宋_GB2312"/>
      <w:b/>
      <w:sz w:val="32"/>
      <w:szCs w:val="32"/>
    </w:rPr>
  </w:style>
  <w:style w:type="paragraph" w:customStyle="1" w:styleId="332">
    <w:name w:val="No Spacing1"/>
    <w:uiPriority w:val="0"/>
    <w:pPr>
      <w:widowControl w:val="0"/>
      <w:jc w:val="both"/>
    </w:pPr>
    <w:rPr>
      <w:rFonts w:ascii="Calibri" w:hAnsi="Calibri" w:cs="黑体"/>
      <w:kern w:val="2"/>
      <w:sz w:val="21"/>
      <w:szCs w:val="22"/>
      <w:lang w:val="en-US" w:eastAsia="zh-CN" w:bidi="ar-SA"/>
    </w:rPr>
  </w:style>
  <w:style w:type="paragraph" w:customStyle="1" w:styleId="333">
    <w:name w:val="正文文本缩进1"/>
    <w:basedOn w:val="1"/>
    <w:uiPriority w:val="0"/>
    <w:pPr>
      <w:widowControl/>
      <w:snapToGrid w:val="0"/>
      <w:spacing w:line="440" w:lineRule="atLeast"/>
      <w:ind w:left="2400" w:hanging="1980"/>
      <w:jc w:val="center"/>
    </w:pPr>
    <w:rPr>
      <w:rFonts w:hint="eastAsia" w:ascii="宋体"/>
      <w:kern w:val="0"/>
      <w:sz w:val="24"/>
      <w:szCs w:val="20"/>
    </w:rPr>
  </w:style>
  <w:style w:type="paragraph" w:customStyle="1" w:styleId="334">
    <w:name w:val="xl76"/>
    <w:basedOn w:val="1"/>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rPr>
  </w:style>
  <w:style w:type="paragraph" w:customStyle="1" w:styleId="335">
    <w:name w:val="Table Text Char Char"/>
    <w:uiPriority w:val="0"/>
    <w:pPr>
      <w:snapToGrid w:val="0"/>
      <w:spacing w:before="80" w:after="80"/>
    </w:pPr>
    <w:rPr>
      <w:rFonts w:ascii="Arial" w:hAnsi="Arial" w:cs="Arial"/>
      <w:kern w:val="2"/>
      <w:sz w:val="18"/>
      <w:szCs w:val="18"/>
      <w:lang w:val="en-US" w:eastAsia="zh-CN" w:bidi="ar-SA"/>
    </w:rPr>
  </w:style>
  <w:style w:type="paragraph" w:customStyle="1" w:styleId="336">
    <w:name w:val="xl3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olor w:val="000000"/>
      <w:kern w:val="0"/>
      <w:sz w:val="24"/>
    </w:rPr>
  </w:style>
  <w:style w:type="paragraph" w:customStyle="1" w:styleId="337">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20"/>
      <w:szCs w:val="20"/>
    </w:rPr>
  </w:style>
  <w:style w:type="paragraph" w:customStyle="1" w:styleId="338">
    <w:name w:val="xl58"/>
    <w:basedOn w:val="1"/>
    <w:uiPriority w:val="0"/>
    <w:pPr>
      <w:widowControl/>
      <w:numPr>
        <w:ilvl w:val="0"/>
        <w:numId w:val="6"/>
      </w:numPr>
      <w:pBdr>
        <w:top w:val="single" w:color="auto" w:sz="4" w:space="0"/>
        <w:left w:val="single" w:color="auto" w:sz="4" w:space="0"/>
        <w:bottom w:val="single" w:color="auto" w:sz="4" w:space="0"/>
        <w:right w:val="single" w:color="auto" w:sz="4" w:space="0"/>
      </w:pBdr>
      <w:shd w:val="clear" w:color="auto" w:fill="FFFFFF"/>
      <w:tabs>
        <w:tab w:val="clear" w:pos="780"/>
      </w:tabs>
      <w:spacing w:before="100" w:beforeAutospacing="1" w:after="100" w:afterAutospacing="1"/>
      <w:ind w:left="0" w:firstLine="0"/>
      <w:jc w:val="center"/>
    </w:pPr>
    <w:rPr>
      <w:rFonts w:eastAsia="Arial Unicode MS"/>
      <w:color w:val="000000"/>
      <w:kern w:val="0"/>
      <w:sz w:val="24"/>
    </w:rPr>
  </w:style>
  <w:style w:type="paragraph" w:customStyle="1" w:styleId="339">
    <w:name w:val="xl4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kern w:val="0"/>
      <w:sz w:val="24"/>
    </w:rPr>
  </w:style>
  <w:style w:type="paragraph" w:customStyle="1" w:styleId="340">
    <w:name w:val="xl9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341">
    <w:name w:val="Char2"/>
    <w:basedOn w:val="1"/>
    <w:uiPriority w:val="0"/>
    <w:pPr>
      <w:ind w:firstLine="200" w:firstLineChars="200"/>
    </w:pPr>
    <w:rPr>
      <w:rFonts w:ascii="Tahoma" w:hAnsi="Tahoma"/>
      <w:sz w:val="24"/>
      <w:szCs w:val="20"/>
    </w:rPr>
  </w:style>
  <w:style w:type="paragraph" w:customStyle="1" w:styleId="342">
    <w:name w:val="xl7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eastAsia="Arial Unicode MS"/>
      <w:kern w:val="0"/>
      <w:sz w:val="24"/>
    </w:rPr>
  </w:style>
  <w:style w:type="paragraph" w:customStyle="1" w:styleId="343">
    <w:name w:val="xl23"/>
    <w:basedOn w:val="1"/>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rPr>
  </w:style>
  <w:style w:type="paragraph" w:customStyle="1" w:styleId="344">
    <w:name w:val="简单回函地址"/>
    <w:basedOn w:val="1"/>
    <w:uiPriority w:val="0"/>
  </w:style>
  <w:style w:type="paragraph" w:customStyle="1" w:styleId="345">
    <w:name w:val="正文1"/>
    <w:basedOn w:val="1"/>
    <w:uiPriority w:val="99"/>
    <w:pPr>
      <w:numPr>
        <w:ilvl w:val="0"/>
        <w:numId w:val="2"/>
      </w:numPr>
      <w:spacing w:line="360" w:lineRule="auto"/>
      <w:jc w:val="left"/>
    </w:pPr>
    <w:rPr>
      <w:rFonts w:ascii="宋体" w:hAnsi="宋体"/>
      <w:spacing w:val="4"/>
      <w:sz w:val="18"/>
      <w:szCs w:val="20"/>
    </w:rPr>
  </w:style>
  <w:style w:type="paragraph" w:customStyle="1" w:styleId="346">
    <w:name w:val="样式 首行缩进:  0 字符"/>
    <w:basedOn w:val="1"/>
    <w:uiPriority w:val="0"/>
    <w:pPr>
      <w:adjustRightInd w:val="0"/>
      <w:snapToGrid w:val="0"/>
      <w:spacing w:line="360" w:lineRule="auto"/>
    </w:pPr>
    <w:rPr>
      <w:sz w:val="24"/>
      <w:szCs w:val="20"/>
    </w:rPr>
  </w:style>
  <w:style w:type="paragraph" w:customStyle="1" w:styleId="347">
    <w:name w:val="ÕýÎÄ 1"/>
    <w:basedOn w:val="1"/>
    <w:uiPriority w:val="0"/>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348">
    <w:name w:val="百三"/>
    <w:basedOn w:val="1"/>
    <w:uiPriority w:val="0"/>
    <w:pPr>
      <w:pBdr>
        <w:top w:val="single" w:color="auto" w:sz="12" w:space="1"/>
        <w:left w:val="single" w:color="auto" w:sz="12" w:space="1"/>
        <w:bottom w:val="single" w:color="auto" w:sz="12" w:space="1"/>
        <w:right w:val="single" w:color="auto" w:sz="12" w:space="1"/>
      </w:pBdr>
      <w:shd w:val="pct20" w:color="auto" w:fill="auto"/>
      <w:autoSpaceDE w:val="0"/>
      <w:autoSpaceDN w:val="0"/>
      <w:adjustRightInd w:val="0"/>
      <w:spacing w:line="360" w:lineRule="atLeast"/>
      <w:jc w:val="center"/>
      <w:textAlignment w:val="baseline"/>
    </w:pPr>
    <w:rPr>
      <w:rFonts w:ascii="宋体" w:hAnsi="Tms Rmn"/>
      <w:b/>
      <w:kern w:val="0"/>
      <w:sz w:val="32"/>
      <w:szCs w:val="20"/>
    </w:rPr>
  </w:style>
  <w:style w:type="paragraph" w:customStyle="1" w:styleId="349">
    <w:name w:val="样式 表格正文 + 两端对齐"/>
    <w:basedOn w:val="1"/>
    <w:uiPriority w:val="0"/>
    <w:pPr>
      <w:spacing w:line="300" w:lineRule="auto"/>
    </w:pPr>
    <w:rPr>
      <w:sz w:val="24"/>
      <w:szCs w:val="20"/>
    </w:rPr>
  </w:style>
  <w:style w:type="paragraph" w:customStyle="1" w:styleId="350">
    <w:name w:val="xl62"/>
    <w:basedOn w:val="1"/>
    <w:uiPriority w:val="0"/>
    <w:pPr>
      <w:widowControl/>
      <w:pBdr>
        <w:left w:val="single" w:color="auto" w:sz="4" w:space="0"/>
        <w:bottom w:val="single" w:color="auto" w:sz="4" w:space="0"/>
      </w:pBdr>
      <w:shd w:val="clear" w:color="auto" w:fill="FFFFFF"/>
      <w:spacing w:before="100" w:beforeAutospacing="1" w:after="100" w:afterAutospacing="1"/>
      <w:jc w:val="center"/>
    </w:pPr>
    <w:rPr>
      <w:rFonts w:ascii="Arial Unicode MS" w:hAnsi="Arial Unicode MS" w:eastAsia="Arial Unicode MS" w:cs="Arial Unicode MS"/>
      <w:b/>
      <w:bCs/>
      <w:kern w:val="0"/>
      <w:sz w:val="24"/>
    </w:rPr>
  </w:style>
  <w:style w:type="paragraph" w:customStyle="1" w:styleId="351">
    <w:name w:val="普文W"/>
    <w:basedOn w:val="26"/>
    <w:uiPriority w:val="0"/>
    <w:pPr>
      <w:spacing w:before="120" w:after="120" w:line="360" w:lineRule="auto"/>
    </w:pPr>
    <w:rPr>
      <w:sz w:val="24"/>
      <w:szCs w:val="20"/>
      <w:lang w:val="en-US" w:eastAsia="zh-CN"/>
    </w:rPr>
  </w:style>
  <w:style w:type="paragraph" w:customStyle="1" w:styleId="352">
    <w:name w:val="xl4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int="eastAsia" w:ascii="楷体_GB2312" w:hAnsi="Arial Unicode MS" w:eastAsia="楷体_GB2312" w:cs="Arial Unicode MS"/>
      <w:kern w:val="0"/>
      <w:sz w:val="24"/>
    </w:rPr>
  </w:style>
  <w:style w:type="paragraph" w:customStyle="1" w:styleId="353">
    <w:name w:val="样式 标题 5 + 右侧:  -0.18 字符"/>
    <w:basedOn w:val="1"/>
    <w:uiPriority w:val="99"/>
    <w:pPr>
      <w:numPr>
        <w:ilvl w:val="4"/>
        <w:numId w:val="1"/>
      </w:numPr>
      <w:tabs>
        <w:tab w:val="left" w:pos="1008"/>
      </w:tabs>
    </w:pPr>
    <w:rPr>
      <w:szCs w:val="20"/>
    </w:rPr>
  </w:style>
  <w:style w:type="paragraph" w:customStyle="1" w:styleId="354">
    <w:name w:val=" Char Char Char"/>
    <w:basedOn w:val="1"/>
    <w:uiPriority w:val="0"/>
    <w:pPr>
      <w:widowControl/>
      <w:jc w:val="left"/>
    </w:pPr>
    <w:rPr>
      <w:rFonts w:ascii="Tahoma" w:hAnsi="Tahoma" w:cs="宋体"/>
      <w:kern w:val="0"/>
      <w:sz w:val="24"/>
      <w:szCs w:val="20"/>
    </w:rPr>
  </w:style>
  <w:style w:type="paragraph" w:customStyle="1" w:styleId="355">
    <w:name w:val="Plain Text"/>
    <w:basedOn w:val="288"/>
    <w:qFormat/>
    <w:uiPriority w:val="0"/>
    <w:pPr>
      <w:widowControl/>
      <w:jc w:val="left"/>
    </w:pPr>
    <w:rPr>
      <w:rFonts w:ascii="宋体" w:hAnsi="Courier New"/>
    </w:rPr>
  </w:style>
  <w:style w:type="paragraph" w:customStyle="1" w:styleId="356">
    <w:name w:val="正文OK"/>
    <w:basedOn w:val="1"/>
    <w:uiPriority w:val="0"/>
    <w:pPr>
      <w:ind w:firstLine="200" w:firstLineChars="200"/>
    </w:pPr>
    <w:rPr>
      <w:rFonts w:ascii="Calibri" w:hAnsi="Calibri"/>
      <w:sz w:val="28"/>
      <w:szCs w:val="28"/>
    </w:rPr>
  </w:style>
  <w:style w:type="paragraph" w:customStyle="1" w:styleId="357">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58">
    <w:name w:val=" Char Char Char1 Char Char Char Char Char Char Char Char Char Char Char Char Char Char Char Char Char Char Char Char Char Char"/>
    <w:basedOn w:val="1"/>
    <w:uiPriority w:val="0"/>
    <w:pPr>
      <w:spacing w:line="360" w:lineRule="auto"/>
      <w:ind w:firstLine="200" w:firstLineChars="200"/>
    </w:pPr>
    <w:rPr>
      <w:szCs w:val="20"/>
    </w:rPr>
  </w:style>
  <w:style w:type="paragraph" w:customStyle="1" w:styleId="359">
    <w:name w:val="Body Text 2"/>
    <w:next w:val="1"/>
    <w:uiPriority w:val="0"/>
    <w:pPr>
      <w:overflowPunct w:val="0"/>
      <w:autoSpaceDE w:val="0"/>
      <w:autoSpaceDN w:val="0"/>
      <w:adjustRightInd w:val="0"/>
      <w:ind w:left="720" w:hanging="720"/>
      <w:jc w:val="both"/>
      <w:textAlignment w:val="baseline"/>
    </w:pPr>
    <w:rPr>
      <w:sz w:val="24"/>
      <w:lang w:val="en-GB" w:eastAsia="zh-CN" w:bidi="ar-SA"/>
    </w:rPr>
  </w:style>
  <w:style w:type="paragraph" w:customStyle="1" w:styleId="360">
    <w:name w:val="xl38"/>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kern w:val="0"/>
      <w:sz w:val="24"/>
    </w:rPr>
  </w:style>
  <w:style w:type="paragraph" w:customStyle="1" w:styleId="361">
    <w:name w:val="xl93"/>
    <w:basedOn w:val="1"/>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362">
    <w:name w:val="xl55"/>
    <w:basedOn w:val="1"/>
    <w:uiPriority w:val="0"/>
    <w:pPr>
      <w:widowControl/>
      <w:pBdr>
        <w:bottom w:val="single" w:color="auto" w:sz="4" w:space="0"/>
      </w:pBdr>
      <w:spacing w:before="100" w:beforeAutospacing="1" w:after="100" w:afterAutospacing="1"/>
      <w:jc w:val="center"/>
      <w:textAlignment w:val="center"/>
    </w:pPr>
    <w:rPr>
      <w:rFonts w:ascii="Arial Unicode MS" w:hAnsi="Arial Unicode MS"/>
      <w:b/>
      <w:bCs/>
      <w:kern w:val="0"/>
      <w:sz w:val="22"/>
      <w:szCs w:val="22"/>
    </w:rPr>
  </w:style>
  <w:style w:type="paragraph" w:customStyle="1" w:styleId="363">
    <w:name w:val="Char Char Char1 Char Char Char Char Char Char Char Char Char Char Char Char Char Char Char Char Char Char Char Char Char Char"/>
    <w:basedOn w:val="1"/>
    <w:uiPriority w:val="99"/>
    <w:pPr>
      <w:spacing w:line="360" w:lineRule="auto"/>
      <w:ind w:firstLine="200" w:firstLineChars="200"/>
    </w:pPr>
    <w:rPr>
      <w:szCs w:val="20"/>
    </w:rPr>
  </w:style>
  <w:style w:type="paragraph" w:customStyle="1" w:styleId="364">
    <w:name w:val="xl43"/>
    <w:basedOn w:val="1"/>
    <w:uiPriority w:val="0"/>
    <w:pPr>
      <w:widowControl/>
      <w:pBdr>
        <w:bottom w:val="single" w:color="auto" w:sz="4" w:space="0"/>
      </w:pBdr>
      <w:spacing w:before="100" w:after="100"/>
      <w:jc w:val="center"/>
    </w:pPr>
    <w:rPr>
      <w:rFonts w:ascii="Arial Unicode MS" w:hAnsi="Arial Unicode MS" w:eastAsia="Arial Unicode MS"/>
      <w:b/>
      <w:kern w:val="0"/>
      <w:sz w:val="24"/>
      <w:szCs w:val="20"/>
    </w:rPr>
  </w:style>
  <w:style w:type="paragraph" w:customStyle="1" w:styleId="365">
    <w:name w:val="标准正文格式"/>
    <w:basedOn w:val="1"/>
    <w:uiPriority w:val="0"/>
    <w:pPr>
      <w:widowControl/>
      <w:adjustRightInd w:val="0"/>
      <w:spacing w:before="60" w:after="120" w:line="360" w:lineRule="auto"/>
      <w:ind w:firstLine="200" w:firstLineChars="200"/>
      <w:textAlignment w:val="baseline"/>
    </w:pPr>
    <w:rPr>
      <w:rFonts w:ascii="宋体" w:hAnsi="宋体" w:eastAsia="仿宋_GB2312" w:cs="宋体"/>
      <w:color w:val="000000"/>
      <w:sz w:val="24"/>
    </w:rPr>
  </w:style>
  <w:style w:type="paragraph" w:customStyle="1" w:styleId="366">
    <w:name w:val="TOC Heading1"/>
    <w:basedOn w:val="2"/>
    <w:next w:val="1"/>
    <w:uiPriority w:val="0"/>
    <w:pPr>
      <w:widowControl/>
      <w:numPr>
        <w:ilvl w:val="0"/>
        <w:numId w:val="0"/>
      </w:numPr>
      <w:tabs>
        <w:tab w:val="clear" w:pos="5220"/>
      </w:tabs>
      <w:spacing w:before="240" w:after="0" w:line="259" w:lineRule="auto"/>
      <w:jc w:val="left"/>
      <w:outlineLvl w:val="9"/>
    </w:pPr>
    <w:rPr>
      <w:rFonts w:ascii="Cambria" w:hAnsi="Cambria" w:cs="黑体"/>
      <w:b w:val="0"/>
      <w:color w:val="365F90"/>
      <w:kern w:val="0"/>
      <w:sz w:val="32"/>
      <w:szCs w:val="32"/>
      <w:lang w:val="en-US" w:eastAsia="zh-CN"/>
    </w:rPr>
  </w:style>
  <w:style w:type="paragraph" w:customStyle="1" w:styleId="367">
    <w:name w:val="font13"/>
    <w:basedOn w:val="1"/>
    <w:uiPriority w:val="0"/>
    <w:pPr>
      <w:widowControl/>
      <w:spacing w:before="100" w:beforeAutospacing="1" w:after="100" w:afterAutospacing="1"/>
      <w:jc w:val="left"/>
    </w:pPr>
    <w:rPr>
      <w:rFonts w:eastAsia="Arial Unicode MS"/>
      <w:b/>
      <w:bCs/>
      <w:kern w:val="0"/>
      <w:sz w:val="24"/>
    </w:rPr>
  </w:style>
  <w:style w:type="paragraph" w:customStyle="1" w:styleId="368">
    <w:name w:val="标题6"/>
    <w:basedOn w:val="1"/>
    <w:next w:val="2"/>
    <w:uiPriority w:val="0"/>
    <w:pPr>
      <w:widowControl/>
      <w:snapToGrid w:val="0"/>
      <w:spacing w:before="50" w:beforeLines="50" w:after="50" w:afterLines="50" w:line="520" w:lineRule="atLeast"/>
      <w:ind w:firstLine="200" w:firstLineChars="200"/>
    </w:pPr>
    <w:rPr>
      <w:rFonts w:cs="Arial"/>
      <w:b/>
      <w:sz w:val="24"/>
    </w:rPr>
  </w:style>
  <w:style w:type="paragraph" w:customStyle="1" w:styleId="369">
    <w:name w:val="xl75"/>
    <w:basedOn w:val="1"/>
    <w:uiPriority w:val="0"/>
    <w:pPr>
      <w:widowControl/>
      <w:pBdr>
        <w:top w:val="single" w:color="auto" w:sz="4" w:space="0"/>
        <w:bottom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rPr>
  </w:style>
  <w:style w:type="paragraph" w:customStyle="1" w:styleId="370">
    <w:name w:val="xl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71">
    <w:name w:val="前附表"/>
    <w:basedOn w:val="1"/>
    <w:uiPriority w:val="0"/>
    <w:pPr>
      <w:ind w:firstLine="643"/>
      <w:jc w:val="center"/>
    </w:pPr>
    <w:rPr>
      <w:rFonts w:ascii="宋体" w:hAnsi="宋体"/>
      <w:b/>
      <w:sz w:val="30"/>
      <w:szCs w:val="30"/>
    </w:rPr>
  </w:style>
  <w:style w:type="paragraph" w:customStyle="1" w:styleId="372">
    <w:name w:val="font12"/>
    <w:basedOn w:val="1"/>
    <w:uiPriority w:val="0"/>
    <w:pPr>
      <w:widowControl/>
      <w:spacing w:before="100" w:beforeAutospacing="1" w:after="100" w:afterAutospacing="1"/>
      <w:jc w:val="left"/>
    </w:pPr>
    <w:rPr>
      <w:rFonts w:ascii="宋体" w:cs="Arial Unicode MS"/>
      <w:kern w:val="0"/>
      <w:sz w:val="24"/>
    </w:rPr>
  </w:style>
  <w:style w:type="paragraph" w:customStyle="1" w:styleId="373">
    <w:name w:val="表格标题 Char Char Char Char"/>
    <w:basedOn w:val="1"/>
    <w:uiPriority w:val="0"/>
    <w:pPr>
      <w:autoSpaceDE w:val="0"/>
      <w:autoSpaceDN w:val="0"/>
      <w:adjustRightInd w:val="0"/>
      <w:jc w:val="center"/>
      <w:textAlignment w:val="baseline"/>
    </w:pPr>
    <w:rPr>
      <w:snapToGrid/>
      <w:color w:val="FF0000"/>
      <w:kern w:val="0"/>
      <w:sz w:val="24"/>
      <w:szCs w:val="20"/>
    </w:rPr>
  </w:style>
  <w:style w:type="paragraph" w:customStyle="1" w:styleId="374">
    <w:name w:val="xl8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375">
    <w:name w:val="style1"/>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376">
    <w:name w:val="xl8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eastAsia="Arial Unicode MS"/>
      <w:kern w:val="0"/>
      <w:sz w:val="24"/>
    </w:rPr>
  </w:style>
  <w:style w:type="paragraph" w:customStyle="1" w:styleId="377">
    <w:name w:val="xl77"/>
    <w:basedOn w:val="1"/>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right"/>
    </w:pPr>
    <w:rPr>
      <w:rFonts w:ascii="Arial Unicode MS" w:hAnsi="Arial Unicode MS" w:eastAsia="Arial Unicode MS" w:cs="Arial Unicode MS"/>
      <w:kern w:val="0"/>
      <w:sz w:val="24"/>
    </w:rPr>
  </w:style>
  <w:style w:type="paragraph" w:customStyle="1" w:styleId="378">
    <w:name w:val=" Char1"/>
    <w:basedOn w:val="1"/>
    <w:uiPriority w:val="0"/>
    <w:rPr>
      <w:rFonts w:ascii="Tahoma" w:hAnsi="Tahoma"/>
      <w:sz w:val="24"/>
      <w:szCs w:val="20"/>
    </w:rPr>
  </w:style>
  <w:style w:type="paragraph" w:customStyle="1" w:styleId="379">
    <w:name w:val="论文"/>
    <w:basedOn w:val="1"/>
    <w:qFormat/>
    <w:uiPriority w:val="0"/>
    <w:pPr>
      <w:spacing w:line="400" w:lineRule="exact"/>
    </w:pPr>
    <w:rPr>
      <w:sz w:val="24"/>
      <w:szCs w:val="22"/>
    </w:rPr>
  </w:style>
  <w:style w:type="paragraph" w:customStyle="1" w:styleId="380">
    <w:name w:val="样式3"/>
    <w:basedOn w:val="26"/>
    <w:uiPriority w:val="0"/>
    <w:pPr>
      <w:spacing w:line="240" w:lineRule="atLeast"/>
      <w:outlineLvl w:val="0"/>
    </w:pPr>
    <w:rPr>
      <w:sz w:val="28"/>
      <w:szCs w:val="20"/>
      <w:lang w:val="en-US" w:eastAsia="zh-CN"/>
    </w:rPr>
  </w:style>
  <w:style w:type="paragraph" w:customStyle="1" w:styleId="381">
    <w:name w:val="def正文"/>
    <w:basedOn w:val="20"/>
    <w:uiPriority w:val="0"/>
    <w:pPr>
      <w:widowControl/>
      <w:spacing w:after="0" w:line="360" w:lineRule="auto"/>
      <w:ind w:firstLine="510"/>
      <w:jc w:val="left"/>
    </w:pPr>
    <w:rPr>
      <w:kern w:val="0"/>
      <w:sz w:val="24"/>
      <w:lang w:val="en-US" w:eastAsia="zh-CN"/>
    </w:rPr>
  </w:style>
  <w:style w:type="paragraph" w:customStyle="1" w:styleId="382">
    <w:name w:val="Char1 Char Char Char Char Char Char"/>
    <w:basedOn w:val="1"/>
    <w:uiPriority w:val="99"/>
    <w:rPr>
      <w:rFonts w:ascii="Tahoma" w:hAnsi="Tahoma"/>
      <w:sz w:val="24"/>
      <w:szCs w:val="20"/>
    </w:rPr>
  </w:style>
  <w:style w:type="paragraph" w:customStyle="1" w:styleId="383">
    <w:name w:val="xl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2"/>
      <w:szCs w:val="22"/>
    </w:rPr>
  </w:style>
  <w:style w:type="paragraph" w:customStyle="1" w:styleId="384">
    <w:name w:val="xl48"/>
    <w:basedOn w:val="1"/>
    <w:uiPriority w:val="0"/>
    <w:pPr>
      <w:widowControl/>
      <w:pBdr>
        <w:top w:val="single" w:color="auto" w:sz="4" w:space="0"/>
        <w:bottom w:val="single" w:color="auto" w:sz="4" w:space="0"/>
      </w:pBdr>
      <w:spacing w:before="100" w:beforeAutospacing="1" w:after="100" w:afterAutospacing="1"/>
      <w:jc w:val="left"/>
      <w:textAlignment w:val="center"/>
    </w:pPr>
    <w:rPr>
      <w:rFonts w:hint="eastAsia" w:ascii="楷体_GB2312" w:hAnsi="Arial Unicode MS" w:eastAsia="楷体_GB2312" w:cs="Arial Unicode MS"/>
      <w:b/>
      <w:bCs/>
      <w:kern w:val="0"/>
      <w:sz w:val="24"/>
    </w:rPr>
  </w:style>
  <w:style w:type="paragraph" w:customStyle="1" w:styleId="385">
    <w:name w:val="Char Char1 Char Char Char Char Char Char"/>
    <w:basedOn w:val="1"/>
    <w:uiPriority w:val="0"/>
    <w:pPr>
      <w:widowControl/>
      <w:jc w:val="left"/>
    </w:pPr>
    <w:rPr>
      <w:rFonts w:ascii="Verdana" w:hAnsi="Verdana" w:eastAsia="仿宋_GB2312"/>
      <w:kern w:val="0"/>
      <w:sz w:val="28"/>
      <w:szCs w:val="20"/>
      <w:lang w:eastAsia="en-US"/>
    </w:rPr>
  </w:style>
  <w:style w:type="paragraph" w:customStyle="1" w:styleId="386">
    <w:name w:val="title1"/>
    <w:basedOn w:val="1"/>
    <w:uiPriority w:val="0"/>
    <w:pPr>
      <w:widowControl/>
      <w:spacing w:before="100" w:beforeAutospacing="1" w:after="100" w:afterAutospacing="1"/>
      <w:jc w:val="left"/>
    </w:pPr>
    <w:rPr>
      <w:rFonts w:ascii="Arial Unicode MS" w:hAnsi="Arial Unicode MS" w:eastAsia="Arial Unicode MS"/>
      <w:kern w:val="0"/>
      <w:szCs w:val="20"/>
    </w:rPr>
  </w:style>
  <w:style w:type="paragraph" w:customStyle="1" w:styleId="387">
    <w:name w:val="样式 标题 1合同标题卷标题H1h1Level 1 Topic HeadingH11H12H111H13H1..."/>
    <w:uiPriority w:val="0"/>
    <w:rPr>
      <w:rFonts w:ascii="宋体"/>
      <w:b/>
      <w:bCs/>
      <w:kern w:val="44"/>
      <w:sz w:val="24"/>
      <w:szCs w:val="44"/>
      <w:lang w:val="en-US" w:eastAsia="zh-CN" w:bidi="ar-SA"/>
    </w:rPr>
  </w:style>
  <w:style w:type="paragraph" w:customStyle="1" w:styleId="388">
    <w:name w:val="xl83"/>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Arial Unicode MS"/>
      <w:kern w:val="0"/>
      <w:sz w:val="24"/>
    </w:rPr>
  </w:style>
  <w:style w:type="paragraph" w:customStyle="1" w:styleId="389">
    <w:name w:val="样式 标题 3 + 左侧:  0 厘米 首行缩进:  0 厘米"/>
    <w:basedOn w:val="4"/>
    <w:uiPriority w:val="0"/>
    <w:pPr>
      <w:tabs>
        <w:tab w:val="left" w:pos="720"/>
      </w:tabs>
      <w:snapToGrid w:val="0"/>
      <w:spacing w:before="240" w:after="120" w:line="520" w:lineRule="atLeast"/>
      <w:ind w:left="324" w:leftChars="267" w:hanging="57" w:hangingChars="57"/>
      <w:jc w:val="both"/>
    </w:pPr>
    <w:rPr>
      <w:kern w:val="24"/>
      <w:sz w:val="28"/>
      <w:szCs w:val="20"/>
      <w:lang w:val="en-US" w:eastAsia="zh-CN"/>
    </w:rPr>
  </w:style>
  <w:style w:type="paragraph" w:customStyle="1" w:styleId="390">
    <w:name w:val="PI"/>
    <w:basedOn w:val="1"/>
    <w:next w:val="21"/>
    <w:uiPriority w:val="0"/>
    <w:pPr>
      <w:spacing w:line="360" w:lineRule="auto"/>
      <w:ind w:left="539" w:firstLine="721"/>
      <w:jc w:val="left"/>
    </w:pPr>
    <w:rPr>
      <w:spacing w:val="20"/>
      <w:szCs w:val="20"/>
    </w:rPr>
  </w:style>
  <w:style w:type="paragraph" w:customStyle="1" w:styleId="391">
    <w:name w:val="Char1"/>
    <w:basedOn w:val="1"/>
    <w:uiPriority w:val="0"/>
    <w:rPr>
      <w:rFonts w:ascii="Tahoma" w:hAnsi="Tahoma"/>
      <w:sz w:val="24"/>
      <w:szCs w:val="20"/>
    </w:rPr>
  </w:style>
  <w:style w:type="paragraph" w:customStyle="1" w:styleId="392">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93">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94">
    <w:name w:val="xl73"/>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395">
    <w:name w:val="xl91"/>
    <w:basedOn w:val="1"/>
    <w:uiPriority w:val="0"/>
    <w:pPr>
      <w:widowControl/>
      <w:shd w:val="clear" w:color="auto" w:fill="FFFFFF"/>
      <w:spacing w:before="100" w:beforeAutospacing="1" w:after="100" w:afterAutospacing="1"/>
      <w:jc w:val="center"/>
    </w:pPr>
    <w:rPr>
      <w:rFonts w:ascii="Arial Unicode MS" w:hAnsi="Arial Unicode MS" w:eastAsia="Arial Unicode MS" w:cs="Arial Unicode MS"/>
      <w:kern w:val="0"/>
      <w:sz w:val="24"/>
    </w:rPr>
  </w:style>
  <w:style w:type="paragraph" w:customStyle="1" w:styleId="396">
    <w:name w:val="SS正文首行缩进 +"/>
    <w:basedOn w:val="51"/>
    <w:uiPriority w:val="0"/>
    <w:pPr>
      <w:autoSpaceDE/>
      <w:autoSpaceDN/>
      <w:adjustRightInd/>
      <w:spacing w:before="156" w:beforeLines="50" w:after="156" w:afterLines="50" w:line="360" w:lineRule="auto"/>
      <w:ind w:firstLine="480" w:firstLineChars="200"/>
      <w:jc w:val="both"/>
    </w:pPr>
    <w:rPr>
      <w:rFonts w:ascii="宋体" w:hAnsi="宋体"/>
      <w:kern w:val="2"/>
      <w:sz w:val="24"/>
    </w:rPr>
  </w:style>
  <w:style w:type="paragraph" w:customStyle="1" w:styleId="397">
    <w:name w:val="font1"/>
    <w:basedOn w:val="1"/>
    <w:uiPriority w:val="0"/>
    <w:pPr>
      <w:widowControl/>
      <w:spacing w:before="100" w:beforeAutospacing="1" w:after="100" w:afterAutospacing="1"/>
      <w:jc w:val="left"/>
    </w:pPr>
    <w:rPr>
      <w:rFonts w:eastAsia="Arial Unicode MS"/>
      <w:b/>
      <w:bCs/>
      <w:kern w:val="0"/>
      <w:sz w:val="24"/>
    </w:rPr>
  </w:style>
  <w:style w:type="paragraph" w:customStyle="1" w:styleId="398">
    <w:name w:val="表格文字"/>
    <w:basedOn w:val="1"/>
    <w:qFormat/>
    <w:uiPriority w:val="0"/>
    <w:pPr>
      <w:jc w:val="left"/>
    </w:pPr>
    <w:rPr>
      <w:szCs w:val="22"/>
    </w:rPr>
  </w:style>
  <w:style w:type="paragraph" w:customStyle="1" w:styleId="399">
    <w:name w:val="表格标题 Char Char Char"/>
    <w:basedOn w:val="1"/>
    <w:uiPriority w:val="0"/>
    <w:pPr>
      <w:widowControl/>
      <w:spacing w:beforeLines="50" w:afterLines="50"/>
      <w:jc w:val="center"/>
    </w:pPr>
    <w:rPr>
      <w:b/>
      <w:kern w:val="0"/>
      <w:sz w:val="24"/>
      <w:szCs w:val="20"/>
    </w:rPr>
  </w:style>
  <w:style w:type="paragraph" w:customStyle="1" w:styleId="400">
    <w:name w:val="List Paragraph"/>
    <w:basedOn w:val="1"/>
    <w:qFormat/>
    <w:uiPriority w:val="0"/>
    <w:pPr>
      <w:ind w:firstLine="420" w:firstLineChars="200"/>
    </w:pPr>
    <w:rPr>
      <w:szCs w:val="21"/>
    </w:rPr>
  </w:style>
  <w:style w:type="paragraph" w:customStyle="1" w:styleId="401">
    <w:name w:val="xl61"/>
    <w:basedOn w:val="1"/>
    <w:uiPriority w:val="0"/>
    <w:pPr>
      <w:widowControl/>
      <w:shd w:val="clear" w:color="auto" w:fill="FFFFFF"/>
      <w:spacing w:before="100" w:beforeAutospacing="1" w:after="100" w:afterAutospacing="1"/>
      <w:jc w:val="center"/>
    </w:pPr>
    <w:rPr>
      <w:rFonts w:ascii="Arial Unicode MS" w:hAnsi="Arial Unicode MS" w:eastAsia="Arial Unicode MS" w:cs="Arial Unicode MS"/>
      <w:b/>
      <w:bCs/>
      <w:kern w:val="0"/>
      <w:sz w:val="36"/>
      <w:szCs w:val="36"/>
    </w:rPr>
  </w:style>
  <w:style w:type="paragraph" w:customStyle="1" w:styleId="402">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403">
    <w:name w:val="±íÉí"/>
    <w:basedOn w:val="1"/>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404">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405">
    <w:name w:val="正文段落"/>
    <w:basedOn w:val="1"/>
    <w:uiPriority w:val="0"/>
    <w:pPr>
      <w:adjustRightInd w:val="0"/>
      <w:snapToGrid w:val="0"/>
      <w:spacing w:line="420" w:lineRule="atLeast"/>
      <w:ind w:firstLine="200" w:firstLineChars="200"/>
    </w:pPr>
    <w:rPr>
      <w:sz w:val="24"/>
    </w:rPr>
  </w:style>
  <w:style w:type="paragraph" w:customStyle="1" w:styleId="406">
    <w:name w:val="xl4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int="eastAsia" w:ascii="楷体_GB2312" w:hAnsi="Arial Unicode MS" w:eastAsia="楷体_GB2312" w:cs="Arial Unicode MS"/>
      <w:kern w:val="0"/>
      <w:sz w:val="24"/>
    </w:rPr>
  </w:style>
  <w:style w:type="paragraph" w:customStyle="1" w:styleId="407">
    <w:name w:val="Char Char Char Char Char Char"/>
    <w:basedOn w:val="1"/>
    <w:uiPriority w:val="0"/>
    <w:pPr>
      <w:ind w:firstLine="200" w:firstLineChars="200"/>
    </w:pPr>
    <w:rPr>
      <w:rFonts w:ascii="Tahoma" w:hAnsi="Tahoma"/>
      <w:sz w:val="24"/>
      <w:szCs w:val="20"/>
    </w:rPr>
  </w:style>
  <w:style w:type="paragraph" w:customStyle="1" w:styleId="408">
    <w:name w:val="font9"/>
    <w:basedOn w:val="1"/>
    <w:uiPriority w:val="0"/>
    <w:pPr>
      <w:widowControl/>
      <w:spacing w:before="100" w:beforeAutospacing="1" w:after="100" w:afterAutospacing="1"/>
      <w:jc w:val="left"/>
    </w:pPr>
    <w:rPr>
      <w:rFonts w:ascii="宋体" w:cs="Arial Unicode MS"/>
      <w:color w:val="000000"/>
      <w:kern w:val="0"/>
      <w:sz w:val="24"/>
    </w:rPr>
  </w:style>
  <w:style w:type="paragraph" w:customStyle="1" w:styleId="409">
    <w:name w:val="默认段落字体 Para Char Char Char Char"/>
    <w:basedOn w:val="1"/>
    <w:uiPriority w:val="0"/>
  </w:style>
  <w:style w:type="paragraph" w:customStyle="1" w:styleId="410">
    <w:name w:val="Table Description"/>
    <w:next w:val="1"/>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411">
    <w:name w:val="xl86"/>
    <w:basedOn w:val="1"/>
    <w:uiPriority w:val="0"/>
    <w:pPr>
      <w:widowControl/>
      <w:numPr>
        <w:ilvl w:val="0"/>
        <w:numId w:val="3"/>
      </w:num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ind w:left="0" w:firstLine="0"/>
      <w:jc w:val="left"/>
    </w:pPr>
    <w:rPr>
      <w:rFonts w:eastAsia="Arial Unicode MS"/>
      <w:kern w:val="0"/>
      <w:sz w:val="24"/>
    </w:rPr>
  </w:style>
  <w:style w:type="paragraph" w:customStyle="1" w:styleId="412">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13">
    <w:name w:val="333"/>
    <w:basedOn w:val="1"/>
    <w:uiPriority w:val="0"/>
    <w:pPr>
      <w:adjustRightInd w:val="0"/>
      <w:spacing w:line="312" w:lineRule="atLeast"/>
      <w:textAlignment w:val="baseline"/>
    </w:pPr>
    <w:rPr>
      <w:kern w:val="0"/>
      <w:szCs w:val="20"/>
    </w:rPr>
  </w:style>
  <w:style w:type="paragraph" w:customStyle="1" w:styleId="414">
    <w:name w:val="xl84"/>
    <w:basedOn w:val="1"/>
    <w:uiPriority w:val="0"/>
    <w:pPr>
      <w:widowControl/>
      <w:shd w:val="clear" w:color="auto" w:fill="FFFFFF"/>
      <w:spacing w:before="100" w:beforeAutospacing="1" w:after="100" w:afterAutospacing="1"/>
      <w:jc w:val="left"/>
    </w:pPr>
    <w:rPr>
      <w:rFonts w:eastAsia="Arial Unicode MS"/>
      <w:kern w:val="0"/>
      <w:sz w:val="24"/>
    </w:rPr>
  </w:style>
  <w:style w:type="paragraph" w:customStyle="1" w:styleId="415">
    <w:name w:val="xl64"/>
    <w:basedOn w:val="1"/>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Arial Unicode MS" w:hAnsi="Arial Unicode MS" w:eastAsia="Arial Unicode MS" w:cs="Arial Unicode MS"/>
      <w:b/>
      <w:bCs/>
      <w:kern w:val="0"/>
      <w:sz w:val="24"/>
    </w:rPr>
  </w:style>
  <w:style w:type="paragraph" w:customStyle="1" w:styleId="416">
    <w:name w:val="xl49"/>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b/>
      <w:bCs/>
      <w:kern w:val="0"/>
      <w:sz w:val="22"/>
      <w:szCs w:val="22"/>
    </w:rPr>
  </w:style>
  <w:style w:type="paragraph" w:customStyle="1" w:styleId="417">
    <w:name w:val="Item List in Table"/>
    <w:uiPriority w:val="0"/>
    <w:pPr>
      <w:tabs>
        <w:tab w:val="left" w:pos="1260"/>
      </w:tabs>
      <w:spacing w:before="40" w:after="40"/>
      <w:ind w:left="1260" w:hanging="360"/>
      <w:jc w:val="both"/>
    </w:pPr>
    <w:rPr>
      <w:rFonts w:ascii="Arial" w:hAnsi="Arial" w:cs="Arial"/>
      <w:sz w:val="18"/>
      <w:szCs w:val="18"/>
      <w:lang w:val="en-US" w:eastAsia="zh-CN" w:bidi="ar-SA"/>
    </w:rPr>
  </w:style>
  <w:style w:type="paragraph" w:customStyle="1" w:styleId="418">
    <w:name w:val="Char Char Char Char Char Char Char"/>
    <w:basedOn w:val="1"/>
    <w:uiPriority w:val="0"/>
    <w:rPr>
      <w:rFonts w:ascii="仿宋_GB2312" w:eastAsia="仿宋_GB2312"/>
      <w:b/>
      <w:sz w:val="32"/>
      <w:szCs w:val="32"/>
    </w:rPr>
  </w:style>
  <w:style w:type="paragraph" w:customStyle="1" w:styleId="419">
    <w:name w:val="样式 小四 居中 行距:  35 磅"/>
    <w:basedOn w:val="1"/>
    <w:uiPriority w:val="0"/>
    <w:pPr>
      <w:spacing w:line="900" w:lineRule="exact"/>
      <w:jc w:val="center"/>
    </w:pPr>
    <w:rPr>
      <w:sz w:val="24"/>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6.xml" Type="http://schemas.openxmlformats.org/officeDocument/2006/relationships/header"/><Relationship Id="rId11" Target="header7.xml" Type="http://schemas.openxmlformats.org/officeDocument/2006/relationships/header"/><Relationship Id="rId12" Target="header8.xml" Type="http://schemas.openxmlformats.org/officeDocument/2006/relationships/header"/><Relationship Id="rId13" Target="footer3.xml" Type="http://schemas.openxmlformats.org/officeDocument/2006/relationships/footer"/><Relationship Id="rId14" Target="footer4.xml" Type="http://schemas.openxmlformats.org/officeDocument/2006/relationships/footer"/><Relationship Id="rId15" Target="footer5.xml" Type="http://schemas.openxmlformats.org/officeDocument/2006/relationships/footer"/><Relationship Id="rId16" Target="header9.xml" Type="http://schemas.openxmlformats.org/officeDocument/2006/relationships/header"/><Relationship Id="rId17" Target="theme/theme1.xml" Type="http://schemas.openxmlformats.org/officeDocument/2006/relationships/theme"/><Relationship Id="rId18" Target="media/image1.png" Type="http://schemas.openxmlformats.org/officeDocument/2006/relationships/image"/><Relationship Id="rId19" Target="media/image2.emf" Type="http://schemas.openxmlformats.org/officeDocument/2006/relationships/image"/><Relationship Id="rId2" Target="settings.xml" Type="http://schemas.openxmlformats.org/officeDocument/2006/relationships/settings"/><Relationship Id="rId20" Target="numbering.xml" Type="http://schemas.openxmlformats.org/officeDocument/2006/relationships/numbering"/><Relationship Id="rId21" Target="fontTable.xml" Type="http://schemas.openxmlformats.org/officeDocument/2006/relationships/fontTable"/><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header2.xml" Type="http://schemas.openxmlformats.org/officeDocument/2006/relationships/header"/><Relationship Id="rId7" Target="header3.xml" Type="http://schemas.openxmlformats.org/officeDocument/2006/relationships/header"/><Relationship Id="rId8" Target="header4.xml" Type="http://schemas.openxmlformats.org/officeDocument/2006/relationships/header"/><Relationship Id="rId9" Target="header5.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30</Pages>
  <Words>7576</Words>
  <Characters>43184</Characters>
  <Lines>359</Lines>
  <Paragraphs>101</Paragraphs>
  <TotalTime>48</TotalTime>
  <ScaleCrop>false</ScaleCrop>
  <LinksUpToDate>false</LinksUpToDate>
  <CharactersWithSpaces>50659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2020-07-30T12:25:00Z</dcterms:created>
  <dc:creator>石宗杰</dc:creator>
  <cp:lastModifiedBy>WPS_1701756769</cp:lastModifiedBy>
  <cp:lastPrinted>2020-12-04T06:23:31Z</cp:lastPrinted>
  <dcterms:modified xsi:type="dcterms:W3CDTF">2024-02-23T08:55:46Z</dcterms:modified>
  <cp:revision>12</cp:revision>
  <dc:title>政  府  采  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32695518</vt:r8>
  </property>
  <property fmtid="{D5CDD505-2E9C-101B-9397-08002B2CF9AE}" pid="3" name="KSOProductBuildVer">
    <vt:lpwstr>2052-12.1.0.16388</vt:lpwstr>
  </property>
  <property fmtid="{D5CDD505-2E9C-101B-9397-08002B2CF9AE}" pid="4" name="ICV">
    <vt:lpwstr>ED2C43C0D02D4926B6585B681DD2A754_13</vt:lpwstr>
  </property>
</Properties>
</file>